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6E49F">
      <w:pPr>
        <w:pStyle w:val="26"/>
        <w:spacing w:before="120" w:after="120" w:line="360" w:lineRule="auto"/>
        <w:jc w:val="center"/>
        <w:rPr>
          <w:rFonts w:hint="eastAsia" w:ascii="仿宋_GB2312" w:hAnsi="宋体" w:eastAsia="仿宋_GB2312"/>
          <w:color w:val="000000" w:themeColor="text1"/>
          <w:highlight w:val="none"/>
          <w:lang w:eastAsia="zh-CN"/>
          <w14:textFill>
            <w14:solidFill>
              <w14:schemeClr w14:val="tx1"/>
            </w14:solidFill>
          </w14:textFill>
        </w:rPr>
      </w:pPr>
      <w:r>
        <w:rPr>
          <w:rFonts w:hint="eastAsia" w:ascii="仿宋_GB2312" w:hAnsi="宋体" w:eastAsia="仿宋_GB2312"/>
          <w:color w:val="000000" w:themeColor="text1"/>
          <w:highlight w:val="none"/>
          <w:lang w:eastAsia="zh-CN"/>
          <w14:textFill>
            <w14:solidFill>
              <w14:schemeClr w14:val="tx1"/>
            </w14:solidFill>
          </w14:textFill>
        </w:rPr>
        <w:drawing>
          <wp:inline distT="0" distB="0" distL="114300" distR="114300">
            <wp:extent cx="6115050" cy="8648065"/>
            <wp:effectExtent l="0" t="0" r="11430" b="8255"/>
            <wp:docPr id="1" name="图片 1" descr="doc07303520251209111245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oc07303520251209111245_001"/>
                    <pic:cNvPicPr>
                      <a:picLocks noChangeAspect="1"/>
                    </pic:cNvPicPr>
                  </pic:nvPicPr>
                  <pic:blipFill>
                    <a:blip r:embed="rId12"/>
                    <a:stretch>
                      <a:fillRect/>
                    </a:stretch>
                  </pic:blipFill>
                  <pic:spPr>
                    <a:xfrm>
                      <a:off x="0" y="0"/>
                      <a:ext cx="6115050" cy="8648065"/>
                    </a:xfrm>
                    <a:prstGeom prst="rect">
                      <a:avLst/>
                    </a:prstGeom>
                  </pic:spPr>
                </pic:pic>
              </a:graphicData>
            </a:graphic>
          </wp:inline>
        </w:drawing>
      </w:r>
    </w:p>
    <w:p w14:paraId="0FD87D2D">
      <w:pPr>
        <w:spacing w:line="360" w:lineRule="auto"/>
        <w:jc w:val="center"/>
        <w:rPr>
          <w:rFonts w:hint="eastAsia" w:ascii="宋体" w:hAnsi="宋体"/>
          <w:b/>
          <w:color w:val="000000" w:themeColor="text1"/>
          <w:sz w:val="44"/>
          <w:szCs w:val="44"/>
          <w:highlight w:val="none"/>
          <w14:textFill>
            <w14:solidFill>
              <w14:schemeClr w14:val="tx1"/>
            </w14:solidFill>
          </w14:textFill>
        </w:rPr>
      </w:pPr>
      <w:r>
        <w:rPr>
          <w:rFonts w:hint="eastAsia" w:ascii="宋体" w:hAnsi="宋体"/>
          <w:b/>
          <w:color w:val="000000" w:themeColor="text1"/>
          <w:sz w:val="44"/>
          <w:szCs w:val="44"/>
          <w:highlight w:val="none"/>
          <w14:textFill>
            <w14:solidFill>
              <w14:schemeClr w14:val="tx1"/>
            </w14:solidFill>
          </w14:textFill>
        </w:rPr>
        <w:br w:type="page"/>
      </w:r>
      <w:r>
        <w:rPr>
          <w:rFonts w:hint="eastAsia" w:ascii="宋体" w:hAnsi="宋体"/>
          <w:b/>
          <w:color w:val="000000" w:themeColor="text1"/>
          <w:sz w:val="44"/>
          <w:szCs w:val="44"/>
          <w:highlight w:val="none"/>
          <w14:textFill>
            <w14:solidFill>
              <w14:schemeClr w14:val="tx1"/>
            </w14:solidFill>
          </w14:textFill>
        </w:rPr>
        <w:t>目  录</w:t>
      </w:r>
    </w:p>
    <w:p w14:paraId="3FB09B20">
      <w:pPr>
        <w:pStyle w:val="34"/>
        <w:tabs>
          <w:tab w:val="right" w:leader="dot" w:pos="9638"/>
          <w:tab w:val="clear" w:pos="8398"/>
        </w:tabs>
        <w:rPr>
          <w:color w:val="000000" w:themeColor="text1"/>
          <w:highlight w:val="none"/>
          <w14:textFill>
            <w14:solidFill>
              <w14:schemeClr w14:val="tx1"/>
            </w14:solidFill>
          </w14:textFill>
        </w:rPr>
      </w:pPr>
      <w:r>
        <w:rPr>
          <w:rFonts w:ascii="仿宋_GB2312" w:eastAsia="仿宋_GB2312"/>
          <w:b w:val="0"/>
          <w:color w:val="000000" w:themeColor="text1"/>
          <w:highlight w:val="none"/>
          <w14:textFill>
            <w14:solidFill>
              <w14:schemeClr w14:val="tx1"/>
            </w14:solidFill>
          </w14:textFill>
        </w:rPr>
        <w:fldChar w:fldCharType="begin"/>
      </w:r>
      <w:r>
        <w:rPr>
          <w:rFonts w:ascii="仿宋_GB2312" w:eastAsia="仿宋_GB2312"/>
          <w:b w:val="0"/>
          <w:color w:val="000000" w:themeColor="text1"/>
          <w:highlight w:val="none"/>
          <w14:textFill>
            <w14:solidFill>
              <w14:schemeClr w14:val="tx1"/>
            </w14:solidFill>
          </w14:textFill>
        </w:rPr>
        <w:instrText xml:space="preserve"> </w:instrText>
      </w:r>
      <w:r>
        <w:rPr>
          <w:rFonts w:hint="eastAsia" w:ascii="仿宋_GB2312" w:eastAsia="仿宋_GB2312"/>
          <w:b w:val="0"/>
          <w:color w:val="000000" w:themeColor="text1"/>
          <w:highlight w:val="none"/>
          <w14:textFill>
            <w14:solidFill>
              <w14:schemeClr w14:val="tx1"/>
            </w14:solidFill>
          </w14:textFill>
        </w:rPr>
        <w:instrText xml:space="preserve">TOC \o "1-2" \h \z \u</w:instrText>
      </w:r>
      <w:r>
        <w:rPr>
          <w:rFonts w:ascii="仿宋_GB2312" w:eastAsia="仿宋_GB2312"/>
          <w:b w:val="0"/>
          <w:color w:val="000000" w:themeColor="text1"/>
          <w:highlight w:val="none"/>
          <w14:textFill>
            <w14:solidFill>
              <w14:schemeClr w14:val="tx1"/>
            </w14:solidFill>
          </w14:textFill>
        </w:rPr>
        <w:instrText xml:space="preserve"> </w:instrText>
      </w:r>
      <w:r>
        <w:rPr>
          <w:rFonts w:ascii="仿宋_GB2312" w:eastAsia="仿宋_GB2312"/>
          <w:b w:val="0"/>
          <w:color w:val="000000" w:themeColor="text1"/>
          <w:highlight w:val="none"/>
          <w14:textFill>
            <w14:solidFill>
              <w14:schemeClr w14:val="tx1"/>
            </w14:solidFill>
          </w14:textFill>
        </w:rPr>
        <w:fldChar w:fldCharType="separate"/>
      </w:r>
      <w:r>
        <w:rPr>
          <w:rFonts w:ascii="仿宋_GB2312" w:eastAsia="仿宋_GB2312"/>
          <w:color w:val="000000" w:themeColor="text1"/>
          <w:highlight w:val="none"/>
          <w14:textFill>
            <w14:solidFill>
              <w14:schemeClr w14:val="tx1"/>
            </w14:solidFill>
          </w14:textFill>
        </w:rPr>
        <w:fldChar w:fldCharType="begin"/>
      </w:r>
      <w:r>
        <w:rPr>
          <w:rFonts w:ascii="仿宋_GB2312" w:eastAsia="仿宋_GB2312"/>
          <w:color w:val="000000" w:themeColor="text1"/>
          <w:highlight w:val="none"/>
          <w14:textFill>
            <w14:solidFill>
              <w14:schemeClr w14:val="tx1"/>
            </w14:solidFill>
          </w14:textFill>
        </w:rPr>
        <w:instrText xml:space="preserve"> HYPERLINK \l _Toc674 </w:instrText>
      </w:r>
      <w:r>
        <w:rPr>
          <w:rFonts w:ascii="仿宋_GB2312"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第一章 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fldChar w:fldCharType="end"/>
      </w:r>
      <w:r>
        <w:rPr>
          <w:rFonts w:ascii="仿宋_GB2312" w:eastAsia="仿宋_GB2312"/>
          <w:color w:val="000000" w:themeColor="text1"/>
          <w:highlight w:val="none"/>
          <w14:textFill>
            <w14:solidFill>
              <w14:schemeClr w14:val="tx1"/>
            </w14:solidFill>
          </w14:textFill>
        </w:rPr>
        <w:fldChar w:fldCharType="end"/>
      </w:r>
    </w:p>
    <w:p w14:paraId="637DB74D">
      <w:pPr>
        <w:pStyle w:val="34"/>
        <w:tabs>
          <w:tab w:val="right" w:leader="dot" w:pos="9638"/>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_Toc12476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第二章  采购需求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7D9DDDEE">
      <w:pPr>
        <w:pStyle w:val="34"/>
        <w:tabs>
          <w:tab w:val="right" w:leader="dot" w:pos="9638"/>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_Toc24388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_Toc24388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113</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26E6C84A">
      <w:pPr>
        <w:pStyle w:val="34"/>
        <w:tabs>
          <w:tab w:val="right" w:leader="dot" w:pos="9638"/>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_Toc2992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szCs w:val="36"/>
          <w:highlight w:val="none"/>
          <w14:textFill>
            <w14:solidFill>
              <w14:schemeClr w14:val="tx1"/>
            </w14:solidFill>
          </w14:textFill>
        </w:rPr>
        <w:t>第四章  评标方法及评标标准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132</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533DEDBB">
      <w:pPr>
        <w:pStyle w:val="34"/>
        <w:tabs>
          <w:tab w:val="right" w:leader="dot" w:pos="9638"/>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_Toc18418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ascii="Times New Roman" w:hAnsi="Times New Roman" w:eastAsia="宋体"/>
          <w:color w:val="000000" w:themeColor="text1"/>
          <w:kern w:val="44"/>
          <w:szCs w:val="44"/>
          <w:highlight w:val="none"/>
          <w14:textFill>
            <w14:solidFill>
              <w14:schemeClr w14:val="tx1"/>
            </w14:solidFill>
          </w14:textFill>
        </w:rPr>
        <w:t>第五章  拟签订的合同文本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140</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339B10C3">
      <w:pPr>
        <w:pStyle w:val="34"/>
        <w:tabs>
          <w:tab w:val="right" w:leader="dot" w:pos="9638"/>
          <w:tab w:val="clear" w:pos="8398"/>
        </w:tabs>
        <w:rPr>
          <w:color w:val="000000" w:themeColor="text1"/>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begin"/>
      </w:r>
      <w:r>
        <w:rPr>
          <w:rFonts w:ascii="仿宋_GB2312" w:hAnsi="宋体" w:eastAsia="仿宋_GB2312"/>
          <w:color w:val="000000" w:themeColor="text1"/>
          <w:highlight w:val="none"/>
          <w14:textFill>
            <w14:solidFill>
              <w14:schemeClr w14:val="tx1"/>
            </w14:solidFill>
          </w14:textFill>
        </w:rPr>
        <w:instrText xml:space="preserve"> HYPERLINK \l _Toc22279 </w:instrText>
      </w:r>
      <w:r>
        <w:rPr>
          <w:rFonts w:ascii="仿宋_GB2312" w:hAnsi="宋体" w:eastAsia="仿宋_GB2312"/>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第六章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149</w:t>
      </w:r>
      <w:r>
        <w:rPr>
          <w:color w:val="000000" w:themeColor="text1"/>
          <w:highlight w:val="none"/>
          <w14:textFill>
            <w14:solidFill>
              <w14:schemeClr w14:val="tx1"/>
            </w14:solidFill>
          </w14:textFill>
        </w:rPr>
        <w:fldChar w:fldCharType="end"/>
      </w:r>
      <w:r>
        <w:rPr>
          <w:rFonts w:ascii="仿宋_GB2312" w:hAnsi="宋体" w:eastAsia="仿宋_GB2312"/>
          <w:color w:val="000000" w:themeColor="text1"/>
          <w:highlight w:val="none"/>
          <w14:textFill>
            <w14:solidFill>
              <w14:schemeClr w14:val="tx1"/>
            </w14:solidFill>
          </w14:textFill>
        </w:rPr>
        <w:fldChar w:fldCharType="end"/>
      </w:r>
    </w:p>
    <w:p w14:paraId="6C24A27D">
      <w:pPr>
        <w:pStyle w:val="34"/>
        <w:tabs>
          <w:tab w:val="right" w:leader="dot" w:pos="9638"/>
          <w:tab w:val="clear" w:pos="8398"/>
        </w:tabs>
        <w:rPr>
          <w:color w:val="000000" w:themeColor="text1"/>
          <w:highlight w:val="none"/>
          <w14:textFill>
            <w14:solidFill>
              <w14:schemeClr w14:val="tx1"/>
            </w14:solidFill>
          </w14:textFill>
        </w:rPr>
      </w:pPr>
    </w:p>
    <w:p w14:paraId="16D89A2A">
      <w:pPr>
        <w:spacing w:before="120" w:beforeLines="50" w:line="480" w:lineRule="exact"/>
        <w:rPr>
          <w:rFonts w:hint="eastAsia" w:ascii="仿宋_GB2312" w:hAnsi="宋体" w:eastAsia="仿宋_GB2312"/>
          <w:color w:val="000000" w:themeColor="text1"/>
          <w:sz w:val="24"/>
          <w:highlight w:val="none"/>
          <w14:textFill>
            <w14:solidFill>
              <w14:schemeClr w14:val="tx1"/>
            </w14:solidFill>
          </w14:textFill>
        </w:rPr>
      </w:pPr>
      <w:r>
        <w:rPr>
          <w:rFonts w:ascii="仿宋_GB2312" w:hAnsi="宋体" w:eastAsia="仿宋_GB2312"/>
          <w:color w:val="000000" w:themeColor="text1"/>
          <w:highlight w:val="none"/>
          <w14:textFill>
            <w14:solidFill>
              <w14:schemeClr w14:val="tx1"/>
            </w14:solidFill>
          </w14:textFill>
        </w:rPr>
        <w:fldChar w:fldCharType="end"/>
      </w:r>
    </w:p>
    <w:p w14:paraId="2D84D331">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6886B43C">
      <w:pPr>
        <w:rPr>
          <w:rFonts w:hint="eastAsia"/>
          <w:color w:val="000000" w:themeColor="text1"/>
          <w:highlight w:val="none"/>
          <w14:textFill>
            <w14:solidFill>
              <w14:schemeClr w14:val="tx1"/>
            </w14:solidFill>
          </w14:textFill>
        </w:rPr>
      </w:pPr>
    </w:p>
    <w:p w14:paraId="6A7E9001">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1DBAA34C">
      <w:pPr>
        <w:spacing w:before="120" w:beforeLines="50" w:line="480" w:lineRule="exact"/>
        <w:rPr>
          <w:rFonts w:hint="eastAsia" w:ascii="仿宋_GB2312" w:hAnsi="宋体" w:eastAsia="仿宋_GB2312"/>
          <w:color w:val="000000" w:themeColor="text1"/>
          <w:sz w:val="30"/>
          <w:highlight w:val="none"/>
          <w14:textFill>
            <w14:solidFill>
              <w14:schemeClr w14:val="tx1"/>
            </w14:solidFill>
          </w14:textFill>
        </w:rPr>
      </w:pPr>
    </w:p>
    <w:p w14:paraId="617A2E72">
      <w:pPr>
        <w:pStyle w:val="17"/>
        <w:rPr>
          <w:rFonts w:hint="eastAsia" w:ascii="宋体" w:hAnsi="宋体" w:cs="宋体"/>
          <w:b/>
          <w:bCs/>
          <w:color w:val="000000" w:themeColor="text1"/>
          <w:highlight w:val="none"/>
          <w14:textFill>
            <w14:solidFill>
              <w14:schemeClr w14:val="tx1"/>
            </w14:solidFill>
          </w14:textFill>
        </w:rPr>
      </w:pPr>
      <w:bookmarkStart w:id="0" w:name="_Toc254970630"/>
      <w:bookmarkStart w:id="1" w:name="_Toc254970489"/>
    </w:p>
    <w:p w14:paraId="30683771">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color w:val="000000" w:themeColor="text1"/>
          <w:highlight w:val="none"/>
          <w14:textFill>
            <w14:solidFill>
              <w14:schemeClr w14:val="tx1"/>
            </w14:solidFill>
          </w14:textFill>
        </w:rPr>
      </w:pPr>
      <w:r>
        <w:rPr>
          <w:rFonts w:ascii="宋体" w:hAnsi="宋体" w:cs="宋体"/>
          <w:b w:val="0"/>
          <w:bCs w:val="0"/>
          <w:color w:val="000000" w:themeColor="text1"/>
          <w:highlight w:val="none"/>
          <w14:textFill>
            <w14:solidFill>
              <w14:schemeClr w14:val="tx1"/>
            </w14:solidFill>
          </w14:textFill>
        </w:rPr>
        <w:br w:type="page"/>
      </w:r>
      <w:bookmarkStart w:id="2" w:name="_Toc674"/>
      <w:r>
        <w:rPr>
          <w:rFonts w:hint="eastAsia"/>
          <w:color w:val="000000" w:themeColor="text1"/>
          <w:highlight w:val="none"/>
          <w14:textFill>
            <w14:solidFill>
              <w14:schemeClr w14:val="tx1"/>
            </w14:solidFill>
          </w14:textFill>
        </w:rPr>
        <w:t>第一章</w:t>
      </w:r>
      <w:bookmarkEnd w:id="0"/>
      <w:bookmarkEnd w:id="1"/>
      <w:bookmarkStart w:id="3" w:name="_Toc28359001"/>
      <w:bookmarkStart w:id="4" w:name="_Toc35393789"/>
      <w:r>
        <w:rPr>
          <w:rFonts w:hint="eastAsia"/>
          <w:color w:val="000000" w:themeColor="text1"/>
          <w:highlight w:val="none"/>
          <w14:textFill>
            <w14:solidFill>
              <w14:schemeClr w14:val="tx1"/>
            </w14:solidFill>
          </w14:textFill>
        </w:rPr>
        <w:t xml:space="preserve"> 招标公告</w:t>
      </w:r>
      <w:bookmarkEnd w:id="2"/>
      <w:bookmarkEnd w:id="3"/>
      <w:bookmarkEnd w:id="4"/>
    </w:p>
    <w:p w14:paraId="19C1C740">
      <w:pPr>
        <w:bidi w:val="0"/>
        <w:jc w:val="center"/>
        <w:rPr>
          <w:rFonts w:hint="eastAsia"/>
          <w:color w:val="000000" w:themeColor="text1"/>
          <w:sz w:val="32"/>
          <w:szCs w:val="32"/>
          <w:highlight w:val="none"/>
          <w:lang w:eastAsia="zh-CN"/>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广西翔正项目管理有限公司</w:t>
      </w:r>
    </w:p>
    <w:p w14:paraId="3A57948F">
      <w:pPr>
        <w:bidi w:val="0"/>
        <w:jc w:val="center"/>
        <w:rPr>
          <w:rFonts w:hint="eastAsia"/>
          <w:color w:val="000000" w:themeColor="text1"/>
          <w:sz w:val="32"/>
          <w:szCs w:val="32"/>
          <w:highlight w:val="none"/>
          <w:lang w:eastAsia="zh-CN"/>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2026—2027年度厅机关应用系统维护服务项目</w:t>
      </w:r>
    </w:p>
    <w:p w14:paraId="59DB6496">
      <w:pPr>
        <w:bidi w:val="0"/>
        <w:jc w:val="center"/>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lang w:eastAsia="zh-CN"/>
          <w14:textFill>
            <w14:solidFill>
              <w14:schemeClr w14:val="tx1"/>
            </w14:solidFill>
          </w14:textFill>
        </w:rPr>
        <w:t>（</w:t>
      </w:r>
      <w:r>
        <w:rPr>
          <w:rFonts w:hint="eastAsia" w:ascii="Times New Roman" w:hAnsi="Times New Roman" w:eastAsia="宋体" w:cs="Times New Roman"/>
          <w:b w:val="0"/>
          <w:bCs w:val="0"/>
          <w:i w:val="0"/>
          <w:iCs w:val="0"/>
          <w:caps w:val="0"/>
          <w:color w:val="000000" w:themeColor="text1"/>
          <w:spacing w:val="0"/>
          <w:sz w:val="32"/>
          <w:szCs w:val="32"/>
          <w:highlight w:val="none"/>
          <w:shd w:val="clear" w:fill="auto"/>
          <w:lang w:eastAsia="zh-CN"/>
          <w14:textFill>
            <w14:solidFill>
              <w14:schemeClr w14:val="tx1"/>
            </w14:solidFill>
          </w14:textFill>
        </w:rPr>
        <w:t>项目编号</w:t>
      </w:r>
      <w:r>
        <w:rPr>
          <w:rFonts w:hint="eastAsia" w:ascii="Times New Roman" w:hAnsi="Times New Roman" w:eastAsia="宋体" w:cs="Times New Roman"/>
          <w:b w:val="0"/>
          <w:bCs w:val="0"/>
          <w:i w:val="0"/>
          <w:iCs w:val="0"/>
          <w:caps w:val="0"/>
          <w:color w:val="000000" w:themeColor="text1"/>
          <w:spacing w:val="0"/>
          <w:sz w:val="32"/>
          <w:szCs w:val="32"/>
          <w:highlight w:val="none"/>
          <w:shd w:val="clear" w:fill="auto"/>
          <w:lang w:val="en-US" w:eastAsia="zh-CN"/>
          <w14:textFill>
            <w14:solidFill>
              <w14:schemeClr w14:val="tx1"/>
            </w14:solidFill>
          </w14:textFill>
        </w:rPr>
        <w:t xml:space="preserve"> ：</w:t>
      </w:r>
      <w:r>
        <w:rPr>
          <w:rFonts w:hint="eastAsia" w:cs="Times New Roman"/>
          <w:b w:val="0"/>
          <w:bCs w:val="0"/>
          <w:i w:val="0"/>
          <w:iCs w:val="0"/>
          <w:caps w:val="0"/>
          <w:color w:val="000000" w:themeColor="text1"/>
          <w:spacing w:val="0"/>
          <w:sz w:val="32"/>
          <w:szCs w:val="32"/>
          <w:highlight w:val="none"/>
          <w:shd w:val="clear" w:fill="auto"/>
          <w:lang w:eastAsia="zh-CN"/>
          <w14:textFill>
            <w14:solidFill>
              <w14:schemeClr w14:val="tx1"/>
            </w14:solidFill>
          </w14:textFill>
        </w:rPr>
        <w:t>GXZC2025-G3-003783-GXXZ</w:t>
      </w:r>
      <w:r>
        <w:rPr>
          <w:rFonts w:hint="eastAsia"/>
          <w:color w:val="000000" w:themeColor="text1"/>
          <w:sz w:val="32"/>
          <w:szCs w:val="32"/>
          <w:highlight w:val="none"/>
          <w14:textFill>
            <w14:solidFill>
              <w14:schemeClr w14:val="tx1"/>
            </w14:solidFill>
          </w14:textFill>
        </w:rPr>
        <w:t>）</w:t>
      </w:r>
    </w:p>
    <w:p w14:paraId="7CAAA64B">
      <w:pPr>
        <w:bidi w:val="0"/>
        <w:jc w:val="center"/>
        <w:rPr>
          <w:rFonts w:hint="eastAsia"/>
          <w:color w:val="000000" w:themeColor="text1"/>
          <w:sz w:val="32"/>
          <w:szCs w:val="32"/>
          <w:highlight w:val="none"/>
          <w14:textFill>
            <w14:solidFill>
              <w14:schemeClr w14:val="tx1"/>
            </w14:solidFill>
          </w14:textFill>
        </w:rPr>
      </w:pPr>
      <w:r>
        <w:rPr>
          <w:rFonts w:hint="eastAsia"/>
          <w:color w:val="000000" w:themeColor="text1"/>
          <w:sz w:val="32"/>
          <w:szCs w:val="32"/>
          <w:highlight w:val="none"/>
          <w14:textFill>
            <w14:solidFill>
              <w14:schemeClr w14:val="tx1"/>
            </w14:solidFill>
          </w14:textFill>
        </w:rPr>
        <w:t>公开招标公告</w:t>
      </w:r>
    </w:p>
    <w:p w14:paraId="3237C86E">
      <w:pPr>
        <w:spacing w:line="360" w:lineRule="auto"/>
        <w:jc w:val="center"/>
        <w:rPr>
          <w:rFonts w:ascii="宋体" w:hAnsi="宋体"/>
          <w:color w:val="000000" w:themeColor="text1"/>
          <w:sz w:val="32"/>
          <w:szCs w:val="32"/>
          <w:highlight w:val="none"/>
          <w14:textFill>
            <w14:solidFill>
              <w14:schemeClr w14:val="tx1"/>
            </w14:solidFill>
          </w14:textFill>
        </w:rPr>
      </w:pPr>
    </w:p>
    <w:p w14:paraId="65B0139F">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项目概况</w:t>
      </w:r>
    </w:p>
    <w:p w14:paraId="647A69DA">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lang w:eastAsia="zh-CN"/>
          <w14:textFill>
            <w14:solidFill>
              <w14:schemeClr w14:val="tx1"/>
            </w14:solidFill>
          </w14:textFill>
        </w:rPr>
        <w:t>2026—2027年度厅机关应用系统维护服务项目</w:t>
      </w:r>
      <w:r>
        <w:rPr>
          <w:rFonts w:hint="eastAsia" w:ascii="宋体" w:hAnsi="宋体"/>
          <w:color w:val="000000" w:themeColor="text1"/>
          <w:szCs w:val="21"/>
          <w:highlight w:val="none"/>
          <w14:textFill>
            <w14:solidFill>
              <w14:schemeClr w14:val="tx1"/>
            </w14:solidFill>
          </w14:textFill>
        </w:rPr>
        <w:t>招标项目的潜在投标人应在</w:t>
      </w:r>
      <w:r>
        <w:rPr>
          <w:rFonts w:hint="eastAsia" w:ascii="宋体" w:hAnsi="宋体"/>
          <w:color w:val="000000" w:themeColor="text1"/>
          <w:szCs w:val="21"/>
          <w:highlight w:val="none"/>
          <w:lang w:eastAsia="zh-CN"/>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w:instrText>
      </w:r>
      <w:r>
        <w:rPr>
          <w:rFonts w:hint="eastAsia"/>
          <w:color w:val="000000" w:themeColor="text1"/>
          <w:highlight w:val="none"/>
          <w14:textFill>
            <w14:solidFill>
              <w14:schemeClr w14:val="tx1"/>
            </w14:solidFill>
          </w14:textFill>
        </w:rPr>
        <w:instrText xml:space="preserve">https://www.zcygov.cn/）获取（下载）招标文件，并于</w:instrText>
      </w:r>
      <w:r>
        <w:rPr>
          <w:color w:val="000000" w:themeColor="text1"/>
          <w:highlight w:val="none"/>
          <w14:textFill>
            <w14:solidFill>
              <w14:schemeClr w14:val="tx1"/>
            </w14:solidFill>
          </w14:textFill>
        </w:rPr>
        <w:instrText xml:space="preserve">2024</w:instrText>
      </w:r>
      <w:r>
        <w:rPr>
          <w:rFonts w:hint="eastAsia"/>
          <w:color w:val="000000" w:themeColor="text1"/>
          <w:highlight w:val="none"/>
          <w14:textFill>
            <w14:solidFill>
              <w14:schemeClr w14:val="tx1"/>
            </w14:solidFill>
          </w14:textFill>
        </w:rPr>
        <w:instrText xml:space="preserve">年</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rStyle w:val="61"/>
          <w:rFonts w:hint="eastAsia"/>
          <w:color w:val="000000" w:themeColor="text1"/>
          <w:highlight w:val="none"/>
          <w14:textFill>
            <w14:solidFill>
              <w14:schemeClr w14:val="tx1"/>
            </w14:solidFill>
          </w14:textFill>
        </w:rPr>
        <w:t>https://www.zcygov.cn/）获取（下载）招标文件，并于</w:t>
      </w:r>
      <w:r>
        <w:rPr>
          <w:rStyle w:val="61"/>
          <w:rFonts w:hint="eastAsia"/>
          <w:color w:val="000000" w:themeColor="text1"/>
          <w:highlight w:val="none"/>
          <w:lang w:val="en-US" w:eastAsia="zh-CN"/>
          <w14:textFill>
            <w14:solidFill>
              <w14:schemeClr w14:val="tx1"/>
            </w14:solidFill>
          </w14:textFill>
        </w:rPr>
        <w:t>2025</w:t>
      </w:r>
      <w:r>
        <w:rPr>
          <w:rStyle w:val="61"/>
          <w:rFonts w:hint="eastAsia"/>
          <w:color w:val="000000" w:themeColor="text1"/>
          <w:highlight w:val="none"/>
          <w14:textFill>
            <w14:solidFill>
              <w14:schemeClr w14:val="tx1"/>
            </w14:solidFill>
          </w14:textFill>
        </w:rPr>
        <w:t>年</w:t>
      </w:r>
      <w:r>
        <w:rPr>
          <w:color w:val="000000" w:themeColor="text1"/>
          <w:highlight w:val="none"/>
          <w14:textFill>
            <w14:solidFill>
              <w14:schemeClr w14:val="tx1"/>
            </w14:solidFill>
          </w14:textFill>
        </w:rPr>
        <w:fldChar w:fldCharType="end"/>
      </w:r>
      <w:r>
        <w:rPr>
          <w:rFonts w:hint="eastAsia" w:ascii="宋体" w:hAnsi="宋体"/>
          <w:color w:val="000000" w:themeColor="text1"/>
          <w:szCs w:val="21"/>
          <w:highlight w:val="none"/>
          <w:lang w:val="en-US" w:eastAsia="zh-CN"/>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lang w:val="en-US" w:eastAsia="zh-CN"/>
          <w14:textFill>
            <w14:solidFill>
              <w14:schemeClr w14:val="tx1"/>
            </w14:solidFill>
          </w14:textFill>
        </w:rPr>
        <w:t>31</w:t>
      </w:r>
      <w:r>
        <w:rPr>
          <w:rFonts w:hint="eastAsia" w:ascii="宋体" w:hAnsi="宋体"/>
          <w:color w:val="000000" w:themeColor="text1"/>
          <w:szCs w:val="21"/>
          <w:highlight w:val="none"/>
          <w14:textFill>
            <w14:solidFill>
              <w14:schemeClr w14:val="tx1"/>
            </w14:solidFill>
          </w14:textFill>
        </w:rPr>
        <w:t>日9时</w:t>
      </w: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0分（北</w:t>
      </w:r>
      <w:r>
        <w:rPr>
          <w:rFonts w:hint="eastAsia" w:ascii="宋体" w:hAnsi="宋体" w:cs="Arial"/>
          <w:bCs/>
          <w:color w:val="000000" w:themeColor="text1"/>
          <w:szCs w:val="21"/>
          <w:highlight w:val="none"/>
          <w14:textFill>
            <w14:solidFill>
              <w14:schemeClr w14:val="tx1"/>
            </w14:solidFill>
          </w14:textFill>
        </w:rPr>
        <w:t>京时间）</w:t>
      </w:r>
      <w:r>
        <w:rPr>
          <w:rFonts w:hint="eastAsia" w:ascii="宋体" w:hAnsi="宋体"/>
          <w:bCs/>
          <w:color w:val="000000" w:themeColor="text1"/>
          <w:szCs w:val="21"/>
          <w:highlight w:val="none"/>
          <w14:textFill>
            <w14:solidFill>
              <w14:schemeClr w14:val="tx1"/>
            </w14:solidFill>
          </w14:textFill>
        </w:rPr>
        <w:t>前递交投标</w:t>
      </w:r>
      <w:r>
        <w:rPr>
          <w:rFonts w:ascii="宋体" w:hAnsi="宋体"/>
          <w:bCs/>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w:t>
      </w:r>
    </w:p>
    <w:p w14:paraId="00A37876">
      <w:pPr>
        <w:spacing w:line="360" w:lineRule="auto"/>
        <w:rPr>
          <w:rFonts w:ascii="宋体" w:hAnsi="宋体"/>
          <w:color w:val="000000" w:themeColor="text1"/>
          <w:szCs w:val="21"/>
          <w:highlight w:val="none"/>
          <w14:textFill>
            <w14:solidFill>
              <w14:schemeClr w14:val="tx1"/>
            </w14:solidFill>
          </w14:textFill>
        </w:rPr>
      </w:pPr>
    </w:p>
    <w:p w14:paraId="7A28A0B7">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黑体" w:hAnsi="黑体" w:eastAsia="黑体"/>
          <w:b/>
          <w:bCs/>
          <w:color w:val="000000" w:themeColor="text1"/>
          <w:sz w:val="24"/>
          <w:highlight w:val="none"/>
          <w14:textFill>
            <w14:solidFill>
              <w14:schemeClr w14:val="tx1"/>
            </w14:solidFill>
          </w14:textFill>
        </w:rPr>
      </w:pPr>
      <w:bookmarkStart w:id="5" w:name="_Toc35393621"/>
      <w:bookmarkStart w:id="6" w:name="_Toc28359079"/>
      <w:bookmarkStart w:id="7" w:name="_Toc35393790"/>
      <w:bookmarkStart w:id="8" w:name="_Toc28899"/>
      <w:bookmarkStart w:id="9" w:name="_Toc28359002"/>
      <w:bookmarkStart w:id="10" w:name="_Hlk24379207"/>
      <w:r>
        <w:rPr>
          <w:rFonts w:hint="eastAsia" w:ascii="黑体" w:hAnsi="黑体" w:eastAsia="黑体"/>
          <w:b/>
          <w:bCs/>
          <w:color w:val="000000" w:themeColor="text1"/>
          <w:sz w:val="24"/>
          <w:highlight w:val="none"/>
          <w14:textFill>
            <w14:solidFill>
              <w14:schemeClr w14:val="tx1"/>
            </w14:solidFill>
          </w14:textFill>
        </w:rPr>
        <w:t>一、项目基本情况</w:t>
      </w:r>
      <w:bookmarkEnd w:id="5"/>
      <w:bookmarkEnd w:id="6"/>
      <w:bookmarkEnd w:id="7"/>
      <w:bookmarkEnd w:id="8"/>
      <w:bookmarkEnd w:id="9"/>
    </w:p>
    <w:p w14:paraId="44DFC21B">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Arial"/>
          <w:bCs/>
          <w:color w:val="000000" w:themeColor="text1"/>
          <w:szCs w:val="21"/>
          <w:highlight w:val="none"/>
          <w:lang w:eastAsia="zh-CN"/>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项目编号：</w:t>
      </w:r>
      <w:r>
        <w:rPr>
          <w:rFonts w:hint="eastAsia" w:ascii="宋体" w:hAnsi="宋体" w:cs="Arial"/>
          <w:b w:val="0"/>
          <w:bCs/>
          <w:i w:val="0"/>
          <w:iCs w:val="0"/>
          <w:caps w:val="0"/>
          <w:color w:val="000000" w:themeColor="text1"/>
          <w:spacing w:val="0"/>
          <w:sz w:val="21"/>
          <w:szCs w:val="21"/>
          <w:highlight w:val="none"/>
          <w:shd w:val="clear" w:fill="auto"/>
          <w:lang w:eastAsia="zh-CN"/>
          <w14:textFill>
            <w14:solidFill>
              <w14:schemeClr w14:val="tx1"/>
            </w14:solidFill>
          </w14:textFill>
        </w:rPr>
        <w:t>GXZC2025-G3-003783-GXXZ</w:t>
      </w:r>
    </w:p>
    <w:p w14:paraId="535587EB">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eastAsia="宋体" w:cs="Arial"/>
          <w:bCs/>
          <w:color w:val="000000" w:themeColor="text1"/>
          <w:szCs w:val="21"/>
          <w:highlight w:val="none"/>
          <w:lang w:eastAsia="zh-CN"/>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项目名称：</w:t>
      </w:r>
      <w:r>
        <w:rPr>
          <w:rFonts w:hint="eastAsia" w:ascii="宋体" w:hAnsi="宋体" w:cs="Arial"/>
          <w:bCs/>
          <w:color w:val="000000" w:themeColor="text1"/>
          <w:szCs w:val="21"/>
          <w:highlight w:val="none"/>
          <w:lang w:eastAsia="zh-CN"/>
          <w14:textFill>
            <w14:solidFill>
              <w14:schemeClr w14:val="tx1"/>
            </w14:solidFill>
          </w14:textFill>
        </w:rPr>
        <w:t>2026—2027年度厅机关应用系统维护服务项目</w:t>
      </w:r>
    </w:p>
    <w:bookmarkEnd w:id="10"/>
    <w:p w14:paraId="201E8976">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预算金额：</w:t>
      </w:r>
      <w:r>
        <w:rPr>
          <w:rFonts w:hint="eastAsia" w:ascii="宋体" w:hAnsi="宋体" w:cs="Arial"/>
          <w:bCs/>
          <w:color w:val="000000" w:themeColor="text1"/>
          <w:szCs w:val="21"/>
          <w:highlight w:val="none"/>
          <w:lang w:val="en-US" w:eastAsia="zh-CN"/>
          <w14:textFill>
            <w14:solidFill>
              <w14:schemeClr w14:val="tx1"/>
            </w14:solidFill>
          </w14:textFill>
        </w:rPr>
        <w:t>1950.95</w:t>
      </w:r>
      <w:r>
        <w:rPr>
          <w:rFonts w:hint="eastAsia" w:ascii="宋体" w:hAnsi="宋体" w:cs="Arial"/>
          <w:bCs/>
          <w:color w:val="000000" w:themeColor="text1"/>
          <w:szCs w:val="21"/>
          <w:highlight w:val="none"/>
          <w14:textFill>
            <w14:solidFill>
              <w14:schemeClr w14:val="tx1"/>
            </w14:solidFill>
          </w14:textFill>
        </w:rPr>
        <w:t>万元</w:t>
      </w:r>
    </w:p>
    <w:p w14:paraId="1FA07C50">
      <w:pPr>
        <w:keepNext w:val="0"/>
        <w:keepLines w:val="0"/>
        <w:pageBreakBefore w:val="0"/>
        <w:kinsoku/>
        <w:wordWrap/>
        <w:overflowPunct/>
        <w:topLinePunct w:val="0"/>
        <w:autoSpaceDE/>
        <w:autoSpaceDN/>
        <w:bidi w:val="0"/>
        <w:adjustRightInd/>
        <w:snapToGrid/>
        <w:spacing w:line="360" w:lineRule="auto"/>
        <w:ind w:firstLine="420" w:firstLineChars="200"/>
        <w:rPr>
          <w:rFonts w:hint="eastAsia" w:ascii="宋体" w:hAnsi="宋体" w:cs="Arial"/>
          <w:bCs/>
          <w:color w:val="000000" w:themeColor="text1"/>
          <w:szCs w:val="21"/>
          <w:highlight w:val="none"/>
          <w14:textFill>
            <w14:solidFill>
              <w14:schemeClr w14:val="tx1"/>
            </w14:solidFill>
          </w14:textFill>
        </w:rPr>
      </w:pPr>
      <w:r>
        <w:rPr>
          <w:rFonts w:hint="eastAsia" w:ascii="宋体" w:hAnsi="宋体" w:cs="Arial"/>
          <w:bCs/>
          <w:color w:val="000000" w:themeColor="text1"/>
          <w:szCs w:val="21"/>
          <w:highlight w:val="none"/>
          <w14:textFill>
            <w14:solidFill>
              <w14:schemeClr w14:val="tx1"/>
            </w14:solidFill>
          </w14:textFill>
        </w:rPr>
        <w:t>最高限价：</w:t>
      </w:r>
      <w:r>
        <w:rPr>
          <w:rFonts w:hint="eastAsia" w:ascii="宋体" w:hAnsi="宋体" w:cs="Arial"/>
          <w:bCs/>
          <w:color w:val="000000" w:themeColor="text1"/>
          <w:szCs w:val="21"/>
          <w:highlight w:val="none"/>
          <w:lang w:val="en-US" w:eastAsia="zh-CN"/>
          <w14:textFill>
            <w14:solidFill>
              <w14:schemeClr w14:val="tx1"/>
            </w14:solidFill>
          </w14:textFill>
        </w:rPr>
        <w:t>1950.95</w:t>
      </w:r>
      <w:r>
        <w:rPr>
          <w:rFonts w:hint="eastAsia" w:ascii="宋体" w:hAnsi="宋体" w:cs="Arial"/>
          <w:bCs/>
          <w:color w:val="000000" w:themeColor="text1"/>
          <w:szCs w:val="21"/>
          <w:highlight w:val="none"/>
          <w14:textFill>
            <w14:solidFill>
              <w14:schemeClr w14:val="tx1"/>
            </w14:solidFill>
          </w14:textFill>
        </w:rPr>
        <w:t>万元</w:t>
      </w:r>
    </w:p>
    <w:p w14:paraId="04C9987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采购需求：</w:t>
      </w:r>
    </w:p>
    <w:tbl>
      <w:tblPr>
        <w:tblStyle w:val="53"/>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5"/>
        <w:gridCol w:w="1985"/>
        <w:gridCol w:w="1134"/>
        <w:gridCol w:w="4801"/>
      </w:tblGrid>
      <w:tr w14:paraId="5729C6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0C507BB2">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项号</w:t>
            </w:r>
          </w:p>
        </w:tc>
        <w:tc>
          <w:tcPr>
            <w:tcW w:w="1985" w:type="dxa"/>
            <w:tcBorders>
              <w:top w:val="single" w:color="auto" w:sz="4" w:space="0"/>
              <w:left w:val="single" w:color="auto" w:sz="4" w:space="0"/>
              <w:bottom w:val="single" w:color="auto" w:sz="4" w:space="0"/>
              <w:right w:val="single" w:color="auto" w:sz="4" w:space="0"/>
            </w:tcBorders>
            <w:vAlign w:val="center"/>
          </w:tcPr>
          <w:p w14:paraId="55F84970">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标的的名称</w:t>
            </w:r>
          </w:p>
        </w:tc>
        <w:tc>
          <w:tcPr>
            <w:tcW w:w="1134" w:type="dxa"/>
            <w:tcBorders>
              <w:top w:val="single" w:color="auto" w:sz="4" w:space="0"/>
              <w:left w:val="single" w:color="auto" w:sz="4" w:space="0"/>
              <w:bottom w:val="single" w:color="auto" w:sz="4" w:space="0"/>
              <w:right w:val="single" w:color="auto" w:sz="4" w:space="0"/>
            </w:tcBorders>
            <w:vAlign w:val="center"/>
          </w:tcPr>
          <w:p w14:paraId="716D306E">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数量及</w:t>
            </w:r>
          </w:p>
          <w:p w14:paraId="3C622DC2">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w:t>
            </w:r>
          </w:p>
        </w:tc>
        <w:tc>
          <w:tcPr>
            <w:tcW w:w="4801" w:type="dxa"/>
            <w:tcBorders>
              <w:top w:val="single" w:color="auto" w:sz="4" w:space="0"/>
              <w:left w:val="single" w:color="auto" w:sz="4" w:space="0"/>
              <w:bottom w:val="single" w:color="auto" w:sz="4" w:space="0"/>
              <w:right w:val="single" w:color="auto" w:sz="4" w:space="0"/>
            </w:tcBorders>
            <w:vAlign w:val="center"/>
          </w:tcPr>
          <w:p w14:paraId="64BC0500">
            <w:pPr>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简要技术需求或者服务要求</w:t>
            </w:r>
          </w:p>
        </w:tc>
      </w:tr>
      <w:tr w14:paraId="1E3FE0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14:paraId="667D11F0">
            <w:pPr>
              <w:spacing w:line="360" w:lineRule="auto"/>
              <w:jc w:val="cente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985" w:type="dxa"/>
            <w:tcBorders>
              <w:top w:val="single" w:color="auto" w:sz="4" w:space="0"/>
              <w:left w:val="single" w:color="auto" w:sz="4" w:space="0"/>
              <w:bottom w:val="single" w:color="auto" w:sz="4" w:space="0"/>
              <w:right w:val="single" w:color="auto" w:sz="4" w:space="0"/>
            </w:tcBorders>
            <w:vAlign w:val="center"/>
          </w:tcPr>
          <w:p w14:paraId="5167276B">
            <w:pPr>
              <w:tabs>
                <w:tab w:val="left" w:pos="180"/>
                <w:tab w:val="left" w:pos="1620"/>
              </w:tabs>
              <w:spacing w:line="360" w:lineRule="auto"/>
              <w:jc w:val="center"/>
              <w:rPr>
                <w:rFonts w:hint="eastAsia" w:eastAsia="宋体"/>
                <w:color w:val="000000" w:themeColor="text1"/>
                <w:highlight w:val="none"/>
                <w:lang w:eastAsia="zh-CN"/>
                <w14:textFill>
                  <w14:solidFill>
                    <w14:schemeClr w14:val="tx1"/>
                  </w14:solidFill>
                </w14:textFill>
              </w:rPr>
            </w:pPr>
            <w:r>
              <w:rPr>
                <w:rFonts w:hint="eastAsia" w:ascii="宋体" w:hAnsi="宋体" w:cs="Arial"/>
                <w:bCs/>
                <w:color w:val="000000" w:themeColor="text1"/>
                <w:szCs w:val="21"/>
                <w:highlight w:val="none"/>
                <w:lang w:eastAsia="zh-CN"/>
                <w14:textFill>
                  <w14:solidFill>
                    <w14:schemeClr w14:val="tx1"/>
                  </w14:solidFill>
                </w14:textFill>
              </w:rPr>
              <w:t>2026—2027年度厅机关应用系统维护服务项目</w:t>
            </w:r>
          </w:p>
        </w:tc>
        <w:tc>
          <w:tcPr>
            <w:tcW w:w="1134" w:type="dxa"/>
            <w:tcBorders>
              <w:top w:val="single" w:color="auto" w:sz="4" w:space="0"/>
              <w:left w:val="single" w:color="auto" w:sz="4" w:space="0"/>
              <w:bottom w:val="single" w:color="auto" w:sz="4" w:space="0"/>
              <w:right w:val="single" w:color="auto" w:sz="4" w:space="0"/>
            </w:tcBorders>
            <w:vAlign w:val="center"/>
          </w:tcPr>
          <w:p w14:paraId="57874426">
            <w:pPr>
              <w:tabs>
                <w:tab w:val="left" w:pos="180"/>
                <w:tab w:val="left" w:pos="1620"/>
              </w:tabs>
              <w:spacing w:line="360" w:lineRule="auto"/>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1项</w:t>
            </w:r>
          </w:p>
        </w:tc>
        <w:tc>
          <w:tcPr>
            <w:tcW w:w="4801" w:type="dxa"/>
            <w:tcBorders>
              <w:top w:val="single" w:color="auto" w:sz="4" w:space="0"/>
              <w:left w:val="single" w:color="auto" w:sz="4" w:space="0"/>
              <w:bottom w:val="single" w:color="auto" w:sz="4" w:space="0"/>
              <w:right w:val="single" w:color="auto" w:sz="4" w:space="0"/>
            </w:tcBorders>
            <w:vAlign w:val="center"/>
          </w:tcPr>
          <w:p w14:paraId="7E0393BC">
            <w:pPr>
              <w:spacing w:line="360" w:lineRule="exact"/>
              <w:ind w:firstLine="420" w:firstLineChars="200"/>
              <w:jc w:val="left"/>
              <w:rPr>
                <w:rFonts w:hint="eastAsia"/>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为保障广西公安厅信息系统安全、稳定、高效运行，保持系统的可用性与连续性，通过集中型运维管理模式</w:t>
            </w:r>
            <w:r>
              <w:rPr>
                <w:rFonts w:hint="eastAsia" w:ascii="宋体" w:hAnsi="宋体" w:cs="宋体"/>
                <w:color w:val="000000" w:themeColor="text1"/>
                <w:kern w:val="0"/>
                <w:szCs w:val="21"/>
                <w:highlight w:val="none"/>
                <w:lang w:eastAsia="zh-CN"/>
                <w14:textFill>
                  <w14:solidFill>
                    <w14:schemeClr w14:val="tx1"/>
                  </w14:solidFill>
                </w14:textFill>
              </w:rPr>
              <w:t>开展</w:t>
            </w:r>
            <w:r>
              <w:rPr>
                <w:rFonts w:hint="eastAsia" w:ascii="宋体" w:hAnsi="宋体" w:cs="宋体"/>
                <w:color w:val="000000" w:themeColor="text1"/>
                <w:kern w:val="0"/>
                <w:szCs w:val="21"/>
                <w:highlight w:val="none"/>
                <w14:textFill>
                  <w14:solidFill>
                    <w14:schemeClr w14:val="tx1"/>
                  </w14:solidFill>
                </w14:textFill>
              </w:rPr>
              <w:t>运维</w:t>
            </w:r>
            <w:r>
              <w:rPr>
                <w:rFonts w:hint="eastAsia" w:ascii="宋体" w:hAnsi="宋体" w:cs="宋体"/>
                <w:color w:val="000000" w:themeColor="text1"/>
                <w:kern w:val="0"/>
                <w:szCs w:val="21"/>
                <w:highlight w:val="none"/>
                <w:lang w:eastAsia="zh-CN"/>
                <w14:textFill>
                  <w14:solidFill>
                    <w14:schemeClr w14:val="tx1"/>
                  </w14:solidFill>
                </w14:textFill>
              </w:rPr>
              <w:t>工作</w:t>
            </w:r>
            <w:r>
              <w:rPr>
                <w:rFonts w:hint="eastAsia" w:ascii="宋体" w:hAnsi="宋体" w:cs="宋体"/>
                <w:color w:val="000000" w:themeColor="text1"/>
                <w:kern w:val="0"/>
                <w:szCs w:val="21"/>
                <w:highlight w:val="none"/>
                <w14:textFill>
                  <w14:solidFill>
                    <w14:schemeClr w14:val="tx1"/>
                  </w14:solidFill>
                </w14:textFill>
              </w:rPr>
              <w:t>，结合公安厅运维服务管理体系，与公安厅运维部门配合</w:t>
            </w:r>
            <w:r>
              <w:rPr>
                <w:rFonts w:hint="eastAsia" w:ascii="宋体" w:hAnsi="宋体" w:cs="宋体"/>
                <w:color w:val="000000" w:themeColor="text1"/>
                <w:kern w:val="0"/>
                <w:szCs w:val="21"/>
                <w:highlight w:val="none"/>
                <w:lang w:eastAsia="zh-CN"/>
                <w14:textFill>
                  <w14:solidFill>
                    <w14:schemeClr w14:val="tx1"/>
                  </w14:solidFill>
                </w14:textFill>
              </w:rPr>
              <w:t>以</w:t>
            </w:r>
            <w:r>
              <w:rPr>
                <w:rFonts w:hint="eastAsia" w:ascii="宋体" w:hAnsi="宋体" w:cs="宋体"/>
                <w:color w:val="000000" w:themeColor="text1"/>
                <w:kern w:val="0"/>
                <w:szCs w:val="21"/>
                <w:highlight w:val="none"/>
                <w14:textFill>
                  <w14:solidFill>
                    <w14:schemeClr w14:val="tx1"/>
                  </w14:solidFill>
                </w14:textFill>
              </w:rPr>
              <w:t>实现运维服务的标准化、规范化、集中化、流程化等目标</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本项目包含</w:t>
            </w:r>
            <w:r>
              <w:rPr>
                <w:rFonts w:hint="eastAsia" w:ascii="宋体" w:hAnsi="宋体" w:cs="宋体"/>
                <w:color w:val="000000" w:themeColor="text1"/>
                <w:szCs w:val="21"/>
                <w:highlight w:val="none"/>
                <w:lang w:eastAsia="zh-CN"/>
                <w14:textFill>
                  <w14:solidFill>
                    <w14:schemeClr w14:val="tx1"/>
                  </w14:solidFill>
                </w14:textFill>
              </w:rPr>
              <w:t>广西公安厅</w:t>
            </w:r>
            <w:r>
              <w:rPr>
                <w:rFonts w:hint="eastAsia" w:ascii="宋体" w:hAnsi="宋体" w:cs="宋体"/>
                <w:color w:val="000000" w:themeColor="text1"/>
                <w:szCs w:val="21"/>
                <w:highlight w:val="none"/>
                <w:lang w:val="en-US" w:eastAsia="zh-CN"/>
                <w14:textFill>
                  <w14:solidFill>
                    <w14:schemeClr w14:val="tx1"/>
                  </w14:solidFill>
                </w14:textFill>
              </w:rPr>
              <w:t>21</w:t>
            </w:r>
            <w:r>
              <w:rPr>
                <w:rFonts w:hint="eastAsia" w:ascii="宋体" w:hAnsi="宋体" w:cs="宋体"/>
                <w:bCs/>
                <w:color w:val="000000" w:themeColor="text1"/>
                <w:szCs w:val="21"/>
                <w:highlight w:val="none"/>
                <w14:textFill>
                  <w14:solidFill>
                    <w14:schemeClr w14:val="tx1"/>
                  </w14:solidFill>
                </w14:textFill>
              </w:rPr>
              <w:t>个业务</w:t>
            </w:r>
            <w:r>
              <w:rPr>
                <w:rFonts w:hint="eastAsia" w:ascii="宋体" w:hAnsi="宋体" w:cs="宋体"/>
                <w:bCs/>
                <w:color w:val="000000" w:themeColor="text1"/>
                <w:szCs w:val="21"/>
                <w:highlight w:val="none"/>
                <w:lang w:val="en-US" w:eastAsia="zh-CN"/>
                <w14:textFill>
                  <w14:solidFill>
                    <w14:schemeClr w14:val="tx1"/>
                  </w14:solidFill>
                </w14:textFill>
              </w:rPr>
              <w:t>单位</w:t>
            </w:r>
            <w:r>
              <w:rPr>
                <w:rFonts w:hint="eastAsia" w:ascii="宋体" w:hAnsi="宋体" w:cs="宋体"/>
                <w:bCs/>
                <w:color w:val="000000" w:themeColor="text1"/>
                <w:szCs w:val="21"/>
                <w:highlight w:val="none"/>
                <w14:textFill>
                  <w14:solidFill>
                    <w14:schemeClr w14:val="tx1"/>
                  </w14:solidFill>
                </w14:textFill>
              </w:rPr>
              <w:t>的</w:t>
            </w:r>
            <w:r>
              <w:rPr>
                <w:rFonts w:hint="eastAsia" w:ascii="宋体" w:hAnsi="宋体" w:cs="宋体"/>
                <w:bCs/>
                <w:color w:val="000000" w:themeColor="text1"/>
                <w:szCs w:val="21"/>
                <w:highlight w:val="none"/>
                <w:lang w:val="en-US" w:eastAsia="zh-CN"/>
                <w14:textFill>
                  <w14:solidFill>
                    <w14:schemeClr w14:val="tx1"/>
                  </w14:solidFill>
                </w14:textFill>
              </w:rPr>
              <w:t>114项</w:t>
            </w:r>
            <w:r>
              <w:rPr>
                <w:rFonts w:hint="eastAsia" w:ascii="宋体" w:hAnsi="宋体" w:cs="宋体"/>
                <w:color w:val="000000" w:themeColor="text1"/>
                <w:szCs w:val="21"/>
                <w:highlight w:val="none"/>
                <w14:textFill>
                  <w14:solidFill>
                    <w14:schemeClr w14:val="tx1"/>
                  </w14:solidFill>
                </w14:textFill>
              </w:rPr>
              <w:t>信息系统维护服务</w:t>
            </w:r>
            <w:r>
              <w:rPr>
                <w:rFonts w:ascii="宋体" w:hAnsi="宋体" w:cs="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具体内容详见招标文件。</w:t>
            </w:r>
          </w:p>
        </w:tc>
      </w:tr>
    </w:tbl>
    <w:p w14:paraId="06C4EA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合同履行期限：</w:t>
      </w:r>
      <w:r>
        <w:rPr>
          <w:rFonts w:hint="eastAsia" w:ascii="宋体" w:hAnsi="宋体" w:cs="宋体"/>
          <w:color w:val="000000" w:themeColor="text1"/>
          <w:kern w:val="0"/>
          <w:szCs w:val="21"/>
          <w:highlight w:val="none"/>
          <w:lang w:bidi="ar"/>
          <w14:textFill>
            <w14:solidFill>
              <w14:schemeClr w14:val="tx1"/>
            </w14:solidFill>
          </w14:textFill>
        </w:rPr>
        <w:t>两年。</w:t>
      </w:r>
      <w:r>
        <w:rPr>
          <w:rFonts w:hint="eastAsia" w:ascii="宋体" w:hAnsi="宋体" w:cs="宋体"/>
          <w:color w:val="000000" w:themeColor="text1"/>
          <w:kern w:val="0"/>
          <w:szCs w:val="21"/>
          <w:highlight w:val="none"/>
          <w:lang w:eastAsia="zh-CN" w:bidi="ar"/>
          <w14:textFill>
            <w14:solidFill>
              <w14:schemeClr w14:val="tx1"/>
            </w14:solidFill>
          </w14:textFill>
        </w:rPr>
        <w:t>详见合同文本。</w:t>
      </w:r>
    </w:p>
    <w:p w14:paraId="779233BE">
      <w:pPr>
        <w:spacing w:line="360" w:lineRule="auto"/>
        <w:ind w:firstLine="422" w:firstLineChars="200"/>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本项目不接受联合体投标。</w:t>
      </w:r>
    </w:p>
    <w:p w14:paraId="17605289">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黑体" w:hAnsi="黑体" w:eastAsia="黑体"/>
          <w:b/>
          <w:bCs/>
          <w:color w:val="000000" w:themeColor="text1"/>
          <w:sz w:val="24"/>
          <w:highlight w:val="none"/>
          <w14:textFill>
            <w14:solidFill>
              <w14:schemeClr w14:val="tx1"/>
            </w14:solidFill>
          </w14:textFill>
        </w:rPr>
      </w:pPr>
      <w:bookmarkStart w:id="11" w:name="_Toc16358"/>
      <w:bookmarkStart w:id="12" w:name="_Toc35393622"/>
      <w:bookmarkStart w:id="13" w:name="_Toc28359003"/>
      <w:bookmarkStart w:id="14" w:name="_Toc28359080"/>
      <w:bookmarkStart w:id="15" w:name="_Toc35393791"/>
      <w:r>
        <w:rPr>
          <w:rFonts w:hint="eastAsia" w:ascii="黑体" w:hAnsi="黑体" w:eastAsia="黑体"/>
          <w:b/>
          <w:bCs/>
          <w:color w:val="000000" w:themeColor="text1"/>
          <w:sz w:val="24"/>
          <w:highlight w:val="none"/>
          <w14:textFill>
            <w14:solidFill>
              <w14:schemeClr w14:val="tx1"/>
            </w14:solidFill>
          </w14:textFill>
        </w:rPr>
        <w:t>二、申请人的资格要求：</w:t>
      </w:r>
      <w:bookmarkEnd w:id="11"/>
      <w:bookmarkEnd w:id="12"/>
      <w:bookmarkEnd w:id="13"/>
      <w:bookmarkEnd w:id="14"/>
      <w:bookmarkEnd w:id="15"/>
    </w:p>
    <w:p w14:paraId="10D2BB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kern w:val="0"/>
          <w:szCs w:val="21"/>
          <w:highlight w:val="none"/>
          <w14:textFill>
            <w14:solidFill>
              <w14:schemeClr w14:val="tx1"/>
            </w14:solidFill>
          </w14:textFill>
        </w:rPr>
      </w:pPr>
      <w:bookmarkStart w:id="16" w:name="_Hlk51746371"/>
      <w:r>
        <w:rPr>
          <w:rFonts w:hint="eastAsia" w:ascii="宋体" w:hAnsi="宋体" w:eastAsia="宋体" w:cs="宋体"/>
          <w:bCs/>
          <w:color w:val="000000" w:themeColor="text1"/>
          <w:kern w:val="0"/>
          <w:szCs w:val="21"/>
          <w:highlight w:val="none"/>
          <w14:textFill>
            <w14:solidFill>
              <w14:schemeClr w14:val="tx1"/>
            </w14:solidFill>
          </w14:textFill>
        </w:rPr>
        <w:t>1、满足《中华人民共和国政府采购法》第二十二条规定；</w:t>
      </w:r>
    </w:p>
    <w:p w14:paraId="61EDE1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kern w:val="0"/>
          <w:szCs w:val="21"/>
          <w:highlight w:val="none"/>
          <w14:textFill>
            <w14:solidFill>
              <w14:schemeClr w14:val="tx1"/>
            </w14:solidFill>
          </w14:textFill>
        </w:rPr>
      </w:pPr>
      <w:bookmarkStart w:id="17" w:name="_Toc28359081"/>
      <w:bookmarkStart w:id="18" w:name="_Toc28359004"/>
      <w:r>
        <w:rPr>
          <w:rFonts w:hint="eastAsia" w:ascii="宋体" w:hAnsi="宋体" w:eastAsia="宋体" w:cs="宋体"/>
          <w:bCs/>
          <w:color w:val="000000" w:themeColor="text1"/>
          <w:kern w:val="0"/>
          <w:szCs w:val="21"/>
          <w:highlight w:val="none"/>
          <w14:textFill>
            <w14:solidFill>
              <w14:schemeClr w14:val="tx1"/>
            </w14:solidFill>
          </w14:textFill>
        </w:rPr>
        <w:t>2、落实政府采购政策需满足的资格要求：</w:t>
      </w:r>
    </w:p>
    <w:p w14:paraId="5BBE7865">
      <w:pPr>
        <w:pStyle w:val="17"/>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52" w:firstLineChars="200"/>
        <w:textAlignment w:val="auto"/>
        <w:rPr>
          <w:rFonts w:hint="eastAsia" w:ascii="宋体" w:hAnsi="宋体" w:cs="宋体"/>
          <w:color w:val="000000" w:themeColor="text1"/>
          <w:spacing w:val="8"/>
          <w:szCs w:val="21"/>
          <w:highlight w:val="none"/>
          <w14:textFill>
            <w14:solidFill>
              <w14:schemeClr w14:val="tx1"/>
            </w14:solidFill>
          </w14:textFill>
        </w:rPr>
      </w:pPr>
      <w:r>
        <w:rPr>
          <w:rFonts w:hint="eastAsia" w:ascii="宋体" w:hAnsi="宋体" w:cs="宋体"/>
          <w:color w:val="000000" w:themeColor="text1"/>
          <w:spacing w:val="8"/>
          <w:szCs w:val="21"/>
          <w:highlight w:val="none"/>
          <w:lang w:val="en-US" w:eastAsia="zh-CN"/>
          <w14:textFill>
            <w14:solidFill>
              <w14:schemeClr w14:val="tx1"/>
            </w14:solidFill>
          </w14:textFill>
        </w:rPr>
        <w:t>（1）</w:t>
      </w:r>
      <w:r>
        <w:rPr>
          <w:rFonts w:hint="eastAsia" w:ascii="宋体" w:hAnsi="宋体" w:cs="宋体"/>
          <w:color w:val="000000" w:themeColor="text1"/>
          <w:spacing w:val="8"/>
          <w:szCs w:val="21"/>
          <w:highlight w:val="none"/>
          <w14:textFill>
            <w14:solidFill>
              <w14:schemeClr w14:val="tx1"/>
            </w14:solidFill>
          </w14:textFill>
        </w:rPr>
        <w:t>投标人为中型企业的，须将不低于本项目</w:t>
      </w:r>
      <w:r>
        <w:rPr>
          <w:rFonts w:hint="eastAsia" w:ascii="宋体" w:hAnsi="宋体" w:cs="宋体"/>
          <w:color w:val="000000" w:themeColor="text1"/>
          <w:spacing w:val="8"/>
          <w:szCs w:val="21"/>
          <w:highlight w:val="none"/>
          <w:lang w:eastAsia="zh-CN"/>
          <w14:textFill>
            <w14:solidFill>
              <w14:schemeClr w14:val="tx1"/>
            </w14:solidFill>
          </w14:textFill>
        </w:rPr>
        <w:t>合同</w:t>
      </w:r>
      <w:r>
        <w:rPr>
          <w:rFonts w:hint="eastAsia" w:ascii="宋体" w:hAnsi="宋体" w:cs="宋体"/>
          <w:color w:val="000000" w:themeColor="text1"/>
          <w:spacing w:val="8"/>
          <w:szCs w:val="21"/>
          <w:highlight w:val="none"/>
          <w14:textFill>
            <w14:solidFill>
              <w14:schemeClr w14:val="tx1"/>
            </w14:solidFill>
          </w14:textFill>
        </w:rPr>
        <w:t>金额的18%（即≥</w:t>
      </w:r>
      <w:r>
        <w:rPr>
          <w:rFonts w:hint="eastAsia" w:ascii="宋体" w:hAnsi="宋体" w:cs="宋体"/>
          <w:color w:val="000000" w:themeColor="text1"/>
          <w:spacing w:val="8"/>
          <w:szCs w:val="21"/>
          <w:highlight w:val="none"/>
          <w:lang w:val="en-US" w:eastAsia="zh-CN"/>
          <w14:textFill>
            <w14:solidFill>
              <w14:schemeClr w14:val="tx1"/>
            </w14:solidFill>
          </w14:textFill>
        </w:rPr>
        <w:t>351.171</w:t>
      </w:r>
      <w:r>
        <w:rPr>
          <w:rFonts w:hint="eastAsia" w:ascii="宋体" w:hAnsi="宋体" w:cs="宋体"/>
          <w:color w:val="000000" w:themeColor="text1"/>
          <w:spacing w:val="8"/>
          <w:szCs w:val="21"/>
          <w:highlight w:val="none"/>
          <w14:textFill>
            <w14:solidFill>
              <w14:schemeClr w14:val="tx1"/>
            </w14:solidFill>
          </w14:textFill>
        </w:rPr>
        <w:t>万元）分包给小微企业。</w:t>
      </w:r>
    </w:p>
    <w:p w14:paraId="1F447282">
      <w:pPr>
        <w:keepNext w:val="0"/>
        <w:keepLines w:val="0"/>
        <w:pageBreakBefore w:val="0"/>
        <w:widowControl w:val="0"/>
        <w:kinsoku/>
        <w:wordWrap/>
        <w:overflowPunct/>
        <w:topLinePunct w:val="0"/>
        <w:autoSpaceDE/>
        <w:autoSpaceDN/>
        <w:bidi w:val="0"/>
        <w:adjustRightInd/>
        <w:snapToGrid/>
        <w:spacing w:line="360" w:lineRule="auto"/>
        <w:ind w:firstLine="452" w:firstLineChars="200"/>
        <w:textAlignment w:val="auto"/>
        <w:rPr>
          <w:rFonts w:hint="eastAsia" w:ascii="宋体" w:hAnsi="宋体" w:eastAsia="宋体" w:cs="宋体"/>
          <w:color w:val="000000" w:themeColor="text1"/>
          <w:spacing w:val="8"/>
          <w:sz w:val="21"/>
          <w:szCs w:val="21"/>
          <w:highlight w:val="none"/>
          <w:u w:val="none" w:color="auto"/>
          <w:lang w:eastAsia="zh-CN"/>
          <w14:textFill>
            <w14:solidFill>
              <w14:schemeClr w14:val="tx1"/>
            </w14:solidFill>
          </w14:textFill>
        </w:rPr>
      </w:pPr>
      <w:r>
        <w:rPr>
          <w:rFonts w:hint="eastAsia" w:ascii="宋体" w:hAnsi="宋体" w:cs="宋体"/>
          <w:color w:val="000000" w:themeColor="text1"/>
          <w:spacing w:val="8"/>
          <w:szCs w:val="21"/>
          <w:highlight w:val="none"/>
          <w:lang w:val="en-US" w:eastAsia="zh-CN"/>
          <w14:textFill>
            <w14:solidFill>
              <w14:schemeClr w14:val="tx1"/>
            </w14:solidFill>
          </w14:textFill>
        </w:rPr>
        <w:t>（2）</w:t>
      </w:r>
      <w:r>
        <w:rPr>
          <w:rFonts w:hint="eastAsia" w:ascii="宋体" w:hAnsi="宋体" w:cs="宋体"/>
          <w:color w:val="000000" w:themeColor="text1"/>
          <w:spacing w:val="8"/>
          <w:szCs w:val="21"/>
          <w:highlight w:val="none"/>
          <w14:textFill>
            <w14:solidFill>
              <w14:schemeClr w14:val="tx1"/>
            </w14:solidFill>
          </w14:textFill>
        </w:rPr>
        <w:t>投标人为大型企业的，须将不低于本项目</w:t>
      </w:r>
      <w:r>
        <w:rPr>
          <w:rFonts w:hint="eastAsia" w:ascii="宋体" w:hAnsi="宋体" w:cs="宋体"/>
          <w:color w:val="000000" w:themeColor="text1"/>
          <w:spacing w:val="8"/>
          <w:szCs w:val="21"/>
          <w:highlight w:val="none"/>
          <w:lang w:eastAsia="zh-CN"/>
          <w14:textFill>
            <w14:solidFill>
              <w14:schemeClr w14:val="tx1"/>
            </w14:solidFill>
          </w14:textFill>
        </w:rPr>
        <w:t>合同</w:t>
      </w:r>
      <w:r>
        <w:rPr>
          <w:rFonts w:hint="eastAsia" w:ascii="宋体" w:hAnsi="宋体" w:cs="宋体"/>
          <w:color w:val="000000" w:themeColor="text1"/>
          <w:spacing w:val="8"/>
          <w:szCs w:val="21"/>
          <w:highlight w:val="none"/>
          <w14:textFill>
            <w14:solidFill>
              <w14:schemeClr w14:val="tx1"/>
            </w14:solidFill>
          </w14:textFill>
        </w:rPr>
        <w:t>金额的30%（即≥</w:t>
      </w:r>
      <w:r>
        <w:rPr>
          <w:rFonts w:hint="eastAsia" w:ascii="宋体" w:hAnsi="宋体" w:cs="宋体"/>
          <w:color w:val="000000" w:themeColor="text1"/>
          <w:spacing w:val="8"/>
          <w:szCs w:val="21"/>
          <w:highlight w:val="none"/>
          <w:lang w:val="en-US" w:eastAsia="zh-CN"/>
          <w14:textFill>
            <w14:solidFill>
              <w14:schemeClr w14:val="tx1"/>
            </w14:solidFill>
          </w14:textFill>
        </w:rPr>
        <w:t>585.285</w:t>
      </w:r>
      <w:r>
        <w:rPr>
          <w:rFonts w:hint="eastAsia" w:ascii="宋体" w:hAnsi="宋体" w:cs="宋体"/>
          <w:color w:val="000000" w:themeColor="text1"/>
          <w:spacing w:val="8"/>
          <w:szCs w:val="21"/>
          <w:highlight w:val="none"/>
          <w14:textFill>
            <w14:solidFill>
              <w14:schemeClr w14:val="tx1"/>
            </w14:solidFill>
          </w14:textFill>
        </w:rPr>
        <w:t>万元）分包给中小微企业</w:t>
      </w:r>
      <w:r>
        <w:rPr>
          <w:rFonts w:hint="eastAsia" w:ascii="宋体" w:hAnsi="宋体" w:cs="宋体"/>
          <w:color w:val="000000" w:themeColor="text1"/>
          <w:spacing w:val="8"/>
          <w:szCs w:val="21"/>
          <w:highlight w:val="none"/>
          <w:lang w:eastAsia="zh-CN"/>
          <w14:textFill>
            <w14:solidFill>
              <w14:schemeClr w14:val="tx1"/>
            </w14:solidFill>
          </w14:textFill>
        </w:rPr>
        <w:t>（</w:t>
      </w:r>
      <w:r>
        <w:rPr>
          <w:rFonts w:hint="eastAsia" w:ascii="宋体" w:hAnsi="宋体" w:cs="宋体"/>
          <w:color w:val="000000" w:themeColor="text1"/>
          <w:spacing w:val="8"/>
          <w:szCs w:val="21"/>
          <w:highlight w:val="none"/>
          <w14:textFill>
            <w14:solidFill>
              <w14:schemeClr w14:val="tx1"/>
            </w14:solidFill>
          </w14:textFill>
        </w:rPr>
        <w:t>其中，分包给小微企业的比例应不少于18%（即≥</w:t>
      </w:r>
      <w:r>
        <w:rPr>
          <w:rFonts w:hint="eastAsia" w:ascii="宋体" w:hAnsi="宋体" w:cs="宋体"/>
          <w:color w:val="000000" w:themeColor="text1"/>
          <w:spacing w:val="8"/>
          <w:szCs w:val="21"/>
          <w:highlight w:val="none"/>
          <w:lang w:val="en-US" w:eastAsia="zh-CN"/>
          <w14:textFill>
            <w14:solidFill>
              <w14:schemeClr w14:val="tx1"/>
            </w14:solidFill>
          </w14:textFill>
        </w:rPr>
        <w:t>351.171</w:t>
      </w:r>
      <w:r>
        <w:rPr>
          <w:rFonts w:hint="eastAsia" w:ascii="宋体" w:hAnsi="宋体" w:cs="宋体"/>
          <w:color w:val="000000" w:themeColor="text1"/>
          <w:spacing w:val="8"/>
          <w:szCs w:val="21"/>
          <w:highlight w:val="none"/>
          <w14:textFill>
            <w14:solidFill>
              <w14:schemeClr w14:val="tx1"/>
            </w14:solidFill>
          </w14:textFill>
        </w:rPr>
        <w:t>万元）</w:t>
      </w:r>
      <w:r>
        <w:rPr>
          <w:rFonts w:hint="eastAsia" w:ascii="宋体" w:hAnsi="宋体" w:cs="宋体"/>
          <w:color w:val="000000" w:themeColor="text1"/>
          <w:spacing w:val="8"/>
          <w:szCs w:val="21"/>
          <w:highlight w:val="none"/>
          <w:lang w:eastAsia="zh-CN"/>
          <w14:textFill>
            <w14:solidFill>
              <w14:schemeClr w14:val="tx1"/>
            </w14:solidFill>
          </w14:textFill>
        </w:rPr>
        <w:t>）</w:t>
      </w:r>
      <w:r>
        <w:rPr>
          <w:rFonts w:hint="eastAsia" w:ascii="宋体" w:hAnsi="宋体" w:cs="宋体"/>
          <w:color w:val="000000" w:themeColor="text1"/>
          <w:spacing w:val="8"/>
          <w:sz w:val="21"/>
          <w:szCs w:val="21"/>
          <w:highlight w:val="none"/>
          <w:u w:val="none" w:color="auto"/>
          <w:lang w:eastAsia="zh-CN"/>
          <w14:textFill>
            <w14:solidFill>
              <w14:schemeClr w14:val="tx1"/>
            </w14:solidFill>
          </w14:textFill>
        </w:rPr>
        <w:t>。</w:t>
      </w:r>
    </w:p>
    <w:p w14:paraId="7D85898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（3）投标人为小微企业的须在投标文件中提供《中小企业声明函》；投标人为非小微企业的须在投标文件中提供《中小企业声明函》及《分包意向协议》。</w:t>
      </w:r>
    </w:p>
    <w:p w14:paraId="1A97DA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监狱企业、残疾人福利单位视同小型、微型企业，中小企业须符合本项目采购标的所属行业对应的中小企业划分标准；接受分包合同中的中小微企业与分包企业之间不得存在直接控股、管理关系；接受分包的中小微企业不得再次分包 。</w:t>
      </w:r>
    </w:p>
    <w:p w14:paraId="0D1B011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kern w:val="0"/>
          <w:szCs w:val="21"/>
          <w:highlight w:val="none"/>
          <w14:textFill>
            <w14:solidFill>
              <w14:schemeClr w14:val="tx1"/>
            </w14:solidFill>
          </w14:textFill>
        </w:rPr>
        <w:t>3、本项目的特定资格要求：无。</w:t>
      </w:r>
    </w:p>
    <w:bookmarkEnd w:id="16"/>
    <w:p w14:paraId="4CB25F48">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黑体" w:hAnsi="黑体" w:eastAsia="黑体"/>
          <w:b/>
          <w:bCs/>
          <w:color w:val="000000" w:themeColor="text1"/>
          <w:sz w:val="24"/>
          <w:highlight w:val="none"/>
          <w14:textFill>
            <w14:solidFill>
              <w14:schemeClr w14:val="tx1"/>
            </w14:solidFill>
          </w14:textFill>
        </w:rPr>
      </w:pPr>
      <w:bookmarkStart w:id="19" w:name="_Toc35393623"/>
      <w:bookmarkStart w:id="20" w:name="_Toc18379"/>
      <w:bookmarkStart w:id="21" w:name="_Toc35393792"/>
      <w:r>
        <w:rPr>
          <w:rFonts w:hint="eastAsia" w:ascii="黑体" w:hAnsi="黑体" w:eastAsia="黑体"/>
          <w:b/>
          <w:bCs/>
          <w:color w:val="000000" w:themeColor="text1"/>
          <w:sz w:val="24"/>
          <w:highlight w:val="none"/>
          <w14:textFill>
            <w14:solidFill>
              <w14:schemeClr w14:val="tx1"/>
            </w14:solidFill>
          </w14:textFill>
        </w:rPr>
        <w:t>三、获取招标文件</w:t>
      </w:r>
      <w:bookmarkEnd w:id="17"/>
      <w:bookmarkEnd w:id="18"/>
      <w:bookmarkEnd w:id="19"/>
      <w:bookmarkEnd w:id="20"/>
      <w:bookmarkEnd w:id="21"/>
    </w:p>
    <w:p w14:paraId="2405B1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时间：</w:t>
      </w:r>
      <w:r>
        <w:rPr>
          <w:rFonts w:hint="eastAsia" w:ascii="宋体" w:hAnsi="宋体" w:cs="Arial"/>
          <w:color w:val="000000" w:themeColor="text1"/>
          <w:highlight w:val="none"/>
          <w14:textFill>
            <w14:solidFill>
              <w14:schemeClr w14:val="tx1"/>
            </w14:solidFill>
          </w14:textFill>
        </w:rPr>
        <w:t>202</w:t>
      </w:r>
      <w:r>
        <w:rPr>
          <w:rFonts w:hint="eastAsia" w:ascii="宋体" w:hAnsi="宋体" w:cs="Arial"/>
          <w:color w:val="000000" w:themeColor="text1"/>
          <w:highlight w:val="none"/>
          <w:lang w:val="en-US" w:eastAsia="zh-CN"/>
          <w14:textFill>
            <w14:solidFill>
              <w14:schemeClr w14:val="tx1"/>
            </w14:solidFill>
          </w14:textFill>
        </w:rPr>
        <w:t>5</w:t>
      </w:r>
      <w:r>
        <w:rPr>
          <w:rFonts w:hint="eastAsia" w:ascii="宋体" w:hAnsi="宋体" w:cs="Arial"/>
          <w:color w:val="000000" w:themeColor="text1"/>
          <w:highlight w:val="none"/>
          <w14:textFill>
            <w14:solidFill>
              <w14:schemeClr w14:val="tx1"/>
            </w14:solidFill>
          </w14:textFill>
        </w:rPr>
        <w:t>年</w:t>
      </w:r>
      <w:r>
        <w:rPr>
          <w:rFonts w:hint="eastAsia" w:ascii="宋体" w:hAnsi="宋体" w:cs="Arial"/>
          <w:color w:val="000000" w:themeColor="text1"/>
          <w:highlight w:val="none"/>
          <w:lang w:val="en-US" w:eastAsia="zh-CN"/>
          <w14:textFill>
            <w14:solidFill>
              <w14:schemeClr w14:val="tx1"/>
            </w14:solidFill>
          </w14:textFill>
        </w:rPr>
        <w:t>12</w:t>
      </w:r>
      <w:r>
        <w:rPr>
          <w:rFonts w:hint="eastAsia" w:ascii="宋体" w:hAnsi="宋体" w:cs="Arial"/>
          <w:color w:val="000000" w:themeColor="text1"/>
          <w:highlight w:val="none"/>
          <w14:textFill>
            <w14:solidFill>
              <w14:schemeClr w14:val="tx1"/>
            </w14:solidFill>
          </w14:textFill>
        </w:rPr>
        <w:t>月</w:t>
      </w:r>
      <w:r>
        <w:rPr>
          <w:rFonts w:hint="eastAsia" w:ascii="宋体" w:hAnsi="宋体" w:cs="Arial"/>
          <w:color w:val="000000" w:themeColor="text1"/>
          <w:highlight w:val="none"/>
          <w:lang w:val="en-US" w:eastAsia="zh-CN"/>
          <w14:textFill>
            <w14:solidFill>
              <w14:schemeClr w14:val="tx1"/>
            </w14:solidFill>
          </w14:textFill>
        </w:rPr>
        <w:t>9</w:t>
      </w:r>
      <w:r>
        <w:rPr>
          <w:rFonts w:hint="eastAsia" w:ascii="宋体" w:hAnsi="宋体" w:cs="Arial"/>
          <w:color w:val="000000" w:themeColor="text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至</w:t>
      </w:r>
      <w:r>
        <w:rPr>
          <w:rFonts w:hint="eastAsia" w:ascii="宋体" w:hAnsi="宋体" w:cs="Arial"/>
          <w:color w:val="000000" w:themeColor="text1"/>
          <w:highlight w:val="none"/>
          <w14:textFill>
            <w14:solidFill>
              <w14:schemeClr w14:val="tx1"/>
            </w14:solidFill>
          </w14:textFill>
        </w:rPr>
        <w:t>202</w:t>
      </w:r>
      <w:r>
        <w:rPr>
          <w:rFonts w:hint="eastAsia" w:ascii="宋体" w:hAnsi="宋体" w:cs="Arial"/>
          <w:color w:val="000000" w:themeColor="text1"/>
          <w:highlight w:val="none"/>
          <w:lang w:val="en-US" w:eastAsia="zh-CN"/>
          <w14:textFill>
            <w14:solidFill>
              <w14:schemeClr w14:val="tx1"/>
            </w14:solidFill>
          </w14:textFill>
        </w:rPr>
        <w:t>5</w:t>
      </w:r>
      <w:r>
        <w:rPr>
          <w:rFonts w:hint="eastAsia" w:ascii="宋体" w:hAnsi="宋体" w:cs="Arial"/>
          <w:color w:val="000000" w:themeColor="text1"/>
          <w:highlight w:val="none"/>
          <w14:textFill>
            <w14:solidFill>
              <w14:schemeClr w14:val="tx1"/>
            </w14:solidFill>
          </w14:textFill>
        </w:rPr>
        <w:t>年</w:t>
      </w:r>
      <w:r>
        <w:rPr>
          <w:rFonts w:hint="eastAsia" w:ascii="宋体" w:hAnsi="宋体" w:cs="Arial"/>
          <w:color w:val="000000" w:themeColor="text1"/>
          <w:highlight w:val="none"/>
          <w:lang w:val="en-US" w:eastAsia="zh-CN"/>
          <w14:textFill>
            <w14:solidFill>
              <w14:schemeClr w14:val="tx1"/>
            </w14:solidFill>
          </w14:textFill>
        </w:rPr>
        <w:t>12</w:t>
      </w:r>
      <w:r>
        <w:rPr>
          <w:rFonts w:hint="eastAsia" w:ascii="宋体" w:hAnsi="宋体" w:cs="Arial"/>
          <w:color w:val="000000" w:themeColor="text1"/>
          <w:highlight w:val="none"/>
          <w14:textFill>
            <w14:solidFill>
              <w14:schemeClr w14:val="tx1"/>
            </w14:solidFill>
          </w14:textFill>
        </w:rPr>
        <w:t>月</w:t>
      </w:r>
      <w:r>
        <w:rPr>
          <w:rFonts w:hint="eastAsia" w:ascii="宋体" w:hAnsi="宋体" w:cs="Arial"/>
          <w:color w:val="000000" w:themeColor="text1"/>
          <w:highlight w:val="none"/>
          <w:lang w:val="en-US" w:eastAsia="zh-CN"/>
          <w14:textFill>
            <w14:solidFill>
              <w14:schemeClr w14:val="tx1"/>
            </w14:solidFill>
          </w14:textFill>
        </w:rPr>
        <w:t>17</w:t>
      </w:r>
      <w:r>
        <w:rPr>
          <w:rFonts w:hint="eastAsia" w:ascii="宋体" w:hAnsi="宋体" w:cs="Arial"/>
          <w:color w:val="000000" w:themeColor="text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，每天上午00:00至1</w:t>
      </w:r>
      <w:r>
        <w:rPr>
          <w:rFonts w:ascii="宋体" w:hAnsi="宋体" w:cs="Arial"/>
          <w:color w:val="000000" w:themeColor="text1"/>
          <w:szCs w:val="21"/>
          <w:highlight w:val="none"/>
          <w14:textFill>
            <w14:solidFill>
              <w14:schemeClr w14:val="tx1"/>
            </w14:solidFill>
          </w14:textFill>
        </w:rPr>
        <w:t>2</w:t>
      </w:r>
      <w:r>
        <w:rPr>
          <w:rFonts w:hint="eastAsia" w:ascii="宋体" w:hAnsi="宋体" w:cs="Arial"/>
          <w:color w:val="000000" w:themeColor="text1"/>
          <w:szCs w:val="21"/>
          <w:highlight w:val="none"/>
          <w14:textFill>
            <w14:solidFill>
              <w14:schemeClr w14:val="tx1"/>
            </w14:solidFill>
          </w14:textFill>
        </w:rPr>
        <w:t>:</w:t>
      </w:r>
      <w:r>
        <w:rPr>
          <w:rFonts w:ascii="宋体" w:hAnsi="宋体" w:cs="Arial"/>
          <w:color w:val="000000" w:themeColor="text1"/>
          <w:szCs w:val="21"/>
          <w:highlight w:val="none"/>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；下午12:00至23:59（北京时间，</w:t>
      </w:r>
      <w:r>
        <w:rPr>
          <w:rFonts w:ascii="宋体" w:hAnsi="宋体" w:cs="Arial"/>
          <w:color w:val="000000" w:themeColor="text1"/>
          <w:szCs w:val="21"/>
          <w:highlight w:val="none"/>
          <w14:textFill>
            <w14:solidFill>
              <w14:schemeClr w14:val="tx1"/>
            </w14:solidFill>
          </w14:textFill>
        </w:rPr>
        <w:t>法定节假日</w:t>
      </w:r>
      <w:r>
        <w:rPr>
          <w:rFonts w:hint="eastAsia" w:ascii="宋体" w:hAnsi="宋体" w:cs="Arial"/>
          <w:color w:val="000000" w:themeColor="text1"/>
          <w:szCs w:val="21"/>
          <w:highlight w:val="none"/>
          <w14:textFill>
            <w14:solidFill>
              <w14:schemeClr w14:val="tx1"/>
            </w14:solidFill>
          </w14:textFill>
        </w:rPr>
        <w:t>除外）。</w:t>
      </w:r>
    </w:p>
    <w:p w14:paraId="17579B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地点：</w:t>
      </w:r>
      <w:r>
        <w:rPr>
          <w:rFonts w:hint="eastAsia" w:ascii="宋体" w:hAnsi="宋体" w:cs="宋体"/>
          <w:bCs/>
          <w:color w:val="000000" w:themeColor="text1"/>
          <w:kern w:val="0"/>
          <w:szCs w:val="21"/>
          <w:highlight w:val="none"/>
          <w:lang w:eastAsia="zh-CN"/>
          <w14:textFill>
            <w14:solidFill>
              <w14:schemeClr w14:val="tx1"/>
            </w14:solidFill>
          </w14:textFill>
        </w:rPr>
        <w:t>广西政府采购云平台（https://www.gcy.zfcg.gxzf.gov.cn/）</w:t>
      </w:r>
      <w:r>
        <w:rPr>
          <w:rFonts w:hint="eastAsia" w:ascii="宋体" w:hAnsi="宋体" w:cs="宋体"/>
          <w:bCs/>
          <w:color w:val="000000" w:themeColor="text1"/>
          <w:kern w:val="0"/>
          <w:szCs w:val="21"/>
          <w:highlight w:val="none"/>
          <w14:textFill>
            <w14:solidFill>
              <w14:schemeClr w14:val="tx1"/>
            </w14:solidFill>
          </w14:textFill>
        </w:rPr>
        <w:t>。</w:t>
      </w:r>
    </w:p>
    <w:p w14:paraId="054610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000000" w:themeColor="text1"/>
          <w:kern w:val="0"/>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方式：网上下载。本项目不发放纸质文件，供应商应自行在</w:t>
      </w:r>
      <w:r>
        <w:rPr>
          <w:rFonts w:hint="eastAsia" w:ascii="宋体" w:hAnsi="宋体" w:cs="宋体"/>
          <w:bCs/>
          <w:color w:val="000000" w:themeColor="text1"/>
          <w:kern w:val="0"/>
          <w:szCs w:val="21"/>
          <w:highlight w:val="none"/>
          <w14:textFill>
            <w14:solidFill>
              <w14:schemeClr w14:val="tx1"/>
            </w14:solidFill>
          </w14:textFill>
        </w:rPr>
        <w:fldChar w:fldCharType="begin"/>
      </w:r>
      <w:r>
        <w:rPr>
          <w:rFonts w:hint="eastAsia" w:ascii="宋体" w:hAnsi="宋体" w:cs="宋体"/>
          <w:bCs/>
          <w:color w:val="000000" w:themeColor="text1"/>
          <w:kern w:val="0"/>
          <w:szCs w:val="21"/>
          <w:highlight w:val="none"/>
          <w14:textFill>
            <w14:solidFill>
              <w14:schemeClr w14:val="tx1"/>
            </w14:solidFill>
          </w14:textFill>
        </w:rPr>
        <w:instrText xml:space="preserve"> HYPERLINK "" </w:instrText>
      </w:r>
      <w:r>
        <w:rPr>
          <w:rFonts w:hint="eastAsia" w:ascii="宋体" w:hAnsi="宋体" w:cs="宋体"/>
          <w:bCs/>
          <w:color w:val="000000" w:themeColor="text1"/>
          <w:kern w:val="0"/>
          <w:szCs w:val="21"/>
          <w:highlight w:val="none"/>
          <w14:textFill>
            <w14:solidFill>
              <w14:schemeClr w14:val="tx1"/>
            </w14:solidFill>
          </w14:textFill>
        </w:rPr>
        <w:fldChar w:fldCharType="separate"/>
      </w:r>
      <w:r>
        <w:rPr>
          <w:rFonts w:hint="eastAsia" w:ascii="宋体" w:hAnsi="宋体" w:cs="宋体"/>
          <w:bCs/>
          <w:color w:val="000000" w:themeColor="text1"/>
          <w:kern w:val="0"/>
          <w:szCs w:val="21"/>
          <w:highlight w:val="none"/>
          <w14:textFill>
            <w14:solidFill>
              <w14:schemeClr w14:val="tx1"/>
            </w14:solidFill>
          </w14:textFill>
        </w:rPr>
        <w:fldChar w:fldCharType="end"/>
      </w:r>
      <w:r>
        <w:rPr>
          <w:rFonts w:hint="eastAsia" w:ascii="宋体" w:hAnsi="宋体" w:cs="宋体"/>
          <w:bCs/>
          <w:color w:val="000000" w:themeColor="text1"/>
          <w:kern w:val="0"/>
          <w:szCs w:val="21"/>
          <w:highlight w:val="none"/>
          <w:lang w:eastAsia="zh-CN"/>
          <w14:textFill>
            <w14:solidFill>
              <w14:schemeClr w14:val="tx1"/>
            </w14:solidFill>
          </w14:textFill>
        </w:rPr>
        <w:t>广西政府采购云平台（https://www.gcy.zfcg.gxzf.gov.cn/）</w:t>
      </w:r>
      <w:r>
        <w:rPr>
          <w:rFonts w:hint="eastAsia" w:ascii="宋体" w:hAnsi="宋体" w:cs="宋体"/>
          <w:bCs/>
          <w:color w:val="000000" w:themeColor="text1"/>
          <w:kern w:val="0"/>
          <w:szCs w:val="21"/>
          <w:highlight w:val="none"/>
          <w14:textFill>
            <w14:solidFill>
              <w14:schemeClr w14:val="tx1"/>
            </w14:solidFill>
          </w14:textFill>
        </w:rPr>
        <w:t>下载招标文件（操作路径：登录广西政府采购云平台-项目采购-获取采购文件-找到本项目-点击“申请获取采购文件”），电子投标文件制作需要基于广西政府采购云平台获取的招标文件编制。</w:t>
      </w:r>
    </w:p>
    <w:p w14:paraId="5241C84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kern w:val="0"/>
          <w:szCs w:val="21"/>
          <w:highlight w:val="none"/>
          <w14:textFill>
            <w14:solidFill>
              <w14:schemeClr w14:val="tx1"/>
            </w14:solidFill>
          </w14:textFill>
        </w:rPr>
        <w:t>售价：0元。</w:t>
      </w:r>
    </w:p>
    <w:p w14:paraId="473EFB1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Times New Roman"/>
          <w:b/>
          <w:bCs/>
          <w:color w:val="000000" w:themeColor="text1"/>
          <w:sz w:val="24"/>
          <w:highlight w:val="none"/>
          <w14:textFill>
            <w14:solidFill>
              <w14:schemeClr w14:val="tx1"/>
            </w14:solidFill>
          </w14:textFill>
        </w:rPr>
      </w:pPr>
      <w:bookmarkStart w:id="22" w:name="_Toc28359082"/>
      <w:bookmarkStart w:id="23" w:name="_Toc28359005"/>
      <w:bookmarkStart w:id="24" w:name="_Toc35393624"/>
      <w:bookmarkStart w:id="25" w:name="_Toc15104"/>
      <w:bookmarkStart w:id="26" w:name="_Toc35393793"/>
      <w:r>
        <w:rPr>
          <w:rFonts w:hint="eastAsia" w:ascii="黑体" w:hAnsi="黑体" w:eastAsia="黑体" w:cs="Times New Roman"/>
          <w:b/>
          <w:bCs/>
          <w:color w:val="000000" w:themeColor="text1"/>
          <w:sz w:val="24"/>
          <w:highlight w:val="none"/>
          <w14:textFill>
            <w14:solidFill>
              <w14:schemeClr w14:val="tx1"/>
            </w14:solidFill>
          </w14:textFill>
        </w:rPr>
        <w:t>四、提交投标文件</w:t>
      </w:r>
      <w:bookmarkEnd w:id="22"/>
      <w:bookmarkEnd w:id="23"/>
      <w:r>
        <w:rPr>
          <w:rFonts w:hint="eastAsia" w:ascii="黑体" w:hAnsi="黑体" w:eastAsia="黑体" w:cs="Times New Roman"/>
          <w:b/>
          <w:bCs/>
          <w:color w:val="000000" w:themeColor="text1"/>
          <w:sz w:val="24"/>
          <w:highlight w:val="none"/>
          <w14:textFill>
            <w14:solidFill>
              <w14:schemeClr w14:val="tx1"/>
            </w14:solidFill>
          </w14:textFill>
        </w:rPr>
        <w:t>截止时间、开标时间和地点</w:t>
      </w:r>
      <w:bookmarkEnd w:id="24"/>
      <w:bookmarkEnd w:id="25"/>
      <w:bookmarkEnd w:id="26"/>
    </w:p>
    <w:p w14:paraId="06FF73BE">
      <w:pPr>
        <w:pStyle w:val="4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cs="宋体"/>
          <w:bCs/>
          <w:color w:val="000000" w:themeColor="text1"/>
          <w:sz w:val="21"/>
          <w:szCs w:val="21"/>
          <w:highlight w:val="none"/>
          <w14:textFill>
            <w14:solidFill>
              <w14:schemeClr w14:val="tx1"/>
            </w14:solidFill>
          </w14:textFill>
        </w:rPr>
      </w:pPr>
      <w:bookmarkStart w:id="27" w:name="_Toc28359084"/>
      <w:bookmarkStart w:id="28" w:name="_Toc28359007"/>
      <w:bookmarkStart w:id="29" w:name="_Toc35393625"/>
      <w:bookmarkStart w:id="30" w:name="_Toc35393794"/>
      <w:r>
        <w:rPr>
          <w:rFonts w:hint="eastAsia" w:cs="宋体"/>
          <w:bCs/>
          <w:color w:val="000000" w:themeColor="text1"/>
          <w:sz w:val="21"/>
          <w:szCs w:val="21"/>
          <w:highlight w:val="none"/>
          <w14:textFill>
            <w14:solidFill>
              <w14:schemeClr w14:val="tx1"/>
            </w14:solidFill>
          </w14:textFill>
        </w:rPr>
        <w:t>提交投标文件截止时间：202</w:t>
      </w:r>
      <w:r>
        <w:rPr>
          <w:rFonts w:hint="eastAsia" w:cs="宋体"/>
          <w:bCs/>
          <w:color w:val="000000" w:themeColor="text1"/>
          <w:sz w:val="21"/>
          <w:szCs w:val="21"/>
          <w:highlight w:val="none"/>
          <w:lang w:val="en-US" w:eastAsia="zh-CN"/>
          <w14:textFill>
            <w14:solidFill>
              <w14:schemeClr w14:val="tx1"/>
            </w14:solidFill>
          </w14:textFill>
        </w:rPr>
        <w:t>5</w:t>
      </w:r>
      <w:r>
        <w:rPr>
          <w:rFonts w:hint="eastAsia" w:cs="宋体"/>
          <w:bCs/>
          <w:color w:val="000000" w:themeColor="text1"/>
          <w:sz w:val="21"/>
          <w:szCs w:val="21"/>
          <w:highlight w:val="none"/>
          <w14:textFill>
            <w14:solidFill>
              <w14:schemeClr w14:val="tx1"/>
            </w14:solidFill>
          </w14:textFill>
        </w:rPr>
        <w:t>年</w:t>
      </w:r>
      <w:r>
        <w:rPr>
          <w:rFonts w:hint="eastAsia" w:cs="宋体"/>
          <w:bCs/>
          <w:color w:val="000000" w:themeColor="text1"/>
          <w:sz w:val="21"/>
          <w:szCs w:val="21"/>
          <w:highlight w:val="none"/>
          <w:lang w:val="en-US" w:eastAsia="zh-CN"/>
          <w14:textFill>
            <w14:solidFill>
              <w14:schemeClr w14:val="tx1"/>
            </w14:solidFill>
          </w14:textFill>
        </w:rPr>
        <w:t xml:space="preserve">12 </w:t>
      </w:r>
      <w:r>
        <w:rPr>
          <w:rFonts w:hint="eastAsia" w:cs="宋体"/>
          <w:bCs/>
          <w:color w:val="000000" w:themeColor="text1"/>
          <w:sz w:val="21"/>
          <w:szCs w:val="21"/>
          <w:highlight w:val="none"/>
          <w14:textFill>
            <w14:solidFill>
              <w14:schemeClr w14:val="tx1"/>
            </w14:solidFill>
          </w14:textFill>
        </w:rPr>
        <w:t>月</w:t>
      </w:r>
      <w:r>
        <w:rPr>
          <w:rFonts w:hint="eastAsia" w:cs="宋体"/>
          <w:bCs/>
          <w:color w:val="000000" w:themeColor="text1"/>
          <w:sz w:val="21"/>
          <w:szCs w:val="21"/>
          <w:highlight w:val="none"/>
          <w:lang w:val="en-US" w:eastAsia="zh-CN"/>
          <w14:textFill>
            <w14:solidFill>
              <w14:schemeClr w14:val="tx1"/>
            </w14:solidFill>
          </w14:textFill>
        </w:rPr>
        <w:t xml:space="preserve">31  </w:t>
      </w:r>
      <w:r>
        <w:rPr>
          <w:rFonts w:hint="eastAsia" w:cs="宋体"/>
          <w:bCs/>
          <w:color w:val="000000" w:themeColor="text1"/>
          <w:sz w:val="21"/>
          <w:szCs w:val="21"/>
          <w:highlight w:val="none"/>
          <w14:textFill>
            <w14:solidFill>
              <w14:schemeClr w14:val="tx1"/>
            </w14:solidFill>
          </w14:textFill>
        </w:rPr>
        <w:t>日 09:</w:t>
      </w:r>
      <w:r>
        <w:rPr>
          <w:rFonts w:hint="eastAsia" w:cs="宋体"/>
          <w:bCs/>
          <w:color w:val="000000" w:themeColor="text1"/>
          <w:sz w:val="21"/>
          <w:szCs w:val="21"/>
          <w:highlight w:val="none"/>
          <w:lang w:val="en-US" w:eastAsia="zh-CN"/>
          <w14:textFill>
            <w14:solidFill>
              <w14:schemeClr w14:val="tx1"/>
            </w14:solidFill>
          </w14:textFill>
        </w:rPr>
        <w:t>3</w:t>
      </w:r>
      <w:r>
        <w:rPr>
          <w:rFonts w:hint="eastAsia" w:cs="宋体"/>
          <w:bCs/>
          <w:color w:val="000000" w:themeColor="text1"/>
          <w:sz w:val="21"/>
          <w:szCs w:val="21"/>
          <w:highlight w:val="none"/>
          <w14:textFill>
            <w14:solidFill>
              <w14:schemeClr w14:val="tx1"/>
            </w14:solidFill>
          </w14:textFill>
        </w:rPr>
        <w:t>0（北京时间）</w:t>
      </w:r>
    </w:p>
    <w:p w14:paraId="1C477EC3">
      <w:pPr>
        <w:pStyle w:val="4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投标地点（网址）：</w:t>
      </w:r>
      <w:r>
        <w:rPr>
          <w:rFonts w:hint="eastAsia" w:cs="宋体"/>
          <w:bCs/>
          <w:color w:val="000000" w:themeColor="text1"/>
          <w:sz w:val="21"/>
          <w:szCs w:val="21"/>
          <w:highlight w:val="none"/>
          <w:lang w:eastAsia="zh-CN"/>
          <w14:textFill>
            <w14:solidFill>
              <w14:schemeClr w14:val="tx1"/>
            </w14:solidFill>
          </w14:textFill>
        </w:rPr>
        <w:t>广西政府采购云平台（https://www.gcy.zfcg.gxzf.gov.cn/）</w:t>
      </w:r>
      <w:r>
        <w:rPr>
          <w:rFonts w:hint="eastAsia" w:cs="宋体"/>
          <w:bCs/>
          <w:color w:val="000000" w:themeColor="text1"/>
          <w:sz w:val="21"/>
          <w:szCs w:val="21"/>
          <w:highlight w:val="none"/>
          <w14:textFill>
            <w14:solidFill>
              <w14:schemeClr w14:val="tx1"/>
            </w14:solidFill>
          </w14:textFill>
        </w:rPr>
        <w:t>。 </w:t>
      </w:r>
    </w:p>
    <w:p w14:paraId="5F9452AC">
      <w:pPr>
        <w:pStyle w:val="47"/>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cs="宋体"/>
          <w:bCs/>
          <w:color w:val="000000" w:themeColor="text1"/>
          <w:sz w:val="21"/>
          <w:szCs w:val="2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   开标时间：202</w:t>
      </w:r>
      <w:r>
        <w:rPr>
          <w:rFonts w:hint="eastAsia" w:cs="宋体"/>
          <w:bCs/>
          <w:color w:val="000000" w:themeColor="text1"/>
          <w:sz w:val="21"/>
          <w:szCs w:val="21"/>
          <w:highlight w:val="none"/>
          <w:lang w:val="en-US" w:eastAsia="zh-CN"/>
          <w14:textFill>
            <w14:solidFill>
              <w14:schemeClr w14:val="tx1"/>
            </w14:solidFill>
          </w14:textFill>
        </w:rPr>
        <w:t>5</w:t>
      </w:r>
      <w:r>
        <w:rPr>
          <w:rFonts w:hint="eastAsia" w:cs="宋体"/>
          <w:bCs/>
          <w:color w:val="000000" w:themeColor="text1"/>
          <w:sz w:val="21"/>
          <w:szCs w:val="21"/>
          <w:highlight w:val="none"/>
          <w14:textFill>
            <w14:solidFill>
              <w14:schemeClr w14:val="tx1"/>
            </w14:solidFill>
          </w14:textFill>
        </w:rPr>
        <w:t>年</w:t>
      </w:r>
      <w:r>
        <w:rPr>
          <w:rFonts w:hint="eastAsia" w:cs="宋体"/>
          <w:bCs/>
          <w:color w:val="000000" w:themeColor="text1"/>
          <w:sz w:val="21"/>
          <w:szCs w:val="21"/>
          <w:highlight w:val="none"/>
          <w:lang w:val="en-US" w:eastAsia="zh-CN"/>
          <w14:textFill>
            <w14:solidFill>
              <w14:schemeClr w14:val="tx1"/>
            </w14:solidFill>
          </w14:textFill>
        </w:rPr>
        <w:t xml:space="preserve">12 </w:t>
      </w:r>
      <w:r>
        <w:rPr>
          <w:rFonts w:hint="eastAsia" w:cs="宋体"/>
          <w:bCs/>
          <w:color w:val="000000" w:themeColor="text1"/>
          <w:sz w:val="21"/>
          <w:szCs w:val="21"/>
          <w:highlight w:val="none"/>
          <w14:textFill>
            <w14:solidFill>
              <w14:schemeClr w14:val="tx1"/>
            </w14:solidFill>
          </w14:textFill>
        </w:rPr>
        <w:t>月</w:t>
      </w:r>
      <w:r>
        <w:rPr>
          <w:rFonts w:hint="eastAsia" w:cs="宋体"/>
          <w:bCs/>
          <w:color w:val="000000" w:themeColor="text1"/>
          <w:sz w:val="21"/>
          <w:szCs w:val="21"/>
          <w:highlight w:val="none"/>
          <w:lang w:val="en-US" w:eastAsia="zh-CN"/>
          <w14:textFill>
            <w14:solidFill>
              <w14:schemeClr w14:val="tx1"/>
            </w14:solidFill>
          </w14:textFill>
        </w:rPr>
        <w:t>31</w:t>
      </w:r>
      <w:r>
        <w:rPr>
          <w:rFonts w:hint="eastAsia" w:cs="宋体"/>
          <w:bCs/>
          <w:color w:val="000000" w:themeColor="text1"/>
          <w:sz w:val="21"/>
          <w:szCs w:val="21"/>
          <w:highlight w:val="none"/>
          <w14:textFill>
            <w14:solidFill>
              <w14:schemeClr w14:val="tx1"/>
            </w14:solidFill>
          </w14:textFill>
        </w:rPr>
        <w:t>日09:</w:t>
      </w:r>
      <w:r>
        <w:rPr>
          <w:rFonts w:hint="eastAsia" w:cs="宋体"/>
          <w:bCs/>
          <w:color w:val="000000" w:themeColor="text1"/>
          <w:sz w:val="21"/>
          <w:szCs w:val="21"/>
          <w:highlight w:val="none"/>
          <w:lang w:val="en-US" w:eastAsia="zh-CN"/>
          <w14:textFill>
            <w14:solidFill>
              <w14:schemeClr w14:val="tx1"/>
            </w14:solidFill>
          </w14:textFill>
        </w:rPr>
        <w:t>3</w:t>
      </w:r>
      <w:r>
        <w:rPr>
          <w:rFonts w:hint="eastAsia" w:cs="宋体"/>
          <w:bCs/>
          <w:color w:val="000000" w:themeColor="text1"/>
          <w:sz w:val="21"/>
          <w:szCs w:val="21"/>
          <w:highlight w:val="none"/>
          <w14:textFill>
            <w14:solidFill>
              <w14:schemeClr w14:val="tx1"/>
            </w14:solidFill>
          </w14:textFill>
        </w:rPr>
        <w:t>0 </w:t>
      </w:r>
    </w:p>
    <w:p w14:paraId="774C7C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黑体" w:hAnsi="黑体" w:eastAsia="黑体"/>
          <w:b/>
          <w:bCs/>
          <w:color w:val="000000" w:themeColor="text1"/>
          <w:highlight w:val="none"/>
          <w14:textFill>
            <w14:solidFill>
              <w14:schemeClr w14:val="tx1"/>
            </w14:solidFill>
          </w14:textFill>
        </w:rPr>
      </w:pPr>
      <w:r>
        <w:rPr>
          <w:rFonts w:hint="eastAsia" w:cs="宋体"/>
          <w:bCs/>
          <w:color w:val="000000" w:themeColor="text1"/>
          <w:sz w:val="21"/>
          <w:szCs w:val="21"/>
          <w:highlight w:val="none"/>
          <w14:textFill>
            <w14:solidFill>
              <w14:schemeClr w14:val="tx1"/>
            </w14:solidFill>
          </w14:textFill>
        </w:rPr>
        <w:t>开标地点：</w:t>
      </w:r>
      <w:r>
        <w:rPr>
          <w:rFonts w:hint="eastAsia" w:ascii="宋体" w:hAnsi="宋体" w:cs="宋体"/>
          <w:color w:val="000000" w:themeColor="text1"/>
          <w:szCs w:val="21"/>
          <w:highlight w:val="none"/>
          <w:lang w:bidi="ar"/>
          <w14:textFill>
            <w14:solidFill>
              <w14:schemeClr w14:val="tx1"/>
            </w14:solidFill>
          </w14:textFill>
        </w:rPr>
        <w:t>本项目将在广西政府采购云平台电子开标大厅解密、开启。</w:t>
      </w:r>
      <w:r>
        <w:rPr>
          <w:rFonts w:hint="eastAsia" w:cs="宋体"/>
          <w:bCs/>
          <w:color w:val="000000" w:themeColor="text1"/>
          <w:sz w:val="21"/>
          <w:szCs w:val="21"/>
          <w:highlight w:val="none"/>
          <w14:textFill>
            <w14:solidFill>
              <w14:schemeClr w14:val="tx1"/>
            </w14:solidFill>
          </w14:textFill>
        </w:rPr>
        <w:t> </w:t>
      </w:r>
    </w:p>
    <w:p w14:paraId="1461C835">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Times New Roman"/>
          <w:b/>
          <w:bCs/>
          <w:color w:val="000000" w:themeColor="text1"/>
          <w:sz w:val="24"/>
          <w:highlight w:val="none"/>
          <w14:textFill>
            <w14:solidFill>
              <w14:schemeClr w14:val="tx1"/>
            </w14:solidFill>
          </w14:textFill>
        </w:rPr>
      </w:pPr>
      <w:bookmarkStart w:id="31" w:name="_Toc17317"/>
      <w:r>
        <w:rPr>
          <w:rFonts w:hint="eastAsia" w:ascii="黑体" w:hAnsi="黑体" w:eastAsia="黑体" w:cs="Times New Roman"/>
          <w:b/>
          <w:bCs/>
          <w:color w:val="000000" w:themeColor="text1"/>
          <w:sz w:val="24"/>
          <w:highlight w:val="none"/>
          <w14:textFill>
            <w14:solidFill>
              <w14:schemeClr w14:val="tx1"/>
            </w14:solidFill>
          </w14:textFill>
        </w:rPr>
        <w:t>五、公告期限</w:t>
      </w:r>
      <w:bookmarkEnd w:id="27"/>
      <w:bookmarkEnd w:id="28"/>
      <w:bookmarkEnd w:id="29"/>
      <w:bookmarkEnd w:id="30"/>
      <w:bookmarkEnd w:id="31"/>
    </w:p>
    <w:p w14:paraId="24C3711E">
      <w:pPr>
        <w:spacing w:line="360" w:lineRule="auto"/>
        <w:ind w:firstLine="420" w:firstLineChars="200"/>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自本公告发布之日起5个工作日。</w:t>
      </w:r>
    </w:p>
    <w:p w14:paraId="154B563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Times New Roman"/>
          <w:b/>
          <w:bCs/>
          <w:color w:val="000000" w:themeColor="text1"/>
          <w:sz w:val="24"/>
          <w:highlight w:val="none"/>
          <w14:textFill>
            <w14:solidFill>
              <w14:schemeClr w14:val="tx1"/>
            </w14:solidFill>
          </w14:textFill>
        </w:rPr>
      </w:pPr>
      <w:bookmarkStart w:id="32" w:name="_Toc14872"/>
      <w:bookmarkStart w:id="33" w:name="_Toc35393795"/>
      <w:bookmarkStart w:id="34" w:name="_Toc35393626"/>
      <w:r>
        <w:rPr>
          <w:rFonts w:hint="eastAsia" w:ascii="黑体" w:hAnsi="黑体" w:eastAsia="黑体" w:cs="Times New Roman"/>
          <w:b/>
          <w:bCs/>
          <w:color w:val="000000" w:themeColor="text1"/>
          <w:sz w:val="24"/>
          <w:highlight w:val="none"/>
          <w14:textFill>
            <w14:solidFill>
              <w14:schemeClr w14:val="tx1"/>
            </w14:solidFill>
          </w14:textFill>
        </w:rPr>
        <w:t>六、其他补充事宜</w:t>
      </w:r>
      <w:bookmarkEnd w:id="32"/>
      <w:bookmarkEnd w:id="33"/>
      <w:bookmarkEnd w:id="34"/>
    </w:p>
    <w:p w14:paraId="78DE3FF8">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lang w:eastAsia="zh-CN" w:bidi="ar"/>
          <w14:textFill>
            <w14:solidFill>
              <w14:schemeClr w14:val="tx1"/>
            </w14:solidFill>
          </w14:textFill>
        </w:rPr>
      </w:pPr>
      <w:bookmarkStart w:id="35" w:name="_Hlk37429674"/>
      <w:r>
        <w:rPr>
          <w:rFonts w:hint="eastAsia" w:ascii="宋体" w:hAnsi="宋体" w:cs="宋体"/>
          <w:color w:val="000000" w:themeColor="text1"/>
          <w:kern w:val="0"/>
          <w:szCs w:val="21"/>
          <w:highlight w:val="none"/>
          <w14:textFill>
            <w14:solidFill>
              <w14:schemeClr w14:val="tx1"/>
            </w14:solidFill>
          </w14:textFill>
        </w:rPr>
        <w:t>1、投标保证金（人民币）：</w:t>
      </w:r>
      <w:r>
        <w:rPr>
          <w:rFonts w:hint="eastAsia" w:ascii="宋体" w:hAnsi="宋体" w:cs="宋体"/>
          <w:color w:val="000000" w:themeColor="text1"/>
          <w:szCs w:val="21"/>
          <w:highlight w:val="none"/>
          <w:lang w:eastAsia="zh-CN" w:bidi="ar"/>
          <w14:textFill>
            <w14:solidFill>
              <w14:schemeClr w14:val="tx1"/>
            </w14:solidFill>
          </w14:textFill>
        </w:rPr>
        <w:t>无</w:t>
      </w:r>
    </w:p>
    <w:p w14:paraId="6DAEA97C">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lang w:val="en-US" w:eastAsia="zh-CN" w:bidi="ar"/>
          <w14:textFill>
            <w14:solidFill>
              <w14:schemeClr w14:val="tx1"/>
            </w14:solidFill>
          </w14:textFill>
        </w:rPr>
      </w:pPr>
      <w:r>
        <w:rPr>
          <w:rFonts w:hint="eastAsia" w:ascii="宋体" w:hAnsi="宋体" w:cs="宋体"/>
          <w:color w:val="000000" w:themeColor="text1"/>
          <w:kern w:val="0"/>
          <w:sz w:val="21"/>
          <w:szCs w:val="21"/>
          <w:highlight w:val="none"/>
          <w:lang w:val="en-US" w:eastAsia="zh-CN" w:bidi="ar"/>
          <w14:textFill>
            <w14:solidFill>
              <w14:schemeClr w14:val="tx1"/>
            </w14:solidFill>
          </w14:textFill>
        </w:rPr>
        <w:t>2、</w:t>
      </w:r>
      <w:r>
        <w:rPr>
          <w:rFonts w:hint="eastAsia" w:ascii="宋体" w:hAnsi="宋体" w:cs="宋体"/>
          <w:bCs w:val="0"/>
          <w:color w:val="000000" w:themeColor="text1"/>
          <w:kern w:val="0"/>
          <w:sz w:val="21"/>
          <w:szCs w:val="21"/>
          <w:highlight w:val="none"/>
          <w14:textFill>
            <w14:solidFill>
              <w14:schemeClr w14:val="tx1"/>
            </w14:solidFill>
          </w14:textFill>
        </w:rPr>
        <w:t>采购意向公开链接：https://zfcg.gxzf.gov.cn/site/detail?parentId=66485&amp;articleId=HoZiZOkJ9yiUoM+B03Uz2A==</w:t>
      </w:r>
    </w:p>
    <w:p w14:paraId="16B6038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1EA309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w:t>
      </w:r>
      <w:r>
        <w:rPr>
          <w:rFonts w:hint="eastAsia" w:ascii="宋体" w:hAnsi="宋体" w:eastAsia="宋体" w:cs="宋体"/>
          <w:color w:val="000000" w:themeColor="text1"/>
          <w:kern w:val="0"/>
          <w:szCs w:val="21"/>
          <w:highlight w:val="none"/>
          <w14:textFill>
            <w14:solidFill>
              <w14:schemeClr w14:val="tx1"/>
            </w14:solidFill>
          </w14:textFill>
        </w:rPr>
        <w:t>和国政府采购法》第二十二条规定条件的供应商，不得参与政府采购活动。</w:t>
      </w:r>
    </w:p>
    <w:p w14:paraId="0EFEAD5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Cs w:val="21"/>
          <w:highlight w:val="none"/>
          <w14:textFill>
            <w14:solidFill>
              <w14:schemeClr w14:val="tx1"/>
            </w14:solidFill>
          </w14:textFill>
        </w:rPr>
        <w:t>、网上查询地址：中国政府采购网（www.ccgp.gov.cn）、广西政府采购网（zfcg.gxzf.gov.cn）</w:t>
      </w:r>
      <w:r>
        <w:rPr>
          <w:rFonts w:hint="eastAsia" w:ascii="宋体" w:hAnsi="宋体" w:eastAsia="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i w:val="0"/>
          <w:iCs w:val="0"/>
          <w:caps w:val="0"/>
          <w:color w:val="auto"/>
          <w:spacing w:val="0"/>
          <w:kern w:val="0"/>
          <w:sz w:val="21"/>
          <w:szCs w:val="21"/>
          <w:highlight w:val="none"/>
          <w:shd w:val="clear" w:fill="auto"/>
        </w:rPr>
        <w:t>广西壮族自治区公共资源交易中心（</w:t>
      </w:r>
      <w:r>
        <w:rPr>
          <w:rFonts w:hint="eastAsia" w:ascii="宋体" w:hAnsi="宋体" w:eastAsia="宋体" w:cs="宋体"/>
          <w:i w:val="0"/>
          <w:iCs w:val="0"/>
          <w:caps w:val="0"/>
          <w:color w:val="auto"/>
          <w:spacing w:val="0"/>
          <w:kern w:val="0"/>
          <w:sz w:val="21"/>
          <w:szCs w:val="21"/>
          <w:highlight w:val="none"/>
          <w:u w:val="none"/>
          <w:shd w:val="clear" w:fill="auto"/>
        </w:rPr>
        <w:fldChar w:fldCharType="begin"/>
      </w:r>
      <w:r>
        <w:rPr>
          <w:rFonts w:hint="eastAsia" w:ascii="宋体" w:hAnsi="宋体" w:eastAsia="宋体" w:cs="宋体"/>
          <w:i w:val="0"/>
          <w:iCs w:val="0"/>
          <w:caps w:val="0"/>
          <w:color w:val="auto"/>
          <w:spacing w:val="0"/>
          <w:kern w:val="0"/>
          <w:sz w:val="21"/>
          <w:szCs w:val="21"/>
          <w:highlight w:val="none"/>
          <w:u w:val="none"/>
          <w:shd w:val="clear" w:fill="auto"/>
        </w:rPr>
        <w:instrText xml:space="preserve"> HYPERLINK "http://gxggzy.gxzf.gov.cn/" </w:instrText>
      </w:r>
      <w:r>
        <w:rPr>
          <w:rFonts w:hint="eastAsia" w:ascii="宋体" w:hAnsi="宋体" w:eastAsia="宋体" w:cs="宋体"/>
          <w:i w:val="0"/>
          <w:iCs w:val="0"/>
          <w:caps w:val="0"/>
          <w:color w:val="auto"/>
          <w:spacing w:val="0"/>
          <w:kern w:val="0"/>
          <w:sz w:val="21"/>
          <w:szCs w:val="21"/>
          <w:highlight w:val="none"/>
          <w:u w:val="none"/>
          <w:shd w:val="clear" w:fill="auto"/>
        </w:rPr>
        <w:fldChar w:fldCharType="separate"/>
      </w:r>
      <w:r>
        <w:rPr>
          <w:rStyle w:val="55"/>
          <w:rFonts w:hint="eastAsia" w:ascii="宋体" w:hAnsi="宋体" w:eastAsia="宋体" w:cs="宋体"/>
          <w:i w:val="0"/>
          <w:iCs w:val="0"/>
          <w:caps w:val="0"/>
          <w:color w:val="auto"/>
          <w:spacing w:val="0"/>
          <w:kern w:val="0"/>
          <w:sz w:val="21"/>
          <w:szCs w:val="21"/>
          <w:highlight w:val="none"/>
          <w:u w:val="none"/>
          <w:shd w:val="clear"/>
        </w:rPr>
        <w:t>http://gxggzy.gxzf.gov.cn/</w:t>
      </w:r>
      <w:r>
        <w:rPr>
          <w:rFonts w:hint="eastAsia" w:ascii="宋体" w:hAnsi="宋体" w:eastAsia="宋体" w:cs="宋体"/>
          <w:i w:val="0"/>
          <w:iCs w:val="0"/>
          <w:caps w:val="0"/>
          <w:color w:val="auto"/>
          <w:spacing w:val="0"/>
          <w:kern w:val="0"/>
          <w:sz w:val="21"/>
          <w:szCs w:val="21"/>
          <w:highlight w:val="none"/>
          <w:u w:val="none"/>
          <w:shd w:val="clear" w:fill="auto"/>
        </w:rPr>
        <w:fldChar w:fldCharType="end"/>
      </w:r>
      <w:r>
        <w:rPr>
          <w:rFonts w:hint="eastAsia" w:ascii="宋体" w:hAnsi="宋体" w:eastAsia="宋体" w:cs="宋体"/>
          <w:i w:val="0"/>
          <w:iCs w:val="0"/>
          <w:caps w:val="0"/>
          <w:color w:val="auto"/>
          <w:spacing w:val="0"/>
          <w:kern w:val="0"/>
          <w:sz w:val="21"/>
          <w:szCs w:val="21"/>
          <w:highlight w:val="none"/>
          <w:shd w:val="clear" w:fill="auto"/>
        </w:rPr>
        <w:t>）</w:t>
      </w:r>
      <w:r>
        <w:rPr>
          <w:rFonts w:hint="eastAsia" w:ascii="宋体" w:hAnsi="宋体" w:cs="宋体"/>
          <w:color w:val="000000" w:themeColor="text1"/>
          <w:kern w:val="0"/>
          <w:szCs w:val="21"/>
          <w:highlight w:val="none"/>
          <w14:textFill>
            <w14:solidFill>
              <w14:schemeClr w14:val="tx1"/>
            </w14:solidFill>
          </w14:textFill>
        </w:rPr>
        <w:t>。</w:t>
      </w:r>
    </w:p>
    <w:p w14:paraId="2FF4488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6</w:t>
      </w:r>
      <w:r>
        <w:rPr>
          <w:rFonts w:hint="eastAsia" w:ascii="宋体" w:hAnsi="宋体" w:cs="宋体"/>
          <w:color w:val="000000" w:themeColor="text1"/>
          <w:kern w:val="0"/>
          <w:szCs w:val="21"/>
          <w:highlight w:val="none"/>
          <w14:textFill>
            <w14:solidFill>
              <w14:schemeClr w14:val="tx1"/>
            </w14:solidFill>
          </w14:textFill>
        </w:rPr>
        <w:t>、本项目需要落实的政府采购政策：</w:t>
      </w:r>
    </w:p>
    <w:p w14:paraId="3F9D033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（1）政府采购促进中小企业发展。</w:t>
      </w:r>
    </w:p>
    <w:p w14:paraId="70CF3B8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（2）政府采购支持采用本国产品的政策。</w:t>
      </w:r>
    </w:p>
    <w:p w14:paraId="42901F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（3）强制采购节能产品；优先采购节能产品、环境标志产品。</w:t>
      </w:r>
    </w:p>
    <w:p w14:paraId="68876D2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（4）政府采购促进残疾人就业政策。</w:t>
      </w:r>
    </w:p>
    <w:p w14:paraId="7F6D26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（5）政府采购支持监狱企业发展。</w:t>
      </w:r>
    </w:p>
    <w:p w14:paraId="4B9359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（6）扶持不发达地区和少数民族地区政策。</w:t>
      </w:r>
    </w:p>
    <w:bookmarkEnd w:id="35"/>
    <w:p w14:paraId="6B6A7D99">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lang w:bidi="ar"/>
          <w14:textFill>
            <w14:solidFill>
              <w14:schemeClr w14:val="tx1"/>
            </w14:solidFill>
          </w14:textFill>
        </w:rPr>
      </w:pPr>
      <w:bookmarkStart w:id="36" w:name="_Toc28359008"/>
      <w:bookmarkStart w:id="37" w:name="_Toc35393796"/>
      <w:bookmarkStart w:id="38" w:name="_Toc28359085"/>
      <w:bookmarkStart w:id="39" w:name="_Toc35393627"/>
      <w:r>
        <w:rPr>
          <w:rFonts w:hint="eastAsia" w:ascii="宋体" w:hAnsi="宋体" w:cs="宋体"/>
          <w:color w:val="000000" w:themeColor="text1"/>
          <w:szCs w:val="21"/>
          <w:highlight w:val="none"/>
          <w:lang w:val="en-US" w:eastAsia="zh-CN" w:bidi="ar"/>
          <w14:textFill>
            <w14:solidFill>
              <w14:schemeClr w14:val="tx1"/>
            </w14:solidFill>
          </w14:textFill>
        </w:rPr>
        <w:t>7</w:t>
      </w:r>
      <w:r>
        <w:rPr>
          <w:rFonts w:hint="eastAsia" w:ascii="宋体" w:hAnsi="宋体" w:cs="宋体"/>
          <w:color w:val="000000" w:themeColor="text1"/>
          <w:szCs w:val="21"/>
          <w:highlight w:val="none"/>
          <w:lang w:bidi="ar"/>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投标人投标注意事项</w:t>
      </w:r>
      <w:r>
        <w:rPr>
          <w:rFonts w:hint="eastAsia" w:ascii="宋体" w:hAnsi="宋体" w:cs="宋体"/>
          <w:color w:val="000000" w:themeColor="text1"/>
          <w:szCs w:val="21"/>
          <w:highlight w:val="none"/>
          <w:lang w:bidi="ar"/>
          <w14:textFill>
            <w14:solidFill>
              <w14:schemeClr w14:val="tx1"/>
            </w14:solidFill>
          </w14:textFill>
        </w:rPr>
        <w:t>：</w:t>
      </w:r>
    </w:p>
    <w:p w14:paraId="751CCB2F">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（1）本项目为全流程电子化政府采购项目，通过广西政府采购云平台（https://www.gcy.zfcg.gxzf.gov.cn/）实行在线电子</w:t>
      </w:r>
      <w:r>
        <w:rPr>
          <w:rFonts w:hint="eastAsia" w:ascii="宋体" w:hAnsi="宋体" w:cs="宋体"/>
          <w:color w:val="000000" w:themeColor="text1"/>
          <w:szCs w:val="21"/>
          <w:highlight w:val="none"/>
          <w:lang w:val="en-US" w:eastAsia="zh-CN" w:bidi="ar"/>
          <w14:textFill>
            <w14:solidFill>
              <w14:schemeClr w14:val="tx1"/>
            </w14:solidFill>
          </w14:textFill>
        </w:rPr>
        <w:t>公开</w:t>
      </w:r>
      <w:r>
        <w:rPr>
          <w:rFonts w:hint="eastAsia" w:ascii="宋体" w:hAnsi="宋体" w:cs="宋体"/>
          <w:color w:val="000000" w:themeColor="text1"/>
          <w:szCs w:val="21"/>
          <w:highlight w:val="none"/>
          <w:lang w:bidi="ar"/>
          <w14:textFill>
            <w14:solidFill>
              <w14:schemeClr w14:val="tx1"/>
            </w14:solidFill>
          </w14:textFill>
        </w:rPr>
        <w:t>采购，供应商应先安装“政采云电子交易客户端”（请自行前往广西政府采购云平台进行下载），并按照本项目</w:t>
      </w:r>
      <w:r>
        <w:rPr>
          <w:rFonts w:hint="eastAsia" w:ascii="宋体" w:hAnsi="宋体" w:cs="宋体"/>
          <w:color w:val="000000" w:themeColor="text1"/>
          <w:szCs w:val="21"/>
          <w:highlight w:val="none"/>
          <w:lang w:val="en-US" w:eastAsia="zh-CN" w:bidi="ar"/>
          <w14:textFill>
            <w14:solidFill>
              <w14:schemeClr w14:val="tx1"/>
            </w14:solidFill>
          </w14:textFill>
        </w:rPr>
        <w:t>公开招标</w:t>
      </w:r>
      <w:r>
        <w:rPr>
          <w:rFonts w:hint="eastAsia" w:ascii="宋体" w:hAnsi="宋体" w:cs="宋体"/>
          <w:color w:val="000000" w:themeColor="text1"/>
          <w:szCs w:val="21"/>
          <w:highlight w:val="none"/>
          <w:lang w:bidi="ar"/>
          <w14:textFill>
            <w14:solidFill>
              <w14:schemeClr w14:val="tx1"/>
            </w14:solidFill>
          </w14:textFill>
        </w:rPr>
        <w:t>文件和广西政府采购云平台的要求编制、加密后在</w:t>
      </w:r>
      <w:r>
        <w:rPr>
          <w:rFonts w:hint="eastAsia" w:ascii="宋体" w:hAnsi="宋体" w:cs="宋体"/>
          <w:color w:val="000000" w:themeColor="text1"/>
          <w:szCs w:val="21"/>
          <w:highlight w:val="none"/>
          <w14:textFill>
            <w14:solidFill>
              <w14:schemeClr w14:val="tx1"/>
            </w14:solidFill>
          </w14:textFill>
        </w:rPr>
        <w:t>首次响应文件提交截止时间</w:t>
      </w:r>
      <w:r>
        <w:rPr>
          <w:rFonts w:hint="eastAsia" w:ascii="宋体" w:hAnsi="宋体" w:cs="宋体"/>
          <w:color w:val="000000" w:themeColor="text1"/>
          <w:szCs w:val="21"/>
          <w:highlight w:val="none"/>
          <w:lang w:bidi="ar"/>
          <w14:textFill>
            <w14:solidFill>
              <w14:schemeClr w14:val="tx1"/>
            </w14:solidFill>
          </w14:textFill>
        </w:rPr>
        <w:t>前通过网络上传至广西政府采购云平台，</w:t>
      </w:r>
      <w:r>
        <w:rPr>
          <w:rFonts w:hint="eastAsia" w:ascii="宋体" w:hAnsi="宋体" w:cs="宋体"/>
          <w:b/>
          <w:color w:val="000000" w:themeColor="text1"/>
          <w:szCs w:val="21"/>
          <w:highlight w:val="none"/>
          <w:lang w:bidi="ar"/>
          <w14:textFill>
            <w14:solidFill>
              <w14:schemeClr w14:val="tx1"/>
            </w14:solidFill>
          </w14:textFill>
        </w:rPr>
        <w:t>供应商在广西政府采购云平台提交电子版响应文件时，请填写参加远程开标活动经办人联系方式。</w:t>
      </w:r>
    </w:p>
    <w:p w14:paraId="5FA13A7B">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lang w:bidi="ar"/>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（2）</w:t>
      </w:r>
      <w:r>
        <w:rPr>
          <w:rFonts w:ascii="宋体" w:hAnsi="宋体" w:cs="宋体"/>
          <w:color w:val="000000" w:themeColor="text1"/>
          <w:szCs w:val="21"/>
          <w:highlight w:val="none"/>
          <w:lang w:bidi="ar"/>
          <w14:textFill>
            <w14:solidFill>
              <w14:schemeClr w14:val="tx1"/>
            </w14:solidFill>
          </w14:textFill>
        </w:rPr>
        <w:t>供应商应及时熟悉掌握电子</w:t>
      </w:r>
      <w:r>
        <w:rPr>
          <w:rFonts w:hint="eastAsia" w:ascii="宋体" w:hAnsi="宋体" w:cs="宋体"/>
          <w:color w:val="000000" w:themeColor="text1"/>
          <w:szCs w:val="21"/>
          <w:highlight w:val="none"/>
          <w:lang w:bidi="ar"/>
          <w14:textFill>
            <w14:solidFill>
              <w14:schemeClr w14:val="tx1"/>
            </w14:solidFill>
          </w14:textFill>
        </w:rPr>
        <w:t>竞</w:t>
      </w:r>
      <w:r>
        <w:rPr>
          <w:rFonts w:ascii="宋体" w:hAnsi="宋体" w:cs="宋体"/>
          <w:color w:val="000000" w:themeColor="text1"/>
          <w:szCs w:val="21"/>
          <w:highlight w:val="none"/>
          <w:lang w:bidi="ar"/>
          <w14:textFill>
            <w14:solidFill>
              <w14:schemeClr w14:val="tx1"/>
            </w14:solidFill>
          </w14:textFill>
        </w:rPr>
        <w:t>标系统操作指南（见政采云电子卖场首页右上角—服务中心—帮助文档—项目采购）：</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"https://service.zcygov.cn/#/knowledges/tree?tag=AG1DtGwBFdiHxlNdhY0r" </w:instrText>
      </w:r>
      <w:r>
        <w:rPr>
          <w:color w:val="000000" w:themeColor="text1"/>
          <w:highlight w:val="none"/>
          <w14:textFill>
            <w14:solidFill>
              <w14:schemeClr w14:val="tx1"/>
            </w14:solidFill>
          </w14:textFill>
        </w:rPr>
        <w:fldChar w:fldCharType="separate"/>
      </w:r>
      <w:r>
        <w:rPr>
          <w:color w:val="000000" w:themeColor="text1"/>
          <w:highlight w:val="none"/>
          <w:lang w:bidi="ar"/>
          <w14:textFill>
            <w14:solidFill>
              <w14:schemeClr w14:val="tx1"/>
            </w14:solidFill>
          </w14:textFill>
        </w:rPr>
        <w:t>https://service.zcygov.cn/#/knowledges/tree?tag=AG1DtGwBFdiHxlNdhY0r</w:t>
      </w:r>
      <w:r>
        <w:rPr>
          <w:color w:val="000000" w:themeColor="text1"/>
          <w:highlight w:val="none"/>
          <w:lang w:bidi="ar"/>
          <w14:textFill>
            <w14:solidFill>
              <w14:schemeClr w14:val="tx1"/>
            </w14:solidFill>
          </w14:textFill>
        </w:rPr>
        <w:fldChar w:fldCharType="end"/>
      </w:r>
      <w:r>
        <w:rPr>
          <w:rFonts w:hint="eastAsia" w:ascii="宋体" w:hAnsi="宋体" w:cs="宋体"/>
          <w:color w:val="000000" w:themeColor="text1"/>
          <w:szCs w:val="21"/>
          <w:highlight w:val="none"/>
          <w:lang w:bidi="ar"/>
          <w14:textFill>
            <w14:solidFill>
              <w14:schemeClr w14:val="tx1"/>
            </w14:solidFill>
          </w14:textFill>
        </w:rPr>
        <w:t>；</w:t>
      </w:r>
      <w:r>
        <w:rPr>
          <w:rFonts w:ascii="宋体" w:hAnsi="宋体" w:cs="宋体"/>
          <w:color w:val="000000" w:themeColor="text1"/>
          <w:szCs w:val="21"/>
          <w:highlight w:val="none"/>
          <w:lang w:bidi="ar"/>
          <w14:textFill>
            <w14:solidFill>
              <w14:schemeClr w14:val="tx1"/>
            </w14:solidFill>
          </w14:textFill>
        </w:rPr>
        <w:t>及时完成CA申领和绑定（见广西壮族自治区政府采购网—办事服务—下载专区-政采云CA证书办理操作指南）。</w:t>
      </w:r>
    </w:p>
    <w:p w14:paraId="26CE0D9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（3）未进行网上注册并办理数字证书（CA认证）的供应商将无法参与本项目政府采购活动，潜在供应商应当在</w:t>
      </w:r>
      <w:r>
        <w:rPr>
          <w:rFonts w:hint="eastAsia" w:ascii="宋体" w:hAnsi="宋体" w:cs="宋体"/>
          <w:color w:val="000000" w:themeColor="text1"/>
          <w:szCs w:val="21"/>
          <w:highlight w:val="none"/>
          <w14:textFill>
            <w14:solidFill>
              <w14:schemeClr w14:val="tx1"/>
            </w14:solidFill>
          </w14:textFill>
        </w:rPr>
        <w:t>首次响应文件提交截止时间</w:t>
      </w:r>
      <w:r>
        <w:rPr>
          <w:rFonts w:hint="eastAsia" w:ascii="宋体" w:hAnsi="宋体" w:cs="宋体"/>
          <w:color w:val="000000" w:themeColor="text1"/>
          <w:szCs w:val="21"/>
          <w:highlight w:val="none"/>
          <w:lang w:bidi="ar"/>
          <w14:textFill>
            <w14:solidFill>
              <w14:schemeClr w14:val="tx1"/>
            </w14:solidFill>
          </w14:textFill>
        </w:rPr>
        <w:t>前，完成电子交易平台上的CA数字证书办理及响应文件的提交。完成CA数字证书办理预计7日左右，供应商只需办理其中一家CA数字证书及签章，建议各供应商抓紧时间办理。</w:t>
      </w:r>
    </w:p>
    <w:p w14:paraId="1229148A">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bidi="ar"/>
          <w14:textFill>
            <w14:solidFill>
              <w14:schemeClr w14:val="tx1"/>
            </w14:solidFill>
          </w14:textFill>
        </w:rPr>
        <w:t>（4）为确保网上操作合法、有效和安全，请供应商确保在电子竞标过程中能够对相关数据电文进行加密和使用电子签章，妥善保管CA数字证书并使用有效的CA数字证书参与整个采购活动。</w:t>
      </w:r>
    </w:p>
    <w:p w14:paraId="0189F9C5">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bidi="ar"/>
          <w14:textFill>
            <w14:solidFill>
              <w14:schemeClr w14:val="tx1"/>
            </w14:solidFill>
          </w14:textFill>
        </w:rPr>
        <w:t>注：供应商应当在首次响应文件提交截止时间前完成电子响应文件的上传、递交，</w:t>
      </w:r>
      <w:r>
        <w:rPr>
          <w:rFonts w:hint="eastAsia" w:ascii="宋体" w:hAnsi="宋体" w:cs="宋体"/>
          <w:b/>
          <w:color w:val="000000" w:themeColor="text1"/>
          <w:szCs w:val="21"/>
          <w:highlight w:val="none"/>
          <w14:textFill>
            <w14:solidFill>
              <w14:schemeClr w14:val="tx1"/>
            </w14:solidFill>
          </w14:textFill>
        </w:rPr>
        <w:t>首次响应文件提交截止时间</w:t>
      </w:r>
      <w:r>
        <w:rPr>
          <w:rFonts w:hint="eastAsia" w:ascii="宋体" w:hAnsi="宋体" w:cs="宋体"/>
          <w:b/>
          <w:bCs/>
          <w:color w:val="000000" w:themeColor="text1"/>
          <w:szCs w:val="21"/>
          <w:highlight w:val="none"/>
          <w:lang w:bidi="ar"/>
          <w14:textFill>
            <w14:solidFill>
              <w14:schemeClr w14:val="tx1"/>
            </w14:solidFill>
          </w14:textFill>
        </w:rPr>
        <w:t>前可以补充、修改或者撤回响应文件。补充或者修改响应文件的，应当先行撤回原文件，补充、修改后重新上传、递交。</w:t>
      </w:r>
      <w:r>
        <w:rPr>
          <w:rFonts w:hint="eastAsia" w:ascii="宋体" w:hAnsi="宋体" w:cs="宋体"/>
          <w:b/>
          <w:color w:val="000000" w:themeColor="text1"/>
          <w:szCs w:val="21"/>
          <w:highlight w:val="none"/>
          <w14:textFill>
            <w14:solidFill>
              <w14:schemeClr w14:val="tx1"/>
            </w14:solidFill>
          </w14:textFill>
        </w:rPr>
        <w:t>首次响应文件提交截止时间</w:t>
      </w:r>
      <w:r>
        <w:rPr>
          <w:rFonts w:hint="eastAsia" w:ascii="宋体" w:hAnsi="宋体" w:cs="宋体"/>
          <w:b/>
          <w:bCs/>
          <w:color w:val="000000" w:themeColor="text1"/>
          <w:szCs w:val="21"/>
          <w:highlight w:val="none"/>
          <w:lang w:bidi="ar"/>
          <w14:textFill>
            <w14:solidFill>
              <w14:schemeClr w14:val="tx1"/>
            </w14:solidFill>
          </w14:textFill>
        </w:rPr>
        <w:t>前未完成上传、递交的，视为撤回响应文件。</w:t>
      </w:r>
      <w:r>
        <w:rPr>
          <w:rFonts w:hint="eastAsia" w:ascii="宋体" w:hAnsi="宋体" w:cs="宋体"/>
          <w:b/>
          <w:color w:val="000000" w:themeColor="text1"/>
          <w:szCs w:val="21"/>
          <w:highlight w:val="none"/>
          <w14:textFill>
            <w14:solidFill>
              <w14:schemeClr w14:val="tx1"/>
            </w14:solidFill>
          </w14:textFill>
        </w:rPr>
        <w:t>首次响应文件提交截止时间</w:t>
      </w:r>
      <w:r>
        <w:rPr>
          <w:rFonts w:hint="eastAsia" w:ascii="宋体" w:hAnsi="宋体" w:cs="宋体"/>
          <w:b/>
          <w:bCs/>
          <w:color w:val="000000" w:themeColor="text1"/>
          <w:szCs w:val="21"/>
          <w:highlight w:val="none"/>
          <w:lang w:bidi="ar"/>
          <w14:textFill>
            <w14:solidFill>
              <w14:schemeClr w14:val="tx1"/>
            </w14:solidFill>
          </w14:textFill>
        </w:rPr>
        <w:t>以后上传递交的响应文件，广西政府采购云平台将予以拒收。</w:t>
      </w:r>
    </w:p>
    <w:p w14:paraId="0FFE0CA6">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bidi="ar"/>
          <w14:textFill>
            <w14:solidFill>
              <w14:schemeClr w14:val="tx1"/>
            </w14:solidFill>
          </w14:textFill>
        </w:rPr>
        <w:t>8</w:t>
      </w:r>
      <w:r>
        <w:rPr>
          <w:rFonts w:hint="eastAsia" w:ascii="宋体" w:hAnsi="宋体" w:cs="宋体"/>
          <w:color w:val="000000" w:themeColor="text1"/>
          <w:kern w:val="0"/>
          <w:szCs w:val="21"/>
          <w:highlight w:val="none"/>
          <w:lang w:bidi="ar"/>
          <w14:textFill>
            <w14:solidFill>
              <w14:schemeClr w14:val="tx1"/>
            </w14:solidFill>
          </w14:textFill>
        </w:rPr>
        <w:t>、</w:t>
      </w:r>
      <w:r>
        <w:rPr>
          <w:rFonts w:hint="eastAsia" w:ascii="宋体" w:hAnsi="宋体" w:cs="宋体"/>
          <w:color w:val="000000" w:themeColor="text1"/>
          <w:szCs w:val="21"/>
          <w:highlight w:val="none"/>
          <w:lang w:bidi="ar"/>
          <w14:textFill>
            <w14:solidFill>
              <w14:schemeClr w14:val="tx1"/>
            </w14:solidFill>
          </w14:textFill>
        </w:rPr>
        <w:t>CA证书在线解密：首次响应文件开启时，须要供应商携带制作响应文件时用来加密的有效数字证书（CA认证）登录广西政府采购云平台电子开标大厅现场按规定时间对加密的响应文件进行解密，否则后果自负。</w:t>
      </w:r>
    </w:p>
    <w:p w14:paraId="60A0385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9</w:t>
      </w:r>
      <w:r>
        <w:rPr>
          <w:rFonts w:hint="eastAsia" w:ascii="宋体" w:hAnsi="宋体" w:cs="宋体"/>
          <w:color w:val="000000" w:themeColor="text1"/>
          <w:szCs w:val="21"/>
          <w:highlight w:val="none"/>
          <w:lang w:bidi="ar"/>
          <w14:textFill>
            <w14:solidFill>
              <w14:schemeClr w14:val="tx1"/>
            </w14:solidFill>
          </w14:textFill>
        </w:rPr>
        <w:t>、供应商需要在具备有摄像头及语音功能且互联网网络状况良好的电脑登录广西政府采购云平台远程开标大厅参与本次</w:t>
      </w:r>
      <w:r>
        <w:rPr>
          <w:rFonts w:hint="eastAsia" w:ascii="宋体" w:hAnsi="宋体" w:cs="宋体"/>
          <w:color w:val="000000" w:themeColor="text1"/>
          <w:szCs w:val="21"/>
          <w:highlight w:val="none"/>
          <w:lang w:eastAsia="zh-CN" w:bidi="ar"/>
          <w14:textFill>
            <w14:solidFill>
              <w14:schemeClr w14:val="tx1"/>
            </w14:solidFill>
          </w14:textFill>
        </w:rPr>
        <w:t>投标</w:t>
      </w:r>
      <w:r>
        <w:rPr>
          <w:rFonts w:hint="eastAsia" w:ascii="宋体" w:hAnsi="宋体" w:cs="宋体"/>
          <w:color w:val="000000" w:themeColor="text1"/>
          <w:szCs w:val="21"/>
          <w:highlight w:val="none"/>
          <w:lang w:bidi="ar"/>
          <w14:textFill>
            <w14:solidFill>
              <w14:schemeClr w14:val="tx1"/>
            </w14:solidFill>
          </w14:textFill>
        </w:rPr>
        <w:t>，否则后果自负。</w:t>
      </w:r>
    </w:p>
    <w:p w14:paraId="0EB29F90">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bidi="ar"/>
          <w14:textFill>
            <w14:solidFill>
              <w14:schemeClr w14:val="tx1"/>
            </w14:solidFill>
          </w14:textFill>
        </w:rPr>
        <w:t>10</w:t>
      </w:r>
      <w:r>
        <w:rPr>
          <w:rFonts w:hint="eastAsia" w:ascii="宋体" w:hAnsi="宋体" w:cs="宋体"/>
          <w:color w:val="000000" w:themeColor="text1"/>
          <w:szCs w:val="21"/>
          <w:highlight w:val="none"/>
          <w:lang w:bidi="ar"/>
          <w14:textFill>
            <w14:solidFill>
              <w14:schemeClr w14:val="tx1"/>
            </w14:solidFill>
          </w14:textFill>
        </w:rPr>
        <w:t>、若对项目采购电子交易系统操作有疑问，可登录广西政府采购云平台（https://www.gcy.zfcg.gxzf.gov.cn/），点击右侧咨询小采，获取采小蜜智能服务管家帮助，或拨打政采云服务热线95763获取热线服务帮助。</w:t>
      </w:r>
    </w:p>
    <w:p w14:paraId="69A0EC9A">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黑体" w:hAnsi="黑体" w:eastAsia="黑体" w:cs="Times New Roman"/>
          <w:b/>
          <w:bCs/>
          <w:color w:val="000000" w:themeColor="text1"/>
          <w:sz w:val="24"/>
          <w:highlight w:val="none"/>
          <w14:textFill>
            <w14:solidFill>
              <w14:schemeClr w14:val="tx1"/>
            </w14:solidFill>
          </w14:textFill>
        </w:rPr>
      </w:pPr>
      <w:bookmarkStart w:id="40" w:name="_Toc16388"/>
      <w:r>
        <w:rPr>
          <w:rFonts w:hint="eastAsia" w:ascii="黑体" w:hAnsi="黑体" w:eastAsia="黑体" w:cs="Times New Roman"/>
          <w:b/>
          <w:bCs/>
          <w:color w:val="000000" w:themeColor="text1"/>
          <w:sz w:val="24"/>
          <w:highlight w:val="none"/>
          <w14:textFill>
            <w14:solidFill>
              <w14:schemeClr w14:val="tx1"/>
            </w14:solidFill>
          </w14:textFill>
        </w:rPr>
        <w:t>七、对本次招标提出询问，请按以下方式联系。</w:t>
      </w:r>
      <w:bookmarkEnd w:id="36"/>
      <w:bookmarkEnd w:id="37"/>
      <w:bookmarkEnd w:id="38"/>
      <w:bookmarkEnd w:id="39"/>
      <w:bookmarkEnd w:id="40"/>
    </w:p>
    <w:p w14:paraId="055C3CC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1914209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名称：</w:t>
      </w:r>
      <w:r>
        <w:rPr>
          <w:rFonts w:hint="eastAsia" w:ascii="宋体" w:hAnsi="宋体"/>
          <w:color w:val="000000" w:themeColor="text1"/>
          <w:szCs w:val="21"/>
          <w:highlight w:val="none"/>
          <w:u w:val="single"/>
          <w14:textFill>
            <w14:solidFill>
              <w14:schemeClr w14:val="tx1"/>
            </w14:solidFill>
          </w14:textFill>
        </w:rPr>
        <w:t>广西公安计算机通讯技术研究所</w:t>
      </w:r>
    </w:p>
    <w:p w14:paraId="33D957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地址：</w:t>
      </w:r>
      <w:r>
        <w:rPr>
          <w:rFonts w:hint="eastAsia" w:ascii="宋体" w:hAnsi="宋体"/>
          <w:color w:val="000000" w:themeColor="text1"/>
          <w:szCs w:val="21"/>
          <w:highlight w:val="none"/>
          <w:u w:val="single"/>
          <w14:textFill>
            <w14:solidFill>
              <w14:schemeClr w14:val="tx1"/>
            </w14:solidFill>
          </w14:textFill>
        </w:rPr>
        <w:t>南宁市佛子岭路1号</w:t>
      </w:r>
    </w:p>
    <w:p w14:paraId="450CECB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olor w:val="000000" w:themeColor="text1"/>
          <w:szCs w:val="21"/>
          <w:highlight w:val="none"/>
          <w:u w:val="single"/>
          <w14:textFill>
            <w14:solidFill>
              <w14:schemeClr w14:val="tx1"/>
            </w14:solidFill>
          </w14:textFill>
        </w:rPr>
      </w:pPr>
      <w:bookmarkStart w:id="41" w:name="_Toc28359009"/>
      <w:bookmarkStart w:id="42" w:name="_Toc28359086"/>
      <w:r>
        <w:rPr>
          <w:rFonts w:hint="eastAsia" w:ascii="宋体" w:hAnsi="宋体"/>
          <w:color w:val="000000" w:themeColor="text1"/>
          <w:szCs w:val="21"/>
          <w:highlight w:val="none"/>
          <w:u w:val="none"/>
          <w14:textFill>
            <w14:solidFill>
              <w14:schemeClr w14:val="tx1"/>
            </w14:solidFill>
          </w14:textFill>
        </w:rPr>
        <w:t>联系人：</w:t>
      </w:r>
      <w:r>
        <w:rPr>
          <w:rFonts w:hint="eastAsia" w:ascii="宋体" w:hAnsi="宋体"/>
          <w:color w:val="000000" w:themeColor="text1"/>
          <w:szCs w:val="21"/>
          <w:highlight w:val="none"/>
          <w:u w:val="single"/>
          <w14:textFill>
            <w14:solidFill>
              <w14:schemeClr w14:val="tx1"/>
            </w14:solidFill>
          </w14:textFill>
        </w:rPr>
        <w:t>韦</w:t>
      </w:r>
      <w:r>
        <w:rPr>
          <w:rFonts w:hint="eastAsia" w:ascii="宋体" w:hAnsi="宋体"/>
          <w:color w:val="000000" w:themeColor="text1"/>
          <w:szCs w:val="21"/>
          <w:highlight w:val="none"/>
          <w:u w:val="single"/>
          <w:lang w:eastAsia="zh-CN"/>
          <w14:textFill>
            <w14:solidFill>
              <w14:schemeClr w14:val="tx1"/>
            </w14:solidFill>
          </w14:textFill>
        </w:rPr>
        <w:t>警官</w:t>
      </w:r>
    </w:p>
    <w:p w14:paraId="17E965E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u w:val="none"/>
          <w14:textFill>
            <w14:solidFill>
              <w14:schemeClr w14:val="tx1"/>
            </w14:solidFill>
          </w14:textFill>
        </w:rPr>
        <w:t>联系电话：</w:t>
      </w:r>
      <w:r>
        <w:rPr>
          <w:rFonts w:hint="eastAsia" w:ascii="宋体" w:hAnsi="宋体"/>
          <w:color w:val="000000" w:themeColor="text1"/>
          <w:szCs w:val="21"/>
          <w:highlight w:val="none"/>
          <w:u w:val="single"/>
          <w14:textFill>
            <w14:solidFill>
              <w14:schemeClr w14:val="tx1"/>
            </w14:solidFill>
          </w14:textFill>
        </w:rPr>
        <w:t>0771-2893182</w:t>
      </w:r>
    </w:p>
    <w:p w14:paraId="2FEE5B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2.采购代理机构信息</w:t>
      </w:r>
      <w:bookmarkEnd w:id="41"/>
      <w:bookmarkEnd w:id="42"/>
    </w:p>
    <w:p w14:paraId="63EFDF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s="Arial"/>
          <w:color w:val="000000" w:themeColor="text1"/>
          <w:szCs w:val="21"/>
          <w:highlight w:val="none"/>
          <w:u w:val="single"/>
          <w:lang w:eastAsia="zh-CN"/>
          <w14:textFill>
            <w14:solidFill>
              <w14:schemeClr w14:val="tx1"/>
            </w14:solidFill>
          </w14:textFill>
        </w:rPr>
        <w:t>广西翔正项目管理有限公司</w:t>
      </w:r>
    </w:p>
    <w:p w14:paraId="304422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地　址：</w:t>
      </w:r>
      <w:r>
        <w:rPr>
          <w:rFonts w:hint="eastAsia" w:ascii="宋体" w:hAnsi="宋体" w:cs="Arial"/>
          <w:color w:val="000000" w:themeColor="text1"/>
          <w:szCs w:val="21"/>
          <w:highlight w:val="none"/>
          <w:u w:val="single"/>
          <w:lang w:eastAsia="zh-CN"/>
          <w14:textFill>
            <w14:solidFill>
              <w14:schemeClr w14:val="tx1"/>
            </w14:solidFill>
          </w14:textFill>
        </w:rPr>
        <w:t>南宁市秀厢大道199号金源城（建兴路）金源CBD东城25楼　</w:t>
      </w:r>
    </w:p>
    <w:p w14:paraId="14428C0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olor w:val="000000" w:themeColor="text1"/>
          <w:szCs w:val="21"/>
          <w:highlight w:val="none"/>
          <w:lang w:eastAsia="zh-CN"/>
          <w14:textFill>
            <w14:solidFill>
              <w14:schemeClr w14:val="tx1"/>
            </w14:solidFill>
          </w14:textFill>
        </w:rPr>
      </w:pPr>
      <w:bookmarkStart w:id="43" w:name="_Toc28359087"/>
      <w:bookmarkStart w:id="44" w:name="_Toc28359010"/>
      <w:r>
        <w:rPr>
          <w:rFonts w:hint="eastAsia" w:ascii="宋体" w:hAnsi="宋体"/>
          <w:color w:val="000000" w:themeColor="text1"/>
          <w:szCs w:val="21"/>
          <w:highlight w:val="none"/>
          <w:u w:val="none"/>
          <w14:textFill>
            <w14:solidFill>
              <w14:schemeClr w14:val="tx1"/>
            </w14:solidFill>
          </w14:textFill>
        </w:rPr>
        <w:t>联系电话：</w:t>
      </w:r>
      <w:r>
        <w:rPr>
          <w:rFonts w:hint="eastAsia" w:ascii="宋体" w:hAnsi="宋体"/>
          <w:color w:val="000000" w:themeColor="text1"/>
          <w:szCs w:val="21"/>
          <w:highlight w:val="none"/>
          <w:u w:val="single"/>
          <w:lang w:eastAsia="zh-CN"/>
          <w14:textFill>
            <w14:solidFill>
              <w14:schemeClr w14:val="tx1"/>
            </w14:solidFill>
          </w14:textFill>
        </w:rPr>
        <w:t>0771-3925351、5660405</w:t>
      </w:r>
    </w:p>
    <w:p w14:paraId="0AE437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3.项目联系方式</w:t>
      </w:r>
      <w:bookmarkEnd w:id="43"/>
      <w:bookmarkEnd w:id="44"/>
    </w:p>
    <w:p w14:paraId="16D46FB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eastAsia="宋体"/>
          <w:color w:val="000000" w:themeColor="text1"/>
          <w:sz w:val="21"/>
          <w:highlight w:val="none"/>
          <w:lang w:eastAsia="zh-CN"/>
          <w14:textFill>
            <w14:solidFill>
              <w14:schemeClr w14:val="tx1"/>
            </w14:solidFill>
          </w14:textFill>
        </w:rPr>
      </w:pPr>
      <w:r>
        <w:rPr>
          <w:rFonts w:hint="eastAsia" w:hAnsi="宋体"/>
          <w:color w:val="000000" w:themeColor="text1"/>
          <w:sz w:val="21"/>
          <w:highlight w:val="none"/>
          <w14:textFill>
            <w14:solidFill>
              <w14:schemeClr w14:val="tx1"/>
            </w14:solidFill>
          </w14:textFill>
        </w:rPr>
        <w:t>项目联系人：</w:t>
      </w:r>
      <w:r>
        <w:rPr>
          <w:rFonts w:hint="eastAsia" w:hAnsi="宋体"/>
          <w:color w:val="000000" w:themeColor="text1"/>
          <w:sz w:val="21"/>
          <w:highlight w:val="none"/>
          <w:u w:val="single"/>
          <w:lang w:eastAsia="zh-CN"/>
          <w14:textFill>
            <w14:solidFill>
              <w14:schemeClr w14:val="tx1"/>
            </w14:solidFill>
          </w14:textFill>
        </w:rPr>
        <w:t>蒋萍萍、黄翠丽</w:t>
      </w:r>
    </w:p>
    <w:p w14:paraId="3DE5797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Arial"/>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w:t>
      </w:r>
      <w:r>
        <w:rPr>
          <w:rFonts w:hint="eastAsia" w:ascii="宋体" w:hAnsi="宋体"/>
          <w:color w:val="000000" w:themeColor="text1"/>
          <w:szCs w:val="21"/>
          <w:highlight w:val="none"/>
          <w:u w:val="single"/>
          <w:lang w:eastAsia="zh-CN"/>
          <w14:textFill>
            <w14:solidFill>
              <w14:schemeClr w14:val="tx1"/>
            </w14:solidFill>
          </w14:textFill>
        </w:rPr>
        <w:t>0771-3925351、5660405</w:t>
      </w:r>
    </w:p>
    <w:p w14:paraId="7D7A9B0E">
      <w:pPr>
        <w:spacing w:line="380" w:lineRule="exact"/>
        <w:ind w:firstLine="6405" w:firstLineChars="30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s="Arial"/>
          <w:color w:val="000000" w:themeColor="text1"/>
          <w:szCs w:val="21"/>
          <w:highlight w:val="none"/>
          <w:lang w:eastAsia="zh-CN"/>
          <w14:textFill>
            <w14:solidFill>
              <w14:schemeClr w14:val="tx1"/>
            </w14:solidFill>
          </w14:textFill>
        </w:rPr>
        <w:t>广西翔正项目管理有限公司</w:t>
      </w:r>
    </w:p>
    <w:p w14:paraId="787FA9AD">
      <w:pPr>
        <w:snapToGrid w:val="0"/>
        <w:spacing w:line="380" w:lineRule="exact"/>
        <w:ind w:left="238"/>
        <w:rPr>
          <w:rFonts w:ascii="宋体" w:hAnsi="宋体" w:cs="Arial"/>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lang w:val="en-US" w:eastAsia="zh-CN"/>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lang w:val="en-US" w:eastAsia="zh-CN"/>
          <w14:textFill>
            <w14:solidFill>
              <w14:schemeClr w14:val="tx1"/>
            </w14:solidFill>
          </w14:textFill>
        </w:rPr>
        <w:t xml:space="preserve">9 </w:t>
      </w:r>
      <w:r>
        <w:rPr>
          <w:rFonts w:hint="eastAsia" w:ascii="宋体" w:hAnsi="宋体"/>
          <w:color w:val="000000" w:themeColor="text1"/>
          <w:highlight w:val="none"/>
          <w14:textFill>
            <w14:solidFill>
              <w14:schemeClr w14:val="tx1"/>
            </w14:solidFill>
          </w14:textFill>
        </w:rPr>
        <w:t>日</w:t>
      </w:r>
    </w:p>
    <w:p w14:paraId="45D8F986">
      <w:pPr>
        <w:snapToGrid w:val="0"/>
        <w:spacing w:line="400" w:lineRule="exact"/>
        <w:ind w:left="238"/>
        <w:rPr>
          <w:rFonts w:ascii="宋体" w:hAnsi="宋体"/>
          <w:color w:val="000000" w:themeColor="text1"/>
          <w:szCs w:val="21"/>
          <w:highlight w:val="none"/>
          <w14:textFill>
            <w14:solidFill>
              <w14:schemeClr w14:val="tx1"/>
            </w14:solidFill>
          </w14:textFill>
        </w:rPr>
      </w:pPr>
    </w:p>
    <w:p w14:paraId="092E28A9">
      <w:pPr>
        <w:pStyle w:val="2"/>
        <w:spacing w:line="240" w:lineRule="auto"/>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45" w:name="_Toc12476"/>
      <w:r>
        <w:rPr>
          <w:rFonts w:hint="eastAsia"/>
          <w:color w:val="000000" w:themeColor="text1"/>
          <w:highlight w:val="none"/>
          <w14:textFill>
            <w14:solidFill>
              <w14:schemeClr w14:val="tx1"/>
            </w14:solidFill>
          </w14:textFill>
        </w:rPr>
        <w:t>第二章  采购需求</w:t>
      </w:r>
      <w:bookmarkEnd w:id="45"/>
    </w:p>
    <w:p w14:paraId="7CF285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rPr>
          <w:rFonts w:ascii="宋体" w:hAnsi="宋体" w:cs="宋体"/>
          <w:b/>
          <w:color w:val="000000" w:themeColor="text1"/>
          <w:szCs w:val="21"/>
          <w:highlight w:val="none"/>
          <w14:textFill>
            <w14:solidFill>
              <w14:schemeClr w14:val="tx1"/>
            </w14:solidFill>
          </w14:textFill>
        </w:rPr>
      </w:pPr>
      <w:bookmarkStart w:id="46" w:name="_Toc254970631"/>
      <w:bookmarkStart w:id="47" w:name="_Toc254970490"/>
      <w:r>
        <w:rPr>
          <w:rFonts w:hint="eastAsia" w:ascii="宋体" w:hAnsi="宋体" w:cs="宋体"/>
          <w:b/>
          <w:color w:val="000000" w:themeColor="text1"/>
          <w:szCs w:val="21"/>
          <w:highlight w:val="none"/>
          <w14:textFill>
            <w14:solidFill>
              <w14:schemeClr w14:val="tx1"/>
            </w14:solidFill>
          </w14:textFill>
        </w:rPr>
        <w:t>说明：</w:t>
      </w:r>
    </w:p>
    <w:p w14:paraId="4301AA5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1、采购需求中如出现品牌、型号或者生产厂家等均仅起参考作用，不属于指定品牌、型号或者生产厂家的情形，投标人可参照或者选用其他相当的品牌、型号或者生产供应商替代。但投标人的产品实质上应相当于或优于本需求</w:t>
      </w:r>
      <w:r>
        <w:rPr>
          <w:rFonts w:hAnsi="宋体"/>
          <w:b/>
          <w:bCs/>
          <w:color w:val="000000" w:themeColor="text1"/>
          <w:highlight w:val="none"/>
          <w14:textFill>
            <w14:solidFill>
              <w14:schemeClr w14:val="tx1"/>
            </w14:solidFill>
          </w14:textFill>
        </w:rPr>
        <w:t>中</w:t>
      </w:r>
      <w:r>
        <w:rPr>
          <w:rFonts w:hint="eastAsia" w:hAnsi="宋体"/>
          <w:b/>
          <w:bCs/>
          <w:color w:val="000000" w:themeColor="text1"/>
          <w:highlight w:val="none"/>
          <w14:textFill>
            <w14:solidFill>
              <w14:schemeClr w14:val="tx1"/>
            </w14:solidFill>
          </w14:textFill>
        </w:rPr>
        <w:t>的技术要求。</w:t>
      </w:r>
    </w:p>
    <w:p w14:paraId="758A20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2、</w:t>
      </w:r>
      <w:r>
        <w:rPr>
          <w:rFonts w:hAnsi="宋体"/>
          <w:b/>
          <w:bCs/>
          <w:color w:val="000000" w:themeColor="text1"/>
          <w:highlight w:val="none"/>
          <w14:textFill>
            <w14:solidFill>
              <w14:schemeClr w14:val="tx1"/>
            </w14:solidFill>
          </w14:textFill>
        </w:rPr>
        <w:t>根据《财政部 发展改革委 生态环境部 市场监管总局关于调整优化节能产品、环境标志产品政府采购执行机制的通知》（财库〔2019〕9 号）和《关于印发节能产品政府采购品目清单的通知》（财库〔2019〕19 号）的规定，采购需求</w:t>
      </w:r>
      <w:r>
        <w:rPr>
          <w:rFonts w:hint="eastAsia" w:hAnsi="宋体"/>
          <w:b/>
          <w:bCs/>
          <w:color w:val="000000" w:themeColor="text1"/>
          <w:highlight w:val="none"/>
          <w14:textFill>
            <w14:solidFill>
              <w14:schemeClr w14:val="tx1"/>
            </w14:solidFill>
          </w14:textFill>
        </w:rPr>
        <w:t>中如有货物产品，且货物</w:t>
      </w:r>
      <w:r>
        <w:rPr>
          <w:rFonts w:hAnsi="宋体"/>
          <w:b/>
          <w:bCs/>
          <w:color w:val="000000" w:themeColor="text1"/>
          <w:highlight w:val="none"/>
          <w14:textFill>
            <w14:solidFill>
              <w14:schemeClr w14:val="tx1"/>
            </w14:solidFill>
          </w14:textFill>
        </w:rPr>
        <w:t>产品属于节能产品政府采购品目清单内标注“★”的，投标人的投标货物必须使用政府强制采购的节能产品，否则投标文件作无效处理。</w:t>
      </w:r>
    </w:p>
    <w:p w14:paraId="728D391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3、如投标人投标产品存在侵犯他人的知识产权或者专利成果行为的，由投标人自行承担相应法律责任。</w:t>
      </w:r>
    </w:p>
    <w:p w14:paraId="71D49D5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hAnsi="宋体"/>
          <w:b/>
          <w:bCs/>
          <w:color w:val="000000" w:themeColor="text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4、“实质性要求”是指招标文件中已经指明不满足则投标无效的条款，或者不能负偏离的条款，或者采购需求中带“▲”的条款。</w:t>
      </w:r>
    </w:p>
    <w:p w14:paraId="3584479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hAnsi="宋体"/>
          <w:b/>
          <w:bCs/>
          <w:color w:val="000000" w:themeColor="text1"/>
          <w:highlight w:val="none"/>
          <w14:textFill>
            <w14:solidFill>
              <w14:schemeClr w14:val="tx1"/>
            </w14:solidFill>
          </w14:textFill>
        </w:rPr>
      </w:pPr>
      <w:bookmarkStart w:id="48" w:name="_Hlk65055179"/>
      <w:r>
        <w:rPr>
          <w:rFonts w:hint="eastAsia" w:hAnsi="宋体"/>
          <w:b/>
          <w:bCs/>
          <w:color w:val="000000" w:themeColor="text1"/>
          <w:highlight w:val="none"/>
          <w14:textFill>
            <w14:solidFill>
              <w14:schemeClr w14:val="tx1"/>
            </w14:solidFill>
          </w14:textFill>
        </w:rPr>
        <w:t>5、投标人应根据自身实际情况如实响应招标文件。</w:t>
      </w:r>
      <w:bookmarkEnd w:id="48"/>
    </w:p>
    <w:bookmarkEnd w:id="46"/>
    <w:bookmarkEnd w:id="47"/>
    <w:tbl>
      <w:tblPr>
        <w:tblStyle w:val="53"/>
        <w:tblW w:w="9993" w:type="dxa"/>
        <w:jc w:val="center"/>
        <w:tblLayout w:type="fixed"/>
        <w:tblCellMar>
          <w:top w:w="0" w:type="dxa"/>
          <w:left w:w="108" w:type="dxa"/>
          <w:bottom w:w="0" w:type="dxa"/>
          <w:right w:w="108" w:type="dxa"/>
        </w:tblCellMar>
      </w:tblPr>
      <w:tblGrid>
        <w:gridCol w:w="424"/>
        <w:gridCol w:w="1272"/>
        <w:gridCol w:w="567"/>
        <w:gridCol w:w="567"/>
        <w:gridCol w:w="993"/>
        <w:gridCol w:w="6170"/>
      </w:tblGrid>
      <w:tr w14:paraId="5547F8C1">
        <w:tblPrEx>
          <w:tblCellMar>
            <w:top w:w="0" w:type="dxa"/>
            <w:left w:w="108" w:type="dxa"/>
            <w:bottom w:w="0" w:type="dxa"/>
            <w:right w:w="108" w:type="dxa"/>
          </w:tblCellMar>
        </w:tblPrEx>
        <w:trPr>
          <w:trHeight w:val="405" w:hRule="atLeast"/>
          <w:jc w:val="center"/>
        </w:trPr>
        <w:tc>
          <w:tcPr>
            <w:tcW w:w="9993" w:type="dxa"/>
            <w:gridSpan w:val="6"/>
            <w:tcBorders>
              <w:top w:val="single" w:color="000000" w:sz="4" w:space="0"/>
              <w:left w:val="single" w:color="000000" w:sz="4" w:space="0"/>
              <w:bottom w:val="single" w:color="000000" w:sz="4" w:space="0"/>
              <w:right w:val="single" w:color="000000" w:sz="4" w:space="0"/>
            </w:tcBorders>
            <w:vAlign w:val="center"/>
          </w:tcPr>
          <w:p w14:paraId="1776A618">
            <w:pPr>
              <w:widowControl/>
              <w:spacing w:line="400" w:lineRule="exact"/>
              <w:jc w:val="left"/>
              <w:textAlignment w:val="center"/>
              <w:rPr>
                <w:rFonts w:ascii="宋体" w:hAnsi="宋体" w:cs="宋体"/>
                <w:b/>
                <w:color w:val="000000" w:themeColor="text1"/>
                <w:kern w:val="0"/>
                <w:szCs w:val="21"/>
                <w:highlight w:val="none"/>
                <w:lang w:bidi="ar"/>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一、</w:t>
            </w: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采购内容及技术要求</w:t>
            </w:r>
          </w:p>
        </w:tc>
      </w:tr>
      <w:tr w14:paraId="1086A017">
        <w:tblPrEx>
          <w:tblCellMar>
            <w:top w:w="0" w:type="dxa"/>
            <w:left w:w="108" w:type="dxa"/>
            <w:bottom w:w="0" w:type="dxa"/>
            <w:right w:w="108" w:type="dxa"/>
          </w:tblCellMar>
        </w:tblPrEx>
        <w:trPr>
          <w:trHeight w:val="609" w:hRule="atLeast"/>
          <w:jc w:val="center"/>
        </w:trPr>
        <w:tc>
          <w:tcPr>
            <w:tcW w:w="424" w:type="dxa"/>
            <w:tcBorders>
              <w:top w:val="single" w:color="000000" w:sz="4" w:space="0"/>
              <w:left w:val="single" w:color="000000" w:sz="4" w:space="0"/>
              <w:bottom w:val="single" w:color="000000" w:sz="4" w:space="0"/>
              <w:right w:val="single" w:color="000000" w:sz="4" w:space="0"/>
            </w:tcBorders>
            <w:vAlign w:val="center"/>
          </w:tcPr>
          <w:p w14:paraId="4486E9F0">
            <w:pPr>
              <w:widowControl/>
              <w:spacing w:line="40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序号</w:t>
            </w:r>
          </w:p>
        </w:tc>
        <w:tc>
          <w:tcPr>
            <w:tcW w:w="1272" w:type="dxa"/>
            <w:tcBorders>
              <w:top w:val="single" w:color="000000" w:sz="4" w:space="0"/>
              <w:left w:val="single" w:color="000000" w:sz="4" w:space="0"/>
              <w:bottom w:val="single" w:color="000000" w:sz="4" w:space="0"/>
              <w:right w:val="single" w:color="000000" w:sz="4" w:space="0"/>
            </w:tcBorders>
            <w:vAlign w:val="center"/>
          </w:tcPr>
          <w:p w14:paraId="4DB481E9">
            <w:pPr>
              <w:widowControl/>
              <w:spacing w:line="40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标的的名称</w:t>
            </w:r>
          </w:p>
        </w:tc>
        <w:tc>
          <w:tcPr>
            <w:tcW w:w="567" w:type="dxa"/>
            <w:tcBorders>
              <w:top w:val="single" w:color="000000" w:sz="4" w:space="0"/>
              <w:left w:val="single" w:color="000000" w:sz="4" w:space="0"/>
              <w:bottom w:val="single" w:color="000000" w:sz="4" w:space="0"/>
              <w:right w:val="single" w:color="000000" w:sz="4" w:space="0"/>
            </w:tcBorders>
            <w:vAlign w:val="center"/>
          </w:tcPr>
          <w:p w14:paraId="506105AF">
            <w:pPr>
              <w:widowControl/>
              <w:spacing w:line="40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数量</w:t>
            </w:r>
          </w:p>
        </w:tc>
        <w:tc>
          <w:tcPr>
            <w:tcW w:w="567" w:type="dxa"/>
            <w:tcBorders>
              <w:top w:val="single" w:color="000000" w:sz="4" w:space="0"/>
              <w:left w:val="single" w:color="000000" w:sz="4" w:space="0"/>
              <w:bottom w:val="single" w:color="000000" w:sz="4" w:space="0"/>
              <w:right w:val="single" w:color="000000" w:sz="4" w:space="0"/>
            </w:tcBorders>
            <w:vAlign w:val="center"/>
          </w:tcPr>
          <w:p w14:paraId="29D64B60">
            <w:pPr>
              <w:widowControl/>
              <w:spacing w:line="40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单位</w:t>
            </w:r>
          </w:p>
        </w:tc>
        <w:tc>
          <w:tcPr>
            <w:tcW w:w="993" w:type="dxa"/>
            <w:tcBorders>
              <w:top w:val="single" w:color="000000" w:sz="4" w:space="0"/>
              <w:left w:val="single" w:color="000000" w:sz="4" w:space="0"/>
              <w:bottom w:val="single" w:color="000000" w:sz="4" w:space="0"/>
              <w:right w:val="single" w:color="000000" w:sz="4" w:space="0"/>
            </w:tcBorders>
            <w:vAlign w:val="center"/>
          </w:tcPr>
          <w:p w14:paraId="31210C90">
            <w:pPr>
              <w:widowControl/>
              <w:spacing w:line="40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所属行业</w:t>
            </w:r>
          </w:p>
        </w:tc>
        <w:tc>
          <w:tcPr>
            <w:tcW w:w="6170" w:type="dxa"/>
            <w:tcBorders>
              <w:top w:val="single" w:color="000000" w:sz="4" w:space="0"/>
              <w:left w:val="single" w:color="000000" w:sz="4" w:space="0"/>
              <w:bottom w:val="single" w:color="000000" w:sz="4" w:space="0"/>
              <w:right w:val="single" w:color="000000" w:sz="4" w:space="0"/>
            </w:tcBorders>
            <w:vAlign w:val="center"/>
          </w:tcPr>
          <w:p w14:paraId="4032BE5D">
            <w:pPr>
              <w:widowControl/>
              <w:spacing w:line="40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技术要求</w:t>
            </w:r>
          </w:p>
        </w:tc>
      </w:tr>
      <w:tr w14:paraId="0D5801C0">
        <w:tblPrEx>
          <w:tblCellMar>
            <w:top w:w="0" w:type="dxa"/>
            <w:left w:w="108" w:type="dxa"/>
            <w:bottom w:w="0" w:type="dxa"/>
            <w:right w:w="108" w:type="dxa"/>
          </w:tblCellMar>
        </w:tblPrEx>
        <w:trPr>
          <w:trHeight w:val="640" w:hRule="atLeast"/>
          <w:jc w:val="center"/>
        </w:trPr>
        <w:tc>
          <w:tcPr>
            <w:tcW w:w="424" w:type="dxa"/>
            <w:tcBorders>
              <w:top w:val="single" w:color="000000" w:sz="4" w:space="0"/>
              <w:left w:val="single" w:color="000000" w:sz="4" w:space="0"/>
              <w:bottom w:val="single" w:color="000000" w:sz="4" w:space="0"/>
              <w:right w:val="single" w:color="000000" w:sz="4" w:space="0"/>
            </w:tcBorders>
            <w:vAlign w:val="center"/>
          </w:tcPr>
          <w:p w14:paraId="47DF337F">
            <w:pPr>
              <w:widowControl/>
              <w:spacing w:line="40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1</w:t>
            </w:r>
          </w:p>
        </w:tc>
        <w:tc>
          <w:tcPr>
            <w:tcW w:w="1272" w:type="dxa"/>
            <w:tcBorders>
              <w:top w:val="single" w:color="000000" w:sz="4" w:space="0"/>
              <w:left w:val="single" w:color="000000" w:sz="4" w:space="0"/>
              <w:bottom w:val="single" w:color="000000" w:sz="4" w:space="0"/>
              <w:right w:val="single" w:color="000000" w:sz="4" w:space="0"/>
            </w:tcBorders>
            <w:vAlign w:val="center"/>
          </w:tcPr>
          <w:p w14:paraId="203C75C2">
            <w:pPr>
              <w:widowControl/>
              <w:spacing w:line="400" w:lineRule="exact"/>
              <w:jc w:val="left"/>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Arial"/>
                <w:bCs/>
                <w:color w:val="000000" w:themeColor="text1"/>
                <w:szCs w:val="21"/>
                <w:highlight w:val="none"/>
                <w:lang w:eastAsia="zh-CN"/>
                <w14:textFill>
                  <w14:solidFill>
                    <w14:schemeClr w14:val="tx1"/>
                  </w14:solidFill>
                </w14:textFill>
              </w:rPr>
              <w:t>2026—2027年度厅机关应用系统维护服务项目</w:t>
            </w:r>
          </w:p>
        </w:tc>
        <w:tc>
          <w:tcPr>
            <w:tcW w:w="567" w:type="dxa"/>
            <w:tcBorders>
              <w:top w:val="single" w:color="000000" w:sz="4" w:space="0"/>
              <w:left w:val="single" w:color="000000" w:sz="4" w:space="0"/>
              <w:bottom w:val="single" w:color="000000" w:sz="4" w:space="0"/>
              <w:right w:val="single" w:color="000000" w:sz="4" w:space="0"/>
            </w:tcBorders>
            <w:vAlign w:val="center"/>
          </w:tcPr>
          <w:p w14:paraId="5AD6D6B6">
            <w:pPr>
              <w:widowControl/>
              <w:spacing w:line="40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567" w:type="dxa"/>
            <w:tcBorders>
              <w:top w:val="single" w:color="000000" w:sz="4" w:space="0"/>
              <w:left w:val="single" w:color="000000" w:sz="4" w:space="0"/>
              <w:bottom w:val="single" w:color="000000" w:sz="4" w:space="0"/>
              <w:right w:val="single" w:color="000000" w:sz="4" w:space="0"/>
            </w:tcBorders>
            <w:vAlign w:val="center"/>
          </w:tcPr>
          <w:p w14:paraId="39A5F6A7">
            <w:pPr>
              <w:widowControl/>
              <w:spacing w:line="400" w:lineRule="exact"/>
              <w:jc w:val="center"/>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w:t>
            </w:r>
          </w:p>
        </w:tc>
        <w:tc>
          <w:tcPr>
            <w:tcW w:w="993" w:type="dxa"/>
            <w:tcBorders>
              <w:top w:val="single" w:color="000000" w:sz="4" w:space="0"/>
              <w:left w:val="single" w:color="000000" w:sz="4" w:space="0"/>
              <w:bottom w:val="single" w:color="000000" w:sz="4" w:space="0"/>
              <w:right w:val="single" w:color="000000" w:sz="4" w:space="0"/>
            </w:tcBorders>
            <w:vAlign w:val="center"/>
          </w:tcPr>
          <w:p w14:paraId="5D3A52EB">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软件和信息技术服务业</w:t>
            </w:r>
          </w:p>
        </w:tc>
        <w:tc>
          <w:tcPr>
            <w:tcW w:w="6170" w:type="dxa"/>
            <w:tcBorders>
              <w:top w:val="single" w:color="000000" w:sz="4" w:space="0"/>
              <w:left w:val="single" w:color="000000" w:sz="4" w:space="0"/>
              <w:bottom w:val="single" w:color="000000" w:sz="4" w:space="0"/>
              <w:right w:val="single" w:color="000000" w:sz="4" w:space="0"/>
            </w:tcBorders>
            <w:vAlign w:val="center"/>
          </w:tcPr>
          <w:p w14:paraId="35BD461A">
            <w:pPr>
              <w:widowControl/>
              <w:spacing w:line="400" w:lineRule="exact"/>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具体</w:t>
            </w:r>
            <w:r>
              <w:rPr>
                <w:rFonts w:ascii="宋体" w:hAnsi="宋体" w:cs="宋体"/>
                <w:color w:val="000000" w:themeColor="text1"/>
                <w:kern w:val="0"/>
                <w:szCs w:val="21"/>
                <w:highlight w:val="none"/>
                <w14:textFill>
                  <w14:solidFill>
                    <w14:schemeClr w14:val="tx1"/>
                  </w14:solidFill>
                </w14:textFill>
              </w:rPr>
              <w:t>内容详见</w:t>
            </w:r>
            <w:r>
              <w:rPr>
                <w:rFonts w:hint="eastAsia" w:ascii="宋体" w:hAnsi="宋体" w:cs="宋体"/>
                <w:color w:val="000000" w:themeColor="text1"/>
                <w:kern w:val="0"/>
                <w:szCs w:val="21"/>
                <w:highlight w:val="none"/>
                <w14:textFill>
                  <w14:solidFill>
                    <w14:schemeClr w14:val="tx1"/>
                  </w14:solidFill>
                </w14:textFill>
              </w:rPr>
              <w:t>技术</w:t>
            </w:r>
            <w:r>
              <w:rPr>
                <w:rFonts w:ascii="宋体" w:hAnsi="宋体" w:cs="宋体"/>
                <w:color w:val="000000" w:themeColor="text1"/>
                <w:kern w:val="0"/>
                <w:szCs w:val="21"/>
                <w:highlight w:val="none"/>
                <w14:textFill>
                  <w14:solidFill>
                    <w14:schemeClr w14:val="tx1"/>
                  </w14:solidFill>
                </w14:textFill>
              </w:rPr>
              <w:t>部分</w:t>
            </w:r>
            <w:r>
              <w:rPr>
                <w:rFonts w:hint="eastAsia" w:ascii="宋体" w:hAnsi="宋体" w:cs="宋体"/>
                <w:color w:val="000000" w:themeColor="text1"/>
                <w:kern w:val="0"/>
                <w:szCs w:val="21"/>
                <w:highlight w:val="none"/>
                <w14:textFill>
                  <w14:solidFill>
                    <w14:schemeClr w14:val="tx1"/>
                  </w14:solidFill>
                </w14:textFill>
              </w:rPr>
              <w:t>附件</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lang w:eastAsia="zh-CN"/>
                <w14:textFill>
                  <w14:solidFill>
                    <w14:schemeClr w14:val="tx1"/>
                  </w14:solidFill>
                </w14:textFill>
              </w:rPr>
              <w:t>2026—2027年度厅机关应用系统维护服务项目</w:t>
            </w:r>
            <w:r>
              <w:rPr>
                <w:rFonts w:hint="eastAsia" w:ascii="宋体" w:hAnsi="宋体" w:cs="宋体"/>
                <w:color w:val="000000" w:themeColor="text1"/>
                <w:kern w:val="0"/>
                <w:szCs w:val="21"/>
                <w:highlight w:val="none"/>
                <w14:textFill>
                  <w14:solidFill>
                    <w14:schemeClr w14:val="tx1"/>
                  </w14:solidFill>
                </w14:textFill>
              </w:rPr>
              <w:t>招标要求</w:t>
            </w:r>
            <w:r>
              <w:rPr>
                <w:rFonts w:ascii="宋体" w:hAnsi="宋体" w:cs="宋体"/>
                <w:color w:val="000000" w:themeColor="text1"/>
                <w:kern w:val="0"/>
                <w:szCs w:val="21"/>
                <w:highlight w:val="none"/>
                <w14:textFill>
                  <w14:solidFill>
                    <w14:schemeClr w14:val="tx1"/>
                  </w14:solidFill>
                </w14:textFill>
              </w:rPr>
              <w:t>》</w:t>
            </w:r>
            <w:r>
              <w:rPr>
                <w:rFonts w:hint="eastAsia" w:ascii="宋体" w:hAnsi="宋体" w:cs="宋体"/>
                <w:color w:val="000000" w:themeColor="text1"/>
                <w:kern w:val="0"/>
                <w:szCs w:val="21"/>
                <w:highlight w:val="none"/>
                <w14:textFill>
                  <w14:solidFill>
                    <w14:schemeClr w14:val="tx1"/>
                  </w14:solidFill>
                </w14:textFill>
              </w:rPr>
              <w:t>，</w:t>
            </w:r>
            <w:r>
              <w:rPr>
                <w:rFonts w:hint="eastAsia"/>
                <w:color w:val="000000" w:themeColor="text1"/>
                <w:szCs w:val="21"/>
                <w:highlight w:val="none"/>
                <w14:textFill>
                  <w14:solidFill>
                    <w14:schemeClr w14:val="tx1"/>
                  </w14:solidFill>
                </w14:textFill>
              </w:rPr>
              <w:t>投标人在投标文件中提供《技术响应文件》，技术响应文件有缺项或不满足要求的，视为该项负偏离。</w:t>
            </w:r>
          </w:p>
        </w:tc>
      </w:tr>
      <w:tr w14:paraId="2FFA8357">
        <w:tblPrEx>
          <w:tblCellMar>
            <w:top w:w="0" w:type="dxa"/>
            <w:left w:w="108" w:type="dxa"/>
            <w:bottom w:w="0" w:type="dxa"/>
            <w:right w:w="108" w:type="dxa"/>
          </w:tblCellMar>
        </w:tblPrEx>
        <w:trPr>
          <w:trHeight w:val="640" w:hRule="atLeast"/>
          <w:jc w:val="center"/>
        </w:trPr>
        <w:tc>
          <w:tcPr>
            <w:tcW w:w="9993" w:type="dxa"/>
            <w:gridSpan w:val="6"/>
            <w:tcBorders>
              <w:top w:val="single" w:color="000000" w:sz="4" w:space="0"/>
              <w:left w:val="single" w:color="000000" w:sz="4" w:space="0"/>
              <w:bottom w:val="single" w:color="000000" w:sz="4" w:space="0"/>
              <w:right w:val="single" w:color="000000" w:sz="4" w:space="0"/>
            </w:tcBorders>
            <w:vAlign w:val="center"/>
          </w:tcPr>
          <w:p w14:paraId="2E4C0950">
            <w:pPr>
              <w:spacing w:line="400" w:lineRule="exact"/>
              <w:rPr>
                <w:rFonts w:ascii="宋体" w:hAnsi="宋体" w:cs="宋体"/>
                <w:b/>
                <w:color w:val="000000" w:themeColor="text1"/>
                <w:kern w:val="0"/>
                <w:szCs w:val="21"/>
                <w:highlight w:val="none"/>
                <w:lang w:bidi="ar"/>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二、商务要求</w:t>
            </w:r>
          </w:p>
        </w:tc>
      </w:tr>
      <w:tr w14:paraId="591CFF5B">
        <w:tblPrEx>
          <w:tblCellMar>
            <w:top w:w="0" w:type="dxa"/>
            <w:left w:w="108" w:type="dxa"/>
            <w:bottom w:w="0" w:type="dxa"/>
            <w:right w:w="108" w:type="dxa"/>
          </w:tblCellMar>
        </w:tblPrEx>
        <w:trPr>
          <w:trHeight w:val="717"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64C6F737">
            <w:pPr>
              <w:widowControl/>
              <w:spacing w:line="400" w:lineRule="exact"/>
              <w:contextualSpacing/>
              <w:jc w:val="center"/>
              <w:rPr>
                <w:rFonts w:ascii="宋体" w:hAnsi="宋体" w:cs="宋体"/>
                <w:color w:val="000000" w:themeColor="text1"/>
                <w:kern w:val="0"/>
                <w:sz w:val="20"/>
                <w:szCs w:val="21"/>
                <w:highlight w:val="none"/>
                <w:lang w:eastAsia="en-US"/>
                <w14:textFill>
                  <w14:solidFill>
                    <w14:schemeClr w14:val="tx1"/>
                  </w14:solidFill>
                </w14:textFill>
              </w:rPr>
            </w:pPr>
            <w:r>
              <w:rPr>
                <w:rFonts w:hint="eastAsia" w:ascii="宋体" w:hAnsi="宋体" w:cs="Arial"/>
                <w:b/>
                <w:color w:val="000000" w:themeColor="text1"/>
                <w:kern w:val="0"/>
                <w:sz w:val="20"/>
                <w:szCs w:val="21"/>
                <w:highlight w:val="none"/>
                <w:lang w:eastAsia="en-US"/>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维护时间及地点</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34C8A936">
            <w:pPr>
              <w:pStyle w:val="237"/>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auto"/>
              <w:ind w:left="0" w:leftChars="0" w:right="0" w:firstLine="0" w:firstLineChars="0"/>
              <w:jc w:val="left"/>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1、</w:t>
            </w:r>
            <w:r>
              <w:rPr>
                <w:rFonts w:hint="eastAsia" w:ascii="宋体" w:hAnsi="宋体" w:eastAsia="宋体" w:cs="宋体"/>
                <w:b/>
                <w:bCs/>
                <w:color w:val="000000" w:themeColor="text1"/>
                <w:szCs w:val="21"/>
                <w:highlight w:val="none"/>
                <w14:textFill>
                  <w14:solidFill>
                    <w14:schemeClr w14:val="tx1"/>
                  </w14:solidFill>
                </w14:textFill>
              </w:rPr>
              <w:t>维护时间：</w:t>
            </w:r>
            <w:r>
              <w:rPr>
                <w:rFonts w:hint="eastAsia" w:ascii="宋体" w:hAnsi="宋体" w:cs="宋体"/>
                <w:b/>
                <w:bCs/>
                <w:color w:val="000000" w:themeColor="text1"/>
                <w:szCs w:val="21"/>
                <w:highlight w:val="none"/>
                <w:lang w:val="en-US" w:eastAsia="zh-CN"/>
                <w14:textFill>
                  <w14:solidFill>
                    <w14:schemeClr w14:val="tx1"/>
                  </w14:solidFill>
                </w14:textFill>
              </w:rPr>
              <w:t>2年（具体详见合同文本）</w:t>
            </w:r>
            <w:r>
              <w:rPr>
                <w:rFonts w:hint="eastAsia" w:ascii="宋体" w:hAnsi="宋体" w:eastAsia="宋体" w:cs="宋体"/>
                <w:b/>
                <w:bCs/>
                <w:color w:val="000000" w:themeColor="text1"/>
                <w:szCs w:val="21"/>
                <w:highlight w:val="none"/>
                <w:lang w:eastAsia="zh-CN"/>
                <w14:textFill>
                  <w14:solidFill>
                    <w14:schemeClr w14:val="tx1"/>
                  </w14:solidFill>
                </w14:textFill>
              </w:rPr>
              <w:t>。</w:t>
            </w:r>
          </w:p>
          <w:p w14:paraId="390EBD5C">
            <w:pPr>
              <w:keepNext w:val="0"/>
              <w:keepLines w:val="0"/>
              <w:pageBreakBefore w:val="0"/>
              <w:widowControl/>
              <w:kinsoku/>
              <w:wordWrap/>
              <w:overflowPunct/>
              <w:topLinePunct w:val="0"/>
              <w:autoSpaceDE/>
              <w:autoSpaceDN/>
              <w:bidi w:val="0"/>
              <w:adjustRightInd/>
              <w:snapToGrid/>
              <w:spacing w:line="360" w:lineRule="auto"/>
              <w:textAlignment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2、</w:t>
            </w:r>
            <w:r>
              <w:rPr>
                <w:rFonts w:hint="eastAsia" w:ascii="宋体" w:hAnsi="宋体" w:eastAsia="宋体" w:cs="宋体"/>
                <w:b/>
                <w:bCs/>
                <w:color w:val="000000" w:themeColor="text1"/>
                <w:szCs w:val="21"/>
                <w:highlight w:val="none"/>
                <w14:textFill>
                  <w14:solidFill>
                    <w14:schemeClr w14:val="tx1"/>
                  </w14:solidFill>
                </w14:textFill>
              </w:rPr>
              <w:t>维护地点：</w:t>
            </w:r>
            <w:r>
              <w:rPr>
                <w:rFonts w:hint="eastAsia" w:ascii="宋体" w:hAnsi="宋体" w:eastAsia="宋体" w:cs="宋体"/>
                <w:color w:val="000000" w:themeColor="text1"/>
                <w:szCs w:val="21"/>
                <w:highlight w:val="none"/>
                <w14:textFill>
                  <w14:solidFill>
                    <w14:schemeClr w14:val="tx1"/>
                  </w14:solidFill>
                </w14:textFill>
              </w:rPr>
              <w:t>广西区内采购人指定地点。</w:t>
            </w:r>
          </w:p>
        </w:tc>
      </w:tr>
      <w:tr w14:paraId="2CCAF8A4">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1D764AA9">
            <w:pPr>
              <w:widowControl/>
              <w:spacing w:line="400" w:lineRule="exact"/>
              <w:jc w:val="center"/>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cs="宋体"/>
                <w:color w:val="000000" w:themeColor="text1"/>
                <w:kern w:val="0"/>
                <w:szCs w:val="21"/>
                <w:highlight w:val="none"/>
                <w:lang w:bidi="ar"/>
                <w14:textFill>
                  <w14:solidFill>
                    <w14:schemeClr w14:val="tx1"/>
                  </w14:solidFill>
                </w14:textFill>
              </w:rPr>
              <w:t>合同签订期</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66759218">
            <w:pPr>
              <w:widowControl/>
              <w:spacing w:line="400" w:lineRule="exact"/>
              <w:textAlignment w:val="center"/>
              <w:rPr>
                <w:rFonts w:ascii="宋体" w:hAnsi="宋体" w:cs="宋体"/>
                <w:color w:val="000000" w:themeColor="text1"/>
                <w:kern w:val="0"/>
                <w:szCs w:val="21"/>
                <w:highlight w:val="none"/>
                <w:lang w:bidi="ar"/>
                <w14:textFill>
                  <w14:solidFill>
                    <w14:schemeClr w14:val="tx1"/>
                  </w14:solidFill>
                </w14:textFill>
              </w:rPr>
            </w:pPr>
            <w:r>
              <w:rPr>
                <w:rFonts w:hint="eastAsia" w:ascii="宋体" w:hAnsi="宋体" w:cs="宋体"/>
                <w:color w:val="000000" w:themeColor="text1"/>
                <w:kern w:val="0"/>
                <w:szCs w:val="21"/>
                <w:highlight w:val="none"/>
                <w:lang w:bidi="ar"/>
                <w14:textFill>
                  <w14:solidFill>
                    <w14:schemeClr w14:val="tx1"/>
                  </w14:solidFill>
                </w14:textFill>
              </w:rPr>
              <w:t>自中标通知书发出之日起25日内签订政府采购合同。</w:t>
            </w:r>
          </w:p>
        </w:tc>
      </w:tr>
      <w:tr w14:paraId="383085A6">
        <w:tblPrEx>
          <w:tblCellMar>
            <w:top w:w="0" w:type="dxa"/>
            <w:left w:w="108" w:type="dxa"/>
            <w:bottom w:w="0" w:type="dxa"/>
            <w:right w:w="108" w:type="dxa"/>
          </w:tblCellMar>
        </w:tblPrEx>
        <w:trPr>
          <w:trHeight w:val="245"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25D90A6A">
            <w:pPr>
              <w:spacing w:line="400" w:lineRule="exac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▲信息安全及保密要求</w:t>
            </w:r>
          </w:p>
        </w:tc>
        <w:tc>
          <w:tcPr>
            <w:tcW w:w="8297" w:type="dxa"/>
            <w:gridSpan w:val="4"/>
            <w:tcBorders>
              <w:top w:val="single" w:color="000000" w:sz="4" w:space="0"/>
              <w:left w:val="single" w:color="000000" w:sz="4" w:space="0"/>
              <w:bottom w:val="single" w:color="000000" w:sz="4" w:space="0"/>
              <w:right w:val="single" w:color="000000" w:sz="4" w:space="0"/>
            </w:tcBorders>
            <w:vAlign w:val="top"/>
          </w:tcPr>
          <w:p w14:paraId="402060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一）中标人须与采购人签订《合作单位保密协议书》，运维人员须提交《保密承诺书》，遵守采购人信息安全管理规定，对非权限范围内设备不允许操作。非权限范围内信息不允许访问。未经允许，不可随意在工作环境内拍照、录音、录像等。</w:t>
            </w:r>
          </w:p>
          <w:p w14:paraId="6ACE54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（二）负责维护工作的中标人要保证对所有系统资料和数据负有保密的责任和义务，未经采购人许可，不允许向第三方透露。</w:t>
            </w:r>
          </w:p>
          <w:p w14:paraId="4C96A9F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（三）投标人须随投标响应文件附上《廉洁承诺书》，做出不向建设单位工作人员行贿的承诺。未在投标响应文件中附上《廉洁承诺书》的，视为投标无效。</w:t>
            </w:r>
          </w:p>
          <w:p w14:paraId="726FE752">
            <w:pPr>
              <w:keepNext w:val="0"/>
              <w:keepLines w:val="0"/>
              <w:pageBreakBefore w:val="0"/>
              <w:widowControl w:val="0"/>
              <w:kinsoku/>
              <w:wordWrap/>
              <w:overflowPunct/>
              <w:topLinePunct w:val="0"/>
              <w:autoSpaceDE/>
              <w:autoSpaceDN/>
              <w:bidi w:val="0"/>
              <w:adjustRightInd/>
              <w:snapToGrid/>
              <w:spacing w:line="360" w:lineRule="auto"/>
              <w:textAlignment w:val="auto"/>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四）中标人须严格履行采购人服务规范要求，包括但不限于以下规范：《公安厅机关安全保密管理十条规定》《广西壮族自治区公安厅办公室关于加强厅机关信息系统企业运维人员管理工作的通知》《广西公安信息网安全管理试行规定》《广西公安厅机关公安信息网安全管理实施细则》《厅机关信息系统企业运维人员“十严禁”》《广西公安厅信息系统运维人员行为规范》及广西公安厅各项内部规定。</w:t>
            </w:r>
          </w:p>
        </w:tc>
      </w:tr>
      <w:tr w14:paraId="6C850198">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3335D992">
            <w:pPr>
              <w:spacing w:line="400" w:lineRule="exact"/>
              <w:rPr>
                <w:rFonts w:ascii="宋体" w:hAnsi="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投标人相关认证及责任要求</w:t>
            </w:r>
          </w:p>
        </w:tc>
        <w:tc>
          <w:tcPr>
            <w:tcW w:w="8297" w:type="dxa"/>
            <w:gridSpan w:val="4"/>
            <w:tcBorders>
              <w:top w:val="single" w:color="000000" w:sz="4" w:space="0"/>
              <w:left w:val="single" w:color="000000" w:sz="4" w:space="0"/>
              <w:bottom w:val="single" w:color="000000" w:sz="4" w:space="0"/>
              <w:right w:val="single" w:color="000000" w:sz="4" w:space="0"/>
            </w:tcBorders>
            <w:vAlign w:val="top"/>
          </w:tcPr>
          <w:p w14:paraId="019367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Calibri" w:hAnsi="Calibri" w:eastAsia="宋体" w:cs="Times New Roman"/>
                <w:color w:val="000000" w:themeColor="text1"/>
                <w:szCs w:val="22"/>
                <w:highlight w:val="none"/>
                <w14:textFill>
                  <w14:solidFill>
                    <w14:schemeClr w14:val="tx1"/>
                  </w14:solidFill>
                </w14:textFill>
              </w:rPr>
              <w:t>在维护过程中，若由于投标供应商自身技术不足或违规操作等原因造成的数据丢失、设备损坏等，须承担相应的责任。</w:t>
            </w:r>
          </w:p>
        </w:tc>
      </w:tr>
      <w:tr w14:paraId="6E9F2864">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5F064EA5">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验收依据</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43929BC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（一）</w:t>
            </w:r>
            <w:r>
              <w:rPr>
                <w:rFonts w:hint="eastAsia" w:ascii="宋体" w:hAnsi="宋体" w:eastAsia="宋体" w:cs="宋体"/>
                <w:color w:val="000000" w:themeColor="text1"/>
                <w:sz w:val="21"/>
                <w:szCs w:val="21"/>
                <w:highlight w:val="none"/>
                <w14:textFill>
                  <w14:solidFill>
                    <w14:schemeClr w14:val="tx1"/>
                  </w14:solidFill>
                </w14:textFill>
              </w:rPr>
              <w:t>按照《广西壮族自治区公安厅厅机关政府采购项目履约验收管理办法》、双方合同、</w:t>
            </w:r>
            <w:r>
              <w:rPr>
                <w:rFonts w:hint="eastAsia" w:ascii="宋体" w:hAnsi="宋体" w:eastAsia="宋体" w:cs="宋体"/>
                <w:color w:val="000000" w:themeColor="text1"/>
                <w:sz w:val="21"/>
                <w:szCs w:val="21"/>
                <w:highlight w:val="none"/>
                <w:lang w:eastAsia="zh-CN"/>
                <w14:textFill>
                  <w14:solidFill>
                    <w14:schemeClr w14:val="tx1"/>
                  </w14:solidFill>
                </w14:textFill>
              </w:rPr>
              <w:t>投标</w:t>
            </w: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文件验收。</w:t>
            </w:r>
          </w:p>
          <w:p w14:paraId="1AF9C9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（二）</w:t>
            </w:r>
            <w:r>
              <w:rPr>
                <w:rFonts w:hint="eastAsia" w:ascii="宋体" w:hAnsi="宋体" w:eastAsia="宋体" w:cs="宋体"/>
                <w:color w:val="000000" w:themeColor="text1"/>
                <w:sz w:val="21"/>
                <w:szCs w:val="21"/>
                <w:highlight w:val="none"/>
                <w14:textFill>
                  <w14:solidFill>
                    <w14:schemeClr w14:val="tx1"/>
                  </w14:solidFill>
                </w14:textFill>
              </w:rPr>
              <w:t>若在签署最终验收文件后12周内，由于中标人的原因，该项目有一条及以上达不到本项目招标文件规定的技术及服务要求时，中标人应在4周内采取有效措施，使该项目完全达到规定的技术及服务要求，在此期间的一切费用由中标人承担，如在此期间内仍达不到规定的技术及服务要求时，将按合同中相应条款执行。</w:t>
            </w:r>
          </w:p>
        </w:tc>
      </w:tr>
      <w:tr w14:paraId="2FF75A28">
        <w:tblPrEx>
          <w:tblCellMar>
            <w:top w:w="0" w:type="dxa"/>
            <w:left w:w="108" w:type="dxa"/>
            <w:bottom w:w="0" w:type="dxa"/>
            <w:right w:w="108" w:type="dxa"/>
          </w:tblCellMar>
        </w:tblPrEx>
        <w:trPr>
          <w:trHeight w:val="64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6D2D5DF7">
            <w:pPr>
              <w:spacing w:line="400" w:lineRule="exact"/>
              <w:rPr>
                <w:rFonts w:ascii="宋体" w:hAnsi="宋体" w:cs="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付款方式</w:t>
            </w:r>
          </w:p>
        </w:tc>
        <w:tc>
          <w:tcPr>
            <w:tcW w:w="8297" w:type="dxa"/>
            <w:gridSpan w:val="4"/>
            <w:tcBorders>
              <w:top w:val="single" w:color="000000" w:sz="4" w:space="0"/>
              <w:left w:val="single" w:color="000000" w:sz="4" w:space="0"/>
              <w:bottom w:val="single" w:color="000000" w:sz="4" w:space="0"/>
              <w:right w:val="single" w:color="000000" w:sz="4" w:space="0"/>
            </w:tcBorders>
            <w:vAlign w:val="top"/>
          </w:tcPr>
          <w:p w14:paraId="361A1D9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shd w:val="clear"/>
                <w:lang w:eastAsia="zh-CN"/>
                <w14:textFill>
                  <w14:solidFill>
                    <w14:schemeClr w14:val="tx1"/>
                  </w14:solidFill>
                </w14:textFill>
              </w:rPr>
              <w:t>合同签订后5个工作日内，中标人须向采购人指定账户交纳合同金额的3%作为履约保证金</w:t>
            </w:r>
            <w:r>
              <w:rPr>
                <w:rFonts w:hint="eastAsia" w:ascii="宋体" w:hAnsi="宋体" w:cs="宋体"/>
                <w:color w:val="000000" w:themeColor="text1"/>
                <w:highlight w:val="none"/>
                <w:shd w:val="clear"/>
                <w14:textFill>
                  <w14:solidFill>
                    <w14:schemeClr w14:val="tx1"/>
                  </w14:solidFill>
                </w14:textFill>
              </w:rPr>
              <w:t>（如中标人为中小型企业，则履约保证金数额为2%）</w:t>
            </w:r>
            <w:r>
              <w:rPr>
                <w:rFonts w:hint="eastAsia" w:ascii="宋体" w:hAnsi="宋体" w:cs="宋体"/>
                <w:color w:val="000000" w:themeColor="text1"/>
                <w:highlight w:val="none"/>
                <w:shd w:val="clear"/>
                <w:lang w:eastAsia="zh-CN"/>
                <w14:textFill>
                  <w14:solidFill>
                    <w14:schemeClr w14:val="tx1"/>
                  </w14:solidFill>
                </w14:textFill>
              </w:rPr>
              <w:t>。采购人收到中标人交来的履约保证金并对中标人提供的项目材料、备品备件（如有）、运维人员核对确认，项目通过采购人科信办组织的阶段验收后，支付合同金额的</w:t>
            </w:r>
            <w:r>
              <w:rPr>
                <w:rFonts w:hint="eastAsia" w:ascii="宋体" w:hAnsi="宋体" w:cs="宋体"/>
                <w:color w:val="000000" w:themeColor="text1"/>
                <w:highlight w:val="none"/>
                <w:shd w:val="clear"/>
                <w:lang w:val="en-US" w:eastAsia="zh-CN"/>
                <w14:textFill>
                  <w14:solidFill>
                    <w14:schemeClr w14:val="tx1"/>
                  </w14:solidFill>
                </w14:textFill>
              </w:rPr>
              <w:t>20%；</w:t>
            </w:r>
            <w:r>
              <w:rPr>
                <w:rFonts w:hint="eastAsia" w:ascii="宋体" w:hAnsi="宋体" w:cs="宋体"/>
                <w:color w:val="000000" w:themeColor="text1"/>
                <w:highlight w:val="none"/>
                <w:shd w:val="clear"/>
                <w:lang w:eastAsia="zh-CN"/>
                <w14:textFill>
                  <w14:solidFill>
                    <w14:schemeClr w14:val="tx1"/>
                  </w14:solidFill>
                </w14:textFill>
              </w:rPr>
              <w:t>根据项目进展情况及项目运维服务考核情况，中标人维护过程中无重大事故发生，2026年</w:t>
            </w:r>
            <w:r>
              <w:rPr>
                <w:rFonts w:hint="eastAsia" w:ascii="宋体" w:hAnsi="宋体" w:cs="宋体"/>
                <w:color w:val="000000" w:themeColor="text1"/>
                <w:highlight w:val="none"/>
                <w:shd w:val="clear"/>
                <w:lang w:val="en-US" w:eastAsia="zh-CN"/>
                <w14:textFill>
                  <w14:solidFill>
                    <w14:schemeClr w14:val="tx1"/>
                  </w14:solidFill>
                </w14:textFill>
              </w:rPr>
              <w:t>12月31日前</w:t>
            </w:r>
            <w:r>
              <w:rPr>
                <w:rFonts w:hint="eastAsia" w:ascii="宋体" w:hAnsi="宋体" w:cs="宋体"/>
                <w:color w:val="000000" w:themeColor="text1"/>
                <w:highlight w:val="none"/>
                <w:shd w:val="clear"/>
                <w:lang w:eastAsia="zh-CN"/>
                <w14:textFill>
                  <w14:solidFill>
                    <w14:schemeClr w14:val="tx1"/>
                  </w14:solidFill>
                </w14:textFill>
              </w:rPr>
              <w:t>支付合同金额的</w:t>
            </w:r>
            <w:r>
              <w:rPr>
                <w:rFonts w:hint="eastAsia" w:ascii="宋体" w:hAnsi="宋体" w:cs="宋体"/>
                <w:color w:val="000000" w:themeColor="text1"/>
                <w:highlight w:val="none"/>
                <w:shd w:val="clear"/>
                <w:lang w:val="en-US" w:eastAsia="zh-CN"/>
                <w14:textFill>
                  <w14:solidFill>
                    <w14:schemeClr w14:val="tx1"/>
                  </w14:solidFill>
                </w14:textFill>
              </w:rPr>
              <w:t>2</w:t>
            </w:r>
            <w:r>
              <w:rPr>
                <w:rFonts w:hint="eastAsia" w:ascii="宋体" w:hAnsi="宋体" w:cs="宋体"/>
                <w:color w:val="000000" w:themeColor="text1"/>
                <w:highlight w:val="none"/>
                <w:shd w:val="clear"/>
                <w:lang w:eastAsia="zh-CN"/>
                <w14:textFill>
                  <w14:solidFill>
                    <w14:schemeClr w14:val="tx1"/>
                  </w14:solidFill>
                </w14:textFill>
              </w:rPr>
              <w:t>0%；2027年</w:t>
            </w:r>
            <w:r>
              <w:rPr>
                <w:rFonts w:hint="eastAsia" w:ascii="宋体" w:hAnsi="宋体" w:cs="宋体"/>
                <w:color w:val="000000" w:themeColor="text1"/>
                <w:highlight w:val="none"/>
                <w:shd w:val="clear"/>
                <w:lang w:val="en-US" w:eastAsia="zh-CN"/>
                <w14:textFill>
                  <w14:solidFill>
                    <w14:schemeClr w14:val="tx1"/>
                  </w14:solidFill>
                </w14:textFill>
              </w:rPr>
              <w:t>12月31日前</w:t>
            </w:r>
            <w:r>
              <w:rPr>
                <w:rFonts w:hint="eastAsia" w:ascii="宋体" w:hAnsi="宋体" w:cs="宋体"/>
                <w:color w:val="000000" w:themeColor="text1"/>
                <w:highlight w:val="none"/>
                <w:shd w:val="clear"/>
                <w:lang w:eastAsia="zh-CN"/>
                <w14:textFill>
                  <w14:solidFill>
                    <w14:schemeClr w14:val="tx1"/>
                  </w14:solidFill>
                </w14:textFill>
              </w:rPr>
              <w:t>分批或一次性支付合同金额的</w:t>
            </w:r>
            <w:r>
              <w:rPr>
                <w:rFonts w:hint="eastAsia" w:ascii="宋体" w:hAnsi="宋体" w:cs="宋体"/>
                <w:color w:val="000000" w:themeColor="text1"/>
                <w:highlight w:val="none"/>
                <w:shd w:val="clear"/>
                <w:lang w:val="en-US" w:eastAsia="zh-CN"/>
                <w14:textFill>
                  <w14:solidFill>
                    <w14:schemeClr w14:val="tx1"/>
                  </w14:solidFill>
                </w14:textFill>
              </w:rPr>
              <w:t>4</w:t>
            </w:r>
            <w:r>
              <w:rPr>
                <w:rFonts w:hint="eastAsia" w:ascii="宋体" w:hAnsi="宋体" w:cs="宋体"/>
                <w:color w:val="000000" w:themeColor="text1"/>
                <w:highlight w:val="none"/>
                <w:shd w:val="clear"/>
                <w:lang w:eastAsia="zh-CN"/>
                <w14:textFill>
                  <w14:solidFill>
                    <w14:schemeClr w14:val="tx1"/>
                  </w14:solidFill>
                </w14:textFill>
              </w:rPr>
              <w:t>0%；中标人按照合同要求做好维护工作至维护期满并经验收合格后10个工作日内，支付合同金额的</w:t>
            </w:r>
            <w:r>
              <w:rPr>
                <w:rFonts w:hint="eastAsia" w:ascii="宋体" w:hAnsi="宋体" w:cs="宋体"/>
                <w:color w:val="000000" w:themeColor="text1"/>
                <w:highlight w:val="none"/>
                <w:shd w:val="clear"/>
                <w:lang w:val="en-US" w:eastAsia="zh-CN"/>
                <w14:textFill>
                  <w14:solidFill>
                    <w14:schemeClr w14:val="tx1"/>
                  </w14:solidFill>
                </w14:textFill>
              </w:rPr>
              <w:t>2</w:t>
            </w:r>
            <w:r>
              <w:rPr>
                <w:rFonts w:hint="eastAsia" w:ascii="宋体" w:hAnsi="宋体" w:cs="宋体"/>
                <w:color w:val="000000" w:themeColor="text1"/>
                <w:highlight w:val="none"/>
                <w:shd w:val="clear"/>
                <w:lang w:eastAsia="zh-CN"/>
                <w14:textFill>
                  <w14:solidFill>
                    <w14:schemeClr w14:val="tx1"/>
                  </w14:solidFill>
                </w14:textFill>
              </w:rPr>
              <w:t>0%，并将履约保证金全额退回（不计利息）。</w:t>
            </w:r>
            <w:r>
              <w:rPr>
                <w:rFonts w:hint="eastAsia" w:ascii="宋体" w:hAnsi="宋体" w:cs="宋体"/>
                <w:color w:val="000000" w:themeColor="text1"/>
                <w:highlight w:val="none"/>
                <w:shd w:val="clear"/>
                <w14:textFill>
                  <w14:solidFill>
                    <w14:schemeClr w14:val="tx1"/>
                  </w14:solidFill>
                </w14:textFill>
              </w:rPr>
              <w:t>在</w:t>
            </w:r>
            <w:r>
              <w:rPr>
                <w:rFonts w:hint="eastAsia" w:ascii="宋体" w:hAnsi="宋体" w:cs="宋体"/>
                <w:color w:val="000000" w:themeColor="text1"/>
                <w:highlight w:val="none"/>
                <w:shd w:val="clear"/>
                <w:lang w:eastAsia="zh-CN"/>
                <w14:textFill>
                  <w14:solidFill>
                    <w14:schemeClr w14:val="tx1"/>
                  </w14:solidFill>
                </w14:textFill>
              </w:rPr>
              <w:t>采购人</w:t>
            </w:r>
            <w:r>
              <w:rPr>
                <w:rFonts w:hint="eastAsia" w:ascii="宋体" w:hAnsi="宋体" w:cs="宋体"/>
                <w:color w:val="000000" w:themeColor="text1"/>
                <w:highlight w:val="none"/>
                <w:shd w:val="clear"/>
                <w14:textFill>
                  <w14:solidFill>
                    <w14:schemeClr w14:val="tx1"/>
                  </w14:solidFill>
                </w14:textFill>
              </w:rPr>
              <w:t>支付相关费用前，</w:t>
            </w:r>
            <w:r>
              <w:rPr>
                <w:rFonts w:hint="eastAsia" w:ascii="宋体" w:hAnsi="宋体" w:cs="宋体"/>
                <w:color w:val="000000" w:themeColor="text1"/>
                <w:highlight w:val="none"/>
                <w:shd w:val="clear"/>
                <w:lang w:eastAsia="zh-CN"/>
                <w14:textFill>
                  <w14:solidFill>
                    <w14:schemeClr w14:val="tx1"/>
                  </w14:solidFill>
                </w14:textFill>
              </w:rPr>
              <w:t>中标人</w:t>
            </w:r>
            <w:r>
              <w:rPr>
                <w:rFonts w:hint="eastAsia" w:ascii="宋体" w:hAnsi="宋体" w:cs="宋体"/>
                <w:color w:val="000000" w:themeColor="text1"/>
                <w:highlight w:val="none"/>
                <w:shd w:val="clear"/>
                <w14:textFill>
                  <w14:solidFill>
                    <w14:schemeClr w14:val="tx1"/>
                  </w14:solidFill>
                </w14:textFill>
              </w:rPr>
              <w:t>应当开具等额有效的增值税专用（或普通）发票给</w:t>
            </w:r>
            <w:r>
              <w:rPr>
                <w:rFonts w:hint="eastAsia" w:ascii="宋体" w:hAnsi="宋体" w:cs="宋体"/>
                <w:color w:val="000000" w:themeColor="text1"/>
                <w:highlight w:val="none"/>
                <w:shd w:val="clear"/>
                <w:lang w:eastAsia="zh-CN"/>
                <w14:textFill>
                  <w14:solidFill>
                    <w14:schemeClr w14:val="tx1"/>
                  </w14:solidFill>
                </w14:textFill>
              </w:rPr>
              <w:t>采购人</w:t>
            </w:r>
            <w:r>
              <w:rPr>
                <w:rFonts w:hint="eastAsia" w:ascii="宋体" w:hAnsi="宋体" w:cs="宋体"/>
                <w:color w:val="000000" w:themeColor="text1"/>
                <w:highlight w:val="none"/>
                <w:shd w:val="clear"/>
                <w14:textFill>
                  <w14:solidFill>
                    <w14:schemeClr w14:val="tx1"/>
                  </w14:solidFill>
                </w14:textFill>
              </w:rPr>
              <w:t>，否则</w:t>
            </w:r>
            <w:r>
              <w:rPr>
                <w:rFonts w:hint="eastAsia" w:ascii="宋体" w:hAnsi="宋体" w:cs="宋体"/>
                <w:color w:val="000000" w:themeColor="text1"/>
                <w:highlight w:val="none"/>
                <w:shd w:val="clear"/>
                <w:lang w:eastAsia="zh-CN"/>
                <w14:textFill>
                  <w14:solidFill>
                    <w14:schemeClr w14:val="tx1"/>
                  </w14:solidFill>
                </w14:textFill>
              </w:rPr>
              <w:t>采购人</w:t>
            </w:r>
            <w:r>
              <w:rPr>
                <w:rFonts w:hint="eastAsia" w:ascii="宋体" w:hAnsi="宋体" w:cs="宋体"/>
                <w:color w:val="000000" w:themeColor="text1"/>
                <w:highlight w:val="none"/>
                <w:shd w:val="clear"/>
                <w14:textFill>
                  <w14:solidFill>
                    <w14:schemeClr w14:val="tx1"/>
                  </w14:solidFill>
                </w14:textFill>
              </w:rPr>
              <w:t>有权延迟支付相应款项，且无需承担逾期责任。</w:t>
            </w:r>
            <w:r>
              <w:rPr>
                <w:rFonts w:hint="eastAsia" w:ascii="宋体" w:hAnsi="宋体" w:cs="宋体"/>
                <w:color w:val="000000" w:themeColor="text1"/>
                <w:highlight w:val="none"/>
                <w:shd w:val="clear"/>
                <w:lang w:eastAsia="zh-CN"/>
                <w14:textFill>
                  <w14:solidFill>
                    <w14:schemeClr w14:val="tx1"/>
                  </w14:solidFill>
                </w14:textFill>
              </w:rPr>
              <w:t>项目阶段实施服务情况由监理负责监督与评定。如出现处罚条款所列事故，则按处罚条款要求扣除履约保证金（履约保证金不足以支付处罚款项时，采购人有权向中标人追回已支付的合同款或直接从应付合同款中相应扣减）。</w:t>
            </w:r>
          </w:p>
        </w:tc>
      </w:tr>
      <w:tr w14:paraId="7029A1F9">
        <w:tblPrEx>
          <w:tblCellMar>
            <w:top w:w="0" w:type="dxa"/>
            <w:left w:w="108" w:type="dxa"/>
            <w:bottom w:w="0" w:type="dxa"/>
            <w:right w:w="108" w:type="dxa"/>
          </w:tblCellMar>
        </w:tblPrEx>
        <w:trPr>
          <w:trHeight w:val="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3FAAF227">
            <w:pPr>
              <w:spacing w:line="400" w:lineRule="exact"/>
              <w:jc w:val="center"/>
              <w:rPr>
                <w:rFonts w:ascii="宋体" w:hAnsi="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服务响应要求</w:t>
            </w:r>
          </w:p>
        </w:tc>
        <w:tc>
          <w:tcPr>
            <w:tcW w:w="8297" w:type="dxa"/>
            <w:gridSpan w:val="4"/>
            <w:tcBorders>
              <w:top w:val="single" w:color="000000" w:sz="4" w:space="0"/>
              <w:left w:val="single" w:color="000000" w:sz="4" w:space="0"/>
              <w:bottom w:val="single" w:color="000000" w:sz="4" w:space="0"/>
              <w:right w:val="single" w:color="000000" w:sz="4" w:space="0"/>
            </w:tcBorders>
            <w:vAlign w:val="top"/>
          </w:tcPr>
          <w:p w14:paraId="569A95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hAnsi="Calibri" w:eastAsia="宋体" w:cs="Times New Roman"/>
                <w:color w:val="000000" w:themeColor="text1"/>
                <w:szCs w:val="22"/>
                <w:highlight w:val="none"/>
                <w14:textFill>
                  <w14:solidFill>
                    <w14:schemeClr w14:val="tx1"/>
                  </w14:solidFill>
                </w14:textFill>
              </w:rPr>
            </w:pPr>
            <w:r>
              <w:rPr>
                <w:rFonts w:hint="eastAsia" w:ascii="Calibri" w:hAnsi="Calibri" w:eastAsia="宋体" w:cs="Times New Roman"/>
                <w:color w:val="000000" w:themeColor="text1"/>
                <w:szCs w:val="22"/>
                <w:highlight w:val="none"/>
                <w:lang w:eastAsia="zh-CN"/>
                <w14:textFill>
                  <w14:solidFill>
                    <w14:schemeClr w14:val="tx1"/>
                  </w14:solidFill>
                </w14:textFill>
              </w:rPr>
              <w:t>（一）中标人</w:t>
            </w:r>
            <w:r>
              <w:rPr>
                <w:rFonts w:hint="eastAsia" w:ascii="Calibri" w:hAnsi="Calibri" w:eastAsia="宋体" w:cs="Times New Roman"/>
                <w:color w:val="000000" w:themeColor="text1"/>
                <w:szCs w:val="22"/>
                <w:highlight w:val="none"/>
                <w14:textFill>
                  <w14:solidFill>
                    <w14:schemeClr w14:val="tx1"/>
                  </w14:solidFill>
                </w14:textFill>
              </w:rPr>
              <w:t>须提供7*24小时技术支持服务。</w:t>
            </w:r>
          </w:p>
          <w:p w14:paraId="6361027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Calibri" w:hAnsi="Calibri" w:eastAsia="宋体" w:cs="Times New Roman"/>
                <w:color w:val="000000" w:themeColor="text1"/>
                <w:szCs w:val="22"/>
                <w:highlight w:val="none"/>
                <w14:textFill>
                  <w14:solidFill>
                    <w14:schemeClr w14:val="tx1"/>
                  </w14:solidFill>
                </w14:textFill>
              </w:rPr>
            </w:pPr>
            <w:r>
              <w:rPr>
                <w:rFonts w:hint="eastAsia" w:ascii="Calibri" w:hAnsi="Calibri" w:eastAsia="宋体" w:cs="Times New Roman"/>
                <w:color w:val="000000" w:themeColor="text1"/>
                <w:szCs w:val="22"/>
                <w:highlight w:val="none"/>
                <w:lang w:eastAsia="zh-CN"/>
                <w14:textFill>
                  <w14:solidFill>
                    <w14:schemeClr w14:val="tx1"/>
                  </w14:solidFill>
                </w14:textFill>
              </w:rPr>
              <w:t>（二）</w:t>
            </w:r>
            <w:r>
              <w:rPr>
                <w:rFonts w:hint="eastAsia" w:ascii="Calibri" w:hAnsi="Calibri" w:eastAsia="宋体" w:cs="Times New Roman"/>
                <w:color w:val="000000" w:themeColor="text1"/>
                <w:szCs w:val="22"/>
                <w:highlight w:val="none"/>
                <w14:textFill>
                  <w14:solidFill>
                    <w14:schemeClr w14:val="tx1"/>
                  </w14:solidFill>
                </w14:textFill>
              </w:rPr>
              <w:t>接到故障通知，服务人员按照四种现场处理级别进行响应处理。服务需求中有特别要求的，按特别要求执行。</w:t>
            </w:r>
          </w:p>
          <w:p w14:paraId="6FCF78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000000" w:themeColor="text1"/>
                <w:szCs w:val="22"/>
                <w:highlight w:val="none"/>
                <w14:textFill>
                  <w14:solidFill>
                    <w14:schemeClr w14:val="tx1"/>
                  </w14:solidFill>
                </w14:textFill>
              </w:rPr>
            </w:pPr>
            <w:bookmarkStart w:id="49" w:name="_Toc20312"/>
            <w:r>
              <w:rPr>
                <w:rFonts w:hint="eastAsia" w:ascii="Calibri" w:hAnsi="Calibri" w:eastAsia="宋体" w:cs="Times New Roman"/>
                <w:color w:val="000000" w:themeColor="text1"/>
                <w:szCs w:val="22"/>
                <w:highlight w:val="none"/>
                <w14:textFill>
                  <w14:solidFill>
                    <w14:schemeClr w14:val="tx1"/>
                  </w14:solidFill>
                </w14:textFill>
              </w:rPr>
              <w:t>1级：</w:t>
            </w:r>
            <w:r>
              <w:rPr>
                <w:rFonts w:hint="eastAsia" w:ascii="Calibri" w:hAnsi="Calibri" w:eastAsia="宋体" w:cs="Times New Roman"/>
                <w:color w:val="000000" w:themeColor="text1"/>
                <w:szCs w:val="22"/>
                <w:highlight w:val="none"/>
                <w:lang w:eastAsia="zh-CN"/>
                <w14:textFill>
                  <w14:solidFill>
                    <w14:schemeClr w14:val="tx1"/>
                  </w14:solidFill>
                </w14:textFill>
              </w:rPr>
              <w:t>特别重大</w:t>
            </w:r>
            <w:r>
              <w:rPr>
                <w:rFonts w:hint="eastAsia" w:ascii="Calibri" w:hAnsi="Calibri" w:eastAsia="宋体" w:cs="Times New Roman"/>
                <w:color w:val="000000" w:themeColor="text1"/>
                <w:szCs w:val="22"/>
                <w:highlight w:val="none"/>
                <w14:textFill>
                  <w14:solidFill>
                    <w14:schemeClr w14:val="tx1"/>
                  </w14:solidFill>
                </w14:textFill>
              </w:rPr>
              <w:t>事件</w:t>
            </w:r>
            <w:bookmarkEnd w:id="49"/>
          </w:p>
          <w:p w14:paraId="3DD1655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000000" w:themeColor="text1"/>
                <w:szCs w:val="22"/>
                <w:highlight w:val="none"/>
                <w14:textFill>
                  <w14:solidFill>
                    <w14:schemeClr w14:val="tx1"/>
                  </w14:solidFill>
                </w14:textFill>
              </w:rPr>
            </w:pPr>
            <w:r>
              <w:rPr>
                <w:rFonts w:hint="eastAsia" w:ascii="Calibri" w:hAnsi="Calibri" w:eastAsia="宋体" w:cs="Times New Roman"/>
                <w:color w:val="000000" w:themeColor="text1"/>
                <w:szCs w:val="22"/>
                <w:highlight w:val="none"/>
                <w14:textFill>
                  <w14:solidFill>
                    <w14:schemeClr w14:val="tx1"/>
                  </w14:solidFill>
                </w14:textFill>
              </w:rPr>
              <w:t>现象：</w:t>
            </w:r>
            <w:r>
              <w:rPr>
                <w:rFonts w:hint="eastAsia" w:ascii="Calibri" w:hAnsi="Calibri" w:cs="Times New Roman"/>
                <w:color w:val="000000" w:themeColor="text1"/>
                <w:szCs w:val="22"/>
                <w:highlight w:val="none"/>
                <w:lang w:eastAsia="zh-CN"/>
                <w14:textFill>
                  <w14:solidFill>
                    <w14:schemeClr w14:val="tx1"/>
                  </w14:solidFill>
                </w14:textFill>
              </w:rPr>
              <w:t>重要</w:t>
            </w:r>
            <w:r>
              <w:rPr>
                <w:rFonts w:hint="eastAsia" w:ascii="Calibri" w:hAnsi="Calibri" w:eastAsia="宋体" w:cs="Times New Roman"/>
                <w:color w:val="000000" w:themeColor="text1"/>
                <w:szCs w:val="22"/>
                <w:highlight w:val="none"/>
                <w14:textFill>
                  <w14:solidFill>
                    <w14:schemeClr w14:val="tx1"/>
                  </w14:solidFill>
                </w14:textFill>
              </w:rPr>
              <w:t>用户申报；信息安全事件、核心应用系统、核心基础设施故障且业务影响到运维范围内二分之一及以上用户。</w:t>
            </w:r>
          </w:p>
          <w:p w14:paraId="7CF65BA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000000" w:themeColor="text1"/>
                <w:szCs w:val="22"/>
                <w:highlight w:val="none"/>
                <w14:textFill>
                  <w14:solidFill>
                    <w14:schemeClr w14:val="tx1"/>
                  </w14:solidFill>
                </w14:textFill>
              </w:rPr>
            </w:pPr>
            <w:r>
              <w:rPr>
                <w:rFonts w:hint="eastAsia" w:ascii="Calibri" w:hAnsi="Calibri" w:eastAsia="宋体" w:cs="Times New Roman"/>
                <w:color w:val="000000" w:themeColor="text1"/>
                <w:szCs w:val="22"/>
                <w:highlight w:val="none"/>
                <w14:textFill>
                  <w14:solidFill>
                    <w14:schemeClr w14:val="tx1"/>
                  </w14:solidFill>
                </w14:textFill>
              </w:rPr>
              <w:t>处理方式：15分钟内响应，4小时内采取相应解决方案直至系统可以运行或降至2-4级别的问题。</w:t>
            </w:r>
          </w:p>
          <w:p w14:paraId="6AB68D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000000" w:themeColor="text1"/>
                <w:szCs w:val="22"/>
                <w:highlight w:val="none"/>
                <w14:textFill>
                  <w14:solidFill>
                    <w14:schemeClr w14:val="tx1"/>
                  </w14:solidFill>
                </w14:textFill>
              </w:rPr>
            </w:pPr>
            <w:bookmarkStart w:id="50" w:name="_Toc2915"/>
            <w:r>
              <w:rPr>
                <w:rFonts w:hint="eastAsia" w:ascii="Calibri" w:hAnsi="Calibri" w:eastAsia="宋体" w:cs="Times New Roman"/>
                <w:color w:val="000000" w:themeColor="text1"/>
                <w:szCs w:val="22"/>
                <w:highlight w:val="none"/>
                <w14:textFill>
                  <w14:solidFill>
                    <w14:schemeClr w14:val="tx1"/>
                  </w14:solidFill>
                </w14:textFill>
              </w:rPr>
              <w:t>2级：</w:t>
            </w:r>
            <w:r>
              <w:rPr>
                <w:rFonts w:hint="eastAsia" w:ascii="Calibri" w:hAnsi="Calibri" w:eastAsia="宋体" w:cs="Times New Roman"/>
                <w:color w:val="000000" w:themeColor="text1"/>
                <w:szCs w:val="22"/>
                <w:highlight w:val="none"/>
                <w:lang w:val="zh-CN"/>
                <w14:textFill>
                  <w14:solidFill>
                    <w14:schemeClr w14:val="tx1"/>
                  </w14:solidFill>
                </w14:textFill>
              </w:rPr>
              <w:t>重大</w:t>
            </w:r>
            <w:r>
              <w:rPr>
                <w:rFonts w:hint="eastAsia" w:ascii="Calibri" w:hAnsi="Calibri" w:eastAsia="宋体" w:cs="Times New Roman"/>
                <w:color w:val="000000" w:themeColor="text1"/>
                <w:szCs w:val="22"/>
                <w:highlight w:val="none"/>
                <w14:textFill>
                  <w14:solidFill>
                    <w14:schemeClr w14:val="tx1"/>
                  </w14:solidFill>
                </w14:textFill>
              </w:rPr>
              <w:t>事件</w:t>
            </w:r>
            <w:bookmarkEnd w:id="50"/>
          </w:p>
          <w:p w14:paraId="2DADBC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000000" w:themeColor="text1"/>
                <w:szCs w:val="22"/>
                <w:highlight w:val="none"/>
                <w14:textFill>
                  <w14:solidFill>
                    <w14:schemeClr w14:val="tx1"/>
                  </w14:solidFill>
                </w14:textFill>
              </w:rPr>
            </w:pPr>
            <w:r>
              <w:rPr>
                <w:rFonts w:hint="eastAsia" w:ascii="Calibri" w:hAnsi="Calibri" w:eastAsia="宋体" w:cs="Times New Roman"/>
                <w:color w:val="000000" w:themeColor="text1"/>
                <w:szCs w:val="22"/>
                <w:highlight w:val="none"/>
                <w14:textFill>
                  <w14:solidFill>
                    <w14:schemeClr w14:val="tx1"/>
                  </w14:solidFill>
                </w14:textFill>
              </w:rPr>
              <w:t>现象：信息安全事件、核心应用系统故障、核心基础设施故障且业务影响到运维范围内二分之一以下用户；重要应用系统、重要基础设施故障且业务影响到运维范围内二分之一以上用户。</w:t>
            </w:r>
          </w:p>
          <w:p w14:paraId="2BD82C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000000" w:themeColor="text1"/>
                <w:szCs w:val="22"/>
                <w:highlight w:val="none"/>
                <w14:textFill>
                  <w14:solidFill>
                    <w14:schemeClr w14:val="tx1"/>
                  </w14:solidFill>
                </w14:textFill>
              </w:rPr>
            </w:pPr>
            <w:r>
              <w:rPr>
                <w:rFonts w:hint="eastAsia" w:ascii="Calibri" w:hAnsi="Calibri" w:eastAsia="宋体" w:cs="Times New Roman"/>
                <w:color w:val="000000" w:themeColor="text1"/>
                <w:szCs w:val="22"/>
                <w:highlight w:val="none"/>
                <w14:textFill>
                  <w14:solidFill>
                    <w14:schemeClr w14:val="tx1"/>
                  </w14:solidFill>
                </w14:textFill>
              </w:rPr>
              <w:t>处理方式：</w:t>
            </w:r>
            <w:r>
              <w:rPr>
                <w:rFonts w:hint="eastAsia" w:ascii="Calibri" w:hAnsi="Calibri" w:eastAsia="宋体" w:cs="Times New Roman"/>
                <w:color w:val="000000" w:themeColor="text1"/>
                <w:szCs w:val="22"/>
                <w:highlight w:val="none"/>
                <w:lang w:val="en-US" w:eastAsia="zh-CN"/>
                <w14:textFill>
                  <w14:solidFill>
                    <w14:schemeClr w14:val="tx1"/>
                  </w14:solidFill>
                </w14:textFill>
              </w:rPr>
              <w:t>15</w:t>
            </w:r>
            <w:r>
              <w:rPr>
                <w:rFonts w:hint="eastAsia" w:ascii="Calibri" w:hAnsi="Calibri" w:eastAsia="宋体" w:cs="Times New Roman"/>
                <w:color w:val="000000" w:themeColor="text1"/>
                <w:szCs w:val="22"/>
                <w:highlight w:val="none"/>
                <w14:textFill>
                  <w14:solidFill>
                    <w14:schemeClr w14:val="tx1"/>
                  </w14:solidFill>
                </w14:textFill>
              </w:rPr>
              <w:t>分钟内响应，</w:t>
            </w:r>
            <w:r>
              <w:rPr>
                <w:rFonts w:hint="eastAsia" w:ascii="Calibri" w:hAnsi="Calibri" w:eastAsia="宋体" w:cs="Times New Roman"/>
                <w:color w:val="000000" w:themeColor="text1"/>
                <w:szCs w:val="22"/>
                <w:highlight w:val="none"/>
                <w:lang w:val="en-US" w:eastAsia="zh-CN"/>
                <w14:textFill>
                  <w14:solidFill>
                    <w14:schemeClr w14:val="tx1"/>
                  </w14:solidFill>
                </w14:textFill>
              </w:rPr>
              <w:t>3</w:t>
            </w:r>
            <w:r>
              <w:rPr>
                <w:rFonts w:hint="eastAsia" w:ascii="Calibri" w:hAnsi="Calibri" w:eastAsia="宋体" w:cs="Times New Roman"/>
                <w:color w:val="000000" w:themeColor="text1"/>
                <w:szCs w:val="22"/>
                <w:highlight w:val="none"/>
                <w14:textFill>
                  <w14:solidFill>
                    <w14:schemeClr w14:val="tx1"/>
                  </w14:solidFill>
                </w14:textFill>
              </w:rPr>
              <w:t>小时内采取相应解决方案直至系统可以运行或降至3-4级别的问题。</w:t>
            </w:r>
          </w:p>
          <w:p w14:paraId="07A7481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000000" w:themeColor="text1"/>
                <w:szCs w:val="22"/>
                <w:highlight w:val="none"/>
                <w14:textFill>
                  <w14:solidFill>
                    <w14:schemeClr w14:val="tx1"/>
                  </w14:solidFill>
                </w14:textFill>
              </w:rPr>
            </w:pPr>
            <w:bookmarkStart w:id="51" w:name="_Toc11742"/>
            <w:r>
              <w:rPr>
                <w:rFonts w:hint="eastAsia" w:ascii="Calibri" w:hAnsi="Calibri" w:eastAsia="宋体" w:cs="Times New Roman"/>
                <w:color w:val="000000" w:themeColor="text1"/>
                <w:szCs w:val="22"/>
                <w:highlight w:val="none"/>
                <w14:textFill>
                  <w14:solidFill>
                    <w14:schemeClr w14:val="tx1"/>
                  </w14:solidFill>
                </w14:textFill>
              </w:rPr>
              <w:t>3级：</w:t>
            </w:r>
            <w:r>
              <w:rPr>
                <w:rFonts w:hint="eastAsia" w:ascii="Calibri" w:hAnsi="Calibri" w:eastAsia="宋体" w:cs="Times New Roman"/>
                <w:color w:val="000000" w:themeColor="text1"/>
                <w:szCs w:val="22"/>
                <w:highlight w:val="none"/>
                <w:lang w:val="zh-CN"/>
                <w14:textFill>
                  <w14:solidFill>
                    <w14:schemeClr w14:val="tx1"/>
                  </w14:solidFill>
                </w14:textFill>
              </w:rPr>
              <w:t>较大</w:t>
            </w:r>
            <w:r>
              <w:rPr>
                <w:rFonts w:hint="eastAsia" w:ascii="Calibri" w:hAnsi="Calibri" w:eastAsia="宋体" w:cs="Times New Roman"/>
                <w:color w:val="000000" w:themeColor="text1"/>
                <w:szCs w:val="22"/>
                <w:highlight w:val="none"/>
                <w14:textFill>
                  <w14:solidFill>
                    <w14:schemeClr w14:val="tx1"/>
                  </w14:solidFill>
                </w14:textFill>
              </w:rPr>
              <w:t>事件</w:t>
            </w:r>
            <w:bookmarkEnd w:id="51"/>
          </w:p>
          <w:p w14:paraId="727C6C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000000" w:themeColor="text1"/>
                <w:szCs w:val="22"/>
                <w:highlight w:val="none"/>
                <w14:textFill>
                  <w14:solidFill>
                    <w14:schemeClr w14:val="tx1"/>
                  </w14:solidFill>
                </w14:textFill>
              </w:rPr>
            </w:pPr>
            <w:r>
              <w:rPr>
                <w:rFonts w:hint="eastAsia" w:ascii="Calibri" w:hAnsi="Calibri" w:eastAsia="宋体" w:cs="Times New Roman"/>
                <w:color w:val="000000" w:themeColor="text1"/>
                <w:szCs w:val="22"/>
                <w:highlight w:val="none"/>
                <w14:textFill>
                  <w14:solidFill>
                    <w14:schemeClr w14:val="tx1"/>
                  </w14:solidFill>
                </w14:textFill>
              </w:rPr>
              <w:t>现象：信息安全事件、核心应用系统故障、核心基础设施故障且影响个别用户（1-3人）；重要应用系统、重要基础设施故障且业务影响到运维范围内二分之一以下用户；一般应用系统、一般基础设施故障、</w:t>
            </w:r>
            <w:r>
              <w:rPr>
                <w:rFonts w:hint="eastAsia" w:ascii="Calibri" w:hAnsi="Calibri" w:cs="Times New Roman"/>
                <w:color w:val="000000" w:themeColor="text1"/>
                <w:szCs w:val="22"/>
                <w:highlight w:val="none"/>
                <w:lang w:eastAsia="zh-CN"/>
                <w14:textFill>
                  <w14:solidFill>
                    <w14:schemeClr w14:val="tx1"/>
                  </w14:solidFill>
                </w14:textFill>
              </w:rPr>
              <w:t>一般</w:t>
            </w:r>
            <w:r>
              <w:rPr>
                <w:rFonts w:hint="eastAsia" w:ascii="Calibri" w:hAnsi="Calibri" w:eastAsia="宋体" w:cs="Times New Roman"/>
                <w:color w:val="000000" w:themeColor="text1"/>
                <w:szCs w:val="22"/>
                <w:highlight w:val="none"/>
                <w14:textFill>
                  <w14:solidFill>
                    <w14:schemeClr w14:val="tx1"/>
                  </w14:solidFill>
                </w14:textFill>
              </w:rPr>
              <w:t>用户计算机终端故障业务且影响到运维范围内二分之一以下用户；服务请求且业务影响到运维范围内二分之一及以上用户。</w:t>
            </w:r>
          </w:p>
          <w:p w14:paraId="5E271B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000000" w:themeColor="text1"/>
                <w:szCs w:val="22"/>
                <w:highlight w:val="none"/>
                <w14:textFill>
                  <w14:solidFill>
                    <w14:schemeClr w14:val="tx1"/>
                  </w14:solidFill>
                </w14:textFill>
              </w:rPr>
            </w:pPr>
            <w:r>
              <w:rPr>
                <w:rFonts w:hint="eastAsia" w:ascii="Calibri" w:hAnsi="Calibri" w:eastAsia="宋体" w:cs="Times New Roman"/>
                <w:color w:val="000000" w:themeColor="text1"/>
                <w:szCs w:val="22"/>
                <w:highlight w:val="none"/>
                <w14:textFill>
                  <w14:solidFill>
                    <w14:schemeClr w14:val="tx1"/>
                  </w14:solidFill>
                </w14:textFill>
              </w:rPr>
              <w:t>处理方式：</w:t>
            </w:r>
            <w:r>
              <w:rPr>
                <w:rFonts w:hint="eastAsia" w:ascii="Calibri" w:hAnsi="Calibri" w:eastAsia="宋体" w:cs="Times New Roman"/>
                <w:color w:val="000000" w:themeColor="text1"/>
                <w:szCs w:val="22"/>
                <w:highlight w:val="none"/>
                <w:lang w:val="en-US" w:eastAsia="zh-CN"/>
                <w14:textFill>
                  <w14:solidFill>
                    <w14:schemeClr w14:val="tx1"/>
                  </w14:solidFill>
                </w14:textFill>
              </w:rPr>
              <w:t>15</w:t>
            </w:r>
            <w:r>
              <w:rPr>
                <w:rFonts w:hint="eastAsia" w:ascii="Calibri" w:hAnsi="Calibri" w:eastAsia="宋体" w:cs="Times New Roman"/>
                <w:color w:val="000000" w:themeColor="text1"/>
                <w:szCs w:val="22"/>
                <w:highlight w:val="none"/>
                <w14:textFill>
                  <w14:solidFill>
                    <w14:schemeClr w14:val="tx1"/>
                  </w14:solidFill>
                </w14:textFill>
              </w:rPr>
              <w:t>分钟内响应，2小时内采取相应解决方案直至系统正常，非工作日由采购人决定是否到场。</w:t>
            </w:r>
          </w:p>
          <w:p w14:paraId="0ABC903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000000" w:themeColor="text1"/>
                <w:szCs w:val="22"/>
                <w:highlight w:val="none"/>
                <w14:textFill>
                  <w14:solidFill>
                    <w14:schemeClr w14:val="tx1"/>
                  </w14:solidFill>
                </w14:textFill>
              </w:rPr>
            </w:pPr>
            <w:bookmarkStart w:id="52" w:name="_Toc14283"/>
            <w:r>
              <w:rPr>
                <w:rFonts w:hint="eastAsia" w:ascii="Calibri" w:hAnsi="Calibri" w:eastAsia="宋体" w:cs="Times New Roman"/>
                <w:color w:val="000000" w:themeColor="text1"/>
                <w:szCs w:val="22"/>
                <w:highlight w:val="none"/>
                <w14:textFill>
                  <w14:solidFill>
                    <w14:schemeClr w14:val="tx1"/>
                  </w14:solidFill>
                </w14:textFill>
              </w:rPr>
              <w:t>4级：</w:t>
            </w:r>
            <w:r>
              <w:rPr>
                <w:rFonts w:hint="eastAsia" w:ascii="Calibri" w:hAnsi="Calibri" w:eastAsia="宋体" w:cs="Times New Roman"/>
                <w:color w:val="000000" w:themeColor="text1"/>
                <w:szCs w:val="22"/>
                <w:highlight w:val="none"/>
                <w:lang w:eastAsia="zh-CN"/>
                <w14:textFill>
                  <w14:solidFill>
                    <w14:schemeClr w14:val="tx1"/>
                  </w14:solidFill>
                </w14:textFill>
              </w:rPr>
              <w:t>一般</w:t>
            </w:r>
            <w:r>
              <w:rPr>
                <w:rFonts w:hint="eastAsia" w:ascii="Calibri" w:hAnsi="Calibri" w:eastAsia="宋体" w:cs="Times New Roman"/>
                <w:color w:val="000000" w:themeColor="text1"/>
                <w:szCs w:val="22"/>
                <w:highlight w:val="none"/>
                <w14:textFill>
                  <w14:solidFill>
                    <w14:schemeClr w14:val="tx1"/>
                  </w14:solidFill>
                </w14:textFill>
              </w:rPr>
              <w:t>事件</w:t>
            </w:r>
            <w:bookmarkEnd w:id="52"/>
          </w:p>
          <w:p w14:paraId="3BC096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Calibri" w:hAnsi="Calibri" w:eastAsia="宋体" w:cs="Times New Roman"/>
                <w:color w:val="000000" w:themeColor="text1"/>
                <w:szCs w:val="22"/>
                <w:highlight w:val="none"/>
                <w14:textFill>
                  <w14:solidFill>
                    <w14:schemeClr w14:val="tx1"/>
                  </w14:solidFill>
                </w14:textFill>
              </w:rPr>
            </w:pPr>
            <w:r>
              <w:rPr>
                <w:rFonts w:hint="eastAsia" w:ascii="Calibri" w:hAnsi="Calibri" w:eastAsia="宋体" w:cs="Times New Roman"/>
                <w:color w:val="000000" w:themeColor="text1"/>
                <w:szCs w:val="22"/>
                <w:highlight w:val="none"/>
                <w14:textFill>
                  <w14:solidFill>
                    <w14:schemeClr w14:val="tx1"/>
                  </w14:solidFill>
                </w14:textFill>
              </w:rPr>
              <w:t>一般应用系统、一般基础设施故障、</w:t>
            </w:r>
            <w:r>
              <w:rPr>
                <w:rFonts w:hint="eastAsia" w:ascii="Calibri" w:hAnsi="Calibri" w:cs="Times New Roman"/>
                <w:color w:val="000000" w:themeColor="text1"/>
                <w:szCs w:val="22"/>
                <w:highlight w:val="none"/>
                <w:lang w:eastAsia="zh-CN"/>
                <w14:textFill>
                  <w14:solidFill>
                    <w14:schemeClr w14:val="tx1"/>
                  </w14:solidFill>
                </w14:textFill>
              </w:rPr>
              <w:t>一般</w:t>
            </w:r>
            <w:r>
              <w:rPr>
                <w:rFonts w:hint="eastAsia" w:ascii="Calibri" w:hAnsi="Calibri" w:eastAsia="宋体" w:cs="Times New Roman"/>
                <w:color w:val="000000" w:themeColor="text1"/>
                <w:szCs w:val="22"/>
                <w:highlight w:val="none"/>
                <w14:textFill>
                  <w14:solidFill>
                    <w14:schemeClr w14:val="tx1"/>
                  </w14:solidFill>
                </w14:textFill>
              </w:rPr>
              <w:t>用户计算机终端故障且影响个别用户（1-3人）；服务请求且业务影响到运维范围内二分之一以下用户；服务请求且影响个别用户（1-3人）。</w:t>
            </w:r>
          </w:p>
          <w:p w14:paraId="6C68CA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Calibri" w:hAnsi="Calibri"/>
                <w:color w:val="000000" w:themeColor="text1"/>
                <w:szCs w:val="21"/>
                <w:highlight w:val="none"/>
                <w14:textFill>
                  <w14:solidFill>
                    <w14:schemeClr w14:val="tx1"/>
                  </w14:solidFill>
                </w14:textFill>
              </w:rPr>
            </w:pPr>
            <w:r>
              <w:rPr>
                <w:rFonts w:hint="eastAsia" w:ascii="Calibri" w:hAnsi="Calibri" w:eastAsia="宋体" w:cs="Times New Roman"/>
                <w:color w:val="000000" w:themeColor="text1"/>
                <w:szCs w:val="22"/>
                <w:highlight w:val="none"/>
                <w14:textFill>
                  <w14:solidFill>
                    <w14:schemeClr w14:val="tx1"/>
                  </w14:solidFill>
                </w14:textFill>
              </w:rPr>
              <w:t>处理方式：</w:t>
            </w:r>
            <w:r>
              <w:rPr>
                <w:rFonts w:hint="eastAsia" w:ascii="Calibri" w:hAnsi="Calibri" w:eastAsia="宋体" w:cs="Times New Roman"/>
                <w:color w:val="000000" w:themeColor="text1"/>
                <w:szCs w:val="22"/>
                <w:highlight w:val="none"/>
                <w:lang w:val="en-US" w:eastAsia="zh-CN"/>
                <w14:textFill>
                  <w14:solidFill>
                    <w14:schemeClr w14:val="tx1"/>
                  </w14:solidFill>
                </w14:textFill>
              </w:rPr>
              <w:t>15</w:t>
            </w:r>
            <w:r>
              <w:rPr>
                <w:rFonts w:hint="eastAsia" w:ascii="Calibri" w:hAnsi="Calibri" w:eastAsia="宋体" w:cs="Times New Roman"/>
                <w:color w:val="000000" w:themeColor="text1"/>
                <w:szCs w:val="22"/>
                <w:highlight w:val="none"/>
                <w14:textFill>
                  <w14:solidFill>
                    <w14:schemeClr w14:val="tx1"/>
                  </w14:solidFill>
                </w14:textFill>
              </w:rPr>
              <w:t>分钟内响应，</w:t>
            </w:r>
            <w:r>
              <w:rPr>
                <w:rFonts w:hint="eastAsia" w:ascii="Calibri" w:hAnsi="Calibri" w:eastAsia="宋体" w:cs="Times New Roman"/>
                <w:color w:val="000000" w:themeColor="text1"/>
                <w:szCs w:val="22"/>
                <w:highlight w:val="none"/>
                <w:lang w:val="en-US" w:eastAsia="zh-CN"/>
                <w14:textFill>
                  <w14:solidFill>
                    <w14:schemeClr w14:val="tx1"/>
                  </w14:solidFill>
                </w14:textFill>
              </w:rPr>
              <w:t>30分钟</w:t>
            </w:r>
            <w:r>
              <w:rPr>
                <w:rFonts w:hint="eastAsia" w:ascii="Calibri" w:hAnsi="Calibri" w:eastAsia="宋体" w:cs="Times New Roman"/>
                <w:color w:val="000000" w:themeColor="text1"/>
                <w:szCs w:val="22"/>
                <w:highlight w:val="none"/>
                <w14:textFill>
                  <w14:solidFill>
                    <w14:schemeClr w14:val="tx1"/>
                  </w14:solidFill>
                </w14:textFill>
              </w:rPr>
              <w:t>内采取相应解决方案直至系统正常，非工作日由采购人决定是否到场。</w:t>
            </w:r>
          </w:p>
        </w:tc>
      </w:tr>
      <w:tr w14:paraId="579C52B5">
        <w:tblPrEx>
          <w:tblCellMar>
            <w:top w:w="0" w:type="dxa"/>
            <w:left w:w="108" w:type="dxa"/>
            <w:bottom w:w="0" w:type="dxa"/>
            <w:right w:w="108" w:type="dxa"/>
          </w:tblCellMar>
        </w:tblPrEx>
        <w:trPr>
          <w:trHeight w:val="0" w:hRule="atLeast"/>
          <w:jc w:val="center"/>
        </w:trPr>
        <w:tc>
          <w:tcPr>
            <w:tcW w:w="1696" w:type="dxa"/>
            <w:gridSpan w:val="2"/>
            <w:tcBorders>
              <w:top w:val="single" w:color="000000" w:sz="4" w:space="0"/>
              <w:left w:val="single" w:color="000000" w:sz="4" w:space="0"/>
              <w:bottom w:val="single" w:color="000000" w:sz="4" w:space="0"/>
              <w:right w:val="single" w:color="000000" w:sz="4" w:space="0"/>
            </w:tcBorders>
            <w:vAlign w:val="center"/>
          </w:tcPr>
          <w:p w14:paraId="47D881E4">
            <w:pPr>
              <w:spacing w:line="400" w:lineRule="exact"/>
              <w:rPr>
                <w:rFonts w:ascii="宋体" w:hAnsi="宋体" w:cs="宋体"/>
                <w:b/>
                <w:color w:val="000000" w:themeColor="text1"/>
                <w:szCs w:val="21"/>
                <w:highlight w:val="none"/>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cs="宋体"/>
                <w:b/>
                <w:color w:val="000000" w:themeColor="text1"/>
                <w:szCs w:val="21"/>
                <w:highlight w:val="none"/>
                <w14:textFill>
                  <w14:solidFill>
                    <w14:schemeClr w14:val="tx1"/>
                  </w14:solidFill>
                </w14:textFill>
              </w:rPr>
              <w:t>服务质量保障要求</w:t>
            </w:r>
          </w:p>
        </w:tc>
        <w:tc>
          <w:tcPr>
            <w:tcW w:w="8297" w:type="dxa"/>
            <w:gridSpan w:val="4"/>
            <w:tcBorders>
              <w:top w:val="single" w:color="000000" w:sz="4" w:space="0"/>
              <w:left w:val="single" w:color="000000" w:sz="4" w:space="0"/>
              <w:bottom w:val="single" w:color="000000" w:sz="4" w:space="0"/>
              <w:right w:val="single" w:color="000000" w:sz="4" w:space="0"/>
            </w:tcBorders>
            <w:vAlign w:val="center"/>
          </w:tcPr>
          <w:p w14:paraId="5BF7E353">
            <w:pPr>
              <w:pStyle w:val="237"/>
              <w:keepNext w:val="0"/>
              <w:keepLines w:val="0"/>
              <w:pageBreakBefore w:val="0"/>
              <w:numPr>
                <w:ilvl w:val="0"/>
                <w:numId w:val="3"/>
              </w:numPr>
              <w:kinsoku/>
              <w:wordWrap/>
              <w:overflowPunct/>
              <w:topLinePunct w:val="0"/>
              <w:autoSpaceDE/>
              <w:autoSpaceDN/>
              <w:bidi w:val="0"/>
              <w:adjustRightInd/>
              <w:snapToGrid/>
              <w:spacing w:line="360" w:lineRule="auto"/>
              <w:ind w:firstLineChars="0"/>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53" w:name="_Toc1137"/>
            <w:bookmarkStart w:id="54" w:name="_Toc2539"/>
            <w:bookmarkStart w:id="55" w:name="_Toc18703"/>
            <w:r>
              <w:rPr>
                <w:rFonts w:hint="eastAsia" w:ascii="宋体" w:hAnsi="宋体" w:eastAsia="宋体" w:cs="宋体"/>
                <w:b/>
                <w:color w:val="000000" w:themeColor="text1"/>
                <w:sz w:val="21"/>
                <w:szCs w:val="21"/>
                <w:highlight w:val="none"/>
                <w14:textFill>
                  <w14:solidFill>
                    <w14:schemeClr w14:val="tx1"/>
                  </w14:solidFill>
                </w14:textFill>
              </w:rPr>
              <w:t>项目监理要求</w:t>
            </w:r>
            <w:bookmarkEnd w:id="53"/>
            <w:bookmarkEnd w:id="54"/>
            <w:bookmarkEnd w:id="55"/>
          </w:p>
          <w:p w14:paraId="5DF3AC4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中标人须接受采购人指定的第三方监理单位的监督管理；中标人须在合同签订后</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eastAsia="zh-CN"/>
                <w14:textFill>
                  <w14:solidFill>
                    <w14:schemeClr w14:val="tx1"/>
                  </w14:solidFill>
                </w14:textFill>
              </w:rPr>
              <w:t>个工作日内，根据服务内容、人员要求、服务范围、设备维保要求、备品备件清单（如有）等采购要求以及采购人对文档的格式要求拟定合同履约清单并提交监理单位审核通过。</w:t>
            </w:r>
          </w:p>
          <w:p w14:paraId="27330ACF">
            <w:pPr>
              <w:pStyle w:val="237"/>
              <w:keepNext w:val="0"/>
              <w:keepLines w:val="0"/>
              <w:pageBreakBefore w:val="0"/>
              <w:numPr>
                <w:ilvl w:val="0"/>
                <w:numId w:val="3"/>
              </w:numPr>
              <w:kinsoku/>
              <w:wordWrap/>
              <w:overflowPunct/>
              <w:topLinePunct w:val="0"/>
              <w:autoSpaceDE/>
              <w:autoSpaceDN/>
              <w:bidi w:val="0"/>
              <w:adjustRightInd/>
              <w:snapToGrid/>
              <w:spacing w:line="360" w:lineRule="auto"/>
              <w:ind w:firstLineChars="0"/>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56" w:name="_Toc8100"/>
            <w:bookmarkStart w:id="57" w:name="_Toc19167"/>
            <w:bookmarkStart w:id="58" w:name="_Toc8725"/>
            <w:r>
              <w:rPr>
                <w:rFonts w:hint="eastAsia" w:ascii="宋体" w:hAnsi="宋体" w:eastAsia="宋体" w:cs="宋体"/>
                <w:b/>
                <w:color w:val="000000" w:themeColor="text1"/>
                <w:sz w:val="21"/>
                <w:szCs w:val="21"/>
                <w:highlight w:val="none"/>
                <w14:textFill>
                  <w14:solidFill>
                    <w14:schemeClr w14:val="tx1"/>
                  </w14:solidFill>
                </w14:textFill>
              </w:rPr>
              <w:t>运维服务考核标准</w:t>
            </w:r>
            <w:bookmarkEnd w:id="56"/>
            <w:bookmarkEnd w:id="57"/>
            <w:bookmarkEnd w:id="58"/>
          </w:p>
          <w:p w14:paraId="23BC35D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1、2026年及2027年分别作一个考核周期。每一个考核周期独立计分，满分为100分。考核分数将折算作为年度供应商评价结果。</w:t>
            </w:r>
          </w:p>
          <w:p w14:paraId="0EB10D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2、上一考核周期结束后，考核基准分重置为100分，进入下一考核周期。</w:t>
            </w:r>
          </w:p>
          <w:p w14:paraId="5B4CCA1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3、采购人或采购人委托监理依据表1及表2所列各项考核指标要求在每个考核周期内的最后一个月完成对乙方运维服务质量考核评价，并在3个工作日内经供需双方对考核得分结果进行签字确认。</w:t>
            </w:r>
            <w:r>
              <w:rPr>
                <w:rFonts w:hint="eastAsia" w:ascii="宋体" w:hAnsi="宋体" w:eastAsia="宋体" w:cs="宋体"/>
                <w:b/>
                <w:bCs/>
                <w:color w:val="000000" w:themeColor="text1"/>
                <w:sz w:val="21"/>
                <w:szCs w:val="21"/>
                <w:highlight w:val="none"/>
                <w:lang w:eastAsia="zh-CN"/>
                <w14:textFill>
                  <w14:solidFill>
                    <w14:schemeClr w14:val="tx1"/>
                  </w14:solidFill>
                </w14:textFill>
              </w:rPr>
              <w:t>（见附件表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w:t>
            </w:r>
          </w:p>
          <w:p w14:paraId="2AD699B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备注：扣分标准包括但不仅限于上述列表中所列项，如果有未列入但实际影响到整体运维服务质量的事件发生，应参照上表与《广西公安信息系统运维中心运维商服务质量考核制度》结合实际情况执行扣分。</w:t>
            </w:r>
          </w:p>
          <w:p w14:paraId="49094483">
            <w:pPr>
              <w:pStyle w:val="237"/>
              <w:keepNext w:val="0"/>
              <w:keepLines w:val="0"/>
              <w:pageBreakBefore w:val="0"/>
              <w:numPr>
                <w:ilvl w:val="0"/>
                <w:numId w:val="3"/>
              </w:numPr>
              <w:kinsoku/>
              <w:wordWrap/>
              <w:overflowPunct/>
              <w:topLinePunct w:val="0"/>
              <w:autoSpaceDE/>
              <w:autoSpaceDN/>
              <w:bidi w:val="0"/>
              <w:adjustRightInd/>
              <w:snapToGrid/>
              <w:spacing w:line="360" w:lineRule="auto"/>
              <w:ind w:firstLineChars="0"/>
              <w:textAlignment w:val="auto"/>
              <w:outlineLvl w:val="1"/>
              <w:rPr>
                <w:rFonts w:hint="eastAsia" w:ascii="宋体" w:hAnsi="宋体" w:eastAsia="宋体" w:cs="宋体"/>
                <w:b/>
                <w:color w:val="000000" w:themeColor="text1"/>
                <w:sz w:val="21"/>
                <w:szCs w:val="21"/>
                <w:highlight w:val="none"/>
                <w14:textFill>
                  <w14:solidFill>
                    <w14:schemeClr w14:val="tx1"/>
                  </w14:solidFill>
                </w14:textFill>
              </w:rPr>
            </w:pPr>
            <w:bookmarkStart w:id="59" w:name="_Toc24649"/>
            <w:bookmarkStart w:id="60" w:name="_Toc31431"/>
            <w:bookmarkStart w:id="61" w:name="_Toc17380"/>
            <w:r>
              <w:rPr>
                <w:rFonts w:hint="eastAsia" w:ascii="宋体" w:hAnsi="宋体" w:eastAsia="宋体" w:cs="宋体"/>
                <w:b/>
                <w:color w:val="000000" w:themeColor="text1"/>
                <w:sz w:val="21"/>
                <w:szCs w:val="21"/>
                <w:highlight w:val="none"/>
                <w14:textFill>
                  <w14:solidFill>
                    <w14:schemeClr w14:val="tx1"/>
                  </w14:solidFill>
                </w14:textFill>
              </w:rPr>
              <w:t>考核应用</w:t>
            </w:r>
            <w:bookmarkEnd w:id="59"/>
            <w:bookmarkEnd w:id="60"/>
            <w:bookmarkEnd w:id="61"/>
          </w:p>
          <w:p w14:paraId="1884C1F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2026年及2027年分别作一个考核周期，采购人根据中标人运维服务考核评价得分，从合同总价中扣减相应金额款项。具体约定如下：</w:t>
            </w:r>
          </w:p>
          <w:p w14:paraId="7F0E9BA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1、每个考核周期扣减金额独立计算，均以合同总价作为扣减基准。</w:t>
            </w:r>
          </w:p>
          <w:p w14:paraId="7911949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2、每个考核周期扣减金额与运维服务质量评价得分扣减金额折算关系如表</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lang w:eastAsia="zh-CN"/>
                <w14:textFill>
                  <w14:solidFill>
                    <w14:schemeClr w14:val="tx1"/>
                  </w14:solidFill>
                </w14:textFill>
              </w:rPr>
              <w:t>所示：</w:t>
            </w:r>
            <w:r>
              <w:rPr>
                <w:rFonts w:hint="eastAsia" w:ascii="宋体" w:hAnsi="宋体" w:eastAsia="宋体" w:cs="宋体"/>
                <w:b/>
                <w:bCs/>
                <w:color w:val="000000" w:themeColor="text1"/>
                <w:sz w:val="21"/>
                <w:szCs w:val="21"/>
                <w:highlight w:val="none"/>
                <w:lang w:eastAsia="zh-CN"/>
                <w14:textFill>
                  <w14:solidFill>
                    <w14:schemeClr w14:val="tx1"/>
                  </w14:solidFill>
                </w14:textFill>
              </w:rPr>
              <w:t>（见附件表</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w:t>
            </w:r>
          </w:p>
        </w:tc>
      </w:tr>
      <w:tr w14:paraId="601D5CD7">
        <w:tblPrEx>
          <w:tblCellMar>
            <w:top w:w="0" w:type="dxa"/>
            <w:left w:w="108" w:type="dxa"/>
            <w:bottom w:w="0" w:type="dxa"/>
            <w:right w:w="108" w:type="dxa"/>
          </w:tblCellMar>
        </w:tblPrEx>
        <w:trPr>
          <w:trHeight w:val="699" w:hRule="atLeast"/>
          <w:jc w:val="center"/>
        </w:trPr>
        <w:tc>
          <w:tcPr>
            <w:tcW w:w="9993" w:type="dxa"/>
            <w:gridSpan w:val="6"/>
            <w:tcBorders>
              <w:top w:val="single" w:color="000000" w:sz="4" w:space="0"/>
              <w:left w:val="single" w:color="000000" w:sz="4" w:space="0"/>
              <w:bottom w:val="single" w:color="000000" w:sz="4" w:space="0"/>
              <w:right w:val="single" w:color="000000" w:sz="4" w:space="0"/>
            </w:tcBorders>
            <w:vAlign w:val="center"/>
          </w:tcPr>
          <w:p w14:paraId="41F3361A">
            <w:pPr>
              <w:tabs>
                <w:tab w:val="left" w:pos="4188"/>
              </w:tabs>
              <w:spacing w:line="400" w:lineRule="exact"/>
              <w:ind w:right="76"/>
              <w:jc w:val="left"/>
              <w:rPr>
                <w:rFonts w:ascii="宋体" w:hAnsi="宋体"/>
                <w:color w:val="000000" w:themeColor="text1"/>
                <w:szCs w:val="21"/>
                <w:highlight w:val="none"/>
                <w14:textFill>
                  <w14:solidFill>
                    <w14:schemeClr w14:val="tx1"/>
                  </w14:solidFill>
                </w14:textFill>
              </w:rPr>
            </w:pPr>
            <w:r>
              <w:rPr>
                <w:rFonts w:hint="eastAsia" w:ascii="宋体" w:hAnsi="宋体" w:cs="宋体"/>
                <w:b/>
                <w:color w:val="000000" w:themeColor="text1"/>
                <w:kern w:val="0"/>
                <w:szCs w:val="21"/>
                <w:highlight w:val="none"/>
                <w:lang w:bidi="ar"/>
                <w14:textFill>
                  <w14:solidFill>
                    <w14:schemeClr w14:val="tx1"/>
                  </w14:solidFill>
                </w14:textFill>
              </w:rPr>
              <w:t>三、现场考察要求</w:t>
            </w:r>
          </w:p>
        </w:tc>
      </w:tr>
      <w:tr w14:paraId="5B7DB9F0">
        <w:tblPrEx>
          <w:tblCellMar>
            <w:top w:w="0" w:type="dxa"/>
            <w:left w:w="108" w:type="dxa"/>
            <w:bottom w:w="0" w:type="dxa"/>
            <w:right w:w="108" w:type="dxa"/>
          </w:tblCellMar>
        </w:tblPrEx>
        <w:trPr>
          <w:trHeight w:val="1408" w:hRule="atLeast"/>
          <w:jc w:val="center"/>
        </w:trPr>
        <w:tc>
          <w:tcPr>
            <w:tcW w:w="9993" w:type="dxa"/>
            <w:gridSpan w:val="6"/>
            <w:tcBorders>
              <w:top w:val="single" w:color="000000" w:sz="4" w:space="0"/>
              <w:left w:val="single" w:color="000000" w:sz="4" w:space="0"/>
              <w:bottom w:val="single" w:color="000000" w:sz="4" w:space="0"/>
              <w:right w:val="single" w:color="000000" w:sz="4" w:space="0"/>
            </w:tcBorders>
            <w:vAlign w:val="center"/>
          </w:tcPr>
          <w:p w14:paraId="25FD989B">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宋体" w:hAnsi="宋体" w:cs="宋体"/>
                <w:color w:val="000000" w:themeColor="text1"/>
                <w:kern w:val="0"/>
                <w:sz w:val="21"/>
                <w:szCs w:val="21"/>
                <w:highlight w:val="none"/>
                <w:lang w:eastAsia="en-US"/>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由于本项目运维标准及内容涉及公安系统内部信息，详细信息不宜对外公开，因此投标人应到采购人现场查阅相关资料及考察，以充分了解项目情况，否则导致投标失误由投标人自行承担。</w:t>
            </w:r>
          </w:p>
          <w:p w14:paraId="0FFFC427">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宋体" w:hAnsi="宋体" w:cs="宋体"/>
                <w:color w:val="000000" w:themeColor="text1"/>
                <w:kern w:val="0"/>
                <w:sz w:val="21"/>
                <w:szCs w:val="21"/>
                <w:highlight w:val="none"/>
                <w:lang w:eastAsia="en-US"/>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（1）时间：202</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cs="宋体"/>
                <w:color w:val="000000" w:themeColor="text1"/>
                <w:kern w:val="0"/>
                <w:sz w:val="21"/>
                <w:szCs w:val="21"/>
                <w:highlight w:val="none"/>
                <w:lang w:eastAsia="en-US"/>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cs="宋体"/>
                <w:color w:val="000000" w:themeColor="text1"/>
                <w:kern w:val="0"/>
                <w:sz w:val="21"/>
                <w:szCs w:val="21"/>
                <w:highlight w:val="none"/>
                <w:lang w:eastAsia="en-US"/>
                <w14:textFill>
                  <w14:solidFill>
                    <w14:schemeClr w14:val="tx1"/>
                  </w14:solidFill>
                </w14:textFill>
              </w:rPr>
              <w:t>月</w:t>
            </w:r>
            <w:r>
              <w:rPr>
                <w:rFonts w:hint="eastAsia" w:ascii="宋体" w:hAnsi="宋体" w:cs="宋体"/>
                <w:color w:val="000000" w:themeColor="text1"/>
                <w:kern w:val="0"/>
                <w:sz w:val="21"/>
                <w:szCs w:val="21"/>
                <w:highlight w:val="none"/>
                <w:lang w:val="en-US" w:eastAsia="zh-CN"/>
                <w14:textFill>
                  <w14:solidFill>
                    <w14:schemeClr w14:val="tx1"/>
                  </w14:solidFill>
                </w14:textFill>
              </w:rPr>
              <w:t>22</w:t>
            </w:r>
            <w:r>
              <w:rPr>
                <w:rFonts w:hint="eastAsia" w:ascii="宋体" w:hAnsi="宋体" w:cs="宋体"/>
                <w:color w:val="000000" w:themeColor="text1"/>
                <w:kern w:val="0"/>
                <w:sz w:val="21"/>
                <w:szCs w:val="21"/>
                <w:highlight w:val="none"/>
                <w:lang w:eastAsia="en-US"/>
                <w14:textFill>
                  <w14:solidFill>
                    <w14:schemeClr w14:val="tx1"/>
                  </w14:solidFill>
                </w14:textFill>
              </w:rPr>
              <w:t>日上午9:30集中，逾时后果自负。</w:t>
            </w:r>
          </w:p>
          <w:p w14:paraId="146DA64E">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宋体" w:hAnsi="宋体" w:cs="宋体"/>
                <w:color w:val="000000" w:themeColor="text1"/>
                <w:kern w:val="0"/>
                <w:sz w:val="21"/>
                <w:szCs w:val="21"/>
                <w:highlight w:val="none"/>
                <w:lang w:eastAsia="en-US"/>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（2）统一集中地点：广西壮族自治区南宁市佛子岭路1号。</w:t>
            </w:r>
          </w:p>
          <w:p w14:paraId="5D1DF193">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宋体" w:hAnsi="宋体" w:cs="宋体"/>
                <w:color w:val="000000" w:themeColor="text1"/>
                <w:kern w:val="0"/>
                <w:sz w:val="21"/>
                <w:szCs w:val="21"/>
                <w:highlight w:val="none"/>
                <w:lang w:eastAsia="en-US"/>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（3）联系人：康辛，联系电话：0771-2892391。</w:t>
            </w:r>
          </w:p>
          <w:p w14:paraId="1EA86CDF">
            <w:pPr>
              <w:pStyle w:val="1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jc w:val="both"/>
              <w:textAlignment w:val="auto"/>
              <w:rPr>
                <w:rFonts w:hint="default" w:ascii="宋体" w:hAnsi="宋体" w:cs="宋体"/>
                <w:color w:val="000000" w:themeColor="text1"/>
                <w:kern w:val="0"/>
                <w:sz w:val="21"/>
                <w:szCs w:val="21"/>
                <w:highlight w:val="none"/>
                <w:lang w:eastAsia="en-US"/>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4）请各投标人携带有效的单位证明（单位开具的介绍信及授权委托书原件）、考察人员身份证原件及复印件（复印件须加盖单位公章）在上述时间前抵达上述地点统一集中，过时不候，届时由采购人经办人统一安排进行现场考察。</w:t>
            </w:r>
          </w:p>
          <w:p w14:paraId="53E2BF86">
            <w:pPr>
              <w:pageBreakBefore w:val="0"/>
              <w:widowControl w:val="0"/>
              <w:tabs>
                <w:tab w:val="left" w:pos="180"/>
                <w:tab w:val="left" w:pos="16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（5）投标人前往项目所在地进行现场考察一切费用自行承担，经实地考察后因自身原因考察不详细而导致投标方案偏差、中标后不能履约等一切责任由投标人自行承担</w:t>
            </w:r>
            <w:r>
              <w:rPr>
                <w:rFonts w:hint="eastAsia" w:ascii="宋体" w:hAnsi="宋体" w:eastAsia="宋体" w:cs="宋体"/>
                <w:color w:val="000000" w:themeColor="text1"/>
                <w:sz w:val="21"/>
                <w:szCs w:val="21"/>
                <w:highlight w:val="none"/>
                <w14:textFill>
                  <w14:solidFill>
                    <w14:schemeClr w14:val="tx1"/>
                  </w14:solidFill>
                </w14:textFill>
              </w:rPr>
              <w:t>。</w:t>
            </w:r>
          </w:p>
          <w:p w14:paraId="6E37C297">
            <w:pPr>
              <w:pStyle w:val="5"/>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rPr>
                <w:rFonts w:hint="default" w:eastAsia="宋体"/>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kern w:val="0"/>
                <w:sz w:val="21"/>
                <w:szCs w:val="21"/>
                <w:highlight w:val="none"/>
                <w:lang w:eastAsia="en-US"/>
                <w14:textFill>
                  <w14:solidFill>
                    <w14:schemeClr w14:val="tx1"/>
                  </w14:solidFill>
                </w14:textFill>
              </w:rPr>
              <w:t>（</w:t>
            </w:r>
            <w:r>
              <w:rPr>
                <w:rFonts w:hint="eastAsia" w:ascii="宋体" w:hAnsi="宋体" w:cs="宋体"/>
                <w:b w:val="0"/>
                <w:bCs w:val="0"/>
                <w:color w:val="000000" w:themeColor="text1"/>
                <w:kern w:val="0"/>
                <w:sz w:val="21"/>
                <w:szCs w:val="21"/>
                <w:highlight w:val="none"/>
                <w:lang w:val="en-US" w:eastAsia="en-US"/>
                <w14:textFill>
                  <w14:solidFill>
                    <w14:schemeClr w14:val="tx1"/>
                  </w14:solidFill>
                </w14:textFill>
              </w:rPr>
              <w:t>6）</w:t>
            </w:r>
            <w:r>
              <w:rPr>
                <w:rFonts w:hint="eastAsia" w:ascii="宋体" w:hAnsi="宋体" w:cs="宋体"/>
                <w:b w:val="0"/>
                <w:bCs w:val="0"/>
                <w:color w:val="000000" w:themeColor="text1"/>
                <w:kern w:val="0"/>
                <w:sz w:val="21"/>
                <w:szCs w:val="21"/>
                <w:highlight w:val="none"/>
                <w:lang w:eastAsia="en-US"/>
                <w14:textFill>
                  <w14:solidFill>
                    <w14:schemeClr w14:val="tx1"/>
                  </w14:solidFill>
                </w14:textFill>
              </w:rPr>
              <w:t>现场考察结束后采购人为参加考察的投标人开具“现场考察证明”，投标人可将“现场考察证明”原件或复印件于投标文件中提供。</w:t>
            </w:r>
          </w:p>
        </w:tc>
      </w:tr>
    </w:tbl>
    <w:p w14:paraId="121D412C">
      <w:pPr>
        <w:spacing w:line="360" w:lineRule="auto"/>
        <w:rPr>
          <w:rFonts w:ascii="宋体" w:hAnsi="宋体" w:cs="宋体"/>
          <w:b/>
          <w:color w:val="000000" w:themeColor="text1"/>
          <w:sz w:val="32"/>
          <w:szCs w:val="32"/>
          <w:highlight w:val="none"/>
          <w14:textFill>
            <w14:solidFill>
              <w14:schemeClr w14:val="tx1"/>
            </w14:solidFill>
          </w14:textFill>
        </w:rPr>
      </w:pPr>
    </w:p>
    <w:p w14:paraId="32E692DA">
      <w:pPr>
        <w:keepNext w:val="0"/>
        <w:keepLines w:val="0"/>
        <w:pageBreakBefore w:val="0"/>
        <w:widowControl w:val="0"/>
        <w:kinsoku/>
        <w:wordWrap/>
        <w:overflowPunct/>
        <w:topLinePunct w:val="0"/>
        <w:autoSpaceDE/>
        <w:autoSpaceDN/>
        <w:bidi w:val="0"/>
        <w:adjustRightInd/>
        <w:snapToGrid w:val="0"/>
        <w:textAlignment w:val="auto"/>
        <w:outlineLvl w:val="9"/>
        <w:rPr>
          <w:rFonts w:ascii="黑体" w:hAnsi="宋体" w:eastAsia="黑体"/>
          <w:color w:val="000000" w:themeColor="text1"/>
          <w:sz w:val="32"/>
          <w:szCs w:val="32"/>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62" w:name="_Toc30935"/>
      <w:r>
        <w:rPr>
          <w:rFonts w:hint="eastAsia" w:ascii="黑体" w:hAnsi="宋体" w:eastAsia="黑体"/>
          <w:color w:val="000000" w:themeColor="text1"/>
          <w:sz w:val="32"/>
          <w:szCs w:val="32"/>
          <w:highlight w:val="none"/>
          <w14:textFill>
            <w14:solidFill>
              <w14:schemeClr w14:val="tx1"/>
            </w14:solidFill>
          </w14:textFill>
        </w:rPr>
        <w:t>商务</w:t>
      </w:r>
      <w:r>
        <w:rPr>
          <w:rFonts w:ascii="黑体" w:hAnsi="宋体" w:eastAsia="黑体"/>
          <w:color w:val="000000" w:themeColor="text1"/>
          <w:sz w:val="32"/>
          <w:szCs w:val="32"/>
          <w:highlight w:val="none"/>
          <w14:textFill>
            <w14:solidFill>
              <w14:schemeClr w14:val="tx1"/>
            </w14:solidFill>
          </w14:textFill>
        </w:rPr>
        <w:t>部分</w:t>
      </w:r>
      <w:r>
        <w:rPr>
          <w:rFonts w:hint="eastAsia" w:ascii="黑体" w:hAnsi="宋体" w:eastAsia="黑体"/>
          <w:color w:val="000000" w:themeColor="text1"/>
          <w:sz w:val="32"/>
          <w:szCs w:val="32"/>
          <w:highlight w:val="none"/>
          <w14:textFill>
            <w14:solidFill>
              <w14:schemeClr w14:val="tx1"/>
            </w14:solidFill>
          </w14:textFill>
        </w:rPr>
        <w:t>附件：《运维服务质量评价表》</w:t>
      </w:r>
      <w:bookmarkEnd w:id="62"/>
    </w:p>
    <w:p w14:paraId="105FC483">
      <w:pPr>
        <w:pStyle w:val="264"/>
        <w:adjustRightInd/>
        <w:snapToGrid/>
        <w:spacing w:before="0" w:after="0"/>
        <w:ind w:left="0" w:firstLine="0" w:firstLineChars="0"/>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szCs w:val="20"/>
          <w:highlight w:val="none"/>
          <w14:textFill>
            <w14:solidFill>
              <w14:schemeClr w14:val="tx1"/>
            </w14:solidFill>
          </w14:textFill>
        </w:rPr>
        <w:t>表1、</w:t>
      </w:r>
      <w:r>
        <w:rPr>
          <w:rFonts w:hint="eastAsia" w:ascii="宋体" w:hAnsi="宋体" w:eastAsia="宋体" w:cs="宋体"/>
          <w:b/>
          <w:color w:val="000000" w:themeColor="text1"/>
          <w:highlight w:val="none"/>
          <w:lang w:eastAsia="zh-CN"/>
          <w14:textFill>
            <w14:solidFill>
              <w14:schemeClr w14:val="tx1"/>
            </w14:solidFill>
          </w14:textFill>
        </w:rPr>
        <w:t>运维服务质量评价表</w:t>
      </w:r>
    </w:p>
    <w:p w14:paraId="769654D0">
      <w:pPr>
        <w:jc w:val="center"/>
        <w:rPr>
          <w:rFonts w:ascii="宋体" w:hAnsi="宋体" w:cs="宋体"/>
          <w:b/>
          <w:color w:val="000000" w:themeColor="text1"/>
          <w:szCs w:val="20"/>
          <w:highlight w:val="none"/>
          <w14:textFill>
            <w14:solidFill>
              <w14:schemeClr w14:val="tx1"/>
            </w14:solidFill>
          </w14:textFill>
        </w:rPr>
      </w:pPr>
    </w:p>
    <w:tbl>
      <w:tblPr>
        <w:tblStyle w:val="53"/>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440"/>
        <w:gridCol w:w="977"/>
        <w:gridCol w:w="426"/>
        <w:gridCol w:w="2693"/>
        <w:gridCol w:w="850"/>
        <w:gridCol w:w="567"/>
        <w:gridCol w:w="842"/>
        <w:gridCol w:w="1852"/>
      </w:tblGrid>
      <w:tr w14:paraId="343A8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Align w:val="center"/>
          </w:tcPr>
          <w:p w14:paraId="6E990A87">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一级指标</w:t>
            </w:r>
          </w:p>
        </w:tc>
        <w:tc>
          <w:tcPr>
            <w:tcW w:w="440" w:type="dxa"/>
            <w:vAlign w:val="center"/>
          </w:tcPr>
          <w:p w14:paraId="46B614B1">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标准分</w:t>
            </w:r>
          </w:p>
        </w:tc>
        <w:tc>
          <w:tcPr>
            <w:tcW w:w="977" w:type="dxa"/>
            <w:vAlign w:val="center"/>
          </w:tcPr>
          <w:p w14:paraId="0886A38F">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二级指标</w:t>
            </w:r>
          </w:p>
        </w:tc>
        <w:tc>
          <w:tcPr>
            <w:tcW w:w="426" w:type="dxa"/>
            <w:vAlign w:val="center"/>
          </w:tcPr>
          <w:p w14:paraId="579EED88">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标准分</w:t>
            </w:r>
          </w:p>
        </w:tc>
        <w:tc>
          <w:tcPr>
            <w:tcW w:w="2693" w:type="dxa"/>
            <w:vAlign w:val="center"/>
          </w:tcPr>
          <w:p w14:paraId="71010BED">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指标说明</w:t>
            </w:r>
          </w:p>
        </w:tc>
        <w:tc>
          <w:tcPr>
            <w:tcW w:w="850" w:type="dxa"/>
            <w:vAlign w:val="center"/>
          </w:tcPr>
          <w:p w14:paraId="1C295E0A">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考核方式</w:t>
            </w:r>
          </w:p>
        </w:tc>
        <w:tc>
          <w:tcPr>
            <w:tcW w:w="567" w:type="dxa"/>
            <w:vAlign w:val="center"/>
          </w:tcPr>
          <w:p w14:paraId="5E3F9090">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得分</w:t>
            </w:r>
          </w:p>
        </w:tc>
        <w:tc>
          <w:tcPr>
            <w:tcW w:w="842" w:type="dxa"/>
            <w:vAlign w:val="center"/>
          </w:tcPr>
          <w:p w14:paraId="7C9F14B8">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扣分说明</w:t>
            </w:r>
          </w:p>
        </w:tc>
        <w:tc>
          <w:tcPr>
            <w:tcW w:w="1852" w:type="dxa"/>
            <w:vAlign w:val="center"/>
          </w:tcPr>
          <w:p w14:paraId="0ACB31CD">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备注</w:t>
            </w:r>
          </w:p>
        </w:tc>
      </w:tr>
      <w:tr w14:paraId="4D1C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restart"/>
            <w:vAlign w:val="center"/>
          </w:tcPr>
          <w:p w14:paraId="11B36E49">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履约材料质量</w:t>
            </w:r>
          </w:p>
        </w:tc>
        <w:tc>
          <w:tcPr>
            <w:tcW w:w="440" w:type="dxa"/>
            <w:vMerge w:val="restart"/>
            <w:vAlign w:val="center"/>
          </w:tcPr>
          <w:p w14:paraId="5DFCFF7C">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100</w:t>
            </w:r>
          </w:p>
        </w:tc>
        <w:tc>
          <w:tcPr>
            <w:tcW w:w="977" w:type="dxa"/>
            <w:vAlign w:val="center"/>
          </w:tcPr>
          <w:p w14:paraId="266C0813">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履约</w:t>
            </w:r>
            <w:r>
              <w:rPr>
                <w:rFonts w:hint="default" w:ascii="Times New Roman" w:hAnsi="Times New Roman"/>
                <w:b/>
                <w:color w:val="000000" w:themeColor="text1"/>
                <w:sz w:val="21"/>
                <w:szCs w:val="21"/>
                <w:highlight w:val="none"/>
                <w14:textFill>
                  <w14:solidFill>
                    <w14:schemeClr w14:val="tx1"/>
                  </w14:solidFill>
                </w14:textFill>
              </w:rPr>
              <w:t>材料</w:t>
            </w:r>
            <w:r>
              <w:rPr>
                <w:rFonts w:hint="default" w:ascii="Times New Roman" w:hAnsi="Times New Roman" w:eastAsia="宋体"/>
                <w:b/>
                <w:color w:val="000000" w:themeColor="text1"/>
                <w:sz w:val="21"/>
                <w:szCs w:val="21"/>
                <w:highlight w:val="none"/>
                <w14:textFill>
                  <w14:solidFill>
                    <w14:schemeClr w14:val="tx1"/>
                  </w14:solidFill>
                </w14:textFill>
              </w:rPr>
              <w:t>提交及时率</w:t>
            </w:r>
          </w:p>
        </w:tc>
        <w:tc>
          <w:tcPr>
            <w:tcW w:w="426" w:type="dxa"/>
            <w:vAlign w:val="center"/>
          </w:tcPr>
          <w:p w14:paraId="7F6A3903">
            <w:pPr>
              <w:keepNext w:val="0"/>
              <w:keepLines w:val="0"/>
              <w:suppressLineNumbers w:val="0"/>
              <w:spacing w:before="0" w:beforeAutospacing="0" w:after="0" w:afterAutospacing="0" w:line="240" w:lineRule="auto"/>
              <w:ind w:left="0" w:right="0"/>
              <w:jc w:val="center"/>
              <w:rPr>
                <w:rFonts w:hint="default" w:ascii="Times New Roman" w:hAnsi="Times New Roman" w:eastAsia="宋体"/>
                <w:bCs/>
                <w:color w:val="000000" w:themeColor="text1"/>
                <w:sz w:val="21"/>
                <w:szCs w:val="21"/>
                <w:highlight w:val="none"/>
                <w14:textFill>
                  <w14:solidFill>
                    <w14:schemeClr w14:val="tx1"/>
                  </w14:solidFill>
                </w14:textFill>
              </w:rPr>
            </w:pPr>
            <w:r>
              <w:rPr>
                <w:rFonts w:hint="default" w:ascii="Times New Roman" w:hAnsi="Times New Roman" w:eastAsia="宋体"/>
                <w:bCs/>
                <w:color w:val="000000" w:themeColor="text1"/>
                <w:sz w:val="21"/>
                <w:szCs w:val="21"/>
                <w:highlight w:val="none"/>
                <w14:textFill>
                  <w14:solidFill>
                    <w14:schemeClr w14:val="tx1"/>
                  </w14:solidFill>
                </w14:textFill>
              </w:rPr>
              <w:t>5</w:t>
            </w:r>
          </w:p>
        </w:tc>
        <w:tc>
          <w:tcPr>
            <w:tcW w:w="2693" w:type="dxa"/>
            <w:vAlign w:val="center"/>
          </w:tcPr>
          <w:p w14:paraId="6F0555C4">
            <w:pPr>
              <w:keepNext w:val="0"/>
              <w:keepLines w:val="0"/>
              <w:suppressLineNumbers w:val="0"/>
              <w:spacing w:before="0" w:beforeAutospacing="0" w:after="0" w:afterAutospacing="0" w:line="240" w:lineRule="auto"/>
              <w:ind w:left="0" w:right="0"/>
              <w:jc w:val="left"/>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Cs/>
                <w:color w:val="000000" w:themeColor="text1"/>
                <w:sz w:val="21"/>
                <w:szCs w:val="21"/>
                <w:highlight w:val="none"/>
                <w14:textFill>
                  <w14:solidFill>
                    <w14:schemeClr w14:val="tx1"/>
                  </w14:solidFill>
                </w14:textFill>
              </w:rPr>
              <w:t>中标人须根据合同要求按时提交履约材料，若未按时交付，每逾期1天扣0.1分，扣完即止。</w:t>
            </w:r>
          </w:p>
        </w:tc>
        <w:tc>
          <w:tcPr>
            <w:tcW w:w="850" w:type="dxa"/>
            <w:vAlign w:val="center"/>
          </w:tcPr>
          <w:p w14:paraId="40F338ED">
            <w:pPr>
              <w:keepNext w:val="0"/>
              <w:keepLines w:val="0"/>
              <w:suppressLineNumbers w:val="0"/>
              <w:spacing w:before="0" w:beforeAutospacing="0" w:after="0" w:afterAutospacing="0" w:line="240" w:lineRule="auto"/>
              <w:ind w:left="0" w:right="0"/>
              <w:jc w:val="left"/>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以监理单位审核通过为准</w:t>
            </w:r>
            <w:r>
              <w:rPr>
                <w:rStyle w:val="63"/>
                <w:rFonts w:hint="eastAsia" w:eastAsia="宋体"/>
                <w:color w:val="000000" w:themeColor="text1"/>
                <w:highlight w:val="none"/>
                <w:lang w:eastAsia="zh-CN"/>
                <w14:textFill>
                  <w14:solidFill>
                    <w14:schemeClr w14:val="tx1"/>
                  </w14:solidFill>
                </w14:textFill>
              </w:rPr>
              <w:t>。</w:t>
            </w:r>
          </w:p>
        </w:tc>
        <w:tc>
          <w:tcPr>
            <w:tcW w:w="567" w:type="dxa"/>
            <w:vAlign w:val="center"/>
          </w:tcPr>
          <w:p w14:paraId="0114986C">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p>
        </w:tc>
        <w:tc>
          <w:tcPr>
            <w:tcW w:w="842" w:type="dxa"/>
            <w:vAlign w:val="center"/>
          </w:tcPr>
          <w:p w14:paraId="71BF3653">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p>
        </w:tc>
        <w:tc>
          <w:tcPr>
            <w:tcW w:w="1852" w:type="dxa"/>
            <w:vAlign w:val="center"/>
          </w:tcPr>
          <w:p w14:paraId="7F22B23D">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p>
        </w:tc>
      </w:tr>
      <w:tr w14:paraId="3374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vAlign w:val="center"/>
          </w:tcPr>
          <w:p w14:paraId="17D23284">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p>
        </w:tc>
        <w:tc>
          <w:tcPr>
            <w:tcW w:w="440" w:type="dxa"/>
            <w:vMerge w:val="continue"/>
            <w:vAlign w:val="center"/>
          </w:tcPr>
          <w:p w14:paraId="48AB6EEC">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977" w:type="dxa"/>
            <w:vAlign w:val="center"/>
          </w:tcPr>
          <w:p w14:paraId="3AE15619">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r>
              <w:rPr>
                <w:rFonts w:hint="default" w:ascii="Times New Roman" w:hAnsi="Times New Roman" w:eastAsia="宋体"/>
                <w:b/>
                <w:color w:val="000000" w:themeColor="text1"/>
                <w:sz w:val="21"/>
                <w:szCs w:val="21"/>
                <w:highlight w:val="none"/>
                <w14:textFill>
                  <w14:solidFill>
                    <w14:schemeClr w14:val="tx1"/>
                  </w14:solidFill>
                </w14:textFill>
              </w:rPr>
              <w:t>履约材料质量</w:t>
            </w:r>
          </w:p>
        </w:tc>
        <w:tc>
          <w:tcPr>
            <w:tcW w:w="426" w:type="dxa"/>
            <w:vAlign w:val="center"/>
          </w:tcPr>
          <w:p w14:paraId="32D1E065">
            <w:pPr>
              <w:keepNext w:val="0"/>
              <w:keepLines w:val="0"/>
              <w:suppressLineNumbers w:val="0"/>
              <w:spacing w:before="0" w:beforeAutospacing="0" w:after="0" w:afterAutospacing="0" w:line="240" w:lineRule="auto"/>
              <w:ind w:left="0" w:right="0"/>
              <w:jc w:val="center"/>
              <w:rPr>
                <w:rFonts w:hint="default" w:ascii="Times New Roman" w:hAnsi="Times New Roman" w:eastAsia="宋体"/>
                <w:bCs/>
                <w:color w:val="000000" w:themeColor="text1"/>
                <w:sz w:val="21"/>
                <w:szCs w:val="21"/>
                <w:highlight w:val="none"/>
                <w14:textFill>
                  <w14:solidFill>
                    <w14:schemeClr w14:val="tx1"/>
                  </w14:solidFill>
                </w14:textFill>
              </w:rPr>
            </w:pPr>
            <w:r>
              <w:rPr>
                <w:rFonts w:hint="default" w:ascii="Times New Roman" w:hAnsi="Times New Roman" w:eastAsia="宋体"/>
                <w:bCs/>
                <w:color w:val="000000" w:themeColor="text1"/>
                <w:sz w:val="21"/>
                <w:szCs w:val="21"/>
                <w:highlight w:val="none"/>
                <w14:textFill>
                  <w14:solidFill>
                    <w14:schemeClr w14:val="tx1"/>
                  </w14:solidFill>
                </w14:textFill>
              </w:rPr>
              <w:t>10</w:t>
            </w:r>
          </w:p>
        </w:tc>
        <w:tc>
          <w:tcPr>
            <w:tcW w:w="2693" w:type="dxa"/>
            <w:vAlign w:val="center"/>
          </w:tcPr>
          <w:p w14:paraId="7CD34D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中标人提交的履约材料须满足采购人的规范性和质量要求，若文档材料未按模板要求（内容、字体、章节等）进行编制，或交付物质量未达到要求，因以下情形每退回修改一次扣0.1分：</w:t>
            </w:r>
          </w:p>
          <w:p w14:paraId="21CDA7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1、文档（日期、内容等）有明显伪造嫌疑；</w:t>
            </w:r>
          </w:p>
          <w:p w14:paraId="5B7F67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2、文档有明显逻辑错误；</w:t>
            </w:r>
          </w:p>
          <w:p w14:paraId="558924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3、图文明显不符；</w:t>
            </w:r>
          </w:p>
          <w:p w14:paraId="5D7916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4、文档中未按要求提供佐证数据或截图；</w:t>
            </w:r>
          </w:p>
          <w:p w14:paraId="15FB5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5、采购人对文档质量的其他相关要求；</w:t>
            </w:r>
          </w:p>
          <w:p w14:paraId="188D8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default" w:ascii="Times New Roman" w:hAnsi="Times New Roman" w:eastAsia="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6、需要业务部门确认的交付物未按要求确认。</w:t>
            </w:r>
          </w:p>
        </w:tc>
        <w:tc>
          <w:tcPr>
            <w:tcW w:w="850" w:type="dxa"/>
            <w:vAlign w:val="center"/>
          </w:tcPr>
          <w:p w14:paraId="795D3AEE">
            <w:pPr>
              <w:keepNext w:val="0"/>
              <w:keepLines w:val="0"/>
              <w:suppressLineNumbers w:val="0"/>
              <w:spacing w:before="0" w:beforeAutospacing="0" w:after="0" w:afterAutospacing="0" w:line="240" w:lineRule="auto"/>
              <w:ind w:left="0" w:right="0"/>
              <w:jc w:val="left"/>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以监理单位审核确认</w:t>
            </w:r>
            <w:r>
              <w:rPr>
                <w:rStyle w:val="63"/>
                <w:rFonts w:hint="eastAsia" w:eastAsia="宋体"/>
                <w:color w:val="000000" w:themeColor="text1"/>
                <w:highlight w:val="none"/>
                <w:lang w:eastAsia="zh-CN"/>
                <w14:textFill>
                  <w14:solidFill>
                    <w14:schemeClr w14:val="tx1"/>
                  </w14:solidFill>
                </w14:textFill>
              </w:rPr>
              <w:t>为准。</w:t>
            </w:r>
          </w:p>
        </w:tc>
        <w:tc>
          <w:tcPr>
            <w:tcW w:w="567" w:type="dxa"/>
            <w:vAlign w:val="center"/>
          </w:tcPr>
          <w:p w14:paraId="5E61B81A">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p>
        </w:tc>
        <w:tc>
          <w:tcPr>
            <w:tcW w:w="842" w:type="dxa"/>
            <w:vAlign w:val="center"/>
          </w:tcPr>
          <w:p w14:paraId="012D80F1">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p>
        </w:tc>
        <w:tc>
          <w:tcPr>
            <w:tcW w:w="1852" w:type="dxa"/>
            <w:vAlign w:val="center"/>
          </w:tcPr>
          <w:p w14:paraId="4551ED86">
            <w:pPr>
              <w:keepNext w:val="0"/>
              <w:keepLines w:val="0"/>
              <w:suppressLineNumbers w:val="0"/>
              <w:spacing w:before="0" w:beforeAutospacing="0" w:after="0" w:afterAutospacing="0" w:line="240" w:lineRule="auto"/>
              <w:ind w:left="0" w:right="0"/>
              <w:jc w:val="center"/>
              <w:rPr>
                <w:rFonts w:hint="default" w:ascii="Times New Roman" w:hAnsi="Times New Roman" w:eastAsia="宋体"/>
                <w:b/>
                <w:color w:val="000000" w:themeColor="text1"/>
                <w:sz w:val="21"/>
                <w:szCs w:val="21"/>
                <w:highlight w:val="none"/>
                <w14:textFill>
                  <w14:solidFill>
                    <w14:schemeClr w14:val="tx1"/>
                  </w14:solidFill>
                </w14:textFill>
              </w:rPr>
            </w:pPr>
          </w:p>
        </w:tc>
      </w:tr>
      <w:tr w14:paraId="4786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restart"/>
            <w:vAlign w:val="center"/>
          </w:tcPr>
          <w:p w14:paraId="0FEFC992">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default" w:ascii="Times New Roman" w:hAnsi="Times New Roman" w:eastAsia="宋体"/>
                <w:b/>
                <w:bCs/>
                <w:color w:val="000000" w:themeColor="text1"/>
                <w:sz w:val="21"/>
                <w:szCs w:val="21"/>
                <w:highlight w:val="none"/>
                <w14:textFill>
                  <w14:solidFill>
                    <w14:schemeClr w14:val="tx1"/>
                  </w14:solidFill>
                </w14:textFill>
              </w:rPr>
              <w:t>系统运行稳定性</w:t>
            </w:r>
          </w:p>
        </w:tc>
        <w:tc>
          <w:tcPr>
            <w:tcW w:w="440" w:type="dxa"/>
            <w:vMerge w:val="continue"/>
            <w:vAlign w:val="center"/>
          </w:tcPr>
          <w:p w14:paraId="241FBDE5">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p>
        </w:tc>
        <w:tc>
          <w:tcPr>
            <w:tcW w:w="977" w:type="dxa"/>
            <w:vAlign w:val="center"/>
          </w:tcPr>
          <w:p w14:paraId="2D0CA74B">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default" w:ascii="Times New Roman" w:hAnsi="Times New Roman" w:eastAsia="宋体"/>
                <w:b/>
                <w:bCs/>
                <w:color w:val="000000" w:themeColor="text1"/>
                <w:sz w:val="21"/>
                <w:szCs w:val="21"/>
                <w:highlight w:val="none"/>
                <w14:textFill>
                  <w14:solidFill>
                    <w14:schemeClr w14:val="tx1"/>
                  </w14:solidFill>
                </w14:textFill>
              </w:rPr>
              <w:t>系统运行故障</w:t>
            </w:r>
          </w:p>
        </w:tc>
        <w:tc>
          <w:tcPr>
            <w:tcW w:w="426" w:type="dxa"/>
            <w:vAlign w:val="center"/>
          </w:tcPr>
          <w:p w14:paraId="49C645AD">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15</w:t>
            </w:r>
          </w:p>
        </w:tc>
        <w:tc>
          <w:tcPr>
            <w:tcW w:w="2693" w:type="dxa"/>
            <w:vAlign w:val="center"/>
          </w:tcPr>
          <w:p w14:paraId="069B9F7F">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1、按以下情况进行扣分，扣分不设下限。</w:t>
            </w:r>
          </w:p>
          <w:p w14:paraId="28D1CAE0">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2、有证据证明是因中标人原因（包括安全漏洞、功能缺陷、代码缺陷、兼容性问题、实施问题等）导致的系统运行故障，每发生一次，扣5分。</w:t>
            </w:r>
          </w:p>
        </w:tc>
        <w:tc>
          <w:tcPr>
            <w:tcW w:w="850" w:type="dxa"/>
            <w:vAlign w:val="center"/>
          </w:tcPr>
          <w:p w14:paraId="0DFCF078">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以采购人及监理单位在故障后出具的故障报告为准。</w:t>
            </w:r>
          </w:p>
        </w:tc>
        <w:tc>
          <w:tcPr>
            <w:tcW w:w="567" w:type="dxa"/>
            <w:vAlign w:val="center"/>
          </w:tcPr>
          <w:p w14:paraId="4ECE9CE7">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842" w:type="dxa"/>
            <w:vAlign w:val="center"/>
          </w:tcPr>
          <w:p w14:paraId="4E416F49">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1852" w:type="dxa"/>
            <w:vAlign w:val="center"/>
          </w:tcPr>
          <w:p w14:paraId="5157F876">
            <w:pPr>
              <w:pStyle w:val="264"/>
              <w:keepNext w:val="0"/>
              <w:keepLines w:val="0"/>
              <w:numPr>
                <w:ilvl w:val="0"/>
                <w:numId w:val="4"/>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故障指未引起安全运行事件的信息系统运行异常；</w:t>
            </w:r>
          </w:p>
          <w:p w14:paraId="1514648D">
            <w:pPr>
              <w:pStyle w:val="264"/>
              <w:keepNext w:val="0"/>
              <w:keepLines w:val="0"/>
              <w:numPr>
                <w:ilvl w:val="0"/>
                <w:numId w:val="4"/>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若因故障导致安全运行事件，则参照安全运行事件指标进行评价；</w:t>
            </w:r>
          </w:p>
          <w:p w14:paraId="1B860775">
            <w:pPr>
              <w:pStyle w:val="264"/>
              <w:keepNext w:val="0"/>
              <w:keepLines w:val="0"/>
              <w:numPr>
                <w:ilvl w:val="0"/>
                <w:numId w:val="4"/>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因采购人或第三方导致的延迟或质量问题，或不可抗力（如封网、机房环境等）不参与评价。</w:t>
            </w:r>
          </w:p>
        </w:tc>
      </w:tr>
      <w:tr w14:paraId="0BA7F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vAlign w:val="center"/>
          </w:tcPr>
          <w:p w14:paraId="43A64861">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440" w:type="dxa"/>
            <w:vMerge w:val="continue"/>
            <w:vAlign w:val="center"/>
          </w:tcPr>
          <w:p w14:paraId="3F6EF3EE">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977" w:type="dxa"/>
            <w:vAlign w:val="center"/>
          </w:tcPr>
          <w:p w14:paraId="179D3AB1">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b/>
                <w:bCs/>
                <w:color w:val="000000" w:themeColor="text1"/>
                <w:sz w:val="21"/>
                <w:szCs w:val="21"/>
                <w:highlight w:val="none"/>
                <w14:textFill>
                  <w14:solidFill>
                    <w14:schemeClr w14:val="tx1"/>
                  </w14:solidFill>
                </w14:textFill>
              </w:rPr>
              <w:t>安全运行事件</w:t>
            </w:r>
          </w:p>
        </w:tc>
        <w:tc>
          <w:tcPr>
            <w:tcW w:w="426" w:type="dxa"/>
            <w:vAlign w:val="center"/>
          </w:tcPr>
          <w:p w14:paraId="4485A80B">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20</w:t>
            </w:r>
          </w:p>
        </w:tc>
        <w:tc>
          <w:tcPr>
            <w:tcW w:w="2693" w:type="dxa"/>
            <w:vAlign w:val="center"/>
          </w:tcPr>
          <w:p w14:paraId="07378D43">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1、按以下情况进行扣分，扣分不设下限。</w:t>
            </w:r>
          </w:p>
          <w:p w14:paraId="752A444C">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2、有证据证明是因中标人原因（包括安全漏洞、功能缺陷、代码缺陷、兼容性问题、实施问题等）导致的安全运行事件，每发生一次，扣5-20分（根据事件严重程度判定）。</w:t>
            </w:r>
          </w:p>
        </w:tc>
        <w:tc>
          <w:tcPr>
            <w:tcW w:w="850" w:type="dxa"/>
            <w:vAlign w:val="center"/>
          </w:tcPr>
          <w:p w14:paraId="1AED0F11">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以采购人及监理单位在事件后出具的事故报告为准。</w:t>
            </w:r>
          </w:p>
        </w:tc>
        <w:tc>
          <w:tcPr>
            <w:tcW w:w="567" w:type="dxa"/>
            <w:vAlign w:val="center"/>
          </w:tcPr>
          <w:p w14:paraId="71976B45">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842" w:type="dxa"/>
            <w:vAlign w:val="center"/>
          </w:tcPr>
          <w:p w14:paraId="3BE6DD1A">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1852" w:type="dxa"/>
            <w:vAlign w:val="center"/>
          </w:tcPr>
          <w:p w14:paraId="0AC4CD7A">
            <w:pPr>
              <w:pStyle w:val="264"/>
              <w:keepNext w:val="0"/>
              <w:keepLines w:val="0"/>
              <w:numPr>
                <w:ilvl w:val="0"/>
                <w:numId w:val="5"/>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安全运行事件类别包括：系统故障事件、有害程序事件、网络攻击事件、信息破坏事件、信息内容安全事件、灾害性事件、失泄密事件和其他安全运行事件；</w:t>
            </w:r>
          </w:p>
          <w:p w14:paraId="21D59C24">
            <w:pPr>
              <w:pStyle w:val="264"/>
              <w:keepNext w:val="0"/>
              <w:keepLines w:val="0"/>
              <w:numPr>
                <w:ilvl w:val="0"/>
                <w:numId w:val="5"/>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因采购人或第三方导致的延迟或质量问题，或不可抗力（如封网、机房环境等）不参与评价。</w:t>
            </w:r>
          </w:p>
        </w:tc>
      </w:tr>
      <w:tr w14:paraId="2256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restart"/>
            <w:vAlign w:val="center"/>
          </w:tcPr>
          <w:p w14:paraId="4799F992">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default" w:ascii="Times New Roman" w:hAnsi="Times New Roman" w:eastAsia="宋体"/>
                <w:b/>
                <w:bCs/>
                <w:color w:val="000000" w:themeColor="text1"/>
                <w:sz w:val="21"/>
                <w:szCs w:val="21"/>
                <w:highlight w:val="none"/>
                <w14:textFill>
                  <w14:solidFill>
                    <w14:schemeClr w14:val="tx1"/>
                  </w14:solidFill>
                </w14:textFill>
              </w:rPr>
              <w:t>运维服务支持度</w:t>
            </w:r>
          </w:p>
        </w:tc>
        <w:tc>
          <w:tcPr>
            <w:tcW w:w="440" w:type="dxa"/>
            <w:vMerge w:val="continue"/>
            <w:vAlign w:val="center"/>
          </w:tcPr>
          <w:p w14:paraId="3A7F722A">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p>
        </w:tc>
        <w:tc>
          <w:tcPr>
            <w:tcW w:w="977" w:type="dxa"/>
            <w:vAlign w:val="center"/>
          </w:tcPr>
          <w:p w14:paraId="7BE5F529">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default" w:ascii="Times New Roman" w:hAnsi="Times New Roman" w:eastAsia="宋体"/>
                <w:b/>
                <w:bCs/>
                <w:color w:val="000000" w:themeColor="text1"/>
                <w:sz w:val="21"/>
                <w:szCs w:val="21"/>
                <w:highlight w:val="none"/>
                <w14:textFill>
                  <w14:solidFill>
                    <w14:schemeClr w14:val="tx1"/>
                  </w14:solidFill>
                </w14:textFill>
              </w:rPr>
              <w:t>故障响应</w:t>
            </w:r>
          </w:p>
        </w:tc>
        <w:tc>
          <w:tcPr>
            <w:tcW w:w="426" w:type="dxa"/>
            <w:vAlign w:val="center"/>
          </w:tcPr>
          <w:p w14:paraId="1B46C61D">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color w:val="000000" w:themeColor="text1"/>
                <w:sz w:val="21"/>
                <w:szCs w:val="21"/>
                <w:highlight w:val="none"/>
                <w14:textFill>
                  <w14:solidFill>
                    <w14:schemeClr w14:val="tx1"/>
                  </w14:solidFill>
                </w14:textFill>
              </w:rPr>
              <w:t>20</w:t>
            </w:r>
          </w:p>
        </w:tc>
        <w:tc>
          <w:tcPr>
            <w:tcW w:w="2693" w:type="dxa"/>
            <w:vAlign w:val="center"/>
          </w:tcPr>
          <w:p w14:paraId="4A0F832D">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1、按以下情况进行扣分，扣完即止。</w:t>
            </w:r>
          </w:p>
          <w:p w14:paraId="551FA765">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2、扣分情况包括：</w:t>
            </w:r>
          </w:p>
          <w:p w14:paraId="7EAF858E">
            <w:pPr>
              <w:pStyle w:val="264"/>
              <w:keepNext w:val="0"/>
              <w:keepLines w:val="0"/>
              <w:numPr>
                <w:ilvl w:val="0"/>
                <w:numId w:val="6"/>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发生系统运行故障时，不能根据技术服务要求及承诺及时提供电话应急支持或现场技术支持，每发生一次，扣1</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olor w:val="000000" w:themeColor="text1"/>
                <w:sz w:val="21"/>
                <w:szCs w:val="21"/>
                <w:highlight w:val="none"/>
                <w14:textFill>
                  <w14:solidFill>
                    <w14:schemeClr w14:val="tx1"/>
                  </w14:solidFill>
                </w14:textFill>
              </w:rPr>
              <w:t>分</w:t>
            </w:r>
            <w:r>
              <w:rPr>
                <w:rFonts w:hint="eastAsia" w:ascii="Times New Roman" w:hAnsi="Times New Roman" w:eastAsia="宋体"/>
                <w:color w:val="000000" w:themeColor="text1"/>
                <w:sz w:val="21"/>
                <w:szCs w:val="21"/>
                <w:highlight w:val="none"/>
                <w:lang w:eastAsia="zh-CN"/>
                <w14:textFill>
                  <w14:solidFill>
                    <w14:schemeClr w14:val="tx1"/>
                  </w14:solidFill>
                </w14:textFill>
              </w:rPr>
              <w:t>（根据事件等级判定）</w:t>
            </w:r>
            <w:r>
              <w:rPr>
                <w:rFonts w:hint="default" w:ascii="Times New Roman" w:hAnsi="Times New Roman" w:eastAsia="宋体"/>
                <w:color w:val="000000" w:themeColor="text1"/>
                <w:sz w:val="21"/>
                <w:szCs w:val="21"/>
                <w:highlight w:val="none"/>
                <w14:textFill>
                  <w14:solidFill>
                    <w14:schemeClr w14:val="tx1"/>
                  </w14:solidFill>
                </w14:textFill>
              </w:rPr>
              <w:t>；</w:t>
            </w:r>
          </w:p>
          <w:p w14:paraId="76AA2B31">
            <w:pPr>
              <w:pStyle w:val="264"/>
              <w:keepNext w:val="0"/>
              <w:keepLines w:val="0"/>
              <w:numPr>
                <w:ilvl w:val="0"/>
                <w:numId w:val="6"/>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发生系统运行故障时，不能在规定时间内恢复正常运行，每发生一次，扣1</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olor w:val="000000" w:themeColor="text1"/>
                <w:sz w:val="21"/>
                <w:szCs w:val="21"/>
                <w:highlight w:val="none"/>
                <w14:textFill>
                  <w14:solidFill>
                    <w14:schemeClr w14:val="tx1"/>
                  </w14:solidFill>
                </w14:textFill>
              </w:rPr>
              <w:t>分</w:t>
            </w:r>
            <w:r>
              <w:rPr>
                <w:rFonts w:hint="eastAsia" w:ascii="Times New Roman" w:hAnsi="Times New Roman" w:eastAsia="宋体"/>
                <w:color w:val="000000" w:themeColor="text1"/>
                <w:sz w:val="21"/>
                <w:szCs w:val="21"/>
                <w:highlight w:val="none"/>
                <w:lang w:eastAsia="zh-CN"/>
                <w14:textFill>
                  <w14:solidFill>
                    <w14:schemeClr w14:val="tx1"/>
                  </w14:solidFill>
                </w14:textFill>
              </w:rPr>
              <w:t>（根据事件等级判定）</w:t>
            </w:r>
            <w:r>
              <w:rPr>
                <w:rFonts w:hint="default" w:ascii="Times New Roman" w:hAnsi="Times New Roman" w:eastAsia="宋体"/>
                <w:color w:val="000000" w:themeColor="text1"/>
                <w:sz w:val="21"/>
                <w:szCs w:val="21"/>
                <w:highlight w:val="none"/>
                <w14:textFill>
                  <w14:solidFill>
                    <w14:schemeClr w14:val="tx1"/>
                  </w14:solidFill>
                </w14:textFill>
              </w:rPr>
              <w:t>；</w:t>
            </w:r>
          </w:p>
          <w:p w14:paraId="753F32C7">
            <w:pPr>
              <w:pStyle w:val="264"/>
              <w:keepNext w:val="0"/>
              <w:keepLines w:val="0"/>
              <w:numPr>
                <w:ilvl w:val="0"/>
                <w:numId w:val="6"/>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须在故障排除后3天内提交《故障处理及分析报告》，每逾期1天扣0.1分。</w:t>
            </w:r>
          </w:p>
        </w:tc>
        <w:tc>
          <w:tcPr>
            <w:tcW w:w="850" w:type="dxa"/>
            <w:vAlign w:val="center"/>
          </w:tcPr>
          <w:p w14:paraId="163CFAC3">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以采购人及监理单位在事件后出具的故障报告为准。</w:t>
            </w:r>
          </w:p>
        </w:tc>
        <w:tc>
          <w:tcPr>
            <w:tcW w:w="567" w:type="dxa"/>
            <w:vAlign w:val="center"/>
          </w:tcPr>
          <w:p w14:paraId="3A9B1EBF">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842" w:type="dxa"/>
            <w:vAlign w:val="center"/>
          </w:tcPr>
          <w:p w14:paraId="23E31E86">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1852" w:type="dxa"/>
            <w:vAlign w:val="center"/>
          </w:tcPr>
          <w:p w14:paraId="65164CAA">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因采购人或第三方导致的延迟或质量问题，或不可抗力（如封网、机房环境等）不参与评价；</w:t>
            </w:r>
          </w:p>
        </w:tc>
      </w:tr>
      <w:tr w14:paraId="0537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vAlign w:val="center"/>
          </w:tcPr>
          <w:p w14:paraId="782AEC25">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p>
        </w:tc>
        <w:tc>
          <w:tcPr>
            <w:tcW w:w="440" w:type="dxa"/>
            <w:vMerge w:val="continue"/>
            <w:vAlign w:val="center"/>
          </w:tcPr>
          <w:p w14:paraId="4AD0B6E6">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p>
        </w:tc>
        <w:tc>
          <w:tcPr>
            <w:tcW w:w="977" w:type="dxa"/>
            <w:vAlign w:val="center"/>
          </w:tcPr>
          <w:p w14:paraId="07FBD8B1">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default" w:ascii="Times New Roman" w:hAnsi="Times New Roman" w:eastAsia="宋体"/>
                <w:b/>
                <w:bCs/>
                <w:color w:val="000000" w:themeColor="text1"/>
                <w:sz w:val="21"/>
                <w:szCs w:val="21"/>
                <w:highlight w:val="none"/>
                <w14:textFill>
                  <w14:solidFill>
                    <w14:schemeClr w14:val="tx1"/>
                  </w14:solidFill>
                </w14:textFill>
              </w:rPr>
              <w:t>现场驻点服务</w:t>
            </w:r>
          </w:p>
        </w:tc>
        <w:tc>
          <w:tcPr>
            <w:tcW w:w="426" w:type="dxa"/>
            <w:vAlign w:val="center"/>
          </w:tcPr>
          <w:p w14:paraId="4906B212">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10</w:t>
            </w:r>
          </w:p>
        </w:tc>
        <w:tc>
          <w:tcPr>
            <w:tcW w:w="2693" w:type="dxa"/>
            <w:vAlign w:val="center"/>
          </w:tcPr>
          <w:p w14:paraId="3D8572B8">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1、按以下情况进行扣分，扣完即止。</w:t>
            </w:r>
          </w:p>
          <w:p w14:paraId="222E97F1">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2、扣分情况包括：</w:t>
            </w:r>
          </w:p>
          <w:p w14:paraId="7A20920D">
            <w:pPr>
              <w:pStyle w:val="264"/>
              <w:keepNext w:val="0"/>
              <w:keepLines w:val="0"/>
              <w:numPr>
                <w:ilvl w:val="0"/>
                <w:numId w:val="7"/>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现场驻点维护人员无故不在采购人指定驻点场所，每缺席一次，扣1分；</w:t>
            </w:r>
          </w:p>
          <w:p w14:paraId="2AAC9DB1">
            <w:pPr>
              <w:pStyle w:val="264"/>
              <w:keepNext w:val="0"/>
              <w:keepLines w:val="0"/>
              <w:numPr>
                <w:ilvl w:val="0"/>
                <w:numId w:val="7"/>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现场驻点维护人员不按照采购人服务规范要求执行，被采购人书面通报后仍拒绝改正，每发生一次，扣1分；</w:t>
            </w:r>
          </w:p>
          <w:p w14:paraId="28E776FA">
            <w:pPr>
              <w:pStyle w:val="264"/>
              <w:keepNext w:val="0"/>
              <w:keepLines w:val="0"/>
              <w:numPr>
                <w:ilvl w:val="0"/>
                <w:numId w:val="7"/>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非工作时间（双休日、法定节假日、夜间等）无法联系上中标人值班工程师或未在规定时间内赶到现场的，每累计发生三次，扣1分，情节严重者，需承担所造成的影响</w:t>
            </w:r>
            <w:r>
              <w:rPr>
                <w:rFonts w:hint="eastAsia" w:ascii="Times New Roman" w:hAnsi="Times New Roman" w:eastAsia="宋体"/>
                <w:color w:val="000000" w:themeColor="text1"/>
                <w:sz w:val="21"/>
                <w:szCs w:val="21"/>
                <w:highlight w:val="none"/>
                <w:lang w:eastAsia="zh-CN"/>
                <w14:textFill>
                  <w14:solidFill>
                    <w14:schemeClr w14:val="tx1"/>
                  </w14:solidFill>
                </w14:textFill>
              </w:rPr>
              <w:t>；</w:t>
            </w:r>
          </w:p>
          <w:p w14:paraId="1DA47800">
            <w:pPr>
              <w:pStyle w:val="264"/>
              <w:keepNext w:val="0"/>
              <w:keepLines w:val="0"/>
              <w:numPr>
                <w:ilvl w:val="0"/>
                <w:numId w:val="7"/>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现场驻点维护人员</w:t>
            </w:r>
            <w:r>
              <w:rPr>
                <w:rFonts w:hint="eastAsia" w:ascii="Times New Roman" w:hAnsi="Times New Roman" w:eastAsia="宋体"/>
                <w:color w:val="000000" w:themeColor="text1"/>
                <w:sz w:val="21"/>
                <w:szCs w:val="21"/>
                <w:highlight w:val="none"/>
                <w:lang w:eastAsia="zh-CN"/>
                <w14:textFill>
                  <w14:solidFill>
                    <w14:schemeClr w14:val="tx1"/>
                  </w14:solidFill>
                </w14:textFill>
              </w:rPr>
              <w:t>收到业务单位投诉服务不到位、推诿等情况，</w:t>
            </w:r>
            <w:r>
              <w:rPr>
                <w:rFonts w:hint="default" w:ascii="Times New Roman" w:hAnsi="Times New Roman" w:eastAsia="宋体"/>
                <w:color w:val="000000" w:themeColor="text1"/>
                <w:sz w:val="21"/>
                <w:szCs w:val="21"/>
                <w:highlight w:val="none"/>
                <w14:textFill>
                  <w14:solidFill>
                    <w14:schemeClr w14:val="tx1"/>
                  </w14:solidFill>
                </w14:textFill>
              </w:rPr>
              <w:t>每发生一次，扣</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olor w:val="000000" w:themeColor="text1"/>
                <w:sz w:val="21"/>
                <w:szCs w:val="21"/>
                <w:highlight w:val="none"/>
                <w14:textFill>
                  <w14:solidFill>
                    <w14:schemeClr w14:val="tx1"/>
                  </w14:solidFill>
                </w14:textFill>
              </w:rPr>
              <w:t>-</w:t>
            </w:r>
            <w:r>
              <w:rPr>
                <w:rFonts w:hint="eastAsia" w:ascii="Times New Roman" w:hAnsi="Times New Roman" w:eastAsia="宋体"/>
                <w:color w:val="000000" w:themeColor="text1"/>
                <w:sz w:val="21"/>
                <w:szCs w:val="21"/>
                <w:highlight w:val="none"/>
                <w:lang w:val="en-US" w:eastAsia="zh-CN"/>
                <w14:textFill>
                  <w14:solidFill>
                    <w14:schemeClr w14:val="tx1"/>
                  </w14:solidFill>
                </w14:textFill>
              </w:rPr>
              <w:t>10</w:t>
            </w:r>
            <w:r>
              <w:rPr>
                <w:rFonts w:hint="default" w:ascii="Times New Roman" w:hAnsi="Times New Roman" w:eastAsia="宋体"/>
                <w:color w:val="000000" w:themeColor="text1"/>
                <w:sz w:val="21"/>
                <w:szCs w:val="21"/>
                <w:highlight w:val="none"/>
                <w14:textFill>
                  <w14:solidFill>
                    <w14:schemeClr w14:val="tx1"/>
                  </w14:solidFill>
                </w14:textFill>
              </w:rPr>
              <w:t>分（根据</w:t>
            </w:r>
            <w:r>
              <w:rPr>
                <w:rFonts w:hint="eastAsia" w:ascii="Times New Roman" w:hAnsi="Times New Roman" w:eastAsia="宋体"/>
                <w:color w:val="000000" w:themeColor="text1"/>
                <w:sz w:val="21"/>
                <w:szCs w:val="21"/>
                <w:highlight w:val="none"/>
                <w:lang w:eastAsia="zh-CN"/>
                <w14:textFill>
                  <w14:solidFill>
                    <w14:schemeClr w14:val="tx1"/>
                  </w14:solidFill>
                </w14:textFill>
              </w:rPr>
              <w:t>投诉</w:t>
            </w:r>
            <w:r>
              <w:rPr>
                <w:rFonts w:hint="default" w:ascii="Times New Roman" w:hAnsi="Times New Roman" w:eastAsia="宋体"/>
                <w:color w:val="000000" w:themeColor="text1"/>
                <w:sz w:val="21"/>
                <w:szCs w:val="21"/>
                <w:highlight w:val="none"/>
                <w14:textFill>
                  <w14:solidFill>
                    <w14:schemeClr w14:val="tx1"/>
                  </w14:solidFill>
                </w14:textFill>
              </w:rPr>
              <w:t>事件严重程度判定）</w:t>
            </w:r>
            <w:r>
              <w:rPr>
                <w:rFonts w:hint="eastAsia" w:ascii="Times New Roman" w:hAnsi="Times New Roman" w:eastAsia="宋体"/>
                <w:color w:val="000000" w:themeColor="text1"/>
                <w:sz w:val="21"/>
                <w:szCs w:val="21"/>
                <w:highlight w:val="none"/>
                <w:lang w:eastAsia="zh-CN"/>
                <w14:textFill>
                  <w14:solidFill>
                    <w14:schemeClr w14:val="tx1"/>
                  </w14:solidFill>
                </w14:textFill>
              </w:rPr>
              <w:t>。</w:t>
            </w:r>
          </w:p>
        </w:tc>
        <w:tc>
          <w:tcPr>
            <w:tcW w:w="850" w:type="dxa"/>
            <w:vAlign w:val="center"/>
          </w:tcPr>
          <w:p w14:paraId="1F7DD8C1">
            <w:pPr>
              <w:keepNext w:val="0"/>
              <w:keepLines w:val="0"/>
              <w:suppressLineNumbers w:val="0"/>
              <w:spacing w:before="0" w:beforeAutospacing="0" w:after="0" w:afterAutospacing="0" w:line="240" w:lineRule="auto"/>
              <w:ind w:left="0" w:right="0"/>
              <w:jc w:val="left"/>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以监理单位提交的报告为准</w:t>
            </w:r>
            <w:r>
              <w:rPr>
                <w:rFonts w:hint="eastAsia" w:ascii="Times New Roman" w:hAnsi="Times New Roman" w:eastAsia="宋体"/>
                <w:color w:val="000000" w:themeColor="text1"/>
                <w:sz w:val="21"/>
                <w:szCs w:val="21"/>
                <w:highlight w:val="none"/>
                <w:lang w:eastAsia="zh-CN"/>
                <w14:textFill>
                  <w14:solidFill>
                    <w14:schemeClr w14:val="tx1"/>
                  </w14:solidFill>
                </w14:textFill>
              </w:rPr>
              <w:t>。</w:t>
            </w:r>
          </w:p>
        </w:tc>
        <w:tc>
          <w:tcPr>
            <w:tcW w:w="567" w:type="dxa"/>
            <w:vAlign w:val="center"/>
          </w:tcPr>
          <w:p w14:paraId="7A2EF9D8">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842" w:type="dxa"/>
            <w:vAlign w:val="center"/>
          </w:tcPr>
          <w:p w14:paraId="0DFA77C9">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1852" w:type="dxa"/>
            <w:vAlign w:val="center"/>
          </w:tcPr>
          <w:p w14:paraId="68A95EDA">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p>
        </w:tc>
      </w:tr>
      <w:tr w14:paraId="2F7E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1" w:type="dxa"/>
            <w:vMerge w:val="continue"/>
            <w:vAlign w:val="center"/>
          </w:tcPr>
          <w:p w14:paraId="5D05801A">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p>
        </w:tc>
        <w:tc>
          <w:tcPr>
            <w:tcW w:w="440" w:type="dxa"/>
            <w:vMerge w:val="continue"/>
            <w:vAlign w:val="center"/>
          </w:tcPr>
          <w:p w14:paraId="49C566BD">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p>
        </w:tc>
        <w:tc>
          <w:tcPr>
            <w:tcW w:w="977" w:type="dxa"/>
            <w:vAlign w:val="center"/>
          </w:tcPr>
          <w:p w14:paraId="017B0C76">
            <w:pPr>
              <w:keepNext w:val="0"/>
              <w:keepLines w:val="0"/>
              <w:suppressLineNumbers w:val="0"/>
              <w:spacing w:before="0" w:beforeAutospacing="0" w:after="0" w:afterAutospacing="0" w:line="240" w:lineRule="auto"/>
              <w:ind w:left="0" w:right="0"/>
              <w:jc w:val="center"/>
              <w:rPr>
                <w:rFonts w:hint="default" w:ascii="Times New Roman" w:hAnsi="Times New Roman" w:eastAsia="宋体"/>
                <w:b/>
                <w:bCs/>
                <w:color w:val="000000" w:themeColor="text1"/>
                <w:sz w:val="21"/>
                <w:szCs w:val="21"/>
                <w:highlight w:val="none"/>
                <w14:textFill>
                  <w14:solidFill>
                    <w14:schemeClr w14:val="tx1"/>
                  </w14:solidFill>
                </w14:textFill>
              </w:rPr>
            </w:pPr>
            <w:r>
              <w:rPr>
                <w:rFonts w:hint="default" w:ascii="Times New Roman" w:hAnsi="Times New Roman" w:eastAsia="宋体"/>
                <w:b/>
                <w:bCs/>
                <w:color w:val="000000" w:themeColor="text1"/>
                <w:sz w:val="21"/>
                <w:szCs w:val="21"/>
                <w:highlight w:val="none"/>
                <w14:textFill>
                  <w14:solidFill>
                    <w14:schemeClr w14:val="tx1"/>
                  </w14:solidFill>
                </w14:textFill>
              </w:rPr>
              <w:t>定期巡检服务</w:t>
            </w:r>
          </w:p>
        </w:tc>
        <w:tc>
          <w:tcPr>
            <w:tcW w:w="426" w:type="dxa"/>
            <w:vAlign w:val="center"/>
          </w:tcPr>
          <w:p w14:paraId="72F473DB">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color w:val="000000" w:themeColor="text1"/>
                <w:sz w:val="21"/>
                <w:szCs w:val="21"/>
                <w:highlight w:val="none"/>
                <w14:textFill>
                  <w14:solidFill>
                    <w14:schemeClr w14:val="tx1"/>
                  </w14:solidFill>
                </w14:textFill>
              </w:rPr>
              <w:t>20</w:t>
            </w:r>
          </w:p>
        </w:tc>
        <w:tc>
          <w:tcPr>
            <w:tcW w:w="2693" w:type="dxa"/>
            <w:vAlign w:val="center"/>
          </w:tcPr>
          <w:p w14:paraId="59929012">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1、按以下情况进行扣分，扣完即止。</w:t>
            </w:r>
          </w:p>
          <w:p w14:paraId="0F375439">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2、扣分情况包括：</w:t>
            </w:r>
          </w:p>
          <w:p w14:paraId="53C801CC">
            <w:pPr>
              <w:pStyle w:val="264"/>
              <w:keepNext w:val="0"/>
              <w:keepLines w:val="0"/>
              <w:numPr>
                <w:ilvl w:val="0"/>
                <w:numId w:val="8"/>
              </w:numPr>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有证据证明中标人无故未在约定时间进行巡检服务，每发生一次，扣0.</w:t>
            </w:r>
            <w:r>
              <w:rPr>
                <w:rFonts w:hint="default" w:ascii="Times New Roman" w:hAnsi="Times New Roman"/>
                <w:color w:val="000000" w:themeColor="text1"/>
                <w:sz w:val="21"/>
                <w:szCs w:val="21"/>
                <w:highlight w:val="none"/>
                <w14:textFill>
                  <w14:solidFill>
                    <w14:schemeClr w14:val="tx1"/>
                  </w14:solidFill>
                </w14:textFill>
              </w:rPr>
              <w:t>5</w:t>
            </w:r>
            <w:r>
              <w:rPr>
                <w:rFonts w:hint="default" w:ascii="Times New Roman" w:hAnsi="Times New Roman" w:eastAsia="宋体"/>
                <w:color w:val="000000" w:themeColor="text1"/>
                <w:sz w:val="21"/>
                <w:szCs w:val="21"/>
                <w:highlight w:val="none"/>
                <w14:textFill>
                  <w14:solidFill>
                    <w14:schemeClr w14:val="tx1"/>
                  </w14:solidFill>
                </w14:textFill>
              </w:rPr>
              <w:t>分；</w:t>
            </w:r>
          </w:p>
          <w:p w14:paraId="48BFE0E2">
            <w:pPr>
              <w:pStyle w:val="264"/>
              <w:keepNext w:val="0"/>
              <w:keepLines w:val="0"/>
              <w:suppressLineNumbers w:val="0"/>
              <w:spacing w:before="0" w:beforeAutospacing="0" w:after="0" w:afterAutospacing="0" w:line="240" w:lineRule="auto"/>
              <w:ind w:left="0" w:right="0" w:firstLine="0" w:firstLineChars="0"/>
              <w:jc w:val="left"/>
              <w:rPr>
                <w:rFonts w:hint="default" w:ascii="Times New Roman" w:hAnsi="Times New Roman" w:eastAsia="宋体"/>
                <w:color w:val="000000" w:themeColor="text1"/>
                <w:sz w:val="21"/>
                <w:szCs w:val="21"/>
                <w:highlight w:val="none"/>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有证据证明中标人未在巡检中发现系统运行异常，每发生一次，扣0.</w:t>
            </w:r>
            <w:r>
              <w:rPr>
                <w:rFonts w:hint="default" w:ascii="Times New Roman" w:hAnsi="Times New Roman"/>
                <w:color w:val="000000" w:themeColor="text1"/>
                <w:sz w:val="21"/>
                <w:szCs w:val="21"/>
                <w:highlight w:val="none"/>
                <w14:textFill>
                  <w14:solidFill>
                    <w14:schemeClr w14:val="tx1"/>
                  </w14:solidFill>
                </w14:textFill>
              </w:rPr>
              <w:t>5</w:t>
            </w:r>
            <w:r>
              <w:rPr>
                <w:rFonts w:hint="default" w:ascii="Times New Roman" w:hAnsi="Times New Roman" w:eastAsia="宋体"/>
                <w:color w:val="000000" w:themeColor="text1"/>
                <w:sz w:val="21"/>
                <w:szCs w:val="21"/>
                <w:highlight w:val="none"/>
                <w14:textFill>
                  <w14:solidFill>
                    <w14:schemeClr w14:val="tx1"/>
                  </w14:solidFill>
                </w14:textFill>
              </w:rPr>
              <w:t>分。</w:t>
            </w:r>
          </w:p>
        </w:tc>
        <w:tc>
          <w:tcPr>
            <w:tcW w:w="850" w:type="dxa"/>
            <w:vAlign w:val="center"/>
          </w:tcPr>
          <w:p w14:paraId="3C5DFF40">
            <w:pPr>
              <w:keepNext w:val="0"/>
              <w:keepLines w:val="0"/>
              <w:suppressLineNumbers w:val="0"/>
              <w:spacing w:before="0" w:beforeAutospacing="0" w:after="0" w:afterAutospacing="0" w:line="240" w:lineRule="auto"/>
              <w:ind w:left="0" w:right="0"/>
              <w:jc w:val="left"/>
              <w:rPr>
                <w:rFonts w:hint="eastAsia" w:ascii="Times New Roman" w:hAnsi="Times New Roman" w:eastAsia="宋体"/>
                <w:color w:val="000000" w:themeColor="text1"/>
                <w:sz w:val="21"/>
                <w:szCs w:val="21"/>
                <w:highlight w:val="none"/>
                <w:lang w:eastAsia="zh-CN"/>
                <w14:textFill>
                  <w14:solidFill>
                    <w14:schemeClr w14:val="tx1"/>
                  </w14:solidFill>
                </w14:textFill>
              </w:rPr>
            </w:pPr>
            <w:r>
              <w:rPr>
                <w:rFonts w:hint="default" w:ascii="Times New Roman" w:hAnsi="Times New Roman" w:eastAsia="宋体"/>
                <w:color w:val="000000" w:themeColor="text1"/>
                <w:sz w:val="21"/>
                <w:szCs w:val="21"/>
                <w:highlight w:val="none"/>
                <w14:textFill>
                  <w14:solidFill>
                    <w14:schemeClr w14:val="tx1"/>
                  </w14:solidFill>
                </w14:textFill>
              </w:rPr>
              <w:t>以监理单位提交的报告为准</w:t>
            </w:r>
            <w:r>
              <w:rPr>
                <w:rFonts w:hint="eastAsia" w:ascii="Times New Roman" w:hAnsi="Times New Roman" w:eastAsia="宋体"/>
                <w:color w:val="000000" w:themeColor="text1"/>
                <w:sz w:val="21"/>
                <w:szCs w:val="21"/>
                <w:highlight w:val="none"/>
                <w:lang w:eastAsia="zh-CN"/>
                <w14:textFill>
                  <w14:solidFill>
                    <w14:schemeClr w14:val="tx1"/>
                  </w14:solidFill>
                </w14:textFill>
              </w:rPr>
              <w:t>。</w:t>
            </w:r>
          </w:p>
        </w:tc>
        <w:tc>
          <w:tcPr>
            <w:tcW w:w="567" w:type="dxa"/>
            <w:vAlign w:val="center"/>
          </w:tcPr>
          <w:p w14:paraId="768C1B28">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842" w:type="dxa"/>
            <w:vAlign w:val="center"/>
          </w:tcPr>
          <w:p w14:paraId="0D313B4A">
            <w:pPr>
              <w:keepNext w:val="0"/>
              <w:keepLines w:val="0"/>
              <w:suppressLineNumbers w:val="0"/>
              <w:spacing w:before="0" w:beforeAutospacing="0" w:after="0" w:afterAutospacing="0" w:line="240" w:lineRule="auto"/>
              <w:ind w:left="0" w:right="0"/>
              <w:jc w:val="center"/>
              <w:rPr>
                <w:rFonts w:hint="default" w:ascii="Times New Roman" w:hAnsi="Times New Roman" w:eastAsia="宋体"/>
                <w:color w:val="000000" w:themeColor="text1"/>
                <w:sz w:val="21"/>
                <w:szCs w:val="21"/>
                <w:highlight w:val="none"/>
                <w14:textFill>
                  <w14:solidFill>
                    <w14:schemeClr w14:val="tx1"/>
                  </w14:solidFill>
                </w14:textFill>
              </w:rPr>
            </w:pPr>
          </w:p>
        </w:tc>
        <w:tc>
          <w:tcPr>
            <w:tcW w:w="1852" w:type="dxa"/>
            <w:vAlign w:val="center"/>
          </w:tcPr>
          <w:p w14:paraId="322BFD69">
            <w:pPr>
              <w:keepNext w:val="0"/>
              <w:keepLines w:val="0"/>
              <w:suppressLineNumbers w:val="0"/>
              <w:spacing w:before="0" w:beforeAutospacing="0" w:after="0" w:afterAutospacing="0" w:line="240" w:lineRule="auto"/>
              <w:ind w:left="0" w:right="0"/>
              <w:jc w:val="left"/>
              <w:rPr>
                <w:rFonts w:hint="default" w:ascii="Times New Roman" w:hAnsi="Times New Roman" w:eastAsia="宋体"/>
                <w:color w:val="000000" w:themeColor="text1"/>
                <w:sz w:val="21"/>
                <w:szCs w:val="21"/>
                <w:highlight w:val="none"/>
                <w14:textFill>
                  <w14:solidFill>
                    <w14:schemeClr w14:val="tx1"/>
                  </w14:solidFill>
                </w14:textFill>
              </w:rPr>
            </w:pPr>
          </w:p>
        </w:tc>
      </w:tr>
    </w:tbl>
    <w:p w14:paraId="484B0969">
      <w:pPr>
        <w:rPr>
          <w:rFonts w:ascii="宋体" w:hAnsi="宋体" w:cs="宋体"/>
          <w:b/>
          <w:color w:val="000000" w:themeColor="text1"/>
          <w:szCs w:val="20"/>
          <w:highlight w:val="none"/>
          <w14:textFill>
            <w14:solidFill>
              <w14:schemeClr w14:val="tx1"/>
            </w14:solidFill>
          </w14:textFill>
        </w:rPr>
      </w:pPr>
    </w:p>
    <w:p w14:paraId="2A0C2A42">
      <w:pPr>
        <w:spacing w:line="360" w:lineRule="auto"/>
        <w:ind w:firstLine="482"/>
        <w:jc w:val="center"/>
        <w:rPr>
          <w:rFonts w:hint="eastAsia" w:ascii="宋体" w:hAnsi="宋体" w:cs="宋体"/>
          <w:b/>
          <w:color w:val="000000" w:themeColor="text1"/>
          <w:szCs w:val="20"/>
          <w:highlight w:val="none"/>
          <w14:textFill>
            <w14:solidFill>
              <w14:schemeClr w14:val="tx1"/>
            </w14:solidFill>
          </w14:textFill>
        </w:rPr>
      </w:pPr>
    </w:p>
    <w:p w14:paraId="7CB62AAD">
      <w:pPr>
        <w:spacing w:line="360" w:lineRule="auto"/>
        <w:ind w:firstLine="482"/>
        <w:jc w:val="center"/>
        <w:rPr>
          <w:rFonts w:hint="eastAsia" w:ascii="宋体" w:hAnsi="宋体" w:cs="宋体"/>
          <w:b/>
          <w:color w:val="000000" w:themeColor="text1"/>
          <w:szCs w:val="20"/>
          <w:highlight w:val="none"/>
          <w14:textFill>
            <w14:solidFill>
              <w14:schemeClr w14:val="tx1"/>
            </w14:solidFill>
          </w14:textFill>
        </w:rPr>
      </w:pPr>
    </w:p>
    <w:p w14:paraId="3C93734F">
      <w:pPr>
        <w:spacing w:line="360" w:lineRule="auto"/>
        <w:ind w:firstLine="482"/>
        <w:jc w:val="center"/>
        <w:rPr>
          <w:rFonts w:hint="eastAsia" w:ascii="宋体" w:hAnsi="宋体" w:cs="宋体"/>
          <w:b/>
          <w:color w:val="000000" w:themeColor="text1"/>
          <w:szCs w:val="20"/>
          <w:highlight w:val="none"/>
          <w14:textFill>
            <w14:solidFill>
              <w14:schemeClr w14:val="tx1"/>
            </w14:solidFill>
          </w14:textFill>
        </w:rPr>
      </w:pPr>
    </w:p>
    <w:p w14:paraId="1EEC1DF8">
      <w:pPr>
        <w:spacing w:line="360" w:lineRule="auto"/>
        <w:ind w:firstLine="482"/>
        <w:jc w:val="center"/>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szCs w:val="20"/>
          <w:highlight w:val="none"/>
          <w14:textFill>
            <w14:solidFill>
              <w14:schemeClr w14:val="tx1"/>
            </w14:solidFill>
          </w14:textFill>
        </w:rPr>
        <w:t>表2、</w:t>
      </w:r>
      <w:r>
        <w:rPr>
          <w:rFonts w:hint="eastAsia" w:ascii="宋体" w:hAnsi="宋体" w:eastAsia="宋体" w:cs="宋体"/>
          <w:b/>
          <w:color w:val="000000" w:themeColor="text1"/>
          <w:highlight w:val="none"/>
          <w14:textFill>
            <w14:solidFill>
              <w14:schemeClr w14:val="tx1"/>
            </w14:solidFill>
          </w14:textFill>
        </w:rPr>
        <w:t>运维服务质量评价得分扣减金额折算表</w:t>
      </w:r>
    </w:p>
    <w:p w14:paraId="2737E202">
      <w:pPr>
        <w:ind w:firstLine="422" w:firstLineChars="200"/>
        <w:jc w:val="center"/>
        <w:rPr>
          <w:rFonts w:ascii="宋体" w:hAnsi="宋体" w:cs="宋体"/>
          <w:b/>
          <w:color w:val="000000" w:themeColor="text1"/>
          <w:szCs w:val="20"/>
          <w:highlight w:val="none"/>
          <w14:textFill>
            <w14:solidFill>
              <w14:schemeClr w14:val="tx1"/>
            </w14:solidFill>
          </w14:textFill>
        </w:rPr>
      </w:pPr>
    </w:p>
    <w:tbl>
      <w:tblPr>
        <w:tblStyle w:val="53"/>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063"/>
        <w:gridCol w:w="1470"/>
        <w:gridCol w:w="2165"/>
      </w:tblGrid>
      <w:tr w14:paraId="2894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6EEA42A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序号</w:t>
            </w:r>
          </w:p>
        </w:tc>
        <w:tc>
          <w:tcPr>
            <w:tcW w:w="4063" w:type="dxa"/>
            <w:vAlign w:val="center"/>
          </w:tcPr>
          <w:p w14:paraId="7670B0E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运维服务质量评价得分</w:t>
            </w:r>
          </w:p>
        </w:tc>
        <w:tc>
          <w:tcPr>
            <w:tcW w:w="1470" w:type="dxa"/>
            <w:vAlign w:val="center"/>
          </w:tcPr>
          <w:p w14:paraId="7ECA88A8">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扣减系数</w:t>
            </w:r>
          </w:p>
        </w:tc>
        <w:tc>
          <w:tcPr>
            <w:tcW w:w="2165" w:type="dxa"/>
            <w:vAlign w:val="center"/>
          </w:tcPr>
          <w:p w14:paraId="5ECB8E8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扣减金额</w:t>
            </w:r>
          </w:p>
        </w:tc>
      </w:tr>
      <w:tr w14:paraId="003A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3BE94BC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063" w:type="dxa"/>
            <w:vAlign w:val="center"/>
          </w:tcPr>
          <w:p w14:paraId="231D08E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95≤运维服务质量评价得分≤100</w:t>
            </w:r>
          </w:p>
        </w:tc>
        <w:tc>
          <w:tcPr>
            <w:tcW w:w="1470" w:type="dxa"/>
            <w:vAlign w:val="center"/>
          </w:tcPr>
          <w:p w14:paraId="27DEF4E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c>
          <w:tcPr>
            <w:tcW w:w="2165" w:type="dxa"/>
            <w:vAlign w:val="center"/>
          </w:tcPr>
          <w:p w14:paraId="05E1A5D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0</w:t>
            </w:r>
          </w:p>
        </w:tc>
      </w:tr>
      <w:tr w14:paraId="565E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1CE5624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4063" w:type="dxa"/>
            <w:vAlign w:val="center"/>
          </w:tcPr>
          <w:p w14:paraId="48C8E88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90≤运维服务质量评价得分&lt;95</w:t>
            </w:r>
          </w:p>
        </w:tc>
        <w:tc>
          <w:tcPr>
            <w:tcW w:w="1470" w:type="dxa"/>
            <w:vAlign w:val="center"/>
          </w:tcPr>
          <w:p w14:paraId="66C59D6A">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2165" w:type="dxa"/>
            <w:vAlign w:val="center"/>
          </w:tcPr>
          <w:p w14:paraId="327F943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2%×合同总价</w:t>
            </w:r>
          </w:p>
        </w:tc>
      </w:tr>
      <w:tr w14:paraId="5491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2C0BAA91">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4063" w:type="dxa"/>
            <w:vAlign w:val="center"/>
          </w:tcPr>
          <w:p w14:paraId="71A969FF">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85≤运维服务质量评价得分&lt;90</w:t>
            </w:r>
          </w:p>
        </w:tc>
        <w:tc>
          <w:tcPr>
            <w:tcW w:w="1470" w:type="dxa"/>
            <w:vAlign w:val="center"/>
          </w:tcPr>
          <w:p w14:paraId="43834495">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2165" w:type="dxa"/>
            <w:vAlign w:val="center"/>
          </w:tcPr>
          <w:p w14:paraId="01E7B46B">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5%×合同总价</w:t>
            </w:r>
          </w:p>
        </w:tc>
      </w:tr>
      <w:tr w14:paraId="3F88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06E3360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4063" w:type="dxa"/>
            <w:vAlign w:val="center"/>
          </w:tcPr>
          <w:p w14:paraId="5FCD1769">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80≤运维服务质量评价得分&lt;85</w:t>
            </w:r>
          </w:p>
        </w:tc>
        <w:tc>
          <w:tcPr>
            <w:tcW w:w="1470" w:type="dxa"/>
            <w:vAlign w:val="center"/>
          </w:tcPr>
          <w:p w14:paraId="2175F91E">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w:t>
            </w:r>
          </w:p>
        </w:tc>
        <w:tc>
          <w:tcPr>
            <w:tcW w:w="2165" w:type="dxa"/>
            <w:vAlign w:val="center"/>
          </w:tcPr>
          <w:p w14:paraId="666C7FC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kern w:val="0"/>
                <w:sz w:val="21"/>
                <w:szCs w:val="21"/>
                <w:highlight w:val="none"/>
                <w14:textFill>
                  <w14:solidFill>
                    <w14:schemeClr w14:val="tx1"/>
                  </w14:solidFill>
                </w14:textFill>
              </w:rPr>
              <w:t>%×合同总价</w:t>
            </w:r>
          </w:p>
        </w:tc>
      </w:tr>
      <w:tr w14:paraId="7036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3AA598A7">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4063" w:type="dxa"/>
            <w:vAlign w:val="center"/>
          </w:tcPr>
          <w:p w14:paraId="06CBE630">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运维服务质量评价得分&lt;80</w:t>
            </w:r>
          </w:p>
        </w:tc>
        <w:tc>
          <w:tcPr>
            <w:tcW w:w="1470" w:type="dxa"/>
            <w:vAlign w:val="center"/>
          </w:tcPr>
          <w:p w14:paraId="5A948546">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2165" w:type="dxa"/>
            <w:vAlign w:val="center"/>
          </w:tcPr>
          <w:p w14:paraId="35934DD2">
            <w:pPr>
              <w:keepNext w:val="0"/>
              <w:keepLines w:val="0"/>
              <w:suppressLineNumbers w:val="0"/>
              <w:spacing w:before="0" w:beforeAutospacing="0" w:after="0" w:afterAutospacing="0" w:line="240" w:lineRule="auto"/>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20%×合同总价</w:t>
            </w:r>
          </w:p>
        </w:tc>
      </w:tr>
    </w:tbl>
    <w:p w14:paraId="0B23FA7C">
      <w:pPr>
        <w:ind w:left="187" w:leftChars="89"/>
        <w:jc w:val="right"/>
        <w:rPr>
          <w:rFonts w:ascii="仿宋" w:hAnsi="仿宋" w:eastAsia="仿宋"/>
          <w:b/>
          <w:color w:val="000000" w:themeColor="text1"/>
          <w:szCs w:val="21"/>
          <w:highlight w:val="none"/>
          <w14:textFill>
            <w14:solidFill>
              <w14:schemeClr w14:val="tx1"/>
            </w14:solidFill>
          </w14:textFill>
        </w:rPr>
      </w:pPr>
      <w:r>
        <w:rPr>
          <w:rFonts w:ascii="宋体" w:hAnsi="宋体" w:cs="宋体"/>
          <w:color w:val="000000" w:themeColor="text1"/>
          <w:sz w:val="24"/>
          <w:highlight w:val="none"/>
          <w14:textFill>
            <w14:solidFill>
              <w14:schemeClr w14:val="tx1"/>
            </w14:solidFill>
          </w14:textFill>
        </w:rPr>
        <w:br w:type="page"/>
      </w:r>
      <w:bookmarkStart w:id="63" w:name="_Toc217446030"/>
      <w:bookmarkStart w:id="64" w:name="_Toc183682338"/>
    </w:p>
    <w:p w14:paraId="67FBF78C">
      <w:pPr>
        <w:snapToGrid w:val="0"/>
        <w:jc w:val="center"/>
        <w:rPr>
          <w:rFonts w:ascii="黑体" w:hAnsi="宋体" w:eastAsia="黑体"/>
          <w:color w:val="000000" w:themeColor="text1"/>
          <w:sz w:val="30"/>
          <w:szCs w:val="30"/>
          <w:highlight w:val="none"/>
          <w14:textFill>
            <w14:solidFill>
              <w14:schemeClr w14:val="tx1"/>
            </w14:solidFill>
          </w14:textFill>
        </w:rPr>
      </w:pPr>
      <w:bookmarkStart w:id="65" w:name="jinjicd"/>
      <w:bookmarkEnd w:id="65"/>
      <w:bookmarkStart w:id="66" w:name="csmb"/>
      <w:bookmarkEnd w:id="66"/>
      <w:r>
        <w:rPr>
          <w:rFonts w:hint="eastAsia" w:ascii="黑体" w:hAnsi="宋体" w:eastAsia="黑体"/>
          <w:color w:val="000000" w:themeColor="text1"/>
          <w:sz w:val="30"/>
          <w:szCs w:val="30"/>
          <w:highlight w:val="none"/>
          <w14:textFill>
            <w14:solidFill>
              <w14:schemeClr w14:val="tx1"/>
            </w14:solidFill>
          </w14:textFill>
        </w:rPr>
        <w:t>技术</w:t>
      </w:r>
      <w:r>
        <w:rPr>
          <w:rFonts w:ascii="黑体" w:hAnsi="宋体" w:eastAsia="黑体"/>
          <w:color w:val="000000" w:themeColor="text1"/>
          <w:sz w:val="30"/>
          <w:szCs w:val="30"/>
          <w:highlight w:val="none"/>
          <w14:textFill>
            <w14:solidFill>
              <w14:schemeClr w14:val="tx1"/>
            </w14:solidFill>
          </w14:textFill>
        </w:rPr>
        <w:t>部分</w:t>
      </w:r>
      <w:r>
        <w:rPr>
          <w:rFonts w:hint="eastAsia" w:ascii="黑体" w:hAnsi="宋体" w:eastAsia="黑体"/>
          <w:color w:val="000000" w:themeColor="text1"/>
          <w:sz w:val="30"/>
          <w:szCs w:val="30"/>
          <w:highlight w:val="none"/>
          <w14:textFill>
            <w14:solidFill>
              <w14:schemeClr w14:val="tx1"/>
            </w14:solidFill>
          </w14:textFill>
        </w:rPr>
        <w:t>附件</w:t>
      </w:r>
      <w:r>
        <w:rPr>
          <w:rFonts w:ascii="黑体" w:hAnsi="宋体" w:eastAsia="黑体"/>
          <w:color w:val="000000" w:themeColor="text1"/>
          <w:sz w:val="30"/>
          <w:szCs w:val="30"/>
          <w:highlight w:val="none"/>
          <w14:textFill>
            <w14:solidFill>
              <w14:schemeClr w14:val="tx1"/>
            </w14:solidFill>
          </w14:textFill>
        </w:rPr>
        <w:t>：</w:t>
      </w:r>
      <w:r>
        <w:rPr>
          <w:rFonts w:hint="eastAsia" w:ascii="黑体" w:hAnsi="宋体" w:eastAsia="黑体"/>
          <w:color w:val="000000" w:themeColor="text1"/>
          <w:sz w:val="30"/>
          <w:szCs w:val="30"/>
          <w:highlight w:val="none"/>
          <w14:textFill>
            <w14:solidFill>
              <w14:schemeClr w14:val="tx1"/>
            </w14:solidFill>
          </w14:textFill>
        </w:rPr>
        <w:t>《</w:t>
      </w:r>
      <w:r>
        <w:rPr>
          <w:rFonts w:hint="eastAsia" w:ascii="黑体" w:hAnsi="宋体" w:eastAsia="黑体"/>
          <w:color w:val="000000" w:themeColor="text1"/>
          <w:sz w:val="30"/>
          <w:szCs w:val="30"/>
          <w:highlight w:val="none"/>
          <w:lang w:eastAsia="zh-CN"/>
          <w14:textFill>
            <w14:solidFill>
              <w14:schemeClr w14:val="tx1"/>
            </w14:solidFill>
          </w14:textFill>
        </w:rPr>
        <w:t>2026—2027年度厅机关应用系统维护服务项目</w:t>
      </w:r>
      <w:r>
        <w:rPr>
          <w:rFonts w:hint="eastAsia" w:ascii="黑体" w:hAnsi="宋体" w:eastAsia="黑体"/>
          <w:color w:val="000000" w:themeColor="text1"/>
          <w:sz w:val="30"/>
          <w:szCs w:val="30"/>
          <w:highlight w:val="none"/>
          <w14:textFill>
            <w14:solidFill>
              <w14:schemeClr w14:val="tx1"/>
            </w14:solidFill>
          </w14:textFill>
        </w:rPr>
        <w:t>项目招标要求》</w:t>
      </w:r>
    </w:p>
    <w:p w14:paraId="5F2451D5">
      <w:pPr>
        <w:spacing w:line="360" w:lineRule="auto"/>
        <w:jc w:val="center"/>
        <w:rPr>
          <w:rFonts w:ascii="宋体" w:hAnsi="宋体" w:cs="宋体"/>
          <w:b/>
          <w:color w:val="000000" w:themeColor="text1"/>
          <w:sz w:val="36"/>
          <w:szCs w:val="36"/>
          <w:highlight w:val="none"/>
          <w14:textFill>
            <w14:solidFill>
              <w14:schemeClr w14:val="tx1"/>
            </w14:solidFill>
          </w14:textFill>
        </w:rPr>
      </w:pPr>
    </w:p>
    <w:p w14:paraId="10422FE0">
      <w:pPr>
        <w:keepNext/>
        <w:keepLines/>
        <w:pageBreakBefore w:val="0"/>
        <w:widowControl w:val="0"/>
        <w:kinsoku/>
        <w:wordWrap/>
        <w:overflowPunct/>
        <w:topLinePunct w:val="0"/>
        <w:autoSpaceDE/>
        <w:autoSpaceDN/>
        <w:bidi w:val="0"/>
        <w:adjustRightInd/>
        <w:snapToGrid/>
        <w:spacing w:line="480" w:lineRule="auto"/>
        <w:textAlignment w:val="auto"/>
        <w:outlineLvl w:val="9"/>
        <w:rPr>
          <w:rFonts w:ascii="宋体" w:hAnsi="宋体" w:cs="宋体"/>
          <w:b/>
          <w:bCs/>
          <w:color w:val="000000" w:themeColor="text1"/>
          <w:kern w:val="44"/>
          <w:sz w:val="32"/>
          <w:szCs w:val="44"/>
          <w:highlight w:val="none"/>
          <w14:textFill>
            <w14:solidFill>
              <w14:schemeClr w14:val="tx1"/>
            </w14:solidFill>
          </w14:textFill>
        </w:rPr>
      </w:pPr>
      <w:bookmarkStart w:id="67" w:name="_Toc26789"/>
      <w:bookmarkStart w:id="68" w:name="_Toc1045"/>
      <w:r>
        <w:rPr>
          <w:rFonts w:hint="eastAsia" w:ascii="宋体" w:hAnsi="宋体" w:cs="宋体"/>
          <w:b/>
          <w:bCs/>
          <w:color w:val="000000" w:themeColor="text1"/>
          <w:kern w:val="44"/>
          <w:sz w:val="32"/>
          <w:szCs w:val="44"/>
          <w:highlight w:val="none"/>
          <w:lang w:eastAsia="zh-CN"/>
          <w14:textFill>
            <w14:solidFill>
              <w14:schemeClr w14:val="tx1"/>
            </w14:solidFill>
          </w14:textFill>
        </w:rPr>
        <w:t>一、</w:t>
      </w:r>
      <w:r>
        <w:rPr>
          <w:rFonts w:hint="eastAsia" w:ascii="宋体" w:hAnsi="宋体" w:cs="宋体"/>
          <w:b/>
          <w:bCs/>
          <w:color w:val="000000" w:themeColor="text1"/>
          <w:kern w:val="44"/>
          <w:sz w:val="32"/>
          <w:szCs w:val="44"/>
          <w:highlight w:val="none"/>
          <w14:textFill>
            <w14:solidFill>
              <w14:schemeClr w14:val="tx1"/>
            </w14:solidFill>
          </w14:textFill>
        </w:rPr>
        <w:t>项目概述</w:t>
      </w:r>
      <w:bookmarkEnd w:id="67"/>
      <w:bookmarkEnd w:id="68"/>
    </w:p>
    <w:p w14:paraId="0C3D3AB9">
      <w:pPr>
        <w:spacing w:line="360" w:lineRule="auto"/>
        <w:ind w:firstLine="480" w:firstLineChars="200"/>
        <w:rPr>
          <w:rFonts w:hint="eastAsia" w:ascii="宋体" w:hAnsi="宋体" w:eastAsia="宋体" w:cs="宋体"/>
          <w:color w:val="000000" w:themeColor="text1"/>
          <w:sz w:val="24"/>
          <w:szCs w:val="22"/>
          <w:highlight w:val="none"/>
          <w:lang w:eastAsia="zh-CN"/>
          <w14:textFill>
            <w14:solidFill>
              <w14:schemeClr w14:val="tx1"/>
            </w14:solidFill>
          </w14:textFill>
        </w:rPr>
      </w:pPr>
      <w:r>
        <w:rPr>
          <w:rFonts w:hint="eastAsia" w:ascii="宋体" w:hAnsi="宋体" w:cs="宋体"/>
          <w:color w:val="000000" w:themeColor="text1"/>
          <w:sz w:val="24"/>
          <w:szCs w:val="22"/>
          <w:highlight w:val="none"/>
          <w:lang w:eastAsia="zh-CN"/>
          <w14:textFill>
            <w14:solidFill>
              <w14:schemeClr w14:val="tx1"/>
            </w14:solidFill>
          </w14:textFill>
        </w:rPr>
        <w:t>为保障广西公安厅信息系统安全、稳定、高效运行，保持系统的可用性与连续性，通过集中型运维管理模式开展运维工作，结合公安厅运维服务管理体系，与公安厅运维部门配合以实现运维服务的标准化、规范化、集中化、流程化等目标。本项目包含广西公安厅</w:t>
      </w:r>
      <w:r>
        <w:rPr>
          <w:rFonts w:hint="eastAsia" w:ascii="宋体" w:hAnsi="宋体" w:cs="宋体"/>
          <w:bCs/>
          <w:color w:val="000000" w:themeColor="text1"/>
          <w:sz w:val="24"/>
          <w:szCs w:val="22"/>
          <w:highlight w:val="none"/>
          <w:lang w:val="en-US" w:eastAsia="zh-CN"/>
          <w14:textFill>
            <w14:solidFill>
              <w14:schemeClr w14:val="tx1"/>
            </w14:solidFill>
          </w14:textFill>
        </w:rPr>
        <w:t>21个业务单位的114项</w:t>
      </w:r>
      <w:r>
        <w:rPr>
          <w:rFonts w:hint="eastAsia" w:ascii="宋体" w:hAnsi="宋体" w:cs="宋体"/>
          <w:color w:val="000000" w:themeColor="text1"/>
          <w:sz w:val="24"/>
          <w:highlight w:val="none"/>
          <w14:textFill>
            <w14:solidFill>
              <w14:schemeClr w14:val="tx1"/>
            </w14:solidFill>
          </w14:textFill>
        </w:rPr>
        <w:t>信息系统维护服务</w:t>
      </w:r>
      <w:r>
        <w:rPr>
          <w:rFonts w:hint="eastAsia" w:ascii="宋体" w:hAnsi="宋体" w:cs="宋体"/>
          <w:color w:val="000000" w:themeColor="text1"/>
          <w:sz w:val="24"/>
          <w:szCs w:val="22"/>
          <w:highlight w:val="none"/>
          <w:lang w:eastAsia="zh-CN"/>
          <w14:textFill>
            <w14:solidFill>
              <w14:schemeClr w14:val="tx1"/>
            </w14:solidFill>
          </w14:textFill>
        </w:rPr>
        <w:t>。</w:t>
      </w:r>
    </w:p>
    <w:p w14:paraId="175EE786">
      <w:pPr>
        <w:keepNext/>
        <w:keepLines/>
        <w:pageBreakBefore w:val="0"/>
        <w:widowControl w:val="0"/>
        <w:kinsoku/>
        <w:wordWrap/>
        <w:overflowPunct/>
        <w:topLinePunct w:val="0"/>
        <w:autoSpaceDE/>
        <w:autoSpaceDN/>
        <w:bidi w:val="0"/>
        <w:adjustRightInd/>
        <w:snapToGrid/>
        <w:spacing w:line="480" w:lineRule="auto"/>
        <w:textAlignment w:val="auto"/>
        <w:outlineLvl w:val="9"/>
        <w:rPr>
          <w:rFonts w:hint="eastAsia" w:ascii="宋体" w:hAnsi="宋体" w:eastAsia="宋体" w:cs="宋体"/>
          <w:b/>
          <w:bCs/>
          <w:color w:val="000000" w:themeColor="text1"/>
          <w:kern w:val="44"/>
          <w:sz w:val="32"/>
          <w:szCs w:val="44"/>
          <w:highlight w:val="none"/>
          <w:lang w:eastAsia="zh-CN"/>
          <w14:textFill>
            <w14:solidFill>
              <w14:schemeClr w14:val="tx1"/>
            </w14:solidFill>
          </w14:textFill>
        </w:rPr>
      </w:pPr>
      <w:bookmarkStart w:id="69" w:name="_Toc575"/>
      <w:bookmarkStart w:id="70" w:name="_Toc20998"/>
      <w:r>
        <w:rPr>
          <w:rFonts w:hint="eastAsia" w:ascii="宋体" w:hAnsi="宋体" w:eastAsia="宋体" w:cs="宋体"/>
          <w:b/>
          <w:bCs/>
          <w:color w:val="000000" w:themeColor="text1"/>
          <w:kern w:val="44"/>
          <w:sz w:val="32"/>
          <w:szCs w:val="44"/>
          <w:highlight w:val="none"/>
          <w:lang w:eastAsia="zh-CN"/>
          <w14:textFill>
            <w14:solidFill>
              <w14:schemeClr w14:val="tx1"/>
            </w14:solidFill>
          </w14:textFill>
        </w:rPr>
        <w:t>二、服务内容</w:t>
      </w:r>
      <w:bookmarkEnd w:id="69"/>
      <w:bookmarkEnd w:id="70"/>
    </w:p>
    <w:p w14:paraId="108D6C3F">
      <w:p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本运维项目服务内容包括通用服务及专项服务两部分，通用服务指所有应用系统类共性的运维内容，专项服务指所属单个应用系统特有的运维内容。中标</w:t>
      </w:r>
      <w:r>
        <w:rPr>
          <w:rFonts w:hint="eastAsia" w:ascii="宋体" w:hAnsi="宋体" w:cs="宋体"/>
          <w:color w:val="000000" w:themeColor="text1"/>
          <w:sz w:val="24"/>
          <w:highlight w:val="none"/>
          <w:lang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应按照采购人集中运维体系管理标准开展通用服务及专项服务工作，相应的维护记录（包括但不仅限于巡检、故障、配置等记录）应按采购人要求录入指定的运维管理系统。详情如下：</w:t>
      </w:r>
    </w:p>
    <w:p w14:paraId="3F609289">
      <w:pPr>
        <w:keepNext/>
        <w:keepLines/>
        <w:pageBreakBefore w:val="0"/>
        <w:widowControl w:val="0"/>
        <w:numPr>
          <w:ilvl w:val="0"/>
          <w:numId w:val="9"/>
        </w:numPr>
        <w:kinsoku/>
        <w:wordWrap/>
        <w:overflowPunct/>
        <w:topLinePunct w:val="0"/>
        <w:autoSpaceDE/>
        <w:autoSpaceDN/>
        <w:bidi w:val="0"/>
        <w:adjustRightInd/>
        <w:snapToGrid/>
        <w:spacing w:line="300" w:lineRule="auto"/>
        <w:ind w:firstLine="562" w:firstLineChars="200"/>
        <w:textAlignment w:val="auto"/>
        <w:outlineLvl w:val="9"/>
        <w:rPr>
          <w:rFonts w:ascii="宋体" w:hAnsi="宋体" w:cs="宋体"/>
          <w:b/>
          <w:bCs/>
          <w:color w:val="000000" w:themeColor="text1"/>
          <w:sz w:val="28"/>
          <w:szCs w:val="32"/>
          <w:highlight w:val="none"/>
          <w14:textFill>
            <w14:solidFill>
              <w14:schemeClr w14:val="tx1"/>
            </w14:solidFill>
          </w14:textFill>
        </w:rPr>
      </w:pPr>
      <w:r>
        <w:rPr>
          <w:rFonts w:hint="eastAsia" w:ascii="宋体" w:hAnsi="宋体" w:cs="宋体"/>
          <w:b/>
          <w:bCs/>
          <w:color w:val="000000" w:themeColor="text1"/>
          <w:sz w:val="28"/>
          <w:szCs w:val="32"/>
          <w:highlight w:val="none"/>
          <w14:textFill>
            <w14:solidFill>
              <w14:schemeClr w14:val="tx1"/>
            </w14:solidFill>
          </w14:textFill>
        </w:rPr>
        <w:t>通用服务内容</w:t>
      </w:r>
    </w:p>
    <w:tbl>
      <w:tblPr>
        <w:tblStyle w:val="53"/>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22"/>
        <w:gridCol w:w="2340"/>
        <w:gridCol w:w="4565"/>
      </w:tblGrid>
      <w:tr w14:paraId="00B3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04" w:type="dxa"/>
            <w:vAlign w:val="center"/>
          </w:tcPr>
          <w:p w14:paraId="718C2D65">
            <w:pPr>
              <w:keepNext w:val="0"/>
              <w:keepLines w:val="0"/>
              <w:widowControl/>
              <w:suppressLineNumbers w:val="0"/>
              <w:spacing w:before="0" w:beforeAutospacing="0" w:after="0" w:afterAutospacing="0" w:line="340" w:lineRule="exact"/>
              <w:ind w:left="0" w:right="0"/>
              <w:jc w:val="center"/>
              <w:rPr>
                <w:rFonts w:hint="default" w:ascii="Times New Roman" w:hAnsi="Times New Roman"/>
                <w:b/>
                <w:bCs/>
                <w:color w:val="000000" w:themeColor="text1"/>
                <w:szCs w:val="21"/>
                <w:highlight w:val="none"/>
                <w14:textFill>
                  <w14:solidFill>
                    <w14:schemeClr w14:val="tx1"/>
                  </w14:solidFill>
                </w14:textFill>
              </w:rPr>
            </w:pPr>
            <w:r>
              <w:rPr>
                <w:rFonts w:hint="default" w:ascii="Times New Roman" w:hAnsi="Times New Roman"/>
                <w:b/>
                <w:bCs/>
                <w:color w:val="000000" w:themeColor="text1"/>
                <w:szCs w:val="21"/>
                <w:highlight w:val="none"/>
                <w14:textFill>
                  <w14:solidFill>
                    <w14:schemeClr w14:val="tx1"/>
                  </w14:solidFill>
                </w14:textFill>
              </w:rPr>
              <w:t>序号</w:t>
            </w:r>
          </w:p>
        </w:tc>
        <w:tc>
          <w:tcPr>
            <w:tcW w:w="1522" w:type="dxa"/>
            <w:vAlign w:val="center"/>
          </w:tcPr>
          <w:p w14:paraId="37CF6CCC">
            <w:pPr>
              <w:keepNext w:val="0"/>
              <w:keepLines w:val="0"/>
              <w:widowControl/>
              <w:suppressLineNumbers w:val="0"/>
              <w:spacing w:before="0" w:beforeAutospacing="0" w:after="0" w:afterAutospacing="0" w:line="340" w:lineRule="exact"/>
              <w:ind w:left="0" w:right="0"/>
              <w:jc w:val="center"/>
              <w:rPr>
                <w:rFonts w:hint="default" w:ascii="Times New Roman" w:hAnsi="Times New Roman"/>
                <w:b/>
                <w:bCs/>
                <w:color w:val="000000" w:themeColor="text1"/>
                <w:szCs w:val="21"/>
                <w:highlight w:val="none"/>
                <w14:textFill>
                  <w14:solidFill>
                    <w14:schemeClr w14:val="tx1"/>
                  </w14:solidFill>
                </w14:textFill>
              </w:rPr>
            </w:pPr>
            <w:r>
              <w:rPr>
                <w:rFonts w:hint="default" w:ascii="Times New Roman" w:hAnsi="Times New Roman"/>
                <w:b/>
                <w:bCs/>
                <w:color w:val="000000" w:themeColor="text1"/>
                <w:szCs w:val="21"/>
                <w:highlight w:val="none"/>
                <w14:textFill>
                  <w14:solidFill>
                    <w14:schemeClr w14:val="tx1"/>
                  </w14:solidFill>
                </w14:textFill>
              </w:rPr>
              <w:t>服务名称</w:t>
            </w:r>
          </w:p>
        </w:tc>
        <w:tc>
          <w:tcPr>
            <w:tcW w:w="2340" w:type="dxa"/>
            <w:vAlign w:val="center"/>
          </w:tcPr>
          <w:p w14:paraId="0C46AB4B">
            <w:pPr>
              <w:keepNext w:val="0"/>
              <w:keepLines w:val="0"/>
              <w:widowControl/>
              <w:suppressLineNumbers w:val="0"/>
              <w:spacing w:before="0" w:beforeAutospacing="0" w:after="0" w:afterAutospacing="0" w:line="340" w:lineRule="exact"/>
              <w:ind w:left="0" w:right="0" w:firstLine="482"/>
              <w:rPr>
                <w:rFonts w:hint="default" w:ascii="Times New Roman" w:hAnsi="Times New Roman"/>
                <w:b/>
                <w:bCs/>
                <w:color w:val="000000" w:themeColor="text1"/>
                <w:szCs w:val="21"/>
                <w:highlight w:val="none"/>
                <w14:textFill>
                  <w14:solidFill>
                    <w14:schemeClr w14:val="tx1"/>
                  </w14:solidFill>
                </w14:textFill>
              </w:rPr>
            </w:pPr>
            <w:r>
              <w:rPr>
                <w:rFonts w:hint="default" w:ascii="Times New Roman" w:hAnsi="Times New Roman"/>
                <w:b/>
                <w:bCs/>
                <w:color w:val="000000" w:themeColor="text1"/>
                <w:szCs w:val="21"/>
                <w:highlight w:val="none"/>
                <w14:textFill>
                  <w14:solidFill>
                    <w14:schemeClr w14:val="tx1"/>
                  </w14:solidFill>
                </w14:textFill>
              </w:rPr>
              <w:t>服务目标</w:t>
            </w:r>
          </w:p>
        </w:tc>
        <w:tc>
          <w:tcPr>
            <w:tcW w:w="4565" w:type="dxa"/>
            <w:vAlign w:val="center"/>
          </w:tcPr>
          <w:p w14:paraId="4445C380">
            <w:pPr>
              <w:keepNext w:val="0"/>
              <w:keepLines w:val="0"/>
              <w:widowControl/>
              <w:suppressLineNumbers w:val="0"/>
              <w:spacing w:before="0" w:beforeAutospacing="0" w:after="0" w:afterAutospacing="0" w:line="340" w:lineRule="exact"/>
              <w:ind w:left="0" w:right="0" w:firstLine="482"/>
              <w:jc w:val="center"/>
              <w:rPr>
                <w:rFonts w:hint="default" w:ascii="Times New Roman" w:hAnsi="Times New Roman"/>
                <w:b/>
                <w:bCs/>
                <w:color w:val="000000" w:themeColor="text1"/>
                <w:szCs w:val="21"/>
                <w:highlight w:val="none"/>
                <w14:textFill>
                  <w14:solidFill>
                    <w14:schemeClr w14:val="tx1"/>
                  </w14:solidFill>
                </w14:textFill>
              </w:rPr>
            </w:pPr>
            <w:r>
              <w:rPr>
                <w:rFonts w:hint="default" w:ascii="Times New Roman" w:hAnsi="Times New Roman"/>
                <w:b/>
                <w:bCs/>
                <w:color w:val="000000" w:themeColor="text1"/>
                <w:szCs w:val="21"/>
                <w:highlight w:val="none"/>
                <w14:textFill>
                  <w14:solidFill>
                    <w14:schemeClr w14:val="tx1"/>
                  </w14:solidFill>
                </w14:textFill>
              </w:rPr>
              <w:t>服务内容</w:t>
            </w:r>
          </w:p>
        </w:tc>
      </w:tr>
      <w:tr w14:paraId="28C0B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04" w:type="dxa"/>
            <w:vAlign w:val="center"/>
          </w:tcPr>
          <w:p w14:paraId="53D668DB">
            <w:pPr>
              <w:keepNext w:val="0"/>
              <w:keepLines w:val="0"/>
              <w:widowControl/>
              <w:suppressLineNumbers w:val="0"/>
              <w:spacing w:before="0" w:beforeAutospacing="0" w:after="0" w:afterAutospacing="0" w:line="340" w:lineRule="exact"/>
              <w:ind w:left="0" w:right="0" w:firstLine="20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w:t>
            </w:r>
          </w:p>
        </w:tc>
        <w:tc>
          <w:tcPr>
            <w:tcW w:w="1522" w:type="dxa"/>
            <w:vAlign w:val="center"/>
          </w:tcPr>
          <w:p w14:paraId="47EA933A">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日常维护</w:t>
            </w:r>
          </w:p>
        </w:tc>
        <w:tc>
          <w:tcPr>
            <w:tcW w:w="2340" w:type="dxa"/>
            <w:vAlign w:val="center"/>
          </w:tcPr>
          <w:p w14:paraId="21BEC5B7">
            <w:pPr>
              <w:keepNext w:val="0"/>
              <w:keepLines w:val="0"/>
              <w:widowControl/>
              <w:suppressLineNumbers w:val="0"/>
              <w:spacing w:before="0" w:beforeAutospacing="0" w:after="0" w:afterAutospacing="0" w:line="340" w:lineRule="exact"/>
              <w:ind w:left="0" w:right="0"/>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完成日志备份、异常进程处理、定期重启等日常维护操作，确保系统的正常运行。</w:t>
            </w:r>
          </w:p>
        </w:tc>
        <w:tc>
          <w:tcPr>
            <w:tcW w:w="4565" w:type="dxa"/>
            <w:vAlign w:val="center"/>
          </w:tcPr>
          <w:p w14:paraId="41639A68">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日常维护内容包括但不仅限于以下内容：</w:t>
            </w:r>
          </w:p>
          <w:p w14:paraId="3562BBB4">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（1）对系统进行日志备份；</w:t>
            </w:r>
          </w:p>
          <w:p w14:paraId="793E53CC">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（2）对异常进程进行终止等操作；</w:t>
            </w:r>
          </w:p>
          <w:p w14:paraId="7E5C1BC6">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（3）对系统进行重启操作；</w:t>
            </w:r>
          </w:p>
          <w:p w14:paraId="521DA7D6">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（4）对系统垃圾数据进行清除；</w:t>
            </w:r>
          </w:p>
          <w:p w14:paraId="3A61DC76">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（5）对业务应用程序定期备份与恢复；</w:t>
            </w:r>
          </w:p>
          <w:p w14:paraId="7906D906">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（6）每次工作记录按采购人要求录入到智能运维平台中。</w:t>
            </w:r>
          </w:p>
        </w:tc>
      </w:tr>
      <w:tr w14:paraId="06123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14:paraId="5F9F7804">
            <w:pPr>
              <w:keepNext w:val="0"/>
              <w:keepLines w:val="0"/>
              <w:widowControl/>
              <w:suppressLineNumbers w:val="0"/>
              <w:spacing w:before="0" w:beforeAutospacing="0" w:after="0" w:afterAutospacing="0" w:line="340" w:lineRule="exact"/>
              <w:ind w:left="216" w:leftChars="87" w:right="0" w:hanging="33" w:hangingChars="16"/>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2</w:t>
            </w:r>
          </w:p>
        </w:tc>
        <w:tc>
          <w:tcPr>
            <w:tcW w:w="1522" w:type="dxa"/>
            <w:vAlign w:val="center"/>
          </w:tcPr>
          <w:p w14:paraId="231C4C16">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系统巡检</w:t>
            </w:r>
          </w:p>
        </w:tc>
        <w:tc>
          <w:tcPr>
            <w:tcW w:w="2340" w:type="dxa"/>
            <w:vAlign w:val="center"/>
          </w:tcPr>
          <w:p w14:paraId="7AB638CF">
            <w:pPr>
              <w:keepNext w:val="0"/>
              <w:keepLines w:val="0"/>
              <w:widowControl/>
              <w:suppressLineNumbers w:val="0"/>
              <w:spacing w:before="0" w:beforeAutospacing="0" w:after="0" w:afterAutospacing="0" w:line="340" w:lineRule="exact"/>
              <w:ind w:left="0" w:right="0"/>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检查系统功能模块运行情况，确保正常访问。</w:t>
            </w:r>
          </w:p>
        </w:tc>
        <w:tc>
          <w:tcPr>
            <w:tcW w:w="4565" w:type="dxa"/>
            <w:vAlign w:val="center"/>
          </w:tcPr>
          <w:p w14:paraId="536092EE">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（1）日常巡检：按照巡检方案定期开展系统巡检，每天不少于1次；</w:t>
            </w:r>
          </w:p>
          <w:p w14:paraId="08A87CE5">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（2）特巡特维：重大活动、会议、工作检查等特殊时期按采购人要求执行特别巡视和维护。</w:t>
            </w:r>
          </w:p>
          <w:p w14:paraId="27D5E1E0">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（3）巡检内容包括但不限于以下内容：</w:t>
            </w:r>
          </w:p>
          <w:p w14:paraId="61B4A443">
            <w:pPr>
              <w:keepNext w:val="0"/>
              <w:keepLines w:val="0"/>
              <w:widowControl/>
              <w:suppressLineNumbers w:val="0"/>
              <w:spacing w:before="0" w:beforeAutospacing="0" w:after="0" w:afterAutospacing="0" w:line="340" w:lineRule="exact"/>
              <w:ind w:left="0" w:right="0" w:firstLine="48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a.应用系统健康度检查：系统功能健康度检查；后台异常进程检查；系统日志分析；关键进程及资源消耗分析；系统缺陷的发现及上报；</w:t>
            </w:r>
          </w:p>
          <w:p w14:paraId="10C45CF2">
            <w:pPr>
              <w:keepNext w:val="0"/>
              <w:keepLines w:val="0"/>
              <w:widowControl/>
              <w:suppressLineNumbers w:val="0"/>
              <w:spacing w:before="0" w:beforeAutospacing="0" w:after="0" w:afterAutospacing="0" w:line="340" w:lineRule="exact"/>
              <w:ind w:left="0" w:right="0" w:firstLine="48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b.协助应用系统安全检查：配合安全服务厂商进行系统、应用漏洞检查；</w:t>
            </w:r>
          </w:p>
          <w:p w14:paraId="35E595A3">
            <w:pPr>
              <w:keepNext w:val="0"/>
              <w:keepLines w:val="0"/>
              <w:widowControl/>
              <w:suppressLineNumbers w:val="0"/>
              <w:spacing w:before="0" w:beforeAutospacing="0" w:after="0" w:afterAutospacing="0" w:line="340" w:lineRule="exact"/>
              <w:ind w:left="0" w:right="0" w:firstLine="420" w:firstLineChars="20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c.每次工作记录按采购人要求录入到智能运维平台中。</w:t>
            </w:r>
          </w:p>
        </w:tc>
      </w:tr>
      <w:tr w14:paraId="58A84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4" w:type="dxa"/>
            <w:vAlign w:val="center"/>
          </w:tcPr>
          <w:p w14:paraId="6F71557F">
            <w:pPr>
              <w:keepNext w:val="0"/>
              <w:keepLines w:val="0"/>
              <w:widowControl/>
              <w:suppressLineNumbers w:val="0"/>
              <w:spacing w:before="0" w:beforeAutospacing="0" w:after="0" w:afterAutospacing="0" w:line="340" w:lineRule="exact"/>
              <w:ind w:left="0" w:right="0" w:firstLine="20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3</w:t>
            </w:r>
          </w:p>
        </w:tc>
        <w:tc>
          <w:tcPr>
            <w:tcW w:w="1522" w:type="dxa"/>
            <w:vAlign w:val="center"/>
          </w:tcPr>
          <w:p w14:paraId="12FB6446">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缺陷管理</w:t>
            </w:r>
          </w:p>
        </w:tc>
        <w:tc>
          <w:tcPr>
            <w:tcW w:w="2340" w:type="dxa"/>
            <w:vAlign w:val="center"/>
          </w:tcPr>
          <w:p w14:paraId="2DE9A01F">
            <w:pPr>
              <w:keepNext w:val="0"/>
              <w:keepLines w:val="0"/>
              <w:widowControl/>
              <w:suppressLineNumbers w:val="0"/>
              <w:spacing w:before="0" w:beforeAutospacing="0" w:after="0" w:afterAutospacing="0" w:line="340" w:lineRule="exact"/>
              <w:ind w:left="0" w:right="0"/>
              <w:rPr>
                <w:rFonts w:hint="eastAsia" w:ascii="Times New Roman" w:hAnsi="Times New Roman" w:eastAsia="仿宋_GB2312"/>
                <w:color w:val="000000" w:themeColor="text1"/>
                <w:szCs w:val="21"/>
                <w:highlight w:val="none"/>
                <w:lang w:eastAsia="zh-CN"/>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系统消缺，确保系统性能正常</w:t>
            </w:r>
            <w:r>
              <w:rPr>
                <w:rFonts w:hint="eastAsia" w:ascii="Times New Roman" w:hAnsi="Times New Roman"/>
                <w:color w:val="000000" w:themeColor="text1"/>
                <w:szCs w:val="21"/>
                <w:highlight w:val="none"/>
                <w:lang w:eastAsia="zh-CN"/>
                <w14:textFill>
                  <w14:solidFill>
                    <w14:schemeClr w14:val="tx1"/>
                  </w14:solidFill>
                </w14:textFill>
              </w:rPr>
              <w:t>。</w:t>
            </w:r>
          </w:p>
        </w:tc>
        <w:tc>
          <w:tcPr>
            <w:tcW w:w="4565" w:type="dxa"/>
            <w:vAlign w:val="center"/>
          </w:tcPr>
          <w:p w14:paraId="513D295F">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（1）定期开展系统缺陷(含安全隐患)分析，制定隐患处理措施，每月不少于1次；</w:t>
            </w:r>
          </w:p>
          <w:p w14:paraId="1B350EA7">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（2）针对系统缺陷(含安全隐患)、漏洞，定期对系统升级程序补丁；</w:t>
            </w:r>
          </w:p>
          <w:p w14:paraId="2739CEC4">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（3）系统缺陷(含安全隐患)处理设计、调整、实施、测试工作；</w:t>
            </w:r>
          </w:p>
          <w:p w14:paraId="7195DCD1">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（4）系统缺陷(含安全隐患)处理；</w:t>
            </w:r>
          </w:p>
          <w:p w14:paraId="429AF831">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（5）技术性文档的完善和更新工作；</w:t>
            </w:r>
          </w:p>
          <w:p w14:paraId="061AA2FE">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（6）定期出具缺陷分析报告，服务期内不少于4次。</w:t>
            </w:r>
          </w:p>
        </w:tc>
      </w:tr>
      <w:tr w14:paraId="6B75C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704" w:type="dxa"/>
            <w:vAlign w:val="center"/>
          </w:tcPr>
          <w:p w14:paraId="22286A00">
            <w:pPr>
              <w:keepNext w:val="0"/>
              <w:keepLines w:val="0"/>
              <w:widowControl/>
              <w:suppressLineNumbers w:val="0"/>
              <w:spacing w:before="0" w:beforeAutospacing="0" w:after="0" w:afterAutospacing="0" w:line="340" w:lineRule="exact"/>
              <w:ind w:left="0" w:right="0" w:firstLine="210" w:firstLineChars="10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4</w:t>
            </w:r>
          </w:p>
        </w:tc>
        <w:tc>
          <w:tcPr>
            <w:tcW w:w="1522" w:type="dxa"/>
            <w:vAlign w:val="center"/>
          </w:tcPr>
          <w:p w14:paraId="15562AAC">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故障处置</w:t>
            </w:r>
          </w:p>
        </w:tc>
        <w:tc>
          <w:tcPr>
            <w:tcW w:w="2340" w:type="dxa"/>
            <w:vAlign w:val="center"/>
          </w:tcPr>
          <w:p w14:paraId="12CB81CE">
            <w:pPr>
              <w:keepNext w:val="0"/>
              <w:keepLines w:val="0"/>
              <w:widowControl/>
              <w:suppressLineNumbers w:val="0"/>
              <w:spacing w:before="0" w:beforeAutospacing="0" w:after="0" w:afterAutospacing="0" w:line="340" w:lineRule="exact"/>
              <w:ind w:left="0" w:right="0"/>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响应服务台的派单，对用户报障/服务请求、系统告警、巡检发现的系统故障进行处理，确保恢复系统应用。</w:t>
            </w:r>
          </w:p>
        </w:tc>
        <w:tc>
          <w:tcPr>
            <w:tcW w:w="4565" w:type="dxa"/>
            <w:vAlign w:val="center"/>
          </w:tcPr>
          <w:p w14:paraId="0AC2D32D">
            <w:pPr>
              <w:keepNext w:val="0"/>
              <w:keepLines w:val="0"/>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（1）响应服务台的派单；</w:t>
            </w:r>
          </w:p>
          <w:p w14:paraId="6CD573FC">
            <w:pPr>
              <w:keepNext w:val="0"/>
              <w:keepLines w:val="0"/>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（2）对服务请求分析、系统告警信息分析、巡视发现的系统故障分析；</w:t>
            </w:r>
          </w:p>
          <w:p w14:paraId="297B51B3">
            <w:pPr>
              <w:keepNext w:val="0"/>
              <w:keepLines w:val="0"/>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（3）对用户进行咨询解答、业务指导、操作指导；</w:t>
            </w:r>
          </w:p>
          <w:p w14:paraId="20A7F22D">
            <w:pPr>
              <w:keepNext w:val="0"/>
              <w:keepLines w:val="0"/>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（4）配合采购人开展故障定位、原因分析、制定故障解决方案；</w:t>
            </w:r>
          </w:p>
          <w:p w14:paraId="20C9B5C7">
            <w:pPr>
              <w:keepNext w:val="0"/>
              <w:keepLines w:val="0"/>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（5）用户服务请求、告警、故障处理，协调沟通和协助指挥；</w:t>
            </w:r>
          </w:p>
          <w:p w14:paraId="4DC05383">
            <w:pPr>
              <w:keepNext w:val="0"/>
              <w:keepLines w:val="0"/>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（6）按维护服务响应要求保证系统恢复；</w:t>
            </w:r>
          </w:p>
          <w:p w14:paraId="07B8082C">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（7）按采购人要求编制故障分析及处置报告；</w:t>
            </w:r>
          </w:p>
          <w:p w14:paraId="4322917B">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（8）每次工作记录按采购人要求录入到智能运维平台中。</w:t>
            </w:r>
          </w:p>
        </w:tc>
      </w:tr>
      <w:tr w14:paraId="22531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04" w:type="dxa"/>
            <w:vAlign w:val="center"/>
          </w:tcPr>
          <w:p w14:paraId="142C29B2">
            <w:pPr>
              <w:keepNext w:val="0"/>
              <w:keepLines w:val="0"/>
              <w:widowControl/>
              <w:suppressLineNumbers w:val="0"/>
              <w:spacing w:before="0" w:beforeAutospacing="0" w:after="0" w:afterAutospacing="0" w:line="340" w:lineRule="exact"/>
              <w:ind w:left="0" w:right="0" w:firstLine="20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5</w:t>
            </w:r>
          </w:p>
        </w:tc>
        <w:tc>
          <w:tcPr>
            <w:tcW w:w="1522" w:type="dxa"/>
            <w:vAlign w:val="center"/>
          </w:tcPr>
          <w:p w14:paraId="6FD265EF">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应急保障</w:t>
            </w:r>
          </w:p>
        </w:tc>
        <w:tc>
          <w:tcPr>
            <w:tcW w:w="2340" w:type="dxa"/>
            <w:vAlign w:val="center"/>
          </w:tcPr>
          <w:p w14:paraId="16BD13D9">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应急情况发生时及时响应、特殊时期应急保障支持。</w:t>
            </w:r>
          </w:p>
        </w:tc>
        <w:tc>
          <w:tcPr>
            <w:tcW w:w="4565" w:type="dxa"/>
            <w:vAlign w:val="center"/>
          </w:tcPr>
          <w:p w14:paraId="317379E9">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w:t>
            </w:r>
            <w:r>
              <w:rPr>
                <w:rFonts w:hint="default" w:ascii="Times New Roman" w:hAnsi="Times New Roman"/>
                <w:color w:val="000000" w:themeColor="text1"/>
                <w:szCs w:val="18"/>
                <w:highlight w:val="none"/>
                <w14:textFill>
                  <w14:solidFill>
                    <w14:schemeClr w14:val="tx1"/>
                  </w14:solidFill>
                </w14:textFill>
              </w:rPr>
              <w:t>协助采购人编制应急处置预案；</w:t>
            </w:r>
          </w:p>
          <w:p w14:paraId="5A85758D">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（2）</w:t>
            </w:r>
            <w:r>
              <w:rPr>
                <w:rFonts w:hint="default" w:ascii="Times New Roman" w:hAnsi="Times New Roman"/>
                <w:color w:val="000000" w:themeColor="text1"/>
                <w:szCs w:val="18"/>
                <w:highlight w:val="none"/>
                <w14:textFill>
                  <w14:solidFill>
                    <w14:schemeClr w14:val="tx1"/>
                  </w14:solidFill>
                </w14:textFill>
              </w:rPr>
              <w:t>协助采购人开展应急演练（服务期内至少开展1次）；</w:t>
            </w:r>
          </w:p>
          <w:p w14:paraId="292D0BE4">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（3）</w:t>
            </w:r>
            <w:r>
              <w:rPr>
                <w:rFonts w:hint="default" w:ascii="Times New Roman" w:hAnsi="Times New Roman"/>
                <w:color w:val="000000" w:themeColor="text1"/>
                <w:szCs w:val="18"/>
                <w:highlight w:val="none"/>
                <w14:textFill>
                  <w14:solidFill>
                    <w14:schemeClr w14:val="tx1"/>
                  </w14:solidFill>
                </w14:textFill>
              </w:rPr>
              <w:t>按照应急预案及时响应和处置；</w:t>
            </w:r>
          </w:p>
          <w:p w14:paraId="44F87666">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（4）</w:t>
            </w:r>
            <w:r>
              <w:rPr>
                <w:rFonts w:hint="default" w:ascii="Times New Roman" w:hAnsi="Times New Roman"/>
                <w:color w:val="000000" w:themeColor="text1"/>
                <w:szCs w:val="18"/>
                <w:highlight w:val="none"/>
                <w14:textFill>
                  <w14:solidFill>
                    <w14:schemeClr w14:val="tx1"/>
                  </w14:solidFill>
                </w14:textFill>
              </w:rPr>
              <w:t>重大活动、会议、工作检查、突发事件等特殊时期提供7*24小时驻场的应急保障支持；</w:t>
            </w:r>
          </w:p>
          <w:p w14:paraId="7AEC7305">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18"/>
                <w:highlight w:val="none"/>
                <w14:textFill>
                  <w14:solidFill>
                    <w14:schemeClr w14:val="tx1"/>
                  </w14:solidFill>
                </w14:textFill>
              </w:rPr>
              <w:t>（5）协助编制应急处置报告。</w:t>
            </w:r>
          </w:p>
        </w:tc>
      </w:tr>
      <w:tr w14:paraId="2C19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704" w:type="dxa"/>
            <w:vAlign w:val="center"/>
          </w:tcPr>
          <w:p w14:paraId="13D970EF">
            <w:pPr>
              <w:keepNext w:val="0"/>
              <w:keepLines w:val="0"/>
              <w:widowControl/>
              <w:suppressLineNumbers w:val="0"/>
              <w:spacing w:before="0" w:beforeAutospacing="0" w:after="0" w:afterAutospacing="0" w:line="340" w:lineRule="exact"/>
              <w:ind w:left="0" w:right="0" w:firstLine="20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6</w:t>
            </w:r>
          </w:p>
        </w:tc>
        <w:tc>
          <w:tcPr>
            <w:tcW w:w="1522" w:type="dxa"/>
            <w:vAlign w:val="center"/>
          </w:tcPr>
          <w:p w14:paraId="7A5DAF72">
            <w:pPr>
              <w:keepNext w:val="0"/>
              <w:keepLines w:val="0"/>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资产与配置维护</w:t>
            </w:r>
          </w:p>
        </w:tc>
        <w:tc>
          <w:tcPr>
            <w:tcW w:w="2340" w:type="dxa"/>
            <w:vAlign w:val="center"/>
          </w:tcPr>
          <w:p w14:paraId="2499C927">
            <w:pPr>
              <w:keepNext w:val="0"/>
              <w:keepLines w:val="0"/>
              <w:suppressLineNumbers w:val="0"/>
              <w:spacing w:before="0" w:beforeAutospacing="0" w:after="0" w:afterAutospacing="0" w:line="340" w:lineRule="exact"/>
              <w:ind w:left="0" w:right="0"/>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协助对应用系统全生命周期的资产管理，包括配置的管理、统计、操作、记录，满足应用系统运行过程中配置管理的需要。</w:t>
            </w:r>
          </w:p>
        </w:tc>
        <w:tc>
          <w:tcPr>
            <w:tcW w:w="4565" w:type="dxa"/>
            <w:vAlign w:val="top"/>
          </w:tcPr>
          <w:p w14:paraId="284E31E8">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（1）协助采购人进行系统配置信息录入和修改；</w:t>
            </w:r>
          </w:p>
          <w:p w14:paraId="7E2C1286">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（2）配置项及配置信息统计；</w:t>
            </w:r>
          </w:p>
          <w:p w14:paraId="2597FB10">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（3）配置过程记录；</w:t>
            </w:r>
          </w:p>
          <w:p w14:paraId="4D187764">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（4）数据库、中间件等系统组件的配置维护技术支持；</w:t>
            </w:r>
          </w:p>
          <w:p w14:paraId="1DBD0097">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（5）每次工作记录按采购人要求录入到智能运维平台中。</w:t>
            </w:r>
          </w:p>
        </w:tc>
      </w:tr>
      <w:tr w14:paraId="31D7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704" w:type="dxa"/>
            <w:vAlign w:val="center"/>
          </w:tcPr>
          <w:p w14:paraId="46758D79">
            <w:pPr>
              <w:keepNext w:val="0"/>
              <w:keepLines w:val="0"/>
              <w:widowControl/>
              <w:suppressLineNumbers w:val="0"/>
              <w:spacing w:before="0" w:beforeAutospacing="0" w:after="0" w:afterAutospacing="0" w:line="340" w:lineRule="exact"/>
              <w:ind w:left="0" w:right="0" w:firstLine="20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7</w:t>
            </w:r>
          </w:p>
        </w:tc>
        <w:tc>
          <w:tcPr>
            <w:tcW w:w="1522" w:type="dxa"/>
            <w:vAlign w:val="center"/>
          </w:tcPr>
          <w:p w14:paraId="00E9376E">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数据服务</w:t>
            </w:r>
          </w:p>
        </w:tc>
        <w:tc>
          <w:tcPr>
            <w:tcW w:w="2340" w:type="dxa"/>
            <w:vAlign w:val="center"/>
          </w:tcPr>
          <w:p w14:paraId="625ABF2C">
            <w:pPr>
              <w:keepNext w:val="0"/>
              <w:keepLines w:val="0"/>
              <w:widowControl/>
              <w:suppressLineNumbers w:val="0"/>
              <w:spacing w:before="0" w:beforeAutospacing="0" w:after="0" w:afterAutospacing="0" w:line="340" w:lineRule="exact"/>
              <w:ind w:left="0" w:right="0"/>
              <w:rPr>
                <w:rFonts w:hint="eastAsia" w:ascii="Times New Roman" w:hAnsi="Times New Roman" w:eastAsia="仿宋_GB2312"/>
                <w:color w:val="000000" w:themeColor="text1"/>
                <w:szCs w:val="21"/>
                <w:highlight w:val="none"/>
                <w:lang w:eastAsia="zh-CN"/>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数据处理及日常工作技术支持</w:t>
            </w:r>
            <w:r>
              <w:rPr>
                <w:rFonts w:hint="eastAsia" w:ascii="Times New Roman" w:hAnsi="Times New Roman"/>
                <w:color w:val="000000" w:themeColor="text1"/>
                <w:szCs w:val="21"/>
                <w:highlight w:val="none"/>
                <w:lang w:eastAsia="zh-CN"/>
                <w14:textFill>
                  <w14:solidFill>
                    <w14:schemeClr w14:val="tx1"/>
                  </w14:solidFill>
                </w14:textFill>
              </w:rPr>
              <w:t>。</w:t>
            </w:r>
          </w:p>
        </w:tc>
        <w:tc>
          <w:tcPr>
            <w:tcW w:w="4565" w:type="dxa"/>
            <w:vAlign w:val="center"/>
          </w:tcPr>
          <w:p w14:paraId="4C578C5A">
            <w:pPr>
              <w:keepNext w:val="0"/>
              <w:keepLines w:val="0"/>
              <w:widowControl/>
              <w:suppressLineNumbers w:val="0"/>
              <w:spacing w:before="0" w:beforeAutospacing="0" w:after="0" w:afterAutospacing="0" w:line="340" w:lineRule="exact"/>
              <w:ind w:left="0" w:right="0"/>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w:t>
            </w:r>
            <w:r>
              <w:rPr>
                <w:rFonts w:hint="default" w:ascii="Times New Roman" w:hAnsi="Times New Roman"/>
                <w:color w:val="000000" w:themeColor="text1"/>
                <w:szCs w:val="18"/>
                <w:highlight w:val="none"/>
                <w14:textFill>
                  <w14:solidFill>
                    <w14:schemeClr w14:val="tx1"/>
                  </w14:solidFill>
                </w14:textFill>
              </w:rPr>
              <w:t>授权的系统后台数据处理：包括数据查询、数据抽取校验、数据调试、数据备份、数据恢复；数据导入、导出、数据修正、处理；数据垃圾定期清理；</w:t>
            </w:r>
          </w:p>
          <w:p w14:paraId="02ABA3FF">
            <w:pPr>
              <w:keepNext w:val="0"/>
              <w:keepLines w:val="0"/>
              <w:widowControl/>
              <w:suppressLineNumbers w:val="0"/>
              <w:spacing w:before="0" w:beforeAutospacing="0" w:after="0" w:afterAutospacing="0" w:line="340" w:lineRule="exact"/>
              <w:ind w:left="0" w:right="0"/>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（2）</w:t>
            </w:r>
            <w:r>
              <w:rPr>
                <w:rFonts w:hint="default" w:ascii="Times New Roman" w:hAnsi="Times New Roman"/>
                <w:color w:val="000000" w:themeColor="text1"/>
                <w:szCs w:val="18"/>
                <w:highlight w:val="none"/>
                <w14:textFill>
                  <w14:solidFill>
                    <w14:schemeClr w14:val="tx1"/>
                  </w14:solidFill>
                </w14:textFill>
              </w:rPr>
              <w:t>提供数据统计分析的技术支持；</w:t>
            </w:r>
          </w:p>
          <w:p w14:paraId="452526EB">
            <w:pPr>
              <w:keepNext w:val="0"/>
              <w:keepLines w:val="0"/>
              <w:widowControl/>
              <w:suppressLineNumbers w:val="0"/>
              <w:spacing w:before="0" w:beforeAutospacing="0" w:after="0" w:afterAutospacing="0" w:line="340" w:lineRule="exact"/>
              <w:ind w:left="0" w:right="0"/>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（3）</w:t>
            </w:r>
            <w:r>
              <w:rPr>
                <w:rFonts w:hint="default" w:ascii="Times New Roman" w:hAnsi="Times New Roman"/>
                <w:color w:val="000000" w:themeColor="text1"/>
                <w:szCs w:val="18"/>
                <w:highlight w:val="none"/>
                <w14:textFill>
                  <w14:solidFill>
                    <w14:schemeClr w14:val="tx1"/>
                  </w14:solidFill>
                </w14:textFill>
              </w:rPr>
              <w:t>提供数据应用工作的技术支持：包括协助编制系统业务数据应用技术方案、业务数据应用需求分析、问题分析及整改建议；</w:t>
            </w:r>
          </w:p>
          <w:p w14:paraId="13DF3D1A">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（4）</w:t>
            </w:r>
            <w:r>
              <w:rPr>
                <w:rFonts w:hint="default" w:ascii="Times New Roman" w:hAnsi="Times New Roman"/>
                <w:color w:val="000000" w:themeColor="text1"/>
                <w:szCs w:val="18"/>
                <w:highlight w:val="none"/>
                <w14:textFill>
                  <w14:solidFill>
                    <w14:schemeClr w14:val="tx1"/>
                  </w14:solidFill>
                </w14:textFill>
              </w:rPr>
              <w:t>每次工作记录按采购人要求录入到智能运维平台中。</w:t>
            </w:r>
          </w:p>
        </w:tc>
      </w:tr>
      <w:tr w14:paraId="247B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04" w:type="dxa"/>
            <w:vAlign w:val="center"/>
          </w:tcPr>
          <w:p w14:paraId="145FA380">
            <w:pPr>
              <w:keepNext w:val="0"/>
              <w:keepLines w:val="0"/>
              <w:widowControl/>
              <w:suppressLineNumbers w:val="0"/>
              <w:spacing w:before="0" w:beforeAutospacing="0" w:after="0" w:afterAutospacing="0" w:line="340" w:lineRule="exact"/>
              <w:ind w:left="0" w:right="0" w:firstLine="20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8</w:t>
            </w:r>
          </w:p>
        </w:tc>
        <w:tc>
          <w:tcPr>
            <w:tcW w:w="1522" w:type="dxa"/>
            <w:vAlign w:val="center"/>
          </w:tcPr>
          <w:p w14:paraId="29A56D58">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系统优化</w:t>
            </w:r>
          </w:p>
        </w:tc>
        <w:tc>
          <w:tcPr>
            <w:tcW w:w="2340" w:type="dxa"/>
            <w:vAlign w:val="center"/>
          </w:tcPr>
          <w:p w14:paraId="3ACB00EE">
            <w:pPr>
              <w:keepNext w:val="0"/>
              <w:keepLines w:val="0"/>
              <w:widowControl/>
              <w:suppressLineNumbers w:val="0"/>
              <w:spacing w:before="0" w:beforeAutospacing="0" w:after="0" w:afterAutospacing="0" w:line="340" w:lineRule="exact"/>
              <w:ind w:left="0" w:right="0"/>
              <w:rPr>
                <w:rFonts w:hint="eastAsia" w:ascii="Times New Roman" w:hAnsi="Times New Roman" w:eastAsia="仿宋_GB2312"/>
                <w:color w:val="000000" w:themeColor="text1"/>
                <w:szCs w:val="21"/>
                <w:highlight w:val="none"/>
                <w:lang w:eastAsia="zh-CN"/>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业务流程调整、业务功能完善，系统性能调优</w:t>
            </w:r>
            <w:r>
              <w:rPr>
                <w:rFonts w:hint="eastAsia" w:ascii="Times New Roman" w:hAnsi="Times New Roman"/>
                <w:color w:val="000000" w:themeColor="text1"/>
                <w:szCs w:val="21"/>
                <w:highlight w:val="none"/>
                <w:lang w:eastAsia="zh-CN"/>
                <w14:textFill>
                  <w14:solidFill>
                    <w14:schemeClr w14:val="tx1"/>
                  </w14:solidFill>
                </w14:textFill>
              </w:rPr>
              <w:t>。</w:t>
            </w:r>
          </w:p>
        </w:tc>
        <w:tc>
          <w:tcPr>
            <w:tcW w:w="4565" w:type="dxa"/>
            <w:vAlign w:val="center"/>
          </w:tcPr>
          <w:p w14:paraId="01F4EF60">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18"/>
                <w:highlight w:val="none"/>
                <w14:textFill>
                  <w14:solidFill>
                    <w14:schemeClr w14:val="tx1"/>
                  </w14:solidFill>
                </w14:textFill>
              </w:rPr>
              <w:t>不超过</w:t>
            </w:r>
            <w:r>
              <w:rPr>
                <w:rFonts w:hint="default" w:ascii="Times New Roman" w:hAnsi="Times New Roman"/>
                <w:color w:val="000000" w:themeColor="text1"/>
                <w:szCs w:val="21"/>
                <w:highlight w:val="none"/>
                <w14:textFill>
                  <w14:solidFill>
                    <w14:schemeClr w14:val="tx1"/>
                  </w14:solidFill>
                </w14:textFill>
              </w:rPr>
              <w:t>中标</w:t>
            </w:r>
            <w:r>
              <w:rPr>
                <w:rFonts w:hint="default" w:ascii="Times New Roman" w:hAnsi="Times New Roman"/>
                <w:color w:val="000000" w:themeColor="text1"/>
                <w:szCs w:val="18"/>
                <w:highlight w:val="none"/>
                <w14:textFill>
                  <w14:solidFill>
                    <w14:schemeClr w14:val="tx1"/>
                  </w14:solidFill>
                </w14:textFill>
              </w:rPr>
              <w:t>费用15%的工作：</w:t>
            </w:r>
          </w:p>
          <w:p w14:paraId="0142BB3D">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w:t>
            </w:r>
            <w:r>
              <w:rPr>
                <w:rFonts w:hint="default" w:ascii="Times New Roman" w:hAnsi="Times New Roman"/>
                <w:color w:val="000000" w:themeColor="text1"/>
                <w:szCs w:val="18"/>
                <w:highlight w:val="none"/>
                <w14:textFill>
                  <w14:solidFill>
                    <w14:schemeClr w14:val="tx1"/>
                  </w14:solidFill>
                </w14:textFill>
              </w:rPr>
              <w:t>业务流程调整工作：业务流程调整需求分析，编制系统业务流程调整技术方案，业务流程调整设计、实施、测试工作，业务流程调整处理；</w:t>
            </w:r>
          </w:p>
          <w:p w14:paraId="54BFD7CF">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（2）</w:t>
            </w:r>
            <w:r>
              <w:rPr>
                <w:rFonts w:hint="default" w:ascii="Times New Roman" w:hAnsi="Times New Roman"/>
                <w:color w:val="000000" w:themeColor="text1"/>
                <w:szCs w:val="18"/>
                <w:highlight w:val="none"/>
                <w14:textFill>
                  <w14:solidFill>
                    <w14:schemeClr w14:val="tx1"/>
                  </w14:solidFill>
                </w14:textFill>
              </w:rPr>
              <w:t>业务功能完善工作：业务功能完善需求分析，编制系统业务功能完善技术方案，业务功能完善设计、实施、测试、发布工作，业务功能完善处理；</w:t>
            </w:r>
          </w:p>
          <w:p w14:paraId="71253F6F">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（3）</w:t>
            </w:r>
            <w:r>
              <w:rPr>
                <w:rFonts w:hint="default" w:ascii="Times New Roman" w:hAnsi="Times New Roman"/>
                <w:color w:val="000000" w:themeColor="text1"/>
                <w:szCs w:val="18"/>
                <w:highlight w:val="none"/>
                <w14:textFill>
                  <w14:solidFill>
                    <w14:schemeClr w14:val="tx1"/>
                  </w14:solidFill>
                </w14:textFill>
              </w:rPr>
              <w:t>系统性能调优工作：对系统性能存在问题进行分析，编制系统性能调优技术方案，性能调优设计、实施、测试工作；</w:t>
            </w:r>
          </w:p>
          <w:p w14:paraId="0D1AB0D1">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（4）</w:t>
            </w:r>
            <w:r>
              <w:rPr>
                <w:rFonts w:hint="default" w:ascii="Times New Roman" w:hAnsi="Times New Roman"/>
                <w:color w:val="000000" w:themeColor="text1"/>
                <w:szCs w:val="18"/>
                <w:highlight w:val="none"/>
                <w14:textFill>
                  <w14:solidFill>
                    <w14:schemeClr w14:val="tx1"/>
                  </w14:solidFill>
                </w14:textFill>
              </w:rPr>
              <w:t>技术性文档的完善和更新工作；</w:t>
            </w:r>
          </w:p>
          <w:p w14:paraId="1402CC4F">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18"/>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（5）对维护范围内的应用系统及操作系统、数据库、中间件等应用系统运行环境，根据采购人安全检查结果及有关要求，提供相关技术支持，配合开展系统安全加固等操作。</w:t>
            </w:r>
          </w:p>
          <w:p w14:paraId="76D828FD">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（6）</w:t>
            </w:r>
            <w:r>
              <w:rPr>
                <w:rFonts w:hint="default" w:ascii="Times New Roman" w:hAnsi="Times New Roman"/>
                <w:color w:val="000000" w:themeColor="text1"/>
                <w:szCs w:val="18"/>
                <w:highlight w:val="none"/>
                <w14:textFill>
                  <w14:solidFill>
                    <w14:schemeClr w14:val="tx1"/>
                  </w14:solidFill>
                </w14:textFill>
              </w:rPr>
              <w:t>每次工作记录按采购人要求录入到智能运维平台中。</w:t>
            </w:r>
          </w:p>
        </w:tc>
      </w:tr>
      <w:tr w14:paraId="2B0AA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4" w:type="dxa"/>
            <w:vAlign w:val="center"/>
          </w:tcPr>
          <w:p w14:paraId="745E835A">
            <w:pPr>
              <w:keepNext w:val="0"/>
              <w:keepLines w:val="0"/>
              <w:widowControl/>
              <w:suppressLineNumbers w:val="0"/>
              <w:spacing w:before="0" w:beforeAutospacing="0" w:after="0" w:afterAutospacing="0" w:line="340" w:lineRule="exact"/>
              <w:ind w:left="0" w:right="0" w:firstLine="20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9</w:t>
            </w:r>
          </w:p>
        </w:tc>
        <w:tc>
          <w:tcPr>
            <w:tcW w:w="1522" w:type="dxa"/>
            <w:vAlign w:val="center"/>
          </w:tcPr>
          <w:p w14:paraId="7A545675">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培训及知识管理</w:t>
            </w:r>
          </w:p>
        </w:tc>
        <w:tc>
          <w:tcPr>
            <w:tcW w:w="2340" w:type="dxa"/>
            <w:vAlign w:val="center"/>
          </w:tcPr>
          <w:p w14:paraId="4C398A01">
            <w:pPr>
              <w:keepNext w:val="0"/>
              <w:keepLines w:val="0"/>
              <w:widowControl/>
              <w:suppressLineNumbers w:val="0"/>
              <w:spacing w:before="0" w:beforeAutospacing="0" w:after="0" w:afterAutospacing="0" w:line="340" w:lineRule="exact"/>
              <w:ind w:left="0" w:right="0"/>
              <w:rPr>
                <w:rFonts w:hint="eastAsia" w:ascii="Times New Roman" w:hAnsi="Times New Roman" w:eastAsia="仿宋_GB2312"/>
                <w:color w:val="000000" w:themeColor="text1"/>
                <w:szCs w:val="21"/>
                <w:highlight w:val="none"/>
                <w:lang w:eastAsia="zh-CN"/>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提供培训、协助知识库维护</w:t>
            </w:r>
            <w:r>
              <w:rPr>
                <w:rFonts w:hint="eastAsia" w:ascii="Times New Roman" w:hAnsi="Times New Roman"/>
                <w:color w:val="000000" w:themeColor="text1"/>
                <w:szCs w:val="21"/>
                <w:highlight w:val="none"/>
                <w:lang w:eastAsia="zh-CN"/>
                <w14:textFill>
                  <w14:solidFill>
                    <w14:schemeClr w14:val="tx1"/>
                  </w14:solidFill>
                </w14:textFill>
              </w:rPr>
              <w:t>。</w:t>
            </w:r>
          </w:p>
        </w:tc>
        <w:tc>
          <w:tcPr>
            <w:tcW w:w="4565" w:type="dxa"/>
            <w:vAlign w:val="center"/>
          </w:tcPr>
          <w:p w14:paraId="3DB02B54">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提供服务期内不少于2次的技术培训。具体要求如下：</w:t>
            </w:r>
          </w:p>
          <w:p w14:paraId="328D4A4E">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（1）协助采购人编制培训计划；</w:t>
            </w:r>
          </w:p>
          <w:p w14:paraId="47257BC4">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（2）编制培训课件；</w:t>
            </w:r>
          </w:p>
          <w:p w14:paraId="5C13CCA1">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（3）协助采购人搭建培训环境；</w:t>
            </w:r>
          </w:p>
          <w:p w14:paraId="7F9043EB">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（4）开展面向业务人员的系统操作及业务培训；</w:t>
            </w:r>
          </w:p>
          <w:p w14:paraId="516CA157">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（5）开展面向运维技术人员的技术培训；</w:t>
            </w:r>
          </w:p>
          <w:p w14:paraId="31EBC8B1">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（6）协助采购人进行知识库维护。</w:t>
            </w:r>
          </w:p>
        </w:tc>
      </w:tr>
      <w:tr w14:paraId="3A08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4" w:type="dxa"/>
            <w:vAlign w:val="center"/>
          </w:tcPr>
          <w:p w14:paraId="7D26B2F6">
            <w:pPr>
              <w:keepNext w:val="0"/>
              <w:keepLines w:val="0"/>
              <w:widowControl/>
              <w:suppressLineNumbers w:val="0"/>
              <w:spacing w:before="0" w:beforeAutospacing="0" w:after="0" w:afterAutospacing="0" w:line="340" w:lineRule="exact"/>
              <w:ind w:left="0" w:right="0" w:firstLine="210" w:firstLineChars="10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10</w:t>
            </w:r>
          </w:p>
        </w:tc>
        <w:tc>
          <w:tcPr>
            <w:tcW w:w="1522" w:type="dxa"/>
            <w:vAlign w:val="center"/>
          </w:tcPr>
          <w:p w14:paraId="520BD7BA">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资料维护</w:t>
            </w:r>
          </w:p>
        </w:tc>
        <w:tc>
          <w:tcPr>
            <w:tcW w:w="2340" w:type="dxa"/>
            <w:vAlign w:val="center"/>
          </w:tcPr>
          <w:p w14:paraId="41E0C700">
            <w:pPr>
              <w:keepNext w:val="0"/>
              <w:keepLines w:val="0"/>
              <w:widowControl/>
              <w:suppressLineNumbers w:val="0"/>
              <w:spacing w:before="0" w:beforeAutospacing="0" w:after="0" w:afterAutospacing="0" w:line="340" w:lineRule="exact"/>
              <w:ind w:left="0" w:right="0"/>
              <w:rPr>
                <w:rFonts w:hint="eastAsia" w:ascii="Times New Roman" w:hAnsi="Times New Roman" w:eastAsia="仿宋_GB2312"/>
                <w:color w:val="000000" w:themeColor="text1"/>
                <w:szCs w:val="21"/>
                <w:highlight w:val="none"/>
                <w:lang w:eastAsia="zh-CN"/>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提供系统及项目相关的文档资料的整理和维护服务</w:t>
            </w:r>
            <w:r>
              <w:rPr>
                <w:rFonts w:hint="eastAsia" w:ascii="Times New Roman" w:hAnsi="Times New Roman"/>
                <w:color w:val="000000" w:themeColor="text1"/>
                <w:szCs w:val="21"/>
                <w:highlight w:val="none"/>
                <w:lang w:eastAsia="zh-CN"/>
                <w14:textFill>
                  <w14:solidFill>
                    <w14:schemeClr w14:val="tx1"/>
                  </w14:solidFill>
                </w14:textFill>
              </w:rPr>
              <w:t>。</w:t>
            </w:r>
          </w:p>
        </w:tc>
        <w:tc>
          <w:tcPr>
            <w:tcW w:w="4565" w:type="dxa"/>
            <w:vAlign w:val="center"/>
          </w:tcPr>
          <w:p w14:paraId="39748979">
            <w:pPr>
              <w:keepNext w:val="0"/>
              <w:keepLines w:val="0"/>
              <w:widowControl/>
              <w:suppressLineNumbers w:val="0"/>
              <w:spacing w:before="0" w:beforeAutospacing="0" w:after="0" w:afterAutospacing="0" w:line="340" w:lineRule="exact"/>
              <w:ind w:left="0" w:right="0" w:firstLine="420" w:firstLineChars="200"/>
              <w:jc w:val="left"/>
              <w:rPr>
                <w:rFonts w:hint="default" w:ascii="Times New Roman" w:hAnsi="Times New Roman"/>
                <w:color w:val="000000" w:themeColor="text1"/>
                <w:szCs w:val="21"/>
                <w:highlight w:val="none"/>
                <w14:textFill>
                  <w14:solidFill>
                    <w14:schemeClr w14:val="tx1"/>
                  </w14:solidFill>
                </w14:textFill>
              </w:rPr>
            </w:pPr>
            <w:r>
              <w:rPr>
                <w:rFonts w:hint="eastAsia" w:ascii="Times New Roman" w:hAnsi="Times New Roman"/>
                <w:color w:val="000000" w:themeColor="text1"/>
                <w:szCs w:val="21"/>
                <w:highlight w:val="none"/>
                <w:lang w:eastAsia="zh-CN"/>
                <w14:textFill>
                  <w14:solidFill>
                    <w14:schemeClr w14:val="tx1"/>
                  </w14:solidFill>
                </w14:textFill>
              </w:rPr>
              <w:t>中标人</w:t>
            </w:r>
            <w:r>
              <w:rPr>
                <w:rFonts w:hint="default" w:ascii="Times New Roman" w:hAnsi="Times New Roman"/>
                <w:color w:val="000000" w:themeColor="text1"/>
                <w:szCs w:val="21"/>
                <w:highlight w:val="none"/>
                <w14:textFill>
                  <w14:solidFill>
                    <w14:schemeClr w14:val="tx1"/>
                  </w14:solidFill>
                </w14:textFill>
              </w:rPr>
              <w:t>须根据采购人对项目管理的相关要求整理、提交和维护项目的过程文档，包括项目履约清单，以及履约清单要求的所有运维过程交付物、实施方案、满意度评价等。</w:t>
            </w:r>
          </w:p>
        </w:tc>
      </w:tr>
      <w:tr w14:paraId="3937B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4" w:type="dxa"/>
            <w:vAlign w:val="center"/>
          </w:tcPr>
          <w:p w14:paraId="5357936E">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11</w:t>
            </w:r>
          </w:p>
        </w:tc>
        <w:tc>
          <w:tcPr>
            <w:tcW w:w="1522" w:type="dxa"/>
            <w:vAlign w:val="center"/>
          </w:tcPr>
          <w:p w14:paraId="6CC0A519">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运维报告及其他技术支持</w:t>
            </w:r>
          </w:p>
        </w:tc>
        <w:tc>
          <w:tcPr>
            <w:tcW w:w="2340" w:type="dxa"/>
            <w:vAlign w:val="center"/>
          </w:tcPr>
          <w:p w14:paraId="5EFA2AE0">
            <w:pPr>
              <w:keepNext w:val="0"/>
              <w:keepLines w:val="0"/>
              <w:widowControl/>
              <w:suppressLineNumbers w:val="0"/>
              <w:spacing w:before="0" w:beforeAutospacing="0" w:after="0" w:afterAutospacing="0" w:line="340" w:lineRule="exact"/>
              <w:ind w:left="0" w:right="0"/>
              <w:rPr>
                <w:rFonts w:hint="eastAsia" w:ascii="Times New Roman" w:hAnsi="Times New Roman" w:eastAsia="仿宋_GB2312"/>
                <w:color w:val="000000" w:themeColor="text1"/>
                <w:szCs w:val="21"/>
                <w:highlight w:val="none"/>
                <w:lang w:eastAsia="zh-CN"/>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以项目/合同为单位提供周期性的运维分析报告</w:t>
            </w:r>
            <w:r>
              <w:rPr>
                <w:rFonts w:hint="eastAsia" w:ascii="Times New Roman" w:hAnsi="Times New Roman"/>
                <w:color w:val="000000" w:themeColor="text1"/>
                <w:szCs w:val="21"/>
                <w:highlight w:val="none"/>
                <w:lang w:eastAsia="zh-CN"/>
                <w14:textFill>
                  <w14:solidFill>
                    <w14:schemeClr w14:val="tx1"/>
                  </w14:solidFill>
                </w14:textFill>
              </w:rPr>
              <w:t>。</w:t>
            </w:r>
          </w:p>
        </w:tc>
        <w:tc>
          <w:tcPr>
            <w:tcW w:w="4565" w:type="dxa"/>
            <w:vAlign w:val="center"/>
          </w:tcPr>
          <w:p w14:paraId="31022914">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（1）按采购人提供的模板，每月提交运维服务月报，每季度提交系统缺陷分析报告，提交运维服务年报、作业指导书及应急处置预案；</w:t>
            </w:r>
          </w:p>
          <w:p w14:paraId="44A691BF">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（2）根据采购人要求提供项目所需的工作报告或其他技术文档，工作量不超过10人日；</w:t>
            </w:r>
          </w:p>
          <w:p w14:paraId="5B8DEA3F">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（3）配合采购人开展系统、数据库等迁移工作；</w:t>
            </w:r>
          </w:p>
          <w:p w14:paraId="3CF4C21D">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（4）配合采购人开展如系统建设规划、系统架构升级优化方案编制、运维体系规范化建设等工作，工作量不超过10人日；</w:t>
            </w:r>
          </w:p>
          <w:p w14:paraId="26A27F33">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（5）参与采购人在建及新建与其服务范围内的系统相关联的子项目，配合相关工作，工作量不超过10人日。</w:t>
            </w:r>
          </w:p>
        </w:tc>
      </w:tr>
      <w:tr w14:paraId="37F95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4" w:type="dxa"/>
            <w:vAlign w:val="center"/>
          </w:tcPr>
          <w:p w14:paraId="2731F19E">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12</w:t>
            </w:r>
          </w:p>
        </w:tc>
        <w:tc>
          <w:tcPr>
            <w:tcW w:w="1522" w:type="dxa"/>
            <w:vAlign w:val="center"/>
          </w:tcPr>
          <w:p w14:paraId="3CF57C0C">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远程服务</w:t>
            </w:r>
          </w:p>
        </w:tc>
        <w:tc>
          <w:tcPr>
            <w:tcW w:w="2340" w:type="dxa"/>
            <w:vAlign w:val="center"/>
          </w:tcPr>
          <w:p w14:paraId="7EB559CD">
            <w:pPr>
              <w:keepNext w:val="0"/>
              <w:keepLines w:val="0"/>
              <w:widowControl/>
              <w:suppressLineNumbers w:val="0"/>
              <w:spacing w:before="0" w:beforeAutospacing="0" w:after="0" w:afterAutospacing="0" w:line="340" w:lineRule="exact"/>
              <w:ind w:left="0" w:right="0"/>
              <w:rPr>
                <w:rFonts w:hint="eastAsia" w:ascii="Times New Roman" w:hAnsi="Times New Roman" w:eastAsia="仿宋_GB2312"/>
                <w:color w:val="000000" w:themeColor="text1"/>
                <w:szCs w:val="21"/>
                <w:highlight w:val="none"/>
                <w:lang w:eastAsia="zh-CN"/>
                <w14:textFill>
                  <w14:solidFill>
                    <w14:schemeClr w14:val="tx1"/>
                  </w14:solidFill>
                </w14:textFill>
              </w:rPr>
            </w:pPr>
            <w:r>
              <w:rPr>
                <w:rFonts w:hint="eastAsia" w:ascii="Times New Roman" w:hAnsi="Times New Roman"/>
                <w:color w:val="000000" w:themeColor="text1"/>
                <w:szCs w:val="21"/>
                <w:highlight w:val="none"/>
                <w:lang w:eastAsia="zh-CN"/>
                <w14:textFill>
                  <w14:solidFill>
                    <w14:schemeClr w14:val="tx1"/>
                  </w14:solidFill>
                </w14:textFill>
              </w:rPr>
              <w:t>中标人</w:t>
            </w:r>
            <w:r>
              <w:rPr>
                <w:rFonts w:hint="default" w:ascii="Times New Roman" w:hAnsi="Times New Roman"/>
                <w:color w:val="000000" w:themeColor="text1"/>
                <w:szCs w:val="21"/>
                <w:highlight w:val="none"/>
                <w14:textFill>
                  <w14:solidFill>
                    <w14:schemeClr w14:val="tx1"/>
                  </w14:solidFill>
                </w14:textFill>
              </w:rPr>
              <w:t>根据服务需求或服务内容提供远程技术服务及非驻场人员到场服务</w:t>
            </w:r>
            <w:r>
              <w:rPr>
                <w:rFonts w:hint="eastAsia" w:ascii="Times New Roman" w:hAnsi="Times New Roman"/>
                <w:color w:val="000000" w:themeColor="text1"/>
                <w:szCs w:val="21"/>
                <w:highlight w:val="none"/>
                <w:lang w:eastAsia="zh-CN"/>
                <w14:textFill>
                  <w14:solidFill>
                    <w14:schemeClr w14:val="tx1"/>
                  </w14:solidFill>
                </w14:textFill>
              </w:rPr>
              <w:t>。</w:t>
            </w:r>
          </w:p>
        </w:tc>
        <w:tc>
          <w:tcPr>
            <w:tcW w:w="4565" w:type="dxa"/>
            <w:vAlign w:val="center"/>
          </w:tcPr>
          <w:p w14:paraId="3448CCC3">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（1）每次服务记录须由采购人确认。</w:t>
            </w:r>
          </w:p>
        </w:tc>
      </w:tr>
      <w:tr w14:paraId="74FCB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704" w:type="dxa"/>
            <w:vAlign w:val="center"/>
          </w:tcPr>
          <w:p w14:paraId="56E2DB5F">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13</w:t>
            </w:r>
          </w:p>
        </w:tc>
        <w:tc>
          <w:tcPr>
            <w:tcW w:w="1522" w:type="dxa"/>
            <w:vAlign w:val="center"/>
          </w:tcPr>
          <w:p w14:paraId="51D636C4">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安全管理</w:t>
            </w:r>
          </w:p>
        </w:tc>
        <w:tc>
          <w:tcPr>
            <w:tcW w:w="2340" w:type="dxa"/>
            <w:vAlign w:val="center"/>
          </w:tcPr>
          <w:p w14:paraId="03516ACE">
            <w:pPr>
              <w:keepNext w:val="0"/>
              <w:keepLines w:val="0"/>
              <w:widowControl/>
              <w:suppressLineNumbers w:val="0"/>
              <w:spacing w:before="0" w:beforeAutospacing="0" w:after="0" w:afterAutospacing="0" w:line="340" w:lineRule="exact"/>
              <w:ind w:left="0" w:right="0"/>
              <w:rPr>
                <w:rFonts w:hint="eastAsia" w:ascii="Times New Roman" w:hAnsi="Times New Roman" w:eastAsia="仿宋_GB2312"/>
                <w:color w:val="000000" w:themeColor="text1"/>
                <w:szCs w:val="21"/>
                <w:highlight w:val="none"/>
                <w:lang w:eastAsia="zh-CN"/>
                <w14:textFill>
                  <w14:solidFill>
                    <w14:schemeClr w14:val="tx1"/>
                  </w14:solidFill>
                </w14:textFill>
              </w:rPr>
            </w:pPr>
            <w:r>
              <w:rPr>
                <w:rFonts w:hint="eastAsia" w:ascii="Times New Roman" w:hAnsi="Times New Roman"/>
                <w:color w:val="000000" w:themeColor="text1"/>
                <w:szCs w:val="21"/>
                <w:highlight w:val="none"/>
                <w:lang w:eastAsia="zh-CN"/>
                <w14:textFill>
                  <w14:solidFill>
                    <w14:schemeClr w14:val="tx1"/>
                  </w14:solidFill>
                </w14:textFill>
              </w:rPr>
              <w:t>中标人</w:t>
            </w:r>
            <w:r>
              <w:rPr>
                <w:rFonts w:hint="default" w:ascii="Times New Roman" w:hAnsi="Times New Roman"/>
                <w:color w:val="000000" w:themeColor="text1"/>
                <w:szCs w:val="21"/>
                <w:highlight w:val="none"/>
                <w14:textFill>
                  <w14:solidFill>
                    <w14:schemeClr w14:val="tx1"/>
                  </w14:solidFill>
                </w14:textFill>
              </w:rPr>
              <w:t>根据安全管理要求执行技术服务</w:t>
            </w:r>
            <w:r>
              <w:rPr>
                <w:rFonts w:hint="eastAsia" w:ascii="Times New Roman" w:hAnsi="Times New Roman"/>
                <w:color w:val="000000" w:themeColor="text1"/>
                <w:szCs w:val="21"/>
                <w:highlight w:val="none"/>
                <w:lang w:eastAsia="zh-CN"/>
                <w14:textFill>
                  <w14:solidFill>
                    <w14:schemeClr w14:val="tx1"/>
                  </w14:solidFill>
                </w14:textFill>
              </w:rPr>
              <w:t>。</w:t>
            </w:r>
          </w:p>
        </w:tc>
        <w:tc>
          <w:tcPr>
            <w:tcW w:w="4565" w:type="dxa"/>
            <w:vAlign w:val="center"/>
          </w:tcPr>
          <w:p w14:paraId="0AB355BC">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根据采购人安全管理要求，配合开展安全检查、安全加固及有关工作。具体要求如下：</w:t>
            </w:r>
          </w:p>
          <w:p w14:paraId="58056540">
            <w:pPr>
              <w:keepNext w:val="0"/>
              <w:keepLines w:val="0"/>
              <w:widowControl/>
              <w:numPr>
                <w:ilvl w:val="0"/>
                <w:numId w:val="10"/>
              </w:numPr>
              <w:suppressLineNumbers w:val="0"/>
              <w:spacing w:before="0" w:beforeAutospacing="0" w:after="0" w:afterAutospacing="0" w:line="340" w:lineRule="exact"/>
              <w:ind w:left="0" w:right="0"/>
              <w:jc w:val="left"/>
              <w:rPr>
                <w:rFonts w:hint="default" w:ascii="Times New Roman" w:hAnsi="Times New Roman"/>
                <w:color w:val="000000" w:themeColor="text1"/>
                <w:highlight w:val="none"/>
                <w14:textFill>
                  <w14:solidFill>
                    <w14:schemeClr w14:val="tx1"/>
                  </w14:solidFill>
                </w14:textFill>
              </w:rPr>
            </w:pPr>
            <w:r>
              <w:rPr>
                <w:rFonts w:hint="default" w:ascii="Times New Roman" w:hAnsi="Times New Roman"/>
                <w:color w:val="000000" w:themeColor="text1"/>
                <w:highlight w:val="none"/>
                <w14:textFill>
                  <w14:solidFill>
                    <w14:schemeClr w14:val="tx1"/>
                  </w14:solidFill>
                </w14:textFill>
              </w:rPr>
              <w:t>对维护范围内的主机、网络设备、应用系统及操作系统、数据库、中间件等，以及提供技术支持所使用的终端及外接设备，配合开展安全检查并反馈结果，配合进行安全加固操作</w:t>
            </w:r>
            <w:r>
              <w:rPr>
                <w:rFonts w:hint="eastAsia"/>
                <w:color w:val="000000" w:themeColor="text1"/>
                <w:highlight w:val="none"/>
                <w:lang w:eastAsia="zh-CN"/>
                <w14:textFill>
                  <w14:solidFill>
                    <w14:schemeClr w14:val="tx1"/>
                  </w14:solidFill>
                </w14:textFill>
              </w:rPr>
              <w:t>；</w:t>
            </w:r>
          </w:p>
          <w:p w14:paraId="1B0A7733">
            <w:pPr>
              <w:keepNext w:val="0"/>
              <w:keepLines w:val="0"/>
              <w:widowControl/>
              <w:suppressLineNumbers w:val="0"/>
              <w:spacing w:before="0" w:beforeAutospacing="0" w:after="0" w:afterAutospacing="0" w:line="340" w:lineRule="exact"/>
              <w:ind w:left="0" w:right="0"/>
              <w:jc w:val="left"/>
              <w:rPr>
                <w:rFonts w:hint="default" w:ascii="Times New Roman" w:hAnsi="Times New Roman"/>
                <w:color w:val="000000" w:themeColor="text1"/>
                <w:szCs w:val="21"/>
                <w:highlight w:val="none"/>
                <w14:textFill>
                  <w14:solidFill>
                    <w14:schemeClr w14:val="tx1"/>
                  </w14:solidFill>
                </w14:textFill>
              </w:rPr>
            </w:pPr>
            <w:r>
              <w:rPr>
                <w:rFonts w:hint="eastAsia"/>
                <w:color w:val="000000" w:themeColor="text1"/>
                <w:szCs w:val="18"/>
                <w:highlight w:val="none"/>
                <w:lang w:eastAsia="zh-CN"/>
                <w14:textFill>
                  <w14:solidFill>
                    <w14:schemeClr w14:val="tx1"/>
                  </w14:solidFill>
                </w14:textFill>
              </w:rPr>
              <w:t>（</w:t>
            </w:r>
            <w:r>
              <w:rPr>
                <w:rFonts w:hint="eastAsia"/>
                <w:color w:val="000000" w:themeColor="text1"/>
                <w:szCs w:val="18"/>
                <w:highlight w:val="none"/>
                <w:lang w:val="en-US" w:eastAsia="zh-CN"/>
                <w14:textFill>
                  <w14:solidFill>
                    <w14:schemeClr w14:val="tx1"/>
                  </w14:solidFill>
                </w14:textFill>
              </w:rPr>
              <w:t>2</w:t>
            </w:r>
            <w:r>
              <w:rPr>
                <w:rFonts w:hint="eastAsia"/>
                <w:color w:val="000000" w:themeColor="text1"/>
                <w:szCs w:val="18"/>
                <w:highlight w:val="none"/>
                <w:lang w:eastAsia="zh-CN"/>
                <w14:textFill>
                  <w14:solidFill>
                    <w14:schemeClr w14:val="tx1"/>
                  </w14:solidFill>
                </w14:textFill>
              </w:rPr>
              <w:t>）</w:t>
            </w:r>
            <w:r>
              <w:rPr>
                <w:rFonts w:hint="default" w:ascii="Times New Roman" w:hAnsi="Times New Roman"/>
                <w:color w:val="000000" w:themeColor="text1"/>
                <w:szCs w:val="18"/>
                <w:highlight w:val="none"/>
                <w14:textFill>
                  <w14:solidFill>
                    <w14:schemeClr w14:val="tx1"/>
                  </w14:solidFill>
                </w14:textFill>
              </w:rPr>
              <w:t>每次工作记录按采购人要求录入到智能运维平台中。</w:t>
            </w:r>
          </w:p>
        </w:tc>
      </w:tr>
      <w:tr w14:paraId="66C8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4" w:type="dxa"/>
            <w:vAlign w:val="center"/>
          </w:tcPr>
          <w:p w14:paraId="09BF8D9A">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14</w:t>
            </w:r>
          </w:p>
        </w:tc>
        <w:tc>
          <w:tcPr>
            <w:tcW w:w="1522" w:type="dxa"/>
            <w:vAlign w:val="center"/>
          </w:tcPr>
          <w:p w14:paraId="7C269CEA">
            <w:pPr>
              <w:keepNext w:val="0"/>
              <w:keepLines w:val="0"/>
              <w:widowControl/>
              <w:suppressLineNumbers w:val="0"/>
              <w:spacing w:before="0" w:beforeAutospacing="0" w:after="0" w:afterAutospacing="0" w:line="340" w:lineRule="exact"/>
              <w:ind w:left="0" w:right="0"/>
              <w:jc w:val="center"/>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增值服务</w:t>
            </w:r>
          </w:p>
        </w:tc>
        <w:tc>
          <w:tcPr>
            <w:tcW w:w="2340" w:type="dxa"/>
            <w:vAlign w:val="center"/>
          </w:tcPr>
          <w:p w14:paraId="7D9B1274">
            <w:pPr>
              <w:keepNext w:val="0"/>
              <w:keepLines w:val="0"/>
              <w:widowControl/>
              <w:suppressLineNumbers w:val="0"/>
              <w:spacing w:before="0" w:beforeAutospacing="0" w:after="0" w:afterAutospacing="0" w:line="340" w:lineRule="exact"/>
              <w:ind w:left="0" w:right="0"/>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基于通用的维护需求外，提供具有针对性且个性化的服务内容。</w:t>
            </w:r>
          </w:p>
        </w:tc>
        <w:tc>
          <w:tcPr>
            <w:tcW w:w="4565" w:type="dxa"/>
            <w:vAlign w:val="center"/>
          </w:tcPr>
          <w:p w14:paraId="18DC2C98">
            <w:pPr>
              <w:keepNext w:val="0"/>
              <w:keepLines w:val="0"/>
              <w:widowControl/>
              <w:suppressLineNumbers w:val="0"/>
              <w:spacing w:before="0" w:beforeAutospacing="0" w:after="0" w:afterAutospacing="0" w:line="340" w:lineRule="exact"/>
              <w:ind w:left="0" w:right="0" w:firstLine="420" w:firstLineChars="200"/>
              <w:jc w:val="left"/>
              <w:rPr>
                <w:rFonts w:hint="default" w:ascii="Times New Roman" w:hAnsi="Times New Roman"/>
                <w:color w:val="000000" w:themeColor="text1"/>
                <w:szCs w:val="21"/>
                <w:highlight w:val="none"/>
                <w14:textFill>
                  <w14:solidFill>
                    <w14:schemeClr w14:val="tx1"/>
                  </w14:solidFill>
                </w14:textFill>
              </w:rPr>
            </w:pPr>
            <w:r>
              <w:rPr>
                <w:rFonts w:hint="default" w:ascii="Times New Roman" w:hAnsi="Times New Roman"/>
                <w:color w:val="000000" w:themeColor="text1"/>
                <w:szCs w:val="21"/>
                <w:highlight w:val="none"/>
                <w14:textFill>
                  <w14:solidFill>
                    <w14:schemeClr w14:val="tx1"/>
                  </w14:solidFill>
                </w14:textFill>
              </w:rPr>
              <w:t>运维工具配备：</w:t>
            </w:r>
            <w:r>
              <w:rPr>
                <w:rFonts w:hint="eastAsia" w:ascii="Times New Roman" w:hAnsi="Times New Roman"/>
                <w:color w:val="000000" w:themeColor="text1"/>
                <w:szCs w:val="21"/>
                <w:highlight w:val="none"/>
                <w:lang w:eastAsia="zh-CN"/>
                <w14:textFill>
                  <w14:solidFill>
                    <w14:schemeClr w14:val="tx1"/>
                  </w14:solidFill>
                </w14:textFill>
              </w:rPr>
              <w:t>中标人</w:t>
            </w:r>
            <w:r>
              <w:rPr>
                <w:rFonts w:hint="default" w:ascii="Times New Roman" w:hAnsi="Times New Roman"/>
                <w:color w:val="000000" w:themeColor="text1"/>
                <w:szCs w:val="21"/>
                <w:highlight w:val="none"/>
                <w14:textFill>
                  <w14:solidFill>
                    <w14:schemeClr w14:val="tx1"/>
                  </w14:solidFill>
                </w14:textFill>
              </w:rPr>
              <w:t>须自行配备运维驻场人员（含一线信息化业务服务保障人员）办公所需的运维工具，包含每人公安网办公电脑一台</w:t>
            </w:r>
            <w:r>
              <w:rPr>
                <w:rFonts w:hint="eastAsia"/>
                <w:color w:val="000000" w:themeColor="text1"/>
                <w:szCs w:val="21"/>
                <w:highlight w:val="none"/>
                <w:lang w:eastAsia="zh-CN"/>
                <w14:textFill>
                  <w14:solidFill>
                    <w14:schemeClr w14:val="tx1"/>
                  </w14:solidFill>
                </w14:textFill>
              </w:rPr>
              <w:t>及采购人要求的其它</w:t>
            </w:r>
            <w:r>
              <w:rPr>
                <w:rFonts w:hint="eastAsia" w:ascii="Times New Roman" w:hAnsi="Times New Roman"/>
                <w:color w:val="000000" w:themeColor="text1"/>
                <w:szCs w:val="21"/>
                <w:highlight w:val="none"/>
                <w:lang w:eastAsia="zh-CN"/>
                <w14:textFill>
                  <w14:solidFill>
                    <w14:schemeClr w14:val="tx1"/>
                  </w14:solidFill>
                </w14:textFill>
              </w:rPr>
              <w:t>办公所需工具</w:t>
            </w:r>
            <w:r>
              <w:rPr>
                <w:rFonts w:hint="default" w:ascii="Times New Roman" w:hAnsi="Times New Roman"/>
                <w:color w:val="000000" w:themeColor="text1"/>
                <w:szCs w:val="21"/>
                <w:highlight w:val="none"/>
                <w14:textFill>
                  <w14:solidFill>
                    <w14:schemeClr w14:val="tx1"/>
                  </w14:solidFill>
                </w14:textFill>
              </w:rPr>
              <w:t>（按采购人要求做好安全措施与安全警示标签）。</w:t>
            </w:r>
          </w:p>
        </w:tc>
      </w:tr>
    </w:tbl>
    <w:p w14:paraId="4138E606">
      <w:pPr>
        <w:rPr>
          <w:rFonts w:ascii="宋体" w:hAnsi="宋体" w:cs="宋体"/>
          <w:color w:val="000000" w:themeColor="text1"/>
          <w:sz w:val="24"/>
          <w:highlight w:val="none"/>
          <w14:textFill>
            <w14:solidFill>
              <w14:schemeClr w14:val="tx1"/>
            </w14:solidFill>
          </w14:textFill>
        </w:rPr>
      </w:pPr>
    </w:p>
    <w:p w14:paraId="423E4682">
      <w:pPr>
        <w:keepNext/>
        <w:keepLines/>
        <w:pageBreakBefore w:val="0"/>
        <w:widowControl w:val="0"/>
        <w:numPr>
          <w:ilvl w:val="0"/>
          <w:numId w:val="0"/>
        </w:numPr>
        <w:kinsoku/>
        <w:wordWrap/>
        <w:overflowPunct/>
        <w:topLinePunct w:val="0"/>
        <w:autoSpaceDE/>
        <w:autoSpaceDN/>
        <w:bidi w:val="0"/>
        <w:adjustRightInd/>
        <w:snapToGrid/>
        <w:spacing w:line="300" w:lineRule="auto"/>
        <w:textAlignment w:val="auto"/>
        <w:outlineLvl w:val="9"/>
        <w:rPr>
          <w:rFonts w:hint="eastAsia" w:ascii="宋体" w:hAnsi="宋体" w:eastAsia="宋体" w:cs="宋体"/>
          <w:b/>
          <w:bCs/>
          <w:color w:val="000000" w:themeColor="text1"/>
          <w:sz w:val="28"/>
          <w:szCs w:val="32"/>
          <w:highlight w:val="none"/>
          <w14:textFill>
            <w14:solidFill>
              <w14:schemeClr w14:val="tx1"/>
            </w14:solidFill>
          </w14:textFill>
        </w:rPr>
      </w:pPr>
      <w:r>
        <w:rPr>
          <w:rFonts w:hint="eastAsia" w:ascii="宋体" w:hAnsi="宋体" w:eastAsia="宋体" w:cs="宋体"/>
          <w:b/>
          <w:bCs/>
          <w:color w:val="000000" w:themeColor="text1"/>
          <w:sz w:val="28"/>
          <w:szCs w:val="32"/>
          <w:highlight w:val="none"/>
          <w:lang w:val="en-US" w:eastAsia="zh-CN"/>
          <w14:textFill>
            <w14:solidFill>
              <w14:schemeClr w14:val="tx1"/>
            </w14:solidFill>
          </w14:textFill>
        </w:rPr>
        <w:t>(二）</w:t>
      </w:r>
      <w:r>
        <w:rPr>
          <w:rFonts w:hint="eastAsia" w:ascii="宋体" w:hAnsi="宋体" w:eastAsia="宋体" w:cs="宋体"/>
          <w:b/>
          <w:bCs/>
          <w:color w:val="000000" w:themeColor="text1"/>
          <w:sz w:val="28"/>
          <w:szCs w:val="32"/>
          <w:highlight w:val="none"/>
          <w14:textFill>
            <w14:solidFill>
              <w14:schemeClr w14:val="tx1"/>
            </w14:solidFill>
          </w14:textFill>
        </w:rPr>
        <w:t>专项服务内容</w:t>
      </w:r>
    </w:p>
    <w:tbl>
      <w:tblPr>
        <w:tblStyle w:val="53"/>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125"/>
        <w:gridCol w:w="1737"/>
        <w:gridCol w:w="5449"/>
      </w:tblGrid>
      <w:tr w14:paraId="3A4F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3C150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A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21725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5AD1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2EF469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206A38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0BDD8F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00047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9F7D7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A-1</w:t>
            </w:r>
          </w:p>
        </w:tc>
        <w:tc>
          <w:tcPr>
            <w:tcW w:w="1125" w:type="dxa"/>
            <w:vAlign w:val="center"/>
          </w:tcPr>
          <w:p w14:paraId="46ADE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A 单位</w:t>
            </w:r>
          </w:p>
        </w:tc>
        <w:tc>
          <w:tcPr>
            <w:tcW w:w="1737" w:type="dxa"/>
            <w:vAlign w:val="center"/>
          </w:tcPr>
          <w:p w14:paraId="4CD51F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A-1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5449" w:type="dxa"/>
            <w:vAlign w:val="center"/>
          </w:tcPr>
          <w:p w14:paraId="281B6A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eastAsia="宋体" w:cs="宋体"/>
                <w:bCs/>
                <w:color w:val="000000" w:themeColor="text1"/>
                <w:kern w:val="2"/>
                <w:sz w:val="21"/>
                <w:szCs w:val="21"/>
                <w:highlight w:val="none"/>
                <w14:textFill>
                  <w14:solidFill>
                    <w14:schemeClr w14:val="tx1"/>
                  </w14:solidFill>
                </w14:textFill>
              </w:rPr>
              <w:t>办公系统平台服务（平台定制、应用、管理、维护、升级以及数据备份和恢复）；</w:t>
            </w:r>
          </w:p>
          <w:p w14:paraId="26FAAC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2"/>
                <w:sz w:val="21"/>
                <w:szCs w:val="21"/>
                <w:highlight w:val="none"/>
                <w14:textFill>
                  <w14:solidFill>
                    <w14:schemeClr w14:val="tx1"/>
                  </w14:solidFill>
                </w14:textFill>
              </w:rPr>
              <w:t>数据库服务（Lotus Domino数据库管理、升级、补丁更新；数据备份与恢复）；</w:t>
            </w:r>
          </w:p>
          <w:p w14:paraId="3A75B1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r>
              <w:rPr>
                <w:rFonts w:hint="eastAsia" w:ascii="宋体" w:hAnsi="宋体" w:eastAsia="宋体" w:cs="宋体"/>
                <w:bCs/>
                <w:color w:val="000000" w:themeColor="text1"/>
                <w:kern w:val="2"/>
                <w:sz w:val="21"/>
                <w:szCs w:val="21"/>
                <w:highlight w:val="none"/>
                <w14:textFill>
                  <w14:solidFill>
                    <w14:schemeClr w14:val="tx1"/>
                  </w14:solidFill>
                </w14:textFill>
              </w:rPr>
              <w:t>数据接口服务（办公系统与区政府电子公文交换平台接口升级、更新服务；公文交换系统接口升级、更新服务）</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p>
          <w:p w14:paraId="7C5C44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4．培训服务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培训系统管理员和使用人员；根据甲方网上办公系统应用的培训需求提供特定的专项应用培训</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w:t>
            </w:r>
          </w:p>
        </w:tc>
      </w:tr>
      <w:tr w14:paraId="0DB8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845D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A-2</w:t>
            </w:r>
          </w:p>
        </w:tc>
        <w:tc>
          <w:tcPr>
            <w:tcW w:w="1125" w:type="dxa"/>
            <w:vAlign w:val="center"/>
          </w:tcPr>
          <w:p w14:paraId="5D2BFE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A 单位</w:t>
            </w:r>
          </w:p>
        </w:tc>
        <w:tc>
          <w:tcPr>
            <w:tcW w:w="1737" w:type="dxa"/>
            <w:vAlign w:val="center"/>
          </w:tcPr>
          <w:p w14:paraId="7D28F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A-2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5449" w:type="dxa"/>
            <w:vAlign w:val="center"/>
          </w:tcPr>
          <w:p w14:paraId="4CCF06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数据变更稽查服务：在绩效考评过程中，对于可疑或无法从系统界面查询的数据变更进行稽查，定位数据变更的来源，确定数据变更来源的基本信息。基本信息包括：操作人、操作时间、操作事件、是否是从系统客户端操作等要素。</w:t>
            </w:r>
          </w:p>
          <w:p w14:paraId="35D0E9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自动考评业务服务：对绩效考评系统中的自动考评功能，包括与指挥调度系统对接的自动考评、导入excel考评数据的自动考评等功能，当在考评过程中进行自动考评时，提供自动考评连接动态配置、自动考评依赖的机构关系动态配置、自动考评参数配置等业务。</w:t>
            </w:r>
          </w:p>
          <w:p w14:paraId="6BA4C8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3、年度考评方案指标体系录入配置：提供年度厅考直属、厅考各市共5套考评方案指标体系的录入配置服务。</w:t>
            </w:r>
          </w:p>
        </w:tc>
      </w:tr>
      <w:tr w14:paraId="4D87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55BC3C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B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197C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12F2F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3EDC00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629FC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434E58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01AAC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5B642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B-1</w:t>
            </w:r>
          </w:p>
        </w:tc>
        <w:tc>
          <w:tcPr>
            <w:tcW w:w="1125" w:type="dxa"/>
            <w:vAlign w:val="center"/>
          </w:tcPr>
          <w:p w14:paraId="5B8DB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B 单位</w:t>
            </w:r>
          </w:p>
        </w:tc>
        <w:tc>
          <w:tcPr>
            <w:tcW w:w="1737" w:type="dxa"/>
            <w:vAlign w:val="center"/>
          </w:tcPr>
          <w:p w14:paraId="1D3228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B-1</w:t>
            </w:r>
            <w:r>
              <w:rPr>
                <w:rFonts w:hint="eastAsia" w:ascii="宋体" w:hAnsi="宋体" w:eastAsia="宋体" w:cs="宋体"/>
                <w:color w:val="000000" w:themeColor="text1"/>
                <w:kern w:val="2"/>
                <w:sz w:val="21"/>
                <w:szCs w:val="21"/>
                <w:highlight w:val="none"/>
                <w14:textFill>
                  <w14:solidFill>
                    <w14:schemeClr w14:val="tx1"/>
                  </w14:solidFill>
                </w14:textFill>
              </w:rPr>
              <w:t>系统</w:t>
            </w:r>
          </w:p>
        </w:tc>
        <w:tc>
          <w:tcPr>
            <w:tcW w:w="5449" w:type="dxa"/>
            <w:vAlign w:val="center"/>
          </w:tcPr>
          <w:p w14:paraId="3D70C5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1、在保证采购人政工信息系统存储数据安全稳定的前提下，做好政工信息系统与采购人指定的第三方公司所用系统之间数据接口的设计和调试工作。</w:t>
            </w:r>
          </w:p>
          <w:p w14:paraId="2F8828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2、根据信息安全等级保护要求，提供相关的安全管理服务，如环境管理、资产管理、介质管理、设备管理、网络安全管理、系统安全管理、恶意代码防范管理、密码管理、变更管理等。</w:t>
            </w:r>
          </w:p>
          <w:p w14:paraId="3A1AB4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3、按照采购人指定的第三方信息系统有关数据导入要求，协助采购人根据本信息系统已有数据统计有关信息，设计并填报数据导入用的相关人员和机构信息统计报表。</w:t>
            </w:r>
          </w:p>
          <w:p w14:paraId="0C2110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4、确保警员库系统暨“公安人事管理信息查询系统”中的人员、机构等有关信息实现与公安政治工作信息系统内容有关数据的同步更新。</w:t>
            </w:r>
          </w:p>
          <w:p w14:paraId="6E636D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5、按照采购人要求对信息系统内的业务字段作出调整，并对调整涉及的有关信息项的历史数据进行批量清洗。</w:t>
            </w:r>
          </w:p>
        </w:tc>
      </w:tr>
      <w:tr w14:paraId="241C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6133D9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C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302C7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5ED2DC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11E02A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1E29CD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20B69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24BA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27F9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C-1</w:t>
            </w:r>
          </w:p>
        </w:tc>
        <w:tc>
          <w:tcPr>
            <w:tcW w:w="1125" w:type="dxa"/>
            <w:vAlign w:val="center"/>
          </w:tcPr>
          <w:p w14:paraId="131554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C 单位</w:t>
            </w:r>
          </w:p>
        </w:tc>
        <w:tc>
          <w:tcPr>
            <w:tcW w:w="1737" w:type="dxa"/>
            <w:vAlign w:val="center"/>
          </w:tcPr>
          <w:p w14:paraId="5200F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C-1</w:t>
            </w:r>
            <w:r>
              <w:rPr>
                <w:rFonts w:hint="eastAsia" w:ascii="宋体" w:hAnsi="宋体" w:eastAsia="宋体" w:cs="宋体"/>
                <w:color w:val="000000" w:themeColor="text1"/>
                <w:kern w:val="2"/>
                <w:sz w:val="21"/>
                <w:szCs w:val="21"/>
                <w:highlight w:val="none"/>
                <w14:textFill>
                  <w14:solidFill>
                    <w14:schemeClr w14:val="tx1"/>
                  </w14:solidFill>
                </w14:textFill>
              </w:rPr>
              <w:t>平台</w:t>
            </w:r>
          </w:p>
        </w:tc>
        <w:tc>
          <w:tcPr>
            <w:tcW w:w="5449" w:type="dxa"/>
            <w:vAlign w:val="center"/>
          </w:tcPr>
          <w:p w14:paraId="1F9A19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提供广西公安智慧政工平台的运维工作。</w:t>
            </w:r>
          </w:p>
        </w:tc>
      </w:tr>
      <w:tr w14:paraId="71731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366870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D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2F74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D2411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1023F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230546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0627E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1E30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3135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D-1</w:t>
            </w:r>
          </w:p>
        </w:tc>
        <w:tc>
          <w:tcPr>
            <w:tcW w:w="1125" w:type="dxa"/>
            <w:vAlign w:val="center"/>
          </w:tcPr>
          <w:p w14:paraId="79406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D 单位</w:t>
            </w:r>
          </w:p>
        </w:tc>
        <w:tc>
          <w:tcPr>
            <w:tcW w:w="1737" w:type="dxa"/>
            <w:vAlign w:val="center"/>
          </w:tcPr>
          <w:p w14:paraId="541D94D2">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D-1</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7FCC9361">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一、服务范围</w:t>
            </w:r>
          </w:p>
          <w:p w14:paraId="4F0DBCEB">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括NC集中财务管理支撑平台、统一会计核算体系、预算管理系统、公安厅本级（含交警总队和高速公路管理支队）16个核算账套、网上报账管理系统，厅资产管理及核算系统、数据查询分析平台、数据接口、河池市公安局财务集中核算账套，以及在NC标准产品基础上通过二次开发实现的功能和账表。</w:t>
            </w:r>
          </w:p>
          <w:p w14:paraId="63B453EF">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二、服务内容</w:t>
            </w:r>
          </w:p>
          <w:p w14:paraId="78962B72">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下载原厂提供的当前版本适用的补丁包并测试和部署，解决因产品BU</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w:t>
            </w:r>
            <w:r>
              <w:rPr>
                <w:rFonts w:hint="eastAsia" w:ascii="宋体" w:hAnsi="宋体" w:eastAsia="宋体" w:cs="宋体"/>
                <w:color w:val="000000" w:themeColor="text1"/>
                <w:kern w:val="0"/>
                <w:sz w:val="21"/>
                <w:szCs w:val="21"/>
                <w:highlight w:val="none"/>
                <w14:textFill>
                  <w14:solidFill>
                    <w14:schemeClr w14:val="tx1"/>
                  </w14:solidFill>
                </w14:textFill>
              </w:rPr>
              <w:t>产生的问题或者对应用进行改进。</w:t>
            </w:r>
          </w:p>
          <w:p w14:paraId="225B0247">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提供7*10小时（周一到周日，8:30—19:00，法定节假日除外）原厂人工热线电话支持服务，提供客户问题解决进展状态告知服务。</w:t>
            </w:r>
          </w:p>
          <w:p w14:paraId="47166852">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现场保障服务：对软件产品的故障现场分析、诊断和排除；现场业务数据核对与排查；定期现场服务，如月结、年结、数据结转等，要求提供及时到位的现场服务。</w:t>
            </w:r>
          </w:p>
          <w:p w14:paraId="6377F05E">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系统管理远程托管服务：协助对系统用户、人员权限角色调整，打印模版设置、基础档案维护。</w:t>
            </w:r>
          </w:p>
        </w:tc>
      </w:tr>
      <w:tr w14:paraId="6941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B7897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D-2</w:t>
            </w:r>
          </w:p>
        </w:tc>
        <w:tc>
          <w:tcPr>
            <w:tcW w:w="1125" w:type="dxa"/>
            <w:vAlign w:val="center"/>
          </w:tcPr>
          <w:p w14:paraId="1E600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D 单位</w:t>
            </w:r>
          </w:p>
        </w:tc>
        <w:tc>
          <w:tcPr>
            <w:tcW w:w="1737" w:type="dxa"/>
            <w:vAlign w:val="center"/>
          </w:tcPr>
          <w:p w14:paraId="4226C1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D-2</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47028C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1、提供应用咨询与答疑；</w:t>
            </w:r>
          </w:p>
          <w:p w14:paraId="17B02E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2、提供故障申告与修复；</w:t>
            </w:r>
          </w:p>
          <w:p w14:paraId="233F63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3、提供上门支持辅助；</w:t>
            </w:r>
          </w:p>
          <w:p w14:paraId="6A3D64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4、提供日常系统应用运维服务支持（人员基本信息管理、工资管理、补贴发放、统计分析、移动端、系统后台等）；</w:t>
            </w:r>
          </w:p>
          <w:p w14:paraId="40AECA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5、提供系统培训计划；</w:t>
            </w:r>
          </w:p>
          <w:p w14:paraId="2010F0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6、提供系统服务器维护、定期巡检及诊断。</w:t>
            </w:r>
          </w:p>
        </w:tc>
      </w:tr>
      <w:tr w14:paraId="7725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A02C0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D-3</w:t>
            </w:r>
          </w:p>
        </w:tc>
        <w:tc>
          <w:tcPr>
            <w:tcW w:w="1125" w:type="dxa"/>
            <w:vAlign w:val="center"/>
          </w:tcPr>
          <w:p w14:paraId="6BB0F5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D 单位</w:t>
            </w:r>
          </w:p>
        </w:tc>
        <w:tc>
          <w:tcPr>
            <w:tcW w:w="1737" w:type="dxa"/>
            <w:vAlign w:val="center"/>
          </w:tcPr>
          <w:p w14:paraId="74DB31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D-3</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7FC06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一、日常现场及电话、远程服务：1.通过现场及电话解决系统日常的操作疑问、管理咨询与系统BUG问题。【服务时间：工作日8小时】2.节假日应急响应服务【服务时间：不限次数】</w:t>
            </w:r>
          </w:p>
          <w:p w14:paraId="5ADCE7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二、服务器定期巡检：定期对系统服务器进行巡检，包括：1.对服务器的存储空间检查与释放；2.对系统数据库运行状态的检查与调优；3.对系统中间件的检查与调整；4.对系统文件的检查与调整。</w:t>
            </w:r>
          </w:p>
          <w:p w14:paraId="0D1774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【服务时间：每月1次】</w:t>
            </w:r>
          </w:p>
          <w:p w14:paraId="581815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三、系统数据备份：定期对系统数据进行备份，包括：1.对系统文件的备份；2.对数据库数据的手动备份与自动备份检查；3.对系统中附件的备份。【服务时间：每月1次，全年12次】</w:t>
            </w:r>
          </w:p>
          <w:p w14:paraId="2F6722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四、系统年度结转：对系统数据进行结转操作并进行结转后的检查，包括：1.对数据的年度结转；2.对业务模块的数据检查；3.对功能配置的检查；4.对后台配置的检查。【服务时间：每年1次】</w:t>
            </w:r>
          </w:p>
          <w:p w14:paraId="60D94C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五、年度数据初始化：对新年度需要初始化的数据进行录入，包括：1.对预算项目的分解录入；2.对预算项目的额度授权；3.对预算项目的额度发布；4.对核算科目的核查调整；5.对经济科目的核查调整；6.对定点供应商的核查调整；7.对采购目录的核查调整；8.对费用标准的核查调整。【服务时间：每年1次】</w:t>
            </w:r>
          </w:p>
          <w:p w14:paraId="5A1C6F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六、系统数据调整：对因单位工作需要发生的大型变动进行数据调整，如因修订制度发生的整体审批流程调整、因组织机构变动发生的大规模人员、部门、权限调整。</w:t>
            </w:r>
          </w:p>
          <w:p w14:paraId="0B7673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【服务时间：2年】</w:t>
            </w:r>
          </w:p>
          <w:p w14:paraId="088403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七、系统更新升级：对系统定期进行更新，并对更新后的数据进行功能、数据的检测以及更新后新增内容的实施配置，包括：1.系统定期更新包的上传；2.更新后业务模块的功能和数据检查；3.更新后功能配置的功能和数据检查；4.更新后投胎配置的功能和数据检查；5.更新后新功能的实施配置。【服务时间：每月1次】</w:t>
            </w:r>
          </w:p>
          <w:p w14:paraId="16C010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八、系统操作培训：对使用系统人员进行操作培训，包括：1.对经办人（新进人员）的系统操作培训【不限次数】；2.对审批人的系统操作培训【不限次数】；【服务时间：由单位确定】</w:t>
            </w:r>
          </w:p>
          <w:p w14:paraId="239ED1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九、运行维护年报：据全年运行维护情况，出具系统运行维护年报，包括：1.本年运维内容以及重点内容说明；2.本年完成需求及重点需求说明；3.本年未完成内容与不足说明；4.下年度管理优化建议；5.下年度运维计划。</w:t>
            </w:r>
          </w:p>
          <w:p w14:paraId="469ED8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【服务时间：每年一次，运维年底提供】</w:t>
            </w:r>
          </w:p>
          <w:p w14:paraId="1C6FAF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十、其他数据提供：对于单位提出的一些数据查看要求，进行数据导出与整理；为单位内控自评提供相关数据。【服务时间：由单位确定】</w:t>
            </w:r>
          </w:p>
        </w:tc>
      </w:tr>
      <w:tr w14:paraId="0EFBB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95946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D-4</w:t>
            </w:r>
          </w:p>
        </w:tc>
        <w:tc>
          <w:tcPr>
            <w:tcW w:w="1125" w:type="dxa"/>
            <w:vAlign w:val="center"/>
          </w:tcPr>
          <w:p w14:paraId="1B6FE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D 单位</w:t>
            </w:r>
          </w:p>
        </w:tc>
        <w:tc>
          <w:tcPr>
            <w:tcW w:w="1737" w:type="dxa"/>
            <w:vAlign w:val="center"/>
          </w:tcPr>
          <w:p w14:paraId="6DC230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D-4</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1B94CE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1、提供日常维护服务：定时巡检、分析日志及报警信息、检查网络状况，每日备份业务数据、每月检查数据库健康及清理冗余数据、加密敏感数据并严格控制访问权限等；</w:t>
            </w:r>
          </w:p>
          <w:p w14:paraId="164F54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2、提供系统故障解决服务：应用程序错误、操作系统故障、数据库问题、网络故障等；</w:t>
            </w:r>
          </w:p>
          <w:p w14:paraId="55D196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3、提供系统升级与更新服务：依据本地业务需求持续优化功能，确保系统兼具稳定性、安全性与业务适应性；</w:t>
            </w:r>
          </w:p>
          <w:p w14:paraId="335A9D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4.提供系统优化服务：依业务发展与用户反馈开发新功能，确保系统灵活适配执法工作演进；</w:t>
            </w:r>
          </w:p>
          <w:p w14:paraId="6F5CF3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5.提供安全运维管理服务：构建严密的安全防护体系、实时监测与应急响应机制，以及定期全面的安全审计与风险评估；</w:t>
            </w:r>
          </w:p>
          <w:p w14:paraId="66DE35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6.提供性能调优服务：深入分析系统性能瓶颈，精准实施软件配置优化、数据库查询优化及缓存机制应用等策略；</w:t>
            </w:r>
          </w:p>
          <w:p w14:paraId="3BCD8D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7.提供问题解答反馈服务：接收采购人反馈的问题并进行解答，协助采购人高效使用系统；</w:t>
            </w:r>
          </w:p>
          <w:p w14:paraId="7944B9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8.提供数据结果统计服务：根据采购人需求后台编写SQL语句汇总统计平台各项数据的使用情况、反馈数据等工作；</w:t>
            </w:r>
          </w:p>
          <w:p w14:paraId="411238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9.其他运维服务：用户培训、第三方系统对接等工作。</w:t>
            </w:r>
          </w:p>
        </w:tc>
      </w:tr>
      <w:tr w14:paraId="2450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4C45D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E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4E26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A6EC1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602B0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5BAC8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59BBE0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6891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EC0A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E-1</w:t>
            </w:r>
          </w:p>
        </w:tc>
        <w:tc>
          <w:tcPr>
            <w:tcW w:w="1125" w:type="dxa"/>
            <w:vAlign w:val="center"/>
          </w:tcPr>
          <w:p w14:paraId="23A20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E 单位</w:t>
            </w:r>
          </w:p>
        </w:tc>
        <w:tc>
          <w:tcPr>
            <w:tcW w:w="1737" w:type="dxa"/>
            <w:vAlign w:val="center"/>
          </w:tcPr>
          <w:p w14:paraId="5F203D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E-1</w:t>
            </w:r>
            <w:r>
              <w:rPr>
                <w:rFonts w:hint="eastAsia" w:ascii="宋体" w:hAnsi="宋体" w:eastAsia="宋体" w:cs="宋体"/>
                <w:color w:val="000000" w:themeColor="text1"/>
                <w:kern w:val="0"/>
                <w:sz w:val="21"/>
                <w:szCs w:val="21"/>
                <w:highlight w:val="none"/>
                <w14:textFill>
                  <w14:solidFill>
                    <w14:schemeClr w14:val="tx1"/>
                  </w14:solidFill>
                </w14:textFill>
              </w:rPr>
              <w:t>平台</w:t>
            </w:r>
          </w:p>
        </w:tc>
        <w:tc>
          <w:tcPr>
            <w:tcW w:w="5449" w:type="dxa"/>
            <w:vAlign w:val="center"/>
          </w:tcPr>
          <w:p w14:paraId="3891E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1、提供日常维护、系统巡检、缺陷管理、故障处置、应急保障常规的运维服务；</w:t>
            </w:r>
          </w:p>
          <w:p w14:paraId="0F27E3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2、提供12110手机定位、短信报警与全区三台合一对接接口维护服务；</w:t>
            </w:r>
          </w:p>
          <w:p w14:paraId="4926A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3、提供12110短信报警平台的网络维护服务；</w:t>
            </w:r>
          </w:p>
          <w:p w14:paraId="6D8F2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4、提供市（县）12110报警短信分流、跟踪服务；</w:t>
            </w:r>
          </w:p>
          <w:p w14:paraId="7F5F1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5、提供数据维护服务：定期对数据备份、数据恢复、提供个性化的查询统计服务；</w:t>
            </w:r>
          </w:p>
          <w:p w14:paraId="0232CE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6、提供年、季、月、周12110短信报警数据统计报表。</w:t>
            </w:r>
          </w:p>
        </w:tc>
      </w:tr>
      <w:tr w14:paraId="69230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E919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E-2</w:t>
            </w:r>
          </w:p>
        </w:tc>
        <w:tc>
          <w:tcPr>
            <w:tcW w:w="1125" w:type="dxa"/>
            <w:vAlign w:val="center"/>
          </w:tcPr>
          <w:p w14:paraId="128B8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E 单位</w:t>
            </w:r>
          </w:p>
        </w:tc>
        <w:tc>
          <w:tcPr>
            <w:tcW w:w="1737" w:type="dxa"/>
            <w:vAlign w:val="center"/>
          </w:tcPr>
          <w:p w14:paraId="3D1E17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E-2</w:t>
            </w:r>
            <w:r>
              <w:rPr>
                <w:rFonts w:hint="eastAsia" w:ascii="宋体" w:hAnsi="宋体" w:eastAsia="宋体" w:cs="宋体"/>
                <w:color w:val="000000" w:themeColor="text1"/>
                <w:kern w:val="2"/>
                <w:sz w:val="21"/>
                <w:szCs w:val="21"/>
                <w:highlight w:val="none"/>
                <w14:textFill>
                  <w14:solidFill>
                    <w14:schemeClr w14:val="tx1"/>
                  </w14:solidFill>
                </w14:textFill>
              </w:rPr>
              <w:t>平台</w:t>
            </w:r>
          </w:p>
        </w:tc>
        <w:tc>
          <w:tcPr>
            <w:tcW w:w="5449" w:type="dxa"/>
            <w:vAlign w:val="center"/>
          </w:tcPr>
          <w:p w14:paraId="70D574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1、提供日常维护、系统巡检、缺陷管理、故障处置、应急保障常规的运维服务；</w:t>
            </w:r>
          </w:p>
          <w:p w14:paraId="6604F0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2、提供实时监控服务：实时监控广西各地市汇总服务器连接是否正常，异常情况及时通报；</w:t>
            </w:r>
          </w:p>
          <w:p w14:paraId="5CC06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3、提供数据维护服务：每周检查数据是否正常推送警综、异常情况及时通报；提供年、季、月、周全区各类数据给指挥中心、定制各类数据给指挥中心、定制各类统计数据、提供手动补抽数据；</w:t>
            </w:r>
          </w:p>
          <w:p w14:paraId="19DC3F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4、提供指标考核技术支持；</w:t>
            </w:r>
          </w:p>
          <w:p w14:paraId="5BBB61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5、提供接口维护服务。</w:t>
            </w:r>
          </w:p>
        </w:tc>
      </w:tr>
      <w:tr w14:paraId="5184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DE3E8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E-3</w:t>
            </w:r>
          </w:p>
        </w:tc>
        <w:tc>
          <w:tcPr>
            <w:tcW w:w="1125" w:type="dxa"/>
            <w:vAlign w:val="center"/>
          </w:tcPr>
          <w:p w14:paraId="0B1E8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E 单位</w:t>
            </w:r>
          </w:p>
        </w:tc>
        <w:tc>
          <w:tcPr>
            <w:tcW w:w="1737" w:type="dxa"/>
            <w:vAlign w:val="center"/>
          </w:tcPr>
          <w:p w14:paraId="0C2ADB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E-3</w:t>
            </w:r>
            <w:r>
              <w:rPr>
                <w:rFonts w:hint="eastAsia" w:ascii="宋体" w:hAnsi="宋体" w:eastAsia="宋体" w:cs="宋体"/>
                <w:color w:val="000000" w:themeColor="text1"/>
                <w:kern w:val="2"/>
                <w:sz w:val="21"/>
                <w:szCs w:val="21"/>
                <w:highlight w:val="none"/>
                <w14:textFill>
                  <w14:solidFill>
                    <w14:schemeClr w14:val="tx1"/>
                  </w14:solidFill>
                </w14:textFill>
              </w:rPr>
              <w:t>平台</w:t>
            </w:r>
          </w:p>
        </w:tc>
        <w:tc>
          <w:tcPr>
            <w:tcW w:w="5449" w:type="dxa"/>
            <w:vAlign w:val="center"/>
          </w:tcPr>
          <w:p w14:paraId="0B69DE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1、提供日常维护、系统巡检、缺陷管理、故障处置、应急报障常规的运维服务；</w:t>
            </w:r>
          </w:p>
          <w:p w14:paraId="10C56C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2、提供DS300排队机故障处理服务；</w:t>
            </w:r>
          </w:p>
          <w:p w14:paraId="7C4B08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3、提供录音服务器、传真服务器故障处理服务；</w:t>
            </w:r>
          </w:p>
          <w:p w14:paraId="058781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4、提供系统优化服务：调度台升级改造及个性化定制服务、门户网站优化、值班管理系统优化服务；</w:t>
            </w:r>
          </w:p>
          <w:p w14:paraId="467A1A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5、提供地图台的日常维护服务；</w:t>
            </w:r>
          </w:p>
          <w:p w14:paraId="597B16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6、提供基础数据维护服务；</w:t>
            </w:r>
          </w:p>
          <w:p w14:paraId="0C7268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7、提供接口维护服务：110手机定位接口提供维护支持。</w:t>
            </w:r>
          </w:p>
        </w:tc>
      </w:tr>
      <w:tr w14:paraId="5B1D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18DE2C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F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2B11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84B8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56C02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0F6331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538EC4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7844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0D94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F-1</w:t>
            </w:r>
          </w:p>
        </w:tc>
        <w:tc>
          <w:tcPr>
            <w:tcW w:w="1125" w:type="dxa"/>
            <w:vAlign w:val="center"/>
          </w:tcPr>
          <w:p w14:paraId="149F7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F 单位</w:t>
            </w:r>
          </w:p>
        </w:tc>
        <w:tc>
          <w:tcPr>
            <w:tcW w:w="1737" w:type="dxa"/>
            <w:vAlign w:val="center"/>
          </w:tcPr>
          <w:p w14:paraId="02688F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F-1</w:t>
            </w:r>
            <w:r>
              <w:rPr>
                <w:rFonts w:hint="eastAsia" w:ascii="宋体" w:hAnsi="宋体" w:eastAsia="宋体" w:cs="宋体"/>
                <w:color w:val="000000" w:themeColor="text1"/>
                <w:kern w:val="2"/>
                <w:sz w:val="21"/>
                <w:szCs w:val="21"/>
                <w:highlight w:val="none"/>
                <w14:textFill>
                  <w14:solidFill>
                    <w14:schemeClr w14:val="tx1"/>
                  </w14:solidFill>
                </w14:textFill>
              </w:rPr>
              <w:t>系统</w:t>
            </w:r>
          </w:p>
        </w:tc>
        <w:tc>
          <w:tcPr>
            <w:tcW w:w="5449" w:type="dxa"/>
            <w:vAlign w:val="center"/>
          </w:tcPr>
          <w:p w14:paraId="2ED210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1、提供日常维护、系统巡检、缺陷管理、故障处置、应急报障常规的运维服务；</w:t>
            </w:r>
          </w:p>
          <w:p w14:paraId="6AE52B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2、开展视频督察系统维护以及接入各地市视频平台视频工作，保障厅、市两级视频接口正常；</w:t>
            </w:r>
          </w:p>
          <w:p w14:paraId="7A5E0C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3、配合采购单位按照公安部要求开展专项数字督察工作，每年配合进行数据对接以及数据建模工作；</w:t>
            </w:r>
          </w:p>
          <w:p w14:paraId="5AC28A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4、配合指导全区各地市开展数字督察建模工作，定期开展培训相关工作；</w:t>
            </w:r>
          </w:p>
          <w:p w14:paraId="43E65F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5、提供勤务保障服务：在运维服务期内，提供重大活动安保、重大事件处置、重大案件侦办、重大专项行动等值班备勤服务。</w:t>
            </w:r>
          </w:p>
          <w:p w14:paraId="5DD319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6、负责维护工作的公司要保证对所有系统资料和数据负有保密的责任和义务，未经用户许可，不允许向第三方透露。</w:t>
            </w:r>
          </w:p>
        </w:tc>
      </w:tr>
      <w:tr w14:paraId="4FD8E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75" w:type="dxa"/>
            <w:vAlign w:val="center"/>
          </w:tcPr>
          <w:p w14:paraId="1FE7B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F-2</w:t>
            </w:r>
          </w:p>
        </w:tc>
        <w:tc>
          <w:tcPr>
            <w:tcW w:w="1125" w:type="dxa"/>
            <w:vAlign w:val="center"/>
          </w:tcPr>
          <w:p w14:paraId="40A238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F 单位</w:t>
            </w:r>
          </w:p>
        </w:tc>
        <w:tc>
          <w:tcPr>
            <w:tcW w:w="1737" w:type="dxa"/>
            <w:vAlign w:val="center"/>
          </w:tcPr>
          <w:p w14:paraId="7062FF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14:textFill>
                  <w14:solidFill>
                    <w14:schemeClr w14:val="tx1"/>
                  </w14:solidFill>
                </w14:textFill>
              </w:rPr>
              <w:t>F-2</w:t>
            </w:r>
            <w:r>
              <w:rPr>
                <w:rFonts w:hint="eastAsia" w:ascii="宋体" w:hAnsi="宋体" w:eastAsia="宋体" w:cs="宋体"/>
                <w:b w:val="0"/>
                <w:bCs/>
                <w:color w:val="000000" w:themeColor="text1"/>
                <w:kern w:val="0"/>
                <w:sz w:val="21"/>
                <w:szCs w:val="21"/>
                <w:highlight w:val="none"/>
                <w14:textFill>
                  <w14:solidFill>
                    <w14:schemeClr w14:val="tx1"/>
                  </w14:solidFill>
                </w14:textFill>
              </w:rPr>
              <w:t>系统</w:t>
            </w:r>
          </w:p>
        </w:tc>
        <w:tc>
          <w:tcPr>
            <w:tcW w:w="5449" w:type="dxa"/>
            <w:vAlign w:val="center"/>
          </w:tcPr>
          <w:p w14:paraId="3D9A5B86">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1、核心数据服务：按照新会计法要求，针对被审计单位财务软件版本型号、财务数据类型进行核心财务数据处理，确保数据抽取及审计数据还原的真实可靠，并将每次数据抽取校验作为升级包对</w:t>
            </w:r>
            <w:r>
              <w:rPr>
                <w:rFonts w:hint="eastAsia" w:ascii="宋体" w:hAnsi="宋体" w:cs="宋体"/>
                <w:color w:val="000000" w:themeColor="text1"/>
                <w:kern w:val="0"/>
                <w:sz w:val="21"/>
                <w:szCs w:val="21"/>
                <w:highlight w:val="none"/>
                <w:lang w:eastAsia="zh-CN"/>
                <w14:textFill>
                  <w14:solidFill>
                    <w14:schemeClr w14:val="tx1"/>
                  </w14:solidFill>
                </w14:textFill>
              </w:rPr>
              <w:t>本</w:t>
            </w:r>
            <w:r>
              <w:rPr>
                <w:rFonts w:hint="eastAsia" w:ascii="宋体" w:hAnsi="宋体" w:eastAsia="宋体" w:cs="宋体"/>
                <w:color w:val="000000" w:themeColor="text1"/>
                <w:kern w:val="0"/>
                <w:sz w:val="21"/>
                <w:szCs w:val="21"/>
                <w:highlight w:val="none"/>
                <w14:textFill>
                  <w14:solidFill>
                    <w14:schemeClr w14:val="tx1"/>
                  </w14:solidFill>
                </w14:textFill>
              </w:rPr>
              <w:t>系统进行升级。</w:t>
            </w:r>
          </w:p>
          <w:p w14:paraId="70A0F169">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2、常规服务：落实专人驻点协助</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解决在公安审计现场取证系统正常使用过程中碰到的问题；受理</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系统使用过程提出的需求，并给予回复。</w:t>
            </w:r>
          </w:p>
          <w:p w14:paraId="0C894FB5">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3、数据调试：针对</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在使用过程中碰到的数据故障进行调试、检测和修；协助</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完成定期数据备份；协助完成由于</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系统发生灾难时导致数据丢失的数据恢复工作。</w:t>
            </w:r>
          </w:p>
          <w:p w14:paraId="26A0E116">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4、版本升级：根据需要为</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提供升级产品，协助</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进行软件版本升级，确保取数还原工具能及时适应全区公安被审计单位的财务软件升级及更换情况。</w:t>
            </w:r>
          </w:p>
        </w:tc>
      </w:tr>
      <w:tr w14:paraId="3C1B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CDF62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F-3</w:t>
            </w:r>
          </w:p>
        </w:tc>
        <w:tc>
          <w:tcPr>
            <w:tcW w:w="1125" w:type="dxa"/>
            <w:vAlign w:val="center"/>
          </w:tcPr>
          <w:p w14:paraId="44AA2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F 单位</w:t>
            </w:r>
          </w:p>
        </w:tc>
        <w:tc>
          <w:tcPr>
            <w:tcW w:w="1737" w:type="dxa"/>
            <w:vAlign w:val="center"/>
          </w:tcPr>
          <w:p w14:paraId="19718E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F-3</w:t>
            </w:r>
            <w:r>
              <w:rPr>
                <w:rFonts w:hint="eastAsia" w:ascii="宋体" w:hAnsi="宋体" w:eastAsia="宋体" w:cs="宋体"/>
                <w:color w:val="000000" w:themeColor="text1"/>
                <w:kern w:val="2"/>
                <w:sz w:val="21"/>
                <w:szCs w:val="21"/>
                <w:highlight w:val="none"/>
                <w14:textFill>
                  <w14:solidFill>
                    <w14:schemeClr w14:val="tx1"/>
                  </w14:solidFill>
                </w14:textFill>
              </w:rPr>
              <w:t>平台</w:t>
            </w:r>
          </w:p>
        </w:tc>
        <w:tc>
          <w:tcPr>
            <w:tcW w:w="5449" w:type="dxa"/>
            <w:vAlign w:val="top"/>
          </w:tcPr>
          <w:p w14:paraId="420A7132">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1、常规服务：落实专人驻点协助</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14:textFill>
                  <w14:solidFill>
                    <w14:schemeClr w14:val="tx1"/>
                  </w14:solidFill>
                </w14:textFill>
              </w:rPr>
              <w:t>解决在</w:t>
            </w:r>
            <w:r>
              <w:rPr>
                <w:rFonts w:hint="eastAsia" w:ascii="宋体" w:hAnsi="宋体" w:cs="宋体"/>
                <w:color w:val="000000" w:themeColor="text1"/>
                <w:kern w:val="0"/>
                <w:sz w:val="21"/>
                <w:szCs w:val="21"/>
                <w:highlight w:val="none"/>
                <w:lang w:val="en-US" w:eastAsia="zh-CN"/>
                <w14:textFill>
                  <w14:solidFill>
                    <w14:schemeClr w14:val="tx1"/>
                  </w14:solidFill>
                </w14:textFill>
              </w:rPr>
              <w:t>本</w:t>
            </w:r>
            <w:r>
              <w:rPr>
                <w:rFonts w:hint="eastAsia" w:ascii="宋体" w:hAnsi="宋体" w:eastAsia="宋体" w:cs="宋体"/>
                <w:color w:val="000000" w:themeColor="text1"/>
                <w:kern w:val="0"/>
                <w:sz w:val="21"/>
                <w:szCs w:val="21"/>
                <w:highlight w:val="none"/>
                <w:lang w:val="en-US"/>
                <w14:textFill>
                  <w14:solidFill>
                    <w14:schemeClr w14:val="tx1"/>
                  </w14:solidFill>
                </w14:textFill>
              </w:rPr>
              <w:t>平台正常使用过程中碰到的问题；受理</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14:textFill>
                  <w14:solidFill>
                    <w14:schemeClr w14:val="tx1"/>
                  </w14:solidFill>
                </w14:textFill>
              </w:rPr>
              <w:t>系统使用过程提出的需求，并给予回复。</w:t>
            </w:r>
          </w:p>
          <w:p w14:paraId="7EB44C6B">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2、数据调试：针对</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14:textFill>
                  <w14:solidFill>
                    <w14:schemeClr w14:val="tx1"/>
                  </w14:solidFill>
                </w14:textFill>
              </w:rPr>
              <w:t>在使用过程中碰到的数据故障进行调试、检测和修；协助</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14:textFill>
                  <w14:solidFill>
                    <w14:schemeClr w14:val="tx1"/>
                  </w14:solidFill>
                </w14:textFill>
              </w:rPr>
              <w:t>完成定期数据备份；协助完成由于</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14:textFill>
                  <w14:solidFill>
                    <w14:schemeClr w14:val="tx1"/>
                  </w14:solidFill>
                </w14:textFill>
              </w:rPr>
              <w:t>系统发生灾难时导致数据丢失的数据恢复工作。</w:t>
            </w:r>
          </w:p>
          <w:p w14:paraId="51756D0E">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3、版本升级：根据需要为</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14:textFill>
                  <w14:solidFill>
                    <w14:schemeClr w14:val="tx1"/>
                  </w14:solidFill>
                </w14:textFill>
              </w:rPr>
              <w:t>提供升级产品，协助</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14:textFill>
                  <w14:solidFill>
                    <w14:schemeClr w14:val="tx1"/>
                  </w14:solidFill>
                </w14:textFill>
              </w:rPr>
              <w:t>进行软件版本升级。</w:t>
            </w:r>
          </w:p>
          <w:p w14:paraId="1D2D52E5">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4、升级财务数据接口：根据</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lang w:val="en-US"/>
                <w14:textFill>
                  <w14:solidFill>
                    <w14:schemeClr w14:val="tx1"/>
                  </w14:solidFill>
                </w14:textFill>
              </w:rPr>
              <w:t>业务数据需求，针对财务软件版本型号、财务数据类型进行核心财务数据处理，确保数据抽取及审计数据还原的真实可靠。</w:t>
            </w:r>
          </w:p>
          <w:p w14:paraId="4B7513E2">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14:textFill>
                  <w14:solidFill>
                    <w14:schemeClr w14:val="tx1"/>
                  </w14:solidFill>
                </w14:textFill>
              </w:rPr>
              <w:t>5、完成与全区各市公安局公安审计信息化系统的数据、任务、审计作业等级联对接。</w:t>
            </w:r>
          </w:p>
        </w:tc>
      </w:tr>
      <w:tr w14:paraId="3384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A17B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F-4</w:t>
            </w:r>
          </w:p>
        </w:tc>
        <w:tc>
          <w:tcPr>
            <w:tcW w:w="1125" w:type="dxa"/>
            <w:vAlign w:val="center"/>
          </w:tcPr>
          <w:p w14:paraId="5319FB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F 单位</w:t>
            </w:r>
          </w:p>
        </w:tc>
        <w:tc>
          <w:tcPr>
            <w:tcW w:w="1737" w:type="dxa"/>
            <w:vAlign w:val="center"/>
          </w:tcPr>
          <w:p w14:paraId="3B9F0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F-4服务</w:t>
            </w:r>
          </w:p>
        </w:tc>
        <w:tc>
          <w:tcPr>
            <w:tcW w:w="5449" w:type="dxa"/>
            <w:vAlign w:val="center"/>
          </w:tcPr>
          <w:p w14:paraId="224BB8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1、提供远程运维服务，服务工程师先通过远程方式与客户取得联系，并进行远程技术支持和指导的服务。</w:t>
            </w:r>
          </w:p>
          <w:p w14:paraId="3FA56B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2、提供应急运维服务，针对发生突然、紧急度较高、影响面较大的事件。应急服务一般都是采取现场服务的方式。</w:t>
            </w:r>
          </w:p>
          <w:p w14:paraId="45ECEA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3、提供热线咨询服务，对用户的电话咨询进行统一接入和跟踪处理。</w:t>
            </w:r>
          </w:p>
          <w:p w14:paraId="604F1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4、提供升级运维服务，在维护期内，无偿根据国家政策法规和用户需要相应地修改、完善现有系统，以满足全区的办公要求，因维护或改造需要，</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采购人</w:t>
            </w:r>
            <w:r>
              <w:rPr>
                <w:rFonts w:hint="eastAsia" w:ascii="宋体" w:hAnsi="宋体" w:eastAsia="宋体" w:cs="宋体"/>
                <w:bCs/>
                <w:color w:val="000000" w:themeColor="text1"/>
                <w:kern w:val="2"/>
                <w:sz w:val="21"/>
                <w:szCs w:val="21"/>
                <w:highlight w:val="none"/>
                <w:lang w:val="en-US"/>
                <w14:textFill>
                  <w14:solidFill>
                    <w14:schemeClr w14:val="tx1"/>
                  </w14:solidFill>
                </w14:textFill>
              </w:rPr>
              <w:t>可向维护方提供源代码。</w:t>
            </w:r>
          </w:p>
          <w:p w14:paraId="6B41E0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5、提供现场运维服务，对系统采用远程服务与现场服务相结合的方式：运维公司接到服务申请后，应立即响应，并按用户要求的时间完成。</w:t>
            </w:r>
          </w:p>
          <w:p w14:paraId="6AF0786A">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6、提供定期巡检服务，定期进行系统巡检，确保系统稳定运行。</w:t>
            </w:r>
          </w:p>
        </w:tc>
      </w:tr>
      <w:tr w14:paraId="575C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08A01A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G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65E93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1124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1DAE2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572383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4EDA60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17B2F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74605C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G-1</w:t>
            </w:r>
          </w:p>
        </w:tc>
        <w:tc>
          <w:tcPr>
            <w:tcW w:w="1125" w:type="dxa"/>
            <w:vAlign w:val="center"/>
          </w:tcPr>
          <w:p w14:paraId="2FA0C6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0D1348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G-1</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2F8BD6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651AC3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2、提供系统优化服务：小功能完善，小版本升级；</w:t>
            </w:r>
          </w:p>
          <w:p w14:paraId="6B7BBB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3、提供数据维护服务：新系统接入技术支持、安全日志的整合；</w:t>
            </w:r>
          </w:p>
          <w:p w14:paraId="5A6D30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4、提供服务器维护服务。</w:t>
            </w:r>
          </w:p>
        </w:tc>
      </w:tr>
      <w:tr w14:paraId="6469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6F4ACA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G-2</w:t>
            </w:r>
          </w:p>
        </w:tc>
        <w:tc>
          <w:tcPr>
            <w:tcW w:w="1125" w:type="dxa"/>
            <w:vAlign w:val="center"/>
          </w:tcPr>
          <w:p w14:paraId="7A557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680722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G-2</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35DF91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55B49E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2、提供平台内容发布更新服务；</w:t>
            </w:r>
          </w:p>
          <w:p w14:paraId="0A101C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3、提供内容策划等服务。</w:t>
            </w:r>
          </w:p>
        </w:tc>
      </w:tr>
      <w:tr w14:paraId="515D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3FE1EA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G-3</w:t>
            </w:r>
          </w:p>
        </w:tc>
        <w:tc>
          <w:tcPr>
            <w:tcW w:w="1125" w:type="dxa"/>
            <w:vAlign w:val="center"/>
          </w:tcPr>
          <w:p w14:paraId="07B189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157DB6D3">
            <w:pPr>
              <w:keepNext w:val="0"/>
              <w:keepLines w:val="0"/>
              <w:pageBreakBefore w:val="0"/>
              <w:suppressLineNumbers w:val="0"/>
              <w:tabs>
                <w:tab w:val="left" w:pos="536"/>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G-3</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系统</w:t>
            </w:r>
          </w:p>
        </w:tc>
        <w:tc>
          <w:tcPr>
            <w:tcW w:w="5449" w:type="dxa"/>
            <w:vAlign w:val="center"/>
          </w:tcPr>
          <w:p w14:paraId="379DB0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0BD49C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2、历史异常户籍数据维护：发现异常信息经民警核实，办理人确认后提交运维人员进行数据的后台处理；</w:t>
            </w:r>
          </w:p>
          <w:p w14:paraId="3C0421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3、人口信息各类业务报表、统计、分析维护；</w:t>
            </w:r>
          </w:p>
          <w:p w14:paraId="409AAA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4、地市户籍业务数据上报异常、公安部上报数据质量检测、跨地市迁移数据流转异常、户籍数据备案部系统异常维护；</w:t>
            </w:r>
          </w:p>
          <w:p w14:paraId="6BCF3A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5、对外提供接口查询、人员信息核查等；</w:t>
            </w:r>
          </w:p>
          <w:p w14:paraId="4011A7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6、业务应用层代码优化；</w:t>
            </w:r>
          </w:p>
          <w:p w14:paraId="7876C3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7、身份证信息调度打包维护；</w:t>
            </w:r>
          </w:p>
          <w:p w14:paraId="655B89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8、身份证受理业务数据同步维护、身份证EMS制证数据维护、身份证异常数据处理；</w:t>
            </w:r>
          </w:p>
          <w:p w14:paraId="278926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9、户籍备案、公安部全国人员信息核查广西人员信息接口维护、身份证信息上报公安部系统、一标三实数据汇聚上报公安部系统等维护；</w:t>
            </w:r>
          </w:p>
          <w:p w14:paraId="0B3B44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10、人口业务数据同步维护、短信采集小旅馆信息维护；</w:t>
            </w:r>
          </w:p>
          <w:p w14:paraId="39C5C2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11、数据库表空间监控与维护、应用层运行正常与否监控与维护；</w:t>
            </w:r>
          </w:p>
          <w:p w14:paraId="1D4E1D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12、新增用户信息的维护与授权；</w:t>
            </w:r>
          </w:p>
          <w:p w14:paraId="29AF70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13、每年年统数据的检查与统计；</w:t>
            </w:r>
          </w:p>
          <w:p w14:paraId="7553EB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14、统一地址数据同步维护；</w:t>
            </w:r>
          </w:p>
          <w:p w14:paraId="6DE5EA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15、调用全国人口信息接口维护；</w:t>
            </w:r>
          </w:p>
          <w:p w14:paraId="5A3D47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16、户籍管理业务信息维护试图创建、系统的新需求修改；</w:t>
            </w:r>
          </w:p>
          <w:p w14:paraId="153E8C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17、公安属性调整、行政属性调整；</w:t>
            </w:r>
          </w:p>
          <w:p w14:paraId="4D9C4C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18、临时客户提供外部数据入库与分析、日常临时数据统计等维护内容。</w:t>
            </w:r>
          </w:p>
        </w:tc>
      </w:tr>
      <w:tr w14:paraId="197C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7D119A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G-4</w:t>
            </w:r>
          </w:p>
        </w:tc>
        <w:tc>
          <w:tcPr>
            <w:tcW w:w="1125" w:type="dxa"/>
            <w:vAlign w:val="center"/>
          </w:tcPr>
          <w:p w14:paraId="74232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0A7E79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G-4</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center"/>
          </w:tcPr>
          <w:p w14:paraId="1A5892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0D6560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2、数据抽取整合：通过ETL工具抽取、转化、加载各类数据进入研判数据库中；</w:t>
            </w:r>
          </w:p>
          <w:p w14:paraId="4A829C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3、数据查询配置：根据业务需要不定期增加的数据对象信息，需要通过人工创建标准化视图、创建索引，人工通过综合查询对象配置模块实现数据的对象化管理，供前端界面查询；</w:t>
            </w:r>
          </w:p>
          <w:p w14:paraId="21504E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4、预警数据维护：针对各类统计生成的预警数据，需要定期核对预警数据的总数是否和各单位的实际数据相一致；</w:t>
            </w:r>
          </w:p>
          <w:p w14:paraId="0B8CDC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5、统计报表维护；</w:t>
            </w:r>
          </w:p>
          <w:p w14:paraId="6240F7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6、运行工具维护：每日定时检查统计服务工具、比对工具的运行情况，保证各种工具的正常化运行。</w:t>
            </w:r>
          </w:p>
        </w:tc>
      </w:tr>
      <w:tr w14:paraId="7777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BE06A9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G-5</w:t>
            </w:r>
          </w:p>
        </w:tc>
        <w:tc>
          <w:tcPr>
            <w:tcW w:w="1125" w:type="dxa"/>
            <w:vAlign w:val="center"/>
          </w:tcPr>
          <w:p w14:paraId="376023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4E81DF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G-5</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281C93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7475F5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2、流程办理业务指导；</w:t>
            </w:r>
          </w:p>
          <w:p w14:paraId="54852F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3、数据打包及异常维护；</w:t>
            </w:r>
          </w:p>
          <w:p w14:paraId="7DE251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4、与政务网端居住证办理子系统数据交换接口维护；</w:t>
            </w:r>
          </w:p>
          <w:p w14:paraId="574074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5、与邮政系统数据交换接口维护；</w:t>
            </w:r>
          </w:p>
          <w:p w14:paraId="066955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6、与南宁市流动人口管理系统接口维护；</w:t>
            </w:r>
          </w:p>
          <w:p w14:paraId="1071D0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7、定期培训使用居住证系统，讲解各个模块的使用编成操作手册下发给客户；</w:t>
            </w:r>
          </w:p>
          <w:p w14:paraId="1F80FD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8、居住证公安部报送工具维护：</w:t>
            </w:r>
          </w:p>
          <w:p w14:paraId="61DA25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（1）居住证公安部报送相关报送异常数据修复；</w:t>
            </w:r>
          </w:p>
          <w:p w14:paraId="7BB530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（2）公安部居住信息（省外暂住登记）接收应用及维护；</w:t>
            </w:r>
          </w:p>
          <w:p w14:paraId="4B3E24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（3）居住证与公安部报送工作进展情况对账；</w:t>
            </w:r>
          </w:p>
          <w:p w14:paraId="6F9D30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（4）居住证、居住信息相关业务维护；</w:t>
            </w:r>
          </w:p>
          <w:p w14:paraId="471886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（5）居住证、居住信息相关业务的统计报表的维护；</w:t>
            </w:r>
          </w:p>
          <w:p w14:paraId="7C86A0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（6）居住证打印工具相关维护；</w:t>
            </w:r>
          </w:p>
          <w:p w14:paraId="3D11DA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（7）居住证相关业务的对外服务接口的维护。</w:t>
            </w:r>
          </w:p>
        </w:tc>
      </w:tr>
      <w:tr w14:paraId="7712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F90025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G-6</w:t>
            </w:r>
          </w:p>
        </w:tc>
        <w:tc>
          <w:tcPr>
            <w:tcW w:w="1125" w:type="dxa"/>
            <w:vAlign w:val="center"/>
          </w:tcPr>
          <w:p w14:paraId="199F9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75B030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G-6</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1FF53438">
            <w:pPr>
              <w:keepNext w:val="0"/>
              <w:keepLines w:val="0"/>
              <w:pageBreakBefore w:val="0"/>
              <w:suppressLineNumbers w:val="0"/>
              <w:tabs>
                <w:tab w:val="left" w:pos="674"/>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5BE79774">
            <w:pPr>
              <w:keepNext w:val="0"/>
              <w:keepLines w:val="0"/>
              <w:pageBreakBefore w:val="0"/>
              <w:suppressLineNumbers w:val="0"/>
              <w:tabs>
                <w:tab w:val="left" w:pos="674"/>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2、调度打包异常处理；</w:t>
            </w:r>
          </w:p>
          <w:p w14:paraId="6441A4B4">
            <w:pPr>
              <w:keepNext w:val="0"/>
              <w:keepLines w:val="0"/>
              <w:pageBreakBefore w:val="0"/>
              <w:suppressLineNumbers w:val="0"/>
              <w:tabs>
                <w:tab w:val="left" w:pos="674"/>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3、制证信息合成异常处理；</w:t>
            </w:r>
          </w:p>
          <w:p w14:paraId="362B3E3D">
            <w:pPr>
              <w:keepNext w:val="0"/>
              <w:keepLines w:val="0"/>
              <w:pageBreakBefore w:val="0"/>
              <w:suppressLineNumbers w:val="0"/>
              <w:tabs>
                <w:tab w:val="left" w:pos="674"/>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4、信息上传异常处理；</w:t>
            </w:r>
          </w:p>
          <w:p w14:paraId="0B8E4ED0">
            <w:pPr>
              <w:keepNext w:val="0"/>
              <w:keepLines w:val="0"/>
              <w:pageBreakBefore w:val="0"/>
              <w:suppressLineNumbers w:val="0"/>
              <w:tabs>
                <w:tab w:val="left" w:pos="674"/>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5、质量回馈异常异常处理;</w:t>
            </w:r>
          </w:p>
          <w:p w14:paraId="7CAB3BAC">
            <w:pPr>
              <w:keepNext w:val="0"/>
              <w:keepLines w:val="0"/>
              <w:pageBreakBefore w:val="0"/>
              <w:suppressLineNumbers w:val="0"/>
              <w:tabs>
                <w:tab w:val="left" w:pos="674"/>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6、离线采集异常处理：处理离线采集信息无法导入到系统的问题，并通过升级离线采集客户端，解决采集指纹时无指纹图像显示的问题；</w:t>
            </w:r>
          </w:p>
          <w:p w14:paraId="11156191">
            <w:pPr>
              <w:keepNext w:val="0"/>
              <w:keepLines w:val="0"/>
              <w:pageBreakBefore w:val="0"/>
              <w:suppressLineNumbers w:val="0"/>
              <w:tabs>
                <w:tab w:val="left" w:pos="674"/>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7、证件领取核验异常处理：处理证件核验到达读卡无反应的问题。</w:t>
            </w:r>
          </w:p>
        </w:tc>
      </w:tr>
      <w:tr w14:paraId="59EE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472737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G-7</w:t>
            </w:r>
          </w:p>
        </w:tc>
        <w:tc>
          <w:tcPr>
            <w:tcW w:w="1125" w:type="dxa"/>
            <w:vAlign w:val="center"/>
          </w:tcPr>
          <w:p w14:paraId="0AC0D0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70C751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G-7</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center"/>
          </w:tcPr>
          <w:p w14:paraId="63457C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426977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2、流动人口数据申报异常维护；</w:t>
            </w:r>
          </w:p>
          <w:p w14:paraId="7CC1F1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3、数据同步异常维护；</w:t>
            </w:r>
          </w:p>
          <w:p w14:paraId="59BA8F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4、对安全边界进行巡查；</w:t>
            </w:r>
          </w:p>
          <w:p w14:paraId="443758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5、便民查询类数据更新维护；</w:t>
            </w:r>
          </w:p>
          <w:p w14:paraId="59B807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6、平台异常处置维护；</w:t>
            </w:r>
          </w:p>
          <w:p w14:paraId="1F486A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7、日常临时数据统计；</w:t>
            </w:r>
          </w:p>
          <w:p w14:paraId="574ACE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8、系统的新需求及需求的修改。</w:t>
            </w:r>
          </w:p>
        </w:tc>
      </w:tr>
      <w:tr w14:paraId="4D61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D03E13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G-8</w:t>
            </w:r>
          </w:p>
        </w:tc>
        <w:tc>
          <w:tcPr>
            <w:tcW w:w="1125" w:type="dxa"/>
            <w:vAlign w:val="center"/>
          </w:tcPr>
          <w:p w14:paraId="45CC9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34F579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G-8</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center"/>
          </w:tcPr>
          <w:p w14:paraId="3EE083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439DE6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2、提供系统优化服务：小功能完善，小版本升级；</w:t>
            </w:r>
          </w:p>
          <w:p w14:paraId="655B22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3、提供数据维护服务：新系统接入技术支持、安全日志的整合；</w:t>
            </w:r>
          </w:p>
          <w:p w14:paraId="2FC85A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4、提供服务器维护服务；</w:t>
            </w:r>
          </w:p>
          <w:p w14:paraId="0245CE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5、提供互联网视频存放空间。</w:t>
            </w:r>
          </w:p>
        </w:tc>
      </w:tr>
      <w:tr w14:paraId="12A8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1DB565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G-9</w:t>
            </w:r>
          </w:p>
        </w:tc>
        <w:tc>
          <w:tcPr>
            <w:tcW w:w="1125" w:type="dxa"/>
            <w:vAlign w:val="center"/>
          </w:tcPr>
          <w:p w14:paraId="26CC3C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6A42FE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G-9</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484590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1、提供24小时值守的热线联系电话；维护期内，对于用户的服务请求，必须在1小时内做出响应；对于远程不能解决的问题，必须确保在24小时之内到场解决问题；</w:t>
            </w:r>
          </w:p>
          <w:p w14:paraId="471EE0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2、定期对数据库进行巡检，并进行优化、索引、表分析；</w:t>
            </w:r>
          </w:p>
          <w:p w14:paraId="17C207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w:t>
            </w:r>
            <w:r>
              <w:rPr>
                <w:rFonts w:hint="eastAsia" w:ascii="宋体" w:hAnsi="宋体" w:cs="宋体"/>
                <w:bCs/>
                <w:color w:val="000000" w:themeColor="text1"/>
                <w:kern w:val="2"/>
                <w:sz w:val="21"/>
                <w:szCs w:val="21"/>
                <w:highlight w:val="none"/>
                <w:lang w:val="en-US" w:eastAsia="zh-CN"/>
                <w14:textFill>
                  <w14:solidFill>
                    <w14:schemeClr w14:val="tx1"/>
                  </w14:solidFill>
                </w14:textFill>
              </w:rPr>
              <w:t>DQB</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系统、出入境系统等接口维护；</w:t>
            </w:r>
          </w:p>
          <w:p w14:paraId="13DD52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4、协助采购人进行数据统计，监控全区旅馆业系统使用情况；</w:t>
            </w:r>
          </w:p>
          <w:p w14:paraId="7973EE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5、能够读取含指纹二代证指纹信息，并进行加密存储；</w:t>
            </w:r>
          </w:p>
          <w:p w14:paraId="2BD775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6、实现公安内网特行许可证办理、审批流程；</w:t>
            </w:r>
          </w:p>
          <w:p w14:paraId="5879F2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7、境外人员数据项及代码必须满足采购人相关文件的要求。</w:t>
            </w:r>
          </w:p>
        </w:tc>
      </w:tr>
      <w:tr w14:paraId="4703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0BB7D95">
            <w:pPr>
              <w:keepNext w:val="0"/>
              <w:keepLines w:val="0"/>
              <w:widowControl/>
              <w:suppressLineNumbers w:val="0"/>
              <w:spacing w:before="0" w:beforeAutospacing="0" w:after="0" w:afterAutospacing="0" w:line="340" w:lineRule="exact"/>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G-10</w:t>
            </w:r>
          </w:p>
        </w:tc>
        <w:tc>
          <w:tcPr>
            <w:tcW w:w="1125" w:type="dxa"/>
            <w:vAlign w:val="center"/>
          </w:tcPr>
          <w:p w14:paraId="678807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0D47A2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G-10服务</w:t>
            </w:r>
          </w:p>
        </w:tc>
        <w:tc>
          <w:tcPr>
            <w:tcW w:w="5449" w:type="dxa"/>
            <w:vAlign w:val="center"/>
          </w:tcPr>
          <w:p w14:paraId="35769A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7C36D0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2、提供系统优化服务：根据采购人需求协助进行报表开发、系统对接（涉及接口对接）、系统数据迁移等工作；</w:t>
            </w:r>
          </w:p>
          <w:p w14:paraId="6784C8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3、提供数据维护服务：新系统接入技术支持、安全日志的整合、数据安全管理；</w:t>
            </w:r>
          </w:p>
          <w:p w14:paraId="49C445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4、提供24小时值守的热线联系电话；维护期内，对于用户的服务请求，必须在1小时内做出响应；对于远程不能解决的问题，必须确保在24小时之内到场解决问题。</w:t>
            </w:r>
          </w:p>
        </w:tc>
      </w:tr>
      <w:tr w14:paraId="1FE6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5A9C738">
            <w:pPr>
              <w:keepNext w:val="0"/>
              <w:keepLines w:val="0"/>
              <w:widowControl/>
              <w:suppressLineNumbers w:val="0"/>
              <w:spacing w:before="0" w:beforeAutospacing="0" w:after="0" w:afterAutospacing="0" w:line="340" w:lineRule="exact"/>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1</w:t>
            </w:r>
          </w:p>
        </w:tc>
        <w:tc>
          <w:tcPr>
            <w:tcW w:w="1125" w:type="dxa"/>
            <w:vAlign w:val="center"/>
          </w:tcPr>
          <w:p w14:paraId="405E9E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5F11F1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G-11</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5E2A3C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62F023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2、提供系统优化服务：根据采购人需求协助进行报表开发、系统对接（涉及接口对接）、系统数据迁移等工作；</w:t>
            </w:r>
          </w:p>
          <w:p w14:paraId="56A91B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3、提供数据维护服务：新系统接入技术支持、安全日志的整合、数据安全管理；</w:t>
            </w:r>
          </w:p>
          <w:p w14:paraId="500A33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4、提供24小时值守的热线联系电话；维护期内，对于用户的服务请求，必须在1小时内做出响应；对于远程不能解决的问题，必须确保在24小时之内到场解决问题。</w:t>
            </w:r>
          </w:p>
        </w:tc>
      </w:tr>
      <w:tr w14:paraId="507F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74A19AC">
            <w:pPr>
              <w:keepNext w:val="0"/>
              <w:keepLines w:val="0"/>
              <w:widowControl/>
              <w:suppressLineNumbers w:val="0"/>
              <w:spacing w:before="0" w:beforeAutospacing="0" w:after="0" w:afterAutospacing="0" w:line="340" w:lineRule="exact"/>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G-12</w:t>
            </w:r>
          </w:p>
        </w:tc>
        <w:tc>
          <w:tcPr>
            <w:tcW w:w="1125" w:type="dxa"/>
            <w:vAlign w:val="center"/>
          </w:tcPr>
          <w:p w14:paraId="0A3849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5D9341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G-12</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1DFDC7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0E1D4D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2、提供系统优化服务：根据采购人需求协助进行报表开发、系统对接（涉及接口对接）、系统数据迁移等工作；</w:t>
            </w:r>
          </w:p>
          <w:p w14:paraId="18CE8B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3、提供数据维护服务：新系统接入技术支持、安全日志的整合、数据安全管理；</w:t>
            </w:r>
          </w:p>
          <w:p w14:paraId="4C4FBC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4、提供24小时值守的热线联系电话；维护期内，对于用户的服务请求，必须在1小时内做出响应；对于远程不能解决的问题，必须确保在24小时之内到场解决问题。</w:t>
            </w:r>
          </w:p>
        </w:tc>
      </w:tr>
      <w:tr w14:paraId="329E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F93EFA6">
            <w:pPr>
              <w:keepNext w:val="0"/>
              <w:keepLines w:val="0"/>
              <w:widowControl/>
              <w:suppressLineNumbers w:val="0"/>
              <w:spacing w:before="0" w:beforeAutospacing="0" w:after="0" w:afterAutospacing="0" w:line="340" w:lineRule="exact"/>
              <w:ind w:left="0" w:leftChars="0" w:right="0" w:rightChars="0"/>
              <w:jc w:val="center"/>
              <w:textAlignment w:val="cente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G-13</w:t>
            </w:r>
          </w:p>
        </w:tc>
        <w:tc>
          <w:tcPr>
            <w:tcW w:w="1125" w:type="dxa"/>
            <w:vAlign w:val="center"/>
          </w:tcPr>
          <w:p w14:paraId="71BB3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6CB267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G-13</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05BE1D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0F486E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2、提供系统优化服务：根据采购人需求协助进行报表开发、系统对接（涉及接口对接）、系统数据迁移等工作；</w:t>
            </w:r>
          </w:p>
          <w:p w14:paraId="1D6D7E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3、提供数据维护服务：新系统接入技术支持、安全日志的整合、数据安全管理；</w:t>
            </w:r>
          </w:p>
          <w:p w14:paraId="049329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4、提供24小时值守的热线联系电话；维护期内，对于用户的服务请求，必须在1小时内做出响应；对于远程不能解决的问题，必须确保在24小时之内到场解决问题。</w:t>
            </w:r>
          </w:p>
        </w:tc>
      </w:tr>
      <w:tr w14:paraId="56EB8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1B6F39C">
            <w:pPr>
              <w:keepNext w:val="0"/>
              <w:keepLines w:val="0"/>
              <w:widowControl/>
              <w:suppressLineNumbers w:val="0"/>
              <w:spacing w:before="0" w:beforeAutospacing="0" w:after="0" w:afterAutospacing="0" w:line="340" w:lineRule="exact"/>
              <w:ind w:left="0" w:leftChars="0" w:right="0" w:rightChars="0"/>
              <w:jc w:val="center"/>
              <w:textAlignment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w:t>
            </w: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4</w:t>
            </w:r>
          </w:p>
        </w:tc>
        <w:tc>
          <w:tcPr>
            <w:tcW w:w="1125" w:type="dxa"/>
            <w:vAlign w:val="center"/>
          </w:tcPr>
          <w:p w14:paraId="69B40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6D99E9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G-14</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74E672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0817FA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2、提供系统优化服务：根据采购人需求协助进行报表开发、系统对接（涉及接口对接）、系统数据迁移等工作；</w:t>
            </w:r>
          </w:p>
          <w:p w14:paraId="403032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3、提供数据维护服务：新系统接入技术支持、安全日志的整合、数据安全管理；</w:t>
            </w:r>
          </w:p>
          <w:p w14:paraId="79E626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4、提供24小时值守的热线联系电话；维护期内，对于用户的服务请求，必须在1小时内做出响应；对于远程不能解决的问题，必须确保在24小时之内到场解决问题。</w:t>
            </w:r>
          </w:p>
        </w:tc>
      </w:tr>
      <w:tr w14:paraId="71780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47BCC8B">
            <w:pPr>
              <w:keepNext w:val="0"/>
              <w:keepLines w:val="0"/>
              <w:widowControl/>
              <w:suppressLineNumbers w:val="0"/>
              <w:spacing w:before="0" w:beforeAutospacing="0" w:after="0" w:afterAutospacing="0" w:line="340" w:lineRule="exact"/>
              <w:ind w:left="0" w:leftChars="0" w:right="0" w:rightChars="0"/>
              <w:jc w:val="center"/>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G-15</w:t>
            </w:r>
          </w:p>
        </w:tc>
        <w:tc>
          <w:tcPr>
            <w:tcW w:w="1125" w:type="dxa"/>
            <w:vAlign w:val="center"/>
          </w:tcPr>
          <w:p w14:paraId="4853A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3B5907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G-15</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4D7867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74D9E0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2、提供系统优化服务：根据采购人需求协助进行报表开发、系统对接（涉及接口对接）、系统数据迁移等工作；</w:t>
            </w:r>
          </w:p>
          <w:p w14:paraId="5A88CF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3、提供数据维护服务：新系统接入技术支持、安全日志的整合、数据安全管理；</w:t>
            </w:r>
          </w:p>
          <w:p w14:paraId="23FD6E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4、提供24小时值守的热线联系电话；维护期内，对于用户的服务请求，必须在1小时内做出响应；对于远程不能解决的问题，必须确保在24小时之内到场解决问题。</w:t>
            </w:r>
          </w:p>
        </w:tc>
      </w:tr>
      <w:tr w14:paraId="6DAB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3C51454">
            <w:pPr>
              <w:keepNext w:val="0"/>
              <w:keepLines w:val="0"/>
              <w:widowControl/>
              <w:suppressLineNumbers w:val="0"/>
              <w:spacing w:before="0" w:beforeAutospacing="0" w:after="0" w:afterAutospacing="0" w:line="340" w:lineRule="exact"/>
              <w:ind w:left="0" w:leftChars="0" w:right="0" w:rightChars="0"/>
              <w:jc w:val="center"/>
              <w:rPr>
                <w:rFonts w:hint="default"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G-16</w:t>
            </w:r>
          </w:p>
        </w:tc>
        <w:tc>
          <w:tcPr>
            <w:tcW w:w="1125" w:type="dxa"/>
            <w:vAlign w:val="center"/>
          </w:tcPr>
          <w:p w14:paraId="18F179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G 单位</w:t>
            </w:r>
          </w:p>
        </w:tc>
        <w:tc>
          <w:tcPr>
            <w:tcW w:w="1737" w:type="dxa"/>
            <w:vAlign w:val="center"/>
          </w:tcPr>
          <w:p w14:paraId="1AA654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G-16</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576A27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1、提供日常维护、系统巡检、缺陷管理、故障处置、应急报障常规的运维服务；</w:t>
            </w:r>
          </w:p>
          <w:p w14:paraId="70B3D4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2、提供系统优化服务：根据采购人需求协助进行报表开发、系统对接（涉及接口对接）、系统数据迁移等工作；</w:t>
            </w:r>
          </w:p>
          <w:p w14:paraId="0C2110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3、提供数据维护服务：新系统接入技术支持、安全日志的整合、数据安全管理；</w:t>
            </w:r>
          </w:p>
          <w:p w14:paraId="2671B4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4、提供24小时值守的热线联系电话；维护期内，对于用户的服务请求，必须在1小时内做出响应；对于远程不能解决的问题，必须确保在24小时之内到场解决问题。</w:t>
            </w:r>
          </w:p>
        </w:tc>
      </w:tr>
      <w:tr w14:paraId="3F66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0F020C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H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2262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6DF5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21A20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79EAC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56681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6E164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EFA8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H-1</w:t>
            </w:r>
          </w:p>
        </w:tc>
        <w:tc>
          <w:tcPr>
            <w:tcW w:w="1125" w:type="dxa"/>
            <w:vAlign w:val="center"/>
          </w:tcPr>
          <w:p w14:paraId="4E647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10D30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H-1</w:t>
            </w:r>
            <w:r>
              <w:rPr>
                <w:rFonts w:hint="eastAsia" w:ascii="宋体" w:hAnsi="宋体" w:eastAsia="宋体" w:cs="宋体"/>
                <w:color w:val="000000" w:themeColor="text1"/>
                <w:kern w:val="2"/>
                <w:sz w:val="21"/>
                <w:szCs w:val="21"/>
                <w:highlight w:val="none"/>
                <w14:textFill>
                  <w14:solidFill>
                    <w14:schemeClr w14:val="tx1"/>
                  </w14:solidFill>
                </w14:textFill>
              </w:rPr>
              <w:t>平台</w:t>
            </w:r>
          </w:p>
        </w:tc>
        <w:tc>
          <w:tcPr>
            <w:tcW w:w="5449" w:type="dxa"/>
            <w:vAlign w:val="center"/>
          </w:tcPr>
          <w:p w14:paraId="3402B0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1、提供日常维护、系统巡检、缺陷管理、故障处置、应急保障等常规的运维服务；</w:t>
            </w:r>
          </w:p>
          <w:p w14:paraId="585837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2、提供数据维护服务：定期巡视数据的抽取和清洗结果、手机数据采集；</w:t>
            </w:r>
          </w:p>
          <w:p w14:paraId="228335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3、提供培训服务：一对一的现场技术指导及系统功能的培训指导；</w:t>
            </w:r>
          </w:p>
          <w:p w14:paraId="4020AC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4、提供考核工作技术支持。</w:t>
            </w:r>
          </w:p>
        </w:tc>
      </w:tr>
      <w:tr w14:paraId="7CD1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740F3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H-2</w:t>
            </w:r>
          </w:p>
        </w:tc>
        <w:tc>
          <w:tcPr>
            <w:tcW w:w="1125" w:type="dxa"/>
            <w:vAlign w:val="center"/>
          </w:tcPr>
          <w:p w14:paraId="0E62E3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0056BC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H-2</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5449" w:type="dxa"/>
            <w:vAlign w:val="center"/>
          </w:tcPr>
          <w:p w14:paraId="07B57D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1、现场足迹串并辅助服务：协助用户对串并案进行分类、梳理与整合，且3日内完成。</w:t>
            </w:r>
          </w:p>
          <w:p w14:paraId="60DEFB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2、鞋样查询快速响应服务：基于50万鞋样库资源，提供鞋样查询，由鞋样处理专员直接响应查询请求。</w:t>
            </w:r>
          </w:p>
          <w:p w14:paraId="2A2EE6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3、足迹协查系统应用辅助服务：可协助用户对公安部物证鉴定中心派发的串案或案件线索初筛，或对重要案件在足迹协查系统中查询并建立暂存串案，以及指导用户对足迹协查系统的使用操作。</w:t>
            </w:r>
          </w:p>
        </w:tc>
      </w:tr>
      <w:tr w14:paraId="4818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1513A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H-3</w:t>
            </w:r>
          </w:p>
        </w:tc>
        <w:tc>
          <w:tcPr>
            <w:tcW w:w="1125" w:type="dxa"/>
            <w:vAlign w:val="center"/>
          </w:tcPr>
          <w:p w14:paraId="2029C37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6DE58B7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H-3</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系统</w:t>
            </w:r>
          </w:p>
        </w:tc>
        <w:tc>
          <w:tcPr>
            <w:tcW w:w="5449" w:type="dxa"/>
            <w:vAlign w:val="top"/>
          </w:tcPr>
          <w:p w14:paraId="663EA45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1、各分县局绩效数据统计报表-查询版。</w:t>
            </w:r>
          </w:p>
          <w:p w14:paraId="381E0B6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2、各分县局绩效数统计报表-统计版。</w:t>
            </w:r>
          </w:p>
          <w:p w14:paraId="0F6C3F9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3、地市数据统计报表。</w:t>
            </w:r>
          </w:p>
          <w:p w14:paraId="742BDA3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4、地市数据统计报表(各分县局)。</w:t>
            </w:r>
          </w:p>
          <w:p w14:paraId="7909EE9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5、申请删除勘验信息。</w:t>
            </w:r>
          </w:p>
          <w:p w14:paraId="132D065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6、质量检查。</w:t>
            </w:r>
          </w:p>
          <w:p w14:paraId="16FB672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7、协助统计区内分县局绩效数据并提供核查工具应用。</w:t>
            </w:r>
          </w:p>
          <w:p w14:paraId="220D357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8、协助区厅完成分县局绩效统计关于案件类别列表每月案别的数据分类及汇总。</w:t>
            </w:r>
          </w:p>
          <w:p w14:paraId="71421DD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9、协助区厅完成服务期内针对分县局绩效统计计算条件变更。</w:t>
            </w:r>
          </w:p>
          <w:p w14:paraId="6A8F846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10、实现现勘系统中勘测通未录入查询功能的展示及统计。</w:t>
            </w:r>
          </w:p>
          <w:p w14:paraId="3717048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11、原厂巡查、原厂定期检测及重大警务活动专门保障：</w:t>
            </w:r>
          </w:p>
          <w:p w14:paraId="6F87F96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（1）提供</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名具备资质的技术人员进行原厂巡查或原厂定期现场检测服务，提供4次/年巡查服务和4次/年原厂定期现场检测服务；</w:t>
            </w:r>
          </w:p>
          <w:p w14:paraId="1BF268E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（2）每年提供4人次共10天的重大警务活动支持。</w:t>
            </w:r>
          </w:p>
        </w:tc>
      </w:tr>
      <w:tr w14:paraId="655A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98C5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H-4</w:t>
            </w:r>
          </w:p>
        </w:tc>
        <w:tc>
          <w:tcPr>
            <w:tcW w:w="1125" w:type="dxa"/>
            <w:vAlign w:val="center"/>
          </w:tcPr>
          <w:p w14:paraId="66470AF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3B2BFD7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H-4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系统</w:t>
            </w:r>
          </w:p>
        </w:tc>
        <w:tc>
          <w:tcPr>
            <w:tcW w:w="5449" w:type="dxa"/>
            <w:vAlign w:val="top"/>
          </w:tcPr>
          <w:p w14:paraId="63FCAF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1、开展刑事特情、刑嫌调控、阵地控制等基础业务的管理、分析和应用工作。</w:t>
            </w:r>
          </w:p>
          <w:p w14:paraId="76D2181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2、加入情报线索的收集、管理、应用的实战功能。</w:t>
            </w:r>
          </w:p>
          <w:p w14:paraId="1CB70AE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3、原厂巡查、原厂定期检测及重大警务活动专门保障：</w:t>
            </w:r>
          </w:p>
          <w:p w14:paraId="3F6E381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（1）提供</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名技术人员进行原厂巡查或原厂定期现场检测服务，提供2次/年巡查服务和2次/年原厂定期现场检测服务；</w:t>
            </w:r>
          </w:p>
          <w:p w14:paraId="002B013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（2）每年提供2人次共10天的重大警务活动支持。</w:t>
            </w:r>
          </w:p>
        </w:tc>
      </w:tr>
      <w:tr w14:paraId="0341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52D1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H-5</w:t>
            </w:r>
          </w:p>
        </w:tc>
        <w:tc>
          <w:tcPr>
            <w:tcW w:w="1125" w:type="dxa"/>
            <w:vAlign w:val="center"/>
          </w:tcPr>
          <w:p w14:paraId="6D3EFAB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21B8612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H-5</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系统</w:t>
            </w:r>
          </w:p>
          <w:p w14:paraId="7413E9A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p>
        </w:tc>
        <w:tc>
          <w:tcPr>
            <w:tcW w:w="5449" w:type="dxa"/>
            <w:vAlign w:val="top"/>
          </w:tcPr>
          <w:p w14:paraId="2E624E6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1、维护范围：</w:t>
            </w:r>
          </w:p>
          <w:p w14:paraId="6A5A872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维护服务范围为广西区公安厅目前在用的所有指纹自动识别系统软件，包括区厅指纹查询终端软件、指纹通讯软件、指纹系统软件、比对系统软件等，保障这些软件系统的正常运行。（2）系统维护不包括硬件的维护，但须监控硬件的运行状况，给出硬件维护建议，当硬件出现故障时，须配合硬件维护商及时维修。（3）系统维护不包括指纹系统之外软件系统维护，当这些软件系统出现故障时，须配合相关的维护商及时维修。</w:t>
            </w:r>
          </w:p>
          <w:p w14:paraId="573D9D5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2、维护内容：</w:t>
            </w:r>
          </w:p>
          <w:p w14:paraId="08DC6FC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故障排除。服务期间，接到故障排除服务请求，按照相应的服务等级提供故障分析与诊断，远程支持服务或现场支持服务，持续服务直到问题解决。故障排除后的试验与数据恢复服务。（2）预防性维护。提供定期的系统软件运行情况和数据状态的检查服务，检查软件的运行日志和状态记录，寻找系统可能出现的问题。（3）软件管理维护、软件使用方法的指导和应用检查，如数据库表空间、相关文件的管理、数据备份方式的使用情况检查等。数据安全及完整性检查和验证。根据用户业务需求提供相关数据查询、分析、统计、制表等服务。（4）软件交流及支持服务。就用户在使用和维护中提出的疑难问题，及时提供详细解答，必要时提供有关的技术资料。不定期向用户方通报产品安装调试技术、产品管理维护技术、问题和解决方法、产品支持等信息。（5）软件配置优化。在必要的情况下对系统进行优化，保证系统最高性能运行，包括基础运行环境优化（网络、操作系统、存储备份）等。（6）数据的备份及恢复。定期对指掌纹系统进行备份，包括数据库文件、指纹数据、特征文件、图像文件等。</w:t>
            </w:r>
          </w:p>
          <w:p w14:paraId="50479B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3、原厂巡查、原厂定期检测及重大警务活动专门保障：</w:t>
            </w:r>
          </w:p>
          <w:p w14:paraId="7074EA3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（1）提供</w:t>
            </w:r>
            <w:r>
              <w:rPr>
                <w:rFonts w:hint="eastAsia" w:ascii="宋体" w:hAnsi="宋体" w:cs="宋体"/>
                <w:color w:val="000000" w:themeColor="text1"/>
                <w:kern w:val="2"/>
                <w:sz w:val="21"/>
                <w:szCs w:val="21"/>
                <w:highlight w:val="none"/>
                <w:lang w:val="en-US" w:eastAsia="zh-CN" w:bidi="ar"/>
                <w14:textFill>
                  <w14:solidFill>
                    <w14:schemeClr w14:val="tx1"/>
                  </w14:solidFill>
                </w14:textFill>
              </w:rPr>
              <w:t>4</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名技术人员进行原厂巡查或原厂定期现场检测服务，提供2次/年巡查服务和2次/年原厂定期现场检测服务；</w:t>
            </w:r>
          </w:p>
          <w:p w14:paraId="2405658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（2）每年提供4人次共10天的重大警务活动支持。</w:t>
            </w:r>
          </w:p>
        </w:tc>
      </w:tr>
      <w:tr w14:paraId="3FFBF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4628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H-6</w:t>
            </w:r>
          </w:p>
        </w:tc>
        <w:tc>
          <w:tcPr>
            <w:tcW w:w="1125" w:type="dxa"/>
            <w:vAlign w:val="center"/>
          </w:tcPr>
          <w:p w14:paraId="6DD3736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5A4A539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center"/>
              <w:outlineLvl w:val="9"/>
              <w:rPr>
                <w:rFonts w:hint="default" w:ascii="宋体" w:hAnsi="宋体" w:eastAsia="宋体" w:cs="宋体"/>
                <w:color w:val="000000" w:themeColor="text1"/>
                <w:kern w:val="2"/>
                <w:sz w:val="21"/>
                <w:szCs w:val="21"/>
                <w:highlight w:val="none"/>
                <w:lang w:val="en-US"/>
                <w14:textFill>
                  <w14:solidFill>
                    <w14:schemeClr w14:val="tx1"/>
                  </w14:solidFill>
                </w14:textFill>
              </w:rPr>
            </w:pPr>
            <w:r>
              <w:rPr>
                <w:rFonts w:hint="eastAsia" w:ascii="宋体" w:hAnsi="宋体" w:cs="宋体"/>
                <w:color w:val="000000" w:themeColor="text1"/>
                <w:kern w:val="2"/>
                <w:sz w:val="21"/>
                <w:szCs w:val="21"/>
                <w:highlight w:val="none"/>
                <w:lang w:val="en-US" w:eastAsia="zh-CN" w:bidi="ar"/>
                <w14:textFill>
                  <w14:solidFill>
                    <w14:schemeClr w14:val="tx1"/>
                  </w14:solidFill>
                </w14:textFill>
              </w:rPr>
              <w:t>H-6服务</w:t>
            </w:r>
          </w:p>
        </w:tc>
        <w:tc>
          <w:tcPr>
            <w:tcW w:w="5449" w:type="dxa"/>
            <w:vAlign w:val="top"/>
          </w:tcPr>
          <w:p w14:paraId="6A507B4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1、全区指掌纹卡扫描。</w:t>
            </w:r>
          </w:p>
          <w:p w14:paraId="2288FA5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2、全区指掌纹信息录入。</w:t>
            </w:r>
          </w:p>
          <w:p w14:paraId="221E371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3、全区指掌纹数据核实补全。</w:t>
            </w:r>
          </w:p>
        </w:tc>
      </w:tr>
      <w:tr w14:paraId="4F23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FBBA0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H-7</w:t>
            </w:r>
          </w:p>
        </w:tc>
        <w:tc>
          <w:tcPr>
            <w:tcW w:w="1125" w:type="dxa"/>
            <w:vAlign w:val="center"/>
          </w:tcPr>
          <w:p w14:paraId="03FF25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352C0D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H-7</w:t>
            </w:r>
            <w:r>
              <w:rPr>
                <w:rFonts w:hint="eastAsia" w:ascii="宋体" w:hAnsi="宋体" w:eastAsia="宋体" w:cs="宋体"/>
                <w:bCs/>
                <w:color w:val="000000" w:themeColor="text1"/>
                <w:kern w:val="2"/>
                <w:sz w:val="21"/>
                <w:szCs w:val="21"/>
                <w:highlight w:val="none"/>
                <w14:textFill>
                  <w14:solidFill>
                    <w14:schemeClr w14:val="tx1"/>
                  </w14:solidFill>
                </w14:textFill>
              </w:rPr>
              <w:t>服务</w:t>
            </w:r>
          </w:p>
        </w:tc>
        <w:tc>
          <w:tcPr>
            <w:tcW w:w="5449" w:type="dxa"/>
            <w:vAlign w:val="top"/>
          </w:tcPr>
          <w:p w14:paraId="61C633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1、每年提供人员指掌纹60万份及现场指纹8500份建库服务。其中包括负责整理指掌纹卡片、扫描指掌纹卡片、录入指掌纹卡片、补录指掌纹卡片的相关信息。</w:t>
            </w:r>
          </w:p>
          <w:p w14:paraId="1C9630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整理指掌纹卡片：清理原有指掌纹卡片，将在扫描后不压缩原图基础上，采用最新的CAFIS指纹特征提取算法，提取可达到256个特征点的指纹特征，解决原有库中特征的准确度、可信度、完整性问题，全面提高指纹数据的质量。</w:t>
            </w:r>
          </w:p>
          <w:p w14:paraId="6529CC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3、指掌纹卡片扫描入库：对整理后符合入库的指掌纹卡片，通过人工扫描，根据不同指掌纹信息分类保存并分类录入。</w:t>
            </w:r>
          </w:p>
          <w:p w14:paraId="759953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4、人工干预切割：在系统按照预定格式扫描后，人工检查扫描情况，并适当对位置不正确的指纹进行干预，检查条码识别情况，正确后保存。</w:t>
            </w:r>
          </w:p>
          <w:p w14:paraId="073492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5、质量自动判断：系统对保存后的指纹进行自动质量判断，对指纹质量不过关的数据自动提示，人工编辑后才能入库。</w:t>
            </w:r>
          </w:p>
          <w:p w14:paraId="6EABAB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6、提取指纹纹理、纹线特征：对原入库的指纹进行这类新特征的重新处理，提取这些目前库没有存在的特征信息，纹理、纹线特征信息在比对中将有效保证大库容下的比对精度。</w:t>
            </w:r>
          </w:p>
          <w:p w14:paraId="7E5C89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7、现场掌纹特征编辑：入库后现场掌纹特征的人工干预，通过现场掌纹数据库浏览功能，查询需要编辑的现场掌纹数据，然后在对查询出的现场掌纹特征进行编辑。特征干预编辑时，可以在原始自动提取特征的基础上修改，也可以全部重提特征后再修改或直接编辑。</w:t>
            </w:r>
          </w:p>
          <w:p w14:paraId="687AA5F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8、全卡存储：实现人员信息、相关条码信息、照片、平面指纹、捺印指纹以及掌纹的全信息存储管理，实现全卡存储和综合性应用。</w:t>
            </w:r>
          </w:p>
          <w:p w14:paraId="1DC2F0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9、定期质量抽查：对入库的指纹质量进行抽查，及时发现质量问题，并提出整改措施。每月第一周进行全面质量检查，对每条数据进行指掌纹定位、剪切的位置进行判断。对定位错误、剪切有误的数据进行整理统计，其他三周进行随机抽查，连续21天。</w:t>
            </w:r>
          </w:p>
          <w:p w14:paraId="403B69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10、指掌纹建库使用FBI14格式，其中内容包括：文字信息（保存为图像），图像信息，三面捺印十指纹，平面十指纹，左右掌图像。</w:t>
            </w:r>
          </w:p>
          <w:p w14:paraId="0A60A7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11、供应商需配置足够的技术人员，满足建库工作需求。</w:t>
            </w:r>
          </w:p>
          <w:p w14:paraId="35D918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12、提供指掌纹建库设备耗材，也即为采购人现有的富士FI-6230Z高速扫描仪提供配件：彩色CCD(电荷耦合器件)1件、彩色CCD(电荷耦合器件)1件、彩色CCD(电荷耦合器件)1件，白色LED灯组、平板（FB）与自动送纸器（ADF）各1件。</w:t>
            </w:r>
          </w:p>
          <w:p w14:paraId="07D4B4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13、提供指掌纹建库应用处理软件开发服务。</w:t>
            </w:r>
          </w:p>
        </w:tc>
      </w:tr>
      <w:tr w14:paraId="0F610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89B17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H-8</w:t>
            </w:r>
          </w:p>
        </w:tc>
        <w:tc>
          <w:tcPr>
            <w:tcW w:w="1125" w:type="dxa"/>
            <w:vAlign w:val="center"/>
          </w:tcPr>
          <w:p w14:paraId="704BFF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3AA125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H-8</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423C52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1、数据维护工作：负责警综、109、公安部刑专、SIS、现勘、指纹、DNA、足迹等系统的数据抽取工作；</w:t>
            </w:r>
          </w:p>
          <w:p w14:paraId="5E0F1D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2、数据上报工作：负责指纹、案件、人员、物品等公安部刑专要求上报的数据实时进行上报；</w:t>
            </w:r>
          </w:p>
          <w:p w14:paraId="35AB87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3、系统接口维护工作：负责广西三合一、警综、109、现勘、指纹、公安部刑专等系统的调用接口维护工作；</w:t>
            </w:r>
          </w:p>
          <w:p w14:paraId="349ABF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4、个性化服务：负责广西刑侦部门年度绩效评定的挂网展示、推送全区、实时更新等工作；</w:t>
            </w:r>
          </w:p>
          <w:p w14:paraId="1BF47E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5、提供系统优化服务、功能完善。</w:t>
            </w:r>
          </w:p>
        </w:tc>
      </w:tr>
      <w:tr w14:paraId="17E8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5C501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H-9</w:t>
            </w:r>
          </w:p>
        </w:tc>
        <w:tc>
          <w:tcPr>
            <w:tcW w:w="1125" w:type="dxa"/>
            <w:vAlign w:val="center"/>
          </w:tcPr>
          <w:p w14:paraId="428E5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082CC3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H-9</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34AC17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1、提供用户支持服务，响应用户使用咨询，及时处理用户报障，帮助用户解决用户登录、账号、权限等问题，不定期更新系统帮助中心的资料和手册；</w:t>
            </w:r>
          </w:p>
          <w:p w14:paraId="257CB2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2、提供系统巡检服务，定期对应用系统运行状态、接口状态进行巡检，及时排除各类故障、优化性能和版本更新，确保应用系统正常稳定运行；</w:t>
            </w:r>
          </w:p>
          <w:p w14:paraId="78A27D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3、提供系统单点登录对接服务，刑综系统与新的应用系统做单点登录对接，对接用户、组织数据，实现从刑综系统登录后能正常进入新的应用系统；</w:t>
            </w:r>
          </w:p>
          <w:p w14:paraId="3DB4F0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4、提供系统对接接口维护服务，负责保障已对接过部刑综系统数据接口、警综系统数据接口、现勘系统数据接口、八桂短信接口等接口的维护；</w:t>
            </w:r>
          </w:p>
          <w:p w14:paraId="4F80A7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5、提供刑综系统的等保测评和商密测评配合服务，按照等保测评和商密测评要求编写刑综系统测评相关文字材料，在测评过程当中提供配合，按照测评结果对刑综系统进行整改；</w:t>
            </w:r>
          </w:p>
          <w:p w14:paraId="1A64ED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6、提供刑综系统相关日常数据统计服务，有追逃绩效统计、监狱在押统计、三所在押统计、背景调查绩效统计、单位和用户使用情况、调证使用情况统计服务；</w:t>
            </w:r>
          </w:p>
          <w:p w14:paraId="5C7153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7、提供刑综系统相关统一用户权限管理服务，提供用户、组织、角色权限接口给各个接入系统进行对接，提供对接过程的支撑服务，响应和及时处理刑综系统侧的用户账号、权限问题；</w:t>
            </w:r>
          </w:p>
          <w:p w14:paraId="07AE94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8、提供为其它业务系统提供的全国在逃人员、监狱在押、三所在押、案件、文书、嫌疑人信息数据接口维护服务。</w:t>
            </w:r>
          </w:p>
        </w:tc>
      </w:tr>
      <w:tr w14:paraId="7F8F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78632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H-10</w:t>
            </w:r>
          </w:p>
        </w:tc>
        <w:tc>
          <w:tcPr>
            <w:tcW w:w="1125" w:type="dxa"/>
            <w:vAlign w:val="center"/>
          </w:tcPr>
          <w:p w14:paraId="49B5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49C92C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H-10</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top"/>
          </w:tcPr>
          <w:p w14:paraId="4AA627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1、数据维护</w:t>
            </w:r>
          </w:p>
          <w:p w14:paraId="7A1F2B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（1）数据源维护：数据源(IP\账号\密码)的修改（涉及广西109系统\技术平台\警综系统接口）、数据存储的规划和配置。</w:t>
            </w:r>
          </w:p>
          <w:p w14:paraId="0F40C4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（2）项目标准化维护：数据字典的自动匹配规则。</w:t>
            </w:r>
          </w:p>
          <w:p w14:paraId="3E4AC1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2、可用性和稳定性维护</w:t>
            </w:r>
          </w:p>
          <w:p w14:paraId="02E0F7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（1）操作系统：操作系统优化处理。</w:t>
            </w:r>
          </w:p>
          <w:p w14:paraId="6A4E9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（2）犯罪信息拼图系统应用：应用优化处理。</w:t>
            </w:r>
          </w:p>
          <w:p w14:paraId="4F5762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（3）数据库：数据库运行状态监测、数据库备份管理、数据库优化处理。</w:t>
            </w:r>
          </w:p>
          <w:p w14:paraId="0CDC6A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3、持续发展</w:t>
            </w:r>
          </w:p>
          <w:p w14:paraId="33629E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14:textFill>
                  <w14:solidFill>
                    <w14:schemeClr w14:val="tx1"/>
                  </w14:solidFill>
                </w14:textFill>
              </w:rPr>
              <w:t>（1）关注新技术：关注新技术、关注同行的先进理念、关注同行的先进系统。</w:t>
            </w:r>
          </w:p>
        </w:tc>
      </w:tr>
      <w:tr w14:paraId="1B34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A5988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H-11</w:t>
            </w:r>
          </w:p>
        </w:tc>
        <w:tc>
          <w:tcPr>
            <w:tcW w:w="1125" w:type="dxa"/>
            <w:vAlign w:val="center"/>
          </w:tcPr>
          <w:p w14:paraId="059522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468463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H-11</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53D901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1、拼图二期系统日常维护：完成日志备份、异常进程处理、定期重启等日常维护操作，确保系统的正常运行。</w:t>
            </w:r>
          </w:p>
          <w:p w14:paraId="0AAF26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2、拼图二期系统巡检：检查系统功能模块运行情况，确保正常访问。</w:t>
            </w:r>
          </w:p>
          <w:p w14:paraId="72CA28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3、拼图二期系统缺陷管理：系统消缺，确保系统性能正常</w:t>
            </w:r>
            <w:r>
              <w:rPr>
                <w:rFonts w:hint="eastAsia" w:ascii="宋体" w:hAnsi="宋体" w:cs="宋体"/>
                <w:bCs/>
                <w:color w:val="000000" w:themeColor="text1"/>
                <w:kern w:val="2"/>
                <w:sz w:val="21"/>
                <w:szCs w:val="21"/>
                <w:highlight w:val="none"/>
                <w:lang w:eastAsia="zh-CN"/>
                <w14:textFill>
                  <w14:solidFill>
                    <w14:schemeClr w14:val="tx1"/>
                  </w14:solidFill>
                </w14:textFill>
              </w:rPr>
              <w:t>。</w:t>
            </w:r>
          </w:p>
          <w:p w14:paraId="2A4DE0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4、拼图二期系统故障处置：响应用户报障/服务请求、系统告警、巡检发现的系统故障进行处理，确保恢复系统应用。</w:t>
            </w:r>
          </w:p>
          <w:p w14:paraId="2061A6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5、拼图二期系统应急保障：应急情况发生时及时响应、特殊时期应急保障支持。</w:t>
            </w:r>
          </w:p>
          <w:p w14:paraId="07BF0A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6、拼图二期系统资产与配置维护：针对新建部分协助对应用系统全生命周期的资产管理，包括配置的管理、统计、操作、记录，满足应用系统运行过程中配置管理的需要。</w:t>
            </w:r>
          </w:p>
          <w:p w14:paraId="3F04D1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7、拼图二期系统数据服务：针对新建部分数据处理、战法调整、调度调整、字典表优化及日常工作技术支持</w:t>
            </w:r>
            <w:r>
              <w:rPr>
                <w:rFonts w:hint="eastAsia" w:ascii="宋体" w:hAnsi="宋体" w:cs="宋体"/>
                <w:bCs/>
                <w:color w:val="000000" w:themeColor="text1"/>
                <w:kern w:val="2"/>
                <w:sz w:val="21"/>
                <w:szCs w:val="21"/>
                <w:highlight w:val="none"/>
                <w:lang w:eastAsia="zh-CN"/>
                <w14:textFill>
                  <w14:solidFill>
                    <w14:schemeClr w14:val="tx1"/>
                  </w14:solidFill>
                </w14:textFill>
              </w:rPr>
              <w:t>。</w:t>
            </w:r>
          </w:p>
          <w:p w14:paraId="45B011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8、拼图二期系统优化：针对新建部分业务流程调整、业务功能完善，系统性能调优</w:t>
            </w:r>
            <w:r>
              <w:rPr>
                <w:rFonts w:hint="eastAsia" w:ascii="宋体" w:hAnsi="宋体" w:cs="宋体"/>
                <w:bCs/>
                <w:color w:val="000000" w:themeColor="text1"/>
                <w:kern w:val="2"/>
                <w:sz w:val="21"/>
                <w:szCs w:val="21"/>
                <w:highlight w:val="none"/>
                <w:lang w:eastAsia="zh-CN"/>
                <w14:textFill>
                  <w14:solidFill>
                    <w14:schemeClr w14:val="tx1"/>
                  </w14:solidFill>
                </w14:textFill>
              </w:rPr>
              <w:t>。</w:t>
            </w:r>
          </w:p>
          <w:p w14:paraId="1A52A4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9、拼图二期系统培训及知识管理：针对新建部分提供培训、协助知识库维护</w:t>
            </w:r>
            <w:r>
              <w:rPr>
                <w:rFonts w:hint="eastAsia" w:ascii="宋体" w:hAnsi="宋体" w:cs="宋体"/>
                <w:bCs/>
                <w:color w:val="000000" w:themeColor="text1"/>
                <w:kern w:val="2"/>
                <w:sz w:val="21"/>
                <w:szCs w:val="21"/>
                <w:highlight w:val="none"/>
                <w:lang w:eastAsia="zh-CN"/>
                <w14:textFill>
                  <w14:solidFill>
                    <w14:schemeClr w14:val="tx1"/>
                  </w14:solidFill>
                </w14:textFill>
              </w:rPr>
              <w:t>。</w:t>
            </w:r>
          </w:p>
          <w:p w14:paraId="252C61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10、拼图二期系统资料维护：针对新建部分提供系统及项目相关的文档资料的整理和维护服务</w:t>
            </w:r>
            <w:r>
              <w:rPr>
                <w:rFonts w:hint="eastAsia" w:ascii="宋体" w:hAnsi="宋体" w:cs="宋体"/>
                <w:bCs/>
                <w:color w:val="000000" w:themeColor="text1"/>
                <w:kern w:val="2"/>
                <w:sz w:val="21"/>
                <w:szCs w:val="21"/>
                <w:highlight w:val="none"/>
                <w:lang w:eastAsia="zh-CN"/>
                <w14:textFill>
                  <w14:solidFill>
                    <w14:schemeClr w14:val="tx1"/>
                  </w14:solidFill>
                </w14:textFill>
              </w:rPr>
              <w:t>。</w:t>
            </w:r>
          </w:p>
          <w:p w14:paraId="5A0DE4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11、拼图二期系统运维报告及其他技术支持：为单位提供周期性的运维分析报告</w:t>
            </w:r>
            <w:r>
              <w:rPr>
                <w:rFonts w:hint="eastAsia" w:ascii="宋体" w:hAnsi="宋体" w:cs="宋体"/>
                <w:bCs/>
                <w:color w:val="000000" w:themeColor="text1"/>
                <w:kern w:val="2"/>
                <w:sz w:val="21"/>
                <w:szCs w:val="21"/>
                <w:highlight w:val="none"/>
                <w:lang w:eastAsia="zh-CN"/>
                <w14:textFill>
                  <w14:solidFill>
                    <w14:schemeClr w14:val="tx1"/>
                  </w14:solidFill>
                </w14:textFill>
              </w:rPr>
              <w:t>。</w:t>
            </w:r>
          </w:p>
          <w:p w14:paraId="6BCD4D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12、拼图二期系统远程服务：提供远程技术服务</w:t>
            </w:r>
            <w:r>
              <w:rPr>
                <w:rFonts w:hint="eastAsia" w:ascii="宋体" w:hAnsi="宋体" w:cs="宋体"/>
                <w:bCs/>
                <w:color w:val="000000" w:themeColor="text1"/>
                <w:kern w:val="2"/>
                <w:sz w:val="21"/>
                <w:szCs w:val="21"/>
                <w:highlight w:val="none"/>
                <w:lang w:eastAsia="zh-CN"/>
                <w14:textFill>
                  <w14:solidFill>
                    <w14:schemeClr w14:val="tx1"/>
                  </w14:solidFill>
                </w14:textFill>
              </w:rPr>
              <w:t>。</w:t>
            </w:r>
          </w:p>
          <w:p w14:paraId="663A56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13、拼图二期系统数据库运维：针对拼图二期系统新整合的刑侦信息系统数据信息资源库整理和维护服务。</w:t>
            </w:r>
          </w:p>
        </w:tc>
      </w:tr>
      <w:tr w14:paraId="3156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75" w:type="dxa"/>
            <w:vAlign w:val="center"/>
          </w:tcPr>
          <w:p w14:paraId="4DDDBF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H-12</w:t>
            </w:r>
          </w:p>
        </w:tc>
        <w:tc>
          <w:tcPr>
            <w:tcW w:w="1125" w:type="dxa"/>
            <w:vAlign w:val="center"/>
          </w:tcPr>
          <w:p w14:paraId="03AFEC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1CD036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H-12</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top"/>
          </w:tcPr>
          <w:p w14:paraId="282122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系统进行日常检查，以保持系统正常运行的条件，尽早排除事故隐患。主要检查包括：系统的运行表现，是否有运行缓慢或其它异常；监控系统的运行日志中是否有出现错误；系统的日志进行备份；对系统中重要的业务应用程序，进行定期的备份与恢复；对系统进程进行监测和控制，异常的进程进行终止等处理；检查系统中是否存在垃圾数据，并进行相应的清理措施；系统运行时间过长，都会产生难以清理的内存垃圾，应定期重启系统；检查是否安装了新的软件，系统设置是否改变；对日常检查结果进行记录，并整理检查报告。</w:t>
            </w:r>
          </w:p>
          <w:p w14:paraId="1305D6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2.系统突发事件的诊断、排除：因系统缺陷导致的各种BU</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G</w:t>
            </w:r>
            <w:r>
              <w:rPr>
                <w:rFonts w:hint="eastAsia" w:ascii="宋体" w:hAnsi="宋体" w:eastAsia="宋体" w:cs="宋体"/>
                <w:bCs/>
                <w:color w:val="000000" w:themeColor="text1"/>
                <w:kern w:val="2"/>
                <w:sz w:val="21"/>
                <w:szCs w:val="21"/>
                <w:highlight w:val="none"/>
                <w14:textFill>
                  <w14:solidFill>
                    <w14:schemeClr w14:val="tx1"/>
                  </w14:solidFill>
                </w14:textFill>
              </w:rPr>
              <w:t>的修复、因误操作导致的数据错误维护等；</w:t>
            </w:r>
          </w:p>
          <w:p w14:paraId="0962C8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3.数据库数据清理：定期清理运维过程中所生成的生产数据库中的临时表，从应用系统角度来优化数据库，如建立并优化索引目录、优化存储过程、数据库表拆分等，提高系统运行速度。对于数据库参数方面的优化工作，可提出建议和要求，并辅助进行数据库性能优化；</w:t>
            </w:r>
          </w:p>
          <w:p w14:paraId="6C782C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4.数据备份：为数据库制定合理的备份策略和恢复方案，定期对系统数据库中所有数据进行全库备份和增量备份，保证在数据出现问题时能及时有效的恢复数据。</w:t>
            </w:r>
          </w:p>
          <w:p w14:paraId="2488BC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5.定期维护：按采购人要求定期及时提供有关系统运行的状态报告和运行建议。</w:t>
            </w:r>
          </w:p>
          <w:p w14:paraId="112B3A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6.咨询服务：帮助解答采购人提出的系统相关的各种业务和技术问题，包括技术咨询、操作指导和信息提供等，随时解决采购人提出的新需求；</w:t>
            </w:r>
          </w:p>
          <w:p w14:paraId="1FE99C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7.定期巡检：对系统及相关的运行环境信息、系统日志进行例行巡检，发现并设法消除可能的隐患。保证采购人了解其自身系统的实际运行状况，便于在今后的运维工作中采取相应的预防措施，相应内容如下：</w:t>
            </w:r>
          </w:p>
          <w:p w14:paraId="6C4E7C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维护巡检流程；</w:t>
            </w:r>
          </w:p>
          <w:p w14:paraId="3D4C9E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定期进行系统巡检服务；</w:t>
            </w:r>
          </w:p>
          <w:p w14:paraId="03C43A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在进行系统优化之前，先进行系统应用信息收集，全面了解系统的运行情况。</w:t>
            </w:r>
          </w:p>
          <w:p w14:paraId="371D8B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完整收集系统信息之后，将根据收集到得信息，对系统进行全面的评估和诊断。</w:t>
            </w:r>
          </w:p>
          <w:p w14:paraId="215198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将针对系统当期的运行情况，提出对于系统的优化建议与方案。</w:t>
            </w:r>
          </w:p>
          <w:p w14:paraId="58BC26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系统巡检服务将是一个持续的服务，对用户系统进行持续监控和优化，保障用户应用系统稳定运行。</w:t>
            </w:r>
          </w:p>
          <w:p w14:paraId="57093C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主动定期巡检：包括系统配置检查、系统和数据备份检查、系统总体性能评估软件性能测试、功能模块测试、用户个性化需求统计、日志查询统计、数据备份记录检查等内容；</w:t>
            </w:r>
          </w:p>
          <w:p w14:paraId="77E4D9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主动周期巡检：工程师按约定的巡检周期对系统进行全面检查，优化系统，同时做好各类系统运行情况的记录。对可能出现的故障提出解决预案及系统功能改进等方面的技术咨询工作。</w:t>
            </w:r>
          </w:p>
          <w:p w14:paraId="09B93C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8.故障预警机制：通过巡检发现系统日常运行风险，并通过故障告知单给予采购人及相关运维团队预警，降低故障产生风险。并根据风险情况，定义不同的预警级别以供采购人参考。</w:t>
            </w:r>
          </w:p>
          <w:p w14:paraId="701DDF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9.巡检交付形式：通过系统巡检对系统目前的运行环境进行综合评估，在维护服务报告里呈现，向采购人进行综合的汇报。</w:t>
            </w:r>
          </w:p>
        </w:tc>
      </w:tr>
      <w:tr w14:paraId="4BE6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61D1C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H-13</w:t>
            </w:r>
          </w:p>
        </w:tc>
        <w:tc>
          <w:tcPr>
            <w:tcW w:w="1125" w:type="dxa"/>
            <w:vAlign w:val="center"/>
          </w:tcPr>
          <w:p w14:paraId="75E3E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38C27F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H-13</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1F8123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系统进行日常检查，以保持系统正常运行的条件，尽早排除事故隐患。主要检查包括：系统的运行表现，是否有运行缓慢或其它异常；监控系统的运行日志中是否有出现错误；系统的日志进行备份；对系统中重要的业务应用程序，进行定期的备份与恢复；对系统进程进行监测和控制，异常的进程进行终止等处理；检查系统中是否存在垃圾数据，并进行相应的清理措施；系统运行时间过长，都会产生难以清理的内存垃圾，应定期重启系统；检查是否安装了新的软件，系统设置是否改变；对日常检查结果进行记录，并整理检查报告。</w:t>
            </w:r>
          </w:p>
          <w:p w14:paraId="292BBC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2.系统突发事件的诊断、排除：因系统缺陷导致的各种BU</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G</w:t>
            </w:r>
            <w:r>
              <w:rPr>
                <w:rFonts w:hint="eastAsia" w:ascii="宋体" w:hAnsi="宋体" w:eastAsia="宋体" w:cs="宋体"/>
                <w:bCs/>
                <w:color w:val="000000" w:themeColor="text1"/>
                <w:kern w:val="2"/>
                <w:sz w:val="21"/>
                <w:szCs w:val="21"/>
                <w:highlight w:val="none"/>
                <w14:textFill>
                  <w14:solidFill>
                    <w14:schemeClr w14:val="tx1"/>
                  </w14:solidFill>
                </w14:textFill>
              </w:rPr>
              <w:t>的修复、因误操作导致的数据错误维护等；</w:t>
            </w:r>
          </w:p>
          <w:p w14:paraId="4EE100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3.数据库数据清理：定期清理运维过程中所生成的生产数据库中的临时表，从应用系统角度来优化数据库，如建立并优化索引目录、优化存储过程、数据库表拆分等，提高系统运行速度。对于数据库参数方面的优化工作，可提出建议和要求，并辅助进行数据库性能优化；</w:t>
            </w:r>
          </w:p>
          <w:p w14:paraId="370E46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4.数据备份：为数据库制定合理的备份策略和恢复方案，定期对系统数据库中所有数据进行全库备份和增量备份，保证在数据出现问题时能及时有效的恢复数据。</w:t>
            </w:r>
          </w:p>
          <w:p w14:paraId="0F7B0C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5.定期维护：按采购人要求定期及时提供有关系统运行的状态报告和运行建议。</w:t>
            </w:r>
          </w:p>
          <w:p w14:paraId="6A3E1D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6.咨询服务：帮助解答采购人提出的系统相关的各种业务和技术问题，包括技术咨询、操作指导和信息提供等，随时解决采购人提出的新需求；</w:t>
            </w:r>
          </w:p>
          <w:p w14:paraId="0E7D4F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7.定期巡检：对系统及相关的运行环境信息、系统日志进行例行巡检，发现并设法消除可能的隐患。保证采购人了解其自身系统的实际运行状况，便于在今后的运维工作中采取相应的预防措施，相应内容如下：</w:t>
            </w:r>
          </w:p>
          <w:p w14:paraId="44D88C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维护巡检流程；</w:t>
            </w:r>
          </w:p>
          <w:p w14:paraId="6672D2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定期进行系统巡检服务；</w:t>
            </w:r>
          </w:p>
          <w:p w14:paraId="03CCAF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在进行系统优化之前，先进行系统应用信息收集，全面了解系统的运行情况。</w:t>
            </w:r>
          </w:p>
          <w:p w14:paraId="37364D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完整收集系统信息之后，将根据收集到得信息，对系统进行全面的评估和诊断。</w:t>
            </w:r>
          </w:p>
          <w:p w14:paraId="3BB3AD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将针对系统当期的运行情况，提出对于系统的优化建议与方案。</w:t>
            </w:r>
          </w:p>
          <w:p w14:paraId="4C4D65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6</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系统巡检服务将是一个持续的服务，对用户系统进行持续监控和优化，保障用户应用系统稳定运行。</w:t>
            </w:r>
          </w:p>
          <w:p w14:paraId="5A7A20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7</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主动定期巡检：包括系统配置检查、系统和数据备份检查、系统总体性能评估软件性能测试、功能模块测试、用户个性化需求统计、日志查询统计、数据备份记录检查等内容；</w:t>
            </w:r>
          </w:p>
          <w:p w14:paraId="5FD033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8</w:t>
            </w:r>
            <w:r>
              <w:rPr>
                <w:rFonts w:hint="eastAsia" w:ascii="宋体" w:hAnsi="宋体" w:eastAsia="宋体" w:cs="宋体"/>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Cs/>
                <w:color w:val="000000" w:themeColor="text1"/>
                <w:kern w:val="2"/>
                <w:sz w:val="21"/>
                <w:szCs w:val="21"/>
                <w:highlight w:val="none"/>
                <w14:textFill>
                  <w14:solidFill>
                    <w14:schemeClr w14:val="tx1"/>
                  </w14:solidFill>
                </w14:textFill>
              </w:rPr>
              <w:t>主动周期巡检：工程师按约定的巡检周期对系统进行全面检查，优化系统，同时做好各类系统运行情况的记录。对可能出现的故障提出解决预案及系统功能改进等方面的技术咨询工作。</w:t>
            </w:r>
          </w:p>
          <w:p w14:paraId="4CCBB1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8.故障预警机制：通过巡检发现系统日常运行风险，并通过故障告知单给予采购人及相关运维团队预警，降低故障产生风险。并根据风险情况，定义不同的预警级别以供采购人参考。</w:t>
            </w:r>
          </w:p>
          <w:p w14:paraId="4453F3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9.巡检交付形式：通过系统巡检对系统目前的运行环境进行综合评估，在维护服务报告里呈现，向采购人进行综合的汇报。</w:t>
            </w:r>
          </w:p>
        </w:tc>
      </w:tr>
      <w:tr w14:paraId="22C91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1B40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H-14</w:t>
            </w:r>
          </w:p>
        </w:tc>
        <w:tc>
          <w:tcPr>
            <w:tcW w:w="1125" w:type="dxa"/>
            <w:vAlign w:val="center"/>
          </w:tcPr>
          <w:p w14:paraId="458ADA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 单位</w:t>
            </w:r>
          </w:p>
        </w:tc>
        <w:tc>
          <w:tcPr>
            <w:tcW w:w="1737" w:type="dxa"/>
            <w:vAlign w:val="center"/>
          </w:tcPr>
          <w:p w14:paraId="483ADB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H-14服务</w:t>
            </w:r>
          </w:p>
        </w:tc>
        <w:tc>
          <w:tcPr>
            <w:tcW w:w="5449" w:type="dxa"/>
            <w:vAlign w:val="center"/>
          </w:tcPr>
          <w:p w14:paraId="617647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负责广西声纹数据库的日常维护，包括：</w:t>
            </w:r>
          </w:p>
          <w:p w14:paraId="35676F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1.确保声纹数据库的各项功能正常运行，如发生故障，一般故障24小时内解决，严重故障48小时内解决；</w:t>
            </w:r>
          </w:p>
          <w:p w14:paraId="7C1EF7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2.确保数据库的服务器正常运行；</w:t>
            </w:r>
          </w:p>
          <w:p w14:paraId="0A5A67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3.根据工作要求，在数据库现有数据管理功能无法实现的情况下，后台抽取数据；</w:t>
            </w:r>
          </w:p>
          <w:p w14:paraId="0C9B5E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4.为实战需要辅助客户用好声纹数据库。</w:t>
            </w:r>
          </w:p>
        </w:tc>
      </w:tr>
      <w:tr w14:paraId="3072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2362C4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J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28B06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08323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425AC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0C6E7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29F4EF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4621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F10D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J-1</w:t>
            </w:r>
          </w:p>
        </w:tc>
        <w:tc>
          <w:tcPr>
            <w:tcW w:w="1125" w:type="dxa"/>
            <w:vAlign w:val="center"/>
          </w:tcPr>
          <w:p w14:paraId="76E26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J 单位</w:t>
            </w:r>
          </w:p>
        </w:tc>
        <w:tc>
          <w:tcPr>
            <w:tcW w:w="1737" w:type="dxa"/>
            <w:vAlign w:val="center"/>
          </w:tcPr>
          <w:p w14:paraId="0AF0DCD0">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J-1</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center"/>
          </w:tcPr>
          <w:p w14:paraId="58D2BA98">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提供广西公安监管信息综合平台、广西公安被监管人员安全风险评估管理系统、广西公安监管指纹采集比对应用系统、广西公安监管犯罪嫌疑人数字像片采集系统稳定运行的保障服务，定期对系统软硬件环境运行状态检查、公安部在逃库数据更新检查、公安部业务库及资源库数据抽取检查等日常检测项进行检查并记录检查信息，确保系统稳定、正常运行。</w:t>
            </w:r>
          </w:p>
          <w:p w14:paraId="113E08BE">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2、日常驻点服务：收集用户对系统的改善意见、用户操作过程中遇到问题的处理、协助采购人处理相关数据汇集和上报、协调处理与其它业务系统间数据接口技术问题。</w:t>
            </w:r>
          </w:p>
          <w:p w14:paraId="6BC54F2B">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3、对采购人提出的新工作要求进行系统调整，调整后的内容要达到采购人的要求。针对四个系统平台的功能改善需求，提供相应软件升级服务，将改善性意见转换为对各系统的优化。</w:t>
            </w:r>
          </w:p>
          <w:p w14:paraId="136E37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4、对于四个系统平台的深化应用提供免费培训，服务期内不少于4次；根据实际情况分别在其它城市举办培训班、或对相关人员进行现场培训。</w:t>
            </w:r>
          </w:p>
        </w:tc>
      </w:tr>
      <w:tr w14:paraId="40157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944B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J-2</w:t>
            </w:r>
          </w:p>
        </w:tc>
        <w:tc>
          <w:tcPr>
            <w:tcW w:w="1125" w:type="dxa"/>
            <w:vAlign w:val="center"/>
          </w:tcPr>
          <w:p w14:paraId="13E412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J 单位</w:t>
            </w:r>
          </w:p>
        </w:tc>
        <w:tc>
          <w:tcPr>
            <w:tcW w:w="1737" w:type="dxa"/>
            <w:vAlign w:val="center"/>
          </w:tcPr>
          <w:p w14:paraId="6142CF98">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J-2</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center"/>
          </w:tcPr>
          <w:p w14:paraId="495CCA9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对广西公安监管实战应用平台稳定运行提供保障服务，具体包括对接警综数据提供数据服务、维护数据库、系统调优、系统升级、保障硬件运行等服务，对上级有关部署要求和在不改变平台整体框架结构的前提下，提出的调整部分系统功能需求，应及时免费提供相应的设计和升级服务，实时监控平台运行状况，及时发现并排除系统运行故障，每季度应对平台进行一次例行巡检，并提交巡检报告。</w:t>
            </w:r>
          </w:p>
          <w:p w14:paraId="198CD8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对广西公安监管实战应用平台在区厅监管总队服务期内派驻1个技术人员进行驻地服务，前期派驻2-3个技术人员组成团队，解决目前系统存在的故障问题，同时在中标人公司本部设置运维组，远程支援前置运维人员。主要包括以下维护内容：前期派驻2-3名技术人员，后期更换为1名技术人员，为</w:t>
            </w:r>
            <w:r>
              <w:rPr>
                <w:rFonts w:hint="eastAsia" w:ascii="宋体" w:hAnsi="宋体" w:cs="宋体"/>
                <w:color w:val="000000" w:themeColor="text1"/>
                <w:kern w:val="0"/>
                <w:sz w:val="21"/>
                <w:szCs w:val="21"/>
                <w:highlight w:val="none"/>
                <w:lang w:eastAsia="zh-CN"/>
                <w14:textFill>
                  <w14:solidFill>
                    <w14:schemeClr w14:val="tx1"/>
                  </w14:solidFill>
                </w14:textFill>
              </w:rPr>
              <w:t>区</w:t>
            </w:r>
            <w:r>
              <w:rPr>
                <w:rFonts w:hint="eastAsia" w:ascii="宋体" w:hAnsi="宋体" w:eastAsia="宋体" w:cs="宋体"/>
                <w:color w:val="000000" w:themeColor="text1"/>
                <w:kern w:val="0"/>
                <w:sz w:val="21"/>
                <w:szCs w:val="21"/>
                <w:highlight w:val="none"/>
                <w14:textFill>
                  <w14:solidFill>
                    <w14:schemeClr w14:val="tx1"/>
                  </w14:solidFill>
                </w14:textFill>
              </w:rPr>
              <w:t>厅监管总队提供本地化日常维保服务。运维人员未经采购人同意，不得随意调换。</w:t>
            </w:r>
          </w:p>
        </w:tc>
      </w:tr>
      <w:tr w14:paraId="68DD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1535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J-3</w:t>
            </w:r>
          </w:p>
        </w:tc>
        <w:tc>
          <w:tcPr>
            <w:tcW w:w="1125" w:type="dxa"/>
            <w:vAlign w:val="center"/>
          </w:tcPr>
          <w:p w14:paraId="38FFE2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J 单位</w:t>
            </w:r>
          </w:p>
        </w:tc>
        <w:tc>
          <w:tcPr>
            <w:tcW w:w="1737" w:type="dxa"/>
            <w:vAlign w:val="center"/>
          </w:tcPr>
          <w:p w14:paraId="336D1B9C">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J-3</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3524AC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1、提供日常维护服务；</w:t>
            </w:r>
          </w:p>
          <w:p w14:paraId="0EB0AE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2、提供系统巡检服务；</w:t>
            </w:r>
          </w:p>
          <w:p w14:paraId="4C2F16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3、提供系统升级最新版本服务；</w:t>
            </w:r>
          </w:p>
          <w:p w14:paraId="3AEE37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4、提供系统适配服务</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tc>
      </w:tr>
      <w:tr w14:paraId="65B89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460D9E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K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1F02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6C9A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53BF8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4B254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51C32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3CFA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5BBFE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K-1</w:t>
            </w:r>
          </w:p>
        </w:tc>
        <w:tc>
          <w:tcPr>
            <w:tcW w:w="1125" w:type="dxa"/>
            <w:vAlign w:val="center"/>
          </w:tcPr>
          <w:p w14:paraId="49DA3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3F428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K-1</w:t>
            </w:r>
            <w:r>
              <w:rPr>
                <w:rFonts w:hint="eastAsia" w:ascii="宋体" w:hAnsi="宋体" w:eastAsia="宋体" w:cs="宋体"/>
                <w:color w:val="000000" w:themeColor="text1"/>
                <w:kern w:val="2"/>
                <w:sz w:val="21"/>
                <w:szCs w:val="21"/>
                <w:highlight w:val="none"/>
                <w14:textFill>
                  <w14:solidFill>
                    <w14:schemeClr w14:val="tx1"/>
                  </w14:solidFill>
                </w14:textFill>
              </w:rPr>
              <w:t>系统</w:t>
            </w:r>
          </w:p>
        </w:tc>
        <w:tc>
          <w:tcPr>
            <w:tcW w:w="5449" w:type="dxa"/>
            <w:vAlign w:val="top"/>
          </w:tcPr>
          <w:p w14:paraId="5C3A51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1、在维护期内，提供对广西区公安厅交通管理局办公系统（第一代OA）以及交警总队机关事务信息综合应用平台（第二代OA）运行出现问题或故障时，1小时内响应，4小时内恢复的保障服务。</w:t>
            </w:r>
          </w:p>
          <w:p w14:paraId="3CA02E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2、例行上门巡检：每月不少于2次，包括对服务器、数据库及应用系统进行维护和数据备份，对可能出现的问题隐患进行评估，并提出解决方案或巡检报告。</w:t>
            </w:r>
          </w:p>
        </w:tc>
      </w:tr>
      <w:tr w14:paraId="4EE61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DC7A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K-2</w:t>
            </w:r>
          </w:p>
        </w:tc>
        <w:tc>
          <w:tcPr>
            <w:tcW w:w="1125" w:type="dxa"/>
            <w:vAlign w:val="center"/>
          </w:tcPr>
          <w:p w14:paraId="7E189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799E0C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K-2</w:t>
            </w:r>
            <w:r>
              <w:rPr>
                <w:rFonts w:hint="eastAsia" w:ascii="宋体" w:hAnsi="宋体" w:eastAsia="宋体" w:cs="宋体"/>
                <w:color w:val="000000" w:themeColor="text1"/>
                <w:kern w:val="2"/>
                <w:sz w:val="21"/>
                <w:szCs w:val="21"/>
                <w:highlight w:val="none"/>
                <w14:textFill>
                  <w14:solidFill>
                    <w14:schemeClr w14:val="tx1"/>
                  </w14:solidFill>
                </w14:textFill>
              </w:rPr>
              <w:t>平台</w:t>
            </w:r>
          </w:p>
        </w:tc>
        <w:tc>
          <w:tcPr>
            <w:tcW w:w="5449" w:type="dxa"/>
            <w:vAlign w:val="top"/>
          </w:tcPr>
          <w:p w14:paraId="23381FF0">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340" w:lineRule="exact"/>
              <w:ind w:left="0" w:leftChars="0" w:right="0" w:firstLine="0" w:firstLineChars="0"/>
              <w:jc w:val="both"/>
              <w:outlineLvl w:val="9"/>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1、日常维护：对警用装备信息数据平台系统进行业务流程修改、用户管理维护、数据更新等；解决用户在使用系统进程中出现的问题，为用户进行需求功能的规划、流程的制定工作，针对用户在正常使用过程中碰到的数据故障进行调试、检测和修改，定期数据备份等工作。</w:t>
            </w:r>
          </w:p>
          <w:p w14:paraId="2876A85F">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340" w:lineRule="exact"/>
              <w:ind w:left="0" w:leftChars="0" w:right="0" w:firstLine="0" w:firstLineChars="0"/>
              <w:jc w:val="both"/>
              <w:outlineLvl w:val="9"/>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2、技术维护：包括对服务器、数据库及应用系统进行维护，对可能出现的问题进行评估，制定定期维护时间，协助修正由于操作人员误操作引起的非破坏性数据错误，当系统发生故障时导致数据丢失的数据恢复工作，页面错误和程序Bug修复，以及调整程序、结构或其他修改。</w:t>
            </w:r>
          </w:p>
          <w:p w14:paraId="3BB17DD7">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340" w:lineRule="exact"/>
              <w:ind w:left="0" w:leftChars="0" w:right="0" w:firstLine="0" w:firstLineChars="0"/>
              <w:jc w:val="both"/>
              <w:outlineLvl w:val="9"/>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3、培训服务：培训操作人员使其对系统有一个全面的了解，在系统升级或功能调整后及时对使用人员进行培训，使其充分了解修改后的功能使用情况，保证系统数据和用户信息的实时性和完整性；培训系统管理员（包括系统安装、设置、应用、管理、维护、升级以及数据备份和恢复）以及其他使用人员。</w:t>
            </w:r>
          </w:p>
          <w:p w14:paraId="10B26330">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340" w:lineRule="exact"/>
              <w:ind w:left="0" w:leftChars="0" w:right="0" w:firstLine="0" w:firstLineChars="0"/>
              <w:jc w:val="both"/>
              <w:outlineLvl w:val="9"/>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4、升级服务：系统升级主要包括增加或修改用户权限、审批处理、数据录入以及调整动业务流程或其他需要升级改版的工作；提供系统升级程序、及相关补丁进行软件版本升级，根据用户提出的要求调整或改进工作流程，优先考虑在软件的后续版本中加以吸收和改进，并增加相对应的解决方案，以使系统保持良好的技术先进性和易用性。</w:t>
            </w:r>
          </w:p>
          <w:p w14:paraId="5EE4C94F">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340" w:lineRule="exact"/>
              <w:ind w:left="0" w:leftChars="0" w:right="0" w:firstLine="0" w:firstLineChars="0"/>
              <w:jc w:val="both"/>
              <w:outlineLvl w:val="9"/>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5、在维护期内，要求安排专人对交管总队的警用装备进行每个月1次的定期检查和维护工作，并提交月度维护报告。</w:t>
            </w:r>
          </w:p>
          <w:p w14:paraId="536503E6">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340" w:lineRule="exact"/>
              <w:ind w:left="0" w:leftChars="0" w:right="0" w:firstLine="0" w:firstLineChars="0"/>
              <w:jc w:val="both"/>
              <w:outlineLvl w:val="9"/>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6、在维护期内，提供原厂巡查或原厂定期现场检测服务。</w:t>
            </w:r>
          </w:p>
          <w:p w14:paraId="480434A7">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340" w:lineRule="exact"/>
              <w:ind w:left="0" w:leftChars="0" w:right="0" w:firstLine="0" w:firstLineChars="0"/>
              <w:jc w:val="both"/>
              <w:outlineLvl w:val="9"/>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7、在维护期内，负责维护工作的公司须再安排4名具有二年以上的机关事业单位资产管理服务经验的人员对交管总队的固定资产进行每年两次的清查盘点工作，盘点后的数据须录入警用装备信息平台系统，要求能实现帐实相符；并制定固定资管理规章制度和规范工作流程，协助相关部门进行报废资产的处置等工作。</w:t>
            </w:r>
          </w:p>
          <w:p w14:paraId="38BC5197">
            <w:pPr>
              <w:keepNext w:val="0"/>
              <w:keepLines w:val="0"/>
              <w:pageBreakBefore w:val="0"/>
              <w:widowControl w:val="0"/>
              <w:suppressLineNumbers w:val="0"/>
              <w:kinsoku/>
              <w:wordWrap/>
              <w:overflowPunct/>
              <w:topLinePunct w:val="0"/>
              <w:autoSpaceDE/>
              <w:autoSpaceDN/>
              <w:bidi w:val="0"/>
              <w:adjustRightInd/>
              <w:snapToGrid/>
              <w:spacing w:before="0" w:beforeAutospacing="0" w:after="120" w:afterAutospacing="0" w:line="340" w:lineRule="exact"/>
              <w:ind w:left="0" w:leftChars="0" w:right="0" w:firstLine="0" w:firstLineChars="0"/>
              <w:jc w:val="both"/>
              <w:outlineLvl w:val="9"/>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zh-CN" w:eastAsia="zh-CN" w:bidi="ar-SA"/>
                <w14:textFill>
                  <w14:solidFill>
                    <w14:schemeClr w14:val="tx1"/>
                  </w14:solidFill>
                </w14:textFill>
              </w:rPr>
              <w:t>8、在维护期内，对4台服务器，1台存储设备，4台HBA卡设备，1台备份系统设备，1台网络安全设备，1台数据交换机，1台机架式KVM，3台数据查询主机等共计16台设备进行非原厂维护服务。</w:t>
            </w:r>
          </w:p>
        </w:tc>
      </w:tr>
      <w:tr w14:paraId="1BD5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AA87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K-3</w:t>
            </w:r>
          </w:p>
        </w:tc>
        <w:tc>
          <w:tcPr>
            <w:tcW w:w="1125" w:type="dxa"/>
            <w:vAlign w:val="center"/>
          </w:tcPr>
          <w:p w14:paraId="5A0A1D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099F3E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K-3</w:t>
            </w:r>
            <w:r>
              <w:rPr>
                <w:rFonts w:hint="eastAsia" w:ascii="宋体" w:hAnsi="宋体" w:eastAsia="宋体" w:cs="宋体"/>
                <w:color w:val="000000" w:themeColor="text1"/>
                <w:kern w:val="2"/>
                <w:sz w:val="21"/>
                <w:szCs w:val="21"/>
                <w:highlight w:val="none"/>
                <w14:textFill>
                  <w14:solidFill>
                    <w14:schemeClr w14:val="tx1"/>
                  </w14:solidFill>
                </w14:textFill>
              </w:rPr>
              <w:t>平台</w:t>
            </w:r>
          </w:p>
        </w:tc>
        <w:tc>
          <w:tcPr>
            <w:tcW w:w="5449" w:type="dxa"/>
            <w:vAlign w:val="top"/>
          </w:tcPr>
          <w:p w14:paraId="226B9D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1、公安交通集成指挥平台总队版、高速公路管理支队版系统运维服务，包括缉查布控、非现场执法、交通状态监管、应急指挥、勤务管理、交通态势分析、交警基础信息等核心功能及其它管理功能。</w:t>
            </w:r>
          </w:p>
          <w:p w14:paraId="671A76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2、包括应用服务器、oracle数据库集群、大数据软件平台、专网公安网数据交换、专网数据对接、移动警务系统对接及其它数据接入和推送服务程序的维护。</w:t>
            </w:r>
          </w:p>
          <w:p w14:paraId="6CBD7F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3、协调联系上级开发运维部门和各地市支队平台运维部门做好日常数据对接检查，按公安部交通局及公安在交管总队要求对系统进行升级、调试等工作。</w:t>
            </w:r>
          </w:p>
          <w:p w14:paraId="4AAE95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四大组件维护：（1）确保Kafka+Spark组件高效运行，及时发现和清理数据堵塞，定时检查实时计算和预警信息的处理情况。（2）定期检查hadoop大数据集群组件运行情况和告警处理，保障数据的完整性和实时性。（3）定期检查视频服务网关设备和前端视频图像接入情况，及时发现和处置视频链路以及视频播放问题，提高在线率。（4）定期检查车辆二次识别的效率和准确性，及时分析故障点，保障各项应用功能完好。对于缺少资质和技术维护这些组件的，需要购买第三方供应商服务、协调第三方软硬件提供商解决设备及软件问题。</w:t>
            </w:r>
          </w:p>
          <w:p w14:paraId="273DD0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5、指导配合各业务部门、各支队开展相关业务应用，与全国其它各省平台开展联勤联动提供技术支持。</w:t>
            </w:r>
          </w:p>
          <w:p w14:paraId="56B0C0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6、系统的日常检查维护，指导和协助各地市支队运维技术团队开展支队平台运维工作，确保各支队与总队、部局数据传输及时、正确。</w:t>
            </w:r>
          </w:p>
          <w:p w14:paraId="616634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7、按交管总队各业务部门要求设计、组织、实施考核通报数据收集和统计等工作。</w:t>
            </w:r>
          </w:p>
          <w:p w14:paraId="293220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8、按交管总队要求进行系统扩充应用开发。每周需派工程师到信息中心机房进行巡查，对信息中心机房硬件运行情况进行登记，对有问题设备进行维护或更换。</w:t>
            </w:r>
          </w:p>
          <w:p w14:paraId="378D23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9、维护过程中对遇到技术问题和解决方案逐步进行汇总整理并形成维护技术文档，对各市支队的公安交通集成指挥平台由于未按正确的流程操作导致数据异常应跟进指导和培训，对软件缺陷引起数据异常应进行汇总并逐级上报。</w:t>
            </w:r>
          </w:p>
          <w:p w14:paraId="3E6498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10、因第三方网络、硬件和软件系统故障而造成系统运行故障的，全程协助解决故障直至系统恢复正常运行。</w:t>
            </w:r>
          </w:p>
          <w:p w14:paraId="381F2D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11、技术支持的方式包括：电话技术服务、现场技术服务、定期巡查服务、技术升级服务等。</w:t>
            </w:r>
          </w:p>
          <w:p w14:paraId="75B7E3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12、运维团队提供7*24小时运维服务，同时按交管总队需求在法定节假日、勤务备勤等时间安排运维人员驻场值班，如春节、广西“三月三”、“五一”劳动节。</w:t>
            </w:r>
          </w:p>
          <w:p w14:paraId="7123E1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13、负责全区交管综合APP的维护工作（包括重要功能模块：新增总队集成指挥平台APP、高支集成指挥平台APP和交管综合警务APP总线网关）。</w:t>
            </w:r>
          </w:p>
          <w:p w14:paraId="6CE1CB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14、负责广西全区的视频网关、融合通信及机动车人口库维护等工作。</w:t>
            </w:r>
          </w:p>
        </w:tc>
      </w:tr>
      <w:tr w14:paraId="63F9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E0C98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K-4</w:t>
            </w:r>
          </w:p>
        </w:tc>
        <w:tc>
          <w:tcPr>
            <w:tcW w:w="1125" w:type="dxa"/>
            <w:vAlign w:val="center"/>
          </w:tcPr>
          <w:p w14:paraId="4F2989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7F11AB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K-4</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top"/>
          </w:tcPr>
          <w:p w14:paraId="4B4504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1、在维护期内，提供系统运行出现问题或故障时，一般故障1小时内响应、2小时内恢复，重大故障1小时内响应、4小时内恢复的保障服务。</w:t>
            </w:r>
          </w:p>
          <w:p w14:paraId="451F66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2、完成交通违法罚款银行对账系统与公安交通管理综合应用平台对接的接口改动及系统软件的升级、培训工作。</w:t>
            </w:r>
          </w:p>
          <w:p w14:paraId="46920C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3、确保代理银行代收全区范围内交通违法罚款的业务运行稳定；确保系统稳定运行定时对账清分任务；每日巡检系统对账情况，及时协调代理银行处理异常数据；根据工作需要，对数据进行统计分析。</w:t>
            </w:r>
          </w:p>
          <w:p w14:paraId="56A558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4、因第三方网络、硬件和软件系统故障而造成系统运行故障的，全程协助解决故障直至系统恢复正常运行。</w:t>
            </w:r>
          </w:p>
          <w:p w14:paraId="091714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5、技术支持的方式包括：电话技术服务、现场技术服务、定期巡查服务、技术升级服务等。</w:t>
            </w:r>
          </w:p>
          <w:p w14:paraId="5FA4BA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6、免费提供对于现有功能缺陷的完善以及不涉及系统现有架构变动的功能性修改（包含开发费用不超过中标价格30%的功能完善或升级服务）。</w:t>
            </w:r>
          </w:p>
        </w:tc>
      </w:tr>
      <w:tr w14:paraId="1C1D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9E0BA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K-5</w:t>
            </w:r>
          </w:p>
        </w:tc>
        <w:tc>
          <w:tcPr>
            <w:tcW w:w="1125" w:type="dxa"/>
            <w:vAlign w:val="center"/>
          </w:tcPr>
          <w:p w14:paraId="77F00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552361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K-5</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top"/>
          </w:tcPr>
          <w:p w14:paraId="07A201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包括机动车管理业务培训和考试系统、交警总队网站、号牌系统信息系统。提供以下专项运维服务：</w:t>
            </w:r>
          </w:p>
          <w:p w14:paraId="7305A1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1、业务数据维护服务</w:t>
            </w:r>
          </w:p>
          <w:p w14:paraId="3459EF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提供如下业务数据维护服务：</w:t>
            </w:r>
          </w:p>
          <w:p w14:paraId="1EABDB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对于错误数据进行检查和人工干预，以保证数据质量。</w:t>
            </w:r>
          </w:p>
          <w:p w14:paraId="2A2753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解决因数据错误引起的无法办理相关业务的故障问题。</w:t>
            </w:r>
          </w:p>
          <w:p w14:paraId="3AD10F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按规定的时间进行数据更新，定时任务传输数据，保证数据上传或者下载成功，如有必要需要进行人工上传或下载。</w:t>
            </w:r>
          </w:p>
          <w:p w14:paraId="6CDBA0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在收到有关请求后，人工解决用户在数据上传下载过程中的问题和故障。</w:t>
            </w:r>
          </w:p>
          <w:p w14:paraId="1A8A01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保证业务相关数据的安全，使各业务系统正常工作。</w:t>
            </w:r>
          </w:p>
          <w:p w14:paraId="28CD84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2、数据统计服务</w:t>
            </w:r>
          </w:p>
          <w:p w14:paraId="7A1271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为总队各科室做定期统计报表以及非定期统计报表，为交管决策层提供数据支持。</w:t>
            </w:r>
          </w:p>
          <w:p w14:paraId="3BE196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3、专项运维服务</w:t>
            </w:r>
          </w:p>
          <w:p w14:paraId="7FF3C3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（1）实时监控服务</w:t>
            </w:r>
          </w:p>
          <w:p w14:paraId="63FCC1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提供监控管理服务，如可对日常值守提供监控服务，对其进行评估和优化，促进日常值守等运维服务水平的提升，更好地达到运维值守效果，为用户带来切实利益。</w:t>
            </w:r>
          </w:p>
          <w:p w14:paraId="06E2F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（2）补丁升级</w:t>
            </w:r>
          </w:p>
          <w:p w14:paraId="080F8B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根据需求，安装经过审批的操作系统补丁，对各种应用软件进行相应升级。在非业务或批准的时间，给系统更新最新的补丁，以强化系统。</w:t>
            </w:r>
          </w:p>
          <w:p w14:paraId="272C8B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1）对操作系统等应用软件版本升级的计划和随时向采购人提出建议。</w:t>
            </w:r>
          </w:p>
          <w:p w14:paraId="3A5436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2）安装新版本的应用软件，并进行测试及确定其基本功能。</w:t>
            </w:r>
          </w:p>
          <w:p w14:paraId="180DB2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（3）部署实施</w:t>
            </w:r>
          </w:p>
          <w:p w14:paraId="0B5A2E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按要求对系统提供安装部署服务，包括原有运行环境的维护及部署，新增功能及新增设备的系统部署等。</w:t>
            </w:r>
          </w:p>
          <w:p w14:paraId="12C682F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（4）应急故障响应</w:t>
            </w:r>
          </w:p>
          <w:p w14:paraId="797B98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维护单位成立相应的技术专家小组和一线服务工程师，在接到用户维修要求后，按规定时间进行响应，到达现场处理并提出问题解决方案所采取的措施。</w:t>
            </w:r>
          </w:p>
          <w:p w14:paraId="00F96F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除此之外，专门成立咨询服务中心，提供全年7*24小时全天候的系统产品或技术方面的电话咨询服务。根据总队要求，帮助用户解决实际应用问题，并负责解释造成这种问题的主要原因及如何避免此类问题的再次发生。</w:t>
            </w:r>
          </w:p>
          <w:p w14:paraId="6FA4BE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（5）异常数据处理</w:t>
            </w:r>
          </w:p>
          <w:p w14:paraId="5E22C4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对涉及交通管理扩充系统异常数据进行情况处理：</w:t>
            </w:r>
          </w:p>
          <w:p w14:paraId="11C907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1）系统巡检时发现的系统异常及异常数据；</w:t>
            </w:r>
          </w:p>
          <w:p w14:paraId="40A1AC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2）各业务部门反馈的需要处理的异常数据；</w:t>
            </w:r>
          </w:p>
          <w:p w14:paraId="4330A8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3）应急情况下的数据处理。</w:t>
            </w:r>
          </w:p>
          <w:p w14:paraId="2327A7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4、故障处理服务</w:t>
            </w:r>
          </w:p>
          <w:p w14:paraId="4471A2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（1）收集故障信息</w:t>
            </w:r>
          </w:p>
          <w:p w14:paraId="11E71C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当接到用户故障报告后，通过电话或远程在线方式，获取故障信息，并指导用户保留现场。</w:t>
            </w:r>
          </w:p>
          <w:p w14:paraId="33B39F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（2）故障处理方案</w:t>
            </w:r>
          </w:p>
          <w:p w14:paraId="18C471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投标人需拥有较强的运维服务能力，根据分析诊断和故障定位的结果，协助联系原厂商或其他相关公司制定周密的计划和方案。</w:t>
            </w:r>
          </w:p>
          <w:p w14:paraId="59951F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5、外挂软件接口维护</w:t>
            </w:r>
          </w:p>
          <w:p w14:paraId="04B63C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（1）对外服务接口维护</w:t>
            </w:r>
          </w:p>
          <w:p w14:paraId="528A39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根据业务特点，需要访问相关系统的，获取或者写入相关数据。</w:t>
            </w:r>
          </w:p>
          <w:p w14:paraId="30D707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（2）外挂程序</w:t>
            </w:r>
          </w:p>
          <w:p w14:paraId="5A832B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为规范数据访问标准，确保综合应用平台数据规范和安全，扩充系统开发Web-service访问接口，避免了直接访问数据库的方式。</w:t>
            </w:r>
          </w:p>
        </w:tc>
      </w:tr>
      <w:tr w14:paraId="21551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5DCC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K-6</w:t>
            </w:r>
          </w:p>
        </w:tc>
        <w:tc>
          <w:tcPr>
            <w:tcW w:w="1125" w:type="dxa"/>
            <w:vAlign w:val="center"/>
          </w:tcPr>
          <w:p w14:paraId="5CB4F1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48E635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K-6服务</w:t>
            </w:r>
          </w:p>
        </w:tc>
        <w:tc>
          <w:tcPr>
            <w:tcW w:w="5449" w:type="dxa"/>
            <w:vAlign w:val="top"/>
          </w:tcPr>
          <w:p w14:paraId="79F3C0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配合信息系统安全测评，完成交警信息系统运行环境巡检：</w:t>
            </w:r>
          </w:p>
          <w:p w14:paraId="4ED058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1、网络安全设备巡检</w:t>
            </w:r>
          </w:p>
          <w:p w14:paraId="297056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（1）边界防火墙</w:t>
            </w:r>
          </w:p>
          <w:p w14:paraId="3B1A2B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系统管理——状态中的面板、仪表盘、流量、最新事件，查看CPU、内存、磁盘利用率、报警信息等。</w:t>
            </w:r>
          </w:p>
          <w:p w14:paraId="4213CD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（2）加固防火墙</w:t>
            </w:r>
          </w:p>
          <w:p w14:paraId="4F89BF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系统管理——状态中的面板、仪表盘、最新事件，查看CPU、内存、磁盘利用率、报警信息等。</w:t>
            </w:r>
          </w:p>
          <w:p w14:paraId="75F81E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（3）防毒墙</w:t>
            </w:r>
          </w:p>
          <w:p w14:paraId="287426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系统管理——状态中的面板、仪表盘、最新事件，查看CPU、内存、磁盘利用率、报警信息等，查看最新事件中各种安全威胁的统计情况。</w:t>
            </w:r>
          </w:p>
          <w:p w14:paraId="35CC77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有疑问的联系设备厂家工程师。</w:t>
            </w:r>
          </w:p>
          <w:p w14:paraId="6F3CD1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（4）查看防火墙防毒墙日志存储专用设备</w:t>
            </w:r>
          </w:p>
          <w:p w14:paraId="52B441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主页中查看CPU、内存、磁盘利用率、实时告警等，有疑问的联系设备厂家工程师。</w:t>
            </w:r>
          </w:p>
          <w:p w14:paraId="506D33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（5）Web防火墙</w:t>
            </w:r>
          </w:p>
          <w:p w14:paraId="58489C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查看CPU、内存、最近事件等。</w:t>
            </w:r>
          </w:p>
          <w:p w14:paraId="748D96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应用监控——安全事件监控中查看响应动作：通过、丢弃、阻断，通过的响应动作中是否有安全威胁，有疑问的联系设备厂家工程师。</w:t>
            </w:r>
          </w:p>
          <w:p w14:paraId="26BDDE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（6）安全审计</w:t>
            </w:r>
          </w:p>
          <w:p w14:paraId="3FE873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审计记录、异常情况。</w:t>
            </w:r>
          </w:p>
          <w:p w14:paraId="2DDFAE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（7）漏洞扫描</w:t>
            </w:r>
          </w:p>
          <w:p w14:paraId="1F9966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查看CPU、内存、上次扫描已经版本升级情况等。</w:t>
            </w:r>
          </w:p>
          <w:p w14:paraId="3B8DEA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（8）入侵检测系统</w:t>
            </w:r>
          </w:p>
          <w:p w14:paraId="364718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主页中查看最近24小时拒绝服务、扫描、蠕虫、木马病毒情况。</w:t>
            </w:r>
          </w:p>
          <w:p w14:paraId="18AB4C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威胁展示中查看实时事件显示等。</w:t>
            </w:r>
          </w:p>
          <w:p w14:paraId="4F32E1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2、应用服务器巡检</w:t>
            </w:r>
          </w:p>
          <w:p w14:paraId="26BF43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（1）检查交通管理业务软件升级发布系统的运行状态。</w:t>
            </w:r>
          </w:p>
          <w:p w14:paraId="4A621A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（2）检查nginx反向代理的运行状况及存储空间使用情况。</w:t>
            </w:r>
          </w:p>
          <w:p w14:paraId="3A2C46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（3）检查fastdfs分布式文件系统的空间使用情况。</w:t>
            </w:r>
          </w:p>
          <w:p w14:paraId="20732C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（4）检查redis高速缓存的运行状况。</w:t>
            </w:r>
          </w:p>
          <w:p w14:paraId="2FD0AE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（5）检查各项应用模块的发布状况。</w:t>
            </w:r>
          </w:p>
        </w:tc>
      </w:tr>
      <w:tr w14:paraId="3B8E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5D5A6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K-7</w:t>
            </w:r>
          </w:p>
        </w:tc>
        <w:tc>
          <w:tcPr>
            <w:tcW w:w="1125" w:type="dxa"/>
            <w:vAlign w:val="center"/>
          </w:tcPr>
          <w:p w14:paraId="1C7006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65D229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K-7</w:t>
            </w:r>
            <w:r>
              <w:rPr>
                <w:rFonts w:hint="eastAsia" w:ascii="宋体" w:hAnsi="宋体" w:eastAsia="宋体" w:cs="宋体"/>
                <w:bCs/>
                <w:color w:val="000000" w:themeColor="text1"/>
                <w:kern w:val="2"/>
                <w:sz w:val="21"/>
                <w:szCs w:val="21"/>
                <w:highlight w:val="none"/>
                <w14:textFill>
                  <w14:solidFill>
                    <w14:schemeClr w14:val="tx1"/>
                  </w14:solidFill>
                </w14:textFill>
              </w:rPr>
              <w:t>服务</w:t>
            </w:r>
          </w:p>
        </w:tc>
        <w:tc>
          <w:tcPr>
            <w:tcW w:w="5449" w:type="dxa"/>
            <w:vAlign w:val="top"/>
          </w:tcPr>
          <w:p w14:paraId="01203E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根据公安部交管局和广西交管总队工作安排，配合做好以下保障服务：</w:t>
            </w:r>
          </w:p>
          <w:p w14:paraId="2C3264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国家法定节假日保障服务：提供24小时服务响应，包括用户单位重大活动期间现场备勤、值班，重大事件现场值守服务，直至活动结束。节假日包括元旦、春节、广西三月三、清明、五一、端午、中秋、国庆等全国及广西节假日。</w:t>
            </w:r>
          </w:p>
          <w:p w14:paraId="578A85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2、非工作日升级保障服务（核心业务系统升级）：为了不影响工作日正常业务办理，提升老百姓满意度和服务水平，在周末或者工作日下班后进行升级服务。</w:t>
            </w:r>
          </w:p>
          <w:p w14:paraId="4BD0F4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3、公安部试点任务保障服务：公安部交管局在广西进行的业务试点工作，需进行现场保障以及服务响应直至试点工作结束。</w:t>
            </w:r>
          </w:p>
        </w:tc>
      </w:tr>
      <w:tr w14:paraId="29C6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F09F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K-8</w:t>
            </w:r>
          </w:p>
        </w:tc>
        <w:tc>
          <w:tcPr>
            <w:tcW w:w="1125" w:type="dxa"/>
            <w:vAlign w:val="center"/>
          </w:tcPr>
          <w:p w14:paraId="7266D8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56B02C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K-8</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top"/>
          </w:tcPr>
          <w:p w14:paraId="05B5D0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一、农村道路交通安全管理信息系统维护</w:t>
            </w:r>
          </w:p>
          <w:p w14:paraId="06E1B2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（1）保证14个市支队农村道路交通安全管理信息系统软件正常运行。</w:t>
            </w:r>
          </w:p>
          <w:p w14:paraId="6475FA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（2）保障平台运行环境正常、协助各市实现系统正常数据交换。</w:t>
            </w:r>
          </w:p>
          <w:p w14:paraId="589426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（3）对于软件平台数据交换中产生的异常数据及使用问题。</w:t>
            </w:r>
          </w:p>
          <w:p w14:paraId="6A84A7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（4）按照公安部交通管理科学研究所对公安网系统软件的升级要求按时进行软件升级服务,保障系统正常稳定运行。</w:t>
            </w:r>
          </w:p>
          <w:p w14:paraId="325184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（5）提供7*24小时技术支持电话服务，紧急情况1小时内到现场处理。</w:t>
            </w:r>
          </w:p>
          <w:p w14:paraId="05911F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（6）根据公安厅、交管总队警务备勤需要安排人员现场值班。</w:t>
            </w:r>
          </w:p>
          <w:p w14:paraId="2C6A64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二、道路交通事故快处快撤系统维护</w:t>
            </w:r>
          </w:p>
          <w:p w14:paraId="09B377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（1）保证14个市支队事故快处快撤系统软件正常运行，开展日常管理和运维、业务保障等工作。</w:t>
            </w:r>
          </w:p>
          <w:p w14:paraId="03A8F5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（2）按照公安部交通管理科学研究所对公安网系统软件的升级要求按时进行软件升级服务,保证系统正常稳定运行。</w:t>
            </w:r>
          </w:p>
          <w:p w14:paraId="3CB674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（3）提供7*24小时技术支持电话服务，紧急情况1小时内到现场处理。</w:t>
            </w:r>
          </w:p>
          <w:p w14:paraId="3B8F4F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（4）保障平台运行环境正常、协助各市实现系统正常数据交换。</w:t>
            </w:r>
          </w:p>
          <w:p w14:paraId="5A76B7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（5）根据公安厅、交管总队警务备勤需要安排人员现场值班。</w:t>
            </w:r>
          </w:p>
          <w:p w14:paraId="664DED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三、两个教育（满分教育和审验教育）系统维护</w:t>
            </w:r>
          </w:p>
          <w:p w14:paraId="485E4D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（1）开展互联网学习教育平台日常管理和运维、确保信息安全和业务保障等工作。</w:t>
            </w:r>
          </w:p>
          <w:p w14:paraId="362E0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（2）按照公安部交通管理科学研究所对公安网系统软件的升级要求按时进行软件升级服务,保证系统正常稳定运行。</w:t>
            </w:r>
          </w:p>
          <w:p w14:paraId="7693AF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（3）提供7*24小时技术支持电话服务，紧急情况1小时内到现场处理。</w:t>
            </w:r>
          </w:p>
          <w:p w14:paraId="4001C7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（4）保障平台运行环境正常、协助各市实现系统正常数据交换。</w:t>
            </w:r>
          </w:p>
          <w:p w14:paraId="67EBCC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（5）根据公安厅、交管总队警务备勤需要安排人员现场值班。</w:t>
            </w:r>
          </w:p>
        </w:tc>
      </w:tr>
      <w:tr w14:paraId="6E3F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3E90F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K-9</w:t>
            </w:r>
          </w:p>
        </w:tc>
        <w:tc>
          <w:tcPr>
            <w:tcW w:w="1125" w:type="dxa"/>
            <w:vAlign w:val="center"/>
          </w:tcPr>
          <w:p w14:paraId="133CD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6ECDA7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K-9</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top"/>
          </w:tcPr>
          <w:p w14:paraId="70CF59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保障车辆购置税完税证明和机动车销售发票信息共享交换平台正常运行，包括：平台运行环境正常、协助税务局实现系统正常数据交换，对于软件平台数据交换中产生的异常数据提供技术支持服务，同时按照公安部交通管理科学研究所对公安网系统软件的升级要求按时进行软件升级服务，保证系统正常稳定运行。</w:t>
            </w:r>
          </w:p>
        </w:tc>
      </w:tr>
      <w:tr w14:paraId="70DC2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08A6F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K-10</w:t>
            </w:r>
          </w:p>
        </w:tc>
        <w:tc>
          <w:tcPr>
            <w:tcW w:w="1125" w:type="dxa"/>
            <w:vAlign w:val="center"/>
          </w:tcPr>
          <w:p w14:paraId="1A4350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197702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K-10</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top"/>
          </w:tcPr>
          <w:p w14:paraId="5B0BF0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系统包含音视频信息管理系统、信息安全监管平台。提供以下专项运维服务：</w:t>
            </w:r>
          </w:p>
          <w:p w14:paraId="073A35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1、业务数据维护服务</w:t>
            </w:r>
          </w:p>
          <w:p w14:paraId="7517B6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提供如下业务数据维护服务：</w:t>
            </w:r>
          </w:p>
          <w:p w14:paraId="58F04A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（1）对于错误数据进行检查和人工干预，以保证数据质量。</w:t>
            </w:r>
          </w:p>
          <w:p w14:paraId="5D4AA1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（2）解决因数据错误引起的无法办理相关业务的故障问题。</w:t>
            </w:r>
          </w:p>
          <w:p w14:paraId="02D1F3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（3）按规定的时间进行数据更新，定时任务传输数据，保证数据上传或者下载成功，如有必要需要进行人工上传或下载。</w:t>
            </w:r>
          </w:p>
          <w:p w14:paraId="2609F1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（4）在收到有关请求后，人工解决用户在数据上传下载过程中的问题和故障。</w:t>
            </w:r>
          </w:p>
          <w:p w14:paraId="6D8B7A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（5）保证业务相关数据的安全，使各业务系统正常工作。</w:t>
            </w:r>
          </w:p>
          <w:p w14:paraId="0805D7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2、专项运维服务</w:t>
            </w:r>
          </w:p>
          <w:p w14:paraId="1001EC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（1）实时监控服务</w:t>
            </w:r>
          </w:p>
          <w:p w14:paraId="493FCC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提供监控管理服务，如可对日常值守提供监控服务，对其进行评估和优化，促进日常值守等运维服务水平的提升，更好地达到运维值守效果，为用户带来切实利益。</w:t>
            </w:r>
          </w:p>
          <w:p w14:paraId="06BC19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（2）补丁升级</w:t>
            </w:r>
          </w:p>
          <w:p w14:paraId="629DD3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根据需求，安装经过审批的操作系统补丁，对各种应用软件进行相应升级。在非业务或批准的时间，给系统更新最新的补丁，以强化系统。</w:t>
            </w:r>
          </w:p>
          <w:p w14:paraId="6DD285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1)对操作系统等应用软件版本升级的计划和随时向采购人提出建议。</w:t>
            </w:r>
          </w:p>
          <w:p w14:paraId="3B66FA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2)安装新版本的应用软件，并进行测试及确定其基本功能。</w:t>
            </w:r>
          </w:p>
          <w:p w14:paraId="093DBB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（3）部署实施</w:t>
            </w:r>
          </w:p>
          <w:p w14:paraId="3B6763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按要求对系统提供安装部署服务，包括原有运行环境的维护及部署，新增功能及新增设备的系统部署等。</w:t>
            </w:r>
          </w:p>
          <w:p w14:paraId="205CBA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（4）应急故障响应</w:t>
            </w:r>
          </w:p>
          <w:p w14:paraId="44DEDE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维护单位成立相应的技术专家小组和一线服务工程师，在接到用户维修要求后，按规定时间进行响应，到达现场处理并提出问题解决方案所采取的措施。</w:t>
            </w:r>
          </w:p>
          <w:p w14:paraId="335AA2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除此之外，专门成立咨询服务中心，在服务期内提供7×24小时全天候的系统产品或技术方面的电话咨询服务。根据总队要求，帮助用户解决实际应用问题，并负责解释造成这种问题的主要原因及如何避免此类问题的再次发生。</w:t>
            </w:r>
          </w:p>
          <w:p w14:paraId="2EC735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（5）异常数据处理</w:t>
            </w:r>
          </w:p>
          <w:p w14:paraId="301268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对涉及统异常数据进行情况处理：</w:t>
            </w:r>
          </w:p>
          <w:p w14:paraId="0BD3BC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1）系统巡检时发现的系统异常及异常数据；</w:t>
            </w:r>
          </w:p>
          <w:p w14:paraId="73F9FB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2）各业务部门反馈的需要处理的异常数据；</w:t>
            </w:r>
          </w:p>
          <w:p w14:paraId="36EC70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3）应急情况下的数据处理。</w:t>
            </w:r>
          </w:p>
          <w:p w14:paraId="3D7098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4、故障处理服务</w:t>
            </w:r>
          </w:p>
          <w:p w14:paraId="00874C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（1）收集故障信息</w:t>
            </w:r>
          </w:p>
          <w:p w14:paraId="13DEA5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当接到用户故障报告后，通过电话或远程在线方式，获取故障信息，并指导用户保留现场。</w:t>
            </w:r>
          </w:p>
          <w:p w14:paraId="25EDC7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（2）故障处理方案</w:t>
            </w:r>
          </w:p>
          <w:p w14:paraId="7339BB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投标人需拥有较强的运维服务能力，根据分析诊断和故障定位的结果，协助联系原厂商或其他相关公司制定周密的计划和方案。</w:t>
            </w:r>
          </w:p>
        </w:tc>
      </w:tr>
      <w:tr w14:paraId="01CB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75" w:type="dxa"/>
            <w:vAlign w:val="center"/>
          </w:tcPr>
          <w:p w14:paraId="2FB77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K-11</w:t>
            </w:r>
          </w:p>
        </w:tc>
        <w:tc>
          <w:tcPr>
            <w:tcW w:w="1125" w:type="dxa"/>
            <w:vAlign w:val="center"/>
          </w:tcPr>
          <w:p w14:paraId="47EAB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33140C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K-11</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top"/>
          </w:tcPr>
          <w:p w14:paraId="681A08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（一）应用系统功能软件维护：</w:t>
            </w:r>
          </w:p>
          <w:p w14:paraId="3858EAB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在维护期内，派技术员常驻交管总队提供现场技术服务，并按交管总队正常作息时间上班，遵守交管总队的规章制度，服从交管总队的日常管理。每天检查、监控、分析系统数据统一接入服务中间件的运行情况、数据负载情况，并及时调整接入策略，确保数据正常稳定、高效接入；定期检查、监控、分析系统数据统一推送服务中间件的运行情况、临时存放空间情况，数据向上级平台推送效率和数据量，及时进行任务优化。</w:t>
            </w:r>
          </w:p>
          <w:p w14:paraId="328398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在系统运行出现问题或故障时，服务人员按照四种现场处理级别进行响应处理，系统未恢复服务人员不能从现场撤离。原系统软件功能缺陷，以及应用中出现的BUG，在4个工作日内完成修改、部署升级并提供故障分析报告。</w:t>
            </w:r>
          </w:p>
          <w:p w14:paraId="05AFDC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3、因第三方网络、硬件和软件系统故障而造成系统运行故障的，全程协助解决故障直至系统恢复正常运行。</w:t>
            </w:r>
          </w:p>
          <w:p w14:paraId="6C6543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4、技术支持的方式包括：电话技术服务、现场技术服务、定期巡查服务、技术升级服务等；终端软件可通过无线下载自动升级。</w:t>
            </w:r>
          </w:p>
          <w:p w14:paraId="3BDF42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5、提供对于现有功能缺陷的完善以及不涉及系统现有架构变动的功能性修改。</w:t>
            </w:r>
          </w:p>
          <w:p w14:paraId="6904E3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6、根据采购人工作安排，针对系统的数据库、接入策略、推送策略进行优化，确保数据传输时效要求。</w:t>
            </w:r>
          </w:p>
          <w:p w14:paraId="5DAEE6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（二）应用平台优化服务</w:t>
            </w:r>
          </w:p>
          <w:p w14:paraId="15B2D9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包括但不限于以下服务内容：</w:t>
            </w:r>
          </w:p>
          <w:p w14:paraId="1D4337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警情管理模块：根据用户需求进行“警情监测”、“警情概要报告”、“警情统计”、“警情高发研判分析”、“警情预警”等子项进行优化，从不同角度对警情进行监测和分析，使研判依据更加充分，研判结果更加准确。</w:t>
            </w:r>
          </w:p>
          <w:p w14:paraId="297B66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高速路ETC数据：重点优化全区高速路流量、进出广西流量、全区各高速路流量、全区高速路高峰时段路段流量、车辆类型流量、全区各行政辖区流量等6项主要数据指标。并对全区高速流量概览、每日流量概览、地图单点位实时流量同期比等页面初定优化意见，实现全区高速路流量动态的检测，以及地图流量饱和度红黄绿相应颜色显示。该模块有助于提高交警对高速路况的管控。</w:t>
            </w:r>
          </w:p>
          <w:p w14:paraId="19E3B3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事件检测：开展选点工作，拟选定全区32个点位，满载运行测试，平台对接完成后将数据接入平台原“交通检测-交通事件管理”子项，将测试结果数据接入平台应用，可统计分析及融入平台与其他数据融合，可开展有关研判分析工作，研判分析高速公路高发违法路段等。有助于指导路面交通管理工作”,及时调整指挥疏导工作重点和警力部署。</w:t>
            </w:r>
          </w:p>
          <w:p w14:paraId="448242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4、统计模块：重点优化流量统计分析。重新设计原菜单及页面。重点对应高速路ETC数据、事件监测数据等进行优化。有助于数据研判及分析。</w:t>
            </w:r>
          </w:p>
          <w:p w14:paraId="05DC00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5、视频监控模块：优化大屏上墙功能，结合GIS地图上墙，实现地图点位拖动即可上墙。有助于指挥中心扁平、高效的指挥调度工作。</w:t>
            </w:r>
          </w:p>
          <w:p w14:paraId="7C316D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6、配合指挥中心研判工作小组和科技处进行各业务平台的调研、设计、优化、技术支援等工作，实现道路通行状态实时监测、大范围应急指挥与协作、多渠道信息关联共享、多元化交通信息服务、数据综合研判分析、全方位勤务监督考核等目标。</w:t>
            </w:r>
          </w:p>
          <w:p w14:paraId="6C81EE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7、以上接口对接及软件升级优化等费用均由服务供应商负责。</w:t>
            </w:r>
          </w:p>
          <w:p w14:paraId="3F3B0E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8、运维过程中平台优化测试涉及到国产化硬件服务器及国产化系统适配，软硬件均由服务供应商负责提供，并协助进行测试和适配相关工作。</w:t>
            </w:r>
          </w:p>
          <w:p w14:paraId="2E1136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（三）数据共享接口优化服务</w:t>
            </w:r>
          </w:p>
          <w:p w14:paraId="70B551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通过指挥中心数据共享交换系统共享数据给交警各支队大队使用，接口包括但不限于以下内容：</w:t>
            </w:r>
          </w:p>
          <w:p w14:paraId="0EB469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1、系统通过平台提供的SDK包通过kafka调用获取实时过车和违法数据。</w:t>
            </w:r>
          </w:p>
          <w:p w14:paraId="56F5EE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2、数据类型：过车数据和违法数据都是推送文本数据，其中包括图片的URL。</w:t>
            </w:r>
          </w:p>
          <w:p w14:paraId="3A9906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3、数据结构：</w:t>
            </w:r>
          </w:p>
          <w:p w14:paraId="20C8FD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（1）相关的卡口过车数据、ETC通行数据、收费站通行数据、违法数据，设备数据等科信通过API调用获取数据。</w:t>
            </w:r>
          </w:p>
          <w:p w14:paraId="6A1A92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（2）相关的卡口过车数据、ETC通行数据、收费站通行数据、违法数据，设备数据等表结构及字段说明，需要根据公安的1400接口规范进行接口优化，进行表结构分析转化成1400规范。</w:t>
            </w:r>
          </w:p>
          <w:p w14:paraId="212390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4、卡口设备：</w:t>
            </w:r>
          </w:p>
          <w:p w14:paraId="466A6D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（1）需要卡口的基础信息，比如名称，编码，坐标等，各应用系统通过API调用查询获取。</w:t>
            </w:r>
          </w:p>
          <w:p w14:paraId="34A536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（2）卡口的基础信息由交警提供相关的查询接口，需要提供http的rest接口或对应api,给到公安厅大数据平台。</w:t>
            </w:r>
          </w:p>
          <w:p w14:paraId="6BF595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5、ETC数据：</w:t>
            </w:r>
          </w:p>
          <w:p w14:paraId="04E94E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（1）通过接口获取到全区的ETC通行数据、收费站出入通行数据，对车辆在高速上通行形成轨迹研判。</w:t>
            </w:r>
          </w:p>
          <w:p w14:paraId="2C4AB1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（2）需要提供http的rest接口或对应api,给到交警各支队大队使用。</w:t>
            </w:r>
          </w:p>
          <w:p w14:paraId="5EE93C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6、运维过程涉及到新的接口开发均由服务供应商负责提供免费开发，并协助进行测试和适配相关工作。</w:t>
            </w:r>
          </w:p>
          <w:p w14:paraId="703AA6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（四）创新实验室增值服务</w:t>
            </w:r>
          </w:p>
          <w:p w14:paraId="25C731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在现有的数据平台上配合采购人进行创新实验室相关的软件设计方案、数据收集、环境配置、软件升级优化等（创新实验室所需的软硬件件、操作系统、数据库、软件升级优化等费用均由服务供应商负责）。</w:t>
            </w:r>
          </w:p>
        </w:tc>
      </w:tr>
      <w:tr w14:paraId="78F6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D78D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K-12</w:t>
            </w:r>
          </w:p>
        </w:tc>
        <w:tc>
          <w:tcPr>
            <w:tcW w:w="1125" w:type="dxa"/>
            <w:vAlign w:val="center"/>
          </w:tcPr>
          <w:p w14:paraId="4D312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68DBC0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K-12</w:t>
            </w:r>
            <w:r>
              <w:rPr>
                <w:rFonts w:hint="eastAsia" w:ascii="宋体" w:hAnsi="宋体" w:eastAsia="宋体" w:cs="宋体"/>
                <w:color w:val="000000" w:themeColor="text1"/>
                <w:kern w:val="2"/>
                <w:sz w:val="21"/>
                <w:szCs w:val="21"/>
                <w:highlight w:val="none"/>
                <w14:textFill>
                  <w14:solidFill>
                    <w14:schemeClr w14:val="tx1"/>
                  </w14:solidFill>
                </w14:textFill>
              </w:rPr>
              <w:t>平台</w:t>
            </w:r>
          </w:p>
        </w:tc>
        <w:tc>
          <w:tcPr>
            <w:tcW w:w="5449" w:type="dxa"/>
            <w:vAlign w:val="top"/>
          </w:tcPr>
          <w:p w14:paraId="66D2B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1、业务数据维护服务</w:t>
            </w:r>
          </w:p>
          <w:p w14:paraId="0F81C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（1）对于错误数据进行检查和人工干预，以保证数据质量。</w:t>
            </w:r>
          </w:p>
          <w:p w14:paraId="1C659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（2）解决因数据错误引起的无法办理相关业务的故障问题。</w:t>
            </w:r>
          </w:p>
          <w:p w14:paraId="68970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（3）按部局规定的时间进行数据更新，定时任务传输数据，保证数据上传或者下载成功，如有必要需要进行人工上传或下载。</w:t>
            </w:r>
          </w:p>
          <w:p w14:paraId="2D54DC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（4）在收到有关请求后，人工解决交警用户在数据上传下载过程中的问题和故障。</w:t>
            </w:r>
          </w:p>
          <w:p w14:paraId="6BFBB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（5）保证业务相关数据的安全，使各业务系统正常工作。</w:t>
            </w:r>
          </w:p>
          <w:p w14:paraId="4111B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2、数据统计服务</w:t>
            </w:r>
          </w:p>
          <w:p w14:paraId="269F6B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为总队各科室做定期统计报表以及非定期统计报表，为交管决策层提供数据支持。</w:t>
            </w:r>
          </w:p>
          <w:p w14:paraId="78541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3、专项运维服务</w:t>
            </w:r>
          </w:p>
          <w:p w14:paraId="43F9FD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（1）实时监控服务</w:t>
            </w:r>
          </w:p>
          <w:p w14:paraId="3B5A31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提供监控管理服务，如可对日常值守提供监控服务，对其进行评估和优化，促进日常值守等运维服务水平的提升，更好地达到运维值守效果，为用户带来切实利益。</w:t>
            </w:r>
          </w:p>
          <w:p w14:paraId="57AC14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（2）补丁升级</w:t>
            </w:r>
          </w:p>
          <w:p w14:paraId="54C46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根据需求，安装经过审批的操作系统补丁，对各种应用软件进行相应升级。在非业务或批准的时间，给系统更新最新的补丁，以强化系统。</w:t>
            </w:r>
          </w:p>
          <w:p w14:paraId="2B1842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对操作系统等应用软件版本升级的计划和随时向采购人提出建议。</w:t>
            </w:r>
          </w:p>
          <w:p w14:paraId="27ABA8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安装新版本的应用软件，并进行测试及确定其基本功能。</w:t>
            </w:r>
          </w:p>
          <w:p w14:paraId="48AC0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（3）应急故障响应</w:t>
            </w:r>
          </w:p>
          <w:p w14:paraId="7CF8BF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维护单位成立相应的技术专家小组和一线服务工程师，在接到用户维修要求后，按规定时间进行响应，到达现场处理并提出问题解决方案所采取的措施。</w:t>
            </w:r>
          </w:p>
          <w:p w14:paraId="052611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除此之外，专门成立咨询服务中心，服务期内提供7*24小时全天候的系统产品或技术方面的电话咨询服务。根据采购人要求，帮助用户解决实际应用问题，并负责解释造成这种问题的主要原因及如何避免此类问题的再次发生。</w:t>
            </w:r>
          </w:p>
          <w:p w14:paraId="2A83B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（4）部署实施</w:t>
            </w:r>
          </w:p>
          <w:p w14:paraId="639B3C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按要求对系统提供安装部署服务，包括原有运行环境的维护及部署，新增功能及新增设备的系统部署等。</w:t>
            </w:r>
          </w:p>
          <w:p w14:paraId="4A4B03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（5）异常数据处理</w:t>
            </w:r>
          </w:p>
          <w:p w14:paraId="2A118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对涉及公安交通管理综合应用平台异常数据进行情况处理：</w:t>
            </w:r>
          </w:p>
          <w:p w14:paraId="42C869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1）系统巡检时发现的系统异常及异常数据；</w:t>
            </w:r>
          </w:p>
          <w:p w14:paraId="3E4577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2）各业务部门反馈的需要处理的异常数据；</w:t>
            </w:r>
          </w:p>
          <w:p w14:paraId="3464C8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3）应急情况下的数据处理。</w:t>
            </w:r>
          </w:p>
          <w:p w14:paraId="620B54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4、故障处理服务</w:t>
            </w:r>
          </w:p>
          <w:p w14:paraId="35EC3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（1）收集故障信息</w:t>
            </w:r>
          </w:p>
          <w:p w14:paraId="52550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当接到用户故障报告后，通过电话或远程在线方式，获取故障信息，并指导用户保留现场。</w:t>
            </w:r>
          </w:p>
          <w:p w14:paraId="61E0E5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（2）故障处理方案</w:t>
            </w:r>
          </w:p>
          <w:p w14:paraId="08583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投标人需拥有较强的运维服务能力，根据分析诊断和故障定位的结果，协助联系原厂商或其他相关公司制定周密的计划和方案。</w:t>
            </w:r>
          </w:p>
          <w:p w14:paraId="4A1A8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5、外挂软件接口维护</w:t>
            </w:r>
          </w:p>
          <w:p w14:paraId="645A92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为配合大公安数据共享，多个部门需要使用综合应用平台数据，如网上办事大厅、短信告知服务平台等，为满足、保障这些部门的业务要求，需要更多的业务指导和接口维护工作。</w:t>
            </w:r>
          </w:p>
          <w:p w14:paraId="0744BE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（1）外警种服务接口维护</w:t>
            </w:r>
          </w:p>
          <w:p w14:paraId="7A5247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外警种根据业务特点，需要访问综合应用平台，获取或者写入相关数据。</w:t>
            </w:r>
          </w:p>
          <w:p w14:paraId="3D6270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（2）外挂程序</w:t>
            </w:r>
          </w:p>
          <w:p w14:paraId="16DA1C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为规范数据访问标准，确保综合应用平台数据规范和安全，综合应用平台设计了统一Web-service访问接口，避免了直接访问数据库的方式。</w:t>
            </w:r>
          </w:p>
        </w:tc>
      </w:tr>
      <w:tr w14:paraId="41E4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3BAB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K-13</w:t>
            </w:r>
          </w:p>
        </w:tc>
        <w:tc>
          <w:tcPr>
            <w:tcW w:w="1125" w:type="dxa"/>
            <w:vAlign w:val="center"/>
          </w:tcPr>
          <w:p w14:paraId="56ECB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1B256A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K-13</w:t>
            </w:r>
            <w:r>
              <w:rPr>
                <w:rFonts w:hint="eastAsia" w:ascii="宋体" w:hAnsi="宋体" w:eastAsia="宋体" w:cs="宋体"/>
                <w:color w:val="000000" w:themeColor="text1"/>
                <w:kern w:val="2"/>
                <w:sz w:val="21"/>
                <w:szCs w:val="21"/>
                <w:highlight w:val="none"/>
                <w14:textFill>
                  <w14:solidFill>
                    <w14:schemeClr w14:val="tx1"/>
                  </w14:solidFill>
                </w14:textFill>
              </w:rPr>
              <w:t>平台</w:t>
            </w:r>
          </w:p>
        </w:tc>
        <w:tc>
          <w:tcPr>
            <w:tcW w:w="5449" w:type="dxa"/>
            <w:vAlign w:val="top"/>
          </w:tcPr>
          <w:p w14:paraId="76CDFA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1、业务数据维护服务</w:t>
            </w:r>
          </w:p>
          <w:p w14:paraId="074C24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（1）对于错误数据进行检查和人工干预以保证平台数据质量。</w:t>
            </w:r>
          </w:p>
          <w:p w14:paraId="6B0236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（2）解决因数据错误引起的无法办理相关业务的故障问题。</w:t>
            </w:r>
          </w:p>
          <w:p w14:paraId="3AC464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（3）按部局规定的时间进行数据更新，定时任务传输数据，保证数据上传或者下载成功，如有必要需要进行人工上传或下载。</w:t>
            </w:r>
          </w:p>
          <w:p w14:paraId="560143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（4）在收到有关请求后，人工解决交警用户在数据上传下载过程中的问题和故障。</w:t>
            </w:r>
          </w:p>
          <w:p w14:paraId="55B6B7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（5）保证业务相关数据的安全。使各业务系统正常工作。</w:t>
            </w:r>
          </w:p>
          <w:p w14:paraId="5B1FA2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2、平台功能运维</w:t>
            </w:r>
          </w:p>
          <w:p w14:paraId="1719E3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针对互联网交通安全综合服务平台的业务功能进行日常维护，确保功能的实现以及业务流转的正常运作。包括：</w:t>
            </w:r>
          </w:p>
          <w:p w14:paraId="1AA902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互联网端业务：机动车业务、驾驶证业务、违法业务、驾校业务、医院业务、4S店业务、客货运企业。</w:t>
            </w:r>
          </w:p>
          <w:p w14:paraId="713FB1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后台管理业务：业务管理、宣传告知、审批审核、运行监控、查询统计、系统管理、APP应用管理。要求投标人需熟练掌握机动车/驾驶人相关业务办理流程。</w:t>
            </w:r>
          </w:p>
          <w:p w14:paraId="6E5499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APP业务：机动车业务、驾驶证业务、违法业务。投标人需熟练掌握机动车/驾驶人相关业务办理流程。</w:t>
            </w:r>
          </w:p>
          <w:p w14:paraId="592BDF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六合一平台：互联网业务。</w:t>
            </w:r>
          </w:p>
          <w:p w14:paraId="6D1B00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3、系统参数配置维护</w:t>
            </w:r>
          </w:p>
          <w:p w14:paraId="7B180F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（1）基础数据维护</w:t>
            </w:r>
          </w:p>
          <w:p w14:paraId="348FE1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包括：网点标注、办事指南、业务须知、注册模板维护、打印模板维护。</w:t>
            </w:r>
          </w:p>
          <w:p w14:paraId="717D1D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（2）系统参数维护</w:t>
            </w:r>
          </w:p>
          <w:p w14:paraId="210B23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系统参数维护分为如下类别：系统配置、应用安全配置、短信服务配置、数据交换配置、首页面配置、短信管理和违法处理参数配置。</w:t>
            </w:r>
          </w:p>
          <w:p w14:paraId="4FBE89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（3）部门参数和系统代码维护</w:t>
            </w:r>
          </w:p>
          <w:p w14:paraId="781CDF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负责交管总队部门参数和系统代码变更维护。</w:t>
            </w:r>
          </w:p>
          <w:p w14:paraId="63FC2D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变更配置由部局统一下发升级脚本，或在部局指导下进行维护操作。</w:t>
            </w:r>
          </w:p>
          <w:p w14:paraId="3996D4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4、内外网数据交换维护</w:t>
            </w:r>
          </w:p>
          <w:p w14:paraId="197A04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（1）内外网数据交换监控</w:t>
            </w:r>
          </w:p>
          <w:p w14:paraId="6B83AB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提供监控管理服务，如可对日常值守提供监控服务，对其进行评估和优化，促进日常值守等运维服务水平的提升，更好地达到运维值守效果，为用户带来切实利益。</w:t>
            </w:r>
          </w:p>
          <w:p w14:paraId="048806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包括：传输通道、数据交换任务、数据交换详细内容和省级传输通道监控。</w:t>
            </w:r>
          </w:p>
          <w:p w14:paraId="686D7C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投标人需对内外网数据交换有充分了解，特别是与六合一平台的对接集成。</w:t>
            </w:r>
          </w:p>
          <w:p w14:paraId="0CB083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（2）内外网数据交换检查</w:t>
            </w:r>
          </w:p>
          <w:p w14:paraId="7942EE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包括：对互联网数据交换预警检查、互联网数据交换详细日志检查、公安网数据交换定时任务检查和公安网数据交换详细日志检查。</w:t>
            </w:r>
          </w:p>
          <w:p w14:paraId="5B4FE5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5、短信平台日常维护</w:t>
            </w:r>
          </w:p>
          <w:p w14:paraId="5D1379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对短信平台的日常定期检查。</w:t>
            </w:r>
          </w:p>
          <w:p w14:paraId="6D9A65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6、应急故障响应</w:t>
            </w:r>
          </w:p>
          <w:p w14:paraId="729762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（1）需成立相应的技术专家小组和一线服务工程师，在接到用户维修要求后，按规定时间进行响应，提出问题解决方案所采取的措施。</w:t>
            </w:r>
          </w:p>
          <w:p w14:paraId="7F2436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（2）根据用户的要求，帮助用户解决实际应急故障问题，并负责解释造成这种问题的主要原因及如何避免此类问题的再次发生。</w:t>
            </w:r>
          </w:p>
          <w:p w14:paraId="063AEC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（3）提供7*24小时系统稳定保障及业务异常处理电话支持服务，并遇到紧急情况1小时以内到现场处理。</w:t>
            </w:r>
          </w:p>
          <w:p w14:paraId="4510F7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（4）根据公安厅、交管总队警务备勤需要安排人员现场值班。</w:t>
            </w:r>
          </w:p>
          <w:p w14:paraId="40F75F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7、异常数据处理</w:t>
            </w:r>
          </w:p>
          <w:p w14:paraId="0C82E3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对涉及互联网交通安全综合服务平台异常数据进行情况处理：</w:t>
            </w:r>
          </w:p>
          <w:p w14:paraId="0610D2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（1）系统巡检时发现的系统异常及异常数据；</w:t>
            </w:r>
          </w:p>
          <w:p w14:paraId="4D3D33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（2）各业务部门反馈的需要处理的异常数据；</w:t>
            </w:r>
          </w:p>
          <w:p w14:paraId="51DF3E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（3）应急情况下的数据处理。</w:t>
            </w:r>
          </w:p>
          <w:p w14:paraId="36E563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8、部署实施</w:t>
            </w:r>
          </w:p>
          <w:p w14:paraId="087797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（3）提供7*24小时系统稳定保障及业务异常处理电话支持服务，并遇到紧急情况1小时以内到现场处理。</w:t>
            </w:r>
          </w:p>
          <w:p w14:paraId="1E82FB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（4）根据公安厅、交警总队警务备勤需要安排人员现场值班。</w:t>
            </w:r>
          </w:p>
          <w:p w14:paraId="0FEA58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7、异常数据处理</w:t>
            </w:r>
          </w:p>
          <w:p w14:paraId="7B05E2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对涉及互联网交通安全综合服务平台异常数据进行情况处理：</w:t>
            </w:r>
          </w:p>
          <w:p w14:paraId="1AD2E4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（1）系统巡检时发现的系统异常及异常数据；</w:t>
            </w:r>
          </w:p>
          <w:p w14:paraId="083B08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（2）各业务部门反馈的需要处理的异常数据；</w:t>
            </w:r>
          </w:p>
          <w:p w14:paraId="3D3AE0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（3）应急情况下的数据处理。</w:t>
            </w:r>
          </w:p>
          <w:p w14:paraId="7C8713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8、部署实施</w:t>
            </w:r>
          </w:p>
          <w:p w14:paraId="2A72BC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按要求对系统提供安装部署服务包原有运行环境的维护及部署，新增功能及新增设备的系统部署等。</w:t>
            </w:r>
          </w:p>
        </w:tc>
      </w:tr>
      <w:tr w14:paraId="7915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ED09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K-14</w:t>
            </w:r>
          </w:p>
        </w:tc>
        <w:tc>
          <w:tcPr>
            <w:tcW w:w="1125" w:type="dxa"/>
            <w:vAlign w:val="center"/>
          </w:tcPr>
          <w:p w14:paraId="02658E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4EA708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K-14</w:t>
            </w:r>
            <w:r>
              <w:rPr>
                <w:rFonts w:hint="eastAsia" w:ascii="宋体" w:hAnsi="宋体" w:eastAsia="宋体" w:cs="宋体"/>
                <w:color w:val="000000" w:themeColor="text1"/>
                <w:kern w:val="2"/>
                <w:sz w:val="21"/>
                <w:szCs w:val="21"/>
                <w:highlight w:val="none"/>
                <w14:textFill>
                  <w14:solidFill>
                    <w14:schemeClr w14:val="tx1"/>
                  </w14:solidFill>
                </w14:textFill>
              </w:rPr>
              <w:t>系统</w:t>
            </w:r>
          </w:p>
        </w:tc>
        <w:tc>
          <w:tcPr>
            <w:tcW w:w="5449" w:type="dxa"/>
            <w:vAlign w:val="top"/>
          </w:tcPr>
          <w:p w14:paraId="7FE146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公安部统一部署的系统包含机动车产品公告查询服务系统、考试监管、交警网校。提供以下专项运维服务：</w:t>
            </w:r>
          </w:p>
          <w:p w14:paraId="2D918A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1、业务数据维护服务</w:t>
            </w:r>
          </w:p>
          <w:p w14:paraId="6EC9DA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提供如下业务数据维护服务：</w:t>
            </w:r>
          </w:p>
          <w:p w14:paraId="29A8C2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（1）对于错误数据进行检查和人工干预，以保证数据质量。</w:t>
            </w:r>
          </w:p>
          <w:p w14:paraId="78A2EE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（2）解决因数据错误引起的无法办理相关业务的故障问题。</w:t>
            </w:r>
          </w:p>
          <w:p w14:paraId="339D35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（3）按规定的时间进行数据更新，定时任务传输数据，保证数据上传或者下载成功，如有必要需要进行人工上传或下载。</w:t>
            </w:r>
          </w:p>
          <w:p w14:paraId="660736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（4）在收到有关请求后，人工解决用户在数据上传下载过程中的问题和故障。</w:t>
            </w:r>
          </w:p>
          <w:p w14:paraId="4E6219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（5）保证业务相关数据的安全，使各业务系统正常工作。</w:t>
            </w:r>
          </w:p>
          <w:p w14:paraId="2C6CCA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2、数据统计服务</w:t>
            </w:r>
          </w:p>
          <w:p w14:paraId="5F8134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为总队各科室做定期统计报表以及非定期统计报表，为交管决策层提供数据支持。</w:t>
            </w:r>
          </w:p>
          <w:p w14:paraId="211B52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3、专项运维服务</w:t>
            </w:r>
          </w:p>
          <w:p w14:paraId="0F9017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（1）实时监控服务</w:t>
            </w:r>
          </w:p>
          <w:p w14:paraId="6029EE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提供监控管理服务，如可对日常值守提供监控服务，对其进行评估和优化，促进日常值守等运维服务水平的提升，更好地达到运维值守效果，为用户带来切实利益。</w:t>
            </w:r>
          </w:p>
          <w:p w14:paraId="3E56A0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（2）补丁升级</w:t>
            </w:r>
          </w:p>
          <w:p w14:paraId="04910D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根据需求，安装经过审批的操作系统补丁，对各种应用软件进行相应升级。在非业务或批准的时间，给系统更新最新的补丁，以强化系统。</w:t>
            </w:r>
          </w:p>
          <w:p w14:paraId="714C89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1）对操作系统等应用软件版本升级的计划和随时向采购人提出建议。</w:t>
            </w:r>
          </w:p>
          <w:p w14:paraId="06E99F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2）安装新版本的应用软件，并进行测试及确定其基本功能。</w:t>
            </w:r>
          </w:p>
          <w:p w14:paraId="150BA5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（3）部署实施</w:t>
            </w:r>
          </w:p>
          <w:p w14:paraId="5A5D04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按要求对系统提供安装部署服务，包括原有运行环境的维护及部署，新增功能及新增设备的系统部署等。</w:t>
            </w:r>
          </w:p>
          <w:p w14:paraId="41B97D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（4）应急故障响应</w:t>
            </w:r>
          </w:p>
          <w:p w14:paraId="39BA25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维护单位成立相应的技术专家小组和一线服务工程师，在接到用户维修要求后，按规定时间进行响应，到达现场处理并提出问题解决方案所采取的措施。</w:t>
            </w:r>
          </w:p>
          <w:p w14:paraId="6A23EB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除此之外，专门成立咨询服务中心，在服务期内提供7*24小时全天候的系统产品或技术方面的电话咨询服务。根据总队要求，帮助用户解决实际应用问题，并负责解释造成这种问题的主要原因及如何避免此类问题的再次发生。</w:t>
            </w:r>
          </w:p>
          <w:p w14:paraId="449D22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（5）异常数据处理</w:t>
            </w:r>
          </w:p>
          <w:p w14:paraId="45DC24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对涉及交通管理扩充系统异常数据进行情况处理：</w:t>
            </w:r>
          </w:p>
          <w:p w14:paraId="5EA15B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1）系统巡检时发现的系统异常及异常数据；</w:t>
            </w:r>
          </w:p>
          <w:p w14:paraId="5089FF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2）各业务部门反馈的需要处理的异常数据；</w:t>
            </w:r>
          </w:p>
          <w:p w14:paraId="0E75E4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3）应急情况下的数据处理。</w:t>
            </w:r>
          </w:p>
          <w:p w14:paraId="7B0047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4、故障处理服务</w:t>
            </w:r>
          </w:p>
          <w:p w14:paraId="433D9C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（1）收集故障信息</w:t>
            </w:r>
          </w:p>
          <w:p w14:paraId="555D87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当接到用户故障报告后，通过电话或远程在线方式，获取故障信息，并指导用户保留现场。</w:t>
            </w:r>
          </w:p>
          <w:p w14:paraId="3F2C17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（2）故障处理方案</w:t>
            </w:r>
          </w:p>
          <w:p w14:paraId="1E7EE9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投标人需拥有较强的运维服务能力，根据分析诊断和故障定位的结果，协助联系原厂商或其他相关公司制定周密的计划和方案。</w:t>
            </w:r>
          </w:p>
          <w:p w14:paraId="121AF1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5、外挂软件接口维护</w:t>
            </w:r>
          </w:p>
          <w:p w14:paraId="4768C6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（1）对外服务接口维护</w:t>
            </w:r>
          </w:p>
          <w:p w14:paraId="5B3211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根据业务特点，需要访问相关系统的，获取或者写入相关数据。</w:t>
            </w:r>
          </w:p>
          <w:p w14:paraId="35AE0E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（2）外挂程序</w:t>
            </w:r>
          </w:p>
          <w:p w14:paraId="337425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为规范数据访问标准，确保综合应用平台数据规范和安全，扩充系统开发Web-service访问接口，避免了直接访问数据库的方式。</w:t>
            </w:r>
          </w:p>
        </w:tc>
      </w:tr>
      <w:tr w14:paraId="4396E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8A53E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K-15</w:t>
            </w:r>
          </w:p>
        </w:tc>
        <w:tc>
          <w:tcPr>
            <w:tcW w:w="1125" w:type="dxa"/>
            <w:vAlign w:val="center"/>
          </w:tcPr>
          <w:p w14:paraId="3598B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306094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K-15</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top"/>
          </w:tcPr>
          <w:p w14:paraId="5D1FA5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主要维保内容为软件，需要1名工程师持续开展运维保障工作，提供5*8小时电话在线服务，对故障在1小时内响应，12小时以内提出问题解决方案所采取的措施。</w:t>
            </w:r>
          </w:p>
        </w:tc>
      </w:tr>
      <w:tr w14:paraId="24ED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2A8E6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K-16</w:t>
            </w:r>
          </w:p>
        </w:tc>
        <w:tc>
          <w:tcPr>
            <w:tcW w:w="1125" w:type="dxa"/>
            <w:vAlign w:val="center"/>
          </w:tcPr>
          <w:p w14:paraId="5438E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23C1E8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K-16</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top"/>
          </w:tcPr>
          <w:p w14:paraId="1F0BD5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主要维保内容为软件，需要1名驻场工程师持续开展运维保障工作。每半年期提供一次运维报告。</w:t>
            </w:r>
          </w:p>
          <w:p w14:paraId="271A4B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1、视频巡查，每日通过巡查方式检查机动车检验业务情况、驾驶人考试业务情况。</w:t>
            </w:r>
          </w:p>
          <w:p w14:paraId="307919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2、设备与系统监控，利用监控工具，对具备监控条件的设备及其附属软件、系统、平台等开展运行情况实时监控，发现异常、告警信息及时汇报、处理，确保设备与系统隐患、故障获得第一时间解决。</w:t>
            </w:r>
          </w:p>
          <w:p w14:paraId="176A9F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（1）实时监测各维护对象的运行状态；</w:t>
            </w:r>
          </w:p>
          <w:p w14:paraId="107198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（2）发现异常和告警信息时，及时向上汇报、处理；</w:t>
            </w:r>
          </w:p>
          <w:p w14:paraId="0AFFED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（3）定期分析异常、告警信息，找到问题根源，形成解决方案。</w:t>
            </w:r>
          </w:p>
        </w:tc>
      </w:tr>
      <w:tr w14:paraId="7226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D3ECD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K-17</w:t>
            </w:r>
          </w:p>
        </w:tc>
        <w:tc>
          <w:tcPr>
            <w:tcW w:w="1125" w:type="dxa"/>
            <w:vAlign w:val="center"/>
          </w:tcPr>
          <w:p w14:paraId="669802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 单位</w:t>
            </w:r>
          </w:p>
        </w:tc>
        <w:tc>
          <w:tcPr>
            <w:tcW w:w="1737" w:type="dxa"/>
            <w:vAlign w:val="center"/>
          </w:tcPr>
          <w:p w14:paraId="3D1BCA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K-17服务</w:t>
            </w:r>
          </w:p>
        </w:tc>
        <w:tc>
          <w:tcPr>
            <w:tcW w:w="5449" w:type="dxa"/>
            <w:vAlign w:val="top"/>
          </w:tcPr>
          <w:p w14:paraId="4F094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1、提供日常维护服务，提供电话、传真、电子邮箱等形式的技术维护服务；</w:t>
            </w:r>
          </w:p>
          <w:p w14:paraId="47DA21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2、提供系统巡检服务，运维工程师每半个月巡检一次，巡检的内容形成巡检报告；</w:t>
            </w:r>
          </w:p>
          <w:p w14:paraId="471CF6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eastAsia="宋体" w:cs="宋体"/>
                <w:bCs/>
                <w:color w:val="000000" w:themeColor="text1"/>
                <w:kern w:val="2"/>
                <w:sz w:val="21"/>
                <w:szCs w:val="21"/>
                <w:highlight w:val="none"/>
                <w:lang w:val="en-US"/>
                <w14:textFill>
                  <w14:solidFill>
                    <w14:schemeClr w14:val="tx1"/>
                  </w14:solidFill>
                </w14:textFill>
              </w:rPr>
              <w:t>3、提供系统检测服务，工程师每半年组织一次对系统的全面检测，形成检测报告。</w:t>
            </w:r>
          </w:p>
        </w:tc>
      </w:tr>
      <w:tr w14:paraId="5BB5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464B2F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L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3E79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0793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5E2DA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55549E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705FD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32A8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75" w:type="dxa"/>
            <w:vAlign w:val="center"/>
          </w:tcPr>
          <w:p w14:paraId="339B54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L-1</w:t>
            </w:r>
          </w:p>
        </w:tc>
        <w:tc>
          <w:tcPr>
            <w:tcW w:w="1125" w:type="dxa"/>
            <w:vAlign w:val="center"/>
          </w:tcPr>
          <w:p w14:paraId="38E86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 单位</w:t>
            </w:r>
          </w:p>
        </w:tc>
        <w:tc>
          <w:tcPr>
            <w:tcW w:w="1737" w:type="dxa"/>
            <w:vAlign w:val="center"/>
          </w:tcPr>
          <w:p w14:paraId="44E4D7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L-1</w:t>
            </w:r>
            <w:r>
              <w:rPr>
                <w:rFonts w:hint="eastAsia" w:ascii="宋体" w:hAnsi="宋体" w:eastAsia="宋体" w:cs="宋体"/>
                <w:color w:val="000000" w:themeColor="text1"/>
                <w:kern w:val="0"/>
                <w:sz w:val="21"/>
                <w:szCs w:val="21"/>
                <w:highlight w:val="none"/>
                <w14:textFill>
                  <w14:solidFill>
                    <w14:schemeClr w14:val="tx1"/>
                  </w14:solidFill>
                </w14:textFill>
              </w:rPr>
              <w:t>平台</w:t>
            </w:r>
          </w:p>
        </w:tc>
        <w:tc>
          <w:tcPr>
            <w:tcW w:w="5449" w:type="dxa"/>
            <w:vAlign w:val="center"/>
          </w:tcPr>
          <w:p w14:paraId="276BD4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一、系统功能调整或新增需求开发服务</w:t>
            </w:r>
          </w:p>
          <w:p w14:paraId="5DCF2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提供对平台的bug修复、系统功能调整或新增需求开发服务，以应对平台运营过程中需要解决的各类技术问题。主要内容包括：</w:t>
            </w:r>
          </w:p>
          <w:p w14:paraId="0F88B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1、对接互联网大模型API开展智能应用</w:t>
            </w:r>
          </w:p>
          <w:p w14:paraId="2ADFA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2、平台现有功能框架下，进行简单的需求变更开发，以应对业务调整需求，如业务字段的调整，系统版面改版等。</w:t>
            </w:r>
          </w:p>
          <w:p w14:paraId="2CF9C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二、平台内容管理服务</w:t>
            </w:r>
          </w:p>
          <w:p w14:paraId="28A35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对平台设置的各类信息栏目提供采编与维护服务，如法制动态、政策法规、办事指南、执法信息公开专栏的内容编辑发布等。主要工作内容及要求：</w:t>
            </w:r>
          </w:p>
          <w:p w14:paraId="3B359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1、内容方面以质量为第一目标，围绕法制相关信息内容，提升网站信息的品质。</w:t>
            </w:r>
          </w:p>
          <w:p w14:paraId="71BB4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2、每日按制定好的添加信息模式进行信息的更新。</w:t>
            </w:r>
          </w:p>
          <w:p w14:paraId="7C7D7E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3、每日下午16:40分左右进行交叉审核，保证网站每日基本信息量的及时发布。</w:t>
            </w:r>
          </w:p>
          <w:p w14:paraId="556459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三、微信/微博运营管理</w:t>
            </w:r>
          </w:p>
          <w:p w14:paraId="26A71B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管理采购人的微信公众号、新浪微博等，按采购人要求发布实时消息。可以是动态、视频、公告等内容，也可以转发中央法制新闻或地区法制新闻相关报道，发布的内容只要是积极向上，能让用户增长法制相关知识即可。所有信息须经过严格审核后方能发布。服务期间发布的信息量按采购人要求而定。</w:t>
            </w:r>
          </w:p>
          <w:p w14:paraId="16E30E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四、数据互联中间件数据维护</w:t>
            </w:r>
          </w:p>
          <w:p w14:paraId="3E6BF9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于平台与警综之间进行交换的数据提供管理服务，包括的法制业务申请数据的较验，确保相关字段的完整性、合法性，避免推送到警综系统时产生数据异常，同时对警综推送来的执法公开文书进行审核，对隐私数据进行脱敏处理后才能公开（例如姓名、身份证号，电话号码等）。主要工作内容及要求：</w:t>
            </w:r>
          </w:p>
          <w:p w14:paraId="4F694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1、文书公开发布前检查数据的脱敏情况，避免隐私数据的传播。</w:t>
            </w:r>
          </w:p>
          <w:p w14:paraId="689DA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2、定期将内外网的数据进行比对，避免遗漏、文件丢失。</w:t>
            </w:r>
          </w:p>
          <w:p w14:paraId="1CEB5C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3、确保文书公开的时效性，警综生成的行政处罚文书、案件文书等，48小时内应能同步到互联网进行公开。</w:t>
            </w:r>
          </w:p>
          <w:p w14:paraId="29A1A9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4、每月汇总中间件交换的业务数据量，形成案件分类报表，供警情分析用。</w:t>
            </w:r>
          </w:p>
          <w:p w14:paraId="033AD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五、警民互动内容维护</w:t>
            </w:r>
          </w:p>
          <w:p w14:paraId="7C1A82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为了避免互动功能成为摆设，应对民众提交的回题，及时处理回复。运维组将收到的问题进行分类，推送至相关人员进行解答，并在网上进行反馈。</w:t>
            </w:r>
          </w:p>
          <w:p w14:paraId="47F58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1、建立警民互动信息响应机制，落实互动回复流程，建立响应时间的考评机制。</w:t>
            </w:r>
          </w:p>
          <w:p w14:paraId="1FF5DE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2、每天定时检查互动信息的提交情况，有新的互动问题，即按建立的响应流程进行信息处理。</w:t>
            </w:r>
          </w:p>
          <w:p w14:paraId="2E30A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3、如无特殊情况，互动回复响应的时间不能超过三个工作日，由运维人员跟踪督办。</w:t>
            </w:r>
          </w:p>
          <w:p w14:paraId="118BE2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六、法制专题栏目的策划与开发</w:t>
            </w:r>
          </w:p>
          <w:p w14:paraId="20D7BE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根据采购人的实际需求，密切结合法制部门的建设与业务发展动态，根据业务部门的重点内容，以及重大活动事件，策划、开发相关专题。服务期内完成专题栏目制作4个。</w:t>
            </w:r>
          </w:p>
          <w:p w14:paraId="78C991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1、针对法制部门发展动态项目经理与技术支撑团队的研发工程师、美工设计师共同完成专题策划案。</w:t>
            </w:r>
          </w:p>
          <w:p w14:paraId="2FBB8B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2、专题策划案通过相关领导批准之后，由美工设计师完成专题的界面设计与开发，交由研发工程师实现数据信息的动态展现功能。</w:t>
            </w:r>
          </w:p>
          <w:p w14:paraId="4A2E7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3、专题实现、部署之后，由技术支撑团队最大限度的采集符合专题类型的信息资源。</w:t>
            </w:r>
          </w:p>
          <w:p w14:paraId="267A5B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七、协同工作</w:t>
            </w:r>
          </w:p>
          <w:p w14:paraId="004AFC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协助采购人及相关业务科室完成平台相关的文字编辑及发布工作。对警民互动内容及业务模块内容进行整理推送至业务部门，保障行政复议、国家赔偿、听证业务等业务的及时办理。协助平台推广到各地市公安局法制部门使用，包含近百家单位管理，日常业务办理工作的指导、督办等工作。</w:t>
            </w:r>
          </w:p>
          <w:p w14:paraId="669759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八、信息安全管理服务</w:t>
            </w:r>
          </w:p>
          <w:p w14:paraId="3FF0B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根据信息安全等级保护（二级）要求，提供相关的安全管理服务。如环境管理、资产管理、介质管理、设备管理、网络安全管理、系统安全管理、恶意代码防范管理、密码管理、变更管理等。</w:t>
            </w:r>
          </w:p>
          <w:p w14:paraId="69AC99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九、应急响应支持</w:t>
            </w:r>
          </w:p>
          <w:p w14:paraId="56B42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为保证公安法制互联网信息服务平台运行稳定、安全，以便在系统出现运行故障、遭到攻击破坏时，能够迅速组织力量采取有效保障、处置措施，按采购人要求组织保障和技术保障确立由公司的管理层、研发工程师团队、硬件与网络工程师团队、客服团队以及采购人应急保障组共同组成的系统运行保障应急体系。</w:t>
            </w:r>
          </w:p>
          <w:p w14:paraId="337D3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十、短信通知服务</w:t>
            </w:r>
          </w:p>
          <w:p w14:paraId="5FE740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面向群众及办案民警的业务办理提醒手机短信通知服务。服务期内提供手机短信应用服务。</w:t>
            </w:r>
          </w:p>
          <w:p w14:paraId="7D594D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十一、协助业主导出源代码和数据库数据。</w:t>
            </w:r>
          </w:p>
        </w:tc>
      </w:tr>
      <w:tr w14:paraId="6E7A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FB9F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L-2</w:t>
            </w:r>
          </w:p>
        </w:tc>
        <w:tc>
          <w:tcPr>
            <w:tcW w:w="1125" w:type="dxa"/>
            <w:vAlign w:val="center"/>
          </w:tcPr>
          <w:p w14:paraId="3D0F2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 单位</w:t>
            </w:r>
          </w:p>
        </w:tc>
        <w:tc>
          <w:tcPr>
            <w:tcW w:w="1737" w:type="dxa"/>
            <w:vAlign w:val="center"/>
          </w:tcPr>
          <w:p w14:paraId="346CBB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L-2</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5449" w:type="dxa"/>
            <w:vAlign w:val="center"/>
          </w:tcPr>
          <w:p w14:paraId="2ED42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一、每个月进行系统数据更新服务</w:t>
            </w:r>
          </w:p>
          <w:p w14:paraId="61C45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二、定期进行系统回访跟踪，了解使用情况</w:t>
            </w:r>
          </w:p>
          <w:p w14:paraId="25AED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三、提供免费协助查询系统未收录到的生僻非涉密文件</w:t>
            </w:r>
          </w:p>
          <w:p w14:paraId="3EB0E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四、提供5人远程支持如下工作:</w:t>
            </w:r>
          </w:p>
          <w:p w14:paraId="02336C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1、授权的系统后台数据处理；包括数据查询、数据抽取校验、数据调试、数据备份、数据恢复；数据导入、导出、数据修正；处理；数据垃圾定期清理。</w:t>
            </w:r>
          </w:p>
          <w:p w14:paraId="7FA80C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2、提供数据统计分析的技术支持。</w:t>
            </w:r>
          </w:p>
          <w:p w14:paraId="6EA09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3、提供数据应用工作的技术支持；包括协助编制系统业务数据应用技术方案；业务数据应用需求分析；问题分析及整改建议。</w:t>
            </w:r>
          </w:p>
          <w:p w14:paraId="1874A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五、合同服务期内每年提供1名人员不少于12人天负责重大警务活动专门保障服务。</w:t>
            </w:r>
          </w:p>
          <w:p w14:paraId="156AF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六、协助</w:t>
            </w:r>
            <w:r>
              <w:rPr>
                <w:rFonts w:hint="eastAsia" w:ascii="宋体" w:hAnsi="宋体" w:cs="宋体"/>
                <w:color w:val="000000" w:themeColor="text1"/>
                <w:kern w:val="0"/>
                <w:sz w:val="21"/>
                <w:szCs w:val="21"/>
                <w:highlight w:val="none"/>
                <w:lang w:eastAsia="zh-CN"/>
                <w14:textFill>
                  <w14:solidFill>
                    <w14:schemeClr w14:val="tx1"/>
                  </w14:solidFill>
                </w14:textFill>
              </w:rPr>
              <w:t>业主</w:t>
            </w:r>
            <w:r>
              <w:rPr>
                <w:rFonts w:hint="eastAsia" w:ascii="宋体" w:hAnsi="宋体" w:eastAsia="宋体" w:cs="宋体"/>
                <w:color w:val="000000" w:themeColor="text1"/>
                <w:kern w:val="0"/>
                <w:sz w:val="21"/>
                <w:szCs w:val="21"/>
                <w:highlight w:val="none"/>
                <w14:textFill>
                  <w14:solidFill>
                    <w14:schemeClr w14:val="tx1"/>
                  </w14:solidFill>
                </w14:textFill>
              </w:rPr>
              <w:t>导出源代码和数据库数据。</w:t>
            </w:r>
          </w:p>
          <w:p w14:paraId="1B5F1B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七、提供LLM大模型知识库API服务运维支持：</w:t>
            </w:r>
          </w:p>
          <w:p w14:paraId="66C01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1、API服务部署与配置：负责法律法规智能检索API的部署、配置优化、版本更新及回滚操作；确保API服务稳定运行。</w:t>
            </w:r>
          </w:p>
          <w:p w14:paraId="28105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2、API服务监控与日志管理：提供API服务状态监控服务，包括接口响应时间、错误率等关键指标监控；提供API调用日志的收集、存储、分析服务；定期生成API使用统计报告和监控报告，为系统优化提供数据支撑。</w:t>
            </w:r>
          </w:p>
          <w:p w14:paraId="46213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3、知识库数据同步与更新：负责法条、司法解释、指导意见、立案追诉标准、典型案例等知识库数据的定期同步更新；确保API返回内容的时效性和准确性。</w:t>
            </w:r>
          </w:p>
          <w:p w14:paraId="7B8D3E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API接口技术支持与系统集成：提供智能检索API的全面技术支持，包括接口调用指导、参数配置说明、错误排查及问题解决；重点提供API与警综系统、刑事案件执法辅助子系统的集成技术支持，包括接口适配、数据格式转换、系统对接调试等运维服务；确保API服务能够无缝集成到现有警务业务系统中，为执法办案提供智能化法律法规检索支撑。</w:t>
            </w:r>
          </w:p>
          <w:p w14:paraId="01C865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5、API安全运维保障：负责API接口的安全防护配置，包括访问权限控制、API密钥管理等安全措施的运维。</w:t>
            </w:r>
          </w:p>
        </w:tc>
      </w:tr>
      <w:tr w14:paraId="709A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DBA0D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L-3</w:t>
            </w:r>
          </w:p>
        </w:tc>
        <w:tc>
          <w:tcPr>
            <w:tcW w:w="1125" w:type="dxa"/>
            <w:vAlign w:val="center"/>
          </w:tcPr>
          <w:p w14:paraId="43708A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 单位</w:t>
            </w:r>
          </w:p>
        </w:tc>
        <w:tc>
          <w:tcPr>
            <w:tcW w:w="1737" w:type="dxa"/>
            <w:vAlign w:val="center"/>
          </w:tcPr>
          <w:p w14:paraId="37A9F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L-3</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5449" w:type="dxa"/>
            <w:vAlign w:val="center"/>
          </w:tcPr>
          <w:p w14:paraId="7E53E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1、维护广西公安执法监督及执法质量考评信息化系统及该系统与相关业务系统产生的基础数据。</w:t>
            </w:r>
          </w:p>
          <w:p w14:paraId="178490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2、保障对全区各级公安机关执法活动的全方位、全流程的执法监督和考评正常工作。</w:t>
            </w:r>
          </w:p>
          <w:p w14:paraId="00B33D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3、维保一台服务器及一台大屏。</w:t>
            </w:r>
          </w:p>
          <w:p w14:paraId="304C5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4、协助业主导出源代码和数据库数据。</w:t>
            </w:r>
          </w:p>
        </w:tc>
      </w:tr>
      <w:tr w14:paraId="3A4C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3708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L-4</w:t>
            </w:r>
          </w:p>
        </w:tc>
        <w:tc>
          <w:tcPr>
            <w:tcW w:w="1125" w:type="dxa"/>
            <w:vAlign w:val="center"/>
          </w:tcPr>
          <w:p w14:paraId="475076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 单位</w:t>
            </w:r>
          </w:p>
        </w:tc>
        <w:tc>
          <w:tcPr>
            <w:tcW w:w="1737" w:type="dxa"/>
            <w:vAlign w:val="center"/>
          </w:tcPr>
          <w:p w14:paraId="47F821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L-4</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5449" w:type="dxa"/>
            <w:vAlign w:val="top"/>
          </w:tcPr>
          <w:p w14:paraId="7A7EE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1、基础日常维护</w:t>
            </w:r>
          </w:p>
          <w:p w14:paraId="09932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系统设置、机构设置、档案数据管理、报名数据管理、数据上报管理。</w:t>
            </w:r>
          </w:p>
          <w:p w14:paraId="76421C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2、考试报名管理</w:t>
            </w:r>
          </w:p>
          <w:p w14:paraId="3BE60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举办考试时，管理报名情况，管理员审核民警报名，导出报名数据。</w:t>
            </w:r>
          </w:p>
          <w:p w14:paraId="617FA0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3、考题管理</w:t>
            </w:r>
          </w:p>
          <w:p w14:paraId="1AA958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采集、整理考试题库，题库导入需要特定格式，将采集到的试题，按格式要求进行整理后导入系统。试题来源不同、格式也不同，每道题目都需针对性整理，工作量较大。</w:t>
            </w:r>
          </w:p>
          <w:p w14:paraId="3AE01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4、考试排场</w:t>
            </w:r>
          </w:p>
          <w:p w14:paraId="1CA386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安排考试的场次、人员。</w:t>
            </w:r>
          </w:p>
          <w:p w14:paraId="714A2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5、网站更新</w:t>
            </w:r>
          </w:p>
          <w:p w14:paraId="11DD9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主要是发布一些网站上的信息动态，政策文件等。</w:t>
            </w:r>
          </w:p>
          <w:p w14:paraId="346D86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6、协助业主导出源代码和数据库数据。</w:t>
            </w:r>
          </w:p>
        </w:tc>
      </w:tr>
      <w:tr w14:paraId="0D6E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577AA7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M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5E29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8F1C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330888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47593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3B47A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4162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BEBC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M-1</w:t>
            </w:r>
          </w:p>
        </w:tc>
        <w:tc>
          <w:tcPr>
            <w:tcW w:w="1125" w:type="dxa"/>
            <w:vAlign w:val="center"/>
          </w:tcPr>
          <w:p w14:paraId="225203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 单位</w:t>
            </w:r>
          </w:p>
        </w:tc>
        <w:tc>
          <w:tcPr>
            <w:tcW w:w="1737" w:type="dxa"/>
            <w:vAlign w:val="center"/>
          </w:tcPr>
          <w:p w14:paraId="56CC6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M-1</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5449" w:type="dxa"/>
            <w:vAlign w:val="center"/>
          </w:tcPr>
          <w:p w14:paraId="0B687EDE">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1、系统信息管理维护服务（系统信息的新增、更新、删除、导出等）；</w:t>
            </w:r>
          </w:p>
          <w:p w14:paraId="7DCC9CE7">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信息安全管理服务（根据安全等级，提供相关安全管理服务，如：使信息免受非法破坏；创建和维护访问的审计跟踪记录；以访问对象标记的安全级别限制访问者的访问权限，实现对访问对象的强制访问；控制访问者对访问对象的存取，加强系统的抗渗透能力；增加访问验证功能）；</w:t>
            </w:r>
          </w:p>
          <w:p w14:paraId="7B4AD8E4">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3、终端用户的使用支持（含电话、网络远程、现场支持等）；</w:t>
            </w:r>
          </w:p>
          <w:p w14:paraId="21058957">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4、与外部系统相关接口维护（如每天与警综业务数据抽取、完成每天从广西禁毒业务系统与全国系统之间的数据同步等）；</w:t>
            </w:r>
          </w:p>
          <w:p w14:paraId="30A9A391">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5、协助查询统计相关系统数据；</w:t>
            </w:r>
          </w:p>
          <w:p w14:paraId="5A5F3E18">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6、针对全区业务信息系统使用中出现的问题，对软件进行错误修改补充和易用性调整，并做好版本管理和相关文档整理工作；</w:t>
            </w:r>
          </w:p>
          <w:p w14:paraId="3DA1C875">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7、服务器系统巡检。</w:t>
            </w:r>
          </w:p>
        </w:tc>
      </w:tr>
      <w:tr w14:paraId="430B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0684A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M-2</w:t>
            </w:r>
          </w:p>
        </w:tc>
        <w:tc>
          <w:tcPr>
            <w:tcW w:w="1125" w:type="dxa"/>
            <w:vAlign w:val="center"/>
          </w:tcPr>
          <w:p w14:paraId="1E63D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 单位</w:t>
            </w:r>
          </w:p>
        </w:tc>
        <w:tc>
          <w:tcPr>
            <w:tcW w:w="1737" w:type="dxa"/>
            <w:vAlign w:val="center"/>
          </w:tcPr>
          <w:p w14:paraId="3D3517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M-2</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5449" w:type="dxa"/>
            <w:vAlign w:val="center"/>
          </w:tcPr>
          <w:p w14:paraId="40678F30">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1、负责该系统维护，软硬件的正常运行，系统非硬件问题及时告知并协助该系统承建公司及人员进行处理；</w:t>
            </w:r>
          </w:p>
          <w:p w14:paraId="1039E2C2">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2、终端用户的使用支持（含电话、网络远程、现场支持等）；</w:t>
            </w:r>
          </w:p>
          <w:p w14:paraId="58DB0D21">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3、协助采购人查询统计以及比对相关数据。</w:t>
            </w:r>
          </w:p>
        </w:tc>
      </w:tr>
      <w:tr w14:paraId="0CCC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161AE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M-4</w:t>
            </w:r>
          </w:p>
        </w:tc>
        <w:tc>
          <w:tcPr>
            <w:tcW w:w="1125" w:type="dxa"/>
            <w:vAlign w:val="center"/>
          </w:tcPr>
          <w:p w14:paraId="0914B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 单位</w:t>
            </w:r>
          </w:p>
        </w:tc>
        <w:tc>
          <w:tcPr>
            <w:tcW w:w="1737" w:type="dxa"/>
            <w:vAlign w:val="center"/>
          </w:tcPr>
          <w:p w14:paraId="01B128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M-3</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5449" w:type="dxa"/>
            <w:vAlign w:val="center"/>
          </w:tcPr>
          <w:p w14:paraId="49A156E8">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r>
              <w:rPr>
                <w:rFonts w:hint="eastAsia" w:ascii="宋体" w:hAnsi="宋体" w:cs="宋体"/>
                <w:color w:val="000000" w:themeColor="text1"/>
                <w:kern w:val="0"/>
                <w:sz w:val="21"/>
                <w:szCs w:val="21"/>
                <w:highlight w:val="none"/>
                <w:lang w:val="en-US" w:eastAsia="zh-CN"/>
                <w14:textFill>
                  <w14:solidFill>
                    <w14:schemeClr w14:val="tx1"/>
                  </w14:solidFill>
                </w14:textFill>
              </w:rPr>
              <w:t>JD</w:t>
            </w:r>
            <w:r>
              <w:rPr>
                <w:rFonts w:hint="eastAsia" w:ascii="宋体" w:hAnsi="宋体" w:eastAsia="宋体" w:cs="宋体"/>
                <w:color w:val="000000" w:themeColor="text1"/>
                <w:kern w:val="0"/>
                <w:sz w:val="21"/>
                <w:szCs w:val="21"/>
                <w:highlight w:val="none"/>
                <w14:textFill>
                  <w14:solidFill>
                    <w14:schemeClr w14:val="tx1"/>
                  </w14:solidFill>
                </w14:textFill>
              </w:rPr>
              <w:t>总队19楼会议室、19楼20楼研判室技术支持，对现有研判终端、网络进行维护及故障处置；</w:t>
            </w:r>
          </w:p>
          <w:p w14:paraId="2236A682">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2、会议室、研判室研判终端所需软件的安装、管理、维护、升级更新（软件由使用方提供）。</w:t>
            </w:r>
          </w:p>
        </w:tc>
      </w:tr>
      <w:tr w14:paraId="3F12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33344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M-4</w:t>
            </w:r>
          </w:p>
        </w:tc>
        <w:tc>
          <w:tcPr>
            <w:tcW w:w="1125" w:type="dxa"/>
            <w:vAlign w:val="center"/>
          </w:tcPr>
          <w:p w14:paraId="285A0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 单位</w:t>
            </w:r>
          </w:p>
        </w:tc>
        <w:tc>
          <w:tcPr>
            <w:tcW w:w="1737" w:type="dxa"/>
            <w:vAlign w:val="center"/>
          </w:tcPr>
          <w:p w14:paraId="586C7B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M-4服务</w:t>
            </w:r>
          </w:p>
        </w:tc>
        <w:tc>
          <w:tcPr>
            <w:tcW w:w="5449" w:type="dxa"/>
            <w:vAlign w:val="center"/>
          </w:tcPr>
          <w:p w14:paraId="5E98E9DA">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1、按</w:t>
            </w:r>
            <w:r>
              <w:rPr>
                <w:rFonts w:hint="eastAsia" w:ascii="宋体" w:hAnsi="宋体" w:cs="宋体"/>
                <w:color w:val="000000" w:themeColor="text1"/>
                <w:kern w:val="0"/>
                <w:sz w:val="21"/>
                <w:szCs w:val="21"/>
                <w:highlight w:val="none"/>
                <w:lang w:val="en-US" w:eastAsia="zh-CN"/>
                <w14:textFill>
                  <w14:solidFill>
                    <w14:schemeClr w14:val="tx1"/>
                  </w14:solidFill>
                </w14:textFill>
              </w:rPr>
              <w:t>JD</w:t>
            </w:r>
            <w:r>
              <w:rPr>
                <w:rFonts w:hint="eastAsia" w:ascii="宋体" w:hAnsi="宋体" w:eastAsia="宋体" w:cs="宋体"/>
                <w:color w:val="000000" w:themeColor="text1"/>
                <w:kern w:val="0"/>
                <w:sz w:val="21"/>
                <w:szCs w:val="21"/>
                <w:highlight w:val="none"/>
                <w14:textFill>
                  <w14:solidFill>
                    <w14:schemeClr w14:val="tx1"/>
                  </w14:solidFill>
                </w14:textFill>
              </w:rPr>
              <w:t>总队要求对案件技术支持及现场支持（含广西区内出差，1月内5人/天，1年内60人/天），协助搭建环境、系统培训、技术培训、案件研判支撑、数据查询统计；</w:t>
            </w:r>
          </w:p>
          <w:p w14:paraId="51DB4D26">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2、按</w:t>
            </w:r>
            <w:r>
              <w:rPr>
                <w:rFonts w:hint="eastAsia" w:ascii="宋体" w:hAnsi="宋体" w:cs="宋体"/>
                <w:color w:val="000000" w:themeColor="text1"/>
                <w:kern w:val="0"/>
                <w:sz w:val="21"/>
                <w:szCs w:val="21"/>
                <w:highlight w:val="none"/>
                <w:lang w:val="en-US" w:eastAsia="zh-CN"/>
                <w14:textFill>
                  <w14:solidFill>
                    <w14:schemeClr w14:val="tx1"/>
                  </w14:solidFill>
                </w14:textFill>
              </w:rPr>
              <w:t>JD</w:t>
            </w:r>
            <w:r>
              <w:rPr>
                <w:rFonts w:hint="eastAsia" w:ascii="宋体" w:hAnsi="宋体" w:eastAsia="宋体" w:cs="宋体"/>
                <w:color w:val="000000" w:themeColor="text1"/>
                <w:kern w:val="0"/>
                <w:sz w:val="21"/>
                <w:szCs w:val="21"/>
                <w:highlight w:val="none"/>
                <w14:textFill>
                  <w14:solidFill>
                    <w14:schemeClr w14:val="tx1"/>
                  </w14:solidFill>
                </w14:textFill>
              </w:rPr>
              <w:t>总队要求对所用系统进行培训。</w:t>
            </w:r>
          </w:p>
        </w:tc>
      </w:tr>
      <w:tr w14:paraId="55BD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E473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M-5</w:t>
            </w:r>
          </w:p>
        </w:tc>
        <w:tc>
          <w:tcPr>
            <w:tcW w:w="1125" w:type="dxa"/>
            <w:vAlign w:val="center"/>
          </w:tcPr>
          <w:p w14:paraId="61020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 单位</w:t>
            </w:r>
          </w:p>
        </w:tc>
        <w:tc>
          <w:tcPr>
            <w:tcW w:w="1737" w:type="dxa"/>
            <w:vAlign w:val="center"/>
          </w:tcPr>
          <w:p w14:paraId="0C2C5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M-5</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5449" w:type="dxa"/>
            <w:vAlign w:val="center"/>
          </w:tcPr>
          <w:p w14:paraId="557E9C7E">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包括广西易制毒化学品管理信息系统、易制毒化学品管理平台两个系统，第三方运维内容如下：</w:t>
            </w:r>
          </w:p>
          <w:p w14:paraId="71C11112">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广西易制毒化学品管理信息系统：</w:t>
            </w:r>
          </w:p>
          <w:p w14:paraId="084852E6">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一、维护设备：</w:t>
            </w:r>
          </w:p>
          <w:p w14:paraId="124142BD">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包含4台服务器及1台网络设备。</w:t>
            </w:r>
          </w:p>
          <w:p w14:paraId="384C0D91">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二、维护内容：</w:t>
            </w:r>
          </w:p>
          <w:p w14:paraId="4D11C59E">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1、实时监控系统运行情况，确保内、外网系统正常提供历史数据查询服务；</w:t>
            </w:r>
          </w:p>
          <w:p w14:paraId="786F0A19">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2、根据各级公安机关要求，检查、对比新旧系统数据，提供必要数据统计、分析。</w:t>
            </w:r>
          </w:p>
          <w:p w14:paraId="12D7E21C">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易制毒化学品管理平台：</w:t>
            </w:r>
          </w:p>
          <w:p w14:paraId="160A4F44">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1、系统客服支持，接听各级公安机构咨询电话，处理QQ、微信咨询等；</w:t>
            </w:r>
          </w:p>
          <w:p w14:paraId="7A5C23B2">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2、系统功能测试，系统新功能应用说明，功能推进使用；</w:t>
            </w:r>
          </w:p>
          <w:p w14:paraId="5B4C5B69">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3、需求收集与反馈，接收、整理各大队反馈的意见和需求，定期汇报总队负责人，并反馈给开发单位；</w:t>
            </w:r>
          </w:p>
          <w:p w14:paraId="729D2873">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4、各级公安审批人员信息维护，根据各级公安人员变动，修改更新审批人员信息；</w:t>
            </w:r>
          </w:p>
          <w:p w14:paraId="553E8BE2">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5、错误数据处理，检查并修正系统错误数据（如证书审批错误，企业业务类型错误，单位名称或证件号码错误，公安用户账号信息错误、审批印章错误等）；</w:t>
            </w:r>
          </w:p>
          <w:p w14:paraId="5909C30C">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6、培训支持，根据总队培训需求，对各地公安用户进行系统功能、系统应用规范、条例法规等培训；</w:t>
            </w:r>
          </w:p>
          <w:p w14:paraId="45759469">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7、数据统计与分析，按各级公安机关要求定期、不定期对系统业务数据进行统计，提交相关报告；</w:t>
            </w:r>
          </w:p>
          <w:p w14:paraId="315BD7D8">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8、系统其他异常情况的反馈及跟踪处理。</w:t>
            </w:r>
          </w:p>
        </w:tc>
      </w:tr>
      <w:tr w14:paraId="2B34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6975FD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N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422F7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FD918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7D12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0F7E6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004DD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2F17A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775" w:type="dxa"/>
            <w:vAlign w:val="center"/>
          </w:tcPr>
          <w:p w14:paraId="4D46E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N-1</w:t>
            </w:r>
          </w:p>
        </w:tc>
        <w:tc>
          <w:tcPr>
            <w:tcW w:w="1125" w:type="dxa"/>
            <w:vAlign w:val="center"/>
          </w:tcPr>
          <w:p w14:paraId="417BF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default"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cs="宋体"/>
                <w:color w:val="000000" w:themeColor="text1"/>
                <w:kern w:val="2"/>
                <w:sz w:val="21"/>
                <w:szCs w:val="24"/>
                <w:highlight w:val="none"/>
                <w:lang w:val="en-US" w:eastAsia="zh-CN"/>
                <w14:textFill>
                  <w14:solidFill>
                    <w14:schemeClr w14:val="tx1"/>
                  </w14:solidFill>
                </w14:textFill>
              </w:rPr>
              <w:t>N 单位</w:t>
            </w:r>
          </w:p>
        </w:tc>
        <w:tc>
          <w:tcPr>
            <w:tcW w:w="1737" w:type="dxa"/>
            <w:vAlign w:val="center"/>
          </w:tcPr>
          <w:p w14:paraId="74607A8F">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N-1</w:t>
            </w:r>
            <w:r>
              <w:rPr>
                <w:rFonts w:hint="eastAsia" w:ascii="宋体" w:hAnsi="宋体" w:eastAsia="宋体" w:cs="宋体"/>
                <w:bCs/>
                <w:color w:val="000000" w:themeColor="text1"/>
                <w:kern w:val="2"/>
                <w:sz w:val="21"/>
                <w:szCs w:val="21"/>
                <w:highlight w:val="none"/>
                <w14:textFill>
                  <w14:solidFill>
                    <w14:schemeClr w14:val="tx1"/>
                  </w14:solidFill>
                </w14:textFill>
              </w:rPr>
              <w:t>服务</w:t>
            </w:r>
          </w:p>
        </w:tc>
        <w:tc>
          <w:tcPr>
            <w:tcW w:w="5449" w:type="dxa"/>
            <w:vAlign w:val="center"/>
          </w:tcPr>
          <w:p w14:paraId="3C9261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在运维服务期内，提供1名应用系统项目经理和</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名项目助理。</w:t>
            </w:r>
          </w:p>
          <w:p w14:paraId="430A0A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1、按用户需求提供项目管理、流程管理、绩效考核、项目跟进把控、产出物等运维管理服务；</w:t>
            </w:r>
          </w:p>
          <w:p w14:paraId="59B648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2、与各个业务单位对接，熟悉系统运作，协调开展日常运维工作，定时向运维中心汇报各系统运维工作情况；</w:t>
            </w:r>
          </w:p>
          <w:p w14:paraId="7931B2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3、负责各信息系统运维的现场管理、进度监督，制定项目实施管理计划、运维预算制定并协调和促进项目顺利完成；</w:t>
            </w:r>
          </w:p>
          <w:p w14:paraId="78F3DE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控制集成项目实施质量，降低项目成本，及时发现问题并有效解决；根据部门相关流程要求组织和管理项目文档，保证项目按照合同期限和技术要求完成；组织周会，针对运维过程中的问题和不合规行为进行考核和改善；针对重大紧急的事件，启动应急响应机制，协调资源保障业务活动正常开展；负责设备、系统相关数据监控，及时响应故障，跟踪问题解决进度，及时形成问题报告。</w:t>
            </w:r>
          </w:p>
        </w:tc>
      </w:tr>
      <w:tr w14:paraId="78B4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B2E68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N-2</w:t>
            </w:r>
          </w:p>
        </w:tc>
        <w:tc>
          <w:tcPr>
            <w:tcW w:w="1125" w:type="dxa"/>
            <w:vAlign w:val="center"/>
          </w:tcPr>
          <w:p w14:paraId="379742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4"/>
                <w:highlight w:val="none"/>
                <w:lang w:val="en-US" w:eastAsia="zh-CN"/>
                <w14:textFill>
                  <w14:solidFill>
                    <w14:schemeClr w14:val="tx1"/>
                  </w14:solidFill>
                </w14:textFill>
              </w:rPr>
              <w:t>N 单位</w:t>
            </w:r>
          </w:p>
        </w:tc>
        <w:tc>
          <w:tcPr>
            <w:tcW w:w="1737" w:type="dxa"/>
            <w:vAlign w:val="center"/>
          </w:tcPr>
          <w:p w14:paraId="3D96392F">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N-2</w:t>
            </w:r>
            <w:r>
              <w:rPr>
                <w:rFonts w:hint="eastAsia" w:ascii="宋体" w:hAnsi="宋体" w:eastAsia="宋体" w:cs="宋体"/>
                <w:bCs/>
                <w:color w:val="000000" w:themeColor="text1"/>
                <w:kern w:val="2"/>
                <w:sz w:val="21"/>
                <w:szCs w:val="21"/>
                <w:highlight w:val="none"/>
                <w14:textFill>
                  <w14:solidFill>
                    <w14:schemeClr w14:val="tx1"/>
                  </w14:solidFill>
                </w14:textFill>
              </w:rPr>
              <w:t>服务</w:t>
            </w:r>
          </w:p>
        </w:tc>
        <w:tc>
          <w:tcPr>
            <w:tcW w:w="5449" w:type="dxa"/>
            <w:vAlign w:val="center"/>
          </w:tcPr>
          <w:p w14:paraId="2D7E51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国家法定节假日值班保障服务：在运维服务期内，提供元旦、春节、清明节、端午节、中秋节、国庆节等国家法定节假日的现场巡检、值班保障服务。</w:t>
            </w:r>
          </w:p>
        </w:tc>
      </w:tr>
      <w:tr w14:paraId="59FD4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047B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N-3</w:t>
            </w:r>
          </w:p>
        </w:tc>
        <w:tc>
          <w:tcPr>
            <w:tcW w:w="1125" w:type="dxa"/>
            <w:vAlign w:val="center"/>
          </w:tcPr>
          <w:p w14:paraId="13D3B3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4"/>
                <w:highlight w:val="none"/>
                <w:lang w:val="en-US" w:eastAsia="zh-CN"/>
                <w14:textFill>
                  <w14:solidFill>
                    <w14:schemeClr w14:val="tx1"/>
                  </w14:solidFill>
                </w14:textFill>
              </w:rPr>
              <w:t>N 单位</w:t>
            </w:r>
          </w:p>
        </w:tc>
        <w:tc>
          <w:tcPr>
            <w:tcW w:w="1737" w:type="dxa"/>
            <w:vAlign w:val="center"/>
          </w:tcPr>
          <w:p w14:paraId="35F6262E">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4"/>
                <w:highlight w:val="none"/>
                <w:lang w:val="en-US" w:eastAsia="zh-CN"/>
                <w14:textFill>
                  <w14:solidFill>
                    <w14:schemeClr w14:val="tx1"/>
                  </w14:solidFill>
                </w14:textFill>
              </w:rPr>
              <w:t>N-3</w:t>
            </w:r>
            <w:r>
              <w:rPr>
                <w:rFonts w:hint="eastAsia" w:ascii="宋体" w:hAnsi="宋体" w:eastAsia="宋体" w:cs="宋体"/>
                <w:color w:val="000000" w:themeColor="text1"/>
                <w:kern w:val="2"/>
                <w:sz w:val="21"/>
                <w:szCs w:val="24"/>
                <w:highlight w:val="none"/>
                <w14:textFill>
                  <w14:solidFill>
                    <w14:schemeClr w14:val="tx1"/>
                  </w14:solidFill>
                </w14:textFill>
              </w:rPr>
              <w:t>服务</w:t>
            </w:r>
          </w:p>
        </w:tc>
        <w:tc>
          <w:tcPr>
            <w:tcW w:w="5449" w:type="dxa"/>
            <w:vAlign w:val="center"/>
          </w:tcPr>
          <w:p w14:paraId="09268B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国家及自治区重大活动及勤务保障服务：</w:t>
            </w:r>
          </w:p>
          <w:p w14:paraId="085BB3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1、在运维服务期内，提供全国两会、一带一路国际峰会、国际元首金砖会等国家的重大活动值班备勤服务。</w:t>
            </w:r>
          </w:p>
          <w:p w14:paraId="1242CC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2、在运维服务期内，提供自治区两会、三月三、东盟博览会及投资峰会、环广西国际自行车赛等重大的活动提供值班备勤服务。</w:t>
            </w:r>
          </w:p>
          <w:p w14:paraId="562B8B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3、公安部门启动的一、二、三级勤务提供值班备勤服务。</w:t>
            </w:r>
          </w:p>
        </w:tc>
      </w:tr>
      <w:tr w14:paraId="3036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39AD0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N-4</w:t>
            </w:r>
          </w:p>
        </w:tc>
        <w:tc>
          <w:tcPr>
            <w:tcW w:w="1125" w:type="dxa"/>
            <w:vAlign w:val="center"/>
          </w:tcPr>
          <w:p w14:paraId="5CBA9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4"/>
                <w:highlight w:val="none"/>
                <w:lang w:val="en-US" w:eastAsia="zh-CN"/>
                <w14:textFill>
                  <w14:solidFill>
                    <w14:schemeClr w14:val="tx1"/>
                  </w14:solidFill>
                </w14:textFill>
              </w:rPr>
              <w:t>N 单位</w:t>
            </w:r>
          </w:p>
        </w:tc>
        <w:tc>
          <w:tcPr>
            <w:tcW w:w="1737" w:type="dxa"/>
            <w:vAlign w:val="center"/>
          </w:tcPr>
          <w:p w14:paraId="319E9864">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N-4</w:t>
            </w:r>
            <w:r>
              <w:rPr>
                <w:rFonts w:hint="eastAsia" w:ascii="宋体" w:hAnsi="宋体" w:eastAsia="宋体" w:cs="宋体"/>
                <w:bCs/>
                <w:color w:val="000000" w:themeColor="text1"/>
                <w:kern w:val="2"/>
                <w:sz w:val="21"/>
                <w:szCs w:val="21"/>
                <w:highlight w:val="none"/>
                <w14:textFill>
                  <w14:solidFill>
                    <w14:schemeClr w14:val="tx1"/>
                  </w14:solidFill>
                </w14:textFill>
              </w:rPr>
              <w:t>服务</w:t>
            </w:r>
          </w:p>
        </w:tc>
        <w:tc>
          <w:tcPr>
            <w:tcW w:w="5449" w:type="dxa"/>
            <w:vAlign w:val="center"/>
          </w:tcPr>
          <w:p w14:paraId="662562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1、在运维服务期内，须针对维护范围内的系统及规划新建的系统提供规划咨询服务，同时根据实际情况制定对应管理及操作规范；</w:t>
            </w:r>
          </w:p>
          <w:p w14:paraId="2D9E10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2、在运维服务期内，须结合维护范围内的岗位实际情况，为现场运维体系建设提供规划咨询服务，同时根据实际情况制定对应的岗位规范；</w:t>
            </w:r>
          </w:p>
          <w:p w14:paraId="49A159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3、重大安保期间及现场发生重大故障或安全隐患时，须加强二线支持服务，提供解决或整改建议；</w:t>
            </w:r>
          </w:p>
          <w:p w14:paraId="274843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4、根据服务内容及故障处置、优化岗位职能，整改漏洞缺陷，服务期内至少提供1次整体性整改优化方案。</w:t>
            </w:r>
          </w:p>
        </w:tc>
      </w:tr>
      <w:tr w14:paraId="47A0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F61F8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N-</w:t>
            </w:r>
            <w:r>
              <w:rPr>
                <w:rFonts w:hint="eastAsia" w:ascii="宋体" w:hAnsi="宋体" w:cs="宋体"/>
                <w:color w:val="000000" w:themeColor="text1"/>
                <w:kern w:val="2"/>
                <w:sz w:val="21"/>
                <w:szCs w:val="24"/>
                <w:highlight w:val="none"/>
                <w:lang w:val="en-US" w:eastAsia="zh-CN"/>
                <w14:textFill>
                  <w14:solidFill>
                    <w14:schemeClr w14:val="tx1"/>
                  </w14:solidFill>
                </w14:textFill>
              </w:rPr>
              <w:t>5</w:t>
            </w:r>
          </w:p>
        </w:tc>
        <w:tc>
          <w:tcPr>
            <w:tcW w:w="1125" w:type="dxa"/>
            <w:vAlign w:val="center"/>
          </w:tcPr>
          <w:p w14:paraId="4DCAE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2"/>
                <w:sz w:val="21"/>
                <w:szCs w:val="24"/>
                <w:highlight w:val="none"/>
                <w:lang w:val="en-US" w:eastAsia="zh-CN"/>
                <w14:textFill>
                  <w14:solidFill>
                    <w14:schemeClr w14:val="tx1"/>
                  </w14:solidFill>
                </w14:textFill>
              </w:rPr>
              <w:t>N 单位</w:t>
            </w:r>
          </w:p>
        </w:tc>
        <w:tc>
          <w:tcPr>
            <w:tcW w:w="1737" w:type="dxa"/>
            <w:vAlign w:val="center"/>
          </w:tcPr>
          <w:p w14:paraId="5641ABF8">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N-5</w:t>
            </w:r>
            <w:r>
              <w:rPr>
                <w:rFonts w:hint="eastAsia" w:ascii="宋体" w:hAnsi="宋体" w:eastAsia="宋体" w:cs="宋体"/>
                <w:bCs/>
                <w:color w:val="000000" w:themeColor="text1"/>
                <w:kern w:val="2"/>
                <w:sz w:val="21"/>
                <w:szCs w:val="21"/>
                <w:highlight w:val="none"/>
                <w14:textFill>
                  <w14:solidFill>
                    <w14:schemeClr w14:val="tx1"/>
                  </w14:solidFill>
                </w14:textFill>
              </w:rPr>
              <w:t>服务</w:t>
            </w:r>
          </w:p>
        </w:tc>
        <w:tc>
          <w:tcPr>
            <w:tcW w:w="5449" w:type="dxa"/>
            <w:vAlign w:val="center"/>
          </w:tcPr>
          <w:p w14:paraId="03A145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1、提供人工智能系统平台日常维护和巡检服务</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1B3FA3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2、提供人工智能系统平台应用支撑服务</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69E9D0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3、提供人工智能系统平台操作培训服务</w:t>
            </w:r>
            <w:r>
              <w:rPr>
                <w:rFonts w:hint="eastAsia" w:ascii="宋体" w:hAnsi="宋体" w:cs="宋体"/>
                <w:color w:val="000000" w:themeColor="text1"/>
                <w:kern w:val="0"/>
                <w:sz w:val="21"/>
                <w:szCs w:val="21"/>
                <w:highlight w:val="none"/>
                <w:lang w:eastAsia="zh-CN"/>
                <w14:textFill>
                  <w14:solidFill>
                    <w14:schemeClr w14:val="tx1"/>
                  </w14:solidFill>
                </w14:textFill>
              </w:rPr>
              <w:t>。</w:t>
            </w:r>
          </w:p>
        </w:tc>
      </w:tr>
      <w:tr w14:paraId="59CFA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711C5B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O</w:t>
            </w:r>
            <w:r>
              <w:rPr>
                <w:rFonts w:hint="eastAsia" w:ascii="宋体" w:hAnsi="宋体" w:eastAsia="宋体" w:cs="宋体"/>
                <w:b/>
                <w:bCs/>
                <w:color w:val="000000" w:themeColor="text1"/>
                <w:kern w:val="44"/>
                <w:sz w:val="32"/>
                <w:szCs w:val="44"/>
                <w:highlight w:val="none"/>
                <w14:textFill>
                  <w14:solidFill>
                    <w14:schemeClr w14:val="tx1"/>
                  </w14:solidFill>
                </w14:textFill>
              </w:rPr>
              <w:t xml:space="preserve"> </w:t>
            </w:r>
            <w:r>
              <w:rPr>
                <w:rFonts w:hint="eastAsia" w:ascii="宋体" w:hAnsi="宋体" w:cs="宋体"/>
                <w:b/>
                <w:bCs/>
                <w:color w:val="000000" w:themeColor="text1"/>
                <w:kern w:val="44"/>
                <w:sz w:val="32"/>
                <w:szCs w:val="44"/>
                <w:highlight w:val="none"/>
                <w:lang w:eastAsia="zh-CN"/>
                <w14:textFill>
                  <w14:solidFill>
                    <w14:schemeClr w14:val="tx1"/>
                  </w14:solidFill>
                </w14:textFill>
              </w:rPr>
              <w:t>单位</w:t>
            </w:r>
          </w:p>
        </w:tc>
      </w:tr>
      <w:tr w14:paraId="0102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8DB0A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序号</w:t>
            </w:r>
          </w:p>
        </w:tc>
        <w:tc>
          <w:tcPr>
            <w:tcW w:w="1125" w:type="dxa"/>
            <w:vAlign w:val="center"/>
          </w:tcPr>
          <w:p w14:paraId="618FD9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业务单位</w:t>
            </w:r>
          </w:p>
        </w:tc>
        <w:tc>
          <w:tcPr>
            <w:tcW w:w="1737" w:type="dxa"/>
            <w:vAlign w:val="center"/>
          </w:tcPr>
          <w:p w14:paraId="5442C4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维护对象</w:t>
            </w:r>
          </w:p>
        </w:tc>
        <w:tc>
          <w:tcPr>
            <w:tcW w:w="5449" w:type="dxa"/>
            <w:vAlign w:val="center"/>
          </w:tcPr>
          <w:p w14:paraId="5D622A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专项维护内容</w:t>
            </w:r>
          </w:p>
        </w:tc>
      </w:tr>
      <w:tr w14:paraId="01FC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7F9F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O-1</w:t>
            </w:r>
          </w:p>
        </w:tc>
        <w:tc>
          <w:tcPr>
            <w:tcW w:w="1125" w:type="dxa"/>
            <w:vAlign w:val="center"/>
          </w:tcPr>
          <w:p w14:paraId="19EC47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27E0019F">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O-1</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center"/>
          </w:tcPr>
          <w:p w14:paraId="5F3AB1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1、维护警综平台所有的建设内容。和广西公安警综平台系统与所属子系统、警综平台系统与外系统对接的接口。</w:t>
            </w:r>
          </w:p>
          <w:p w14:paraId="7F5B7C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2、主要业务模块包括接报警情登记管理、警情业务、案件业务、监督考评、统计分析、政法跨部门协同业务、大数据赋能维护。</w:t>
            </w:r>
          </w:p>
          <w:p w14:paraId="2CF309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提供节假日期间8:00-18:00值班服务。</w:t>
            </w:r>
          </w:p>
          <w:p w14:paraId="12DF31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、提供警综系统7*24小时电话值班服务（紧急问题立即到现场处理）。</w:t>
            </w:r>
          </w:p>
        </w:tc>
      </w:tr>
      <w:tr w14:paraId="55139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75" w:type="dxa"/>
            <w:vAlign w:val="center"/>
          </w:tcPr>
          <w:p w14:paraId="7F5CC4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O-2</w:t>
            </w:r>
          </w:p>
        </w:tc>
        <w:tc>
          <w:tcPr>
            <w:tcW w:w="1125" w:type="dxa"/>
            <w:vAlign w:val="center"/>
          </w:tcPr>
          <w:p w14:paraId="0CA3D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1EB6F377">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O-2</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3473FF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1、主要对广西壮族自治区公安厅请求服务系统提供日常的管理和维护，保证请求服务系统的稳定、高效运行。对接入请求服务系统的系统提供接口配置服务，必要时提供接口开发服务技术支持。</w:t>
            </w:r>
          </w:p>
          <w:p w14:paraId="2CE587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根据用户需要，出具每月工作月报，详细记录每月请求服务系统的环境工作情况和异常故障处理情况。每月对全省请求服务系统数据访问情况、请求与服务注册情况进行统计，提交广西壮族自治区公安厅请求服务系统运行状况分析报告。</w:t>
            </w:r>
          </w:p>
          <w:p w14:paraId="63A972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提供后台资深请求服务系统工程师技术支持服务，开展主动性的维护服务，保障服务质量。在发生重大故障时提供现场支持服务，保证公安厅及时恢复使用。</w:t>
            </w:r>
          </w:p>
        </w:tc>
      </w:tr>
      <w:tr w14:paraId="2D1D9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6E22D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O-3</w:t>
            </w:r>
          </w:p>
        </w:tc>
        <w:tc>
          <w:tcPr>
            <w:tcW w:w="1125" w:type="dxa"/>
            <w:vAlign w:val="center"/>
          </w:tcPr>
          <w:p w14:paraId="5C8C9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7F27E596">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O-3</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4A10B3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一、运维服务范围</w:t>
            </w:r>
          </w:p>
          <w:p w14:paraId="7FC578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主要运维内容包括3大部分：广西FK指挥一张图、位置信息服务平台、PGIS定位信息全国联网系统。对平台系统提供日常的管理和维护，保证各平台系统的稳定运行。</w:t>
            </w:r>
          </w:p>
          <w:p w14:paraId="6E76B9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提供广西FK指挥一张图相关地图服务、数据接口服务等内，包括基础平台和应用系统二次开发技术支撑，并负责协助各类基础数据接入，为各业务单位提供地图服务及数据访问服务等基础数据服务，以及基础数据入库等技术支持；按业务部门业务需要，提供基础数据任务创建、分配及管理服务。</w:t>
            </w:r>
          </w:p>
          <w:p w14:paraId="119243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提供位置信息服务平台的维护服务，包括基础平台和应用系统，并负责协助各类定位设备数据接入，保证平台软硬件系统的稳定、可靠地运行，提供及时、完善的维保服务；为采购单位提供GPS、北斗定位设备提供定位数据消息、接入及解析服务，为采购人主要业务提供数据分发服务，并提供相关技术支持、保障系统定位数据的统一接入和订阅分发服务；并提供统一数据标准协议，保障省、市级平台对接同步；保障位置服务平台的正常稳定运行。</w:t>
            </w:r>
          </w:p>
          <w:p w14:paraId="398768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提供PGIS定位信息全国联网系统技术支撑服务，负责汇聚本省所有实时定位信息，包含下属各地市推送来的定位信息及省厅各总队警用定位设备的实时定位信息；汇聚下属各地市定位设备运行状态统计信息，并推送给部级平台；向公安部开放全省实时定位信息订阅服务和历史定位信息查询服；依据授权，向省厅各总队、下属地市、及外省、市提供实时定位信息的按需订阅服务和历史定位信息联网查询服务；做好本级联网节点的运维保障工作，确保系统稳定运行。同时，应做好本级定位资源目录数据的更新和维护工作，确保实时定位信息接入系统、实时定位信息联网服务系统、全国警用定位资源目录服务系统、历史定位信息联网查询服务各子系统的稳定运行。</w:t>
            </w:r>
          </w:p>
          <w:p w14:paraId="618E8C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二、服务内容</w:t>
            </w:r>
          </w:p>
          <w:p w14:paraId="2DC8E7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1、系统巡检</w:t>
            </w:r>
          </w:p>
          <w:p w14:paraId="663A7A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每日对系统运行进行日常巡检，根据客户需求提交巡检记录，进行系统错误日志分析，发现存在的问题，提出系统解决方案。</w:t>
            </w:r>
          </w:p>
          <w:p w14:paraId="53996F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2、业务系统日常维护</w:t>
            </w:r>
          </w:p>
          <w:p w14:paraId="2EBF6E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整个系统应用程序与中间件层进行日常维护，保证应用系统可用，当系统出现系统功能缺陷时，运维人员需要马上对缺陷做功能性分析、影响度分析等，同时记录在案，并制定替代此功能的应急处理方案，重大问题要及时上报。</w:t>
            </w:r>
          </w:p>
          <w:p w14:paraId="673162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3、系统故障处置</w:t>
            </w:r>
          </w:p>
          <w:p w14:paraId="33A084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如遇应用系统程序与中间件故障，系统无法登录使用，运维人员应立即定位故障，并及时排查，保证系统恢复。（按维护服务响应要求执行）</w:t>
            </w:r>
          </w:p>
          <w:p w14:paraId="6B4B9E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4、数据运维与备份</w:t>
            </w:r>
          </w:p>
          <w:p w14:paraId="0A9028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按照预先制定的业务系统运维办法，定期对数据垃圾进行清理、按备份策略定期对业务应用程序进行备份。</w:t>
            </w:r>
          </w:p>
          <w:p w14:paraId="5BB6EF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5、应急保障</w:t>
            </w:r>
          </w:p>
          <w:p w14:paraId="3BFB29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包括封网期、重要会议、特殊工作检查等，乙方要全力配合用户完成应急保障任务工作。系统的工作，如超出系统运维工作范畴，需要请示所属管理岗，得到明确指示后，再开展下一步具体工作。</w:t>
            </w:r>
          </w:p>
          <w:p w14:paraId="478A49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6、投诉类问题处理</w:t>
            </w:r>
          </w:p>
          <w:p w14:paraId="5B8002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处理采购单位网上信箱、用户书面、口头投诉问题，对问题及时分析响应，及时上报公司管理层，根据投诉的内容、原因、事实，与用户、甲方及时沟通、商议处理办法。</w:t>
            </w:r>
          </w:p>
          <w:p w14:paraId="2661DD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7、定期例会总结</w:t>
            </w:r>
          </w:p>
          <w:p w14:paraId="030CFE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定期参加运维例会，对近期的应用系统运维工作进行全面梳理和总结，共同讨论、分析，总结经验教训、提炼好的做法和经验。</w:t>
            </w:r>
          </w:p>
          <w:p w14:paraId="191003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8、维护服务响应机制</w:t>
            </w:r>
          </w:p>
          <w:p w14:paraId="54600F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（1）乙方须提供7*24小时技术支持服务。</w:t>
            </w:r>
          </w:p>
          <w:p w14:paraId="1EA0D1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（2）接到故障通知，服务人员按照三种现场处理级别进行响应处理：</w:t>
            </w:r>
          </w:p>
          <w:p w14:paraId="353174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1级：严重问题</w:t>
            </w:r>
          </w:p>
          <w:p w14:paraId="4DA8BA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现象：一级核心系统设备不能启动或启动后不可操作。</w:t>
            </w:r>
          </w:p>
          <w:p w14:paraId="3D86C8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处理方式：立即响应，工作时间内30分钟内到达现场。1小时内采取相应解决方案直至系统可以运行或降至2-3级别的问题。</w:t>
            </w:r>
          </w:p>
          <w:p w14:paraId="4D22C6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2级：关键性问题</w:t>
            </w:r>
          </w:p>
          <w:p w14:paraId="7BD8E6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现象：（1）一级核心系统可以启动，但出现错误，其关键业务可以运行。（2）二级重要系统设备不能启动或启动后不可操作。</w:t>
            </w:r>
          </w:p>
          <w:p w14:paraId="167D0F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处理方式：立即响应，60分钟内到达现场，4小时内采取相应解决方案直至系统可以运行或降至3级别的问题。</w:t>
            </w:r>
          </w:p>
          <w:p w14:paraId="10F193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3级：普通的问题</w:t>
            </w:r>
          </w:p>
          <w:p w14:paraId="4A15A1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现象：（1）系统基本正常，出现非致命性错误，业务基本不受影响。（2）三级次要系统设备不能启动或启动后不可操作。</w:t>
            </w:r>
          </w:p>
          <w:p w14:paraId="0A26A1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处理方式：5*8小时工作日内立即响应，8小时内采取相应解决方案直至系统正常，非工作日由采购单位决定是否到场。</w:t>
            </w:r>
          </w:p>
        </w:tc>
      </w:tr>
      <w:tr w14:paraId="4A7A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DE43C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O-4</w:t>
            </w:r>
          </w:p>
        </w:tc>
        <w:tc>
          <w:tcPr>
            <w:tcW w:w="1125" w:type="dxa"/>
            <w:vAlign w:val="center"/>
          </w:tcPr>
          <w:p w14:paraId="098020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56E029D5">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w:t>
            </w:r>
            <w:r>
              <w:rPr>
                <w:rFonts w:hint="eastAsia" w:ascii="宋体" w:hAnsi="宋体" w:cs="宋体"/>
                <w:bCs/>
                <w:i w:val="0"/>
                <w:color w:val="000000" w:themeColor="text1"/>
                <w:kern w:val="2"/>
                <w:sz w:val="21"/>
                <w:szCs w:val="21"/>
                <w:highlight w:val="none"/>
                <w:u w:val="none"/>
                <w:lang w:val="en-US" w:eastAsia="zh-CN" w:bidi="ar"/>
                <w14:textFill>
                  <w14:solidFill>
                    <w14:schemeClr w14:val="tx1"/>
                  </w14:solidFill>
                </w14:textFill>
              </w:rPr>
              <w:t>4</w:t>
            </w: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平台</w:t>
            </w:r>
          </w:p>
        </w:tc>
        <w:tc>
          <w:tcPr>
            <w:tcW w:w="5449" w:type="dxa"/>
            <w:vMerge w:val="restart"/>
            <w:vAlign w:val="center"/>
          </w:tcPr>
          <w:p w14:paraId="5FC608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服务范围：自治区公安厅科信总队已建设的新一代移动警务平台及配套设备运维。</w:t>
            </w:r>
          </w:p>
          <w:p w14:paraId="77EC83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针对本项目的运行维护服务内容有：</w:t>
            </w:r>
          </w:p>
          <w:p w14:paraId="2719A0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（一）提供运维保障服务</w:t>
            </w:r>
          </w:p>
          <w:p w14:paraId="1592EB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须提供7×24小时运维保障服务。当发现系统故障时，快速定位和处理有关故障；通过巡查和检查，及时处理潜在风险，保障业务系统等运行环境，使业务系统得以正常运转；根据其他部门需求及时调整和修复业务系统流程，以满足业务发展的需求。</w:t>
            </w:r>
          </w:p>
          <w:p w14:paraId="05B119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（二）提供技术支持服务</w:t>
            </w:r>
          </w:p>
          <w:p w14:paraId="222DC8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对业务系统的前端、后端、数据库、缓存、负载服务、日志、消息队列等提供技术支持与指导服务，处理运行中遇到的各类问题，包括安装、配置、备份、升级、调优、排故等，确保业务系统正常运行；同时，协助排查、处理包括公安移动信息网Ⅰ、Ⅱ、Ⅲ类区部署的业务系统技术问题，确保业务系统正常运行。</w:t>
            </w:r>
          </w:p>
          <w:p w14:paraId="2D2D2C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（三）定期巡检与评估</w:t>
            </w:r>
          </w:p>
          <w:p w14:paraId="2293A9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严格按要求对运维的业务系统的基础运行情况等进行巡检，每月对相应数据库同步和备份情况进行巡检维护，查找和排除系统的隐患，提高系统的安全性、可用性，并按采购人要求提供相应的服务报告。</w:t>
            </w:r>
          </w:p>
          <w:p w14:paraId="7CE7F8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（四）设立技术服务团队</w:t>
            </w:r>
          </w:p>
          <w:p w14:paraId="661E24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设立至少4人的驻场服务团队，服务期内必须在采购人指定办公地点提供驻点服务（南宁市内），保证人员基本固定，不得随意更换，团队内需指定一名项目主管，除正常运维工作外，负责与采购人具体对接，履行汇报、监督、总结等管理职责。</w:t>
            </w:r>
          </w:p>
          <w:p w14:paraId="590C9B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2、服务团队应具备采购人所要求岗位相适应的工作能力，服务团队在驻场前，需经过采购人组织的考核，考核合格后方可上岗。</w:t>
            </w:r>
          </w:p>
          <w:p w14:paraId="78602F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3、根据采购人工作要求，采购人有权对驻场服务人员的工作情况进行监督、评议。如驻场人员不服从采购人管理或者服务技术能力达不到采购人要求的，采购人有权要求成交供应商更换。</w:t>
            </w:r>
          </w:p>
          <w:p w14:paraId="2C6801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驻场服务人员需接受采购人的管理，驻点服务人员按采购人工作作息时间上班，接受采购人考核。中标人不得在服务期内，对驻场人员分配采购人交办以外的工作。驻场人员除法定休假外有事假等原因不在岗的，应事先征得采购人同意。驻场服务人员在服务期间，必须遵守采购人制定的各项管理规章制度和保密制度。</w:t>
            </w:r>
          </w:p>
          <w:p w14:paraId="3437F2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5、中标人须与采购人的保密部门签订保密工作协议，把参加维护服务人员的基本情况报送采购人的保密部门备案并配合进行政治审查，服务人员经保密部门进行相应保密知识培训和政治审查合格后，方可上岗。</w:t>
            </w:r>
          </w:p>
          <w:p w14:paraId="4D5957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中标人所提供的服务成果归采购人所有，未经采购人书面同意，中标人不得擅自对采购人提供的相关资料及服务相关成果进行加密、阻断、销售、传播、著作权申请、版权登记等行为，中标人亦无权对第三方泄露本项目关联的任何数据信息内容。</w:t>
            </w:r>
          </w:p>
          <w:p w14:paraId="010E65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（五）明确故障响应时间</w:t>
            </w:r>
          </w:p>
          <w:p w14:paraId="1722D0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要求必须提供7×24小时的响应服务，技术服务组成员要保持全天24小时手机开机状态。遇紧急故障处理时，须在规定时间内到达现场处理。</w:t>
            </w:r>
          </w:p>
        </w:tc>
      </w:tr>
      <w:tr w14:paraId="2B9C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F62F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O-5</w:t>
            </w:r>
          </w:p>
        </w:tc>
        <w:tc>
          <w:tcPr>
            <w:tcW w:w="1125" w:type="dxa"/>
            <w:vAlign w:val="center"/>
          </w:tcPr>
          <w:p w14:paraId="04259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6520EEB5">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w:t>
            </w:r>
            <w:r>
              <w:rPr>
                <w:rFonts w:hint="eastAsia" w:ascii="宋体" w:hAnsi="宋体" w:cs="宋体"/>
                <w:bCs/>
                <w:i w:val="0"/>
                <w:color w:val="000000" w:themeColor="text1"/>
                <w:kern w:val="2"/>
                <w:sz w:val="21"/>
                <w:szCs w:val="21"/>
                <w:highlight w:val="none"/>
                <w:u w:val="none"/>
                <w:lang w:val="en-US" w:eastAsia="zh-CN" w:bidi="ar"/>
                <w14:textFill>
                  <w14:solidFill>
                    <w14:schemeClr w14:val="tx1"/>
                  </w14:solidFill>
                </w14:textFill>
              </w:rPr>
              <w:t>5</w:t>
            </w: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平台</w:t>
            </w:r>
          </w:p>
        </w:tc>
        <w:tc>
          <w:tcPr>
            <w:tcW w:w="5449" w:type="dxa"/>
            <w:vMerge w:val="continue"/>
            <w:vAlign w:val="center"/>
          </w:tcPr>
          <w:p w14:paraId="1EB600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p>
        </w:tc>
      </w:tr>
      <w:tr w14:paraId="5D29A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3821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O-6</w:t>
            </w:r>
          </w:p>
        </w:tc>
        <w:tc>
          <w:tcPr>
            <w:tcW w:w="1125" w:type="dxa"/>
            <w:vAlign w:val="center"/>
          </w:tcPr>
          <w:p w14:paraId="07B73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52F89E81">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w:t>
            </w:r>
            <w:r>
              <w:rPr>
                <w:rFonts w:hint="eastAsia" w:ascii="宋体" w:hAnsi="宋体" w:cs="宋体"/>
                <w:bCs/>
                <w:i w:val="0"/>
                <w:color w:val="000000" w:themeColor="text1"/>
                <w:kern w:val="2"/>
                <w:sz w:val="21"/>
                <w:szCs w:val="21"/>
                <w:highlight w:val="none"/>
                <w:u w:val="none"/>
                <w:lang w:val="en-US" w:eastAsia="zh-CN" w:bidi="ar"/>
                <w14:textFill>
                  <w14:solidFill>
                    <w14:schemeClr w14:val="tx1"/>
                  </w14:solidFill>
                </w14:textFill>
              </w:rPr>
              <w:t>6</w:t>
            </w: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平台</w:t>
            </w:r>
          </w:p>
        </w:tc>
        <w:tc>
          <w:tcPr>
            <w:tcW w:w="5449" w:type="dxa"/>
            <w:vMerge w:val="continue"/>
            <w:vAlign w:val="center"/>
          </w:tcPr>
          <w:p w14:paraId="58DD2C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p>
        </w:tc>
      </w:tr>
      <w:tr w14:paraId="35715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C1F5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O-7</w:t>
            </w:r>
          </w:p>
        </w:tc>
        <w:tc>
          <w:tcPr>
            <w:tcW w:w="1125" w:type="dxa"/>
            <w:vAlign w:val="center"/>
          </w:tcPr>
          <w:p w14:paraId="6F365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02796B0F">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w:t>
            </w:r>
            <w:r>
              <w:rPr>
                <w:rFonts w:hint="eastAsia" w:ascii="宋体" w:hAnsi="宋体" w:cs="宋体"/>
                <w:bCs/>
                <w:i w:val="0"/>
                <w:color w:val="000000" w:themeColor="text1"/>
                <w:kern w:val="2"/>
                <w:sz w:val="21"/>
                <w:szCs w:val="21"/>
                <w:highlight w:val="none"/>
                <w:u w:val="none"/>
                <w:lang w:val="en-US" w:eastAsia="zh-CN" w:bidi="ar"/>
                <w14:textFill>
                  <w14:solidFill>
                    <w14:schemeClr w14:val="tx1"/>
                  </w14:solidFill>
                </w14:textFill>
              </w:rPr>
              <w:t>7</w:t>
            </w: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平台</w:t>
            </w:r>
          </w:p>
        </w:tc>
        <w:tc>
          <w:tcPr>
            <w:tcW w:w="5449" w:type="dxa"/>
            <w:vMerge w:val="continue"/>
            <w:vAlign w:val="center"/>
          </w:tcPr>
          <w:p w14:paraId="6C2FF7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p>
        </w:tc>
      </w:tr>
      <w:tr w14:paraId="2B81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AAF9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O-8</w:t>
            </w:r>
          </w:p>
        </w:tc>
        <w:tc>
          <w:tcPr>
            <w:tcW w:w="1125" w:type="dxa"/>
            <w:vAlign w:val="center"/>
          </w:tcPr>
          <w:p w14:paraId="049A4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39FE8338">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w:t>
            </w:r>
            <w:r>
              <w:rPr>
                <w:rFonts w:hint="eastAsia" w:ascii="宋体" w:hAnsi="宋体" w:cs="宋体"/>
                <w:bCs/>
                <w:i w:val="0"/>
                <w:color w:val="000000" w:themeColor="text1"/>
                <w:kern w:val="2"/>
                <w:sz w:val="21"/>
                <w:szCs w:val="21"/>
                <w:highlight w:val="none"/>
                <w:u w:val="none"/>
                <w:lang w:val="en-US" w:eastAsia="zh-CN" w:bidi="ar"/>
                <w14:textFill>
                  <w14:solidFill>
                    <w14:schemeClr w14:val="tx1"/>
                  </w14:solidFill>
                </w14:textFill>
              </w:rPr>
              <w:t>8</w:t>
            </w: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系统</w:t>
            </w:r>
          </w:p>
        </w:tc>
        <w:tc>
          <w:tcPr>
            <w:tcW w:w="5449" w:type="dxa"/>
            <w:vMerge w:val="continue"/>
            <w:vAlign w:val="center"/>
          </w:tcPr>
          <w:p w14:paraId="0FB108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p>
        </w:tc>
      </w:tr>
      <w:tr w14:paraId="34A6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493A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O-9</w:t>
            </w:r>
          </w:p>
        </w:tc>
        <w:tc>
          <w:tcPr>
            <w:tcW w:w="1125" w:type="dxa"/>
            <w:vAlign w:val="center"/>
          </w:tcPr>
          <w:p w14:paraId="241F8E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09840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w:t>
            </w:r>
            <w:r>
              <w:rPr>
                <w:rFonts w:hint="eastAsia" w:ascii="宋体" w:hAnsi="宋体" w:cs="宋体"/>
                <w:bCs/>
                <w:i w:val="0"/>
                <w:color w:val="000000" w:themeColor="text1"/>
                <w:kern w:val="2"/>
                <w:sz w:val="21"/>
                <w:szCs w:val="21"/>
                <w:highlight w:val="none"/>
                <w:u w:val="none"/>
                <w:lang w:val="en-US" w:eastAsia="zh-CN" w:bidi="ar"/>
                <w14:textFill>
                  <w14:solidFill>
                    <w14:schemeClr w14:val="tx1"/>
                  </w14:solidFill>
                </w14:textFill>
              </w:rPr>
              <w:t>9</w:t>
            </w:r>
            <w:r>
              <w:rPr>
                <w:rFonts w:hint="eastAsia" w:ascii="宋体" w:hAnsi="宋体" w:eastAsia="宋体" w:cs="宋体"/>
                <w:bCs/>
                <w:i w:val="0"/>
                <w:color w:val="000000" w:themeColor="text1"/>
                <w:kern w:val="2"/>
                <w:sz w:val="21"/>
                <w:szCs w:val="21"/>
                <w:highlight w:val="none"/>
                <w:u w:val="none"/>
                <w:lang w:val="en-US" w:eastAsia="zh-CN" w:bidi="ar"/>
                <w14:textFill>
                  <w14:solidFill>
                    <w14:schemeClr w14:val="tx1"/>
                  </w14:solidFill>
                </w14:textFill>
              </w:rPr>
              <w:t>系统</w:t>
            </w:r>
          </w:p>
        </w:tc>
        <w:tc>
          <w:tcPr>
            <w:tcW w:w="5449" w:type="dxa"/>
            <w:vMerge w:val="continue"/>
            <w:vAlign w:val="center"/>
          </w:tcPr>
          <w:p w14:paraId="20A4D3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p>
        </w:tc>
      </w:tr>
      <w:tr w14:paraId="26C21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183EF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O-10</w:t>
            </w:r>
          </w:p>
        </w:tc>
        <w:tc>
          <w:tcPr>
            <w:tcW w:w="1125" w:type="dxa"/>
            <w:vAlign w:val="center"/>
          </w:tcPr>
          <w:p w14:paraId="7D7FE4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0C297D80">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default"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O-10服务</w:t>
            </w:r>
          </w:p>
        </w:tc>
        <w:tc>
          <w:tcPr>
            <w:tcW w:w="5449" w:type="dxa"/>
            <w:vAlign w:val="center"/>
          </w:tcPr>
          <w:p w14:paraId="1C20D3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运维期间提供1名项目主管：1.技术对接工作，协助</w:t>
            </w:r>
            <w:r>
              <w:rPr>
                <w:rFonts w:hint="eastAsia" w:ascii="宋体" w:hAnsi="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进行视频图像相关的技术沟通交流，对其他单位提供视频图技术支持工作。</w:t>
            </w:r>
          </w:p>
          <w:p w14:paraId="7E84E7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2.视频图像关键问题处理。协助</w:t>
            </w:r>
            <w:r>
              <w:rPr>
                <w:rFonts w:hint="eastAsia" w:ascii="宋体" w:hAnsi="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进行视频图像相关的关键问题、总体视频图像工作的协调处理，各类问题总结材料汇报工作。</w:t>
            </w:r>
          </w:p>
          <w:p w14:paraId="7F1A5D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3.技术方案文档工作，协助</w:t>
            </w:r>
            <w:r>
              <w:rPr>
                <w:rFonts w:hint="eastAsia" w:ascii="宋体" w:hAnsi="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进行相关视频图像技术方案编写及各类基础整理材料收集汇报工作。</w:t>
            </w:r>
          </w:p>
          <w:p w14:paraId="432EC5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4.视频图像硬件资源统筹，协助</w:t>
            </w:r>
            <w:r>
              <w:rPr>
                <w:rFonts w:hint="eastAsia" w:ascii="宋体" w:hAnsi="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对视频图像的硬件资源进行管理，升级，方案沟通，实施计划等工作。</w:t>
            </w:r>
          </w:p>
          <w:p w14:paraId="08B4AB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5.驻场团队管理及资源协调工作，负责对现场驻场人员的管理，制度流程管理，与总部的资源协调沟通等工作。</w:t>
            </w:r>
          </w:p>
        </w:tc>
      </w:tr>
      <w:tr w14:paraId="6E702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775" w:type="dxa"/>
            <w:vAlign w:val="center"/>
          </w:tcPr>
          <w:p w14:paraId="366B7F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O-11</w:t>
            </w:r>
          </w:p>
        </w:tc>
        <w:tc>
          <w:tcPr>
            <w:tcW w:w="1125" w:type="dxa"/>
            <w:vAlign w:val="center"/>
          </w:tcPr>
          <w:p w14:paraId="6A12FC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53F45D1F">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O-11</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center"/>
          </w:tcPr>
          <w:p w14:paraId="73FF1B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1、对视综平台的设备在线情况、设备数据情况、车辆业务运行情况、动态人像业务运行情况、静态人像业务运行情况、视频图像业务运行情况进行日常巡检。</w:t>
            </w:r>
          </w:p>
          <w:p w14:paraId="51A8CE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2、对视综平台的接口进行维护，确保数据的正常流转和使用。</w:t>
            </w:r>
          </w:p>
          <w:p w14:paraId="4FD0DD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3、对视综平台的数据库进行更新、扩容和管理。</w:t>
            </w:r>
          </w:p>
          <w:p w14:paraId="4F6274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4、针对巡检流程制定巡检方案。</w:t>
            </w:r>
          </w:p>
          <w:p w14:paraId="45759D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5、做好视综平台与其他业务数据对接的工作，如一机一档、统一权限、多维大数据等应用。</w:t>
            </w:r>
          </w:p>
          <w:p w14:paraId="44E36C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受理用户来自运维的电话、八桂警信以及其他工具等途径反馈平台的使用问题，对全区用户提供技术支撑，保障平台的正常运行。</w:t>
            </w:r>
          </w:p>
        </w:tc>
      </w:tr>
      <w:tr w14:paraId="33242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7188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O-12</w:t>
            </w:r>
          </w:p>
        </w:tc>
        <w:tc>
          <w:tcPr>
            <w:tcW w:w="1125" w:type="dxa"/>
            <w:vAlign w:val="center"/>
          </w:tcPr>
          <w:p w14:paraId="6BFB0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278B5ACF">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O-12</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109AFA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1、动态人像系统，提供人脸动态算法接入功能，对人员身份核查、人员跨省比对、人员1：1比对以及人员批量比对等功能进行每日巡检。</w:t>
            </w:r>
          </w:p>
          <w:p w14:paraId="565233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2、对数据对接的接口进行维护，确保数据的正常流转和使用。</w:t>
            </w:r>
          </w:p>
          <w:p w14:paraId="20DACB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3、对系统的数据库进行更新、扩容和管理。</w:t>
            </w:r>
          </w:p>
          <w:p w14:paraId="6AC404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4、针对巡检流程制定巡检方案。</w:t>
            </w:r>
          </w:p>
          <w:p w14:paraId="58955E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5、做好系统与其他业务数据对接的工作，如视综平台等应用。</w:t>
            </w:r>
          </w:p>
          <w:p w14:paraId="6C3F02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对全区用户提供技术支撑，保障系统的正常运行。</w:t>
            </w:r>
          </w:p>
        </w:tc>
      </w:tr>
      <w:tr w14:paraId="05A55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26BE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O-13</w:t>
            </w:r>
          </w:p>
        </w:tc>
        <w:tc>
          <w:tcPr>
            <w:tcW w:w="1125" w:type="dxa"/>
            <w:vAlign w:val="center"/>
          </w:tcPr>
          <w:p w14:paraId="1A2D30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094AB748">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O-13</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7964CF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1、对静态人像系统的以图搜图、一重点人员管控、人员聚档、人员语义检索和人员历史检索等功能，进行每日巡检。</w:t>
            </w:r>
          </w:p>
          <w:p w14:paraId="4B1EE1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2、对数据对接的接口进行维护，确保数据的正常流转和使用。</w:t>
            </w:r>
          </w:p>
          <w:p w14:paraId="31F2AA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3、对系统的数据库进行更新、扩容和管理。</w:t>
            </w:r>
          </w:p>
          <w:p w14:paraId="77B865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4、针对巡检流程制定巡检方案。</w:t>
            </w:r>
          </w:p>
          <w:p w14:paraId="2F2BE1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5、做好系统与其他业务数据对接的工作，如视综平台等应用。</w:t>
            </w:r>
          </w:p>
          <w:p w14:paraId="058B29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对全区用户提供技术支撑，保障系统的正常运行。</w:t>
            </w:r>
          </w:p>
        </w:tc>
      </w:tr>
      <w:tr w14:paraId="1E966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775" w:type="dxa"/>
            <w:vAlign w:val="center"/>
          </w:tcPr>
          <w:p w14:paraId="31D1B6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O-14</w:t>
            </w:r>
          </w:p>
        </w:tc>
        <w:tc>
          <w:tcPr>
            <w:tcW w:w="1125" w:type="dxa"/>
            <w:vAlign w:val="center"/>
          </w:tcPr>
          <w:p w14:paraId="30976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48EB78E4">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O-14</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4F6C1C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1、维护厅级视频专网和公安网视图库，对14个市汇聚的人员、车辆和聚档数据进行维护。</w:t>
            </w:r>
          </w:p>
          <w:p w14:paraId="1BBEC0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2、对数据接口进行维护，对接入\推送的数据进行实时监控，确保数据的稳定性。</w:t>
            </w:r>
          </w:p>
          <w:p w14:paraId="719AE5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3、对系统的数据库进行更新、扩容和管理。</w:t>
            </w:r>
          </w:p>
          <w:p w14:paraId="504FAC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4、针对巡检流程制定巡检方案。</w:t>
            </w:r>
          </w:p>
          <w:p w14:paraId="6B053C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5、做好系统与其他业务数据对接的工作，如一机一档、统一权限和鲁班平台等应用。</w:t>
            </w:r>
          </w:p>
          <w:p w14:paraId="385F77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6、对全区用户提供数据支撑，保障系统的正常运行。</w:t>
            </w:r>
          </w:p>
        </w:tc>
      </w:tr>
      <w:tr w14:paraId="657E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4169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O-15</w:t>
            </w:r>
          </w:p>
        </w:tc>
        <w:tc>
          <w:tcPr>
            <w:tcW w:w="1125" w:type="dxa"/>
            <w:vAlign w:val="center"/>
          </w:tcPr>
          <w:p w14:paraId="418F3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7AB90C4C">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O-15</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5DC997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1、对全区视频图像设备信息汇聚接入及管理。</w:t>
            </w:r>
          </w:p>
          <w:p w14:paraId="3435BF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2、对数据接口进行维护，对接入\推送的数据进行实时监控，确保数据的稳定性。</w:t>
            </w:r>
          </w:p>
          <w:p w14:paraId="7FA557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3、对系统的数据库进行更新、扩容和管理。</w:t>
            </w:r>
          </w:p>
          <w:p w14:paraId="44D9AF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4、针对巡检流程制定巡检方案。</w:t>
            </w:r>
          </w:p>
          <w:p w14:paraId="00BCC0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5、做好系统与其他业务数据对接的工作，如视综平台、新视图库系统等应用。</w:t>
            </w:r>
          </w:p>
          <w:p w14:paraId="2F57E2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6、对全区用户提供数据支撑，保障系统的正常运行。</w:t>
            </w:r>
          </w:p>
        </w:tc>
      </w:tr>
      <w:tr w14:paraId="482F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2AB2C2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O-16</w:t>
            </w:r>
          </w:p>
        </w:tc>
        <w:tc>
          <w:tcPr>
            <w:tcW w:w="1125" w:type="dxa"/>
            <w:vAlign w:val="center"/>
          </w:tcPr>
          <w:p w14:paraId="5E775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162B7908">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O-16</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center"/>
          </w:tcPr>
          <w:p w14:paraId="0C811C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1、巡检平台运行情况，巡检点位实时与录像播放情况，确保每日系统平稳运行。</w:t>
            </w:r>
          </w:p>
          <w:p w14:paraId="4F3C42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2、升级平台软件版本，备份镜像,根据漏洞预警反馈给研发进行漏洞修复确保系统运行安全。</w:t>
            </w:r>
          </w:p>
          <w:p w14:paraId="3DBD43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3、国标汇聚全区各类监控点位到本级平台，再由本级平台同时共享给各业务部门与各单位进行使用。</w:t>
            </w:r>
          </w:p>
          <w:p w14:paraId="67030A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4、排查处理国标汇聚过程中出现的对接异常或者播放异常等问题，根据国标对一些异常对接进行适配。</w:t>
            </w:r>
          </w:p>
          <w:p w14:paraId="006E97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5、针对巡检流程制定巡检方案，勤务期间进行点位目录与预案的制作，保障重点点位的点位的调阅正常</w:t>
            </w:r>
          </w:p>
          <w:p w14:paraId="525A42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6、对全区用户提供数据支撑，保障系统的正常运行。</w:t>
            </w:r>
          </w:p>
        </w:tc>
      </w:tr>
      <w:tr w14:paraId="389F9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CA6DD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O-17</w:t>
            </w:r>
          </w:p>
        </w:tc>
        <w:tc>
          <w:tcPr>
            <w:tcW w:w="1125" w:type="dxa"/>
            <w:vAlign w:val="center"/>
          </w:tcPr>
          <w:p w14:paraId="782775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5D9B0320">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O-17</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center"/>
          </w:tcPr>
          <w:p w14:paraId="54CA0A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1、对全区运维考核系统进行日常维护。</w:t>
            </w:r>
          </w:p>
          <w:p w14:paraId="1E1753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2、对数据接口进行维护，对接入\推送的数据进行实时监控，确保数据的稳定性。</w:t>
            </w:r>
          </w:p>
          <w:p w14:paraId="1D2A5C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3、对系统的数据库进行更新、扩容和管理。</w:t>
            </w:r>
          </w:p>
          <w:p w14:paraId="7CAC1D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4、针对巡检流程制定巡检方案。</w:t>
            </w:r>
          </w:p>
          <w:p w14:paraId="27D02D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5、做好系统与其他业务数据对接的工作。</w:t>
            </w:r>
          </w:p>
          <w:p w14:paraId="094D8E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6、对全区用户提供数据支撑，保障系统的正常运行。</w:t>
            </w:r>
          </w:p>
        </w:tc>
      </w:tr>
      <w:tr w14:paraId="7AE48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4167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O-18</w:t>
            </w:r>
          </w:p>
        </w:tc>
        <w:tc>
          <w:tcPr>
            <w:tcW w:w="1125" w:type="dxa"/>
            <w:vAlign w:val="center"/>
          </w:tcPr>
          <w:p w14:paraId="3D183B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7EDFC891">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O-18服务</w:t>
            </w:r>
          </w:p>
        </w:tc>
        <w:tc>
          <w:tcPr>
            <w:tcW w:w="5449" w:type="dxa"/>
            <w:vAlign w:val="center"/>
          </w:tcPr>
          <w:p w14:paraId="482AF4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1．负责监测服务器、短信网关和数据交换运行状态，及时响应处理各种异常问题。</w:t>
            </w:r>
          </w:p>
          <w:p w14:paraId="66FAA4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2．负责响应区厅和各地市用户需求，包括客户端安装，客户端异常问题排查处理等。</w:t>
            </w:r>
          </w:p>
          <w:p w14:paraId="326860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3．负责产品使用及运维培训，包括各地市管理员账号权限分配，管理员使用培训，新用户使用培训。</w:t>
            </w:r>
          </w:p>
          <w:p w14:paraId="1E6F98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4．负责应用集成及开发培训和支持，包括应用配置和集成方法培训，后台API培训，H5开发和JSAPI培训，包含相关培训文档的交付和咨询响应。</w:t>
            </w:r>
          </w:p>
          <w:p w14:paraId="76E53F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5．负责数据统计分析，包括运营数据收集、统计、分析、搭建运营指标数据，如各模块使用率、各部门各应用账号总数、激活数、日活跃数、激活率、活跃率等。</w:t>
            </w:r>
          </w:p>
          <w:p w14:paraId="629C0B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6．负责系统公告维护，通过“系统公告”应用，向用户推送通知公告，平台常见问题，平台操作指引等线上文案和操作文档下载链接。</w:t>
            </w:r>
          </w:p>
          <w:p w14:paraId="4942BE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7．建立常见问题库，制定《常见问题FAQ》文档，定期更新，提供用户下载查看。</w:t>
            </w:r>
          </w:p>
          <w:p w14:paraId="6BE60A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8．提升应用使用率，线上、线下搜集的用户使用意见并制定改善措施。</w:t>
            </w:r>
          </w:p>
          <w:p w14:paraId="5E78E6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9．提供可选后台和客户端升级服务。</w:t>
            </w:r>
          </w:p>
        </w:tc>
      </w:tr>
      <w:tr w14:paraId="528B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6D37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O-19</w:t>
            </w:r>
          </w:p>
        </w:tc>
        <w:tc>
          <w:tcPr>
            <w:tcW w:w="1125" w:type="dxa"/>
            <w:vAlign w:val="center"/>
          </w:tcPr>
          <w:p w14:paraId="61024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4BAF8F08">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bCs/>
                <w:color w:val="000000" w:themeColor="text1"/>
                <w:kern w:val="2"/>
                <w:sz w:val="21"/>
                <w:szCs w:val="21"/>
                <w:highlight w:val="none"/>
                <w:lang w:val="en-US" w:eastAsia="zh-CN"/>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O-19服务</w:t>
            </w:r>
          </w:p>
        </w:tc>
        <w:tc>
          <w:tcPr>
            <w:tcW w:w="5449" w:type="dxa"/>
            <w:vAlign w:val="center"/>
          </w:tcPr>
          <w:p w14:paraId="68F4CA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1、提供日常维护服务,保证工具运行稳定，同时针对日常检查结果进行记录，并整理检查报告；</w:t>
            </w:r>
          </w:p>
          <w:p w14:paraId="003FCF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2、提供工具巡检服务，包括系统架构收集、数据库、中间层等各方面的检查，确保工具运行稳定；</w:t>
            </w:r>
          </w:p>
          <w:p w14:paraId="0CB64C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3、提供数据服务总线日常运维管理，确保数据服务接口对外提供数据服务正常；对数据接口使用单位进行所授权数据接口相关的技术答疑和数据核查。</w:t>
            </w:r>
          </w:p>
          <w:p w14:paraId="5ACE5E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4、对广西公安大数据资源建设相关人员开展培训服务。</w:t>
            </w:r>
          </w:p>
        </w:tc>
      </w:tr>
      <w:tr w14:paraId="0AAA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DD13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O-20</w:t>
            </w:r>
          </w:p>
        </w:tc>
        <w:tc>
          <w:tcPr>
            <w:tcW w:w="1125" w:type="dxa"/>
            <w:vAlign w:val="center"/>
          </w:tcPr>
          <w:p w14:paraId="3604CF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019A2CDD">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O-20</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6FD85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1、提供日常系统维护服务,供7*24小时的技术支持，工作日对设备进行日常监控，形成设备及系统运行状态记录日志，发现问题随时处理，按照域名使用需求，开展日常域名配置工作；</w:t>
            </w:r>
          </w:p>
          <w:p w14:paraId="6F5FBC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2、提供设备巡检服务，运维工程师应每月对硬件及软件系统进行一次全面巡检并出具月度报告；</w:t>
            </w:r>
          </w:p>
        </w:tc>
      </w:tr>
      <w:tr w14:paraId="5853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5F6729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O-21</w:t>
            </w:r>
          </w:p>
        </w:tc>
        <w:tc>
          <w:tcPr>
            <w:tcW w:w="1125" w:type="dxa"/>
            <w:vAlign w:val="center"/>
          </w:tcPr>
          <w:p w14:paraId="52941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7D9E2FD7">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O-21</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18550F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提供7×24小时的电话支持，并在敏感时期、重大节假日提供技术人员专门值守服务。7×24小时的技术支持和故障响应时间应小于30分钟，即30分钟内有能够处理故障的技术人员到达现场。一般问题在2小时内修复，复杂问题在12小时内修复。</w:t>
            </w:r>
          </w:p>
          <w:p w14:paraId="320AA5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2、对系统运行过程中出现的性能问题、稳定性问题、疑难问题进行解决。</w:t>
            </w:r>
          </w:p>
          <w:p w14:paraId="1EADC9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3、对本系统在日常业务工作中与各公安业务系统的一般数据对接工作的正常开展</w:t>
            </w:r>
            <w:r>
              <w:rPr>
                <w:rFonts w:hint="eastAsia" w:ascii="宋体" w:hAnsi="宋体" w:cs="宋体"/>
                <w:color w:val="000000" w:themeColor="text1"/>
                <w:kern w:val="0"/>
                <w:sz w:val="21"/>
                <w:szCs w:val="21"/>
                <w:highlight w:val="none"/>
                <w:lang w:eastAsia="zh-CN"/>
                <w14:textFill>
                  <w14:solidFill>
                    <w14:schemeClr w14:val="tx1"/>
                  </w14:solidFill>
                </w14:textFill>
              </w:rPr>
              <w:t>。</w:t>
            </w:r>
          </w:p>
          <w:p w14:paraId="73608D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4、智能客服运维：</w:t>
            </w:r>
          </w:p>
          <w:p w14:paraId="2BA234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接听运维服务热线电话；</w:t>
            </w:r>
          </w:p>
          <w:p w14:paraId="3FFDE7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巡检广西12345服务便民热线管理平台、整理工单和及时处理工单；</w:t>
            </w:r>
          </w:p>
          <w:p w14:paraId="4B9570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对投诉类工单进行群众回访工作；</w:t>
            </w:r>
          </w:p>
          <w:p w14:paraId="4A5DC2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维护公安政务服务知识库内容，定期进行信息更新。</w:t>
            </w:r>
          </w:p>
          <w:p w14:paraId="49E5A4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5、对认证中心、跨网交互、消息服务、网上支付、办件寄递、电子证照</w:t>
            </w:r>
            <w:r>
              <w:rPr>
                <w:rFonts w:hint="eastAsia" w:ascii="宋体" w:hAnsi="宋体" w:cs="宋体"/>
                <w:color w:val="000000" w:themeColor="text1"/>
                <w:kern w:val="0"/>
                <w:sz w:val="21"/>
                <w:szCs w:val="21"/>
                <w:highlight w:val="none"/>
                <w:lang w:eastAsia="zh-CN"/>
                <w14:textFill>
                  <w14:solidFill>
                    <w14:schemeClr w14:val="tx1"/>
                  </w14:solidFill>
                </w14:textFill>
              </w:rPr>
              <w:t>和</w:t>
            </w:r>
            <w:r>
              <w:rPr>
                <w:rFonts w:hint="eastAsia" w:ascii="宋体" w:hAnsi="宋体" w:eastAsia="宋体" w:cs="宋体"/>
                <w:color w:val="000000" w:themeColor="text1"/>
                <w:kern w:val="0"/>
                <w:sz w:val="21"/>
                <w:szCs w:val="21"/>
                <w:highlight w:val="none"/>
                <w14:textFill>
                  <w14:solidFill>
                    <w14:schemeClr w14:val="tx1"/>
                  </w14:solidFill>
                </w14:textFill>
              </w:rPr>
              <w:t>电子印章系统提供维护服务</w:t>
            </w:r>
            <w:r>
              <w:rPr>
                <w:rFonts w:hint="eastAsia" w:ascii="宋体" w:hAnsi="宋体" w:cs="宋体"/>
                <w:color w:val="000000" w:themeColor="text1"/>
                <w:kern w:val="0"/>
                <w:sz w:val="21"/>
                <w:szCs w:val="21"/>
                <w:highlight w:val="none"/>
                <w:lang w:eastAsia="zh-CN"/>
                <w14:textFill>
                  <w14:solidFill>
                    <w14:schemeClr w14:val="tx1"/>
                  </w14:solidFill>
                </w14:textFill>
              </w:rPr>
              <w:t>和</w:t>
            </w:r>
            <w:r>
              <w:rPr>
                <w:rFonts w:hint="eastAsia" w:ascii="宋体" w:hAnsi="宋体" w:eastAsia="宋体" w:cs="宋体"/>
                <w:color w:val="000000" w:themeColor="text1"/>
                <w:kern w:val="0"/>
                <w:sz w:val="21"/>
                <w:szCs w:val="21"/>
                <w:highlight w:val="none"/>
                <w14:textFill>
                  <w14:solidFill>
                    <w14:schemeClr w14:val="tx1"/>
                  </w14:solidFill>
                </w14:textFill>
              </w:rPr>
              <w:t>系统定期巡检服务</w:t>
            </w:r>
            <w:r>
              <w:rPr>
                <w:rFonts w:hint="eastAsia" w:ascii="宋体" w:hAnsi="宋体" w:cs="宋体"/>
                <w:color w:val="000000" w:themeColor="text1"/>
                <w:kern w:val="0"/>
                <w:sz w:val="21"/>
                <w:szCs w:val="21"/>
                <w:highlight w:val="none"/>
                <w:lang w:eastAsia="zh-CN"/>
                <w14:textFill>
                  <w14:solidFill>
                    <w14:schemeClr w14:val="tx1"/>
                  </w14:solidFill>
                </w14:textFill>
              </w:rPr>
              <w:t>。</w:t>
            </w:r>
          </w:p>
        </w:tc>
      </w:tr>
      <w:tr w14:paraId="6994E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6006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O-22</w:t>
            </w:r>
          </w:p>
        </w:tc>
        <w:tc>
          <w:tcPr>
            <w:tcW w:w="1125" w:type="dxa"/>
            <w:vAlign w:val="center"/>
          </w:tcPr>
          <w:p w14:paraId="187AAB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1510B37C">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O-22</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78E8FD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1、提供远程系统日常故障排查服务及系统巡检服务；</w:t>
            </w:r>
          </w:p>
          <w:p w14:paraId="12078F6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2、提供现场系统巡检服务（每季度一次）；</w:t>
            </w:r>
          </w:p>
          <w:p w14:paraId="097341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3、提供系统安全事件应急响应及重大故障上门抢修服务</w:t>
            </w:r>
          </w:p>
          <w:p w14:paraId="3421FB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4、提供系统漏洞修补与升级；</w:t>
            </w:r>
          </w:p>
          <w:p w14:paraId="0EDA3A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5、提供系统软件接口优化；</w:t>
            </w:r>
          </w:p>
          <w:p w14:paraId="621336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6、提供系统使用培训服务；</w:t>
            </w:r>
          </w:p>
          <w:p w14:paraId="77045F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7、提供系统bu</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w:t>
            </w:r>
            <w:r>
              <w:rPr>
                <w:rFonts w:hint="eastAsia" w:ascii="宋体" w:hAnsi="宋体" w:eastAsia="宋体" w:cs="宋体"/>
                <w:color w:val="000000" w:themeColor="text1"/>
                <w:kern w:val="0"/>
                <w:sz w:val="21"/>
                <w:szCs w:val="21"/>
                <w:highlight w:val="none"/>
                <w14:textFill>
                  <w14:solidFill>
                    <w14:schemeClr w14:val="tx1"/>
                  </w14:solidFill>
                </w14:textFill>
              </w:rPr>
              <w:t>修复服务；</w:t>
            </w:r>
          </w:p>
          <w:p w14:paraId="1FE363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8、以上均提供7*24小时服务响应</w:t>
            </w:r>
          </w:p>
        </w:tc>
      </w:tr>
      <w:tr w14:paraId="161E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5E108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O-23</w:t>
            </w:r>
          </w:p>
        </w:tc>
        <w:tc>
          <w:tcPr>
            <w:tcW w:w="1125" w:type="dxa"/>
            <w:vAlign w:val="center"/>
          </w:tcPr>
          <w:p w14:paraId="3FC12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06FE426E">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O-23</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center"/>
          </w:tcPr>
          <w:p w14:paraId="72E1FD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1、系统巡检</w:t>
            </w:r>
          </w:p>
          <w:p w14:paraId="1CD7FE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2、生产环境配置管理</w:t>
            </w:r>
          </w:p>
          <w:p w14:paraId="7CC4B3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3、生产环境账号密码管理</w:t>
            </w:r>
          </w:p>
          <w:p w14:paraId="3491E8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4、平台功能维护</w:t>
            </w:r>
          </w:p>
          <w:p w14:paraId="08B04C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5、数据接入更新</w:t>
            </w:r>
          </w:p>
          <w:p w14:paraId="189DF1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6、故障处理</w:t>
            </w:r>
          </w:p>
          <w:p w14:paraId="035D553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7、备份服务</w:t>
            </w:r>
          </w:p>
        </w:tc>
      </w:tr>
      <w:tr w14:paraId="652A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E07D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O-24</w:t>
            </w:r>
          </w:p>
        </w:tc>
        <w:tc>
          <w:tcPr>
            <w:tcW w:w="1125" w:type="dxa"/>
            <w:vAlign w:val="center"/>
          </w:tcPr>
          <w:p w14:paraId="269C6F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 单位</w:t>
            </w:r>
          </w:p>
        </w:tc>
        <w:tc>
          <w:tcPr>
            <w:tcW w:w="1737" w:type="dxa"/>
            <w:vAlign w:val="center"/>
          </w:tcPr>
          <w:p w14:paraId="64AC7E20">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O-24</w:t>
            </w:r>
            <w:r>
              <w:rPr>
                <w:rFonts w:hint="eastAsia" w:ascii="宋体" w:hAnsi="宋体" w:eastAsia="宋体" w:cs="宋体"/>
                <w:bCs/>
                <w:color w:val="000000" w:themeColor="text1"/>
                <w:kern w:val="2"/>
                <w:sz w:val="21"/>
                <w:szCs w:val="21"/>
                <w:highlight w:val="none"/>
                <w14:textFill>
                  <w14:solidFill>
                    <w14:schemeClr w14:val="tx1"/>
                  </w14:solidFill>
                </w14:textFill>
              </w:rPr>
              <w:t>平台</w:t>
            </w:r>
          </w:p>
        </w:tc>
        <w:tc>
          <w:tcPr>
            <w:tcW w:w="5449" w:type="dxa"/>
            <w:vAlign w:val="center"/>
          </w:tcPr>
          <w:p w14:paraId="60D498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1、系统巡检</w:t>
            </w:r>
          </w:p>
          <w:p w14:paraId="4E7D47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2、生产环境配置管理</w:t>
            </w:r>
          </w:p>
          <w:p w14:paraId="790A9C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3、平台功能维护</w:t>
            </w:r>
          </w:p>
          <w:p w14:paraId="434B95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4、技侦、网安、国保等对接接口巡检</w:t>
            </w:r>
          </w:p>
          <w:p w14:paraId="10E3ED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5、接口更新</w:t>
            </w:r>
          </w:p>
          <w:p w14:paraId="3BF6CE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6、故障处理</w:t>
            </w:r>
          </w:p>
          <w:p w14:paraId="390DFA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7、备份服务</w:t>
            </w:r>
          </w:p>
        </w:tc>
      </w:tr>
      <w:tr w14:paraId="5988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24F303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44"/>
                <w:sz w:val="32"/>
                <w:szCs w:val="32"/>
                <w:highlight w:val="none"/>
                <w:lang w:val="en-US" w:eastAsia="zh-CN" w:bidi="ar"/>
                <w14:textFill>
                  <w14:solidFill>
                    <w14:schemeClr w14:val="tx1"/>
                  </w14:solidFill>
                </w14:textFill>
              </w:rPr>
              <w:t xml:space="preserve">P </w:t>
            </w:r>
            <w:r>
              <w:rPr>
                <w:rFonts w:hint="eastAsia" w:ascii="宋体" w:hAnsi="宋体" w:cs="宋体"/>
                <w:b/>
                <w:color w:val="000000" w:themeColor="text1"/>
                <w:kern w:val="44"/>
                <w:sz w:val="32"/>
                <w:szCs w:val="32"/>
                <w:highlight w:val="none"/>
                <w:lang w:val="en-US" w:eastAsia="zh-CN" w:bidi="ar"/>
                <w14:textFill>
                  <w14:solidFill>
                    <w14:schemeClr w14:val="tx1"/>
                  </w14:solidFill>
                </w14:textFill>
              </w:rPr>
              <w:t>单位</w:t>
            </w:r>
          </w:p>
        </w:tc>
      </w:tr>
      <w:tr w14:paraId="0EEE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2A74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序号</w:t>
            </w:r>
          </w:p>
        </w:tc>
        <w:tc>
          <w:tcPr>
            <w:tcW w:w="1125" w:type="dxa"/>
            <w:vAlign w:val="center"/>
          </w:tcPr>
          <w:p w14:paraId="2BE64B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业务单位</w:t>
            </w:r>
          </w:p>
        </w:tc>
        <w:tc>
          <w:tcPr>
            <w:tcW w:w="1737" w:type="dxa"/>
            <w:vAlign w:val="center"/>
          </w:tcPr>
          <w:p w14:paraId="537DC8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bCs w:val="0"/>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维护对象</w:t>
            </w:r>
          </w:p>
        </w:tc>
        <w:tc>
          <w:tcPr>
            <w:tcW w:w="5449" w:type="dxa"/>
            <w:vAlign w:val="center"/>
          </w:tcPr>
          <w:p w14:paraId="6FC562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专项维护内容</w:t>
            </w:r>
          </w:p>
        </w:tc>
      </w:tr>
      <w:tr w14:paraId="3254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50318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P-1</w:t>
            </w:r>
          </w:p>
        </w:tc>
        <w:tc>
          <w:tcPr>
            <w:tcW w:w="1125" w:type="dxa"/>
            <w:vAlign w:val="center"/>
          </w:tcPr>
          <w:p w14:paraId="2524E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b w:val="0"/>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 单位</w:t>
            </w:r>
          </w:p>
        </w:tc>
        <w:tc>
          <w:tcPr>
            <w:tcW w:w="1737" w:type="dxa"/>
            <w:vAlign w:val="center"/>
          </w:tcPr>
          <w:p w14:paraId="5E7E6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P-1</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系统</w:t>
            </w:r>
          </w:p>
        </w:tc>
        <w:tc>
          <w:tcPr>
            <w:tcW w:w="5449" w:type="dxa"/>
            <w:vAlign w:val="center"/>
          </w:tcPr>
          <w:p w14:paraId="5401C8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1、提供日常维护服务,包括系统监控、故障处理、性能调优、安全防护等；</w:t>
            </w:r>
          </w:p>
          <w:p w14:paraId="71020E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2、提供系统巡检服务，定期进行系统巡检；</w:t>
            </w:r>
          </w:p>
          <w:p w14:paraId="52614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3、提供软件功能升级服务：在服务期内，提供保障系统稳定运行必要的功能性更新升级服务。</w:t>
            </w:r>
          </w:p>
          <w:p w14:paraId="52AE70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4.提供系统培训、优化系统、状态报告和故障预测等服务。</w:t>
            </w:r>
          </w:p>
        </w:tc>
      </w:tr>
      <w:tr w14:paraId="6777C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65C74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P-2</w:t>
            </w:r>
          </w:p>
        </w:tc>
        <w:tc>
          <w:tcPr>
            <w:tcW w:w="1125" w:type="dxa"/>
            <w:vAlign w:val="center"/>
          </w:tcPr>
          <w:p w14:paraId="6D73F3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 单位</w:t>
            </w:r>
          </w:p>
        </w:tc>
        <w:tc>
          <w:tcPr>
            <w:tcW w:w="1737" w:type="dxa"/>
            <w:vAlign w:val="center"/>
          </w:tcPr>
          <w:p w14:paraId="27D966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P-2</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系统</w:t>
            </w:r>
          </w:p>
        </w:tc>
        <w:tc>
          <w:tcPr>
            <w:tcW w:w="5449" w:type="dxa"/>
            <w:vAlign w:val="center"/>
          </w:tcPr>
          <w:p w14:paraId="75C6DC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1、提供日常维护服务,包括数据库运维、业务系统运维、技术文档运维更新、例行工作运维；</w:t>
            </w:r>
          </w:p>
          <w:p w14:paraId="3F404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2、提供系统巡检服务，定期对系统进行巡检，确保系统稳定运行；</w:t>
            </w:r>
          </w:p>
          <w:p w14:paraId="072C3F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3、提供开发升级维护服务，包括系统故障维护和系统性能维护；</w:t>
            </w:r>
          </w:p>
          <w:p w14:paraId="21A4F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4、提供系统故障处理服务；</w:t>
            </w:r>
          </w:p>
          <w:p w14:paraId="701C21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5、提供售后服务支持，5*8小时通过运维电话响应技术支持；</w:t>
            </w:r>
          </w:p>
          <w:p w14:paraId="1BE1B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6、提供系统数据备份服务，包括应用程序备份、系统日志备份、数据库备份、备份执行；</w:t>
            </w:r>
          </w:p>
        </w:tc>
      </w:tr>
      <w:tr w14:paraId="62DE4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D96F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P-3</w:t>
            </w:r>
          </w:p>
        </w:tc>
        <w:tc>
          <w:tcPr>
            <w:tcW w:w="1125" w:type="dxa"/>
            <w:vAlign w:val="center"/>
          </w:tcPr>
          <w:p w14:paraId="282D6C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 单位</w:t>
            </w:r>
          </w:p>
        </w:tc>
        <w:tc>
          <w:tcPr>
            <w:tcW w:w="1737" w:type="dxa"/>
            <w:vAlign w:val="center"/>
          </w:tcPr>
          <w:p w14:paraId="519B14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P-3</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系统</w:t>
            </w:r>
          </w:p>
        </w:tc>
        <w:tc>
          <w:tcPr>
            <w:tcW w:w="5449" w:type="dxa"/>
            <w:vAlign w:val="center"/>
          </w:tcPr>
          <w:p w14:paraId="7B346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保障全区公安出入境管理部门窗口收费业务的电子票据正常开具、保障收费管理、分成管理等系统功能的正常使用。监控与财政厅电子票据系统的实时开票状态、缺票提醒等。</w:t>
            </w:r>
          </w:p>
          <w:p w14:paraId="59A4D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1、提供日常维护服务,包括系统监控、故障处理、性能调优、安全防护等；</w:t>
            </w:r>
          </w:p>
          <w:p w14:paraId="2FD5E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2、提供系统巡检服务，定期进行系统巡检；</w:t>
            </w:r>
          </w:p>
          <w:p w14:paraId="7CC90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3、提供软件功能升级服务：在服务期内，提供保障系统稳定运行必要的开发升级服务。</w:t>
            </w:r>
          </w:p>
          <w:p w14:paraId="0D1101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4.提供系统培训、优化系统、状态报告等服务。</w:t>
            </w:r>
          </w:p>
        </w:tc>
      </w:tr>
      <w:tr w14:paraId="7C916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F54A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P-4</w:t>
            </w:r>
          </w:p>
        </w:tc>
        <w:tc>
          <w:tcPr>
            <w:tcW w:w="1125" w:type="dxa"/>
            <w:vAlign w:val="center"/>
          </w:tcPr>
          <w:p w14:paraId="1E388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 单位</w:t>
            </w:r>
          </w:p>
        </w:tc>
        <w:tc>
          <w:tcPr>
            <w:tcW w:w="1737" w:type="dxa"/>
            <w:vAlign w:val="center"/>
          </w:tcPr>
          <w:p w14:paraId="0408C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P-4</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系统</w:t>
            </w:r>
          </w:p>
        </w:tc>
        <w:tc>
          <w:tcPr>
            <w:tcW w:w="5449" w:type="dxa"/>
            <w:vAlign w:val="center"/>
          </w:tcPr>
          <w:p w14:paraId="0FAFF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1、统一工作平台（门户管理、用户管理、系统管理等）；</w:t>
            </w:r>
          </w:p>
          <w:p w14:paraId="61D2A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2、业务办理平台（证件办理、证件管理、收费管理、档案管理等）；</w:t>
            </w:r>
          </w:p>
          <w:p w14:paraId="5D66F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3、业务管理平台（控制对象管理、境外人员管理、案事件管理、机构管理等）；</w:t>
            </w:r>
          </w:p>
          <w:p w14:paraId="2B743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4、决策支持平台（综合查询、业务报表、统计分析等）；</w:t>
            </w:r>
          </w:p>
          <w:p w14:paraId="58788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5、涉外安保平台（境外人员核查、控制对象核查等）；</w:t>
            </w:r>
          </w:p>
          <w:p w14:paraId="36989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6、数据交换平台（对外接口服务、省部数据交换服务、对内接口服务等）。</w:t>
            </w:r>
          </w:p>
        </w:tc>
      </w:tr>
      <w:tr w14:paraId="0BC8A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6C156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P-5</w:t>
            </w:r>
          </w:p>
        </w:tc>
        <w:tc>
          <w:tcPr>
            <w:tcW w:w="1125" w:type="dxa"/>
            <w:vAlign w:val="center"/>
          </w:tcPr>
          <w:p w14:paraId="0BF64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 单位</w:t>
            </w:r>
          </w:p>
        </w:tc>
        <w:tc>
          <w:tcPr>
            <w:tcW w:w="1737" w:type="dxa"/>
            <w:vAlign w:val="center"/>
          </w:tcPr>
          <w:p w14:paraId="359FB4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P-5</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系统</w:t>
            </w:r>
          </w:p>
        </w:tc>
        <w:tc>
          <w:tcPr>
            <w:tcW w:w="5449" w:type="dxa"/>
            <w:vAlign w:val="center"/>
          </w:tcPr>
          <w:p w14:paraId="34712F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1、POS收费（银行POS机提供两种收费模式，POS刷卡和POS扫码。POS刷卡是通过刷银行卡直接扣取银行卡里金额实现收费。POS扫码是通过POS机上内置扫码抢扫码群众手机微信或支付宝的付款码，进行扣款收费）；</w:t>
            </w:r>
          </w:p>
          <w:p w14:paraId="55931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2、前台分屏展示收款二维码（屏式二维码支付，是按照对接银行规则生成扣费二维码，展示在前台受理电脑的副屏显示器上，用户使用微信或支付宝的扫一扫功能来实现缴费的模式）；</w:t>
            </w:r>
          </w:p>
          <w:p w14:paraId="51FA8D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3、收费明细查询（实现收退费明细查询功能，记录刷卡时间，卡号、交易号等信息，查询条件有交易日期范围、交易类型、缴费方式、收费状态、业务编号、机台号、业务编号、姓名等，并提供导出EXCEL功能。）</w:t>
            </w:r>
          </w:p>
          <w:p w14:paraId="1C09A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4、内外网交换（实现公安内网、政务外网之间的数据交换）。</w:t>
            </w:r>
          </w:p>
        </w:tc>
      </w:tr>
      <w:tr w14:paraId="2175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29B28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P-6</w:t>
            </w:r>
          </w:p>
        </w:tc>
        <w:tc>
          <w:tcPr>
            <w:tcW w:w="1125" w:type="dxa"/>
            <w:vAlign w:val="center"/>
          </w:tcPr>
          <w:p w14:paraId="241292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 单位</w:t>
            </w:r>
          </w:p>
        </w:tc>
        <w:tc>
          <w:tcPr>
            <w:tcW w:w="1737" w:type="dxa"/>
            <w:vAlign w:val="center"/>
          </w:tcPr>
          <w:p w14:paraId="755A4E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P-6</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系统</w:t>
            </w:r>
          </w:p>
        </w:tc>
        <w:tc>
          <w:tcPr>
            <w:tcW w:w="5449" w:type="dxa"/>
            <w:vAlign w:val="center"/>
          </w:tcPr>
          <w:p w14:paraId="7971F6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1、登录校验加密（修改连接地址、查看工号）；</w:t>
            </w:r>
          </w:p>
          <w:p w14:paraId="014F8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2、系统参数设置（修改相机参数、查看相机参数、修改打印机参数、查看打印机参数、修改制证相片参数、修改打印相片参数）；</w:t>
            </w:r>
          </w:p>
          <w:p w14:paraId="6FF1D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3、人像采集管理（创建相片条码、创建制证用相片、创建相片回执单、创建照片质量不合格提示信息、创建打印用相片、查看打印用相片）；</w:t>
            </w:r>
          </w:p>
          <w:p w14:paraId="7157E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4、相片管理（查看相片、创建打印用相片）。</w:t>
            </w:r>
          </w:p>
        </w:tc>
      </w:tr>
      <w:tr w14:paraId="5FE2F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6A336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44"/>
                <w:sz w:val="32"/>
                <w:szCs w:val="32"/>
                <w:highlight w:val="none"/>
                <w:lang w:val="en-US" w:eastAsia="zh-CN" w:bidi="ar"/>
                <w14:textFill>
                  <w14:solidFill>
                    <w14:schemeClr w14:val="tx1"/>
                  </w14:solidFill>
                </w14:textFill>
              </w:rPr>
              <w:t>Q</w:t>
            </w:r>
            <w:r>
              <w:rPr>
                <w:rFonts w:hint="eastAsia" w:ascii="宋体" w:hAnsi="宋体" w:eastAsia="宋体" w:cs="宋体"/>
                <w:b/>
                <w:color w:val="000000" w:themeColor="text1"/>
                <w:kern w:val="44"/>
                <w:sz w:val="32"/>
                <w:szCs w:val="32"/>
                <w:highlight w:val="none"/>
                <w:lang w:bidi="ar"/>
                <w14:textFill>
                  <w14:solidFill>
                    <w14:schemeClr w14:val="tx1"/>
                  </w14:solidFill>
                </w14:textFill>
              </w:rPr>
              <w:t xml:space="preserve"> </w:t>
            </w:r>
            <w:r>
              <w:rPr>
                <w:rFonts w:hint="eastAsia" w:ascii="宋体" w:hAnsi="宋体" w:cs="宋体"/>
                <w:b/>
                <w:color w:val="000000" w:themeColor="text1"/>
                <w:kern w:val="44"/>
                <w:sz w:val="32"/>
                <w:szCs w:val="32"/>
                <w:highlight w:val="none"/>
                <w:lang w:eastAsia="zh-CN" w:bidi="ar"/>
                <w14:textFill>
                  <w14:solidFill>
                    <w14:schemeClr w14:val="tx1"/>
                  </w14:solidFill>
                </w14:textFill>
              </w:rPr>
              <w:t>单位</w:t>
            </w:r>
          </w:p>
        </w:tc>
      </w:tr>
      <w:tr w14:paraId="41D2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351D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序号</w:t>
            </w:r>
          </w:p>
        </w:tc>
        <w:tc>
          <w:tcPr>
            <w:tcW w:w="1125" w:type="dxa"/>
            <w:vAlign w:val="center"/>
          </w:tcPr>
          <w:p w14:paraId="35E23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业务单位</w:t>
            </w:r>
          </w:p>
        </w:tc>
        <w:tc>
          <w:tcPr>
            <w:tcW w:w="1737" w:type="dxa"/>
            <w:vAlign w:val="center"/>
          </w:tcPr>
          <w:p w14:paraId="6F9CDA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bCs w:val="0"/>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维护对象</w:t>
            </w:r>
          </w:p>
        </w:tc>
        <w:tc>
          <w:tcPr>
            <w:tcW w:w="5449" w:type="dxa"/>
            <w:vAlign w:val="center"/>
          </w:tcPr>
          <w:p w14:paraId="6D2B76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0"/>
                <w:sz w:val="21"/>
                <w:szCs w:val="21"/>
                <w:highlight w:val="none"/>
                <w:lang w:bidi="ar"/>
                <w14:textFill>
                  <w14:solidFill>
                    <w14:schemeClr w14:val="tx1"/>
                  </w14:solidFill>
                </w14:textFill>
              </w:rPr>
            </w:pPr>
            <w:r>
              <w:rPr>
                <w:rFonts w:hint="eastAsia" w:ascii="宋体" w:hAnsi="宋体" w:eastAsia="宋体" w:cs="宋体"/>
                <w:b/>
                <w:color w:val="000000" w:themeColor="text1"/>
                <w:kern w:val="0"/>
                <w:sz w:val="21"/>
                <w:szCs w:val="21"/>
                <w:highlight w:val="none"/>
                <w:lang w:bidi="ar"/>
                <w14:textFill>
                  <w14:solidFill>
                    <w14:schemeClr w14:val="tx1"/>
                  </w14:solidFill>
                </w14:textFill>
              </w:rPr>
              <w:t>专项维护内容</w:t>
            </w:r>
          </w:p>
        </w:tc>
      </w:tr>
      <w:tr w14:paraId="527EB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2F49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Q-1</w:t>
            </w:r>
          </w:p>
        </w:tc>
        <w:tc>
          <w:tcPr>
            <w:tcW w:w="1125" w:type="dxa"/>
            <w:vAlign w:val="center"/>
          </w:tcPr>
          <w:p w14:paraId="420D8B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val="en-US" w:eastAsia="zh-CN"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Q 单位</w:t>
            </w:r>
          </w:p>
        </w:tc>
        <w:tc>
          <w:tcPr>
            <w:tcW w:w="1737" w:type="dxa"/>
            <w:vAlign w:val="center"/>
          </w:tcPr>
          <w:p w14:paraId="320F0B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Q-1</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系统</w:t>
            </w:r>
          </w:p>
        </w:tc>
        <w:tc>
          <w:tcPr>
            <w:tcW w:w="5449" w:type="dxa"/>
            <w:vAlign w:val="center"/>
          </w:tcPr>
          <w:p w14:paraId="42EA3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1、视频综合平台维护；</w:t>
            </w:r>
          </w:p>
          <w:p w14:paraId="151E85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2、内部网站及公众号维护。</w:t>
            </w:r>
          </w:p>
        </w:tc>
      </w:tr>
      <w:tr w14:paraId="475B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821AC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Q-2</w:t>
            </w:r>
          </w:p>
        </w:tc>
        <w:tc>
          <w:tcPr>
            <w:tcW w:w="1125" w:type="dxa"/>
            <w:vAlign w:val="center"/>
          </w:tcPr>
          <w:p w14:paraId="71938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Q 单位</w:t>
            </w:r>
          </w:p>
        </w:tc>
        <w:tc>
          <w:tcPr>
            <w:tcW w:w="1737" w:type="dxa"/>
            <w:vAlign w:val="center"/>
          </w:tcPr>
          <w:p w14:paraId="5B256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Q-2</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系统</w:t>
            </w:r>
          </w:p>
        </w:tc>
        <w:tc>
          <w:tcPr>
            <w:tcW w:w="5449" w:type="dxa"/>
            <w:vAlign w:val="center"/>
          </w:tcPr>
          <w:p w14:paraId="70832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1、提供办案中心业务平台维护服务；</w:t>
            </w:r>
          </w:p>
          <w:p w14:paraId="2C2774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2、提供案管中心业务平台维护服务；</w:t>
            </w:r>
          </w:p>
          <w:p w14:paraId="1A1B9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3、提供物管中心业务平台维护服务；</w:t>
            </w:r>
          </w:p>
          <w:p w14:paraId="37F5B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4、提供视频管理系统维护服务。</w:t>
            </w:r>
          </w:p>
        </w:tc>
      </w:tr>
      <w:tr w14:paraId="10CF4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0BA638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Q-3</w:t>
            </w:r>
          </w:p>
        </w:tc>
        <w:tc>
          <w:tcPr>
            <w:tcW w:w="1125" w:type="dxa"/>
            <w:vAlign w:val="center"/>
          </w:tcPr>
          <w:p w14:paraId="62B6D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Q 单位</w:t>
            </w:r>
          </w:p>
        </w:tc>
        <w:tc>
          <w:tcPr>
            <w:tcW w:w="1737" w:type="dxa"/>
            <w:vAlign w:val="center"/>
          </w:tcPr>
          <w:p w14:paraId="44F733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cs="宋体"/>
                <w:b w:val="0"/>
                <w:bCs/>
                <w:color w:val="000000" w:themeColor="text1"/>
                <w:kern w:val="0"/>
                <w:sz w:val="21"/>
                <w:szCs w:val="21"/>
                <w:highlight w:val="none"/>
                <w:lang w:val="en-US" w:eastAsia="zh-CN" w:bidi="ar"/>
                <w14:textFill>
                  <w14:solidFill>
                    <w14:schemeClr w14:val="tx1"/>
                  </w14:solidFill>
                </w14:textFill>
              </w:rPr>
              <w:t>Q-3</w:t>
            </w: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平台</w:t>
            </w:r>
          </w:p>
        </w:tc>
        <w:tc>
          <w:tcPr>
            <w:tcW w:w="5449" w:type="dxa"/>
            <w:vAlign w:val="center"/>
          </w:tcPr>
          <w:p w14:paraId="44E1F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1、公安交通集成指挥平台，包括缉查布控、非现场执法、交通状态监管、应急指挥、勤务管理、交通态势分析、交警基础信息等核心功能及其它管理功能。</w:t>
            </w:r>
          </w:p>
          <w:p w14:paraId="3B9D1B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2、包括应用服务器、oracle数据库集群、大数据软件平台、专网公安网数据交换、专网数据对接、移动警务系统对接及其它数据接入和推送服务程序的维护。</w:t>
            </w:r>
          </w:p>
          <w:p w14:paraId="78CC7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3、协调联系上级开发运维部门和各地市支队平台运维部门做好日常数据对接检查，按公安部交通局及公安在交警总队要求对系统进行升级、调试等工作。</w:t>
            </w:r>
          </w:p>
          <w:p w14:paraId="1D7155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4、四大组件维护：（1）确保Kafka+Spark组件高效运行，及时发现和清理数据堵塞，定时检查实时计算和预警信息的处理情况。（2）定期检查hadoop大数据集群组件运行情况和告警处理，保障数据的完整性和实时性。（3）定期检查视频服务网关设备和前端视频图像接入情况，及时发现和处置视频链路以及视频播放问题，提高在线率。（4）定期检查车辆二次识别的效率和准确性，及时分析故障点，保障各项应用功能完好。对于缺少资质和技术维护这些组件的，需要购买第三方供应商服务、协调第三方软硬件提供商解决设备及软件问题。</w:t>
            </w:r>
          </w:p>
          <w:p w14:paraId="08534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5、系统的日常检查维护，指导和协助各地市支队运维技术团队开展支队平台运维工作，确保各支队与总队、部局数据传输及时、正确。</w:t>
            </w:r>
          </w:p>
          <w:p w14:paraId="5D536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6、按各业务部门要求设计、组织、实施考核通报数据收集和统计等工作。</w:t>
            </w:r>
          </w:p>
          <w:p w14:paraId="6636A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7、按要求进行系统扩充应用开发。每周需派工程师到信息中心机房进行巡查，对信息中心机房硬件运行情况进行登记，对有问题设备进行维护或更换。</w:t>
            </w:r>
          </w:p>
          <w:p w14:paraId="3F524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8、维护过程中对遇到技术问题和解决方案逐步进行汇总整理并形成维护技术文档，对各市支队的公安交通集成指挥平台由于未按正确的流程操作导致数据异常应跟进指导和培训，对软件缺陷引起数据异常应进行汇总并逐级上报。</w:t>
            </w:r>
          </w:p>
          <w:p w14:paraId="74E14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9、因第三方网络、硬件和软件系统故障而造成系统运行故障的，全程协助解决故障直至系统恢复正常运行。</w:t>
            </w:r>
          </w:p>
          <w:p w14:paraId="540F79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10、技术支持的方式包括：电话技术服务、现场技术服务、定期巡查服务、技术升级服务等。</w:t>
            </w:r>
          </w:p>
          <w:p w14:paraId="42F69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0"/>
                <w:sz w:val="21"/>
                <w:szCs w:val="21"/>
                <w:highlight w:val="none"/>
                <w:lang w:bidi="ar"/>
                <w14:textFill>
                  <w14:solidFill>
                    <w14:schemeClr w14:val="tx1"/>
                  </w14:solidFill>
                </w14:textFill>
              </w:rPr>
            </w:pPr>
            <w:r>
              <w:rPr>
                <w:rFonts w:hint="eastAsia" w:ascii="宋体" w:hAnsi="宋体" w:eastAsia="宋体" w:cs="宋体"/>
                <w:b w:val="0"/>
                <w:bCs/>
                <w:color w:val="000000" w:themeColor="text1"/>
                <w:kern w:val="0"/>
                <w:sz w:val="21"/>
                <w:szCs w:val="21"/>
                <w:highlight w:val="none"/>
                <w:lang w:bidi="ar"/>
                <w14:textFill>
                  <w14:solidFill>
                    <w14:schemeClr w14:val="tx1"/>
                  </w14:solidFill>
                </w14:textFill>
              </w:rPr>
              <w:t>11、运维团队提供7*24小时运维服务，同时按交警总队需求在法定节假日、勤务备勤等时间安排运维人员驻场值班，如春节、广西“三月三”、“五一”劳动节。</w:t>
            </w:r>
          </w:p>
        </w:tc>
      </w:tr>
      <w:tr w14:paraId="3165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9086" w:type="dxa"/>
            <w:gridSpan w:val="4"/>
            <w:vAlign w:val="center"/>
          </w:tcPr>
          <w:p w14:paraId="14C6B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
                <w:color w:val="000000" w:themeColor="text1"/>
                <w:kern w:val="44"/>
                <w:sz w:val="32"/>
                <w:szCs w:val="32"/>
                <w:highlight w:val="none"/>
                <w:lang w:val="en-US" w:eastAsia="zh-CN" w:bidi="ar"/>
                <w14:textFill>
                  <w14:solidFill>
                    <w14:schemeClr w14:val="tx1"/>
                  </w14:solidFill>
                </w14:textFill>
              </w:rPr>
              <w:t>R</w:t>
            </w:r>
            <w:r>
              <w:rPr>
                <w:rFonts w:hint="eastAsia" w:ascii="宋体" w:hAnsi="宋体" w:eastAsia="宋体" w:cs="宋体"/>
                <w:b/>
                <w:color w:val="000000" w:themeColor="text1"/>
                <w:kern w:val="44"/>
                <w:sz w:val="32"/>
                <w:szCs w:val="32"/>
                <w:highlight w:val="none"/>
                <w:lang w:bidi="ar"/>
                <w14:textFill>
                  <w14:solidFill>
                    <w14:schemeClr w14:val="tx1"/>
                  </w14:solidFill>
                </w14:textFill>
              </w:rPr>
              <w:t xml:space="preserve"> </w:t>
            </w:r>
            <w:r>
              <w:rPr>
                <w:rFonts w:hint="eastAsia" w:ascii="宋体" w:hAnsi="宋体" w:cs="宋体"/>
                <w:b/>
                <w:color w:val="000000" w:themeColor="text1"/>
                <w:kern w:val="44"/>
                <w:sz w:val="32"/>
                <w:szCs w:val="32"/>
                <w:highlight w:val="none"/>
                <w:lang w:eastAsia="zh-CN" w:bidi="ar"/>
                <w14:textFill>
                  <w14:solidFill>
                    <w14:schemeClr w14:val="tx1"/>
                  </w14:solidFill>
                </w14:textFill>
              </w:rPr>
              <w:t>单位</w:t>
            </w:r>
          </w:p>
        </w:tc>
      </w:tr>
      <w:tr w14:paraId="0934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4E270A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序号</w:t>
            </w:r>
          </w:p>
        </w:tc>
        <w:tc>
          <w:tcPr>
            <w:tcW w:w="1125" w:type="dxa"/>
            <w:vAlign w:val="center"/>
          </w:tcPr>
          <w:p w14:paraId="509E10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业务单位</w:t>
            </w:r>
          </w:p>
        </w:tc>
        <w:tc>
          <w:tcPr>
            <w:tcW w:w="1737" w:type="dxa"/>
            <w:vAlign w:val="center"/>
          </w:tcPr>
          <w:p w14:paraId="4AE613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维护对象</w:t>
            </w:r>
          </w:p>
        </w:tc>
        <w:tc>
          <w:tcPr>
            <w:tcW w:w="5449" w:type="dxa"/>
            <w:vAlign w:val="center"/>
          </w:tcPr>
          <w:p w14:paraId="78CDD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
                <w14:textFill>
                  <w14:solidFill>
                    <w14:schemeClr w14:val="tx1"/>
                  </w14:solidFill>
                </w14:textFill>
              </w:rPr>
              <w:t>专项维护内容</w:t>
            </w:r>
          </w:p>
        </w:tc>
      </w:tr>
      <w:tr w14:paraId="21DAF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1BE0FF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R</w:t>
            </w:r>
            <w:r>
              <w:rPr>
                <w:rFonts w:hint="eastAsia" w:ascii="宋体" w:hAnsi="宋体" w:eastAsia="宋体" w:cs="宋体"/>
                <w:color w:val="000000" w:themeColor="text1"/>
                <w:kern w:val="2"/>
                <w:sz w:val="21"/>
                <w:szCs w:val="24"/>
                <w:highlight w:val="none"/>
                <w14:textFill>
                  <w14:solidFill>
                    <w14:schemeClr w14:val="tx1"/>
                  </w14:solidFill>
                </w14:textFill>
              </w:rPr>
              <w:t>-1</w:t>
            </w:r>
          </w:p>
        </w:tc>
        <w:tc>
          <w:tcPr>
            <w:tcW w:w="1125" w:type="dxa"/>
            <w:vAlign w:val="center"/>
          </w:tcPr>
          <w:p w14:paraId="4954F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cs="宋体"/>
                <w:color w:val="000000" w:themeColor="text1"/>
                <w:kern w:val="2"/>
                <w:sz w:val="21"/>
                <w:szCs w:val="24"/>
                <w:highlight w:val="none"/>
                <w:lang w:val="en-US" w:eastAsia="zh-CN"/>
                <w14:textFill>
                  <w14:solidFill>
                    <w14:schemeClr w14:val="tx1"/>
                  </w14:solidFill>
                </w14:textFill>
              </w:rPr>
              <w:t>R 单位</w:t>
            </w:r>
          </w:p>
        </w:tc>
        <w:tc>
          <w:tcPr>
            <w:tcW w:w="1737" w:type="dxa"/>
            <w:vAlign w:val="center"/>
          </w:tcPr>
          <w:p w14:paraId="4CB287C6">
            <w:pPr>
              <w:keepNext w:val="0"/>
              <w:keepLines w:val="0"/>
              <w:pageBreakBefore w:val="0"/>
              <w:widowControl/>
              <w:suppressLineNumbers w:val="0"/>
              <w:tabs>
                <w:tab w:val="left" w:pos="0"/>
              </w:tabs>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R-1</w:t>
            </w:r>
            <w:r>
              <w:rPr>
                <w:rFonts w:hint="eastAsia" w:ascii="宋体" w:hAnsi="宋体" w:eastAsia="宋体" w:cs="宋体"/>
                <w:bCs/>
                <w:color w:val="000000" w:themeColor="text1"/>
                <w:kern w:val="2"/>
                <w:sz w:val="21"/>
                <w:szCs w:val="21"/>
                <w:highlight w:val="none"/>
                <w14:textFill>
                  <w14:solidFill>
                    <w14:schemeClr w14:val="tx1"/>
                  </w14:solidFill>
                </w14:textFill>
              </w:rPr>
              <w:t>系统</w:t>
            </w:r>
          </w:p>
        </w:tc>
        <w:tc>
          <w:tcPr>
            <w:tcW w:w="5449" w:type="dxa"/>
            <w:vAlign w:val="center"/>
          </w:tcPr>
          <w:p w14:paraId="18DCA0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1、提供日常维护、系统巡检、缺陷管理、故障处置、应急报障常规的运维服务；</w:t>
            </w:r>
          </w:p>
          <w:p w14:paraId="5CB276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2、人像比对维护；</w:t>
            </w:r>
          </w:p>
          <w:p w14:paraId="6A5BB1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3、调度模块维护；</w:t>
            </w:r>
          </w:p>
          <w:p w14:paraId="5B9BE4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4、岗位模块维护；</w:t>
            </w:r>
          </w:p>
          <w:p w14:paraId="4CB8E6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5、出库模块维护；</w:t>
            </w:r>
          </w:p>
          <w:p w14:paraId="12744C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6、制证数据与状态反馈维护；</w:t>
            </w:r>
          </w:p>
          <w:p w14:paraId="70D125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7、网页查询维护；</w:t>
            </w:r>
          </w:p>
          <w:p w14:paraId="21426B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8、Oracle数据库数据检查。</w:t>
            </w:r>
          </w:p>
        </w:tc>
      </w:tr>
      <w:tr w14:paraId="3EC7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9086" w:type="dxa"/>
            <w:gridSpan w:val="4"/>
            <w:vAlign w:val="center"/>
          </w:tcPr>
          <w:p w14:paraId="1D75CE83">
            <w:pPr>
              <w:widowControl/>
              <w:spacing w:line="340" w:lineRule="exact"/>
              <w:jc w:val="center"/>
              <w:outlineLvl w:val="9"/>
              <w:rPr>
                <w:rFonts w:hint="eastAsia" w:ascii="宋体" w:hAnsi="宋体" w:eastAsia="宋体" w:cs="宋体"/>
                <w:b/>
                <w:bCs w:val="0"/>
                <w:color w:val="000000" w:themeColor="text1"/>
                <w:kern w:val="44"/>
                <w:sz w:val="24"/>
                <w:szCs w:val="24"/>
                <w:highlight w:val="none"/>
                <w:lang w:val="en-US" w:eastAsia="zh-CN" w:bidi="ar"/>
                <w14:textFill>
                  <w14:solidFill>
                    <w14:schemeClr w14:val="tx1"/>
                  </w14:solidFill>
                </w14:textFill>
              </w:rPr>
            </w:pPr>
            <w:r>
              <w:rPr>
                <w:rFonts w:hint="eastAsia" w:ascii="宋体" w:hAnsi="宋体" w:eastAsia="宋体" w:cs="宋体"/>
                <w:b/>
                <w:bCs w:val="0"/>
                <w:color w:val="000000" w:themeColor="text1"/>
                <w:kern w:val="44"/>
                <w:sz w:val="32"/>
                <w:szCs w:val="32"/>
                <w:highlight w:val="none"/>
                <w:lang w:bidi="ar"/>
                <w14:textFill>
                  <w14:solidFill>
                    <w14:schemeClr w14:val="tx1"/>
                  </w14:solidFill>
                </w14:textFill>
              </w:rPr>
              <w:t>S 13个业务单位</w:t>
            </w:r>
          </w:p>
        </w:tc>
      </w:tr>
      <w:tr w14:paraId="737DE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360BE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1125" w:type="dxa"/>
            <w:vAlign w:val="center"/>
          </w:tcPr>
          <w:p w14:paraId="1CBDA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eastAsia="zh-CN"/>
                <w14:textFill>
                  <w14:solidFill>
                    <w14:schemeClr w14:val="tx1"/>
                  </w14:solidFill>
                </w14:textFill>
              </w:rPr>
              <w:t>业务单位</w:t>
            </w:r>
          </w:p>
        </w:tc>
        <w:tc>
          <w:tcPr>
            <w:tcW w:w="1737" w:type="dxa"/>
            <w:vAlign w:val="center"/>
          </w:tcPr>
          <w:p w14:paraId="000781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维护对象</w:t>
            </w:r>
          </w:p>
        </w:tc>
        <w:tc>
          <w:tcPr>
            <w:tcW w:w="5449" w:type="dxa"/>
            <w:vAlign w:val="center"/>
          </w:tcPr>
          <w:p w14:paraId="1E34A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专项维护内容</w:t>
            </w:r>
          </w:p>
        </w:tc>
      </w:tr>
      <w:tr w14:paraId="2D252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75" w:type="dxa"/>
            <w:vAlign w:val="center"/>
          </w:tcPr>
          <w:p w14:paraId="74EB76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S-1</w:t>
            </w:r>
          </w:p>
        </w:tc>
        <w:tc>
          <w:tcPr>
            <w:tcW w:w="1125" w:type="dxa"/>
            <w:vAlign w:val="center"/>
          </w:tcPr>
          <w:p w14:paraId="0F5CAD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 xml:space="preserve">S </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13个业务单位</w:t>
            </w:r>
          </w:p>
        </w:tc>
        <w:tc>
          <w:tcPr>
            <w:tcW w:w="1737" w:type="dxa"/>
            <w:vAlign w:val="center"/>
          </w:tcPr>
          <w:p w14:paraId="628BA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default" w:ascii="宋体" w:hAnsi="宋体" w:eastAsia="宋体" w:cs="宋体"/>
                <w:bCs/>
                <w:color w:val="000000" w:themeColor="text1"/>
                <w:kern w:val="2"/>
                <w:sz w:val="21"/>
                <w:szCs w:val="21"/>
                <w:highlight w:val="none"/>
                <w:lang w:val="en-US"/>
                <w14:textFill>
                  <w14:solidFill>
                    <w14:schemeClr w14:val="tx1"/>
                  </w14:solidFill>
                </w14:textFill>
              </w:rPr>
            </w:pPr>
            <w:r>
              <w:rPr>
                <w:rFonts w:hint="eastAsia" w:ascii="宋体" w:hAnsi="宋体" w:cs="宋体"/>
                <w:bCs/>
                <w:color w:val="000000" w:themeColor="text1"/>
                <w:kern w:val="2"/>
                <w:sz w:val="21"/>
                <w:szCs w:val="21"/>
                <w:highlight w:val="none"/>
                <w:lang w:val="en-US" w:eastAsia="zh-CN"/>
                <w14:textFill>
                  <w14:solidFill>
                    <w14:schemeClr w14:val="tx1"/>
                  </w14:solidFill>
                </w14:textFill>
              </w:rPr>
              <w:t>S-1服务</w:t>
            </w:r>
          </w:p>
        </w:tc>
        <w:tc>
          <w:tcPr>
            <w:tcW w:w="5449" w:type="dxa"/>
            <w:vAlign w:val="center"/>
          </w:tcPr>
          <w:p w14:paraId="06EC5F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一、提供不少于</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16个网站的维护服务，网站列表如下（服务期内采购人可根据工作实际调整网站列表）：</w:t>
            </w:r>
          </w:p>
          <w:p w14:paraId="121211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广西壮族自治区公安厅门户网站（公安网）、广西公安</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JJJC</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BGS</w:t>
            </w:r>
            <w:r>
              <w:rPr>
                <w:rFonts w:hint="eastAsia" w:ascii="宋体" w:hAnsi="宋体" w:eastAsia="宋体" w:cs="宋体"/>
                <w:bCs/>
                <w:color w:val="000000" w:themeColor="text1"/>
                <w:kern w:val="0"/>
                <w:sz w:val="21"/>
                <w:szCs w:val="21"/>
                <w:highlight w:val="none"/>
                <w:lang w:bidi="ar"/>
                <w14:textFill>
                  <w14:solidFill>
                    <w14:schemeClr w14:val="tx1"/>
                  </w14:solidFill>
                </w14:textFill>
              </w:rPr>
              <w:t>（公安网）、广西公安</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XC</w:t>
            </w:r>
            <w:r>
              <w:rPr>
                <w:rFonts w:hint="eastAsia" w:ascii="宋体" w:hAnsi="宋体" w:eastAsia="宋体" w:cs="宋体"/>
                <w:bCs/>
                <w:color w:val="000000" w:themeColor="text1"/>
                <w:kern w:val="0"/>
                <w:sz w:val="21"/>
                <w:szCs w:val="21"/>
                <w:highlight w:val="none"/>
                <w:lang w:bidi="ar"/>
                <w14:textFill>
                  <w14:solidFill>
                    <w14:schemeClr w14:val="tx1"/>
                  </w14:solidFill>
                </w14:textFill>
              </w:rPr>
              <w:t>网站（公安网）、广西公安</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ZG</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QBZH</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信息网（公安网）、广西壮族自治区公安</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JZ</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ZA</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JG</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FZ</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ZBCW</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信息网（公安网）、广西壮族自治区公安厅门户网站（互联网）、广西壮族自治区公安厅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KX</w:t>
            </w:r>
            <w:r>
              <w:rPr>
                <w:rFonts w:hint="eastAsia" w:ascii="宋体" w:hAnsi="宋体" w:eastAsia="宋体" w:cs="宋体"/>
                <w:bCs/>
                <w:color w:val="000000" w:themeColor="text1"/>
                <w:kern w:val="0"/>
                <w:sz w:val="21"/>
                <w:szCs w:val="21"/>
                <w:highlight w:val="none"/>
                <w:lang w:bidi="ar"/>
                <w14:textFill>
                  <w14:solidFill>
                    <w14:schemeClr w14:val="tx1"/>
                  </w14:solidFill>
                </w14:textFill>
              </w:rPr>
              <w:t>网站（公安网）、广西壮族自治区研究所（公安网）、广西公安厅</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离退休干部</w:t>
            </w:r>
            <w:r>
              <w:rPr>
                <w:rFonts w:hint="eastAsia" w:ascii="宋体" w:hAnsi="宋体" w:eastAsia="宋体" w:cs="宋体"/>
                <w:bCs/>
                <w:color w:val="000000" w:themeColor="text1"/>
                <w:kern w:val="0"/>
                <w:sz w:val="21"/>
                <w:szCs w:val="21"/>
                <w:highlight w:val="none"/>
                <w:lang w:bidi="ar"/>
                <w14:textFill>
                  <w14:solidFill>
                    <w14:schemeClr w14:val="tx1"/>
                  </w14:solidFill>
                </w14:textFill>
              </w:rPr>
              <w:t>工作处网站(公安网)、广西壮族自治区公安厅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JWDC</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p>
          <w:p w14:paraId="7534C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一</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）网站维护</w:t>
            </w:r>
            <w:r>
              <w:rPr>
                <w:rFonts w:hint="eastAsia" w:ascii="宋体" w:hAnsi="宋体" w:eastAsia="宋体" w:cs="宋体"/>
                <w:bCs/>
                <w:color w:val="000000" w:themeColor="text1"/>
                <w:kern w:val="0"/>
                <w:sz w:val="21"/>
                <w:szCs w:val="21"/>
                <w:highlight w:val="none"/>
                <w:lang w:bidi="ar"/>
                <w14:textFill>
                  <w14:solidFill>
                    <w14:schemeClr w14:val="tx1"/>
                  </w14:solidFill>
                </w14:textFill>
              </w:rPr>
              <w:t>通用服务内容：</w:t>
            </w:r>
          </w:p>
          <w:p w14:paraId="6B6DEA88">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1、平台内容管理服务（平台内容发布更新删除导出、内容策划等）；</w:t>
            </w:r>
          </w:p>
          <w:p w14:paraId="0984CBEE">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bidi="ar"/>
                <w14:textFill>
                  <w14:solidFill>
                    <w14:schemeClr w14:val="tx1"/>
                  </w14:solidFill>
                </w14:textFill>
              </w:rPr>
              <w:t>2、信息安全管理服务（根据安全等级，提供相关安全管理服务，如：使信息免受非法破坏；创建和维护访问的审计跟踪记录；以访问对象标记的安全级别限制访问者的访问权限，实现对访问对象的强制访问；控制访问者对访问对象的存取，加强系统的抗渗透能力；增加访问验证功能）。</w:t>
            </w:r>
          </w:p>
          <w:p w14:paraId="06B444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二</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）网站维护</w:t>
            </w:r>
            <w:r>
              <w:rPr>
                <w:rFonts w:hint="eastAsia" w:ascii="宋体" w:hAnsi="宋体" w:eastAsia="宋体" w:cs="宋体"/>
                <w:bCs/>
                <w:color w:val="000000" w:themeColor="text1"/>
                <w:kern w:val="0"/>
                <w:sz w:val="21"/>
                <w:szCs w:val="21"/>
                <w:highlight w:val="none"/>
                <w:lang w:bidi="ar"/>
                <w14:textFill>
                  <w14:solidFill>
                    <w14:schemeClr w14:val="tx1"/>
                  </w14:solidFill>
                </w14:textFill>
              </w:rPr>
              <w:t>专项服务内容：</w:t>
            </w:r>
          </w:p>
          <w:p w14:paraId="476B9652">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广西公安</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JJJC</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p>
          <w:p w14:paraId="52A6517A">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平台内容管理服务(网站内电子杂志、视频的发布、更新等)；</w:t>
            </w:r>
          </w:p>
          <w:p w14:paraId="21E1FB62">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“举报维权”、“纪委书记信箱”模块管理服务(来信管理、IP统计、电话整理、信息收集、数据更新删除导出等)</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p>
          <w:p w14:paraId="6740479D">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广西公安</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XC</w:t>
            </w:r>
            <w:r>
              <w:rPr>
                <w:rFonts w:hint="eastAsia" w:ascii="宋体" w:hAnsi="宋体" w:eastAsia="宋体" w:cs="宋体"/>
                <w:bCs/>
                <w:color w:val="000000" w:themeColor="text1"/>
                <w:kern w:val="0"/>
                <w:sz w:val="21"/>
                <w:szCs w:val="21"/>
                <w:highlight w:val="none"/>
                <w:lang w:bidi="ar"/>
                <w14:textFill>
                  <w14:solidFill>
                    <w14:schemeClr w14:val="tx1"/>
                  </w14:solidFill>
                </w14:textFill>
              </w:rPr>
              <w:t>网站（公安网）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在线问答功能维护（IP记录、统计整理等）。</w:t>
            </w:r>
          </w:p>
          <w:p w14:paraId="7C55AD07">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广西公安</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ZG</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右侧专题专栏维护（添加删除专栏等）。</w:t>
            </w:r>
          </w:p>
          <w:p w14:paraId="078BD1F7">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ZBCW</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意见建议模块管理服务(意见管理、IP统计、信息收集、数据更新删除导出等)</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p>
          <w:p w14:paraId="3E109CF2">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广西壮族自治区公安</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JZ</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工作信箱管理服务(来信管理、IP统计、电话整理、信息收集、数据更新删除导出等)</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p>
          <w:p w14:paraId="3A792A71">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ZA</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左侧专题专栏维护（添加删除专栏等）。</w:t>
            </w:r>
          </w:p>
          <w:p w14:paraId="37DA277F">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7、</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JG</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广西壮族自治区公安厅</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JWDC</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底部专栏维护（添加删除专栏等）。</w:t>
            </w:r>
          </w:p>
          <w:p w14:paraId="275957A5">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8、</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FZ</w:t>
            </w:r>
            <w:r>
              <w:rPr>
                <w:rFonts w:hint="eastAsia" w:ascii="宋体" w:hAnsi="宋体" w:eastAsia="宋体" w:cs="宋体"/>
                <w:bCs/>
                <w:color w:val="000000" w:themeColor="text1"/>
                <w:kern w:val="0"/>
                <w:sz w:val="21"/>
                <w:szCs w:val="21"/>
                <w:highlight w:val="none"/>
                <w:lang w:bidi="ar"/>
                <w14:textFill>
                  <w14:solidFill>
                    <w14:schemeClr w14:val="tx1"/>
                  </w14:solidFill>
                </w14:textFill>
              </w:rPr>
              <w:t>信息网（公安网）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协助业主导出源代码和数据库数据。</w:t>
            </w:r>
          </w:p>
          <w:p w14:paraId="311D6A00">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9、</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广西壮族自治区公安厅门户网站（互联网）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p>
          <w:p w14:paraId="3CEB4C02">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1</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便民查询模块管理服务（来信管理、IP统计、电话整理、信息收集、数据更新删除导出等）；</w:t>
            </w:r>
          </w:p>
          <w:p w14:paraId="5DC5E649">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2</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举报违法犯罪模块管理服务（举报管理、IP统计、电话整理、信息收集、数据更新删除导出等）；</w:t>
            </w:r>
          </w:p>
          <w:p w14:paraId="11ED7263">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3</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投诉警务人员模块管理服务（投诉管理、IP统计、电话整理、信息收集、数据更新删除导出等）；</w:t>
            </w:r>
          </w:p>
          <w:p w14:paraId="29C988AE">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4</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业务咨询模块管理服务（咨询管理、IP统计、电话整理、信息收集、数据更新删除导出等）；</w:t>
            </w:r>
          </w:p>
          <w:p w14:paraId="72887B29">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5</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视频模块管理服务（视频增删、压缩裁剪、格式转换等）；</w:t>
            </w:r>
          </w:p>
          <w:p w14:paraId="612982A5">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6</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依申请公开模块管理服务（申请管理、IP记录、信息整理、数据更新删除导出等）。</w:t>
            </w:r>
          </w:p>
          <w:p w14:paraId="437F107A">
            <w:pPr>
              <w:keepNext w:val="0"/>
              <w:keepLines w:val="0"/>
              <w:widowControl/>
              <w:suppressLineNumbers w:val="0"/>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en-US" w:eastAsia="zh-CN" w:bidi="ar"/>
                <w14:textFill>
                  <w14:solidFill>
                    <w14:schemeClr w14:val="tx1"/>
                  </w14:solidFill>
                </w14:textFill>
              </w:rPr>
              <w:t>10、</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广西壮族自治区公安厅</w:t>
            </w:r>
            <w:r>
              <w:rPr>
                <w:rFonts w:hint="eastAsia" w:ascii="宋体" w:hAnsi="宋体" w:cs="宋体"/>
                <w:bCs/>
                <w:color w:val="000000" w:themeColor="text1"/>
                <w:kern w:val="0"/>
                <w:sz w:val="21"/>
                <w:szCs w:val="21"/>
                <w:highlight w:val="none"/>
                <w:lang w:val="en-US" w:eastAsia="zh-CN" w:bidi="ar"/>
                <w14:textFill>
                  <w14:solidFill>
                    <w14:schemeClr w14:val="tx1"/>
                  </w14:solidFill>
                </w14:textFill>
              </w:rPr>
              <w:t>KX</w:t>
            </w:r>
            <w:r>
              <w:rPr>
                <w:rFonts w:hint="eastAsia" w:ascii="宋体" w:hAnsi="宋体" w:eastAsia="宋体" w:cs="宋体"/>
                <w:bCs/>
                <w:color w:val="000000" w:themeColor="text1"/>
                <w:kern w:val="0"/>
                <w:sz w:val="21"/>
                <w:szCs w:val="21"/>
                <w:highlight w:val="none"/>
                <w:lang w:bidi="ar"/>
                <w14:textFill>
                  <w14:solidFill>
                    <w14:schemeClr w14:val="tx1"/>
                  </w14:solidFill>
                </w14:textFill>
              </w:rPr>
              <w:t>网站（公安网）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广西壮族自治区研究所（公安网）</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w:t>
            </w:r>
            <w:r>
              <w:rPr>
                <w:rFonts w:hint="eastAsia" w:ascii="宋体" w:hAnsi="宋体" w:eastAsia="宋体" w:cs="宋体"/>
                <w:bCs/>
                <w:color w:val="000000" w:themeColor="text1"/>
                <w:kern w:val="0"/>
                <w:sz w:val="21"/>
                <w:szCs w:val="21"/>
                <w:highlight w:val="none"/>
                <w:lang w:bidi="ar"/>
                <w14:textFill>
                  <w14:solidFill>
                    <w14:schemeClr w14:val="tx1"/>
                  </w14:solidFill>
                </w14:textFill>
              </w:rPr>
              <w:t>视频模块管理服务（视频增删、压缩裁剪、格式转换等）。</w:t>
            </w:r>
          </w:p>
          <w:p w14:paraId="191885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二、按采购人需求提供</w:t>
            </w:r>
            <w:r>
              <w:rPr>
                <w:rFonts w:hint="eastAsia" w:ascii="宋体" w:hAnsi="宋体" w:eastAsia="宋体" w:cs="宋体"/>
                <w:bCs/>
                <w:color w:val="000000" w:themeColor="text1"/>
                <w:kern w:val="0"/>
                <w:sz w:val="21"/>
                <w:szCs w:val="21"/>
                <w:highlight w:val="none"/>
                <w:lang w:bidi="ar"/>
                <w14:textFill>
                  <w14:solidFill>
                    <w14:schemeClr w14:val="tx1"/>
                  </w14:solidFill>
                </w14:textFill>
              </w:rPr>
              <w:t>通达协同办公系统运维</w:t>
            </w:r>
            <w:r>
              <w:rPr>
                <w:rFonts w:hint="eastAsia" w:ascii="宋体" w:hAnsi="宋体" w:eastAsia="宋体" w:cs="宋体"/>
                <w:bCs/>
                <w:color w:val="000000" w:themeColor="text1"/>
                <w:kern w:val="0"/>
                <w:sz w:val="21"/>
                <w:szCs w:val="21"/>
                <w:highlight w:val="none"/>
                <w:lang w:eastAsia="zh-CN" w:bidi="ar"/>
                <w14:textFill>
                  <w14:solidFill>
                    <w14:schemeClr w14:val="tx1"/>
                  </w14:solidFill>
                </w14:textFill>
              </w:rPr>
              <w:t>服务。</w:t>
            </w:r>
          </w:p>
        </w:tc>
      </w:tr>
    </w:tbl>
    <w:p w14:paraId="557BD8F2">
      <w:pPr>
        <w:spacing w:line="360" w:lineRule="auto"/>
        <w:ind w:firstLine="480"/>
        <w:rPr>
          <w:rFonts w:ascii="宋体" w:hAnsi="宋体" w:cs="宋体"/>
          <w:color w:val="000000" w:themeColor="text1"/>
          <w:highlight w:val="none"/>
          <w14:textFill>
            <w14:solidFill>
              <w14:schemeClr w14:val="tx1"/>
            </w14:solidFill>
          </w14:textFill>
        </w:rPr>
      </w:pPr>
    </w:p>
    <w:p w14:paraId="2DAE5EE0">
      <w:pPr>
        <w:keepNext/>
        <w:keepLines/>
        <w:pageBreakBefore w:val="0"/>
        <w:widowControl w:val="0"/>
        <w:kinsoku/>
        <w:wordWrap/>
        <w:overflowPunct/>
        <w:topLinePunct w:val="0"/>
        <w:autoSpaceDE/>
        <w:autoSpaceDN/>
        <w:bidi w:val="0"/>
        <w:adjustRightInd/>
        <w:snapToGrid/>
        <w:spacing w:line="480" w:lineRule="auto"/>
        <w:textAlignment w:val="auto"/>
        <w:outlineLvl w:val="9"/>
        <w:rPr>
          <w:rFonts w:ascii="宋体" w:hAnsi="宋体" w:cs="宋体"/>
          <w:b/>
          <w:bCs/>
          <w:color w:val="000000" w:themeColor="text1"/>
          <w:kern w:val="44"/>
          <w:sz w:val="32"/>
          <w:szCs w:val="44"/>
          <w:highlight w:val="none"/>
          <w14:textFill>
            <w14:solidFill>
              <w14:schemeClr w14:val="tx1"/>
            </w14:solidFill>
          </w14:textFill>
        </w:rPr>
      </w:pPr>
      <w:bookmarkStart w:id="71" w:name="_Toc31735"/>
      <w:r>
        <w:rPr>
          <w:rFonts w:hint="eastAsia" w:ascii="宋体" w:hAnsi="宋体" w:cs="宋体"/>
          <w:b/>
          <w:bCs/>
          <w:color w:val="000000" w:themeColor="text1"/>
          <w:kern w:val="44"/>
          <w:sz w:val="32"/>
          <w:szCs w:val="44"/>
          <w:highlight w:val="none"/>
          <w14:textFill>
            <w14:solidFill>
              <w14:schemeClr w14:val="tx1"/>
            </w14:solidFill>
          </w14:textFill>
        </w:rPr>
        <w:t>三、人员要求</w:t>
      </w:r>
      <w:bookmarkEnd w:id="71"/>
    </w:p>
    <w:p w14:paraId="57A7F2DA">
      <w:pPr>
        <w:keepNext/>
        <w:keepLines/>
        <w:pageBreakBefore w:val="0"/>
        <w:widowControl w:val="0"/>
        <w:numPr>
          <w:ilvl w:val="0"/>
          <w:numId w:val="11"/>
        </w:numPr>
        <w:kinsoku/>
        <w:wordWrap/>
        <w:overflowPunct/>
        <w:topLinePunct w:val="0"/>
        <w:autoSpaceDE/>
        <w:autoSpaceDN/>
        <w:bidi w:val="0"/>
        <w:adjustRightInd/>
        <w:snapToGrid/>
        <w:spacing w:line="300" w:lineRule="auto"/>
        <w:ind w:firstLine="562" w:firstLineChars="200"/>
        <w:textAlignment w:val="auto"/>
        <w:outlineLvl w:val="9"/>
        <w:rPr>
          <w:rFonts w:ascii="宋体" w:hAnsi="宋体" w:cs="宋体"/>
          <w:b/>
          <w:bCs/>
          <w:color w:val="000000" w:themeColor="text1"/>
          <w:sz w:val="28"/>
          <w:szCs w:val="32"/>
          <w:highlight w:val="none"/>
          <w14:textFill>
            <w14:solidFill>
              <w14:schemeClr w14:val="tx1"/>
            </w14:solidFill>
          </w14:textFill>
        </w:rPr>
      </w:pPr>
      <w:r>
        <w:rPr>
          <w:rFonts w:hint="eastAsia" w:ascii="宋体" w:hAnsi="宋体" w:cs="宋体"/>
          <w:b/>
          <w:bCs/>
          <w:color w:val="000000" w:themeColor="text1"/>
          <w:sz w:val="28"/>
          <w:szCs w:val="32"/>
          <w:highlight w:val="none"/>
          <w14:textFill>
            <w14:solidFill>
              <w14:schemeClr w14:val="tx1"/>
            </w14:solidFill>
          </w14:textFill>
        </w:rPr>
        <w:t xml:space="preserve">人员数量及资质 </w:t>
      </w:r>
    </w:p>
    <w:p w14:paraId="621E2B72">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采购人共需人员</w:t>
      </w:r>
      <w:r>
        <w:rPr>
          <w:rFonts w:hint="eastAsia" w:ascii="宋体" w:hAnsi="宋体" w:cs="宋体"/>
          <w:color w:val="000000" w:themeColor="text1"/>
          <w:sz w:val="24"/>
          <w:szCs w:val="22"/>
          <w:highlight w:val="none"/>
          <w:lang w:val="en-US" w:eastAsia="zh-CN"/>
          <w14:textFill>
            <w14:solidFill>
              <w14:schemeClr w14:val="tx1"/>
            </w14:solidFill>
          </w14:textFill>
        </w:rPr>
        <w:t>136</w:t>
      </w:r>
      <w:r>
        <w:rPr>
          <w:rFonts w:hint="eastAsia" w:ascii="宋体" w:hAnsi="宋体" w:cs="宋体"/>
          <w:color w:val="000000" w:themeColor="text1"/>
          <w:sz w:val="24"/>
          <w:szCs w:val="22"/>
          <w:highlight w:val="none"/>
          <w14:textFill>
            <w14:solidFill>
              <w14:schemeClr w14:val="tx1"/>
            </w14:solidFill>
          </w14:textFill>
        </w:rPr>
        <w:t>名，</w:t>
      </w:r>
      <w:r>
        <w:rPr>
          <w:rFonts w:hint="eastAsia" w:ascii="宋体" w:hAnsi="宋体" w:cs="宋体"/>
          <w:color w:val="000000" w:themeColor="text1"/>
          <w:sz w:val="24"/>
          <w:highlight w:val="none"/>
          <w14:textFill>
            <w14:solidFill>
              <w14:schemeClr w14:val="tx1"/>
            </w14:solidFill>
          </w14:textFill>
        </w:rPr>
        <w:t>其中驻场人员</w:t>
      </w:r>
      <w:r>
        <w:rPr>
          <w:rFonts w:hint="eastAsia" w:ascii="宋体" w:hAnsi="宋体" w:cs="宋体"/>
          <w:color w:val="000000" w:themeColor="text1"/>
          <w:sz w:val="24"/>
          <w:highlight w:val="none"/>
          <w:lang w:val="en-US" w:eastAsia="zh-CN"/>
          <w14:textFill>
            <w14:solidFill>
              <w14:schemeClr w14:val="tx1"/>
            </w14:solidFill>
          </w14:textFill>
        </w:rPr>
        <w:t>71</w:t>
      </w:r>
      <w:r>
        <w:rPr>
          <w:rFonts w:hint="eastAsia" w:ascii="宋体" w:hAnsi="宋体" w:cs="宋体"/>
          <w:color w:val="000000" w:themeColor="text1"/>
          <w:sz w:val="24"/>
          <w:highlight w:val="none"/>
          <w14:textFill>
            <w14:solidFill>
              <w14:schemeClr w14:val="tx1"/>
            </w14:solidFill>
          </w14:textFill>
        </w:rPr>
        <w:t>名，非驻场人员</w:t>
      </w:r>
      <w:r>
        <w:rPr>
          <w:rFonts w:hint="eastAsia" w:ascii="宋体" w:hAnsi="宋体" w:cs="宋体"/>
          <w:color w:val="000000" w:themeColor="text1"/>
          <w:sz w:val="24"/>
          <w:highlight w:val="none"/>
          <w:lang w:val="en-US" w:eastAsia="zh-CN"/>
          <w14:textFill>
            <w14:solidFill>
              <w14:schemeClr w14:val="tx1"/>
            </w14:solidFill>
          </w14:textFill>
        </w:rPr>
        <w:t>65</w:t>
      </w:r>
      <w:r>
        <w:rPr>
          <w:rFonts w:hint="eastAsia" w:ascii="宋体" w:hAnsi="宋体" w:cs="宋体"/>
          <w:color w:val="000000" w:themeColor="text1"/>
          <w:sz w:val="24"/>
          <w:highlight w:val="none"/>
          <w14:textFill>
            <w14:solidFill>
              <w14:schemeClr w14:val="tx1"/>
            </w14:solidFill>
          </w14:textFill>
        </w:rPr>
        <w:t>名，驻场人员需列入现场值班（备勤）人员名单，服从采购人日常值班或备勤安排</w:t>
      </w:r>
      <w:r>
        <w:rPr>
          <w:rFonts w:hint="eastAsia" w:ascii="宋体" w:hAnsi="宋体" w:cs="宋体"/>
          <w:color w:val="000000" w:themeColor="text1"/>
          <w:sz w:val="24"/>
          <w:highlight w:val="none"/>
          <w:lang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驻场人员作为本项目的专职服务人员，不能</w:t>
      </w:r>
      <w:r>
        <w:rPr>
          <w:rFonts w:hint="eastAsia" w:ascii="宋体" w:hAnsi="宋体" w:cs="宋体"/>
          <w:color w:val="000000" w:themeColor="text1"/>
          <w:sz w:val="24"/>
          <w:highlight w:val="none"/>
          <w:lang w:eastAsia="zh-CN"/>
          <w14:textFill>
            <w14:solidFill>
              <w14:schemeClr w14:val="tx1"/>
            </w14:solidFill>
          </w14:textFill>
        </w:rPr>
        <w:t>再</w:t>
      </w:r>
      <w:r>
        <w:rPr>
          <w:rFonts w:hint="eastAsia" w:ascii="宋体" w:hAnsi="宋体" w:cs="宋体"/>
          <w:color w:val="000000" w:themeColor="text1"/>
          <w:sz w:val="24"/>
          <w:highlight w:val="none"/>
          <w14:textFill>
            <w14:solidFill>
              <w14:schemeClr w14:val="tx1"/>
            </w14:solidFill>
          </w14:textFill>
        </w:rPr>
        <w:t>作为其它项目的服务人员</w:t>
      </w:r>
      <w:r>
        <w:rPr>
          <w:rFonts w:hint="eastAsia" w:ascii="宋体" w:hAnsi="宋体" w:cs="宋体"/>
          <w:color w:val="000000" w:themeColor="text1"/>
          <w:sz w:val="24"/>
          <w:highlight w:val="none"/>
          <w:lang w:val="en-US" w:eastAsia="zh-CN"/>
          <w14:textFill>
            <w14:solidFill>
              <w14:schemeClr w14:val="tx1"/>
            </w14:solidFill>
          </w14:textFill>
        </w:rPr>
        <w:t>（包括驻场和非驻场）</w:t>
      </w:r>
      <w:r>
        <w:rPr>
          <w:rFonts w:hint="eastAsia" w:ascii="宋体" w:hAnsi="宋体" w:cs="宋体"/>
          <w:color w:val="000000" w:themeColor="text1"/>
          <w:sz w:val="24"/>
          <w:highlight w:val="none"/>
          <w14:textFill>
            <w14:solidFill>
              <w14:schemeClr w14:val="tx1"/>
            </w14:solidFill>
          </w14:textFill>
        </w:rPr>
        <w:t>复用。具体要求如下：</w:t>
      </w:r>
    </w:p>
    <w:tbl>
      <w:tblPr>
        <w:tblStyle w:val="53"/>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690"/>
        <w:gridCol w:w="4525"/>
        <w:gridCol w:w="795"/>
        <w:gridCol w:w="1090"/>
      </w:tblGrid>
      <w:tr w14:paraId="5E78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4525C49F">
            <w:pPr>
              <w:keepNext w:val="0"/>
              <w:keepLines w:val="0"/>
              <w:pageBreakBefore w:val="0"/>
              <w:widowControl/>
              <w:suppressLineNumbers w:val="0"/>
              <w:kinsoku/>
              <w:wordWrap/>
              <w:overflowPunct/>
              <w:topLinePunct w:val="0"/>
              <w:autoSpaceDE/>
              <w:autoSpaceDN/>
              <w:bidi w:val="0"/>
              <w:adjustRightInd/>
              <w:snapToGrid/>
              <w:spacing w:before="120" w:beforeLines="5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A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5D69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70DB5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14A353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169941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2F4FAE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70950F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2D81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E9F5C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A-1 </w:t>
            </w:r>
            <w:r>
              <w:rPr>
                <w:rFonts w:hint="eastAsia" w:ascii="宋体" w:hAnsi="宋体" w:eastAsia="宋体" w:cs="宋体"/>
                <w:color w:val="000000" w:themeColor="text1"/>
                <w:kern w:val="2"/>
                <w:sz w:val="21"/>
                <w:szCs w:val="21"/>
                <w:highlight w:val="none"/>
                <w14:textFill>
                  <w14:solidFill>
                    <w14:schemeClr w14:val="tx1"/>
                  </w14:solidFill>
                </w14:textFill>
              </w:rPr>
              <w:t>系统项目主管</w:t>
            </w:r>
          </w:p>
        </w:tc>
        <w:tc>
          <w:tcPr>
            <w:tcW w:w="690" w:type="dxa"/>
            <w:vAlign w:val="center"/>
          </w:tcPr>
          <w:p w14:paraId="0C66FA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0AC56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1CC1F3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具有软件开发类同级别或以上认证优先；</w:t>
            </w:r>
          </w:p>
          <w:p w14:paraId="443B0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要求5年以上（含）信息系统软件开发与数据资源维护经验；</w:t>
            </w:r>
          </w:p>
          <w:p w14:paraId="4EB936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按用户需求提供项目管理、流程管理、绩效考核、项目跟进把控、产出物等运维管理服务。</w:t>
            </w:r>
          </w:p>
        </w:tc>
        <w:tc>
          <w:tcPr>
            <w:tcW w:w="795" w:type="dxa"/>
            <w:vAlign w:val="center"/>
          </w:tcPr>
          <w:p w14:paraId="19A07E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2B6081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446A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99957B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A-1 </w:t>
            </w:r>
            <w:r>
              <w:rPr>
                <w:rFonts w:hint="eastAsia" w:ascii="宋体" w:hAnsi="宋体" w:eastAsia="宋体" w:cs="宋体"/>
                <w:color w:val="000000" w:themeColor="text1"/>
                <w:kern w:val="2"/>
                <w:sz w:val="21"/>
                <w:szCs w:val="21"/>
                <w:highlight w:val="none"/>
                <w14:textFill>
                  <w14:solidFill>
                    <w14:schemeClr w14:val="tx1"/>
                  </w14:solidFill>
                </w14:textFill>
              </w:rPr>
              <w:t>系统</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2FDC0B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0A1C5A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06487E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具有软件开发类同级别或以上认证优先；</w:t>
            </w:r>
          </w:p>
          <w:p w14:paraId="5AA919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要求3年以上（含）信息系统软件开发与数据资源维护经验；</w:t>
            </w:r>
          </w:p>
          <w:p w14:paraId="22B083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提供一、二线技术支持服务。</w:t>
            </w:r>
          </w:p>
        </w:tc>
        <w:tc>
          <w:tcPr>
            <w:tcW w:w="795" w:type="dxa"/>
            <w:vAlign w:val="center"/>
          </w:tcPr>
          <w:p w14:paraId="35F51C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3FAA27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5847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40553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t>A-2</w:t>
            </w:r>
            <w:r>
              <w:rPr>
                <w:rFonts w:hint="eastAsia" w:ascii="宋体" w:hAnsi="宋体" w:cs="宋体"/>
                <w:b w:val="0"/>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t>系统非驻场工程师</w:t>
            </w:r>
          </w:p>
        </w:tc>
        <w:tc>
          <w:tcPr>
            <w:tcW w:w="690" w:type="dxa"/>
            <w:vAlign w:val="center"/>
          </w:tcPr>
          <w:p w14:paraId="658A47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1F169E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kern w:val="0"/>
                <w:sz w:val="21"/>
                <w:szCs w:val="24"/>
                <w:highlight w:val="none"/>
                <w:lang w:eastAsia="zh-CN"/>
                <w14:textFill>
                  <w14:solidFill>
                    <w14:schemeClr w14:val="tx1"/>
                  </w14:solidFill>
                </w14:textFill>
              </w:rPr>
              <w:t>1、学历要求：</w:t>
            </w: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大学专科及以上计算机类专业学历或同等学历；</w:t>
            </w:r>
          </w:p>
          <w:p w14:paraId="784F56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kern w:val="0"/>
                <w:sz w:val="21"/>
                <w:szCs w:val="24"/>
                <w:highlight w:val="none"/>
                <w:lang w:eastAsia="zh-CN"/>
                <w14:textFill>
                  <w14:solidFill>
                    <w14:schemeClr w14:val="tx1"/>
                  </w14:solidFill>
                </w14:textFill>
              </w:rPr>
              <w:t>2、认证要求：</w:t>
            </w: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具有软件开发类同级别或以上认证；</w:t>
            </w:r>
          </w:p>
          <w:p w14:paraId="09209C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kern w:val="0"/>
                <w:sz w:val="21"/>
                <w:szCs w:val="24"/>
                <w:highlight w:val="none"/>
                <w:lang w:eastAsia="zh-CN"/>
                <w14:textFill>
                  <w14:solidFill>
                    <w14:schemeClr w14:val="tx1"/>
                  </w14:solidFill>
                </w14:textFill>
              </w:rPr>
              <w:t>3、工作经验要求：</w:t>
            </w: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要求3年以上信息系统软件开发与数据资源维护经验；</w:t>
            </w:r>
          </w:p>
          <w:p w14:paraId="244837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val="0"/>
                <w:color w:val="000000" w:themeColor="text1"/>
                <w:kern w:val="2"/>
                <w:sz w:val="21"/>
                <w:szCs w:val="21"/>
                <w:highlight w:val="none"/>
                <w:lang w:eastAsia="zh-CN"/>
                <w14:textFill>
                  <w14:solidFill>
                    <w14:schemeClr w14:val="tx1"/>
                  </w14:solidFill>
                </w14:textFill>
              </w:rPr>
              <w:t>4、工作职责：</w:t>
            </w: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提供绩效系统一、二线技术支持服务。</w:t>
            </w:r>
          </w:p>
        </w:tc>
        <w:tc>
          <w:tcPr>
            <w:tcW w:w="795" w:type="dxa"/>
            <w:vAlign w:val="center"/>
          </w:tcPr>
          <w:p w14:paraId="2FBBEA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否</w:t>
            </w:r>
          </w:p>
        </w:tc>
        <w:tc>
          <w:tcPr>
            <w:tcW w:w="1090" w:type="dxa"/>
            <w:vAlign w:val="center"/>
          </w:tcPr>
          <w:p w14:paraId="7D4536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根据采购人具体需求提供技术支持</w:t>
            </w:r>
          </w:p>
        </w:tc>
      </w:tr>
      <w:tr w14:paraId="1060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184F81FD">
            <w:pPr>
              <w:keepNext w:val="0"/>
              <w:keepLines w:val="0"/>
              <w:pageBreakBefore w:val="0"/>
              <w:widowControl/>
              <w:suppressLineNumbers w:val="0"/>
              <w:kinsoku/>
              <w:wordWrap/>
              <w:overflowPunct/>
              <w:topLinePunct w:val="0"/>
              <w:autoSpaceDE/>
              <w:autoSpaceDN/>
              <w:bidi w:val="0"/>
              <w:adjustRightInd/>
              <w:snapToGrid/>
              <w:spacing w:before="120" w:beforeLines="5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B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0DAB9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090A5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31D674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08EEF4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187344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3C7478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4349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09" w:type="dxa"/>
            <w:vAlign w:val="center"/>
          </w:tcPr>
          <w:p w14:paraId="291F6B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B-1 </w:t>
            </w:r>
            <w:r>
              <w:rPr>
                <w:rFonts w:hint="eastAsia" w:ascii="宋体" w:hAnsi="宋体" w:eastAsia="宋体" w:cs="宋体"/>
                <w:color w:val="000000" w:themeColor="text1"/>
                <w:kern w:val="2"/>
                <w:sz w:val="21"/>
                <w:szCs w:val="21"/>
                <w:highlight w:val="none"/>
                <w14:textFill>
                  <w14:solidFill>
                    <w14:schemeClr w14:val="tx1"/>
                  </w14:solidFill>
                </w14:textFill>
              </w:rPr>
              <w:t>系统</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非驻场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730919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0D0B36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大学本科以上（含大学本科）；</w:t>
            </w:r>
          </w:p>
          <w:p w14:paraId="173DE9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6EBC80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有从事相关行业软件设计、开发等工作经历3年以上（含3年）；</w:t>
            </w:r>
          </w:p>
          <w:p w14:paraId="431AD6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color w:val="000000" w:themeColor="text1"/>
                <w:kern w:val="0"/>
                <w:sz w:val="21"/>
                <w:szCs w:val="24"/>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负责公安政治工作信息系统维护。</w:t>
            </w:r>
          </w:p>
        </w:tc>
        <w:tc>
          <w:tcPr>
            <w:tcW w:w="795" w:type="dxa"/>
            <w:vAlign w:val="center"/>
          </w:tcPr>
          <w:p w14:paraId="308D9B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0AF7D0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0E2F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5672F1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C</w:t>
            </w:r>
            <w:r>
              <w:rPr>
                <w:rFonts w:hint="eastAsia" w:ascii="宋体" w:hAnsi="宋体" w:eastAsia="宋体" w:cs="宋体"/>
                <w:b/>
                <w:bCs/>
                <w:color w:val="000000" w:themeColor="text1"/>
                <w:kern w:val="44"/>
                <w:sz w:val="32"/>
                <w:szCs w:val="44"/>
                <w:highlight w:val="none"/>
                <w14:textFill>
                  <w14:solidFill>
                    <w14:schemeClr w14:val="tx1"/>
                  </w14:solidFill>
                </w14:textFill>
              </w:rPr>
              <w:t xml:space="preserve"> </w:t>
            </w:r>
            <w:r>
              <w:rPr>
                <w:rFonts w:hint="eastAsia" w:ascii="宋体" w:hAnsi="宋体" w:cs="宋体"/>
                <w:b/>
                <w:bCs/>
                <w:color w:val="000000" w:themeColor="text1"/>
                <w:kern w:val="44"/>
                <w:sz w:val="32"/>
                <w:szCs w:val="44"/>
                <w:highlight w:val="none"/>
                <w:lang w:eastAsia="zh-CN"/>
                <w14:textFill>
                  <w14:solidFill>
                    <w14:schemeClr w14:val="tx1"/>
                  </w14:solidFill>
                </w14:textFill>
              </w:rPr>
              <w:t>单位</w:t>
            </w:r>
          </w:p>
        </w:tc>
      </w:tr>
      <w:tr w14:paraId="7DE4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04EDD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岗位名称</w:t>
            </w:r>
          </w:p>
        </w:tc>
        <w:tc>
          <w:tcPr>
            <w:tcW w:w="690" w:type="dxa"/>
            <w:vAlign w:val="center"/>
          </w:tcPr>
          <w:p w14:paraId="08DA31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数量</w:t>
            </w:r>
          </w:p>
        </w:tc>
        <w:tc>
          <w:tcPr>
            <w:tcW w:w="4525" w:type="dxa"/>
            <w:vAlign w:val="center"/>
          </w:tcPr>
          <w:p w14:paraId="520E77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人员资质、工作经验、工作职责</w:t>
            </w:r>
          </w:p>
        </w:tc>
        <w:tc>
          <w:tcPr>
            <w:tcW w:w="795" w:type="dxa"/>
            <w:vAlign w:val="center"/>
          </w:tcPr>
          <w:p w14:paraId="4E1DEA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是否驻场</w:t>
            </w:r>
          </w:p>
        </w:tc>
        <w:tc>
          <w:tcPr>
            <w:tcW w:w="1090" w:type="dxa"/>
            <w:vAlign w:val="center"/>
          </w:tcPr>
          <w:p w14:paraId="1CC9F3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lang w:val="en-US" w:eastAsia="zh-CN" w:bidi="ar"/>
                <w14:textFill>
                  <w14:solidFill>
                    <w14:schemeClr w14:val="tx1"/>
                  </w14:solidFill>
                </w14:textFill>
              </w:rPr>
              <w:t>工作时间</w:t>
            </w:r>
          </w:p>
        </w:tc>
      </w:tr>
      <w:tr w14:paraId="0DBD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15729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C-1</w:t>
            </w:r>
            <w:r>
              <w:rPr>
                <w:rFonts w:hint="eastAsia" w:ascii="宋体" w:hAnsi="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驻场运维工程师</w:t>
            </w:r>
          </w:p>
        </w:tc>
        <w:tc>
          <w:tcPr>
            <w:tcW w:w="690" w:type="dxa"/>
            <w:vAlign w:val="center"/>
          </w:tcPr>
          <w:p w14:paraId="65A977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73D96C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本科及以上计算机相关专业学历或同等学历；</w:t>
            </w:r>
          </w:p>
          <w:p w14:paraId="447EB3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具有网络工程师证书或者系统集成项目管理工程师证书；</w:t>
            </w:r>
          </w:p>
          <w:p w14:paraId="4CBCB2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2年以上从事软件开发或测试或维护的工作经验。</w:t>
            </w:r>
          </w:p>
          <w:p w14:paraId="026E06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p>
          <w:p w14:paraId="02327E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a.业务平台的日常管理和维护；</w:t>
            </w:r>
          </w:p>
          <w:p w14:paraId="41AB34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b.服务器的配置、维护、监控、调优，相关故障、疑难问题排查处理；</w:t>
            </w:r>
          </w:p>
          <w:p w14:paraId="2387D2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c.应用系统性能优化；</w:t>
            </w:r>
          </w:p>
          <w:p w14:paraId="3030DC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d.处理软件使用过程中出现的问题定位、分析、解决，负责软件Bu</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g</w:t>
            </w:r>
            <w:r>
              <w:rPr>
                <w:rFonts w:hint="eastAsia" w:ascii="宋体" w:hAnsi="宋体" w:eastAsia="宋体" w:cs="宋体"/>
                <w:b w:val="0"/>
                <w:bCs w:val="0"/>
                <w:color w:val="000000" w:themeColor="text1"/>
                <w:kern w:val="2"/>
                <w:sz w:val="21"/>
                <w:szCs w:val="21"/>
                <w:highlight w:val="none"/>
                <w14:textFill>
                  <w14:solidFill>
                    <w14:schemeClr w14:val="tx1"/>
                  </w14:solidFill>
                </w14:textFill>
              </w:rPr>
              <w:t>修复。</w:t>
            </w:r>
          </w:p>
        </w:tc>
        <w:tc>
          <w:tcPr>
            <w:tcW w:w="795" w:type="dxa"/>
            <w:vAlign w:val="center"/>
          </w:tcPr>
          <w:p w14:paraId="4E2BFF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是</w:t>
            </w:r>
          </w:p>
        </w:tc>
        <w:tc>
          <w:tcPr>
            <w:tcW w:w="1090" w:type="dxa"/>
            <w:vAlign w:val="center"/>
          </w:tcPr>
          <w:p w14:paraId="2A0DFD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6393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1060CA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44"/>
                <w:sz w:val="32"/>
                <w:szCs w:val="32"/>
                <w:highlight w:val="none"/>
                <w:lang w:val="en-US" w:eastAsia="zh-CN" w:bidi="ar"/>
                <w14:textFill>
                  <w14:solidFill>
                    <w14:schemeClr w14:val="tx1"/>
                  </w14:solidFill>
                </w14:textFill>
              </w:rPr>
              <w:t xml:space="preserve">D </w:t>
            </w:r>
            <w:r>
              <w:rPr>
                <w:rFonts w:hint="eastAsia" w:ascii="宋体" w:hAnsi="宋体" w:cs="宋体"/>
                <w:b/>
                <w:color w:val="000000" w:themeColor="text1"/>
                <w:kern w:val="44"/>
                <w:sz w:val="32"/>
                <w:szCs w:val="32"/>
                <w:highlight w:val="none"/>
                <w:lang w:val="en-US" w:eastAsia="zh-CN" w:bidi="ar"/>
                <w14:textFill>
                  <w14:solidFill>
                    <w14:schemeClr w14:val="tx1"/>
                  </w14:solidFill>
                </w14:textFill>
              </w:rPr>
              <w:t>单位</w:t>
            </w:r>
          </w:p>
        </w:tc>
      </w:tr>
      <w:tr w14:paraId="465C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6720A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D-1 系统项目主管</w:t>
            </w:r>
          </w:p>
        </w:tc>
        <w:tc>
          <w:tcPr>
            <w:tcW w:w="690" w:type="dxa"/>
            <w:vAlign w:val="center"/>
          </w:tcPr>
          <w:p w14:paraId="1734E0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1DE3A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1、学历要求：</w:t>
            </w:r>
            <w:r>
              <w:rPr>
                <w:rFonts w:hint="eastAsia" w:ascii="宋体" w:hAnsi="宋体" w:eastAsia="宋体" w:cs="宋体"/>
                <w:color w:val="000000" w:themeColor="text1"/>
                <w:kern w:val="0"/>
                <w:sz w:val="21"/>
                <w:szCs w:val="21"/>
                <w:highlight w:val="none"/>
                <w14:textFill>
                  <w14:solidFill>
                    <w14:schemeClr w14:val="tx1"/>
                  </w14:solidFill>
                </w14:textFill>
              </w:rPr>
              <w:t>大学专科</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0"/>
                <w:sz w:val="21"/>
                <w:szCs w:val="21"/>
                <w:highlight w:val="none"/>
                <w14:textFill>
                  <w14:solidFill>
                    <w14:schemeClr w14:val="tx1"/>
                  </w14:solidFill>
                </w14:textFill>
              </w:rPr>
              <w:t>以上计算机类专业学历或同等学历；</w:t>
            </w:r>
          </w:p>
          <w:p w14:paraId="2FC68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2、认证要求</w:t>
            </w:r>
            <w:r>
              <w:rPr>
                <w:rFonts w:hint="eastAsia" w:ascii="宋体" w:hAnsi="宋体" w:eastAsia="宋体" w:cs="宋体"/>
                <w:color w:val="000000" w:themeColor="text1"/>
                <w:kern w:val="0"/>
                <w:sz w:val="21"/>
                <w:szCs w:val="21"/>
                <w:highlight w:val="none"/>
                <w14:textFill>
                  <w14:solidFill>
                    <w14:schemeClr w14:val="tx1"/>
                  </w14:solidFill>
                </w14:textFill>
              </w:rPr>
              <w:t>：具有</w:t>
            </w:r>
            <w:r>
              <w:rPr>
                <w:rFonts w:hint="default" w:ascii="宋体" w:hAnsi="宋体" w:eastAsia="宋体" w:cs="宋体"/>
                <w:color w:val="000000" w:themeColor="text1"/>
                <w:kern w:val="0"/>
                <w:sz w:val="21"/>
                <w:szCs w:val="21"/>
                <w:highlight w:val="none"/>
                <w:lang w:val="en-US"/>
                <w14:textFill>
                  <w14:solidFill>
                    <w14:schemeClr w14:val="tx1"/>
                  </w14:solidFill>
                </w14:textFill>
              </w:rPr>
              <w:t xml:space="preserve"> NC </w:t>
            </w:r>
            <w:r>
              <w:rPr>
                <w:rFonts w:hint="eastAsia" w:ascii="宋体" w:hAnsi="宋体" w:eastAsia="宋体" w:cs="宋体"/>
                <w:color w:val="000000" w:themeColor="text1"/>
                <w:kern w:val="0"/>
                <w:sz w:val="21"/>
                <w:szCs w:val="21"/>
                <w:highlight w:val="none"/>
                <w14:textFill>
                  <w14:solidFill>
                    <w14:schemeClr w14:val="tx1"/>
                  </w14:solidFill>
                </w14:textFill>
              </w:rPr>
              <w:t>软件运维资格认证；</w:t>
            </w:r>
          </w:p>
          <w:p w14:paraId="0A42DB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3、工作经验要求：</w:t>
            </w:r>
            <w:r>
              <w:rPr>
                <w:rFonts w:hint="eastAsia" w:ascii="宋体" w:hAnsi="宋体" w:eastAsia="宋体" w:cs="宋体"/>
                <w:color w:val="000000" w:themeColor="text1"/>
                <w:kern w:val="0"/>
                <w:sz w:val="21"/>
                <w:szCs w:val="21"/>
                <w:highlight w:val="none"/>
                <w14:textFill>
                  <w14:solidFill>
                    <w14:schemeClr w14:val="tx1"/>
                  </w14:solidFill>
                </w14:textFill>
              </w:rPr>
              <w:t>具备 3 年以上信息系统软件开发与数据资源维护经验。</w:t>
            </w:r>
          </w:p>
        </w:tc>
        <w:tc>
          <w:tcPr>
            <w:tcW w:w="795" w:type="dxa"/>
            <w:vAlign w:val="center"/>
          </w:tcPr>
          <w:p w14:paraId="3CD5F2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1D7604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66112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70F43E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D-1 系统运维工程师</w:t>
            </w:r>
          </w:p>
        </w:tc>
        <w:tc>
          <w:tcPr>
            <w:tcW w:w="690" w:type="dxa"/>
            <w:vAlign w:val="center"/>
          </w:tcPr>
          <w:p w14:paraId="32578A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4EDAA2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5481E3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具有NC软件运维资格认证；</w:t>
            </w:r>
          </w:p>
          <w:p w14:paraId="18C3D7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具备3年以上信息系统软件开发与数据资源维护经验；</w:t>
            </w:r>
          </w:p>
          <w:p w14:paraId="173DC3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提供一、二线技术支持服务。</w:t>
            </w:r>
          </w:p>
        </w:tc>
        <w:tc>
          <w:tcPr>
            <w:tcW w:w="795" w:type="dxa"/>
            <w:vAlign w:val="center"/>
          </w:tcPr>
          <w:p w14:paraId="703A71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7F1E89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1BA1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9A066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D-2</w:t>
            </w:r>
            <w:r>
              <w:rPr>
                <w:rFonts w:hint="eastAsia" w:ascii="宋体" w:hAnsi="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非驻场运维工程师</w:t>
            </w:r>
          </w:p>
        </w:tc>
        <w:tc>
          <w:tcPr>
            <w:tcW w:w="690" w:type="dxa"/>
            <w:vAlign w:val="center"/>
          </w:tcPr>
          <w:p w14:paraId="1270FE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1779B8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本科及以上学历或同等学历；</w:t>
            </w:r>
          </w:p>
          <w:p w14:paraId="6D6C49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无；</w:t>
            </w:r>
          </w:p>
          <w:p w14:paraId="5E2025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含至少3年的运维服务经验；</w:t>
            </w:r>
          </w:p>
          <w:p w14:paraId="2B43E8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b w:val="0"/>
                <w:bCs w:val="0"/>
                <w:color w:val="000000" w:themeColor="text1"/>
                <w:kern w:val="2"/>
                <w:sz w:val="21"/>
                <w:szCs w:val="21"/>
                <w:highlight w:val="none"/>
                <w14:textFill>
                  <w14:solidFill>
                    <w14:schemeClr w14:val="tx1"/>
                  </w14:solidFill>
                </w14:textFill>
              </w:rPr>
              <w:t>负责服务期内根据采购人运维服务要求，结合服务内容，现场提供运维问题处理服务。</w:t>
            </w:r>
          </w:p>
        </w:tc>
        <w:tc>
          <w:tcPr>
            <w:tcW w:w="795" w:type="dxa"/>
            <w:vAlign w:val="center"/>
          </w:tcPr>
          <w:p w14:paraId="1AAE31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40E07C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01A8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A403D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D-3</w:t>
            </w:r>
            <w:r>
              <w:rPr>
                <w:rFonts w:hint="eastAsia" w:ascii="宋体" w:hAnsi="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现场服务人员</w:t>
            </w:r>
          </w:p>
        </w:tc>
        <w:tc>
          <w:tcPr>
            <w:tcW w:w="690" w:type="dxa"/>
            <w:vAlign w:val="center"/>
          </w:tcPr>
          <w:p w14:paraId="609DB3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2</w:t>
            </w:r>
          </w:p>
        </w:tc>
        <w:tc>
          <w:tcPr>
            <w:tcW w:w="4525" w:type="dxa"/>
            <w:vAlign w:val="center"/>
          </w:tcPr>
          <w:p w14:paraId="241136C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大学专科及以上学历或同等学历</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w:t>
            </w:r>
          </w:p>
          <w:p w14:paraId="5246AB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无</w:t>
            </w:r>
            <w:r>
              <w:rPr>
                <w:rFonts w:hint="eastAsia" w:ascii="宋体" w:hAnsi="宋体" w:eastAsia="宋体" w:cs="宋体"/>
                <w:b w:val="0"/>
                <w:bCs w:val="0"/>
                <w:color w:val="000000" w:themeColor="text1"/>
                <w:kern w:val="2"/>
                <w:sz w:val="21"/>
                <w:szCs w:val="21"/>
                <w:highlight w:val="none"/>
                <w14:textFill>
                  <w14:solidFill>
                    <w14:schemeClr w14:val="tx1"/>
                  </w14:solidFill>
                </w14:textFill>
              </w:rPr>
              <w:t>；</w:t>
            </w:r>
          </w:p>
          <w:p w14:paraId="0AA705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1年以上</w:t>
            </w:r>
            <w:r>
              <w:rPr>
                <w:rFonts w:hint="eastAsia" w:ascii="宋体" w:hAnsi="宋体" w:eastAsia="宋体" w:cs="宋体"/>
                <w:b w:val="0"/>
                <w:bCs w:val="0"/>
                <w:color w:val="000000" w:themeColor="text1"/>
                <w:kern w:val="2"/>
                <w:sz w:val="21"/>
                <w:szCs w:val="21"/>
                <w:highlight w:val="none"/>
                <w14:textFill>
                  <w14:solidFill>
                    <w14:schemeClr w14:val="tx1"/>
                  </w14:solidFill>
                </w14:textFill>
              </w:rPr>
              <w:t>有</w:t>
            </w:r>
            <w:r>
              <w:rPr>
                <w:rFonts w:hint="eastAsia" w:ascii="宋体" w:hAnsi="宋体" w:cs="宋体"/>
                <w:color w:val="000000" w:themeColor="text1"/>
                <w:kern w:val="0"/>
                <w:sz w:val="21"/>
                <w:szCs w:val="21"/>
                <w:highlight w:val="none"/>
                <w:lang w:val="en-US" w:eastAsia="zh-CN"/>
                <w14:textFill>
                  <w14:solidFill>
                    <w14:schemeClr w14:val="tx1"/>
                  </w14:solidFill>
                </w14:textFill>
              </w:rPr>
              <w:t>同类型</w:t>
            </w:r>
            <w:r>
              <w:rPr>
                <w:rFonts w:hint="eastAsia" w:ascii="宋体" w:hAnsi="宋体" w:cs="宋体"/>
                <w:b w:val="0"/>
                <w:bCs w:val="0"/>
                <w:color w:val="000000" w:themeColor="text1"/>
                <w:kern w:val="2"/>
                <w:sz w:val="21"/>
                <w:szCs w:val="21"/>
                <w:highlight w:val="none"/>
                <w:lang w:eastAsia="zh-CN"/>
                <w14:textFill>
                  <w14:solidFill>
                    <w14:schemeClr w14:val="tx1"/>
                  </w14:solidFill>
                </w14:textFill>
              </w:rPr>
              <w:t>系统运维</w:t>
            </w:r>
            <w:r>
              <w:rPr>
                <w:rFonts w:hint="eastAsia" w:ascii="宋体" w:hAnsi="宋体" w:eastAsia="宋体" w:cs="宋体"/>
                <w:b w:val="0"/>
                <w:bCs w:val="0"/>
                <w:color w:val="000000" w:themeColor="text1"/>
                <w:kern w:val="2"/>
                <w:sz w:val="21"/>
                <w:szCs w:val="21"/>
                <w:highlight w:val="none"/>
                <w14:textFill>
                  <w14:solidFill>
                    <w14:schemeClr w14:val="tx1"/>
                  </w14:solidFill>
                </w14:textFill>
              </w:rPr>
              <w:t>经验，了解内控业务；</w:t>
            </w:r>
          </w:p>
          <w:p w14:paraId="68CF01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cs="宋体"/>
                <w:color w:val="000000" w:themeColor="text1"/>
                <w:kern w:val="2"/>
                <w:sz w:val="21"/>
                <w:szCs w:val="21"/>
                <w:highlight w:val="none"/>
                <w:lang w:val="en-US" w:eastAsia="zh-CN"/>
                <w14:textFill>
                  <w14:solidFill>
                    <w14:schemeClr w14:val="tx1"/>
                  </w14:solidFill>
                </w14:textFill>
              </w:rPr>
              <w:t>负责</w:t>
            </w:r>
            <w:r>
              <w:rPr>
                <w:rFonts w:hint="eastAsia" w:ascii="宋体" w:hAnsi="宋体" w:eastAsia="宋体" w:cs="宋体"/>
                <w:b w:val="0"/>
                <w:bCs w:val="0"/>
                <w:color w:val="000000" w:themeColor="text1"/>
                <w:kern w:val="2"/>
                <w:sz w:val="21"/>
                <w:szCs w:val="21"/>
                <w:highlight w:val="none"/>
                <w14:textFill>
                  <w14:solidFill>
                    <w14:schemeClr w14:val="tx1"/>
                  </w14:solidFill>
                </w14:textFill>
              </w:rPr>
              <w:t>一楼报账大厅</w:t>
            </w:r>
            <w:r>
              <w:rPr>
                <w:rFonts w:hint="eastAsia" w:ascii="宋体" w:hAnsi="宋体" w:cs="宋体"/>
                <w:b w:val="0"/>
                <w:bCs w:val="0"/>
                <w:color w:val="000000" w:themeColor="text1"/>
                <w:kern w:val="2"/>
                <w:sz w:val="21"/>
                <w:szCs w:val="21"/>
                <w:highlight w:val="none"/>
                <w:lang w:eastAsia="zh-CN"/>
                <w14:textFill>
                  <w14:solidFill>
                    <w14:schemeClr w14:val="tx1"/>
                  </w14:solidFill>
                </w14:textFill>
              </w:rPr>
              <w:t>和</w:t>
            </w:r>
            <w:r>
              <w:rPr>
                <w:rFonts w:hint="eastAsia" w:ascii="宋体" w:hAnsi="宋体" w:eastAsia="宋体" w:cs="宋体"/>
                <w:b w:val="0"/>
                <w:bCs w:val="0"/>
                <w:color w:val="000000" w:themeColor="text1"/>
                <w:kern w:val="2"/>
                <w:sz w:val="21"/>
                <w:szCs w:val="21"/>
                <w:highlight w:val="none"/>
                <w14:textFill>
                  <w14:solidFill>
                    <w14:schemeClr w14:val="tx1"/>
                  </w14:solidFill>
                </w14:textFill>
              </w:rPr>
              <w:t>二楼客服电话与系统后台运维支持。</w:t>
            </w:r>
          </w:p>
        </w:tc>
        <w:tc>
          <w:tcPr>
            <w:tcW w:w="795" w:type="dxa"/>
            <w:vAlign w:val="center"/>
          </w:tcPr>
          <w:p w14:paraId="6D99B2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是</w:t>
            </w:r>
          </w:p>
        </w:tc>
        <w:tc>
          <w:tcPr>
            <w:tcW w:w="1090" w:type="dxa"/>
            <w:vAlign w:val="center"/>
          </w:tcPr>
          <w:p w14:paraId="657A87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5*8小时，按采购人工作时间要求到岗</w:t>
            </w:r>
          </w:p>
        </w:tc>
      </w:tr>
      <w:tr w14:paraId="3C848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52E61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D-3</w:t>
            </w:r>
            <w:r>
              <w:rPr>
                <w:rFonts w:hint="eastAsia" w:ascii="宋体" w:hAnsi="宋体" w:cs="宋体"/>
                <w:color w:val="000000" w:themeColor="text1"/>
                <w:kern w:val="2"/>
                <w:sz w:val="21"/>
                <w:szCs w:val="21"/>
                <w:highlight w:val="none"/>
                <w:lang w:val="en-US" w:eastAsia="zh-CN"/>
                <w14:textFill>
                  <w14:solidFill>
                    <w14:schemeClr w14:val="tx1"/>
                  </w14:solidFill>
                </w14:textFill>
              </w:rPr>
              <w:t xml:space="preserve"> 非驻场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研发人员</w:t>
            </w:r>
          </w:p>
        </w:tc>
        <w:tc>
          <w:tcPr>
            <w:tcW w:w="690" w:type="dxa"/>
            <w:vAlign w:val="center"/>
          </w:tcPr>
          <w:p w14:paraId="73B102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29AE16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大学专科及以上学历或同等学历</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w:t>
            </w:r>
          </w:p>
          <w:p w14:paraId="435C39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无</w:t>
            </w:r>
            <w:r>
              <w:rPr>
                <w:rFonts w:hint="eastAsia" w:ascii="宋体" w:hAnsi="宋体" w:eastAsia="宋体" w:cs="宋体"/>
                <w:b w:val="0"/>
                <w:bCs w:val="0"/>
                <w:color w:val="000000" w:themeColor="text1"/>
                <w:kern w:val="2"/>
                <w:sz w:val="21"/>
                <w:szCs w:val="21"/>
                <w:highlight w:val="none"/>
                <w14:textFill>
                  <w14:solidFill>
                    <w14:schemeClr w14:val="tx1"/>
                  </w14:solidFill>
                </w14:textFill>
              </w:rPr>
              <w:t>；</w:t>
            </w:r>
          </w:p>
          <w:p w14:paraId="315814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1年以上</w:t>
            </w:r>
            <w:r>
              <w:rPr>
                <w:rFonts w:hint="eastAsia" w:ascii="宋体" w:hAnsi="宋体" w:eastAsia="宋体" w:cs="宋体"/>
                <w:b w:val="0"/>
                <w:bCs w:val="0"/>
                <w:color w:val="000000" w:themeColor="text1"/>
                <w:kern w:val="2"/>
                <w:sz w:val="21"/>
                <w:szCs w:val="21"/>
                <w:highlight w:val="none"/>
                <w14:textFill>
                  <w14:solidFill>
                    <w14:schemeClr w14:val="tx1"/>
                  </w14:solidFill>
                </w14:textFill>
              </w:rPr>
              <w:t>有</w:t>
            </w:r>
            <w:r>
              <w:rPr>
                <w:rFonts w:hint="eastAsia" w:ascii="宋体" w:hAnsi="宋体" w:cs="宋体"/>
                <w:color w:val="000000" w:themeColor="text1"/>
                <w:kern w:val="0"/>
                <w:sz w:val="21"/>
                <w:szCs w:val="21"/>
                <w:highlight w:val="none"/>
                <w:lang w:val="en-US" w:eastAsia="zh-CN"/>
                <w14:textFill>
                  <w14:solidFill>
                    <w14:schemeClr w14:val="tx1"/>
                  </w14:solidFill>
                </w14:textFill>
              </w:rPr>
              <w:t>同类型</w:t>
            </w:r>
            <w:r>
              <w:rPr>
                <w:rFonts w:hint="eastAsia" w:ascii="宋体" w:hAnsi="宋体" w:cs="宋体"/>
                <w:b w:val="0"/>
                <w:bCs w:val="0"/>
                <w:color w:val="000000" w:themeColor="text1"/>
                <w:kern w:val="2"/>
                <w:sz w:val="21"/>
                <w:szCs w:val="21"/>
                <w:highlight w:val="none"/>
                <w:lang w:eastAsia="zh-CN"/>
                <w14:textFill>
                  <w14:solidFill>
                    <w14:schemeClr w14:val="tx1"/>
                  </w14:solidFill>
                </w14:textFill>
              </w:rPr>
              <w:t>系统运维</w:t>
            </w:r>
            <w:r>
              <w:rPr>
                <w:rFonts w:hint="eastAsia" w:ascii="宋体" w:hAnsi="宋体" w:eastAsia="宋体" w:cs="宋体"/>
                <w:b w:val="0"/>
                <w:bCs w:val="0"/>
                <w:color w:val="000000" w:themeColor="text1"/>
                <w:kern w:val="2"/>
                <w:sz w:val="21"/>
                <w:szCs w:val="21"/>
                <w:highlight w:val="none"/>
                <w14:textFill>
                  <w14:solidFill>
                    <w14:schemeClr w14:val="tx1"/>
                  </w14:solidFill>
                </w14:textFill>
              </w:rPr>
              <w:t>经验，了解内控业务；</w:t>
            </w:r>
          </w:p>
          <w:p w14:paraId="176E2C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警务保障内控信息系统</w:t>
            </w:r>
            <w:r>
              <w:rPr>
                <w:rFonts w:hint="eastAsia" w:ascii="宋体" w:hAnsi="宋体" w:cs="宋体"/>
                <w:color w:val="000000" w:themeColor="text1"/>
                <w:kern w:val="2"/>
                <w:sz w:val="21"/>
                <w:szCs w:val="21"/>
                <w:highlight w:val="none"/>
                <w:lang w:val="en-US" w:eastAsia="zh-CN"/>
                <w14:textFill>
                  <w14:solidFill>
                    <w14:schemeClr w14:val="tx1"/>
                  </w14:solidFill>
                </w14:textFill>
              </w:rPr>
              <w:t>非驻场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研发人员</w:t>
            </w:r>
            <w:r>
              <w:rPr>
                <w:rFonts w:hint="eastAsia" w:ascii="宋体" w:hAnsi="宋体" w:eastAsia="宋体" w:cs="宋体"/>
                <w:b w:val="0"/>
                <w:bCs w:val="0"/>
                <w:color w:val="000000" w:themeColor="text1"/>
                <w:kern w:val="2"/>
                <w:sz w:val="21"/>
                <w:szCs w:val="21"/>
                <w:highlight w:val="none"/>
                <w14:textFill>
                  <w14:solidFill>
                    <w14:schemeClr w14:val="tx1"/>
                  </w14:solidFill>
                </w14:textFill>
              </w:rPr>
              <w:t>。</w:t>
            </w:r>
          </w:p>
        </w:tc>
        <w:tc>
          <w:tcPr>
            <w:tcW w:w="795" w:type="dxa"/>
            <w:vAlign w:val="center"/>
          </w:tcPr>
          <w:p w14:paraId="3C393E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4"/>
                <w:highlight w:val="none"/>
                <w:lang w:eastAsia="zh-CN"/>
                <w14:textFill>
                  <w14:solidFill>
                    <w14:schemeClr w14:val="tx1"/>
                  </w14:solidFill>
                </w14:textFill>
              </w:rPr>
              <w:t>否</w:t>
            </w:r>
          </w:p>
        </w:tc>
        <w:tc>
          <w:tcPr>
            <w:tcW w:w="1090" w:type="dxa"/>
            <w:vAlign w:val="center"/>
          </w:tcPr>
          <w:p w14:paraId="7A853A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07A5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09" w:type="dxa"/>
            <w:vAlign w:val="center"/>
          </w:tcPr>
          <w:p w14:paraId="00B014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D-4</w:t>
            </w:r>
            <w:r>
              <w:rPr>
                <w:rFonts w:hint="eastAsia" w:ascii="宋体" w:hAnsi="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驻场运维工程师</w:t>
            </w:r>
          </w:p>
        </w:tc>
        <w:tc>
          <w:tcPr>
            <w:tcW w:w="690" w:type="dxa"/>
            <w:vAlign w:val="center"/>
          </w:tcPr>
          <w:p w14:paraId="02C95C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2</w:t>
            </w:r>
          </w:p>
        </w:tc>
        <w:tc>
          <w:tcPr>
            <w:tcW w:w="4525" w:type="dxa"/>
            <w:vAlign w:val="center"/>
          </w:tcPr>
          <w:p w14:paraId="024152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大学本科及以上学历；</w:t>
            </w:r>
          </w:p>
          <w:p w14:paraId="50CAAC33">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rightChars="0"/>
              <w:jc w:val="left"/>
              <w:outlineLvl w:val="9"/>
              <w:rPr>
                <w:rFonts w:hint="eastAsia" w:ascii="宋体" w:hAnsi="宋体" w:eastAsia="宋体" w:cs="宋体"/>
                <w:b/>
                <w:bCs/>
                <w:color w:val="000000" w:themeColor="text1"/>
                <w:kern w:val="2"/>
                <w:sz w:val="21"/>
                <w:szCs w:val="24"/>
                <w:highlight w:val="none"/>
                <w14:textFill>
                  <w14:solidFill>
                    <w14:schemeClr w14:val="tx1"/>
                  </w14:solidFill>
                </w14:textFill>
              </w:rPr>
            </w:pPr>
            <w:r>
              <w:rPr>
                <w:rFonts w:hint="eastAsia" w:ascii="宋体" w:hAnsi="宋体" w:eastAsia="宋体" w:cs="宋体"/>
                <w:b/>
                <w:bCs/>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val="0"/>
                <w:color w:val="000000" w:themeColor="text1"/>
                <w:kern w:val="2"/>
                <w:sz w:val="21"/>
                <w:szCs w:val="24"/>
                <w:highlight w:val="none"/>
                <w14:textFill>
                  <w14:solidFill>
                    <w14:schemeClr w14:val="tx1"/>
                  </w14:solidFill>
                </w14:textFill>
              </w:rPr>
              <w:t>无；</w:t>
            </w:r>
          </w:p>
          <w:p w14:paraId="2CAAA5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b/>
                <w:bCs/>
                <w:color w:val="000000" w:themeColor="text1"/>
                <w:kern w:val="2"/>
                <w:sz w:val="21"/>
                <w:szCs w:val="21"/>
                <w:highlight w:val="none"/>
                <w14:textFill>
                  <w14:solidFill>
                    <w14:schemeClr w14:val="tx1"/>
                  </w14:solidFill>
                </w14:textFill>
              </w:rPr>
              <w:t>、工作经验要求：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行业经验5年以上（含）</w:t>
            </w:r>
            <w:r>
              <w:rPr>
                <w:rFonts w:hint="eastAsia" w:ascii="宋体" w:hAnsi="宋体" w:eastAsia="宋体" w:cs="宋体"/>
                <w:b w:val="0"/>
                <w:bCs w:val="0"/>
                <w:color w:val="000000" w:themeColor="text1"/>
                <w:kern w:val="2"/>
                <w:sz w:val="21"/>
                <w:szCs w:val="21"/>
                <w:highlight w:val="none"/>
                <w:lang w:eastAsia="zh-CN"/>
                <w14:textFill>
                  <w14:solidFill>
                    <w14:schemeClr w14:val="tx1"/>
                  </w14:solidFill>
                </w14:textFill>
              </w:rPr>
              <w:t>；</w:t>
            </w:r>
          </w:p>
          <w:p w14:paraId="15449F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b/>
                <w:bCs/>
                <w:color w:val="000000" w:themeColor="text1"/>
                <w:kern w:val="2"/>
                <w:sz w:val="21"/>
                <w:szCs w:val="21"/>
                <w:highlight w:val="none"/>
                <w14:textFill>
                  <w14:solidFill>
                    <w14:schemeClr w14:val="tx1"/>
                  </w14:solidFill>
                </w14:textFill>
              </w:rPr>
              <w:t>、工作职责：</w:t>
            </w:r>
            <w:r>
              <w:rPr>
                <w:rFonts w:hint="eastAsia" w:ascii="宋体" w:hAnsi="宋体" w:eastAsia="宋体" w:cs="宋体"/>
                <w:b w:val="0"/>
                <w:bCs w:val="0"/>
                <w:color w:val="000000" w:themeColor="text1"/>
                <w:kern w:val="2"/>
                <w:sz w:val="21"/>
                <w:szCs w:val="21"/>
                <w:highlight w:val="none"/>
                <w14:textFill>
                  <w14:solidFill>
                    <w14:schemeClr w14:val="tx1"/>
                  </w14:solidFill>
                </w14:textFill>
              </w:rPr>
              <w:t>负责广西涉案财物管理系统的日常运维服务支撑工作，包括系统监控与巡检，及时发现并解决故障隐患响应，处理用户在使用系统过程中的各类咨询、投诉与建议，记录并反馈用户问题；进行系统安装、配置与升级，保障系统稳定运行；开展数据备份与恢复工作，确保数据安全可靠；协助其他部门对系统进行优化与改进，同时协助进行相关运维文档编写与完善。</w:t>
            </w:r>
          </w:p>
        </w:tc>
        <w:tc>
          <w:tcPr>
            <w:tcW w:w="795" w:type="dxa"/>
            <w:vAlign w:val="center"/>
          </w:tcPr>
          <w:p w14:paraId="465AE4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是</w:t>
            </w:r>
          </w:p>
        </w:tc>
        <w:tc>
          <w:tcPr>
            <w:tcW w:w="1090" w:type="dxa"/>
            <w:vAlign w:val="center"/>
          </w:tcPr>
          <w:p w14:paraId="6D6059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5*8小时，按采购人工作时间要求到岗</w:t>
            </w:r>
          </w:p>
        </w:tc>
      </w:tr>
      <w:tr w14:paraId="0B13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65949023">
            <w:pPr>
              <w:keepNext w:val="0"/>
              <w:keepLines w:val="0"/>
              <w:pageBreakBefore w:val="0"/>
              <w:widowControl/>
              <w:suppressLineNumbers w:val="0"/>
              <w:kinsoku/>
              <w:wordWrap/>
              <w:overflowPunct/>
              <w:topLinePunct w:val="0"/>
              <w:autoSpaceDE/>
              <w:autoSpaceDN/>
              <w:bidi w:val="0"/>
              <w:adjustRightInd/>
              <w:snapToGrid/>
              <w:spacing w:before="120" w:beforeLines="5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E </w:t>
            </w:r>
            <w:r>
              <w:rPr>
                <w:rFonts w:hint="eastAsia" w:ascii="宋体" w:hAnsi="宋体" w:cs="宋体"/>
                <w:b/>
                <w:color w:val="000000" w:themeColor="text1"/>
                <w:kern w:val="44"/>
                <w:sz w:val="32"/>
                <w:szCs w:val="32"/>
                <w:highlight w:val="none"/>
                <w:lang w:val="en-US" w:eastAsia="zh-CN" w:bidi="ar"/>
                <w14:textFill>
                  <w14:solidFill>
                    <w14:schemeClr w14:val="tx1"/>
                  </w14:solidFill>
                </w14:textFill>
              </w:rPr>
              <w:t>单位</w:t>
            </w:r>
          </w:p>
        </w:tc>
      </w:tr>
      <w:tr w14:paraId="1245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5D6550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234817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2374CF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7FB49ED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7C8D311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0F9BD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A3CB5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E-1至E-3 </w:t>
            </w:r>
            <w:r>
              <w:rPr>
                <w:rFonts w:hint="eastAsia" w:ascii="宋体" w:hAnsi="宋体" w:eastAsia="宋体" w:cs="宋体"/>
                <w:color w:val="000000" w:themeColor="text1"/>
                <w:kern w:val="2"/>
                <w:sz w:val="21"/>
                <w:szCs w:val="21"/>
                <w:highlight w:val="none"/>
                <w14:textFill>
                  <w14:solidFill>
                    <w14:schemeClr w14:val="tx1"/>
                  </w14:solidFill>
                </w14:textFill>
              </w:rPr>
              <w:t>项目主管</w:t>
            </w:r>
          </w:p>
        </w:tc>
        <w:tc>
          <w:tcPr>
            <w:tcW w:w="690" w:type="dxa"/>
            <w:vAlign w:val="center"/>
          </w:tcPr>
          <w:p w14:paraId="402C46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2C2708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bCs/>
                <w:color w:val="000000" w:themeColor="text1"/>
                <w:kern w:val="2"/>
                <w:sz w:val="21"/>
                <w:szCs w:val="21"/>
                <w:highlight w:val="none"/>
                <w14:textFill>
                  <w14:solidFill>
                    <w14:schemeClr w14:val="tx1"/>
                  </w14:solidFill>
                </w14:textFill>
              </w:rPr>
              <w:t>大专及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r>
              <w:rPr>
                <w:rFonts w:hint="eastAsia" w:ascii="宋体" w:hAnsi="宋体" w:eastAsia="宋体" w:cs="宋体"/>
                <w:bCs/>
                <w:color w:val="000000" w:themeColor="text1"/>
                <w:kern w:val="2"/>
                <w:sz w:val="21"/>
                <w:szCs w:val="21"/>
                <w:highlight w:val="none"/>
                <w14:textFill>
                  <w14:solidFill>
                    <w14:schemeClr w14:val="tx1"/>
                  </w14:solidFill>
                </w14:textFill>
              </w:rPr>
              <w:t>；</w:t>
            </w:r>
          </w:p>
          <w:p w14:paraId="2AD283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具有软件项目管理类同级别或以上认证；</w:t>
            </w:r>
          </w:p>
          <w:p w14:paraId="52E9DE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含</w:t>
            </w:r>
            <w:r>
              <w:rPr>
                <w:rFonts w:hint="eastAsia" w:ascii="宋体" w:hAnsi="宋体" w:eastAsia="宋体" w:cs="宋体"/>
                <w:bCs/>
                <w:color w:val="000000" w:themeColor="text1"/>
                <w:kern w:val="2"/>
                <w:sz w:val="21"/>
                <w:szCs w:val="21"/>
                <w:highlight w:val="none"/>
                <w14:textFill>
                  <w14:solidFill>
                    <w14:schemeClr w14:val="tx1"/>
                  </w14:solidFill>
                </w14:textFill>
              </w:rPr>
              <w:t>3年以上项目管理经验；</w:t>
            </w:r>
          </w:p>
          <w:p w14:paraId="702B80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按用户需求提供广西12110短信报警平台、广西公安110数据汇总平台项目、广西公安厅现代警务指挥平台的项目管理、项目进度把控、运维过程交付物、与采购单位沟通协调等运维管理服务。</w:t>
            </w:r>
          </w:p>
        </w:tc>
        <w:tc>
          <w:tcPr>
            <w:tcW w:w="795" w:type="dxa"/>
            <w:vAlign w:val="center"/>
          </w:tcPr>
          <w:p w14:paraId="280E34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0B5254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人</w:t>
            </w:r>
            <w:r>
              <w:rPr>
                <w:rFonts w:hint="eastAsia" w:ascii="宋体" w:hAnsi="宋体" w:eastAsia="宋体" w:cs="宋体"/>
                <w:color w:val="000000" w:themeColor="text1"/>
                <w:kern w:val="2"/>
                <w:sz w:val="21"/>
                <w:szCs w:val="21"/>
                <w:highlight w:val="none"/>
                <w14:textFill>
                  <w14:solidFill>
                    <w14:schemeClr w14:val="tx1"/>
                  </w14:solidFill>
                </w14:textFill>
              </w:rPr>
              <w:t>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58AEF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D645B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E-1至E-3 平台驻场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73535A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firstLine="210" w:firstLineChars="10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w:t>
            </w:r>
          </w:p>
        </w:tc>
        <w:tc>
          <w:tcPr>
            <w:tcW w:w="4525" w:type="dxa"/>
            <w:vAlign w:val="top"/>
          </w:tcPr>
          <w:p w14:paraId="3D5971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以上学历；</w:t>
            </w:r>
          </w:p>
          <w:p w14:paraId="206B5B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7FCA1A1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至少含1年相关系统维护经验；</w:t>
            </w:r>
          </w:p>
          <w:p w14:paraId="1076D2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对采购人的相关系统提供远程服务支持，进行应用软件维护，并且保证系统正常运行。</w:t>
            </w:r>
          </w:p>
        </w:tc>
        <w:tc>
          <w:tcPr>
            <w:tcW w:w="795" w:type="dxa"/>
            <w:vAlign w:val="center"/>
          </w:tcPr>
          <w:p w14:paraId="1DFD2B4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1B8E3D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5E03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6970711C">
            <w:pPr>
              <w:keepNext w:val="0"/>
              <w:keepLines w:val="0"/>
              <w:pageBreakBefore w:val="0"/>
              <w:widowControl/>
              <w:suppressLineNumbers w:val="0"/>
              <w:kinsoku/>
              <w:wordWrap/>
              <w:overflowPunct/>
              <w:topLinePunct w:val="0"/>
              <w:autoSpaceDE/>
              <w:autoSpaceDN/>
              <w:bidi w:val="0"/>
              <w:adjustRightInd/>
              <w:snapToGrid/>
              <w:spacing w:before="120" w:beforeLines="5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F </w:t>
            </w:r>
            <w:r>
              <w:rPr>
                <w:rFonts w:hint="eastAsia" w:ascii="宋体" w:hAnsi="宋体" w:cs="宋体"/>
                <w:b/>
                <w:color w:val="000000" w:themeColor="text1"/>
                <w:kern w:val="44"/>
                <w:sz w:val="32"/>
                <w:szCs w:val="32"/>
                <w:highlight w:val="none"/>
                <w:lang w:val="en-US" w:eastAsia="zh-CN" w:bidi="ar"/>
                <w14:textFill>
                  <w14:solidFill>
                    <w14:schemeClr w14:val="tx1"/>
                  </w14:solidFill>
                </w14:textFill>
              </w:rPr>
              <w:t>单位</w:t>
            </w:r>
          </w:p>
        </w:tc>
      </w:tr>
      <w:tr w14:paraId="6114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0EB99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1EE563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5BB60E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4BDC69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48D017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3E856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A4869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 xml:space="preserve">F-1 </w:t>
            </w:r>
            <w:r>
              <w:rPr>
                <w:rFonts w:hint="eastAsia" w:ascii="宋体" w:hAnsi="宋体" w:eastAsia="宋体" w:cs="宋体"/>
                <w:bCs/>
                <w:color w:val="000000" w:themeColor="text1"/>
                <w:kern w:val="2"/>
                <w:sz w:val="21"/>
                <w:szCs w:val="21"/>
                <w:highlight w:val="none"/>
                <w14:textFill>
                  <w14:solidFill>
                    <w14:schemeClr w14:val="tx1"/>
                  </w14:solidFill>
                </w14:textFill>
              </w:rPr>
              <w:t>系统</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69B372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1B9DBF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大学本科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r>
              <w:rPr>
                <w:rFonts w:hint="eastAsia" w:ascii="宋体" w:hAnsi="宋体" w:eastAsia="宋体" w:cs="宋体"/>
                <w:bCs/>
                <w:color w:val="000000" w:themeColor="text1"/>
                <w:kern w:val="2"/>
                <w:sz w:val="21"/>
                <w:szCs w:val="24"/>
                <w:highlight w:val="none"/>
                <w14:textFill>
                  <w14:solidFill>
                    <w14:schemeClr w14:val="tx1"/>
                  </w14:solidFill>
                </w14:textFill>
              </w:rPr>
              <w:t>；</w:t>
            </w:r>
          </w:p>
          <w:p w14:paraId="78EBE4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计算机相关认证证书</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14:paraId="5D02A5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至少3年以上相关系统开发、运维经验；</w:t>
            </w:r>
          </w:p>
          <w:p w14:paraId="2AFA26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4"/>
                <w:highlight w:val="none"/>
                <w14:textFill>
                  <w14:solidFill>
                    <w14:schemeClr w14:val="tx1"/>
                  </w14:solidFill>
                </w14:textFill>
              </w:rPr>
              <w:t>4、</w:t>
            </w:r>
            <w:r>
              <w:rPr>
                <w:rFonts w:hint="eastAsia" w:ascii="宋体" w:hAnsi="宋体" w:eastAsia="宋体" w:cs="宋体"/>
                <w:b/>
                <w:color w:val="000000" w:themeColor="text1"/>
                <w:kern w:val="2"/>
                <w:sz w:val="21"/>
                <w:szCs w:val="24"/>
                <w:highlight w:val="none"/>
                <w14:textFill>
                  <w14:solidFill>
                    <w14:schemeClr w14:val="tx1"/>
                  </w14:solidFill>
                </w14:textFill>
              </w:rPr>
              <w:t>工作职责：</w:t>
            </w:r>
            <w:r>
              <w:rPr>
                <w:rFonts w:hint="eastAsia" w:ascii="宋体" w:hAnsi="宋体" w:eastAsia="宋体" w:cs="宋体"/>
                <w:color w:val="000000" w:themeColor="text1"/>
                <w:kern w:val="2"/>
                <w:sz w:val="21"/>
                <w:szCs w:val="24"/>
                <w:highlight w:val="none"/>
                <w14:textFill>
                  <w14:solidFill>
                    <w14:schemeClr w14:val="tx1"/>
                  </w14:solidFill>
                </w14:textFill>
              </w:rPr>
              <w:t>对关键性运维服务工作提供技术支持服务，保证运维工作的高效、及时完成。</w:t>
            </w:r>
          </w:p>
        </w:tc>
        <w:tc>
          <w:tcPr>
            <w:tcW w:w="795" w:type="dxa"/>
            <w:vAlign w:val="center"/>
          </w:tcPr>
          <w:p w14:paraId="712012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454337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w:t>
            </w:r>
          </w:p>
          <w:p w14:paraId="6D12CB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工作时间要求到岗</w:t>
            </w:r>
          </w:p>
        </w:tc>
      </w:tr>
      <w:tr w14:paraId="10A32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16DF7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F-2至F-3 平台</w:t>
            </w:r>
            <w:r>
              <w:rPr>
                <w:rFonts w:hint="eastAsia" w:ascii="宋体" w:hAnsi="宋体" w:eastAsia="宋体" w:cs="宋体"/>
                <w:color w:val="000000" w:themeColor="text1"/>
                <w:kern w:val="2"/>
                <w:sz w:val="21"/>
                <w:szCs w:val="21"/>
                <w:highlight w:val="none"/>
                <w14:textFill>
                  <w14:solidFill>
                    <w14:schemeClr w14:val="tx1"/>
                  </w14:solidFill>
                </w14:textFill>
              </w:rPr>
              <w:t>运维工程师</w:t>
            </w:r>
          </w:p>
        </w:tc>
        <w:tc>
          <w:tcPr>
            <w:tcW w:w="690" w:type="dxa"/>
            <w:vAlign w:val="center"/>
          </w:tcPr>
          <w:p w14:paraId="0B4C3A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572955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大学本科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以上计算机类专业（或会计、财务专业）学历或同等学历；</w:t>
            </w:r>
          </w:p>
          <w:p w14:paraId="5C1210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35F3D6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具有3年以上信息化系统软件维护经验；</w:t>
            </w:r>
          </w:p>
          <w:p w14:paraId="4F5228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提供一、二线技术支持服务，每年约有2个月左右时间随审计组到各地开展专项审计工作，为审计组提供数据及技术保障服务，差旅费由</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中标人</w:t>
            </w:r>
            <w:r>
              <w:rPr>
                <w:rFonts w:hint="eastAsia" w:ascii="宋体" w:hAnsi="宋体" w:eastAsia="宋体" w:cs="宋体"/>
                <w:color w:val="000000" w:themeColor="text1"/>
                <w:kern w:val="2"/>
                <w:sz w:val="21"/>
                <w:szCs w:val="21"/>
                <w:highlight w:val="none"/>
                <w14:textFill>
                  <w14:solidFill>
                    <w14:schemeClr w14:val="tx1"/>
                  </w14:solidFill>
                </w14:textFill>
              </w:rPr>
              <w:t>承担。</w:t>
            </w:r>
          </w:p>
        </w:tc>
        <w:tc>
          <w:tcPr>
            <w:tcW w:w="795" w:type="dxa"/>
            <w:vAlign w:val="center"/>
          </w:tcPr>
          <w:p w14:paraId="4F712B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1D02A3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7C536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434ED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F-2至F-3 平台</w:t>
            </w:r>
            <w:r>
              <w:rPr>
                <w:rFonts w:hint="eastAsia" w:ascii="宋体" w:hAnsi="宋体" w:eastAsia="宋体" w:cs="宋体"/>
                <w:color w:val="000000" w:themeColor="text1"/>
                <w:kern w:val="2"/>
                <w:sz w:val="21"/>
                <w:szCs w:val="21"/>
                <w:highlight w:val="none"/>
                <w14:textFill>
                  <w14:solidFill>
                    <w14:schemeClr w14:val="tx1"/>
                  </w14:solidFill>
                </w14:textFill>
              </w:rPr>
              <w:t>运维工程师</w:t>
            </w:r>
          </w:p>
        </w:tc>
        <w:tc>
          <w:tcPr>
            <w:tcW w:w="690" w:type="dxa"/>
            <w:vAlign w:val="center"/>
          </w:tcPr>
          <w:p w14:paraId="04D70B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p>
        </w:tc>
        <w:tc>
          <w:tcPr>
            <w:tcW w:w="4525" w:type="dxa"/>
            <w:vAlign w:val="center"/>
          </w:tcPr>
          <w:p w14:paraId="65DED1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1DFF678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65EB52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具有3年或以上计算机行业从业经验；</w:t>
            </w:r>
          </w:p>
          <w:p w14:paraId="4AEDAA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提供一、二线技术支持服务</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对财务软件接口的版本进行更新，对软件的功能问题进行处理。</w:t>
            </w:r>
          </w:p>
        </w:tc>
        <w:tc>
          <w:tcPr>
            <w:tcW w:w="795" w:type="dxa"/>
            <w:vAlign w:val="center"/>
          </w:tcPr>
          <w:p w14:paraId="7DE178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7A89FD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w:t>
            </w:r>
          </w:p>
          <w:p w14:paraId="71C46B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13B47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2E7F6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F-4 非驻场工程师</w:t>
            </w:r>
          </w:p>
        </w:tc>
        <w:tc>
          <w:tcPr>
            <w:tcW w:w="690" w:type="dxa"/>
            <w:vAlign w:val="center"/>
          </w:tcPr>
          <w:p w14:paraId="37FEF3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3266C6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本科及以上学历或同等学历；</w:t>
            </w:r>
            <w:r>
              <w:rPr>
                <w:rFonts w:hint="eastAsia" w:ascii="宋体" w:hAnsi="宋体" w:eastAsia="宋体" w:cs="宋体"/>
                <w:color w:val="000000" w:themeColor="text1"/>
                <w:kern w:val="2"/>
                <w:sz w:val="21"/>
                <w:szCs w:val="21"/>
                <w:highlight w:val="none"/>
                <w14:textFill>
                  <w14:solidFill>
                    <w14:schemeClr w14:val="tx1"/>
                  </w14:solidFill>
                </w14:textFill>
              </w:rPr>
              <w:br w:type="textWrapping"/>
            </w: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r>
              <w:rPr>
                <w:rFonts w:hint="eastAsia" w:ascii="宋体" w:hAnsi="宋体" w:eastAsia="宋体" w:cs="宋体"/>
                <w:color w:val="000000" w:themeColor="text1"/>
                <w:kern w:val="2"/>
                <w:sz w:val="21"/>
                <w:szCs w:val="21"/>
                <w:highlight w:val="none"/>
                <w14:textFill>
                  <w14:solidFill>
                    <w14:schemeClr w14:val="tx1"/>
                  </w14:solidFill>
                </w14:textFill>
              </w:rPr>
              <w:br w:type="textWrapping"/>
            </w: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含3年工作经验；</w:t>
            </w:r>
            <w:r>
              <w:rPr>
                <w:rFonts w:hint="eastAsia" w:ascii="宋体" w:hAnsi="宋体" w:eastAsia="宋体" w:cs="宋体"/>
                <w:color w:val="000000" w:themeColor="text1"/>
                <w:kern w:val="2"/>
                <w:sz w:val="21"/>
                <w:szCs w:val="21"/>
                <w:highlight w:val="none"/>
                <w14:textFill>
                  <w14:solidFill>
                    <w14:schemeClr w14:val="tx1"/>
                  </w14:solidFill>
                </w14:textFill>
              </w:rPr>
              <w:br w:type="textWrapping"/>
            </w: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"三个规定"填报程序</w:t>
            </w:r>
            <w:r>
              <w:rPr>
                <w:rFonts w:hint="eastAsia" w:ascii="宋体" w:hAnsi="宋体" w:eastAsia="宋体" w:cs="宋体"/>
                <w:color w:val="000000" w:themeColor="text1"/>
                <w:kern w:val="2"/>
                <w:sz w:val="21"/>
                <w:szCs w:val="21"/>
                <w:highlight w:val="none"/>
                <w14:textFill>
                  <w14:solidFill>
                    <w14:schemeClr w14:val="tx1"/>
                  </w14:solidFill>
                </w14:textFill>
              </w:rPr>
              <w:t>维护支撑。</w:t>
            </w:r>
          </w:p>
        </w:tc>
        <w:tc>
          <w:tcPr>
            <w:tcW w:w="795" w:type="dxa"/>
            <w:vAlign w:val="center"/>
          </w:tcPr>
          <w:p w14:paraId="66C6D8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2014DD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w:t>
            </w:r>
          </w:p>
          <w:p w14:paraId="3920D9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2853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7DC12A09">
            <w:pPr>
              <w:keepNext w:val="0"/>
              <w:keepLines w:val="0"/>
              <w:pageBreakBefore w:val="0"/>
              <w:widowControl/>
              <w:suppressLineNumbers w:val="0"/>
              <w:kinsoku/>
              <w:wordWrap/>
              <w:overflowPunct/>
              <w:topLinePunct w:val="0"/>
              <w:autoSpaceDE/>
              <w:autoSpaceDN/>
              <w:bidi w:val="0"/>
              <w:adjustRightInd/>
              <w:snapToGrid/>
              <w:spacing w:before="120" w:beforeLines="5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G </w:t>
            </w:r>
            <w:r>
              <w:rPr>
                <w:rFonts w:hint="eastAsia" w:ascii="宋体" w:hAnsi="宋体" w:cs="宋体"/>
                <w:b/>
                <w:color w:val="000000" w:themeColor="text1"/>
                <w:kern w:val="44"/>
                <w:sz w:val="32"/>
                <w:szCs w:val="32"/>
                <w:highlight w:val="none"/>
                <w:lang w:val="en-US" w:eastAsia="zh-CN" w:bidi="ar"/>
                <w14:textFill>
                  <w14:solidFill>
                    <w14:schemeClr w14:val="tx1"/>
                  </w14:solidFill>
                </w14:textFill>
              </w:rPr>
              <w:t>单位</w:t>
            </w:r>
          </w:p>
        </w:tc>
      </w:tr>
      <w:tr w14:paraId="7B78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F06F3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591E8D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6794BAE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5FB8AE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3407B4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52F3F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09" w:type="dxa"/>
            <w:vAlign w:val="center"/>
          </w:tcPr>
          <w:p w14:paraId="62CD87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至G-</w:t>
            </w:r>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项目主管</w:t>
            </w:r>
          </w:p>
        </w:tc>
        <w:tc>
          <w:tcPr>
            <w:tcW w:w="690" w:type="dxa"/>
            <w:vAlign w:val="center"/>
          </w:tcPr>
          <w:p w14:paraId="5539C7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006AAC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bCs/>
                <w:color w:val="000000" w:themeColor="text1"/>
                <w:kern w:val="2"/>
                <w:sz w:val="21"/>
                <w:szCs w:val="21"/>
                <w:highlight w:val="none"/>
                <w14:textFill>
                  <w14:solidFill>
                    <w14:schemeClr w14:val="tx1"/>
                  </w14:solidFill>
                </w14:textFill>
              </w:rPr>
              <w:t>大专及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42F109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2D7F9B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含</w:t>
            </w:r>
            <w:r>
              <w:rPr>
                <w:rFonts w:hint="eastAsia" w:ascii="宋体" w:hAnsi="宋体" w:eastAsia="宋体" w:cs="宋体"/>
                <w:bCs/>
                <w:color w:val="000000" w:themeColor="text1"/>
                <w:kern w:val="2"/>
                <w:sz w:val="21"/>
                <w:szCs w:val="21"/>
                <w:highlight w:val="none"/>
                <w14:textFill>
                  <w14:solidFill>
                    <w14:schemeClr w14:val="tx1"/>
                  </w14:solidFill>
                </w14:textFill>
              </w:rPr>
              <w:t>3年以上项目管理经验；</w:t>
            </w:r>
          </w:p>
          <w:p w14:paraId="3BB77E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按用户需求提供安全日志审计系统及跨地域户口迁移业务系统的项目管理、项目进度把控、运维过程交付物、与采购单位沟通协调等运维管理服务。</w:t>
            </w:r>
          </w:p>
        </w:tc>
        <w:tc>
          <w:tcPr>
            <w:tcW w:w="795" w:type="dxa"/>
            <w:vAlign w:val="center"/>
          </w:tcPr>
          <w:p w14:paraId="500A571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6D7161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人</w:t>
            </w:r>
            <w:r>
              <w:rPr>
                <w:rFonts w:hint="eastAsia" w:ascii="宋体" w:hAnsi="宋体" w:eastAsia="宋体" w:cs="宋体"/>
                <w:color w:val="000000" w:themeColor="text1"/>
                <w:kern w:val="2"/>
                <w:sz w:val="21"/>
                <w:szCs w:val="21"/>
                <w:highlight w:val="none"/>
                <w14:textFill>
                  <w14:solidFill>
                    <w14:schemeClr w14:val="tx1"/>
                  </w14:solidFill>
                </w14:textFill>
              </w:rPr>
              <w:t>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6451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FD425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至G-</w:t>
            </w:r>
            <w:r>
              <w:rPr>
                <w:rFonts w:hint="eastAsia" w:ascii="宋体" w:hAnsi="宋体" w:cs="宋体"/>
                <w:color w:val="000000" w:themeColor="text1"/>
                <w:kern w:val="2"/>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系统开发/实施工程师</w:t>
            </w:r>
          </w:p>
        </w:tc>
        <w:tc>
          <w:tcPr>
            <w:tcW w:w="690" w:type="dxa"/>
            <w:vAlign w:val="center"/>
          </w:tcPr>
          <w:p w14:paraId="38C631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454B61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2AFF75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4BC87D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含要求2年以上信息系统软件开发与数据资源维护经验、系统软件实施、维护经验；</w:t>
            </w:r>
          </w:p>
          <w:p w14:paraId="7F0E56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负责本项目的BU</w:t>
            </w:r>
            <w:r>
              <w:rPr>
                <w:rFonts w:hint="eastAsia" w:ascii="宋体" w:hAnsi="宋体" w:eastAsia="宋体" w:cs="宋体"/>
                <w:color w:val="000000" w:themeColor="text1"/>
                <w:kern w:val="2"/>
                <w:sz w:val="21"/>
                <w:szCs w:val="21"/>
                <w:highlight w:val="none"/>
                <w:lang w:eastAsia="zh-CN"/>
                <w14:textFill>
                  <w14:solidFill>
                    <w14:schemeClr w14:val="tx1"/>
                  </w14:solidFill>
                </w14:textFill>
              </w:rPr>
              <w:t>G</w:t>
            </w:r>
            <w:r>
              <w:rPr>
                <w:rFonts w:hint="eastAsia" w:ascii="宋体" w:hAnsi="宋体" w:eastAsia="宋体" w:cs="宋体"/>
                <w:color w:val="000000" w:themeColor="text1"/>
                <w:kern w:val="2"/>
                <w:sz w:val="21"/>
                <w:szCs w:val="21"/>
                <w:highlight w:val="none"/>
                <w14:textFill>
                  <w14:solidFill>
                    <w14:schemeClr w14:val="tx1"/>
                  </w14:solidFill>
                </w14:textFill>
              </w:rPr>
              <w:t>及系统二次开发工作，实现电话、互联网、公安网业务问题、故障收集、汇总、答疑服务。</w:t>
            </w:r>
          </w:p>
        </w:tc>
        <w:tc>
          <w:tcPr>
            <w:tcW w:w="795" w:type="dxa"/>
            <w:vAlign w:val="center"/>
          </w:tcPr>
          <w:p w14:paraId="01E59A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108639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w:t>
            </w:r>
          </w:p>
          <w:p w14:paraId="4A5C03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工作时间要求到岗</w:t>
            </w:r>
          </w:p>
        </w:tc>
      </w:tr>
      <w:tr w14:paraId="1A7F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9B0CB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至G-</w:t>
            </w:r>
            <w:r>
              <w:rPr>
                <w:rFonts w:hint="eastAsia" w:ascii="宋体" w:hAnsi="宋体"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、R-1 </w:t>
            </w:r>
            <w:r>
              <w:rPr>
                <w:rFonts w:hint="eastAsia" w:ascii="宋体" w:hAnsi="宋体" w:eastAsia="宋体" w:cs="宋体"/>
                <w:color w:val="000000" w:themeColor="text1"/>
                <w:kern w:val="2"/>
                <w:sz w:val="21"/>
                <w:szCs w:val="21"/>
                <w:highlight w:val="none"/>
                <w14:textFill>
                  <w14:solidFill>
                    <w14:schemeClr w14:val="tx1"/>
                  </w14:solidFill>
                </w14:textFill>
              </w:rPr>
              <w:t>系统项目助理</w:t>
            </w:r>
          </w:p>
        </w:tc>
        <w:tc>
          <w:tcPr>
            <w:tcW w:w="690" w:type="dxa"/>
            <w:vAlign w:val="center"/>
          </w:tcPr>
          <w:p w14:paraId="2E52AC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top"/>
          </w:tcPr>
          <w:p w14:paraId="420C91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大学本科以上学历；</w:t>
            </w:r>
          </w:p>
          <w:p w14:paraId="2503EC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信息系统项目管理师；</w:t>
            </w:r>
          </w:p>
          <w:p w14:paraId="08A4CD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至少含2年计算机行业客户服务管理工作经验；</w:t>
            </w:r>
          </w:p>
          <w:p w14:paraId="555FAD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按采购人需求提供项目管理、流程管理、绩效考核、项目跟进把控、产出物等运维管理服务。</w:t>
            </w:r>
          </w:p>
        </w:tc>
        <w:tc>
          <w:tcPr>
            <w:tcW w:w="795" w:type="dxa"/>
            <w:vAlign w:val="center"/>
          </w:tcPr>
          <w:p w14:paraId="506E86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365F73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0"/>
                <w:sz w:val="21"/>
                <w:szCs w:val="21"/>
                <w:highlight w:val="none"/>
                <w14:textFill>
                  <w14:solidFill>
                    <w14:schemeClr w14:val="tx1"/>
                  </w14:solidFill>
                </w14:textFill>
              </w:rPr>
              <w:t>提供技术支持（每周至少驻场2天）</w:t>
            </w:r>
          </w:p>
        </w:tc>
      </w:tr>
      <w:tr w14:paraId="781D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321D7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至G-</w:t>
            </w:r>
            <w:r>
              <w:rPr>
                <w:rFonts w:hint="eastAsia" w:ascii="宋体" w:hAnsi="宋体"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、R-1 </w:t>
            </w:r>
            <w:r>
              <w:rPr>
                <w:rFonts w:hint="eastAsia" w:ascii="宋体" w:hAnsi="宋体" w:eastAsia="宋体" w:cs="宋体"/>
                <w:color w:val="000000" w:themeColor="text1"/>
                <w:kern w:val="2"/>
                <w:sz w:val="21"/>
                <w:szCs w:val="21"/>
                <w:highlight w:val="none"/>
                <w14:textFill>
                  <w14:solidFill>
                    <w14:schemeClr w14:val="tx1"/>
                  </w14:solidFill>
                </w14:textFill>
              </w:rPr>
              <w:t>项目主管/副经理</w:t>
            </w:r>
          </w:p>
        </w:tc>
        <w:tc>
          <w:tcPr>
            <w:tcW w:w="690" w:type="dxa"/>
            <w:vAlign w:val="center"/>
          </w:tcPr>
          <w:p w14:paraId="2396B0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50B9DC9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bCs/>
                <w:color w:val="000000" w:themeColor="text1"/>
                <w:kern w:val="2"/>
                <w:sz w:val="21"/>
                <w:szCs w:val="21"/>
                <w:highlight w:val="none"/>
                <w14:textFill>
                  <w14:solidFill>
                    <w14:schemeClr w14:val="tx1"/>
                  </w14:solidFill>
                </w14:textFill>
              </w:rPr>
              <w:t>大专及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r>
              <w:rPr>
                <w:rFonts w:hint="eastAsia" w:ascii="宋体" w:hAnsi="宋体" w:eastAsia="宋体" w:cs="宋体"/>
                <w:bCs/>
                <w:color w:val="000000" w:themeColor="text1"/>
                <w:kern w:val="2"/>
                <w:sz w:val="21"/>
                <w:szCs w:val="21"/>
                <w:highlight w:val="none"/>
                <w14:textFill>
                  <w14:solidFill>
                    <w14:schemeClr w14:val="tx1"/>
                  </w14:solidFill>
                </w14:textFill>
              </w:rPr>
              <w:t>；</w:t>
            </w:r>
          </w:p>
          <w:p w14:paraId="171EDD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具有软件项目管理类同级别或以上认证优先；</w:t>
            </w:r>
          </w:p>
          <w:p w14:paraId="0AFC8F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含</w:t>
            </w:r>
            <w:r>
              <w:rPr>
                <w:rFonts w:hint="eastAsia" w:ascii="宋体" w:hAnsi="宋体" w:eastAsia="宋体" w:cs="宋体"/>
                <w:bCs/>
                <w:color w:val="000000" w:themeColor="text1"/>
                <w:kern w:val="2"/>
                <w:sz w:val="21"/>
                <w:szCs w:val="21"/>
                <w:highlight w:val="none"/>
                <w14:textFill>
                  <w14:solidFill>
                    <w14:schemeClr w14:val="tx1"/>
                  </w14:solidFill>
                </w14:textFill>
              </w:rPr>
              <w:t>3年以上项目管理经验；</w:t>
            </w:r>
          </w:p>
          <w:p w14:paraId="322B2D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按用户需求提供项目管理、流程管理、绩效考核、项目跟进把控、产出物等运维管理服务。</w:t>
            </w:r>
          </w:p>
        </w:tc>
        <w:tc>
          <w:tcPr>
            <w:tcW w:w="795" w:type="dxa"/>
            <w:vAlign w:val="center"/>
          </w:tcPr>
          <w:p w14:paraId="6D7940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02379F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w:t>
            </w:r>
          </w:p>
          <w:p w14:paraId="3D1B46C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工作时间要求到岗</w:t>
            </w:r>
          </w:p>
        </w:tc>
      </w:tr>
      <w:tr w14:paraId="6BC0D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E1842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至G-</w:t>
            </w:r>
            <w:r>
              <w:rPr>
                <w:rFonts w:hint="eastAsia" w:ascii="宋体" w:hAnsi="宋体"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、R-1 </w:t>
            </w:r>
            <w:r>
              <w:rPr>
                <w:rFonts w:hint="eastAsia" w:ascii="宋体" w:hAnsi="宋体" w:eastAsia="宋体" w:cs="宋体"/>
                <w:color w:val="000000" w:themeColor="text1"/>
                <w:kern w:val="2"/>
                <w:sz w:val="21"/>
                <w:szCs w:val="21"/>
                <w:highlight w:val="none"/>
                <w14:textFill>
                  <w14:solidFill>
                    <w14:schemeClr w14:val="tx1"/>
                  </w14:solidFill>
                </w14:textFill>
              </w:rPr>
              <w:t>系统开发/实施工程师</w:t>
            </w:r>
          </w:p>
        </w:tc>
        <w:tc>
          <w:tcPr>
            <w:tcW w:w="690" w:type="dxa"/>
            <w:vAlign w:val="center"/>
          </w:tcPr>
          <w:p w14:paraId="0ED16D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10990A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2A8A9C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具有软件开发类同级别或以上认证优先；</w:t>
            </w:r>
          </w:p>
          <w:p w14:paraId="473BE57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含要求2年以上信息系统软件开发与系统维护经验；</w:t>
            </w:r>
          </w:p>
          <w:p w14:paraId="231EE1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负责本项目的BU</w:t>
            </w:r>
            <w:r>
              <w:rPr>
                <w:rFonts w:hint="eastAsia" w:ascii="宋体" w:hAnsi="宋体" w:eastAsia="宋体" w:cs="宋体"/>
                <w:color w:val="000000" w:themeColor="text1"/>
                <w:kern w:val="2"/>
                <w:sz w:val="21"/>
                <w:szCs w:val="21"/>
                <w:highlight w:val="none"/>
                <w:lang w:eastAsia="zh-CN"/>
                <w14:textFill>
                  <w14:solidFill>
                    <w14:schemeClr w14:val="tx1"/>
                  </w14:solidFill>
                </w14:textFill>
              </w:rPr>
              <w:t>G处理</w:t>
            </w:r>
            <w:r>
              <w:rPr>
                <w:rFonts w:hint="eastAsia" w:ascii="宋体" w:hAnsi="宋体" w:eastAsia="宋体" w:cs="宋体"/>
                <w:color w:val="000000" w:themeColor="text1"/>
                <w:kern w:val="2"/>
                <w:sz w:val="21"/>
                <w:szCs w:val="21"/>
                <w:highlight w:val="none"/>
                <w14:textFill>
                  <w14:solidFill>
                    <w14:schemeClr w14:val="tx1"/>
                  </w14:solidFill>
                </w14:textFill>
              </w:rPr>
              <w:t>及系统二次开发工作。</w:t>
            </w:r>
          </w:p>
        </w:tc>
        <w:tc>
          <w:tcPr>
            <w:tcW w:w="795" w:type="dxa"/>
            <w:vAlign w:val="center"/>
          </w:tcPr>
          <w:p w14:paraId="04FCA0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0970A9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按采购人工作时间要求到岗</w:t>
            </w:r>
          </w:p>
        </w:tc>
      </w:tr>
      <w:tr w14:paraId="6E35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44D89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至G-</w:t>
            </w:r>
            <w:r>
              <w:rPr>
                <w:rFonts w:hint="eastAsia" w:ascii="宋体" w:hAnsi="宋体"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、R-1 </w:t>
            </w:r>
            <w:r>
              <w:rPr>
                <w:rFonts w:hint="eastAsia" w:ascii="宋体" w:hAnsi="宋体" w:eastAsia="宋体" w:cs="宋体"/>
                <w:color w:val="000000" w:themeColor="text1"/>
                <w:kern w:val="2"/>
                <w:sz w:val="21"/>
                <w:szCs w:val="21"/>
                <w:highlight w:val="none"/>
                <w14:textFill>
                  <w14:solidFill>
                    <w14:schemeClr w14:val="tx1"/>
                  </w14:solidFill>
                </w14:textFill>
              </w:rPr>
              <w:t>值班人员</w:t>
            </w:r>
          </w:p>
        </w:tc>
        <w:tc>
          <w:tcPr>
            <w:tcW w:w="690" w:type="dxa"/>
            <w:vAlign w:val="center"/>
          </w:tcPr>
          <w:p w14:paraId="2FF211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764D23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42EA2E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096E26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要求含2年以上信息系统软件实施、维护经验；</w:t>
            </w:r>
          </w:p>
          <w:p w14:paraId="3313D0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b w:val="0"/>
                <w:color w:val="000000" w:themeColor="text1"/>
                <w:kern w:val="2"/>
                <w:sz w:val="21"/>
                <w:szCs w:val="21"/>
                <w:highlight w:val="none"/>
                <w:lang w:eastAsia="zh-CN"/>
                <w14:textFill>
                  <w14:solidFill>
                    <w14:schemeClr w14:val="tx1"/>
                  </w14:solidFill>
                </w14:textFill>
              </w:rPr>
              <w:t>提供</w:t>
            </w:r>
            <w:r>
              <w:rPr>
                <w:rFonts w:hint="eastAsia" w:ascii="宋体" w:hAnsi="宋体" w:eastAsia="宋体" w:cs="宋体"/>
                <w:color w:val="000000" w:themeColor="text1"/>
                <w:kern w:val="2"/>
                <w:sz w:val="21"/>
                <w:szCs w:val="21"/>
                <w:highlight w:val="none"/>
                <w14:textFill>
                  <w14:solidFill>
                    <w14:schemeClr w14:val="tx1"/>
                  </w14:solidFill>
                </w14:textFill>
              </w:rPr>
              <w:t>电话、互联网、公安网业务问题、故障收集、汇总、答疑服务。</w:t>
            </w:r>
          </w:p>
        </w:tc>
        <w:tc>
          <w:tcPr>
            <w:tcW w:w="795" w:type="dxa"/>
            <w:vAlign w:val="center"/>
          </w:tcPr>
          <w:p w14:paraId="60E004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0BE7E4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w:t>
            </w:r>
          </w:p>
          <w:p w14:paraId="73D170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工作时间要求到岗</w:t>
            </w:r>
          </w:p>
        </w:tc>
      </w:tr>
      <w:tr w14:paraId="3E00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25182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至G-</w:t>
            </w:r>
            <w:r>
              <w:rPr>
                <w:rFonts w:hint="eastAsia" w:ascii="宋体" w:hAnsi="宋体"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、R-1 </w:t>
            </w:r>
            <w:r>
              <w:rPr>
                <w:rFonts w:hint="eastAsia" w:ascii="宋体" w:hAnsi="宋体" w:eastAsia="宋体" w:cs="宋体"/>
                <w:color w:val="000000" w:themeColor="text1"/>
                <w:kern w:val="2"/>
                <w:sz w:val="21"/>
                <w:szCs w:val="21"/>
                <w:highlight w:val="none"/>
                <w14:textFill>
                  <w14:solidFill>
                    <w14:schemeClr w14:val="tx1"/>
                  </w14:solidFill>
                </w14:textFill>
              </w:rPr>
              <w:t>非驻场人员</w:t>
            </w:r>
          </w:p>
        </w:tc>
        <w:tc>
          <w:tcPr>
            <w:tcW w:w="690" w:type="dxa"/>
            <w:vAlign w:val="center"/>
          </w:tcPr>
          <w:p w14:paraId="55FEE7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p>
        </w:tc>
        <w:tc>
          <w:tcPr>
            <w:tcW w:w="4525" w:type="dxa"/>
            <w:vAlign w:val="center"/>
          </w:tcPr>
          <w:p w14:paraId="4AAC16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7F9A4C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1"/>
                <w:highlight w:val="none"/>
                <w14:textFill>
                  <w14:solidFill>
                    <w14:schemeClr w14:val="tx1"/>
                  </w14:solidFill>
                </w14:textFill>
              </w:rPr>
              <w:t>无；</w:t>
            </w:r>
          </w:p>
          <w:p w14:paraId="31DA92C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val="0"/>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1"/>
                <w:highlight w:val="none"/>
                <w14:textFill>
                  <w14:solidFill>
                    <w14:schemeClr w14:val="tx1"/>
                  </w14:solidFill>
                </w14:textFill>
              </w:rPr>
              <w:t>3年或以上计算机行业从业经验；</w:t>
            </w:r>
          </w:p>
          <w:p w14:paraId="6DC2E1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b w:val="0"/>
                <w:bCs/>
                <w:color w:val="000000" w:themeColor="text1"/>
                <w:kern w:val="2"/>
                <w:sz w:val="21"/>
                <w:szCs w:val="21"/>
                <w:highlight w:val="none"/>
                <w14:textFill>
                  <w14:solidFill>
                    <w14:schemeClr w14:val="tx1"/>
                  </w14:solidFill>
                </w14:textFill>
              </w:rPr>
              <w:t>远程支撑整个运维项目正常运行。</w:t>
            </w:r>
          </w:p>
        </w:tc>
        <w:tc>
          <w:tcPr>
            <w:tcW w:w="795" w:type="dxa"/>
            <w:vAlign w:val="center"/>
          </w:tcPr>
          <w:p w14:paraId="2A9759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14C5E8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人</w:t>
            </w:r>
            <w:r>
              <w:rPr>
                <w:rFonts w:hint="eastAsia" w:ascii="宋体" w:hAnsi="宋体" w:eastAsia="宋体" w:cs="宋体"/>
                <w:color w:val="000000" w:themeColor="text1"/>
                <w:kern w:val="2"/>
                <w:sz w:val="21"/>
                <w:szCs w:val="21"/>
                <w:highlight w:val="none"/>
                <w14:textFill>
                  <w14:solidFill>
                    <w14:schemeClr w14:val="tx1"/>
                  </w14:solidFill>
                </w14:textFill>
              </w:rPr>
              <w:t>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3EE3B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2911C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G-1</w:t>
            </w:r>
            <w:r>
              <w:rPr>
                <w:rFonts w:hint="eastAsia" w:ascii="宋体" w:hAnsi="宋体" w:cs="宋体"/>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驻场运维工程师</w:t>
            </w:r>
          </w:p>
        </w:tc>
        <w:tc>
          <w:tcPr>
            <w:tcW w:w="690" w:type="dxa"/>
            <w:vAlign w:val="center"/>
          </w:tcPr>
          <w:p w14:paraId="4D40A2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794DE4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大学本科及以上计算机类专业学历或同等学历；</w:t>
            </w:r>
          </w:p>
          <w:p w14:paraId="4D56E8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具有计算机相关认证证书；</w:t>
            </w:r>
          </w:p>
          <w:p w14:paraId="48615A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要求3年以上信息系统软件开发与数据资源维护经验；</w:t>
            </w:r>
          </w:p>
          <w:p w14:paraId="7749B6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提供一、二线技术支持服务。</w:t>
            </w:r>
          </w:p>
        </w:tc>
        <w:tc>
          <w:tcPr>
            <w:tcW w:w="795" w:type="dxa"/>
            <w:vAlign w:val="center"/>
          </w:tcPr>
          <w:p w14:paraId="0ED1F4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是</w:t>
            </w:r>
          </w:p>
        </w:tc>
        <w:tc>
          <w:tcPr>
            <w:tcW w:w="1090" w:type="dxa"/>
            <w:vAlign w:val="center"/>
          </w:tcPr>
          <w:p w14:paraId="206E00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5*8小时，按采购人工作时间要求到岗</w:t>
            </w:r>
          </w:p>
        </w:tc>
      </w:tr>
      <w:tr w14:paraId="7DFAE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D389B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G-1</w:t>
            </w:r>
            <w:r>
              <w:rPr>
                <w:rFonts w:hint="eastAsia" w:ascii="宋体" w:hAnsi="宋体" w:cs="宋体"/>
                <w:color w:val="000000" w:themeColor="text1"/>
                <w:kern w:val="2"/>
                <w:sz w:val="21"/>
                <w:szCs w:val="21"/>
                <w:highlight w:val="none"/>
                <w:lang w:val="en-US" w:eastAsia="zh-CN"/>
                <w14:textFill>
                  <w14:solidFill>
                    <w14:schemeClr w14:val="tx1"/>
                  </w14:solidFill>
                </w14:textFill>
              </w:rPr>
              <w:t>0</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非驻场运维工程师</w:t>
            </w:r>
          </w:p>
        </w:tc>
        <w:tc>
          <w:tcPr>
            <w:tcW w:w="690" w:type="dxa"/>
            <w:vAlign w:val="center"/>
          </w:tcPr>
          <w:p w14:paraId="7EB564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0A2C951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大学本科及以上计算机类专业学历或同等学历；</w:t>
            </w:r>
          </w:p>
          <w:p w14:paraId="3AF685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具有计算机相关认证证书；</w:t>
            </w:r>
          </w:p>
          <w:p w14:paraId="482F85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要求3年以上信息系统软件开发与数据资源维护经验；</w:t>
            </w:r>
          </w:p>
          <w:p w14:paraId="68DC89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支撑整个运维项目正常运行。</w:t>
            </w:r>
          </w:p>
        </w:tc>
        <w:tc>
          <w:tcPr>
            <w:tcW w:w="795" w:type="dxa"/>
            <w:vAlign w:val="center"/>
          </w:tcPr>
          <w:p w14:paraId="5F7D99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否</w:t>
            </w:r>
          </w:p>
        </w:tc>
        <w:tc>
          <w:tcPr>
            <w:tcW w:w="1090" w:type="dxa"/>
            <w:vAlign w:val="center"/>
          </w:tcPr>
          <w:p w14:paraId="5BDBAC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根据采购人具体需要提供技术支持</w:t>
            </w:r>
          </w:p>
        </w:tc>
      </w:tr>
      <w:tr w14:paraId="05F5D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E1AA7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G-1</w:t>
            </w: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至G-</w:t>
            </w:r>
            <w:r>
              <w:rPr>
                <w:rFonts w:hint="eastAsia" w:ascii="宋体" w:hAnsi="宋体" w:cs="宋体"/>
                <w:color w:val="000000" w:themeColor="text1"/>
                <w:kern w:val="2"/>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系统运维工程师</w:t>
            </w:r>
          </w:p>
        </w:tc>
        <w:tc>
          <w:tcPr>
            <w:tcW w:w="690" w:type="dxa"/>
            <w:vAlign w:val="center"/>
          </w:tcPr>
          <w:p w14:paraId="476B936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p>
        </w:tc>
        <w:tc>
          <w:tcPr>
            <w:tcW w:w="4525" w:type="dxa"/>
            <w:vAlign w:val="top"/>
          </w:tcPr>
          <w:p w14:paraId="0673CB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大学本科及以上计算机类专业学历或同等学历；</w:t>
            </w:r>
          </w:p>
          <w:p w14:paraId="738393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具有计算机相关认证证书；</w:t>
            </w:r>
          </w:p>
          <w:p w14:paraId="53D1B3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至少3年以上相关系统开发、运维经验；</w:t>
            </w:r>
          </w:p>
          <w:p w14:paraId="4A0B3B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支撑整个运维项目正常运行。</w:t>
            </w:r>
          </w:p>
        </w:tc>
        <w:tc>
          <w:tcPr>
            <w:tcW w:w="795" w:type="dxa"/>
            <w:vAlign w:val="center"/>
          </w:tcPr>
          <w:p w14:paraId="75769A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否</w:t>
            </w:r>
          </w:p>
        </w:tc>
        <w:tc>
          <w:tcPr>
            <w:tcW w:w="1090" w:type="dxa"/>
            <w:vAlign w:val="center"/>
          </w:tcPr>
          <w:p w14:paraId="7344E5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根据采购人具体需要提供技术支持</w:t>
            </w:r>
          </w:p>
        </w:tc>
      </w:tr>
      <w:tr w14:paraId="3F6E3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35417DCD">
            <w:pPr>
              <w:keepNext w:val="0"/>
              <w:keepLines w:val="0"/>
              <w:pageBreakBefore w:val="0"/>
              <w:widowControl/>
              <w:suppressLineNumbers w:val="0"/>
              <w:kinsoku/>
              <w:wordWrap/>
              <w:overflowPunct/>
              <w:topLinePunct w:val="0"/>
              <w:autoSpaceDE/>
              <w:autoSpaceDN/>
              <w:bidi w:val="0"/>
              <w:adjustRightInd/>
              <w:snapToGrid/>
              <w:spacing w:before="120" w:beforeLines="5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H </w:t>
            </w:r>
            <w:r>
              <w:rPr>
                <w:rFonts w:hint="eastAsia" w:ascii="宋体" w:hAnsi="宋体" w:cs="宋体"/>
                <w:b/>
                <w:color w:val="000000" w:themeColor="text1"/>
                <w:kern w:val="44"/>
                <w:sz w:val="32"/>
                <w:szCs w:val="32"/>
                <w:highlight w:val="none"/>
                <w:lang w:val="en-US" w:eastAsia="zh-CN" w:bidi="ar"/>
                <w14:textFill>
                  <w14:solidFill>
                    <w14:schemeClr w14:val="tx1"/>
                  </w14:solidFill>
                </w14:textFill>
              </w:rPr>
              <w:t>单位</w:t>
            </w:r>
          </w:p>
        </w:tc>
      </w:tr>
      <w:tr w14:paraId="33AA7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D6E64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4D09B4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428AC3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6833BD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3B2B95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7D18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BFB58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H-1 平台</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7FF6B7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4CE818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5C2632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1"/>
                <w:highlight w:val="none"/>
                <w14:textFill>
                  <w14:solidFill>
                    <w14:schemeClr w14:val="tx1"/>
                  </w14:solidFill>
                </w14:textFill>
              </w:rPr>
              <w:t>无；</w:t>
            </w:r>
          </w:p>
          <w:p w14:paraId="32BB92F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要求2年以上信息系统软件开发或者数据资源维护经验；</w:t>
            </w:r>
          </w:p>
          <w:p w14:paraId="7BE364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维护服务范围为广西壮族自治区公安厅目前在用的109联侦平台应用系统软件，保障该软件系统正常运行；系统维护不包括硬件的维护，但须监控硬件的运行状况，给出硬件维护建议，当硬件出现故障时，须配合硬件维护商及时维修；当109联侦平台应用系统之外的软件系统出现故障时，须配合相关的维护商及时维修。同时需要提供运维过程的交付物及与采购单位进行项目的沟通协调。</w:t>
            </w:r>
          </w:p>
        </w:tc>
        <w:tc>
          <w:tcPr>
            <w:tcW w:w="795" w:type="dxa"/>
            <w:vAlign w:val="center"/>
          </w:tcPr>
          <w:p w14:paraId="025252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18D7FC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6F16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409" w:type="dxa"/>
            <w:vAlign w:val="center"/>
          </w:tcPr>
          <w:p w14:paraId="64AEF2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H-1 平台</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非驻场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6352FA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top"/>
          </w:tcPr>
          <w:p w14:paraId="2D8FAB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以上学历；</w:t>
            </w:r>
          </w:p>
          <w:p w14:paraId="2CF7BC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79B85A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至少含1年相关系统维护经验和开发经验；</w:t>
            </w:r>
          </w:p>
          <w:p w14:paraId="5CF2499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对采购人的相关系统提供远程服务支持，进行应用软件维护，并且保证系统正常运行。</w:t>
            </w:r>
          </w:p>
        </w:tc>
        <w:tc>
          <w:tcPr>
            <w:tcW w:w="795" w:type="dxa"/>
            <w:vAlign w:val="center"/>
          </w:tcPr>
          <w:p w14:paraId="226FF9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5E6E9B1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人</w:t>
            </w:r>
            <w:r>
              <w:rPr>
                <w:rFonts w:hint="eastAsia" w:ascii="宋体" w:hAnsi="宋体" w:eastAsia="宋体" w:cs="宋体"/>
                <w:color w:val="000000" w:themeColor="text1"/>
                <w:kern w:val="2"/>
                <w:sz w:val="21"/>
                <w:szCs w:val="21"/>
                <w:highlight w:val="none"/>
                <w14:textFill>
                  <w14:solidFill>
                    <w14:schemeClr w14:val="tx1"/>
                  </w14:solidFill>
                </w14:textFill>
              </w:rPr>
              <w:t>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58033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6625D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 xml:space="preserve">H-2 </w:t>
            </w:r>
            <w:r>
              <w:rPr>
                <w:rFonts w:hint="eastAsia" w:ascii="宋体" w:hAnsi="宋体" w:eastAsia="宋体" w:cs="宋体"/>
                <w:b w:val="0"/>
                <w:bCs/>
                <w:color w:val="000000" w:themeColor="text1"/>
                <w:kern w:val="0"/>
                <w:sz w:val="21"/>
                <w:szCs w:val="21"/>
                <w:highlight w:val="none"/>
                <w14:textFill>
                  <w14:solidFill>
                    <w14:schemeClr w14:val="tx1"/>
                  </w14:solidFill>
                </w14:textFill>
              </w:rPr>
              <w:t>系统</w:t>
            </w:r>
            <w:r>
              <w:rPr>
                <w:rFonts w:hint="eastAsia" w:ascii="宋体" w:hAnsi="宋体" w:eastAsia="宋体" w:cs="宋体"/>
                <w:b w:val="0"/>
                <w:bCs/>
                <w:color w:val="000000" w:themeColor="text1"/>
                <w:kern w:val="0"/>
                <w:sz w:val="21"/>
                <w:szCs w:val="21"/>
                <w:highlight w:val="none"/>
                <w:lang w:eastAsia="zh-CN"/>
                <w14:textFill>
                  <w14:solidFill>
                    <w14:schemeClr w14:val="tx1"/>
                  </w14:solidFill>
                </w14:textFill>
              </w:rPr>
              <w:t>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7FEEDF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5C9C2D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7865A1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70B43C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要求2年以上（含）信息系统数据资源维护和用户售后服务经验；</w:t>
            </w:r>
          </w:p>
          <w:p w14:paraId="5D0368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主要负责系统的日常维护和巡检，需求的搜集与管理，数据库整理、备份和统计，远程或现场解决客户在产品应用上的疑惑和问题，培训以及周期性系统使用分析。</w:t>
            </w:r>
          </w:p>
        </w:tc>
        <w:tc>
          <w:tcPr>
            <w:tcW w:w="795" w:type="dxa"/>
            <w:vAlign w:val="center"/>
          </w:tcPr>
          <w:p w14:paraId="6D5BFC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59216D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按采购人工作时间要求到岗</w:t>
            </w:r>
          </w:p>
        </w:tc>
      </w:tr>
      <w:tr w14:paraId="65DD2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B6D06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val="0"/>
                <w:bCs/>
                <w:color w:val="000000" w:themeColor="text1"/>
                <w:kern w:val="0"/>
                <w:sz w:val="21"/>
                <w:szCs w:val="21"/>
                <w:highlight w:val="none"/>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 xml:space="preserve">H-2 </w:t>
            </w:r>
            <w:r>
              <w:rPr>
                <w:rFonts w:hint="eastAsia" w:ascii="宋体" w:hAnsi="宋体" w:eastAsia="宋体" w:cs="宋体"/>
                <w:b w:val="0"/>
                <w:bCs/>
                <w:color w:val="000000" w:themeColor="text1"/>
                <w:kern w:val="0"/>
                <w:sz w:val="21"/>
                <w:szCs w:val="21"/>
                <w:highlight w:val="none"/>
                <w14:textFill>
                  <w14:solidFill>
                    <w14:schemeClr w14:val="tx1"/>
                  </w14:solidFill>
                </w14:textFill>
              </w:rPr>
              <w:t>系统</w:t>
            </w:r>
          </w:p>
          <w:p w14:paraId="2F1929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非驻场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06C14D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2D910F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5F35FF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3415F6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要求2年以上（含）信息系统数据资源维护和用户售后服务经验；</w:t>
            </w:r>
          </w:p>
          <w:p w14:paraId="030777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主要负责系统的远程维护，故障处置，数据服务、系统优化等，远程协助驻点工程师解决客户在产品应用上的问题。</w:t>
            </w:r>
          </w:p>
        </w:tc>
        <w:tc>
          <w:tcPr>
            <w:tcW w:w="795" w:type="dxa"/>
            <w:vAlign w:val="center"/>
          </w:tcPr>
          <w:p w14:paraId="23AC15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0FB8CB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人</w:t>
            </w:r>
            <w:r>
              <w:rPr>
                <w:rFonts w:hint="eastAsia" w:ascii="宋体" w:hAnsi="宋体" w:eastAsia="宋体" w:cs="宋体"/>
                <w:color w:val="000000" w:themeColor="text1"/>
                <w:kern w:val="2"/>
                <w:sz w:val="21"/>
                <w:szCs w:val="21"/>
                <w:highlight w:val="none"/>
                <w14:textFill>
                  <w14:solidFill>
                    <w14:schemeClr w14:val="tx1"/>
                  </w14:solidFill>
                </w14:textFill>
              </w:rPr>
              <w:t>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3809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1D4158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H-3至H-7 系统</w:t>
            </w:r>
            <w:r>
              <w:rPr>
                <w:rFonts w:hint="eastAsia" w:ascii="宋体" w:hAnsi="宋体" w:eastAsia="宋体" w:cs="宋体"/>
                <w:color w:val="000000" w:themeColor="text1"/>
                <w:kern w:val="2"/>
                <w:sz w:val="21"/>
                <w:szCs w:val="21"/>
                <w:highlight w:val="none"/>
                <w14:textFill>
                  <w14:solidFill>
                    <w14:schemeClr w14:val="tx1"/>
                  </w14:solidFill>
                </w14:textFill>
              </w:rPr>
              <w:t>驻场工程师</w:t>
            </w:r>
          </w:p>
        </w:tc>
        <w:tc>
          <w:tcPr>
            <w:tcW w:w="690" w:type="dxa"/>
            <w:vAlign w:val="center"/>
          </w:tcPr>
          <w:p w14:paraId="09B662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14:textFill>
                  <w14:solidFill>
                    <w14:schemeClr w14:val="tx1"/>
                  </w14:solidFill>
                </w14:textFill>
              </w:rPr>
              <w:t>2</w:t>
            </w:r>
          </w:p>
        </w:tc>
        <w:tc>
          <w:tcPr>
            <w:tcW w:w="4525" w:type="dxa"/>
            <w:vAlign w:val="center"/>
          </w:tcPr>
          <w:p w14:paraId="494591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3F0B40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6C5C86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驻</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场</w:t>
            </w:r>
            <w:r>
              <w:rPr>
                <w:rFonts w:hint="eastAsia" w:ascii="宋体" w:hAnsi="宋体" w:eastAsia="宋体" w:cs="宋体"/>
                <w:color w:val="000000" w:themeColor="text1"/>
                <w:kern w:val="2"/>
                <w:sz w:val="21"/>
                <w:szCs w:val="21"/>
                <w:highlight w:val="none"/>
                <w14:textFill>
                  <w14:solidFill>
                    <w14:schemeClr w14:val="tx1"/>
                  </w14:solidFill>
                </w14:textFill>
              </w:rPr>
              <w:t>工程师需具备2年（含）以上同类系统维护经验和技术能力；</w:t>
            </w:r>
          </w:p>
          <w:p w14:paraId="34B4AF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p>
          <w:p w14:paraId="46329D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负责广西全国公安机关现场勘验信息管理系统、指掌纹自动识别系统及广西刑侦基础工作情报信息管理应用系统的具体运维工作，包含：日常维护、系统巡检、系统咨询服务、系统优化服务、应急保障、系统升级服务、数据服务、系统培训服务，以及保障业务正常所需的临时性运维工作。</w:t>
            </w:r>
          </w:p>
          <w:p w14:paraId="014A01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（2）负责指纹建库工作，包含：建库环境准备及维护、数据准备、指纹数据整理、指纹卡片扫描、指纹切割、电子卡备份、重卡管理等。</w:t>
            </w:r>
          </w:p>
        </w:tc>
        <w:tc>
          <w:tcPr>
            <w:tcW w:w="795" w:type="dxa"/>
            <w:vAlign w:val="center"/>
          </w:tcPr>
          <w:p w14:paraId="571047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48B2BE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按采购人工作时间要求到岗</w:t>
            </w:r>
          </w:p>
        </w:tc>
      </w:tr>
      <w:tr w14:paraId="3E16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05916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H-3至H-7 系统</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非驻场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6ABB13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051E680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4A3750E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205C463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驻</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场</w:t>
            </w:r>
            <w:r>
              <w:rPr>
                <w:rFonts w:hint="eastAsia" w:ascii="宋体" w:hAnsi="宋体" w:eastAsia="宋体" w:cs="宋体"/>
                <w:color w:val="000000" w:themeColor="text1"/>
                <w:kern w:val="2"/>
                <w:sz w:val="21"/>
                <w:szCs w:val="21"/>
                <w:highlight w:val="none"/>
                <w14:textFill>
                  <w14:solidFill>
                    <w14:schemeClr w14:val="tx1"/>
                  </w14:solidFill>
                </w14:textFill>
              </w:rPr>
              <w:t>工程师需具备2年（含）以上同类系统维护经验和技术能力。</w:t>
            </w:r>
          </w:p>
          <w:p w14:paraId="5ABFDF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p>
          <w:p w14:paraId="06C799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负责广西全国公安机关现场勘验信息管理系统、指掌纹自动识别系统及广西刑侦基础工作情报信息管理应用系统的具体运维工作，包含：日常维护、系统巡检、系统咨询服务、系统优化服务、应急保障、系统升级服务、数据服务、系统培训服务，以及保障业务正常所需的临时性运维工作。</w:t>
            </w:r>
          </w:p>
          <w:p w14:paraId="1931FB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（2）负责指纹建库工作，包含：建库环境准备及维护、数据准备、指纹数据整理、指纹卡片扫描、指纹切割、电子卡备份、重卡管理等。</w:t>
            </w:r>
          </w:p>
        </w:tc>
        <w:tc>
          <w:tcPr>
            <w:tcW w:w="795" w:type="dxa"/>
            <w:vAlign w:val="center"/>
          </w:tcPr>
          <w:p w14:paraId="3CB81E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688649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4DA68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96F35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H-8至H-9 </w:t>
            </w:r>
            <w:r>
              <w:rPr>
                <w:rFonts w:hint="eastAsia" w:ascii="宋体" w:hAnsi="宋体" w:eastAsia="宋体" w:cs="宋体"/>
                <w:color w:val="000000" w:themeColor="text1"/>
                <w:kern w:val="2"/>
                <w:sz w:val="21"/>
                <w:szCs w:val="21"/>
                <w:highlight w:val="none"/>
                <w14:textFill>
                  <w14:solidFill>
                    <w14:schemeClr w14:val="tx1"/>
                  </w14:solidFill>
                </w14:textFill>
              </w:rPr>
              <w:t>系统</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09AA35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p>
        </w:tc>
        <w:tc>
          <w:tcPr>
            <w:tcW w:w="4525" w:type="dxa"/>
            <w:vAlign w:val="top"/>
          </w:tcPr>
          <w:p w14:paraId="755921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以上学历；</w:t>
            </w:r>
          </w:p>
          <w:p w14:paraId="7D53EE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具有计算机相关认证证书者优先；</w:t>
            </w:r>
          </w:p>
          <w:p w14:paraId="2168DA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至少含1年计算机行业客户服务协调工作经验；</w:t>
            </w:r>
          </w:p>
          <w:p w14:paraId="46040D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负责系统相关的数据抽取、指纹数据上报、案件数据上报、服务器巡检、版本更新、业务指导以及采购人指派的相关工作。</w:t>
            </w:r>
          </w:p>
        </w:tc>
        <w:tc>
          <w:tcPr>
            <w:tcW w:w="795" w:type="dxa"/>
            <w:vAlign w:val="center"/>
          </w:tcPr>
          <w:p w14:paraId="58CB06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277EE3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78BB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8BE48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H-8至H-9 </w:t>
            </w:r>
            <w:r>
              <w:rPr>
                <w:rFonts w:hint="eastAsia" w:ascii="宋体" w:hAnsi="宋体" w:eastAsia="宋体" w:cs="宋体"/>
                <w:color w:val="000000" w:themeColor="text1"/>
                <w:kern w:val="2"/>
                <w:sz w:val="21"/>
                <w:szCs w:val="21"/>
                <w:highlight w:val="none"/>
                <w14:textFill>
                  <w14:solidFill>
                    <w14:schemeClr w14:val="tx1"/>
                  </w14:solidFill>
                </w14:textFill>
              </w:rPr>
              <w:t>系统</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非驻场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0C28BD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default" w:ascii="宋体" w:hAnsi="宋体" w:eastAsia="宋体" w:cs="宋体"/>
                <w:color w:val="000000" w:themeColor="text1"/>
                <w:kern w:val="2"/>
                <w:sz w:val="21"/>
                <w:szCs w:val="21"/>
                <w:highlight w:val="none"/>
                <w:lang w:val="en-US"/>
                <w14:textFill>
                  <w14:solidFill>
                    <w14:schemeClr w14:val="tx1"/>
                  </w14:solidFill>
                </w14:textFill>
              </w:rPr>
              <w:t>2</w:t>
            </w:r>
          </w:p>
        </w:tc>
        <w:tc>
          <w:tcPr>
            <w:tcW w:w="4525" w:type="dxa"/>
            <w:vAlign w:val="top"/>
          </w:tcPr>
          <w:p w14:paraId="0E12D3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以上学历；</w:t>
            </w:r>
          </w:p>
          <w:p w14:paraId="3A90DB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具有计算机相关认证证书者优先；</w:t>
            </w:r>
          </w:p>
          <w:p w14:paraId="174CAF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至少含1年计算机行业客户服务协调工作经验；</w:t>
            </w:r>
          </w:p>
          <w:p w14:paraId="5AE212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负责解决系统用户报修的相关运维问题、并辅助其它运维人员完成采购人指派的相关工作。</w:t>
            </w:r>
          </w:p>
        </w:tc>
        <w:tc>
          <w:tcPr>
            <w:tcW w:w="795" w:type="dxa"/>
            <w:vAlign w:val="center"/>
          </w:tcPr>
          <w:p w14:paraId="3F8ADC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64966D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5A2B1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30D2F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H-10至H-11 </w:t>
            </w:r>
            <w:r>
              <w:rPr>
                <w:rFonts w:hint="eastAsia" w:ascii="宋体" w:hAnsi="宋体" w:eastAsia="宋体" w:cs="宋体"/>
                <w:color w:val="000000" w:themeColor="text1"/>
                <w:kern w:val="2"/>
                <w:sz w:val="21"/>
                <w:szCs w:val="21"/>
                <w:highlight w:val="none"/>
                <w14:textFill>
                  <w14:solidFill>
                    <w14:schemeClr w14:val="tx1"/>
                  </w14:solidFill>
                </w14:textFill>
              </w:rPr>
              <w:t>系统</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非驻场</w:t>
            </w:r>
            <w:r>
              <w:rPr>
                <w:rFonts w:hint="eastAsia" w:ascii="宋体" w:hAnsi="宋体" w:eastAsia="宋体" w:cs="宋体"/>
                <w:color w:val="000000" w:themeColor="text1"/>
                <w:kern w:val="2"/>
                <w:sz w:val="21"/>
                <w:szCs w:val="21"/>
                <w:highlight w:val="none"/>
                <w14:textFill>
                  <w14:solidFill>
                    <w14:schemeClr w14:val="tx1"/>
                  </w14:solidFill>
                </w14:textFill>
              </w:rPr>
              <w:t>运维工程师</w:t>
            </w:r>
          </w:p>
        </w:tc>
        <w:tc>
          <w:tcPr>
            <w:tcW w:w="690" w:type="dxa"/>
            <w:vAlign w:val="center"/>
          </w:tcPr>
          <w:p w14:paraId="40CFD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top"/>
          </w:tcPr>
          <w:p w14:paraId="0A0E2D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以上学历；</w:t>
            </w:r>
          </w:p>
          <w:p w14:paraId="6ECA9D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7881BA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至少含1年计算机行业客户服务协调工作经验；</w:t>
            </w:r>
          </w:p>
          <w:p w14:paraId="50A1A7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熟悉掌握Linux、Oracle数据库、Mon</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eastAsia="宋体" w:cs="宋体"/>
                <w:color w:val="000000" w:themeColor="text1"/>
                <w:kern w:val="2"/>
                <w:sz w:val="21"/>
                <w:szCs w:val="21"/>
                <w:highlight w:val="none"/>
                <w14:textFill>
                  <w14:solidFill>
                    <w14:schemeClr w14:val="tx1"/>
                  </w14:solidFill>
                </w14:textFill>
              </w:rPr>
              <w:t>oDB数据库、犯罪信息拼图系统、情报分析研判方法。具备网络故障排除、应用故障定位、善于沟通、良好的服务意识。并需常年在公安网环境办公，接到用户报障后能马上做出响应，能通过公安网，远程解除系统故障。</w:t>
            </w:r>
          </w:p>
        </w:tc>
        <w:tc>
          <w:tcPr>
            <w:tcW w:w="795" w:type="dxa"/>
            <w:vAlign w:val="center"/>
          </w:tcPr>
          <w:p w14:paraId="587EDB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1A0DB0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378F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DF18AA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H-12 系统驻场运维工程师</w:t>
            </w:r>
          </w:p>
        </w:tc>
        <w:tc>
          <w:tcPr>
            <w:tcW w:w="690" w:type="dxa"/>
            <w:vAlign w:val="center"/>
          </w:tcPr>
          <w:p w14:paraId="5F28D9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6EEDC0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本科及以上学历或同等学历；</w:t>
            </w:r>
          </w:p>
          <w:p w14:paraId="3150D5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无；</w:t>
            </w:r>
          </w:p>
          <w:p w14:paraId="74FEB8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含1年运维系统经验；</w:t>
            </w:r>
          </w:p>
          <w:p w14:paraId="08D03F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系统运维工作。</w:t>
            </w:r>
          </w:p>
        </w:tc>
        <w:tc>
          <w:tcPr>
            <w:tcW w:w="795" w:type="dxa"/>
            <w:vAlign w:val="center"/>
          </w:tcPr>
          <w:p w14:paraId="4A80DE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是</w:t>
            </w:r>
          </w:p>
        </w:tc>
        <w:tc>
          <w:tcPr>
            <w:tcW w:w="1090" w:type="dxa"/>
            <w:vAlign w:val="center"/>
          </w:tcPr>
          <w:p w14:paraId="1A95F2B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5*8小时，按采购人工作时间要求到岗</w:t>
            </w:r>
          </w:p>
        </w:tc>
      </w:tr>
      <w:tr w14:paraId="3620F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C74B5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H-12 系统非驻场运维工程师</w:t>
            </w:r>
          </w:p>
        </w:tc>
        <w:tc>
          <w:tcPr>
            <w:tcW w:w="690" w:type="dxa"/>
            <w:vAlign w:val="center"/>
          </w:tcPr>
          <w:p w14:paraId="680B94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4777D9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本科及以上学历或同等学历；</w:t>
            </w:r>
          </w:p>
          <w:p w14:paraId="4ECCAF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无；</w:t>
            </w:r>
          </w:p>
          <w:p w14:paraId="3B1820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含1年运维系统经验；</w:t>
            </w:r>
          </w:p>
          <w:p w14:paraId="1CD2AC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系统运维工作。</w:t>
            </w:r>
          </w:p>
        </w:tc>
        <w:tc>
          <w:tcPr>
            <w:tcW w:w="795" w:type="dxa"/>
            <w:vAlign w:val="center"/>
          </w:tcPr>
          <w:p w14:paraId="5F477C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否</w:t>
            </w:r>
          </w:p>
        </w:tc>
        <w:tc>
          <w:tcPr>
            <w:tcW w:w="1090" w:type="dxa"/>
            <w:vAlign w:val="center"/>
          </w:tcPr>
          <w:p w14:paraId="0A9E8D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根据采购人具体需要提供技术支持</w:t>
            </w:r>
          </w:p>
        </w:tc>
      </w:tr>
      <w:tr w14:paraId="3C84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A54E6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H-13 非驻场运维工程师</w:t>
            </w:r>
          </w:p>
        </w:tc>
        <w:tc>
          <w:tcPr>
            <w:tcW w:w="690" w:type="dxa"/>
            <w:vAlign w:val="center"/>
          </w:tcPr>
          <w:p w14:paraId="40BB3F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4AE174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本科及以上学历或同等学历；</w:t>
            </w:r>
          </w:p>
          <w:p w14:paraId="3BE0BE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无；</w:t>
            </w:r>
          </w:p>
          <w:p w14:paraId="388A08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服务信息化系统运维、实施需达到5年以上具备计算机行业客户服务工作经验；</w:t>
            </w:r>
          </w:p>
          <w:p w14:paraId="642698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具备网络故障排除、应用故障定位、善于沟通、良好的服务意识。并需常年在公安网环境办公，接到用户报障后能马上做出响应，能通过公安网解除系统故障。</w:t>
            </w:r>
          </w:p>
        </w:tc>
        <w:tc>
          <w:tcPr>
            <w:tcW w:w="795" w:type="dxa"/>
            <w:vAlign w:val="center"/>
          </w:tcPr>
          <w:p w14:paraId="2C4EEF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否</w:t>
            </w:r>
          </w:p>
        </w:tc>
        <w:tc>
          <w:tcPr>
            <w:tcW w:w="1090" w:type="dxa"/>
            <w:vAlign w:val="center"/>
          </w:tcPr>
          <w:p w14:paraId="78FB98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根据采购人具体需要提供技术支持</w:t>
            </w:r>
          </w:p>
        </w:tc>
      </w:tr>
      <w:tr w14:paraId="5AD1E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BB5C9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H-13 非驻场运维工程师</w:t>
            </w:r>
          </w:p>
        </w:tc>
        <w:tc>
          <w:tcPr>
            <w:tcW w:w="690" w:type="dxa"/>
            <w:vAlign w:val="center"/>
          </w:tcPr>
          <w:p w14:paraId="52A541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2894829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本科及以上学历或同等学历；</w:t>
            </w:r>
          </w:p>
          <w:p w14:paraId="144B91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无；</w:t>
            </w:r>
          </w:p>
          <w:p w14:paraId="4E7458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服务信息化系统运维、实施需达到5年以上具备计算机行业客户服务工作经验；</w:t>
            </w:r>
          </w:p>
          <w:p w14:paraId="087E70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具备网络故障排除、网络传输问题排查，主要服务广西刑事技术综合管理比对子系统互联网数据传输故障排查。</w:t>
            </w:r>
          </w:p>
        </w:tc>
        <w:tc>
          <w:tcPr>
            <w:tcW w:w="795" w:type="dxa"/>
            <w:vAlign w:val="center"/>
          </w:tcPr>
          <w:p w14:paraId="168FAE5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否</w:t>
            </w:r>
          </w:p>
        </w:tc>
        <w:tc>
          <w:tcPr>
            <w:tcW w:w="1090" w:type="dxa"/>
            <w:vAlign w:val="center"/>
          </w:tcPr>
          <w:p w14:paraId="338D3F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根据采购人具体需要提供技术支持</w:t>
            </w:r>
          </w:p>
        </w:tc>
      </w:tr>
      <w:tr w14:paraId="2C7B1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A89BCE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H-14 驻场工程师</w:t>
            </w:r>
          </w:p>
        </w:tc>
        <w:tc>
          <w:tcPr>
            <w:tcW w:w="690" w:type="dxa"/>
            <w:vAlign w:val="center"/>
          </w:tcPr>
          <w:p w14:paraId="7CB6C2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00A35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大学专科及以上计算机类专业学历或同等学学历；</w:t>
            </w:r>
          </w:p>
          <w:p w14:paraId="0DF7A5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无；</w:t>
            </w:r>
          </w:p>
          <w:p w14:paraId="62AC65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驻场工程师需具备2年（含）以上同类系统维护经验和技术能力；</w:t>
            </w:r>
          </w:p>
          <w:p w14:paraId="603764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负责广西声纹数据库的日常维护。</w:t>
            </w:r>
          </w:p>
        </w:tc>
        <w:tc>
          <w:tcPr>
            <w:tcW w:w="795" w:type="dxa"/>
            <w:vAlign w:val="center"/>
          </w:tcPr>
          <w:p w14:paraId="70218A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是</w:t>
            </w:r>
          </w:p>
        </w:tc>
        <w:tc>
          <w:tcPr>
            <w:tcW w:w="1090" w:type="dxa"/>
            <w:vAlign w:val="center"/>
          </w:tcPr>
          <w:p w14:paraId="130ED8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5*8小时，按采购人工作时间要求到岗</w:t>
            </w:r>
          </w:p>
        </w:tc>
      </w:tr>
      <w:tr w14:paraId="3B67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0106DB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J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3021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D910A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547BE51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6489EB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402C46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4C80C6B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3C6A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15B209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J-1 </w:t>
            </w:r>
            <w:r>
              <w:rPr>
                <w:rFonts w:hint="eastAsia" w:ascii="宋体" w:hAnsi="宋体" w:eastAsia="宋体" w:cs="宋体"/>
                <w:color w:val="000000" w:themeColor="text1"/>
                <w:kern w:val="2"/>
                <w:sz w:val="21"/>
                <w:szCs w:val="21"/>
                <w:highlight w:val="none"/>
                <w14:textFill>
                  <w14:solidFill>
                    <w14:schemeClr w14:val="tx1"/>
                  </w14:solidFill>
                </w14:textFill>
              </w:rPr>
              <w:t>平台</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700439C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5F7554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大学专科以上（含大学专科）；</w:t>
            </w:r>
          </w:p>
          <w:p w14:paraId="53A85B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368A75E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有从事相关行业软件设计、开发等工作经历3年以上（含3年）；</w:t>
            </w:r>
          </w:p>
          <w:p w14:paraId="2B0FF9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负责广西公安监管信息综合平台维护。</w:t>
            </w:r>
          </w:p>
        </w:tc>
        <w:tc>
          <w:tcPr>
            <w:tcW w:w="795" w:type="dxa"/>
            <w:vAlign w:val="center"/>
          </w:tcPr>
          <w:p w14:paraId="341609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75212A3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按采购人工作时间要求到岗</w:t>
            </w:r>
          </w:p>
        </w:tc>
      </w:tr>
      <w:tr w14:paraId="291F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78312C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J-2 平台驻场工程师</w:t>
            </w:r>
          </w:p>
        </w:tc>
        <w:tc>
          <w:tcPr>
            <w:tcW w:w="690" w:type="dxa"/>
            <w:vAlign w:val="center"/>
          </w:tcPr>
          <w:p w14:paraId="585901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5752B8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本科及以上学历或同等学历；</w:t>
            </w:r>
          </w:p>
          <w:p w14:paraId="18B802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具有计算机相关认证证书；</w:t>
            </w:r>
          </w:p>
          <w:p w14:paraId="2BC703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至少3年以上相关系统运维经验；</w:t>
            </w:r>
          </w:p>
          <w:p w14:paraId="735AB1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为广西公安监管实战应用平台提供运维服务。</w:t>
            </w:r>
          </w:p>
        </w:tc>
        <w:tc>
          <w:tcPr>
            <w:tcW w:w="795" w:type="dxa"/>
            <w:vAlign w:val="center"/>
          </w:tcPr>
          <w:p w14:paraId="3BA79A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7F30A2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按采购人工作时间要求到岗</w:t>
            </w:r>
          </w:p>
        </w:tc>
      </w:tr>
      <w:tr w14:paraId="1DBB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276499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J-3 系统驻场工程师</w:t>
            </w:r>
          </w:p>
        </w:tc>
        <w:tc>
          <w:tcPr>
            <w:tcW w:w="690" w:type="dxa"/>
            <w:vAlign w:val="center"/>
          </w:tcPr>
          <w:p w14:paraId="0B465A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13A226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大专/本科及以上学历或同等学历；</w:t>
            </w:r>
          </w:p>
          <w:p w14:paraId="0DE385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无；</w:t>
            </w:r>
          </w:p>
          <w:p w14:paraId="6C000A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多年驻场工作经验；</w:t>
            </w:r>
          </w:p>
          <w:p w14:paraId="429CA2B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驻场运维。</w:t>
            </w:r>
          </w:p>
        </w:tc>
        <w:tc>
          <w:tcPr>
            <w:tcW w:w="795" w:type="dxa"/>
            <w:vAlign w:val="center"/>
          </w:tcPr>
          <w:p w14:paraId="2BBE23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706FAD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14:textFill>
                  <w14:solidFill>
                    <w14:schemeClr w14:val="tx1"/>
                  </w14:solidFill>
                </w14:textFill>
              </w:rPr>
              <w:t>按采购人工作时间要求到岗</w:t>
            </w:r>
          </w:p>
        </w:tc>
      </w:tr>
      <w:tr w14:paraId="4EA14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1D34BD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K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415B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6AFC7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004B881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0C528D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11F12F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58EFB7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028E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F918D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K-1 </w:t>
            </w:r>
            <w:r>
              <w:rPr>
                <w:rFonts w:hint="eastAsia" w:ascii="宋体" w:hAnsi="宋体" w:eastAsia="宋体" w:cs="宋体"/>
                <w:color w:val="000000" w:themeColor="text1"/>
                <w:kern w:val="2"/>
                <w:sz w:val="21"/>
                <w:szCs w:val="21"/>
                <w:highlight w:val="none"/>
                <w14:textFill>
                  <w14:solidFill>
                    <w14:schemeClr w14:val="tx1"/>
                  </w14:solidFill>
                </w14:textFill>
              </w:rPr>
              <w:t>系统</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非驻场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p>
        </w:tc>
        <w:tc>
          <w:tcPr>
            <w:tcW w:w="690" w:type="dxa"/>
            <w:vAlign w:val="center"/>
          </w:tcPr>
          <w:p w14:paraId="47ED98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3A6CB2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655300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具有软件开发类同级别或以上认证优先；</w:t>
            </w:r>
          </w:p>
          <w:p w14:paraId="782681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要求3年以上（含）信息系统软件开发与数据资源维护经验；</w:t>
            </w:r>
          </w:p>
          <w:p w14:paraId="2D1199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提供一、二线技术支持服务。</w:t>
            </w:r>
          </w:p>
        </w:tc>
        <w:tc>
          <w:tcPr>
            <w:tcW w:w="795" w:type="dxa"/>
            <w:vAlign w:val="center"/>
          </w:tcPr>
          <w:p w14:paraId="5D7D3F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05EC2F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0"/>
                <w:sz w:val="21"/>
                <w:szCs w:val="21"/>
                <w:highlight w:val="none"/>
                <w14:textFill>
                  <w14:solidFill>
                    <w14:schemeClr w14:val="tx1"/>
                  </w14:solidFill>
                </w14:textFill>
              </w:rPr>
              <w:t>提供技术支持</w:t>
            </w:r>
          </w:p>
        </w:tc>
      </w:tr>
      <w:tr w14:paraId="4CE3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649D2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K-2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驻场</w:t>
            </w:r>
            <w:r>
              <w:rPr>
                <w:rFonts w:hint="eastAsia" w:ascii="宋体" w:hAnsi="宋体" w:eastAsia="宋体" w:cs="宋体"/>
                <w:color w:val="000000" w:themeColor="text1"/>
                <w:kern w:val="2"/>
                <w:sz w:val="21"/>
                <w:szCs w:val="21"/>
                <w:highlight w:val="none"/>
                <w14:textFill>
                  <w14:solidFill>
                    <w14:schemeClr w14:val="tx1"/>
                  </w14:solidFill>
                </w14:textFill>
              </w:rPr>
              <w:t>工程师（兼项目主管）</w:t>
            </w:r>
          </w:p>
        </w:tc>
        <w:tc>
          <w:tcPr>
            <w:tcW w:w="690" w:type="dxa"/>
            <w:vAlign w:val="center"/>
          </w:tcPr>
          <w:p w14:paraId="5BBC51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32F7ED5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大专</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3313C4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具有软件开发类同级别或以上认证优先；</w:t>
            </w:r>
          </w:p>
          <w:p w14:paraId="4B2B71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要求含1年以上信息系统软件开发与数据资源维护经验；</w:t>
            </w:r>
          </w:p>
          <w:p w14:paraId="31907F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提供本项目的BU</w:t>
            </w:r>
            <w:r>
              <w:rPr>
                <w:rFonts w:hint="eastAsia" w:ascii="宋体" w:hAnsi="宋体" w:eastAsia="宋体" w:cs="宋体"/>
                <w:color w:val="000000" w:themeColor="text1"/>
                <w:kern w:val="2"/>
                <w:sz w:val="21"/>
                <w:szCs w:val="21"/>
                <w:highlight w:val="none"/>
                <w:lang w:eastAsia="zh-CN"/>
                <w14:textFill>
                  <w14:solidFill>
                    <w14:schemeClr w14:val="tx1"/>
                  </w14:solidFill>
                </w14:textFill>
              </w:rPr>
              <w:t>G</w:t>
            </w:r>
            <w:r>
              <w:rPr>
                <w:rFonts w:hint="eastAsia" w:ascii="宋体" w:hAnsi="宋体" w:eastAsia="宋体" w:cs="宋体"/>
                <w:color w:val="000000" w:themeColor="text1"/>
                <w:kern w:val="2"/>
                <w:sz w:val="21"/>
                <w:szCs w:val="21"/>
                <w:highlight w:val="none"/>
                <w14:textFill>
                  <w14:solidFill>
                    <w14:schemeClr w14:val="tx1"/>
                  </w14:solidFill>
                </w14:textFill>
              </w:rPr>
              <w:t>及系统二次开发工作等技术支持服务。</w:t>
            </w:r>
          </w:p>
        </w:tc>
        <w:tc>
          <w:tcPr>
            <w:tcW w:w="795" w:type="dxa"/>
            <w:vAlign w:val="center"/>
          </w:tcPr>
          <w:p w14:paraId="3D7450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58CFF4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046E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EA306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K-2 </w:t>
            </w:r>
            <w:r>
              <w:rPr>
                <w:rFonts w:hint="eastAsia" w:ascii="宋体" w:hAnsi="宋体" w:eastAsia="宋体" w:cs="宋体"/>
                <w:color w:val="000000" w:themeColor="text1"/>
                <w:kern w:val="2"/>
                <w:sz w:val="21"/>
                <w:szCs w:val="21"/>
                <w:highlight w:val="none"/>
                <w14:textFill>
                  <w14:solidFill>
                    <w14:schemeClr w14:val="tx1"/>
                  </w14:solidFill>
                </w14:textFill>
              </w:rPr>
              <w:t>技术运维工程师</w:t>
            </w:r>
          </w:p>
        </w:tc>
        <w:tc>
          <w:tcPr>
            <w:tcW w:w="690" w:type="dxa"/>
            <w:vAlign w:val="center"/>
          </w:tcPr>
          <w:p w14:paraId="0BFA11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37256A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大专</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7BA8182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具有软件开发类同级别或以上认证优先；</w:t>
            </w:r>
          </w:p>
          <w:p w14:paraId="166DB8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要求含1年以上信息系统软件开发与数据资源维护经验；</w:t>
            </w:r>
          </w:p>
          <w:p w14:paraId="7F667F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提供一、二线技术支持服务。</w:t>
            </w:r>
          </w:p>
        </w:tc>
        <w:tc>
          <w:tcPr>
            <w:tcW w:w="795" w:type="dxa"/>
            <w:vAlign w:val="center"/>
          </w:tcPr>
          <w:p w14:paraId="530A94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78E79A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根据</w:t>
            </w:r>
            <w:r>
              <w:rPr>
                <w:rFonts w:hint="eastAsia" w:ascii="宋体" w:hAnsi="宋体" w:eastAsia="宋体" w:cs="宋体"/>
                <w:color w:val="000000" w:themeColor="text1"/>
                <w:kern w:val="2"/>
                <w:sz w:val="21"/>
                <w:szCs w:val="21"/>
                <w:highlight w:val="none"/>
                <w14:textFill>
                  <w14:solidFill>
                    <w14:schemeClr w14:val="tx1"/>
                  </w14:solidFill>
                </w14:textFill>
              </w:rPr>
              <w:t>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3DA15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AA690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K-3 </w:t>
            </w:r>
            <w:r>
              <w:rPr>
                <w:rFonts w:hint="eastAsia" w:ascii="宋体" w:hAnsi="宋体" w:eastAsia="宋体" w:cs="宋体"/>
                <w:color w:val="000000" w:themeColor="text1"/>
                <w:kern w:val="2"/>
                <w:sz w:val="21"/>
                <w:szCs w:val="21"/>
                <w:highlight w:val="none"/>
                <w14:textFill>
                  <w14:solidFill>
                    <w14:schemeClr w14:val="tx1"/>
                  </w14:solidFill>
                </w14:textFill>
              </w:rPr>
              <w:t>平台运维工程师</w:t>
            </w:r>
          </w:p>
        </w:tc>
        <w:tc>
          <w:tcPr>
            <w:tcW w:w="690" w:type="dxa"/>
            <w:vAlign w:val="center"/>
          </w:tcPr>
          <w:p w14:paraId="2AF90C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w:t>
            </w:r>
          </w:p>
        </w:tc>
        <w:tc>
          <w:tcPr>
            <w:tcW w:w="4525" w:type="dxa"/>
            <w:vAlign w:val="center"/>
          </w:tcPr>
          <w:p w14:paraId="4A84FDA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0D3A8F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大数据平台认证数据工程师的优先；</w:t>
            </w:r>
          </w:p>
          <w:p w14:paraId="38948D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要求含2年以上信息系统软件开发与数据资源维护经验、熟悉oracle、hadoop大数据软件平台；</w:t>
            </w:r>
          </w:p>
          <w:p w14:paraId="6E2EB2C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提供一、二线技术支持服务。</w:t>
            </w:r>
          </w:p>
        </w:tc>
        <w:tc>
          <w:tcPr>
            <w:tcW w:w="795" w:type="dxa"/>
            <w:vAlign w:val="center"/>
          </w:tcPr>
          <w:p w14:paraId="4246D9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480EEF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340E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175A1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K-3 </w:t>
            </w:r>
            <w:r>
              <w:rPr>
                <w:rFonts w:hint="eastAsia" w:ascii="宋体" w:hAnsi="宋体" w:eastAsia="宋体" w:cs="宋体"/>
                <w:color w:val="000000" w:themeColor="text1"/>
                <w:kern w:val="2"/>
                <w:sz w:val="21"/>
                <w:szCs w:val="21"/>
                <w:highlight w:val="none"/>
                <w14:textFill>
                  <w14:solidFill>
                    <w14:schemeClr w14:val="tx1"/>
                  </w14:solidFill>
                </w14:textFill>
              </w:rPr>
              <w:t>平台运维工程师</w:t>
            </w:r>
          </w:p>
        </w:tc>
        <w:tc>
          <w:tcPr>
            <w:tcW w:w="690" w:type="dxa"/>
            <w:vAlign w:val="center"/>
          </w:tcPr>
          <w:p w14:paraId="210DEC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71BE62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027060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大数据平台认证数据工程师的优先；</w:t>
            </w:r>
          </w:p>
          <w:p w14:paraId="1419CD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要求含2年以上信息系统软件开发与数据资源维护经验、熟悉oracle、hadoop大数据软件平台；</w:t>
            </w:r>
          </w:p>
          <w:p w14:paraId="56CBA6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提供一、二线技术支持服务，1小时内运维服务响应。</w:t>
            </w:r>
          </w:p>
        </w:tc>
        <w:tc>
          <w:tcPr>
            <w:tcW w:w="795" w:type="dxa"/>
            <w:vAlign w:val="center"/>
          </w:tcPr>
          <w:p w14:paraId="41A3FE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54F380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6010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059C5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K-4至K-5 </w:t>
            </w:r>
            <w:r>
              <w:rPr>
                <w:rFonts w:hint="eastAsia" w:ascii="宋体" w:hAnsi="宋体" w:eastAsia="宋体" w:cs="宋体"/>
                <w:color w:val="000000" w:themeColor="text1"/>
                <w:kern w:val="2"/>
                <w:sz w:val="21"/>
                <w:szCs w:val="21"/>
                <w:highlight w:val="none"/>
                <w14:textFill>
                  <w14:solidFill>
                    <w14:schemeClr w14:val="tx1"/>
                  </w14:solidFill>
                </w14:textFill>
              </w:rPr>
              <w:t>系统驻场运维工程师</w:t>
            </w:r>
          </w:p>
        </w:tc>
        <w:tc>
          <w:tcPr>
            <w:tcW w:w="690" w:type="dxa"/>
            <w:vAlign w:val="center"/>
          </w:tcPr>
          <w:p w14:paraId="782241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w:t>
            </w:r>
          </w:p>
        </w:tc>
        <w:tc>
          <w:tcPr>
            <w:tcW w:w="4525" w:type="dxa"/>
            <w:vAlign w:val="center"/>
          </w:tcPr>
          <w:p w14:paraId="2EA4D8C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0E7F26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7FD174F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要求必须非常熟悉交警业务，并具有相关软件运维项目经验；</w:t>
            </w:r>
          </w:p>
          <w:p w14:paraId="698FC6A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提供一、二线技术支持服务，包括交通违法罚款银行对账系统、其它应用系统。</w:t>
            </w:r>
          </w:p>
        </w:tc>
        <w:tc>
          <w:tcPr>
            <w:tcW w:w="795" w:type="dxa"/>
            <w:vAlign w:val="center"/>
          </w:tcPr>
          <w:p w14:paraId="3D4EB6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273AC0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26755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1D2CD2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K-4至K-5 </w:t>
            </w:r>
            <w:r>
              <w:rPr>
                <w:rFonts w:hint="eastAsia" w:ascii="宋体" w:hAnsi="宋体" w:eastAsia="宋体" w:cs="宋体"/>
                <w:color w:val="000000" w:themeColor="text1"/>
                <w:kern w:val="2"/>
                <w:sz w:val="21"/>
                <w:szCs w:val="21"/>
                <w:highlight w:val="none"/>
                <w14:textFill>
                  <w14:solidFill>
                    <w14:schemeClr w14:val="tx1"/>
                  </w14:solidFill>
                </w14:textFill>
              </w:rPr>
              <w:t>系统运维工程师</w:t>
            </w:r>
          </w:p>
        </w:tc>
        <w:tc>
          <w:tcPr>
            <w:tcW w:w="690" w:type="dxa"/>
            <w:vAlign w:val="center"/>
          </w:tcPr>
          <w:p w14:paraId="29DE86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17CDF2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71BDAA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4BED36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要求必须非常熟悉交警业务，并具有相关软件运维项目经验；</w:t>
            </w:r>
          </w:p>
          <w:p w14:paraId="3971E4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系统、数据库、中间件等维护、日常维护、平台业务功能、参数配置、数据交换等专业维护、故障处理及核心业务数据维护、系统巡检及日常技术咨询业务答疑服务，系统包括交通违法罚款银行对账系统、其它应用系统。</w:t>
            </w:r>
          </w:p>
        </w:tc>
        <w:tc>
          <w:tcPr>
            <w:tcW w:w="795" w:type="dxa"/>
            <w:vAlign w:val="center"/>
          </w:tcPr>
          <w:p w14:paraId="604AED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3E9DA71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4EB3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409" w:type="dxa"/>
            <w:vAlign w:val="center"/>
          </w:tcPr>
          <w:p w14:paraId="4C516B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K-8 </w:t>
            </w:r>
            <w:r>
              <w:rPr>
                <w:rFonts w:hint="eastAsia" w:ascii="宋体" w:hAnsi="宋体" w:eastAsia="宋体" w:cs="宋体"/>
                <w:color w:val="000000" w:themeColor="text1"/>
                <w:kern w:val="2"/>
                <w:sz w:val="21"/>
                <w:szCs w:val="21"/>
                <w:highlight w:val="none"/>
                <w14:textFill>
                  <w14:solidFill>
                    <w14:schemeClr w14:val="tx1"/>
                  </w14:solidFill>
                </w14:textFill>
              </w:rPr>
              <w:t>系统运维工程师</w:t>
            </w:r>
          </w:p>
        </w:tc>
        <w:tc>
          <w:tcPr>
            <w:tcW w:w="690" w:type="dxa"/>
            <w:vAlign w:val="center"/>
          </w:tcPr>
          <w:p w14:paraId="743307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w:t>
            </w:r>
          </w:p>
        </w:tc>
        <w:tc>
          <w:tcPr>
            <w:tcW w:w="4525" w:type="dxa"/>
            <w:vAlign w:val="center"/>
          </w:tcPr>
          <w:p w14:paraId="5EB089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r>
              <w:rPr>
                <w:rFonts w:hint="eastAsia" w:ascii="宋体" w:hAnsi="宋体" w:eastAsia="宋体" w:cs="宋体"/>
                <w:bCs/>
                <w:color w:val="000000" w:themeColor="text1"/>
                <w:kern w:val="2"/>
                <w:sz w:val="21"/>
                <w:szCs w:val="24"/>
                <w:highlight w:val="none"/>
                <w14:textFill>
                  <w14:solidFill>
                    <w14:schemeClr w14:val="tx1"/>
                  </w14:solidFill>
                </w14:textFill>
              </w:rPr>
              <w:t>；</w:t>
            </w:r>
          </w:p>
          <w:p w14:paraId="6AD61E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具有计算机相关认证证书者优先；</w:t>
            </w:r>
          </w:p>
          <w:p w14:paraId="3FD5B7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color w:val="000000" w:themeColor="text1"/>
                <w:kern w:val="0"/>
                <w:sz w:val="21"/>
                <w:szCs w:val="21"/>
                <w:highlight w:val="none"/>
                <w14:textFill>
                  <w14:solidFill>
                    <w14:schemeClr w14:val="tx1"/>
                  </w14:solidFill>
                </w14:textFill>
              </w:rPr>
              <w:t>需要有1年以上的相关运维工作经验，</w:t>
            </w:r>
          </w:p>
          <w:p w14:paraId="20EC82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为农村道路交通安全管理信息系统、事故快处快撤系统、两个教育系统</w:t>
            </w:r>
            <w:r>
              <w:rPr>
                <w:rFonts w:hint="eastAsia" w:ascii="宋体" w:hAnsi="宋体" w:eastAsia="宋体" w:cs="宋体"/>
                <w:color w:val="000000" w:themeColor="text1"/>
                <w:kern w:val="0"/>
                <w:sz w:val="21"/>
                <w:szCs w:val="21"/>
                <w:highlight w:val="none"/>
                <w14:textFill>
                  <w14:solidFill>
                    <w14:schemeClr w14:val="tx1"/>
                  </w14:solidFill>
                </w14:textFill>
              </w:rPr>
              <w:t>提供技术支持服务。</w:t>
            </w:r>
          </w:p>
        </w:tc>
        <w:tc>
          <w:tcPr>
            <w:tcW w:w="795" w:type="dxa"/>
            <w:vAlign w:val="center"/>
          </w:tcPr>
          <w:p w14:paraId="2EE7F0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4C865E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1DF08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7B4EEC6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K-9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平台</w:t>
            </w:r>
            <w:r>
              <w:rPr>
                <w:rFonts w:hint="eastAsia" w:ascii="宋体" w:hAnsi="宋体" w:eastAsia="宋体" w:cs="宋体"/>
                <w:color w:val="000000" w:themeColor="text1"/>
                <w:kern w:val="2"/>
                <w:sz w:val="21"/>
                <w:szCs w:val="21"/>
                <w:highlight w:val="none"/>
                <w14:textFill>
                  <w14:solidFill>
                    <w14:schemeClr w14:val="tx1"/>
                  </w14:solidFill>
                </w14:textFill>
              </w:rPr>
              <w:t>运维工程师</w:t>
            </w:r>
          </w:p>
        </w:tc>
        <w:tc>
          <w:tcPr>
            <w:tcW w:w="690" w:type="dxa"/>
            <w:vAlign w:val="center"/>
          </w:tcPr>
          <w:p w14:paraId="7AD9324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0774B4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r>
              <w:rPr>
                <w:rFonts w:hint="eastAsia" w:ascii="宋体" w:hAnsi="宋体" w:eastAsia="宋体" w:cs="宋体"/>
                <w:bCs/>
                <w:color w:val="000000" w:themeColor="text1"/>
                <w:kern w:val="2"/>
                <w:sz w:val="21"/>
                <w:szCs w:val="24"/>
                <w:highlight w:val="none"/>
                <w14:textFill>
                  <w14:solidFill>
                    <w14:schemeClr w14:val="tx1"/>
                  </w14:solidFill>
                </w14:textFill>
              </w:rPr>
              <w:t>；</w:t>
            </w:r>
          </w:p>
          <w:p w14:paraId="5341CE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具有计算机相关认证证书者优先；</w:t>
            </w:r>
          </w:p>
          <w:p w14:paraId="5D414C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color w:val="000000" w:themeColor="text1"/>
                <w:kern w:val="0"/>
                <w:sz w:val="21"/>
                <w:szCs w:val="21"/>
                <w:highlight w:val="none"/>
                <w14:textFill>
                  <w14:solidFill>
                    <w14:schemeClr w14:val="tx1"/>
                  </w14:solidFill>
                </w14:textFill>
              </w:rPr>
              <w:t>需要有1年以上的相关运维工作经验，</w:t>
            </w:r>
          </w:p>
          <w:p w14:paraId="70BDE7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为</w:t>
            </w:r>
            <w:r>
              <w:rPr>
                <w:rFonts w:hint="eastAsia" w:ascii="宋体" w:hAnsi="宋体" w:eastAsia="宋体" w:cs="宋体"/>
                <w:bCs/>
                <w:color w:val="000000" w:themeColor="text1"/>
                <w:kern w:val="2"/>
                <w:sz w:val="21"/>
                <w:szCs w:val="21"/>
                <w:highlight w:val="none"/>
                <w14:textFill>
                  <w14:solidFill>
                    <w14:schemeClr w14:val="tx1"/>
                  </w14:solidFill>
                </w14:textFill>
              </w:rPr>
              <w:t>车辆购置税完税证明和机动车销售发票信息共享交换平台</w:t>
            </w:r>
            <w:r>
              <w:rPr>
                <w:rFonts w:hint="eastAsia" w:ascii="宋体" w:hAnsi="宋体" w:eastAsia="宋体" w:cs="宋体"/>
                <w:color w:val="000000" w:themeColor="text1"/>
                <w:kern w:val="0"/>
                <w:sz w:val="21"/>
                <w:szCs w:val="21"/>
                <w:highlight w:val="none"/>
                <w14:textFill>
                  <w14:solidFill>
                    <w14:schemeClr w14:val="tx1"/>
                  </w14:solidFill>
                </w14:textFill>
              </w:rPr>
              <w:t>提供技术支持服务。</w:t>
            </w:r>
          </w:p>
        </w:tc>
        <w:tc>
          <w:tcPr>
            <w:tcW w:w="795" w:type="dxa"/>
            <w:vAlign w:val="center"/>
          </w:tcPr>
          <w:p w14:paraId="498490A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3407FD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2511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90169E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K-10 平台非驻场运维工程师</w:t>
            </w:r>
          </w:p>
        </w:tc>
        <w:tc>
          <w:tcPr>
            <w:tcW w:w="690" w:type="dxa"/>
            <w:vAlign w:val="center"/>
          </w:tcPr>
          <w:p w14:paraId="483A7B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4AABC1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大学专科及以上计算机类专业学历或同等学历；</w:t>
            </w:r>
          </w:p>
          <w:p w14:paraId="0FD549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无；</w:t>
            </w:r>
          </w:p>
          <w:p w14:paraId="79737E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要求熟悉交警业务，并具有相关软件运维项目经验；</w:t>
            </w:r>
          </w:p>
          <w:p w14:paraId="4365E3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提供系统、数据库、中间件等维护、日常维护、平台业务功能、参数配置、数据交换等专业维护、故障处理及核心业务数据维护、系统巡检及日常技术咨询业务答疑服务。</w:t>
            </w:r>
          </w:p>
        </w:tc>
        <w:tc>
          <w:tcPr>
            <w:tcW w:w="795" w:type="dxa"/>
            <w:vAlign w:val="center"/>
          </w:tcPr>
          <w:p w14:paraId="0B455D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否</w:t>
            </w:r>
          </w:p>
        </w:tc>
        <w:tc>
          <w:tcPr>
            <w:tcW w:w="1090" w:type="dxa"/>
            <w:vAlign w:val="center"/>
          </w:tcPr>
          <w:p w14:paraId="7D62B5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根据采购人具体需要提供技术支持</w:t>
            </w:r>
          </w:p>
        </w:tc>
      </w:tr>
      <w:tr w14:paraId="2FA3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0B876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K-11 驻场运维工程师</w:t>
            </w:r>
          </w:p>
        </w:tc>
        <w:tc>
          <w:tcPr>
            <w:tcW w:w="690" w:type="dxa"/>
            <w:vAlign w:val="center"/>
          </w:tcPr>
          <w:p w14:paraId="5B08B4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p>
        </w:tc>
        <w:tc>
          <w:tcPr>
            <w:tcW w:w="4525" w:type="dxa"/>
            <w:vAlign w:val="top"/>
          </w:tcPr>
          <w:p w14:paraId="4085C06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1、学历及工作年限要求：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大学本科以上学历；</w:t>
            </w:r>
          </w:p>
          <w:p w14:paraId="3A7D2C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2、工作经验要求：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至少含2年以上信息系统运维经验。</w:t>
            </w:r>
          </w:p>
          <w:p w14:paraId="254266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3、工作职责：</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负责广西公安厅交警总队防控体系指挥平台软件维护及故障处理。</w:t>
            </w:r>
          </w:p>
        </w:tc>
        <w:tc>
          <w:tcPr>
            <w:tcW w:w="795" w:type="dxa"/>
            <w:vAlign w:val="center"/>
          </w:tcPr>
          <w:p w14:paraId="386DEB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是</w:t>
            </w:r>
          </w:p>
        </w:tc>
        <w:tc>
          <w:tcPr>
            <w:tcW w:w="1090" w:type="dxa"/>
            <w:vAlign w:val="center"/>
          </w:tcPr>
          <w:p w14:paraId="0FA1B6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5*8小时，按采购人工作时间要求到岗</w:t>
            </w:r>
          </w:p>
        </w:tc>
      </w:tr>
      <w:tr w14:paraId="2991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2B471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K-11 网络及安全运维工程师</w:t>
            </w:r>
          </w:p>
        </w:tc>
        <w:tc>
          <w:tcPr>
            <w:tcW w:w="690" w:type="dxa"/>
            <w:vAlign w:val="center"/>
          </w:tcPr>
          <w:p w14:paraId="7F7753A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74B292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1、学历及工作年限要求：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大学本科以上学历；</w:t>
            </w:r>
          </w:p>
          <w:p w14:paraId="235EB0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2、工作经验要求：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至少含2年以上信息系统运维经验。</w:t>
            </w:r>
          </w:p>
          <w:p w14:paraId="27E128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3、工作职责：</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负责广西公安厅交警总队防控体系指挥平台软件维护及故障处理。</w:t>
            </w:r>
          </w:p>
        </w:tc>
        <w:tc>
          <w:tcPr>
            <w:tcW w:w="795" w:type="dxa"/>
            <w:vAlign w:val="center"/>
          </w:tcPr>
          <w:p w14:paraId="5850AA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否</w:t>
            </w:r>
          </w:p>
        </w:tc>
        <w:tc>
          <w:tcPr>
            <w:tcW w:w="1090" w:type="dxa"/>
            <w:vAlign w:val="center"/>
          </w:tcPr>
          <w:p w14:paraId="7E9DCAE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根据采购人具体需要提供技术支持</w:t>
            </w:r>
          </w:p>
        </w:tc>
      </w:tr>
      <w:tr w14:paraId="0F991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FF04D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K-11 驻场运维人员</w:t>
            </w:r>
          </w:p>
        </w:tc>
        <w:tc>
          <w:tcPr>
            <w:tcW w:w="690" w:type="dxa"/>
            <w:vAlign w:val="center"/>
          </w:tcPr>
          <w:p w14:paraId="582172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p>
        </w:tc>
        <w:tc>
          <w:tcPr>
            <w:tcW w:w="4525" w:type="dxa"/>
            <w:vAlign w:val="top"/>
          </w:tcPr>
          <w:p w14:paraId="114A34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1、学历及工作年限要求：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大学专科以上学历；</w:t>
            </w:r>
          </w:p>
          <w:p w14:paraId="46B9BC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2、工作经验要求：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至少含3年以上信息系统运维经验。</w:t>
            </w:r>
          </w:p>
          <w:p w14:paraId="2AAE760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3、工作职责：</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负责广西公安厅交警总队防控体系指挥平台业务管理、网站开发及维护工程师团队、项目跟进把控、产出物等运维管理服务。</w:t>
            </w:r>
          </w:p>
        </w:tc>
        <w:tc>
          <w:tcPr>
            <w:tcW w:w="795" w:type="dxa"/>
            <w:vAlign w:val="center"/>
          </w:tcPr>
          <w:p w14:paraId="63F7F5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否</w:t>
            </w:r>
          </w:p>
        </w:tc>
        <w:tc>
          <w:tcPr>
            <w:tcW w:w="1090" w:type="dxa"/>
            <w:vAlign w:val="center"/>
          </w:tcPr>
          <w:p w14:paraId="51D1D9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根据采购人具体需要提供技术支持</w:t>
            </w:r>
          </w:p>
        </w:tc>
      </w:tr>
      <w:tr w14:paraId="250B3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14318E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K-12至K-15 </w:t>
            </w:r>
            <w:r>
              <w:rPr>
                <w:rFonts w:hint="eastAsia" w:ascii="宋体" w:hAnsi="宋体" w:eastAsia="宋体" w:cs="宋体"/>
                <w:color w:val="000000" w:themeColor="text1"/>
                <w:kern w:val="2"/>
                <w:sz w:val="21"/>
                <w:szCs w:val="21"/>
                <w:highlight w:val="none"/>
                <w14:textFill>
                  <w14:solidFill>
                    <w14:schemeClr w14:val="tx1"/>
                  </w14:solidFill>
                </w14:textFill>
              </w:rPr>
              <w:t>系统维护项目助理</w:t>
            </w:r>
          </w:p>
        </w:tc>
        <w:tc>
          <w:tcPr>
            <w:tcW w:w="690" w:type="dxa"/>
            <w:vAlign w:val="center"/>
          </w:tcPr>
          <w:p w14:paraId="45D694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22774D5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大学本科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226BA7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34A61A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必须非常熟悉交警业务，并具有相关软件运维项目建设经验；</w:t>
            </w:r>
          </w:p>
          <w:p w14:paraId="21C834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按用户需求提供项目管理、流程管理、绩效考核、项目跟进把控、产出物等运维管理服务。</w:t>
            </w:r>
          </w:p>
        </w:tc>
        <w:tc>
          <w:tcPr>
            <w:tcW w:w="795" w:type="dxa"/>
            <w:vAlign w:val="center"/>
          </w:tcPr>
          <w:p w14:paraId="1DFC8D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0F8C4C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1B09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97642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K-12至K-15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平台</w:t>
            </w:r>
            <w:r>
              <w:rPr>
                <w:rFonts w:hint="eastAsia" w:ascii="宋体" w:hAnsi="宋体" w:eastAsia="宋体" w:cs="宋体"/>
                <w:color w:val="000000" w:themeColor="text1"/>
                <w:kern w:val="2"/>
                <w:sz w:val="21"/>
                <w:szCs w:val="21"/>
                <w:highlight w:val="none"/>
                <w14:textFill>
                  <w14:solidFill>
                    <w14:schemeClr w14:val="tx1"/>
                  </w14:solidFill>
                </w14:textFill>
              </w:rPr>
              <w:t>驻场运维工程师</w:t>
            </w:r>
          </w:p>
        </w:tc>
        <w:tc>
          <w:tcPr>
            <w:tcW w:w="690" w:type="dxa"/>
            <w:vAlign w:val="center"/>
          </w:tcPr>
          <w:p w14:paraId="2CB21D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w:t>
            </w:r>
          </w:p>
        </w:tc>
        <w:tc>
          <w:tcPr>
            <w:tcW w:w="4525" w:type="dxa"/>
            <w:vAlign w:val="center"/>
          </w:tcPr>
          <w:p w14:paraId="0DAEE1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321E18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6961BA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要求必须非常熟悉交警业务，并具有相关软件运维项目经验；</w:t>
            </w:r>
          </w:p>
          <w:p w14:paraId="119950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提供一、二线技术支持服务。</w:t>
            </w:r>
          </w:p>
          <w:p w14:paraId="4BF51B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（1）六合一运维工程师岗位：提供全区公安交通管理综合应用平台业务系统及数据库升级、日常维护、故障处理及核心业务数据维护、中间件维护、外挂软件接口维护、系统巡检，及日常技术咨询业务答疑等。</w:t>
            </w:r>
          </w:p>
          <w:p w14:paraId="1153B3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互联网交通安全综合服务平台运维工程师岗位：提供互联网交通安全综合服务平台系统、数据库、中间件等维护、日常维护、平台业务功能、参数配置、数据交换等专业维护、故障处理及核心业务数据维护、系统巡检及日常技术咨询业务答疑服务。</w:t>
            </w:r>
          </w:p>
          <w:p w14:paraId="5ED27AF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（3）公安部统一部署的系统运维工程师岗位：提供定期查看所有系统的系统运行环境、平台各项业务流程、告警日志及系统巡检、处理异常数据等服务。</w:t>
            </w:r>
            <w:r>
              <w:rPr>
                <w:rFonts w:hint="eastAsia" w:ascii="宋体" w:hAnsi="宋体" w:eastAsia="宋体" w:cs="宋体"/>
                <w:color w:val="000000" w:themeColor="text1"/>
                <w:kern w:val="2"/>
                <w:sz w:val="21"/>
                <w:szCs w:val="21"/>
                <w:highlight w:val="none"/>
                <w14:textFill>
                  <w14:solidFill>
                    <w14:schemeClr w14:val="tx1"/>
                  </w14:solidFill>
                </w14:textFill>
              </w:rPr>
              <w:br w:type="textWrapping"/>
            </w:r>
            <w:r>
              <w:rPr>
                <w:rFonts w:hint="eastAsia" w:ascii="宋体" w:hAnsi="宋体" w:eastAsia="宋体" w:cs="宋体"/>
                <w:color w:val="000000" w:themeColor="text1"/>
                <w:kern w:val="2"/>
                <w:sz w:val="21"/>
                <w:szCs w:val="21"/>
                <w:highlight w:val="none"/>
                <w14:textFill>
                  <w14:solidFill>
                    <w14:schemeClr w14:val="tx1"/>
                  </w14:solidFill>
                </w14:textFill>
              </w:rPr>
              <w:t>（4）车管业务综合监管平台运维工程师岗位：能够熟练的巡检系统，保障系统正常运行；排查解决系统数据问题和系统故障问题。</w:t>
            </w:r>
          </w:p>
        </w:tc>
        <w:tc>
          <w:tcPr>
            <w:tcW w:w="795" w:type="dxa"/>
            <w:vAlign w:val="center"/>
          </w:tcPr>
          <w:p w14:paraId="6800DE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179DAE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7E06A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C4B27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K-12至K-15 </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平台</w:t>
            </w:r>
            <w:r>
              <w:rPr>
                <w:rFonts w:hint="eastAsia" w:ascii="宋体" w:hAnsi="宋体" w:eastAsia="宋体" w:cs="宋体"/>
                <w:color w:val="000000" w:themeColor="text1"/>
                <w:kern w:val="2"/>
                <w:sz w:val="21"/>
                <w:szCs w:val="21"/>
                <w:highlight w:val="none"/>
                <w14:textFill>
                  <w14:solidFill>
                    <w14:schemeClr w14:val="tx1"/>
                  </w14:solidFill>
                </w14:textFill>
              </w:rPr>
              <w:t>运维工程师</w:t>
            </w:r>
          </w:p>
        </w:tc>
        <w:tc>
          <w:tcPr>
            <w:tcW w:w="690" w:type="dxa"/>
            <w:vAlign w:val="center"/>
          </w:tcPr>
          <w:p w14:paraId="443154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2</w:t>
            </w:r>
          </w:p>
        </w:tc>
        <w:tc>
          <w:tcPr>
            <w:tcW w:w="4525" w:type="dxa"/>
            <w:vAlign w:val="center"/>
          </w:tcPr>
          <w:p w14:paraId="058860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00629E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7FAAC8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要求必须非常熟悉交警业务，并具有相关软件运维项目经验；</w:t>
            </w:r>
          </w:p>
          <w:p w14:paraId="1857CB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提供一、二线技术支持服务。</w:t>
            </w:r>
          </w:p>
          <w:p w14:paraId="732922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xml:space="preserve">   运维工程师岗位：提供系统、数据库、中间件等维护、日常维护、平台业务功能、参数配置、数据交换等专业维护、故障处理及核心业务数据维护、系统巡检及日常技术咨询业务答疑服务，系统包括六合一系统、互联网交通安全综合服务平台、公安部统一部署系统</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、车管业务综合监管平台</w:t>
            </w:r>
            <w:r>
              <w:rPr>
                <w:rFonts w:hint="eastAsia" w:ascii="宋体" w:hAnsi="宋体" w:eastAsia="宋体" w:cs="宋体"/>
                <w:color w:val="000000" w:themeColor="text1"/>
                <w:kern w:val="2"/>
                <w:sz w:val="21"/>
                <w:szCs w:val="21"/>
                <w:highlight w:val="none"/>
                <w14:textFill>
                  <w14:solidFill>
                    <w14:schemeClr w14:val="tx1"/>
                  </w14:solidFill>
                </w14:textFill>
              </w:rPr>
              <w:t>（其中两名非驻场运维工程为1小时内运维服务响应）。</w:t>
            </w:r>
          </w:p>
        </w:tc>
        <w:tc>
          <w:tcPr>
            <w:tcW w:w="795" w:type="dxa"/>
            <w:vAlign w:val="center"/>
          </w:tcPr>
          <w:p w14:paraId="5F720C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702CDB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553A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82E9E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K-16 系统驻场运维工程师</w:t>
            </w:r>
          </w:p>
        </w:tc>
        <w:tc>
          <w:tcPr>
            <w:tcW w:w="690" w:type="dxa"/>
            <w:vAlign w:val="center"/>
          </w:tcPr>
          <w:p w14:paraId="12D09D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029E4F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大学专科及以上计算机或通信或网络或电子类专业学历或同等学历；</w:t>
            </w:r>
          </w:p>
          <w:p w14:paraId="1D87E2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2、认证要求：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无；</w:t>
            </w:r>
          </w:p>
          <w:p w14:paraId="1FF806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至少2年以上工作经验，要求熟悉监控系统，大屏系统、网络、计算机等日常管理配置；</w:t>
            </w:r>
          </w:p>
          <w:p w14:paraId="092357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4、工作职责：</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（1）视频巡查，每日通过巡查方式检查机动车检验业务情况、驾驶人考试业务情况；</w:t>
            </w:r>
          </w:p>
          <w:p w14:paraId="0195724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（2）设备与系统监控，利用监控工具，对具备监控条件的设备及其附属软件、系统、平台等开展运行情况实时监控，发现异常、告警信息及时汇报、处理，确保设备与系统隐患、故障获得第一时间解决；</w:t>
            </w:r>
          </w:p>
          <w:p w14:paraId="4781E5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（3）定期分析异常、告警信息，找到问题根源，形成解决方案。</w:t>
            </w:r>
          </w:p>
        </w:tc>
        <w:tc>
          <w:tcPr>
            <w:tcW w:w="795" w:type="dxa"/>
            <w:vAlign w:val="center"/>
          </w:tcPr>
          <w:p w14:paraId="674F68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是</w:t>
            </w:r>
          </w:p>
        </w:tc>
        <w:tc>
          <w:tcPr>
            <w:tcW w:w="1090" w:type="dxa"/>
            <w:vAlign w:val="center"/>
          </w:tcPr>
          <w:p w14:paraId="16F3982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5*8小时，按采购人工作时间要求到岗</w:t>
            </w:r>
          </w:p>
        </w:tc>
      </w:tr>
      <w:tr w14:paraId="7678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54D34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K-17 非驻场工程师</w:t>
            </w:r>
          </w:p>
        </w:tc>
        <w:tc>
          <w:tcPr>
            <w:tcW w:w="690" w:type="dxa"/>
            <w:vAlign w:val="center"/>
          </w:tcPr>
          <w:p w14:paraId="1E4111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p>
        </w:tc>
        <w:tc>
          <w:tcPr>
            <w:tcW w:w="4525" w:type="dxa"/>
            <w:vAlign w:val="top"/>
          </w:tcPr>
          <w:p w14:paraId="706231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大学专科毕业两年以上计算机类专业学历或通信、网络、电子类专业学历或同等学历；</w:t>
            </w:r>
          </w:p>
          <w:p w14:paraId="3589BB8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2、工作经验要求：</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2年相关行业经验；</w:t>
            </w:r>
          </w:p>
          <w:p w14:paraId="2EB131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3、工作职责：</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熟悉项目功能和业务使用场景，熟悉计算机以及基础网络技能，具备维护数据库能力。</w:t>
            </w:r>
          </w:p>
        </w:tc>
        <w:tc>
          <w:tcPr>
            <w:tcW w:w="795" w:type="dxa"/>
            <w:vAlign w:val="center"/>
          </w:tcPr>
          <w:p w14:paraId="63318E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否</w:t>
            </w:r>
          </w:p>
        </w:tc>
        <w:tc>
          <w:tcPr>
            <w:tcW w:w="1090" w:type="dxa"/>
            <w:vAlign w:val="center"/>
          </w:tcPr>
          <w:p w14:paraId="3B02AC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根据采购人具体需要提供技术支持</w:t>
            </w:r>
          </w:p>
        </w:tc>
      </w:tr>
      <w:tr w14:paraId="4755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4BC806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L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63033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135F1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1548B4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2E3A56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5342E6D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655AED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5654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048CB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L-1 </w:t>
            </w:r>
            <w:r>
              <w:rPr>
                <w:rFonts w:hint="eastAsia" w:ascii="宋体" w:hAnsi="宋体" w:eastAsia="宋体" w:cs="宋体"/>
                <w:color w:val="000000" w:themeColor="text1"/>
                <w:kern w:val="2"/>
                <w:sz w:val="21"/>
                <w:szCs w:val="21"/>
                <w:highlight w:val="none"/>
                <w14:textFill>
                  <w14:solidFill>
                    <w14:schemeClr w14:val="tx1"/>
                  </w14:solidFill>
                </w14:textFill>
              </w:rPr>
              <w:t>平台内容维护人员</w:t>
            </w:r>
          </w:p>
        </w:tc>
        <w:tc>
          <w:tcPr>
            <w:tcW w:w="690" w:type="dxa"/>
            <w:vAlign w:val="center"/>
          </w:tcPr>
          <w:p w14:paraId="19D6BFA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350ACB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大专及以上学历；</w:t>
            </w:r>
          </w:p>
          <w:p w14:paraId="7D5B55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383E72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3、工作经验和要求：</w:t>
            </w:r>
            <w:r>
              <w:rPr>
                <w:rFonts w:hint="eastAsia" w:ascii="宋体" w:hAnsi="宋体" w:eastAsia="宋体" w:cs="宋体"/>
                <w:color w:val="000000" w:themeColor="text1"/>
                <w:kern w:val="2"/>
                <w:sz w:val="21"/>
                <w:szCs w:val="21"/>
                <w:highlight w:val="none"/>
                <w14:textFill>
                  <w14:solidFill>
                    <w14:schemeClr w14:val="tx1"/>
                  </w14:solidFill>
                </w14:textFill>
              </w:rPr>
              <w:t>1年（含）以上相关工作经验；</w:t>
            </w:r>
          </w:p>
          <w:p w14:paraId="66F03B8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负责广西壮族自治区公安厅公安法制互联网信息服务平台内容更新。</w:t>
            </w:r>
          </w:p>
        </w:tc>
        <w:tc>
          <w:tcPr>
            <w:tcW w:w="795" w:type="dxa"/>
            <w:vAlign w:val="center"/>
          </w:tcPr>
          <w:p w14:paraId="494508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7FC4A1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2E23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09" w:type="dxa"/>
            <w:vAlign w:val="center"/>
          </w:tcPr>
          <w:p w14:paraId="17E769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L-1 </w:t>
            </w:r>
            <w:r>
              <w:rPr>
                <w:rFonts w:hint="eastAsia" w:ascii="宋体" w:hAnsi="宋体" w:eastAsia="宋体" w:cs="宋体"/>
                <w:color w:val="000000" w:themeColor="text1"/>
                <w:kern w:val="2"/>
                <w:sz w:val="21"/>
                <w:szCs w:val="21"/>
                <w:highlight w:val="none"/>
                <w14:textFill>
                  <w14:solidFill>
                    <w14:schemeClr w14:val="tx1"/>
                  </w14:solidFill>
                </w14:textFill>
              </w:rPr>
              <w:t>平台运维工程师</w:t>
            </w:r>
          </w:p>
        </w:tc>
        <w:tc>
          <w:tcPr>
            <w:tcW w:w="690" w:type="dxa"/>
            <w:vAlign w:val="center"/>
          </w:tcPr>
          <w:p w14:paraId="3810A9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1902A1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大专及以上学历；</w:t>
            </w:r>
          </w:p>
          <w:p w14:paraId="64A852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3F2E3E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3、工作经验和要求：</w:t>
            </w:r>
            <w:r>
              <w:rPr>
                <w:rFonts w:hint="eastAsia" w:ascii="宋体" w:hAnsi="宋体" w:eastAsia="宋体" w:cs="宋体"/>
                <w:color w:val="000000" w:themeColor="text1"/>
                <w:kern w:val="2"/>
                <w:sz w:val="21"/>
                <w:szCs w:val="21"/>
                <w:highlight w:val="none"/>
                <w14:textFill>
                  <w14:solidFill>
                    <w14:schemeClr w14:val="tx1"/>
                  </w14:solidFill>
                </w14:textFill>
              </w:rPr>
              <w:t>3年（含）以上前端设计工作经验；</w:t>
            </w:r>
          </w:p>
          <w:p w14:paraId="5AF144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负责广西壮族自治区公安厅公安法制互联网信息服务平台页面设计。</w:t>
            </w:r>
          </w:p>
        </w:tc>
        <w:tc>
          <w:tcPr>
            <w:tcW w:w="795" w:type="dxa"/>
            <w:vAlign w:val="center"/>
          </w:tcPr>
          <w:p w14:paraId="471231F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51E3D67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693C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69B6D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L-1 </w:t>
            </w:r>
            <w:r>
              <w:rPr>
                <w:rFonts w:hint="eastAsia" w:ascii="宋体" w:hAnsi="宋体" w:eastAsia="宋体" w:cs="宋体"/>
                <w:color w:val="000000" w:themeColor="text1"/>
                <w:kern w:val="2"/>
                <w:sz w:val="21"/>
                <w:szCs w:val="21"/>
                <w:highlight w:val="none"/>
                <w14:textFill>
                  <w14:solidFill>
                    <w14:schemeClr w14:val="tx1"/>
                  </w14:solidFill>
                </w14:textFill>
              </w:rPr>
              <w:t>系统运维</w:t>
            </w:r>
            <w:r>
              <w:rPr>
                <w:rFonts w:hint="eastAsia" w:ascii="宋体" w:hAnsi="宋体" w:eastAsia="宋体" w:cs="宋体"/>
                <w:color w:val="000000" w:themeColor="text1"/>
                <w:kern w:val="2"/>
                <w:sz w:val="21"/>
                <w:szCs w:val="21"/>
                <w:highlight w:val="none"/>
                <w:lang w:eastAsia="zh-CN"/>
                <w14:textFill>
                  <w14:solidFill>
                    <w14:schemeClr w14:val="tx1"/>
                  </w14:solidFill>
                </w14:textFill>
              </w:rPr>
              <w:t>人员</w:t>
            </w:r>
          </w:p>
        </w:tc>
        <w:tc>
          <w:tcPr>
            <w:tcW w:w="690" w:type="dxa"/>
            <w:vAlign w:val="center"/>
          </w:tcPr>
          <w:p w14:paraId="62866F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267206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大专及以上学历；</w:t>
            </w:r>
          </w:p>
          <w:p w14:paraId="3C78B15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5AEA9F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3、工作经验和要求：</w:t>
            </w:r>
            <w:r>
              <w:rPr>
                <w:rFonts w:hint="eastAsia" w:ascii="宋体" w:hAnsi="宋体" w:eastAsia="宋体" w:cs="宋体"/>
                <w:color w:val="000000" w:themeColor="text1"/>
                <w:kern w:val="2"/>
                <w:sz w:val="21"/>
                <w:szCs w:val="21"/>
                <w:highlight w:val="none"/>
                <w14:textFill>
                  <w14:solidFill>
                    <w14:schemeClr w14:val="tx1"/>
                  </w14:solidFill>
                </w14:textFill>
              </w:rPr>
              <w:t>2年（含）以上系统维保工作经验；</w:t>
            </w:r>
          </w:p>
          <w:p w14:paraId="45ACE8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负责广西壮族自治区公安厅公安法制互联网信息服务平台系统运维。</w:t>
            </w:r>
          </w:p>
        </w:tc>
        <w:tc>
          <w:tcPr>
            <w:tcW w:w="795" w:type="dxa"/>
            <w:vAlign w:val="center"/>
          </w:tcPr>
          <w:p w14:paraId="34DFCC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1E986B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2CFA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22B3B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L-2 </w:t>
            </w:r>
            <w:r>
              <w:rPr>
                <w:rFonts w:hint="eastAsia" w:ascii="宋体" w:hAnsi="宋体" w:eastAsia="宋体" w:cs="宋体"/>
                <w:color w:val="000000" w:themeColor="text1"/>
                <w:kern w:val="2"/>
                <w:sz w:val="21"/>
                <w:szCs w:val="21"/>
                <w:highlight w:val="none"/>
                <w14:textFill>
                  <w14:solidFill>
                    <w14:schemeClr w14:val="tx1"/>
                  </w14:solidFill>
                </w14:textFill>
              </w:rPr>
              <w:t>系统运维工程师</w:t>
            </w:r>
          </w:p>
        </w:tc>
        <w:tc>
          <w:tcPr>
            <w:tcW w:w="690" w:type="dxa"/>
            <w:vAlign w:val="center"/>
          </w:tcPr>
          <w:p w14:paraId="74ED15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2</w:t>
            </w:r>
          </w:p>
        </w:tc>
        <w:tc>
          <w:tcPr>
            <w:tcW w:w="4525" w:type="dxa"/>
            <w:vAlign w:val="center"/>
          </w:tcPr>
          <w:p w14:paraId="0C30F6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大学本科及以上；</w:t>
            </w:r>
          </w:p>
          <w:p w14:paraId="219BE7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无；</w:t>
            </w:r>
          </w:p>
          <w:p w14:paraId="237046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3、工作经验和要求：</w:t>
            </w:r>
            <w:r>
              <w:rPr>
                <w:rFonts w:hint="eastAsia" w:ascii="宋体" w:hAnsi="宋体" w:eastAsia="宋体" w:cs="宋体"/>
                <w:color w:val="000000" w:themeColor="text1"/>
                <w:kern w:val="2"/>
                <w:sz w:val="21"/>
                <w:szCs w:val="21"/>
                <w:highlight w:val="none"/>
                <w14:textFill>
                  <w14:solidFill>
                    <w14:schemeClr w14:val="tx1"/>
                  </w14:solidFill>
                </w14:textFill>
              </w:rPr>
              <w:t>熟悉网络结构和组网方式，掌握建网方法，能利用工具分析和排除常见网络故障，熟练运用windows各操作系统，独立组建小型局域网；</w:t>
            </w:r>
          </w:p>
          <w:p w14:paraId="4369AB8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负责广西公安执法规范法律应用支持系统维护。</w:t>
            </w:r>
          </w:p>
        </w:tc>
        <w:tc>
          <w:tcPr>
            <w:tcW w:w="795" w:type="dxa"/>
            <w:vAlign w:val="center"/>
          </w:tcPr>
          <w:p w14:paraId="58B79E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5258B2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0CDB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0D295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L-3 </w:t>
            </w:r>
            <w:r>
              <w:rPr>
                <w:rFonts w:hint="eastAsia" w:ascii="宋体" w:hAnsi="宋体" w:eastAsia="宋体" w:cs="宋体"/>
                <w:color w:val="000000" w:themeColor="text1"/>
                <w:kern w:val="2"/>
                <w:sz w:val="21"/>
                <w:szCs w:val="21"/>
                <w:highlight w:val="none"/>
                <w14:textFill>
                  <w14:solidFill>
                    <w14:schemeClr w14:val="tx1"/>
                  </w14:solidFill>
                </w14:textFill>
              </w:rPr>
              <w:t>系统</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非驻场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5DD8DB7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2</w:t>
            </w:r>
          </w:p>
        </w:tc>
        <w:tc>
          <w:tcPr>
            <w:tcW w:w="4525" w:type="dxa"/>
            <w:vAlign w:val="center"/>
          </w:tcPr>
          <w:p w14:paraId="14524AB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大学本科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r>
              <w:rPr>
                <w:rFonts w:hint="eastAsia" w:ascii="宋体" w:hAnsi="宋体" w:eastAsia="宋体" w:cs="宋体"/>
                <w:bCs/>
                <w:color w:val="000000" w:themeColor="text1"/>
                <w:kern w:val="2"/>
                <w:sz w:val="21"/>
                <w:szCs w:val="24"/>
                <w:highlight w:val="none"/>
                <w14:textFill>
                  <w14:solidFill>
                    <w14:schemeClr w14:val="tx1"/>
                  </w14:solidFill>
                </w14:textFill>
              </w:rPr>
              <w:t>；</w:t>
            </w:r>
          </w:p>
          <w:p w14:paraId="6FEE24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lang w:eastAsia="zh-CN"/>
                <w14:textFill>
                  <w14:solidFill>
                    <w14:schemeClr w14:val="tx1"/>
                  </w14:solidFill>
                </w14:textFill>
              </w:rPr>
              <w:t>无</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491C4FE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color w:val="000000" w:themeColor="text1"/>
                <w:kern w:val="0"/>
                <w:sz w:val="21"/>
                <w:szCs w:val="21"/>
                <w:highlight w:val="none"/>
                <w14:textFill>
                  <w14:solidFill>
                    <w14:schemeClr w14:val="tx1"/>
                  </w14:solidFill>
                </w14:textFill>
              </w:rPr>
              <w:t>需要有2年以上的工作经验，</w:t>
            </w:r>
          </w:p>
          <w:p w14:paraId="7957FBB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4、</w:t>
            </w:r>
            <w:r>
              <w:rPr>
                <w:rFonts w:hint="eastAsia" w:ascii="宋体" w:hAnsi="宋体" w:eastAsia="宋体" w:cs="宋体"/>
                <w:b/>
                <w:bCs/>
                <w:color w:val="000000" w:themeColor="text1"/>
                <w:kern w:val="2"/>
                <w:sz w:val="21"/>
                <w:szCs w:val="21"/>
                <w:highlight w:val="none"/>
                <w14:textFill>
                  <w14:solidFill>
                    <w14:schemeClr w14:val="tx1"/>
                  </w14:solidFill>
                </w14:textFill>
              </w:rPr>
              <w:t>工作职责：</w:t>
            </w:r>
            <w:r>
              <w:rPr>
                <w:rFonts w:hint="eastAsia" w:ascii="宋体" w:hAnsi="宋体" w:eastAsia="宋体" w:cs="宋体"/>
                <w:color w:val="000000" w:themeColor="text1"/>
                <w:kern w:val="2"/>
                <w:sz w:val="21"/>
                <w:szCs w:val="21"/>
                <w:highlight w:val="none"/>
                <w14:textFill>
                  <w14:solidFill>
                    <w14:schemeClr w14:val="tx1"/>
                  </w14:solidFill>
                </w14:textFill>
              </w:rPr>
              <w:t>可视一体化应用运维。</w:t>
            </w:r>
          </w:p>
        </w:tc>
        <w:tc>
          <w:tcPr>
            <w:tcW w:w="795" w:type="dxa"/>
            <w:vAlign w:val="center"/>
          </w:tcPr>
          <w:p w14:paraId="52C97E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543DE3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1AC3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69A89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L-3 </w:t>
            </w:r>
            <w:r>
              <w:rPr>
                <w:rFonts w:hint="eastAsia" w:ascii="宋体" w:hAnsi="宋体" w:eastAsia="宋体" w:cs="宋体"/>
                <w:color w:val="000000" w:themeColor="text1"/>
                <w:kern w:val="2"/>
                <w:sz w:val="21"/>
                <w:szCs w:val="21"/>
                <w:highlight w:val="none"/>
                <w14:textFill>
                  <w14:solidFill>
                    <w14:schemeClr w14:val="tx1"/>
                  </w14:solidFill>
                </w14:textFill>
              </w:rPr>
              <w:t>系统</w:t>
            </w:r>
            <w:r>
              <w:rPr>
                <w:rFonts w:hint="eastAsia" w:ascii="宋体" w:hAnsi="宋体" w:eastAsia="宋体" w:cs="宋体"/>
                <w:color w:val="000000" w:themeColor="text1"/>
                <w:kern w:val="2"/>
                <w:sz w:val="21"/>
                <w:szCs w:val="21"/>
                <w:highlight w:val="none"/>
                <w:lang w:eastAsia="zh-CN"/>
                <w14:textFill>
                  <w14:solidFill>
                    <w14:schemeClr w14:val="tx1"/>
                  </w14:solidFill>
                </w14:textFill>
              </w:rPr>
              <w:t>驻场</w:t>
            </w:r>
            <w:r>
              <w:rPr>
                <w:rFonts w:hint="eastAsia" w:ascii="宋体" w:hAnsi="宋体" w:eastAsia="宋体" w:cs="宋体"/>
                <w:color w:val="000000" w:themeColor="text1"/>
                <w:kern w:val="2"/>
                <w:sz w:val="21"/>
                <w:szCs w:val="21"/>
                <w:highlight w:val="none"/>
                <w14:textFill>
                  <w14:solidFill>
                    <w14:schemeClr w14:val="tx1"/>
                  </w14:solidFill>
                </w14:textFill>
              </w:rPr>
              <w:t>工程师</w:t>
            </w:r>
          </w:p>
        </w:tc>
        <w:tc>
          <w:tcPr>
            <w:tcW w:w="690" w:type="dxa"/>
            <w:vAlign w:val="center"/>
          </w:tcPr>
          <w:p w14:paraId="427B9E2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494A0F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r>
              <w:rPr>
                <w:rFonts w:hint="eastAsia" w:ascii="宋体" w:hAnsi="宋体" w:eastAsia="宋体" w:cs="宋体"/>
                <w:bCs/>
                <w:color w:val="000000" w:themeColor="text1"/>
                <w:kern w:val="2"/>
                <w:sz w:val="21"/>
                <w:szCs w:val="24"/>
                <w:highlight w:val="none"/>
                <w14:textFill>
                  <w14:solidFill>
                    <w14:schemeClr w14:val="tx1"/>
                  </w14:solidFill>
                </w14:textFill>
              </w:rPr>
              <w:t>；</w:t>
            </w:r>
          </w:p>
          <w:p w14:paraId="47961B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无</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195868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color w:val="000000" w:themeColor="text1"/>
                <w:kern w:val="0"/>
                <w:sz w:val="21"/>
                <w:szCs w:val="21"/>
                <w:highlight w:val="none"/>
                <w14:textFill>
                  <w14:solidFill>
                    <w14:schemeClr w14:val="tx1"/>
                  </w14:solidFill>
                </w14:textFill>
              </w:rPr>
              <w:t>需要有1年以上的相关运维工作经验，</w:t>
            </w:r>
          </w:p>
          <w:p w14:paraId="17816E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1）对广西公安执法监督及执法质量考评信息化系统远程维护；（2）对执法监督业务功能升级。</w:t>
            </w:r>
          </w:p>
        </w:tc>
        <w:tc>
          <w:tcPr>
            <w:tcW w:w="795" w:type="dxa"/>
            <w:vAlign w:val="center"/>
          </w:tcPr>
          <w:p w14:paraId="701B234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761BED5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5235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A70E6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L-4 </w:t>
            </w:r>
            <w:r>
              <w:rPr>
                <w:rFonts w:hint="eastAsia" w:ascii="宋体" w:hAnsi="宋体" w:eastAsia="宋体" w:cs="宋体"/>
                <w:color w:val="000000" w:themeColor="text1"/>
                <w:kern w:val="2"/>
                <w:sz w:val="21"/>
                <w:szCs w:val="21"/>
                <w:highlight w:val="none"/>
                <w14:textFill>
                  <w14:solidFill>
                    <w14:schemeClr w14:val="tx1"/>
                  </w14:solidFill>
                </w14:textFill>
              </w:rPr>
              <w:t>维护工程师</w:t>
            </w:r>
          </w:p>
        </w:tc>
        <w:tc>
          <w:tcPr>
            <w:tcW w:w="690" w:type="dxa"/>
            <w:vAlign w:val="center"/>
          </w:tcPr>
          <w:p w14:paraId="128F24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1D531B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1、学历及工作年限要求：</w:t>
            </w:r>
            <w:r>
              <w:rPr>
                <w:rFonts w:hint="eastAsia" w:ascii="宋体" w:hAnsi="宋体" w:eastAsia="宋体" w:cs="宋体"/>
                <w:color w:val="000000" w:themeColor="text1"/>
                <w:kern w:val="2"/>
                <w:sz w:val="21"/>
                <w:szCs w:val="21"/>
                <w:highlight w:val="none"/>
                <w14:textFill>
                  <w14:solidFill>
                    <w14:schemeClr w14:val="tx1"/>
                  </w14:solidFill>
                </w14:textFill>
              </w:rPr>
              <w:t>大专</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以上学历；</w:t>
            </w:r>
          </w:p>
          <w:p w14:paraId="0293306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2、工作经验要求：</w:t>
            </w:r>
            <w:r>
              <w:rPr>
                <w:rFonts w:hint="eastAsia" w:ascii="宋体" w:hAnsi="宋体" w:eastAsia="宋体" w:cs="宋体"/>
                <w:color w:val="000000" w:themeColor="text1"/>
                <w:kern w:val="2"/>
                <w:sz w:val="21"/>
                <w:szCs w:val="21"/>
                <w:highlight w:val="none"/>
                <w14:textFill>
                  <w14:solidFill>
                    <w14:schemeClr w14:val="tx1"/>
                  </w14:solidFill>
                </w14:textFill>
              </w:rPr>
              <w:t>至少含3年以上信息系统运维经验。</w:t>
            </w:r>
          </w:p>
          <w:p w14:paraId="7EAD4D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3、工作职责：</w:t>
            </w:r>
            <w:r>
              <w:rPr>
                <w:rFonts w:hint="eastAsia" w:ascii="宋体" w:hAnsi="宋体" w:eastAsia="宋体" w:cs="宋体"/>
                <w:color w:val="000000" w:themeColor="text1"/>
                <w:kern w:val="2"/>
                <w:sz w:val="21"/>
                <w:szCs w:val="21"/>
                <w:highlight w:val="none"/>
                <w14:textFill>
                  <w14:solidFill>
                    <w14:schemeClr w14:val="tx1"/>
                  </w14:solidFill>
                </w14:textFill>
              </w:rPr>
              <w:t>负责全国公安民警执法资格考试网日常维护，使系统的正常运行、负责考试内容的采集、整理、安排、更新。</w:t>
            </w:r>
          </w:p>
          <w:p w14:paraId="0A3CD5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4、远程服务要求：</w:t>
            </w:r>
            <w:r>
              <w:rPr>
                <w:rFonts w:hint="eastAsia" w:ascii="宋体" w:hAnsi="宋体" w:eastAsia="宋体" w:cs="宋体"/>
                <w:color w:val="000000" w:themeColor="text1"/>
                <w:kern w:val="2"/>
                <w:sz w:val="21"/>
                <w:szCs w:val="21"/>
                <w:highlight w:val="none"/>
                <w14:textFill>
                  <w14:solidFill>
                    <w14:schemeClr w14:val="tx1"/>
                  </w14:solidFill>
                </w14:textFill>
              </w:rPr>
              <w:t>服务期内提供不少于185人天远程服务。</w:t>
            </w:r>
          </w:p>
        </w:tc>
        <w:tc>
          <w:tcPr>
            <w:tcW w:w="795" w:type="dxa"/>
            <w:vAlign w:val="center"/>
          </w:tcPr>
          <w:p w14:paraId="769CE1D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7CFF38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6D037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5429DB9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M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4822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DDE37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6B14580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5150486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12BAC8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36E82B8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0D693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268955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M-1至M-4 </w:t>
            </w:r>
            <w:r>
              <w:rPr>
                <w:rFonts w:hint="eastAsia" w:ascii="宋体" w:hAnsi="宋体" w:eastAsia="宋体" w:cs="宋体"/>
                <w:color w:val="000000" w:themeColor="text1"/>
                <w:kern w:val="2"/>
                <w:sz w:val="21"/>
                <w:szCs w:val="21"/>
                <w:highlight w:val="none"/>
                <w14:textFill>
                  <w14:solidFill>
                    <w14:schemeClr w14:val="tx1"/>
                  </w14:solidFill>
                </w14:textFill>
              </w:rPr>
              <w:t>系统项目主管</w:t>
            </w:r>
          </w:p>
        </w:tc>
        <w:tc>
          <w:tcPr>
            <w:tcW w:w="690" w:type="dxa"/>
            <w:vAlign w:val="center"/>
          </w:tcPr>
          <w:p w14:paraId="62F1A0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2E18C2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大学本科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w:t>
            </w:r>
            <w:r>
              <w:rPr>
                <w:rFonts w:hint="eastAsia" w:ascii="宋体" w:hAnsi="宋体" w:eastAsia="宋体" w:cs="宋体"/>
                <w:bCs/>
                <w:color w:val="000000" w:themeColor="text1"/>
                <w:kern w:val="2"/>
                <w:sz w:val="21"/>
                <w:szCs w:val="21"/>
                <w:highlight w:val="none"/>
                <w14:textFill>
                  <w14:solidFill>
                    <w14:schemeClr w14:val="tx1"/>
                  </w14:solidFill>
                </w14:textFill>
              </w:rPr>
              <w:t>；</w:t>
            </w:r>
          </w:p>
          <w:p w14:paraId="6FCCD6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cs="宋体"/>
                <w:b w:val="0"/>
                <w:color w:val="000000" w:themeColor="text1"/>
                <w:kern w:val="2"/>
                <w:sz w:val="21"/>
                <w:szCs w:val="21"/>
                <w:highlight w:val="none"/>
                <w:lang w:eastAsia="zh-CN"/>
                <w14:textFill>
                  <w14:solidFill>
                    <w14:schemeClr w14:val="tx1"/>
                  </w14:solidFill>
                </w14:textFill>
              </w:rPr>
              <w:t>具有</w:t>
            </w:r>
            <w:r>
              <w:rPr>
                <w:rFonts w:hint="eastAsia" w:ascii="宋体" w:hAnsi="宋体" w:eastAsia="宋体" w:cs="宋体"/>
                <w:color w:val="000000" w:themeColor="text1"/>
                <w:kern w:val="2"/>
                <w:sz w:val="21"/>
                <w:szCs w:val="21"/>
                <w:highlight w:val="none"/>
                <w14:textFill>
                  <w14:solidFill>
                    <w14:schemeClr w14:val="tx1"/>
                  </w14:solidFill>
                </w14:textFill>
              </w:rPr>
              <w:t>计算机</w:t>
            </w:r>
            <w:r>
              <w:rPr>
                <w:rFonts w:hint="eastAsia" w:ascii="宋体" w:hAnsi="宋体" w:cs="宋体"/>
                <w:color w:val="000000" w:themeColor="text1"/>
                <w:kern w:val="2"/>
                <w:sz w:val="21"/>
                <w:szCs w:val="21"/>
                <w:highlight w:val="none"/>
                <w:lang w:eastAsia="zh-CN"/>
                <w14:textFill>
                  <w14:solidFill>
                    <w14:schemeClr w14:val="tx1"/>
                  </w14:solidFill>
                </w14:textFill>
              </w:rPr>
              <w:t>类</w:t>
            </w:r>
            <w:r>
              <w:rPr>
                <w:rFonts w:hint="eastAsia" w:ascii="宋体" w:hAnsi="宋体" w:eastAsia="宋体" w:cs="宋体"/>
                <w:color w:val="000000" w:themeColor="text1"/>
                <w:kern w:val="2"/>
                <w:sz w:val="21"/>
                <w:szCs w:val="21"/>
                <w:highlight w:val="none"/>
                <w14:textFill>
                  <w14:solidFill>
                    <w14:schemeClr w14:val="tx1"/>
                  </w14:solidFill>
                </w14:textFill>
              </w:rPr>
              <w:t>相关认证证书</w:t>
            </w:r>
            <w:r>
              <w:rPr>
                <w:rFonts w:hint="eastAsia" w:ascii="宋体" w:hAnsi="宋体" w:eastAsia="宋体" w:cs="宋体"/>
                <w:b w:val="0"/>
                <w:bCs/>
                <w:color w:val="000000" w:themeColor="text1"/>
                <w:kern w:val="2"/>
                <w:sz w:val="21"/>
                <w:szCs w:val="21"/>
                <w:highlight w:val="none"/>
                <w14:textFill>
                  <w14:solidFill>
                    <w14:schemeClr w14:val="tx1"/>
                  </w14:solidFill>
                </w14:textFill>
              </w:rPr>
              <w:t>；</w:t>
            </w:r>
          </w:p>
          <w:p w14:paraId="749C7B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bCs/>
                <w:color w:val="000000" w:themeColor="text1"/>
                <w:kern w:val="2"/>
                <w:sz w:val="21"/>
                <w:szCs w:val="21"/>
                <w:highlight w:val="none"/>
                <w14:textFill>
                  <w14:solidFill>
                    <w14:schemeClr w14:val="tx1"/>
                  </w14:solidFill>
                </w14:textFill>
              </w:rPr>
              <w:t>有3-5年的开发经验及系统运维经验；</w:t>
            </w:r>
          </w:p>
          <w:p w14:paraId="423D5C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按用户需求提供项目管理、流程管理、绩效考核、项目跟进把控、产出物等运维管理服务。</w:t>
            </w:r>
          </w:p>
        </w:tc>
        <w:tc>
          <w:tcPr>
            <w:tcW w:w="795" w:type="dxa"/>
            <w:vAlign w:val="center"/>
          </w:tcPr>
          <w:p w14:paraId="15A862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7DE3AE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3190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406734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M-1至M-4 </w:t>
            </w:r>
            <w:r>
              <w:rPr>
                <w:rFonts w:hint="eastAsia" w:ascii="宋体" w:hAnsi="宋体" w:eastAsia="宋体" w:cs="宋体"/>
                <w:color w:val="000000" w:themeColor="text1"/>
                <w:kern w:val="2"/>
                <w:sz w:val="21"/>
                <w:szCs w:val="21"/>
                <w:highlight w:val="none"/>
                <w14:textFill>
                  <w14:solidFill>
                    <w14:schemeClr w14:val="tx1"/>
                  </w14:solidFill>
                </w14:textFill>
              </w:rPr>
              <w:t>系统驻场运维工程师</w:t>
            </w:r>
          </w:p>
        </w:tc>
        <w:tc>
          <w:tcPr>
            <w:tcW w:w="690" w:type="dxa"/>
            <w:vAlign w:val="center"/>
          </w:tcPr>
          <w:p w14:paraId="1D5411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1BA998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大学本科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w:t>
            </w:r>
          </w:p>
          <w:p w14:paraId="4E58AD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cs="宋体"/>
                <w:b w:val="0"/>
                <w:color w:val="000000" w:themeColor="text1"/>
                <w:kern w:val="2"/>
                <w:sz w:val="21"/>
                <w:szCs w:val="21"/>
                <w:highlight w:val="none"/>
                <w:lang w:eastAsia="zh-CN"/>
                <w14:textFill>
                  <w14:solidFill>
                    <w14:schemeClr w14:val="tx1"/>
                  </w14:solidFill>
                </w14:textFill>
              </w:rPr>
              <w:t>具有</w:t>
            </w:r>
            <w:r>
              <w:rPr>
                <w:rFonts w:hint="eastAsia" w:ascii="宋体" w:hAnsi="宋体" w:eastAsia="宋体" w:cs="宋体"/>
                <w:color w:val="000000" w:themeColor="text1"/>
                <w:kern w:val="2"/>
                <w:sz w:val="21"/>
                <w:szCs w:val="21"/>
                <w:highlight w:val="none"/>
                <w14:textFill>
                  <w14:solidFill>
                    <w14:schemeClr w14:val="tx1"/>
                  </w14:solidFill>
                </w14:textFill>
              </w:rPr>
              <w:t>计算机</w:t>
            </w:r>
            <w:r>
              <w:rPr>
                <w:rFonts w:hint="eastAsia" w:ascii="宋体" w:hAnsi="宋体" w:cs="宋体"/>
                <w:color w:val="000000" w:themeColor="text1"/>
                <w:kern w:val="2"/>
                <w:sz w:val="21"/>
                <w:szCs w:val="21"/>
                <w:highlight w:val="none"/>
                <w:lang w:eastAsia="zh-CN"/>
                <w14:textFill>
                  <w14:solidFill>
                    <w14:schemeClr w14:val="tx1"/>
                  </w14:solidFill>
                </w14:textFill>
              </w:rPr>
              <w:t>类</w:t>
            </w:r>
            <w:r>
              <w:rPr>
                <w:rFonts w:hint="eastAsia" w:ascii="宋体" w:hAnsi="宋体" w:eastAsia="宋体" w:cs="宋体"/>
                <w:color w:val="000000" w:themeColor="text1"/>
                <w:kern w:val="2"/>
                <w:sz w:val="21"/>
                <w:szCs w:val="21"/>
                <w:highlight w:val="none"/>
                <w14:textFill>
                  <w14:solidFill>
                    <w14:schemeClr w14:val="tx1"/>
                  </w14:solidFill>
                </w14:textFill>
              </w:rPr>
              <w:t>相关认证证书</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14:paraId="004215B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要求1年以上信息系统运维经验；</w:t>
            </w:r>
          </w:p>
          <w:p w14:paraId="672D22C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日常维护、系统巡检、缺陷管理、故障处置、应急保障、资产与配置维护、数据服务、系统优化、培训及知识管理、建转运移交、运维报告及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其它</w:t>
            </w:r>
            <w:r>
              <w:rPr>
                <w:rFonts w:hint="eastAsia" w:ascii="宋体" w:hAnsi="宋体" w:eastAsia="宋体" w:cs="宋体"/>
                <w:color w:val="000000" w:themeColor="text1"/>
                <w:kern w:val="2"/>
                <w:sz w:val="21"/>
                <w:szCs w:val="21"/>
                <w:highlight w:val="none"/>
                <w14:textFill>
                  <w14:solidFill>
                    <w14:schemeClr w14:val="tx1"/>
                  </w14:solidFill>
                </w14:textFill>
              </w:rPr>
              <w:t>技术支持；</w:t>
            </w:r>
            <w:r>
              <w:rPr>
                <w:rFonts w:hint="eastAsia" w:ascii="宋体" w:hAnsi="宋体" w:eastAsia="宋体" w:cs="宋体"/>
                <w:bCs/>
                <w:color w:val="000000" w:themeColor="text1"/>
                <w:kern w:val="0"/>
                <w:sz w:val="21"/>
                <w:szCs w:val="21"/>
                <w:highlight w:val="none"/>
                <w14:textFill>
                  <w14:solidFill>
                    <w14:schemeClr w14:val="tx1"/>
                  </w14:solidFill>
                </w14:textFill>
              </w:rPr>
              <w:t>广西公安禁毒扁平化指挥系统和</w:t>
            </w:r>
            <w:r>
              <w:rPr>
                <w:rFonts w:hint="eastAsia" w:ascii="宋体" w:hAnsi="宋体" w:eastAsia="宋体" w:cs="宋体"/>
                <w:color w:val="000000" w:themeColor="text1"/>
                <w:kern w:val="2"/>
                <w:sz w:val="21"/>
                <w:szCs w:val="21"/>
                <w:highlight w:val="none"/>
                <w14:textFill>
                  <w14:solidFill>
                    <w14:schemeClr w14:val="tx1"/>
                  </w14:solidFill>
                </w14:textFill>
              </w:rPr>
              <w:t>手机集群对讲系统专项服务。</w:t>
            </w:r>
          </w:p>
        </w:tc>
        <w:tc>
          <w:tcPr>
            <w:tcW w:w="795" w:type="dxa"/>
            <w:vAlign w:val="center"/>
          </w:tcPr>
          <w:p w14:paraId="3D7AA0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0B82D48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0A0E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6DE2D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M-1至M-4 </w:t>
            </w:r>
            <w:r>
              <w:rPr>
                <w:rFonts w:hint="eastAsia" w:ascii="宋体" w:hAnsi="宋体" w:eastAsia="宋体" w:cs="宋体"/>
                <w:color w:val="000000" w:themeColor="text1"/>
                <w:kern w:val="2"/>
                <w:sz w:val="21"/>
                <w:szCs w:val="21"/>
                <w:highlight w:val="none"/>
                <w14:textFill>
                  <w14:solidFill>
                    <w14:schemeClr w14:val="tx1"/>
                  </w14:solidFill>
                </w14:textFill>
              </w:rPr>
              <w:t>系统后端运维工程师</w:t>
            </w:r>
          </w:p>
        </w:tc>
        <w:tc>
          <w:tcPr>
            <w:tcW w:w="690" w:type="dxa"/>
            <w:vAlign w:val="center"/>
          </w:tcPr>
          <w:p w14:paraId="0824B7D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3AA1EF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大学本科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w:t>
            </w:r>
          </w:p>
          <w:p w14:paraId="514D97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color w:val="000000" w:themeColor="text1"/>
                <w:kern w:val="2"/>
                <w:sz w:val="21"/>
                <w:szCs w:val="21"/>
                <w:highlight w:val="none"/>
                <w14:textFill>
                  <w14:solidFill>
                    <w14:schemeClr w14:val="tx1"/>
                  </w14:solidFill>
                </w14:textFill>
              </w:rPr>
              <w:t>：</w:t>
            </w:r>
            <w:r>
              <w:rPr>
                <w:rFonts w:hint="eastAsia" w:ascii="宋体" w:hAnsi="宋体" w:cs="宋体"/>
                <w:b w:val="0"/>
                <w:color w:val="000000" w:themeColor="text1"/>
                <w:kern w:val="2"/>
                <w:sz w:val="21"/>
                <w:szCs w:val="21"/>
                <w:highlight w:val="none"/>
                <w:lang w:eastAsia="zh-CN"/>
                <w14:textFill>
                  <w14:solidFill>
                    <w14:schemeClr w14:val="tx1"/>
                  </w14:solidFill>
                </w14:textFill>
              </w:rPr>
              <w:t>具有</w:t>
            </w:r>
            <w:r>
              <w:rPr>
                <w:rFonts w:hint="eastAsia" w:ascii="宋体" w:hAnsi="宋体" w:eastAsia="宋体" w:cs="宋体"/>
                <w:color w:val="000000" w:themeColor="text1"/>
                <w:kern w:val="2"/>
                <w:sz w:val="21"/>
                <w:szCs w:val="21"/>
                <w:highlight w:val="none"/>
                <w14:textFill>
                  <w14:solidFill>
                    <w14:schemeClr w14:val="tx1"/>
                  </w14:solidFill>
                </w14:textFill>
              </w:rPr>
              <w:t>计算机</w:t>
            </w:r>
            <w:r>
              <w:rPr>
                <w:rFonts w:hint="eastAsia" w:ascii="宋体" w:hAnsi="宋体" w:cs="宋体"/>
                <w:color w:val="000000" w:themeColor="text1"/>
                <w:kern w:val="2"/>
                <w:sz w:val="21"/>
                <w:szCs w:val="21"/>
                <w:highlight w:val="none"/>
                <w:lang w:eastAsia="zh-CN"/>
                <w14:textFill>
                  <w14:solidFill>
                    <w14:schemeClr w14:val="tx1"/>
                  </w14:solidFill>
                </w14:textFill>
              </w:rPr>
              <w:t>类</w:t>
            </w:r>
            <w:r>
              <w:rPr>
                <w:rFonts w:hint="eastAsia" w:ascii="宋体" w:hAnsi="宋体" w:eastAsia="宋体" w:cs="宋体"/>
                <w:color w:val="000000" w:themeColor="text1"/>
                <w:kern w:val="2"/>
                <w:sz w:val="21"/>
                <w:szCs w:val="21"/>
                <w:highlight w:val="none"/>
                <w14:textFill>
                  <w14:solidFill>
                    <w14:schemeClr w14:val="tx1"/>
                  </w14:solidFill>
                </w14:textFill>
              </w:rPr>
              <w:t>相关认证证书；</w:t>
            </w:r>
          </w:p>
          <w:p w14:paraId="26D97F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1年的公安系统软件硬件系统集成经验；</w:t>
            </w:r>
          </w:p>
          <w:p w14:paraId="7767EE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日常维护、系统巡检、缺陷管理、故障处置、应急保障、资产与配置维护、数据服务、系统优化、培训及知识管理、建转运移交、运维报告及</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其它</w:t>
            </w:r>
            <w:r>
              <w:rPr>
                <w:rFonts w:hint="eastAsia" w:ascii="宋体" w:hAnsi="宋体" w:eastAsia="宋体" w:cs="宋体"/>
                <w:color w:val="000000" w:themeColor="text1"/>
                <w:kern w:val="2"/>
                <w:sz w:val="21"/>
                <w:szCs w:val="21"/>
                <w:highlight w:val="none"/>
                <w14:textFill>
                  <w14:solidFill>
                    <w14:schemeClr w14:val="tx1"/>
                  </w14:solidFill>
                </w14:textFill>
              </w:rPr>
              <w:t>技术支持；广西公安禁毒扁平化指挥系统和手机集群对讲系统专项服务。</w:t>
            </w:r>
          </w:p>
        </w:tc>
        <w:tc>
          <w:tcPr>
            <w:tcW w:w="795" w:type="dxa"/>
            <w:vAlign w:val="center"/>
          </w:tcPr>
          <w:p w14:paraId="61D910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749795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12C3B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409" w:type="dxa"/>
            <w:vAlign w:val="center"/>
          </w:tcPr>
          <w:p w14:paraId="7614761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14:textFill>
                  <w14:solidFill>
                    <w14:schemeClr w14:val="tx1"/>
                  </w14:solidFill>
                </w14:textFill>
              </w:rPr>
              <w:t xml:space="preserve">M-5 </w:t>
            </w:r>
            <w:r>
              <w:rPr>
                <w:rFonts w:hint="eastAsia" w:ascii="宋体" w:hAnsi="宋体" w:eastAsia="宋体" w:cs="宋体"/>
                <w:bCs/>
                <w:color w:val="000000" w:themeColor="text1"/>
                <w:kern w:val="2"/>
                <w:sz w:val="21"/>
                <w:szCs w:val="24"/>
                <w:highlight w:val="none"/>
                <w:lang w:eastAsia="zh-CN"/>
                <w14:textFill>
                  <w14:solidFill>
                    <w14:schemeClr w14:val="tx1"/>
                  </w14:solidFill>
                </w14:textFill>
              </w:rPr>
              <w:t>系统</w:t>
            </w:r>
            <w:r>
              <w:rPr>
                <w:rFonts w:hint="eastAsia" w:ascii="宋体" w:hAnsi="宋体" w:eastAsia="宋体" w:cs="宋体"/>
                <w:color w:val="000000" w:themeColor="text1"/>
                <w:kern w:val="0"/>
                <w:sz w:val="21"/>
                <w:szCs w:val="21"/>
                <w:highlight w:val="none"/>
                <w14:textFill>
                  <w14:solidFill>
                    <w14:schemeClr w14:val="tx1"/>
                  </w14:solidFill>
                </w14:textFill>
              </w:rPr>
              <w:t>运维工程师</w:t>
            </w:r>
          </w:p>
        </w:tc>
        <w:tc>
          <w:tcPr>
            <w:tcW w:w="690" w:type="dxa"/>
            <w:vAlign w:val="center"/>
          </w:tcPr>
          <w:p w14:paraId="60105DB1">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525" w:type="dxa"/>
            <w:vAlign w:val="center"/>
          </w:tcPr>
          <w:p w14:paraId="3AC38A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大学本科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691BC1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2、认证要求：</w:t>
            </w:r>
            <w:r>
              <w:rPr>
                <w:rFonts w:hint="eastAsia" w:ascii="宋体" w:hAnsi="宋体" w:cs="宋体"/>
                <w:b w:val="0"/>
                <w:color w:val="000000" w:themeColor="text1"/>
                <w:kern w:val="2"/>
                <w:sz w:val="21"/>
                <w:szCs w:val="21"/>
                <w:highlight w:val="none"/>
                <w:lang w:eastAsia="zh-CN"/>
                <w14:textFill>
                  <w14:solidFill>
                    <w14:schemeClr w14:val="tx1"/>
                  </w14:solidFill>
                </w14:textFill>
              </w:rPr>
              <w:t>具有</w:t>
            </w:r>
            <w:r>
              <w:rPr>
                <w:rFonts w:hint="eastAsia" w:ascii="宋体" w:hAnsi="宋体" w:eastAsia="宋体" w:cs="宋体"/>
                <w:color w:val="000000" w:themeColor="text1"/>
                <w:kern w:val="2"/>
                <w:sz w:val="21"/>
                <w:szCs w:val="21"/>
                <w:highlight w:val="none"/>
                <w14:textFill>
                  <w14:solidFill>
                    <w14:schemeClr w14:val="tx1"/>
                  </w14:solidFill>
                </w14:textFill>
              </w:rPr>
              <w:t>计算机</w:t>
            </w:r>
            <w:r>
              <w:rPr>
                <w:rFonts w:hint="eastAsia" w:ascii="宋体" w:hAnsi="宋体" w:cs="宋体"/>
                <w:color w:val="000000" w:themeColor="text1"/>
                <w:kern w:val="2"/>
                <w:sz w:val="21"/>
                <w:szCs w:val="21"/>
                <w:highlight w:val="none"/>
                <w:lang w:eastAsia="zh-CN"/>
                <w14:textFill>
                  <w14:solidFill>
                    <w14:schemeClr w14:val="tx1"/>
                  </w14:solidFill>
                </w14:textFill>
              </w:rPr>
              <w:t>类</w:t>
            </w:r>
            <w:r>
              <w:rPr>
                <w:rFonts w:hint="eastAsia" w:ascii="宋体" w:hAnsi="宋体" w:eastAsia="宋体" w:cs="宋体"/>
                <w:color w:val="000000" w:themeColor="text1"/>
                <w:kern w:val="2"/>
                <w:sz w:val="21"/>
                <w:szCs w:val="21"/>
                <w:highlight w:val="none"/>
                <w14:textFill>
                  <w14:solidFill>
                    <w14:schemeClr w14:val="tx1"/>
                  </w14:solidFill>
                </w14:textFill>
              </w:rPr>
              <w:t>相关认证证书</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37501E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3、工作经验要求：</w:t>
            </w:r>
            <w:r>
              <w:rPr>
                <w:rFonts w:hint="eastAsia" w:ascii="宋体" w:hAnsi="宋体" w:eastAsia="宋体" w:cs="宋体"/>
                <w:color w:val="000000" w:themeColor="text1"/>
                <w:kern w:val="0"/>
                <w:sz w:val="21"/>
                <w:szCs w:val="21"/>
                <w:highlight w:val="none"/>
                <w14:textFill>
                  <w14:solidFill>
                    <w14:schemeClr w14:val="tx1"/>
                  </w14:solidFill>
                </w14:textFill>
              </w:rPr>
              <w:t>工作一年以上</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p>
          <w:p w14:paraId="58921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4、工作职责：</w:t>
            </w:r>
            <w:r>
              <w:rPr>
                <w:rFonts w:hint="eastAsia" w:ascii="宋体" w:hAnsi="宋体" w:eastAsia="宋体" w:cs="宋体"/>
                <w:color w:val="000000" w:themeColor="text1"/>
                <w:kern w:val="0"/>
                <w:sz w:val="21"/>
                <w:szCs w:val="21"/>
                <w:highlight w:val="none"/>
                <w14:textFill>
                  <w14:solidFill>
                    <w14:schemeClr w14:val="tx1"/>
                  </w14:solidFill>
                </w14:textFill>
              </w:rPr>
              <w:t>对</w:t>
            </w:r>
            <w:r>
              <w:rPr>
                <w:rFonts w:hint="eastAsia" w:ascii="宋体" w:hAnsi="宋体" w:eastAsia="宋体" w:cs="宋体"/>
                <w:bCs/>
                <w:color w:val="000000" w:themeColor="text1"/>
                <w:kern w:val="2"/>
                <w:sz w:val="21"/>
                <w:szCs w:val="24"/>
                <w:highlight w:val="none"/>
                <w14:textFill>
                  <w14:solidFill>
                    <w14:schemeClr w14:val="tx1"/>
                  </w14:solidFill>
                </w14:textFill>
              </w:rPr>
              <w:t>广西易制毒化学品管理信息系统服务系统</w:t>
            </w:r>
            <w:r>
              <w:rPr>
                <w:rFonts w:hint="eastAsia" w:ascii="宋体" w:hAnsi="宋体" w:eastAsia="宋体" w:cs="宋体"/>
                <w:color w:val="000000" w:themeColor="text1"/>
                <w:kern w:val="0"/>
                <w:sz w:val="21"/>
                <w:szCs w:val="21"/>
                <w:highlight w:val="none"/>
                <w14:textFill>
                  <w14:solidFill>
                    <w14:schemeClr w14:val="tx1"/>
                  </w14:solidFill>
                </w14:textFill>
              </w:rPr>
              <w:t xml:space="preserve">提供技术支持服务。 </w:t>
            </w:r>
          </w:p>
        </w:tc>
        <w:tc>
          <w:tcPr>
            <w:tcW w:w="795" w:type="dxa"/>
            <w:vAlign w:val="center"/>
          </w:tcPr>
          <w:p w14:paraId="657F8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5F5D05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44A2A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6F45AC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N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25C1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635247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33E4771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1A6B94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398955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30A02F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5BE0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8680F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N-1 项目经理</w:t>
            </w:r>
          </w:p>
        </w:tc>
        <w:tc>
          <w:tcPr>
            <w:tcW w:w="690" w:type="dxa"/>
            <w:vAlign w:val="center"/>
          </w:tcPr>
          <w:p w14:paraId="5BA8DFA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525" w:type="dxa"/>
            <w:vAlign w:val="center"/>
          </w:tcPr>
          <w:p w14:paraId="1C71AC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1、学历要求：</w:t>
            </w:r>
            <w:r>
              <w:rPr>
                <w:rFonts w:hint="eastAsia" w:ascii="宋体" w:hAnsi="宋体" w:cs="宋体"/>
                <w:color w:val="000000" w:themeColor="text1"/>
                <w:kern w:val="0"/>
                <w:sz w:val="21"/>
                <w:szCs w:val="21"/>
                <w:highlight w:val="none"/>
                <w:lang w:eastAsia="zh-CN"/>
                <w14:textFill>
                  <w14:solidFill>
                    <w14:schemeClr w14:val="tx1"/>
                  </w14:solidFill>
                </w14:textFill>
              </w:rPr>
              <w:t>全日制大学本科</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0"/>
                <w:sz w:val="21"/>
                <w:szCs w:val="21"/>
                <w:highlight w:val="none"/>
                <w14:textFill>
                  <w14:solidFill>
                    <w14:schemeClr w14:val="tx1"/>
                  </w14:solidFill>
                </w14:textFill>
              </w:rPr>
              <w:t>以上学历；</w:t>
            </w:r>
          </w:p>
          <w:p w14:paraId="7C5C0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2、认证要求：</w:t>
            </w:r>
            <w:r>
              <w:rPr>
                <w:rFonts w:hint="eastAsia" w:ascii="宋体" w:hAnsi="宋体" w:cs="宋体"/>
                <w:color w:val="000000" w:themeColor="text1"/>
                <w:kern w:val="0"/>
                <w:szCs w:val="21"/>
                <w:highlight w:val="none"/>
                <w14:textFill>
                  <w14:solidFill>
                    <w14:schemeClr w14:val="tx1"/>
                  </w14:solidFill>
                </w14:textFill>
              </w:rPr>
              <w:t>持有以下任意一项证书：信息系统项目管理师、系统规划与管理师、中级项目管理专业人士（CSPM-3）、ITIL（Expert或MP/SL/PM之一）中级认证、PgMP或其他全国性权威机构颁发的同级别或以上级别的认证</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14:paraId="26186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3、工作经验要求：</w:t>
            </w:r>
            <w:r>
              <w:rPr>
                <w:rFonts w:hint="eastAsia" w:ascii="宋体" w:hAnsi="宋体" w:cs="宋体"/>
                <w:color w:val="000000" w:themeColor="text1"/>
                <w:kern w:val="0"/>
                <w:sz w:val="21"/>
                <w:szCs w:val="21"/>
                <w:highlight w:val="none"/>
                <w:lang w:eastAsia="zh-CN"/>
                <w14:textFill>
                  <w14:solidFill>
                    <w14:schemeClr w14:val="tx1"/>
                  </w14:solidFill>
                </w14:textFill>
              </w:rPr>
              <w:t>5</w:t>
            </w:r>
            <w:r>
              <w:rPr>
                <w:rFonts w:hint="eastAsia" w:ascii="宋体" w:hAnsi="宋体" w:eastAsia="宋体" w:cs="宋体"/>
                <w:color w:val="000000" w:themeColor="text1"/>
                <w:kern w:val="0"/>
                <w:sz w:val="21"/>
                <w:szCs w:val="21"/>
                <w:highlight w:val="none"/>
                <w14:textFill>
                  <w14:solidFill>
                    <w14:schemeClr w14:val="tx1"/>
                  </w14:solidFill>
                </w14:textFill>
              </w:rPr>
              <w:t>年以上项目管理经验；</w:t>
            </w:r>
          </w:p>
          <w:p w14:paraId="76AD5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4、工作职责：</w:t>
            </w:r>
            <w:r>
              <w:rPr>
                <w:rFonts w:hint="eastAsia" w:ascii="宋体" w:hAnsi="宋体" w:eastAsia="宋体" w:cs="宋体"/>
                <w:color w:val="000000" w:themeColor="text1"/>
                <w:kern w:val="0"/>
                <w:sz w:val="21"/>
                <w:szCs w:val="21"/>
                <w:highlight w:val="none"/>
                <w14:textFill>
                  <w14:solidFill>
                    <w14:schemeClr w14:val="tx1"/>
                  </w14:solidFill>
                </w14:textFill>
              </w:rPr>
              <w:t>按</w:t>
            </w:r>
            <w:r>
              <w:rPr>
                <w:rFonts w:hint="eastAsia" w:ascii="宋体" w:hAnsi="宋体" w:cs="宋体"/>
                <w:color w:val="000000" w:themeColor="text1"/>
                <w:kern w:val="0"/>
                <w:sz w:val="21"/>
                <w:szCs w:val="21"/>
                <w:highlight w:val="none"/>
                <w:lang w:eastAsia="zh-CN"/>
                <w14:textFill>
                  <w14:solidFill>
                    <w14:schemeClr w14:val="tx1"/>
                  </w14:solidFill>
                </w14:textFill>
              </w:rPr>
              <w:t>采购人</w:t>
            </w:r>
            <w:r>
              <w:rPr>
                <w:rFonts w:hint="eastAsia" w:ascii="宋体" w:hAnsi="宋体" w:eastAsia="宋体" w:cs="宋体"/>
                <w:color w:val="000000" w:themeColor="text1"/>
                <w:kern w:val="0"/>
                <w:sz w:val="21"/>
                <w:szCs w:val="21"/>
                <w:highlight w:val="none"/>
                <w14:textFill>
                  <w14:solidFill>
                    <w14:schemeClr w14:val="tx1"/>
                  </w14:solidFill>
                </w14:textFill>
              </w:rPr>
              <w:t>需求提供项目管理、流程管理、绩效考核、项目跟进把控、产出物等运维管理服务。</w:t>
            </w:r>
          </w:p>
        </w:tc>
        <w:tc>
          <w:tcPr>
            <w:tcW w:w="795" w:type="dxa"/>
            <w:vAlign w:val="center"/>
          </w:tcPr>
          <w:p w14:paraId="04F2A763">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是</w:t>
            </w:r>
          </w:p>
        </w:tc>
        <w:tc>
          <w:tcPr>
            <w:tcW w:w="1090" w:type="dxa"/>
            <w:vAlign w:val="center"/>
          </w:tcPr>
          <w:p w14:paraId="21742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both"/>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5*8小时</w:t>
            </w:r>
            <w:r>
              <w:rPr>
                <w:rFonts w:hint="eastAsia" w:ascii="宋体" w:hAnsi="宋体" w:eastAsia="宋体" w:cs="宋体"/>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按采购</w:t>
            </w:r>
            <w:r>
              <w:rPr>
                <w:rFonts w:hint="eastAsia" w:ascii="宋体" w:hAnsi="宋体" w:eastAsia="宋体" w:cs="宋体"/>
                <w:color w:val="000000" w:themeColor="text1"/>
                <w:kern w:val="0"/>
                <w:sz w:val="21"/>
                <w:szCs w:val="21"/>
                <w:highlight w:val="none"/>
                <w:lang w:eastAsia="zh-CN"/>
                <w14:textFill>
                  <w14:solidFill>
                    <w14:schemeClr w14:val="tx1"/>
                  </w14:solidFill>
                </w14:textFill>
              </w:rPr>
              <w:t>人</w:t>
            </w:r>
            <w:r>
              <w:rPr>
                <w:rFonts w:hint="eastAsia" w:ascii="宋体" w:hAnsi="宋体" w:eastAsia="宋体" w:cs="宋体"/>
                <w:color w:val="000000" w:themeColor="text1"/>
                <w:kern w:val="0"/>
                <w:sz w:val="21"/>
                <w:szCs w:val="21"/>
                <w:highlight w:val="none"/>
                <w14:textFill>
                  <w14:solidFill>
                    <w14:schemeClr w14:val="tx1"/>
                  </w14:solidFill>
                </w14:textFill>
              </w:rPr>
              <w:t>工作时间要求到岗</w:t>
            </w:r>
          </w:p>
        </w:tc>
      </w:tr>
      <w:tr w14:paraId="3FA63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DD47D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N-1</w:t>
            </w:r>
            <w:r>
              <w:rPr>
                <w:rFonts w:hint="eastAsia" w:ascii="宋体" w:hAnsi="宋体" w:eastAsia="宋体" w:cs="宋体"/>
                <w:color w:val="000000" w:themeColor="text1"/>
                <w:kern w:val="2"/>
                <w:sz w:val="21"/>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项目助理</w:t>
            </w:r>
          </w:p>
        </w:tc>
        <w:tc>
          <w:tcPr>
            <w:tcW w:w="690" w:type="dxa"/>
            <w:vAlign w:val="center"/>
          </w:tcPr>
          <w:p w14:paraId="3A9857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top"/>
          </w:tcPr>
          <w:p w14:paraId="70A330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以上学历；</w:t>
            </w:r>
          </w:p>
          <w:p w14:paraId="4C6EA1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cs="宋体"/>
                <w:color w:val="000000" w:themeColor="text1"/>
                <w:szCs w:val="21"/>
                <w:highlight w:val="none"/>
                <w14:textFill>
                  <w14:solidFill>
                    <w14:schemeClr w14:val="tx1"/>
                  </w14:solidFill>
                </w14:textFill>
              </w:rPr>
              <w:t>持有以下任意一项证书：系统集成项目管理工程师、信息系统管理工程师、信息系统监理师、IT服务经理（ITSS）、初级项目管理专业人士（CSPM-2）、PMP、ITIL Foundation、或其他全国性权威机构颁发的同级别或以上级别的认证</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570A8D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至少2年计算机行业客户服务管理工作经验；</w:t>
            </w:r>
          </w:p>
          <w:p w14:paraId="7A5978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按采购人需求</w:t>
            </w:r>
            <w:r>
              <w:rPr>
                <w:rFonts w:hint="eastAsia" w:ascii="宋体" w:hAnsi="宋体" w:cs="宋体"/>
                <w:color w:val="000000" w:themeColor="text1"/>
                <w:kern w:val="2"/>
                <w:sz w:val="21"/>
                <w:szCs w:val="21"/>
                <w:highlight w:val="none"/>
                <w:lang w:eastAsia="zh-CN"/>
                <w14:textFill>
                  <w14:solidFill>
                    <w14:schemeClr w14:val="tx1"/>
                  </w14:solidFill>
                </w14:textFill>
              </w:rPr>
              <w:t>协助项目经理完成</w:t>
            </w:r>
            <w:r>
              <w:rPr>
                <w:rFonts w:hint="eastAsia" w:ascii="宋体" w:hAnsi="宋体" w:eastAsia="宋体" w:cs="宋体"/>
                <w:color w:val="000000" w:themeColor="text1"/>
                <w:kern w:val="2"/>
                <w:sz w:val="21"/>
                <w:szCs w:val="21"/>
                <w:highlight w:val="none"/>
                <w14:textFill>
                  <w14:solidFill>
                    <w14:schemeClr w14:val="tx1"/>
                  </w14:solidFill>
                </w14:textFill>
              </w:rPr>
              <w:t>项目管理、流程管理、绩效考核、项目跟进把控、产出物等运维管理服务。</w:t>
            </w:r>
          </w:p>
        </w:tc>
        <w:tc>
          <w:tcPr>
            <w:tcW w:w="795" w:type="dxa"/>
            <w:vAlign w:val="center"/>
          </w:tcPr>
          <w:p w14:paraId="4F68C8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5DFFC5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3B135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7210A90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t>N-5 驻场工程师</w:t>
            </w:r>
          </w:p>
        </w:tc>
        <w:tc>
          <w:tcPr>
            <w:tcW w:w="690" w:type="dxa"/>
            <w:vAlign w:val="center"/>
          </w:tcPr>
          <w:p w14:paraId="4BD41A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1</w:t>
            </w:r>
          </w:p>
        </w:tc>
        <w:tc>
          <w:tcPr>
            <w:tcW w:w="4525" w:type="dxa"/>
            <w:vAlign w:val="top"/>
          </w:tcPr>
          <w:p w14:paraId="619BA92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1、学历要求：</w:t>
            </w:r>
            <w:r>
              <w:rPr>
                <w:rFonts w:hint="eastAsia" w:ascii="宋体" w:hAnsi="宋体" w:cs="宋体"/>
                <w:b w:val="0"/>
                <w:bCs/>
                <w:color w:val="000000" w:themeColor="text1"/>
                <w:kern w:val="2"/>
                <w:sz w:val="21"/>
                <w:szCs w:val="21"/>
                <w:highlight w:val="none"/>
                <w:lang w:eastAsia="zh-CN"/>
                <w14:textFill>
                  <w14:solidFill>
                    <w14:schemeClr w14:val="tx1"/>
                  </w14:solidFill>
                </w14:textFill>
              </w:rPr>
              <w:t>全日制大学</w:t>
            </w:r>
            <w:r>
              <w:rPr>
                <w:rFonts w:hint="eastAsia" w:ascii="宋体" w:hAnsi="宋体" w:eastAsia="宋体" w:cs="宋体"/>
                <w:b w:val="0"/>
                <w:bCs/>
                <w:color w:val="000000" w:themeColor="text1"/>
                <w:kern w:val="2"/>
                <w:sz w:val="21"/>
                <w:szCs w:val="21"/>
                <w:highlight w:val="none"/>
                <w14:textFill>
                  <w14:solidFill>
                    <w14:schemeClr w14:val="tx1"/>
                  </w14:solidFill>
                </w14:textFill>
              </w:rPr>
              <w:t>本科</w:t>
            </w:r>
            <w:r>
              <w:rPr>
                <w:rFonts w:hint="eastAsia" w:ascii="宋体" w:hAnsi="宋体" w:cs="宋体"/>
                <w:b w:val="0"/>
                <w:bCs/>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b w:val="0"/>
                <w:bCs/>
                <w:color w:val="000000" w:themeColor="text1"/>
                <w:kern w:val="2"/>
                <w:sz w:val="21"/>
                <w:szCs w:val="21"/>
                <w:highlight w:val="none"/>
                <w14:textFill>
                  <w14:solidFill>
                    <w14:schemeClr w14:val="tx1"/>
                  </w14:solidFill>
                </w14:textFill>
              </w:rPr>
              <w:t>以上</w:t>
            </w:r>
            <w:r>
              <w:rPr>
                <w:rFonts w:hint="eastAsia" w:ascii="宋体" w:hAnsi="宋体" w:cs="宋体"/>
                <w:b w:val="0"/>
                <w:bCs/>
                <w:color w:val="000000" w:themeColor="text1"/>
                <w:kern w:val="2"/>
                <w:sz w:val="21"/>
                <w:szCs w:val="21"/>
                <w:highlight w:val="none"/>
                <w:lang w:eastAsia="zh-CN"/>
                <w14:textFill>
                  <w14:solidFill>
                    <w14:schemeClr w14:val="tx1"/>
                  </w14:solidFill>
                </w14:textFill>
              </w:rPr>
              <w:t>计算机、通信、电子等相关专业</w:t>
            </w:r>
            <w:r>
              <w:rPr>
                <w:rFonts w:hint="eastAsia" w:ascii="宋体" w:hAnsi="宋体" w:eastAsia="宋体" w:cs="宋体"/>
                <w:b w:val="0"/>
                <w:bCs/>
                <w:color w:val="000000" w:themeColor="text1"/>
                <w:kern w:val="2"/>
                <w:sz w:val="21"/>
                <w:szCs w:val="21"/>
                <w:highlight w:val="none"/>
                <w14:textFill>
                  <w14:solidFill>
                    <w14:schemeClr w14:val="tx1"/>
                  </w14:solidFill>
                </w14:textFill>
              </w:rPr>
              <w:t>学历</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1528522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2、认证要求：</w:t>
            </w:r>
            <w:r>
              <w:rPr>
                <w:rFonts w:hint="eastAsia" w:ascii="宋体" w:hAnsi="宋体" w:cs="宋体"/>
                <w:b w:val="0"/>
                <w:bCs/>
                <w:color w:val="000000" w:themeColor="text1"/>
                <w:kern w:val="2"/>
                <w:sz w:val="21"/>
                <w:szCs w:val="21"/>
                <w:highlight w:val="none"/>
                <w:lang w:eastAsia="zh-CN"/>
                <w14:textFill>
                  <w14:solidFill>
                    <w14:schemeClr w14:val="tx1"/>
                  </w14:solidFill>
                </w14:textFill>
              </w:rPr>
              <w:t>无</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0E1D73D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3、工作经验要求：</w:t>
            </w:r>
            <w:r>
              <w:rPr>
                <w:rFonts w:hint="eastAsia" w:ascii="宋体" w:hAnsi="宋体" w:cs="宋体"/>
                <w:b w:val="0"/>
                <w:bCs/>
                <w:color w:val="000000" w:themeColor="text1"/>
                <w:kern w:val="2"/>
                <w:sz w:val="21"/>
                <w:szCs w:val="21"/>
                <w:highlight w:val="none"/>
                <w:lang w:val="en-US" w:eastAsia="zh-CN"/>
                <w14:textFill>
                  <w14:solidFill>
                    <w14:schemeClr w14:val="tx1"/>
                  </w14:solidFill>
                </w14:textFill>
              </w:rPr>
              <w:t>3年及以上信息系统运维经验</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1E39DF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4、工作职责：</w:t>
            </w:r>
            <w:r>
              <w:rPr>
                <w:rFonts w:hint="eastAsia" w:ascii="宋体" w:hAnsi="宋体" w:cs="宋体"/>
                <w:b w:val="0"/>
                <w:bCs/>
                <w:color w:val="000000" w:themeColor="text1"/>
                <w:kern w:val="2"/>
                <w:sz w:val="21"/>
                <w:szCs w:val="21"/>
                <w:highlight w:val="none"/>
                <w:lang w:eastAsia="zh-CN"/>
                <w14:textFill>
                  <w14:solidFill>
                    <w14:schemeClr w14:val="tx1"/>
                  </w14:solidFill>
                </w14:textFill>
              </w:rPr>
              <w:t>负责广西公安智能体平台的日常维护、系统巡检、故障处置、及时响应并处理系统突发事件，定期监测平台及系统运行环境、数据库状况、数据备份情况等；负责对平台运行中出现的问题及时汇总、分析和解决</w:t>
            </w:r>
            <w:r>
              <w:rPr>
                <w:rFonts w:hint="eastAsia" w:ascii="宋体" w:hAnsi="宋体" w:eastAsia="宋体" w:cs="宋体"/>
                <w:color w:val="000000" w:themeColor="text1"/>
                <w:kern w:val="2"/>
                <w:sz w:val="21"/>
                <w:szCs w:val="21"/>
                <w:highlight w:val="none"/>
                <w14:textFill>
                  <w14:solidFill>
                    <w14:schemeClr w14:val="tx1"/>
                  </w14:solidFill>
                </w14:textFill>
              </w:rPr>
              <w:t>。</w:t>
            </w:r>
          </w:p>
        </w:tc>
        <w:tc>
          <w:tcPr>
            <w:tcW w:w="795" w:type="dxa"/>
            <w:vAlign w:val="center"/>
          </w:tcPr>
          <w:p w14:paraId="7372CF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2AE830E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7A15A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0A3DFE5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O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7FBB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59F3173">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O-1 </w:t>
            </w:r>
            <w:r>
              <w:rPr>
                <w:rFonts w:hint="eastAsia" w:ascii="宋体" w:hAnsi="宋体" w:eastAsia="宋体" w:cs="宋体"/>
                <w:color w:val="000000" w:themeColor="text1"/>
                <w:kern w:val="0"/>
                <w:sz w:val="21"/>
                <w:szCs w:val="21"/>
                <w:highlight w:val="none"/>
                <w14:textFill>
                  <w14:solidFill>
                    <w14:schemeClr w14:val="tx1"/>
                  </w14:solidFill>
                </w14:textFill>
              </w:rPr>
              <w:t>平台运维工程师</w:t>
            </w:r>
          </w:p>
        </w:tc>
        <w:tc>
          <w:tcPr>
            <w:tcW w:w="690" w:type="dxa"/>
            <w:vAlign w:val="center"/>
          </w:tcPr>
          <w:p w14:paraId="492F0F94">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4525" w:type="dxa"/>
            <w:vAlign w:val="center"/>
          </w:tcPr>
          <w:p w14:paraId="6D4D7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1、学历要求：</w:t>
            </w:r>
            <w:r>
              <w:rPr>
                <w:rFonts w:hint="eastAsia" w:ascii="宋体" w:hAnsi="宋体" w:eastAsia="宋体" w:cs="宋体"/>
                <w:color w:val="000000" w:themeColor="text1"/>
                <w:kern w:val="0"/>
                <w:sz w:val="21"/>
                <w:szCs w:val="21"/>
                <w:highlight w:val="none"/>
                <w14:textFill>
                  <w14:solidFill>
                    <w14:schemeClr w14:val="tx1"/>
                  </w14:solidFill>
                </w14:textFill>
              </w:rPr>
              <w:t>大学专科及以上学历或同等学历，计算机相关专业优先；</w:t>
            </w:r>
          </w:p>
          <w:p w14:paraId="34EDC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2、认证要求：</w:t>
            </w:r>
            <w:r>
              <w:rPr>
                <w:rFonts w:hint="eastAsia" w:ascii="宋体" w:hAnsi="宋体" w:eastAsia="宋体" w:cs="宋体"/>
                <w:color w:val="000000" w:themeColor="text1"/>
                <w:kern w:val="0"/>
                <w:sz w:val="21"/>
                <w:szCs w:val="21"/>
                <w:highlight w:val="none"/>
                <w14:textFill>
                  <w14:solidFill>
                    <w14:schemeClr w14:val="tx1"/>
                  </w14:solidFill>
                </w14:textFill>
              </w:rPr>
              <w:t>具有软件开发类同级别或以上认证优先；</w:t>
            </w:r>
          </w:p>
          <w:p w14:paraId="4B751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3、工作经验要求：</w:t>
            </w:r>
            <w:r>
              <w:rPr>
                <w:rFonts w:hint="eastAsia" w:ascii="宋体" w:hAnsi="宋体" w:eastAsia="宋体" w:cs="宋体"/>
                <w:color w:val="000000" w:themeColor="text1"/>
                <w:kern w:val="0"/>
                <w:sz w:val="21"/>
                <w:szCs w:val="21"/>
                <w:highlight w:val="none"/>
                <w14:textFill>
                  <w14:solidFill>
                    <w14:schemeClr w14:val="tx1"/>
                  </w14:solidFill>
                </w14:textFill>
              </w:rPr>
              <w:t>具有3年以上信息系统软件开发与数据资源维护经验优先；</w:t>
            </w:r>
          </w:p>
          <w:p w14:paraId="193687A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4、工作职责：</w:t>
            </w:r>
            <w:r>
              <w:rPr>
                <w:rFonts w:hint="eastAsia" w:ascii="宋体" w:hAnsi="宋体" w:eastAsia="宋体" w:cs="宋体"/>
                <w:color w:val="000000" w:themeColor="text1"/>
                <w:kern w:val="0"/>
                <w:sz w:val="21"/>
                <w:szCs w:val="21"/>
                <w:highlight w:val="none"/>
                <w14:textFill>
                  <w14:solidFill>
                    <w14:schemeClr w14:val="tx1"/>
                  </w14:solidFill>
                </w14:textFill>
              </w:rPr>
              <w:t>提供警综驻场技术支持服务。</w:t>
            </w:r>
          </w:p>
        </w:tc>
        <w:tc>
          <w:tcPr>
            <w:tcW w:w="795" w:type="dxa"/>
            <w:vAlign w:val="center"/>
          </w:tcPr>
          <w:p w14:paraId="60D3FDC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是</w:t>
            </w:r>
          </w:p>
        </w:tc>
        <w:tc>
          <w:tcPr>
            <w:tcW w:w="1090" w:type="dxa"/>
            <w:vAlign w:val="center"/>
          </w:tcPr>
          <w:p w14:paraId="45346151">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6D52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C2E426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O-1 </w:t>
            </w:r>
            <w:r>
              <w:rPr>
                <w:rFonts w:hint="eastAsia" w:ascii="宋体" w:hAnsi="宋体" w:eastAsia="宋体" w:cs="宋体"/>
                <w:color w:val="000000" w:themeColor="text1"/>
                <w:kern w:val="0"/>
                <w:sz w:val="21"/>
                <w:szCs w:val="21"/>
                <w:highlight w:val="none"/>
                <w14:textFill>
                  <w14:solidFill>
                    <w14:schemeClr w14:val="tx1"/>
                  </w14:solidFill>
                </w14:textFill>
              </w:rPr>
              <w:t>平台</w:t>
            </w:r>
            <w:r>
              <w:rPr>
                <w:rFonts w:hint="eastAsia" w:ascii="宋体" w:hAnsi="宋体" w:eastAsia="宋体" w:cs="宋体"/>
                <w:color w:val="000000" w:themeColor="text1"/>
                <w:kern w:val="0"/>
                <w:sz w:val="21"/>
                <w:szCs w:val="21"/>
                <w:highlight w:val="none"/>
                <w:lang w:eastAsia="zh-CN"/>
                <w14:textFill>
                  <w14:solidFill>
                    <w14:schemeClr w14:val="tx1"/>
                  </w14:solidFill>
                </w14:textFill>
              </w:rPr>
              <w:t>非驻场</w:t>
            </w:r>
            <w:r>
              <w:rPr>
                <w:rFonts w:hint="eastAsia" w:ascii="宋体" w:hAnsi="宋体" w:eastAsia="宋体" w:cs="宋体"/>
                <w:color w:val="000000" w:themeColor="text1"/>
                <w:kern w:val="0"/>
                <w:sz w:val="21"/>
                <w:szCs w:val="21"/>
                <w:highlight w:val="none"/>
                <w14:textFill>
                  <w14:solidFill>
                    <w14:schemeClr w14:val="tx1"/>
                  </w14:solidFill>
                </w14:textFill>
              </w:rPr>
              <w:t>运维工程师</w:t>
            </w:r>
          </w:p>
        </w:tc>
        <w:tc>
          <w:tcPr>
            <w:tcW w:w="690" w:type="dxa"/>
            <w:vAlign w:val="center"/>
          </w:tcPr>
          <w:p w14:paraId="66BF9891">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1A6311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1、学历要求：</w:t>
            </w:r>
            <w:r>
              <w:rPr>
                <w:rFonts w:hint="eastAsia" w:ascii="宋体" w:hAnsi="宋体" w:eastAsia="宋体" w:cs="宋体"/>
                <w:color w:val="000000" w:themeColor="text1"/>
                <w:kern w:val="0"/>
                <w:sz w:val="21"/>
                <w:szCs w:val="21"/>
                <w:highlight w:val="none"/>
                <w14:textFill>
                  <w14:solidFill>
                    <w14:schemeClr w14:val="tx1"/>
                  </w14:solidFill>
                </w14:textFill>
              </w:rPr>
              <w:t>大学专科</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0"/>
                <w:sz w:val="21"/>
                <w:szCs w:val="21"/>
                <w:highlight w:val="none"/>
                <w14:textFill>
                  <w14:solidFill>
                    <w14:schemeClr w14:val="tx1"/>
                  </w14:solidFill>
                </w14:textFill>
              </w:rPr>
              <w:t>以上计算机类专业学历或同等学历；</w:t>
            </w:r>
          </w:p>
          <w:p w14:paraId="520E95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2、认证要求：</w:t>
            </w:r>
            <w:r>
              <w:rPr>
                <w:rFonts w:hint="eastAsia" w:ascii="宋体" w:hAnsi="宋体" w:eastAsia="宋体" w:cs="宋体"/>
                <w:color w:val="000000" w:themeColor="text1"/>
                <w:kern w:val="0"/>
                <w:sz w:val="21"/>
                <w:szCs w:val="21"/>
                <w:highlight w:val="none"/>
                <w14:textFill>
                  <w14:solidFill>
                    <w14:schemeClr w14:val="tx1"/>
                  </w14:solidFill>
                </w14:textFill>
              </w:rPr>
              <w:t>具有软件开发类同级别或以上认证优先；</w:t>
            </w:r>
          </w:p>
          <w:p w14:paraId="5D767B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3、工作经验要求：</w:t>
            </w:r>
            <w:r>
              <w:rPr>
                <w:rFonts w:hint="eastAsia" w:ascii="宋体" w:hAnsi="宋体" w:eastAsia="宋体" w:cs="宋体"/>
                <w:color w:val="000000" w:themeColor="text1"/>
                <w:kern w:val="0"/>
                <w:sz w:val="21"/>
                <w:szCs w:val="21"/>
                <w:highlight w:val="none"/>
                <w14:textFill>
                  <w14:solidFill>
                    <w14:schemeClr w14:val="tx1"/>
                  </w14:solidFill>
                </w14:textFill>
              </w:rPr>
              <w:t>要求3年以上信息系统软件开发与数据资源维护经验；</w:t>
            </w:r>
          </w:p>
          <w:p w14:paraId="08C8D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4、工作职责：</w:t>
            </w:r>
            <w:r>
              <w:rPr>
                <w:rFonts w:hint="eastAsia" w:ascii="宋体" w:hAnsi="宋体" w:eastAsia="宋体" w:cs="宋体"/>
                <w:color w:val="000000" w:themeColor="text1"/>
                <w:kern w:val="0"/>
                <w:sz w:val="21"/>
                <w:szCs w:val="21"/>
                <w:highlight w:val="none"/>
                <w14:textFill>
                  <w14:solidFill>
                    <w14:schemeClr w14:val="tx1"/>
                  </w14:solidFill>
                </w14:textFill>
              </w:rPr>
              <w:t>提供警综二线技术支持服务。</w:t>
            </w:r>
          </w:p>
        </w:tc>
        <w:tc>
          <w:tcPr>
            <w:tcW w:w="795" w:type="dxa"/>
            <w:vAlign w:val="center"/>
          </w:tcPr>
          <w:p w14:paraId="70EBB8D4">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1DD8ED13">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50E0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6299A1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O-2 </w:t>
            </w:r>
            <w:r>
              <w:rPr>
                <w:rFonts w:hint="eastAsia" w:ascii="宋体" w:hAnsi="宋体" w:eastAsia="宋体" w:cs="宋体"/>
                <w:color w:val="000000" w:themeColor="text1"/>
                <w:kern w:val="0"/>
                <w:sz w:val="21"/>
                <w:szCs w:val="21"/>
                <w:highlight w:val="none"/>
                <w14:textFill>
                  <w14:solidFill>
                    <w14:schemeClr w14:val="tx1"/>
                  </w14:solidFill>
                </w14:textFill>
              </w:rPr>
              <w:t>系统维护工程师</w:t>
            </w:r>
          </w:p>
        </w:tc>
        <w:tc>
          <w:tcPr>
            <w:tcW w:w="690" w:type="dxa"/>
            <w:vAlign w:val="center"/>
          </w:tcPr>
          <w:p w14:paraId="67912A5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4525" w:type="dxa"/>
            <w:vAlign w:val="center"/>
          </w:tcPr>
          <w:p w14:paraId="4528BD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Cs/>
                <w:color w:val="000000" w:themeColor="text1"/>
                <w:kern w:val="2"/>
                <w:sz w:val="21"/>
                <w:szCs w:val="24"/>
                <w:highlight w:val="none"/>
                <w14:textFill>
                  <w14:solidFill>
                    <w14:schemeClr w14:val="tx1"/>
                  </w14:solidFill>
                </w14:textFill>
              </w:rPr>
              <w:t>大学本科</w:t>
            </w:r>
            <w:r>
              <w:rPr>
                <w:rFonts w:hint="eastAsia" w:ascii="宋体" w:hAnsi="宋体" w:eastAsia="宋体" w:cs="宋体"/>
                <w:bCs/>
                <w:color w:val="000000" w:themeColor="text1"/>
                <w:kern w:val="2"/>
                <w:sz w:val="21"/>
                <w:szCs w:val="24"/>
                <w:highlight w:val="none"/>
                <w:lang w:eastAsia="zh-CN"/>
                <w14:textFill>
                  <w14:solidFill>
                    <w14:schemeClr w14:val="tx1"/>
                  </w14:solidFill>
                </w14:textFill>
              </w:rPr>
              <w:t>及</w:t>
            </w:r>
            <w:r>
              <w:rPr>
                <w:rFonts w:hint="eastAsia" w:ascii="宋体" w:hAnsi="宋体" w:eastAsia="宋体" w:cs="宋体"/>
                <w:bCs/>
                <w:color w:val="000000" w:themeColor="text1"/>
                <w:kern w:val="2"/>
                <w:sz w:val="21"/>
                <w:szCs w:val="24"/>
                <w:highlight w:val="none"/>
                <w14:textFill>
                  <w14:solidFill>
                    <w14:schemeClr w14:val="tx1"/>
                  </w14:solidFill>
                </w14:textFill>
              </w:rPr>
              <w:t>以上计算机类专业学历或同等学历；</w:t>
            </w:r>
          </w:p>
          <w:p w14:paraId="2CF264C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Cs/>
                <w:color w:val="000000" w:themeColor="text1"/>
                <w:kern w:val="2"/>
                <w:sz w:val="21"/>
                <w:szCs w:val="24"/>
                <w:highlight w:val="none"/>
                <w14:textFill>
                  <w14:solidFill>
                    <w14:schemeClr w14:val="tx1"/>
                  </w14:solidFill>
                </w14:textFill>
              </w:rPr>
              <w:t>无；</w:t>
            </w:r>
          </w:p>
          <w:p w14:paraId="14705C4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Cs/>
                <w:color w:val="000000" w:themeColor="text1"/>
                <w:kern w:val="2"/>
                <w:sz w:val="21"/>
                <w:szCs w:val="24"/>
                <w:highlight w:val="none"/>
                <w14:textFill>
                  <w14:solidFill>
                    <w14:schemeClr w14:val="tx1"/>
                  </w14:solidFill>
                </w14:textFill>
              </w:rPr>
              <w:t>3年或以上计算机行业软件运维项目建设经验；</w:t>
            </w:r>
          </w:p>
          <w:p w14:paraId="4B6DD4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4、工作职责：</w:t>
            </w:r>
            <w:r>
              <w:rPr>
                <w:rFonts w:hint="eastAsia" w:ascii="宋体" w:hAnsi="宋体" w:eastAsia="宋体" w:cs="宋体"/>
                <w:color w:val="000000" w:themeColor="text1"/>
                <w:kern w:val="0"/>
                <w:sz w:val="21"/>
                <w:szCs w:val="21"/>
                <w:highlight w:val="none"/>
                <w14:textFill>
                  <w14:solidFill>
                    <w14:schemeClr w14:val="tx1"/>
                  </w14:solidFill>
                </w14:textFill>
              </w:rPr>
              <w:t>对</w:t>
            </w:r>
            <w:r>
              <w:rPr>
                <w:rFonts w:hint="eastAsia" w:ascii="宋体" w:hAnsi="宋体" w:eastAsia="宋体" w:cs="宋体"/>
                <w:bCs/>
                <w:color w:val="000000" w:themeColor="text1"/>
                <w:kern w:val="2"/>
                <w:sz w:val="21"/>
                <w:szCs w:val="24"/>
                <w:highlight w:val="none"/>
                <w14:textFill>
                  <w14:solidFill>
                    <w14:schemeClr w14:val="tx1"/>
                  </w14:solidFill>
                </w14:textFill>
              </w:rPr>
              <w:t>信息资源请求服务系统运</w:t>
            </w:r>
            <w:r>
              <w:rPr>
                <w:rFonts w:hint="eastAsia" w:ascii="宋体" w:hAnsi="宋体" w:eastAsia="宋体" w:cs="宋体"/>
                <w:color w:val="000000" w:themeColor="text1"/>
                <w:kern w:val="0"/>
                <w:sz w:val="21"/>
                <w:szCs w:val="21"/>
                <w:highlight w:val="none"/>
                <w14:textFill>
                  <w14:solidFill>
                    <w14:schemeClr w14:val="tx1"/>
                  </w14:solidFill>
                </w14:textFill>
              </w:rPr>
              <w:t xml:space="preserve">维服务工作提供技术支持服务，在发生故障时需在1小时内远程响应，如远程无法解决故障需1天内到现场解决。 </w:t>
            </w:r>
          </w:p>
        </w:tc>
        <w:tc>
          <w:tcPr>
            <w:tcW w:w="795" w:type="dxa"/>
            <w:vAlign w:val="center"/>
          </w:tcPr>
          <w:p w14:paraId="158A24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0368F0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53E09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101C53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O-3 </w:t>
            </w:r>
            <w:r>
              <w:rPr>
                <w:rFonts w:hint="eastAsia" w:ascii="宋体" w:hAnsi="宋体" w:eastAsia="宋体" w:cs="宋体"/>
                <w:color w:val="000000" w:themeColor="text1"/>
                <w:kern w:val="2"/>
                <w:sz w:val="21"/>
                <w:szCs w:val="21"/>
                <w:highlight w:val="none"/>
                <w14:textFill>
                  <w14:solidFill>
                    <w14:schemeClr w14:val="tx1"/>
                  </w14:solidFill>
                </w14:textFill>
              </w:rPr>
              <w:t>系统运维工程师</w:t>
            </w:r>
          </w:p>
        </w:tc>
        <w:tc>
          <w:tcPr>
            <w:tcW w:w="690" w:type="dxa"/>
            <w:vAlign w:val="center"/>
          </w:tcPr>
          <w:p w14:paraId="7D01EE3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top"/>
          </w:tcPr>
          <w:p w14:paraId="4A155E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1、学历及工作年限要求：</w:t>
            </w:r>
            <w:r>
              <w:rPr>
                <w:rFonts w:hint="eastAsia" w:ascii="宋体" w:hAnsi="宋体" w:eastAsia="宋体" w:cs="宋体"/>
                <w:color w:val="000000" w:themeColor="text1"/>
                <w:kern w:val="2"/>
                <w:sz w:val="21"/>
                <w:szCs w:val="21"/>
                <w:highlight w:val="none"/>
                <w14:textFill>
                  <w14:solidFill>
                    <w14:schemeClr w14:val="tx1"/>
                  </w14:solidFill>
                </w14:textFill>
              </w:rPr>
              <w:t>大学专科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以上学历；</w:t>
            </w:r>
          </w:p>
          <w:p w14:paraId="309979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2、工作经验要求：</w:t>
            </w:r>
            <w:r>
              <w:rPr>
                <w:rFonts w:hint="eastAsia" w:ascii="宋体" w:hAnsi="宋体" w:eastAsia="宋体" w:cs="宋体"/>
                <w:color w:val="000000" w:themeColor="text1"/>
                <w:kern w:val="2"/>
                <w:sz w:val="21"/>
                <w:szCs w:val="21"/>
                <w:highlight w:val="none"/>
                <w14:textFill>
                  <w14:solidFill>
                    <w14:schemeClr w14:val="tx1"/>
                  </w14:solidFill>
                </w14:textFill>
              </w:rPr>
              <w:t>至少含3年以上信息系统运维经验</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p>
          <w:p w14:paraId="28AB9EF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3、工作职责：</w:t>
            </w:r>
            <w:r>
              <w:rPr>
                <w:rFonts w:hint="eastAsia" w:ascii="宋体" w:hAnsi="宋体" w:eastAsia="宋体" w:cs="宋体"/>
                <w:color w:val="000000" w:themeColor="text1"/>
                <w:kern w:val="2"/>
                <w:sz w:val="21"/>
                <w:szCs w:val="21"/>
                <w:highlight w:val="none"/>
                <w14:textFill>
                  <w14:solidFill>
                    <w14:schemeClr w14:val="tx1"/>
                  </w14:solidFill>
                </w14:textFill>
              </w:rPr>
              <w:t>负责广西公安</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FK</w:t>
            </w:r>
            <w:r>
              <w:rPr>
                <w:rFonts w:hint="eastAsia" w:ascii="宋体" w:hAnsi="宋体" w:eastAsia="宋体" w:cs="宋体"/>
                <w:color w:val="000000" w:themeColor="text1"/>
                <w:kern w:val="2"/>
                <w:sz w:val="21"/>
                <w:szCs w:val="21"/>
                <w:highlight w:val="none"/>
                <w14:textFill>
                  <w14:solidFill>
                    <w14:schemeClr w14:val="tx1"/>
                  </w14:solidFill>
                </w14:textFill>
              </w:rPr>
              <w:t>指挥一张图、位置信息服务平台、P</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eastAsia="宋体" w:cs="宋体"/>
                <w:color w:val="000000" w:themeColor="text1"/>
                <w:kern w:val="2"/>
                <w:sz w:val="21"/>
                <w:szCs w:val="21"/>
                <w:highlight w:val="none"/>
                <w14:textFill>
                  <w14:solidFill>
                    <w14:schemeClr w14:val="tx1"/>
                  </w14:solidFill>
                </w14:textFill>
              </w:rPr>
              <w:t>IS定位信息全国联网服务的日常维护、系统巡检、故障处置、及时响应并处理系统突发事件，定期监测平台及系统运行环境、数据库状况、数据备份情况等。负责对平台运行中出现的问题及时汇总、分析和解决。</w:t>
            </w:r>
          </w:p>
        </w:tc>
        <w:tc>
          <w:tcPr>
            <w:tcW w:w="795" w:type="dxa"/>
            <w:vAlign w:val="center"/>
          </w:tcPr>
          <w:p w14:paraId="18CB2B05">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23691EB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5470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B7FBA54">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O-4至O-9 驻场项目主管</w:t>
            </w:r>
          </w:p>
        </w:tc>
        <w:tc>
          <w:tcPr>
            <w:tcW w:w="690" w:type="dxa"/>
            <w:vAlign w:val="center"/>
          </w:tcPr>
          <w:p w14:paraId="009B4C9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55ECCB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大学本科及以上；</w:t>
            </w:r>
          </w:p>
          <w:p w14:paraId="1912B1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无；</w:t>
            </w:r>
          </w:p>
          <w:p w14:paraId="433D50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5年以上系统运维经验，同时具备3年以上软件开发经验，熟悉系统运维，包括服务器、数据库和应用系统等的日常软件故障排除。</w:t>
            </w:r>
          </w:p>
        </w:tc>
        <w:tc>
          <w:tcPr>
            <w:tcW w:w="795" w:type="dxa"/>
            <w:vAlign w:val="center"/>
          </w:tcPr>
          <w:p w14:paraId="08A8F49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是</w:t>
            </w:r>
          </w:p>
        </w:tc>
        <w:tc>
          <w:tcPr>
            <w:tcW w:w="1090" w:type="dxa"/>
            <w:vAlign w:val="center"/>
          </w:tcPr>
          <w:p w14:paraId="20B3571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60BD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1ADCB9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O-4至O-9 驻场服务工程师</w:t>
            </w:r>
          </w:p>
        </w:tc>
        <w:tc>
          <w:tcPr>
            <w:tcW w:w="690" w:type="dxa"/>
            <w:vAlign w:val="center"/>
          </w:tcPr>
          <w:p w14:paraId="2E76A3C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p>
        </w:tc>
        <w:tc>
          <w:tcPr>
            <w:tcW w:w="4525" w:type="dxa"/>
            <w:vAlign w:val="center"/>
          </w:tcPr>
          <w:p w14:paraId="395BDB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大学本科及以上；</w:t>
            </w:r>
          </w:p>
          <w:p w14:paraId="6ED7AA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无；</w:t>
            </w:r>
          </w:p>
          <w:p w14:paraId="6CB83F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5年以上网络维护工作经验， 2年以上系统运维经验，熟悉系统及网络运维，包括服务器、操作系统、数据库和应用系统、网络设备等的日常软件故障排除。</w:t>
            </w:r>
          </w:p>
        </w:tc>
        <w:tc>
          <w:tcPr>
            <w:tcW w:w="795" w:type="dxa"/>
            <w:vAlign w:val="center"/>
          </w:tcPr>
          <w:p w14:paraId="0DFFCEB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是</w:t>
            </w:r>
          </w:p>
        </w:tc>
        <w:tc>
          <w:tcPr>
            <w:tcW w:w="1090" w:type="dxa"/>
            <w:vAlign w:val="center"/>
          </w:tcPr>
          <w:p w14:paraId="3DA0CF7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4B31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917055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O-10至O-17 驻场项目主管</w:t>
            </w:r>
          </w:p>
        </w:tc>
        <w:tc>
          <w:tcPr>
            <w:tcW w:w="690" w:type="dxa"/>
            <w:vAlign w:val="center"/>
          </w:tcPr>
          <w:p w14:paraId="06DDFECB">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top"/>
          </w:tcPr>
          <w:p w14:paraId="25F040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要求大学本科及以上计算机类或同等学历；</w:t>
            </w:r>
          </w:p>
          <w:p w14:paraId="46BBAB7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无；</w:t>
            </w:r>
          </w:p>
          <w:p w14:paraId="655ED77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需要有1年以上的相关运维工作经验；</w:t>
            </w:r>
          </w:p>
          <w:p w14:paraId="384687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4、工作职责：</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统筹管理智能卡口综合应用平台、广西公安多引擎动态、广西公安多引擎静态人像比对系统、全区公安视频图像数据库、一机一档系统、广西公安技术防控网基础设施升级改造及配套系统、广西视频图像解析中心设备、全区技术防控网运维平台等系统及硬件运维的各项事务，安排驻场工程师。</w:t>
            </w:r>
          </w:p>
        </w:tc>
        <w:tc>
          <w:tcPr>
            <w:tcW w:w="795" w:type="dxa"/>
            <w:vAlign w:val="center"/>
          </w:tcPr>
          <w:p w14:paraId="205FC22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是</w:t>
            </w:r>
          </w:p>
        </w:tc>
        <w:tc>
          <w:tcPr>
            <w:tcW w:w="1090" w:type="dxa"/>
            <w:vAlign w:val="center"/>
          </w:tcPr>
          <w:p w14:paraId="1CBD32D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5*8小时，按采购人工作时间要求到岗</w:t>
            </w:r>
          </w:p>
        </w:tc>
      </w:tr>
      <w:tr w14:paraId="3CD9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165DE97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O-10至O-17 驻场运维工程师</w:t>
            </w:r>
          </w:p>
        </w:tc>
        <w:tc>
          <w:tcPr>
            <w:tcW w:w="690" w:type="dxa"/>
            <w:vAlign w:val="center"/>
          </w:tcPr>
          <w:p w14:paraId="36B74F2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4525" w:type="dxa"/>
            <w:vAlign w:val="top"/>
          </w:tcPr>
          <w:p w14:paraId="46F911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要求大学专科及以上计算机类或同等学历；</w:t>
            </w:r>
          </w:p>
          <w:p w14:paraId="7EEE976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无；</w:t>
            </w:r>
          </w:p>
          <w:p w14:paraId="4A9D42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需要有1年以上的相关运维工作经验；</w:t>
            </w:r>
          </w:p>
          <w:p w14:paraId="13B7CF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4、工作职责：</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均须作为非工作日现场值班人员参与日常值班。</w:t>
            </w:r>
          </w:p>
        </w:tc>
        <w:tc>
          <w:tcPr>
            <w:tcW w:w="795" w:type="dxa"/>
            <w:vAlign w:val="center"/>
          </w:tcPr>
          <w:p w14:paraId="6C5B9F19">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是</w:t>
            </w:r>
          </w:p>
        </w:tc>
        <w:tc>
          <w:tcPr>
            <w:tcW w:w="1090" w:type="dxa"/>
            <w:vAlign w:val="center"/>
          </w:tcPr>
          <w:p w14:paraId="23D1A501">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5*8小时，按采购人工作时间要求到岗</w:t>
            </w:r>
          </w:p>
        </w:tc>
      </w:tr>
      <w:tr w14:paraId="4A40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013113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O-10至O-17 非驻场运维工程师</w:t>
            </w:r>
          </w:p>
        </w:tc>
        <w:tc>
          <w:tcPr>
            <w:tcW w:w="690" w:type="dxa"/>
            <w:vAlign w:val="center"/>
          </w:tcPr>
          <w:p w14:paraId="77FB411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4525" w:type="dxa"/>
            <w:vAlign w:val="top"/>
          </w:tcPr>
          <w:p w14:paraId="6B24303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要求大学专科及以上计算机类或同等学历；</w:t>
            </w:r>
          </w:p>
          <w:p w14:paraId="18A39E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无；</w:t>
            </w:r>
          </w:p>
          <w:p w14:paraId="69FE6FE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需要有1年以上的相关运维工作经验；</w:t>
            </w:r>
          </w:p>
          <w:p w14:paraId="611517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4"/>
                <w:highlight w:val="none"/>
                <w:lang w:val="en-US" w:eastAsia="zh-CN"/>
                <w14:textFill>
                  <w14:solidFill>
                    <w14:schemeClr w14:val="tx1"/>
                  </w14:solidFill>
                </w14:textFill>
              </w:rPr>
              <w:t>4、工作职责：</w:t>
            </w:r>
            <w:r>
              <w:rPr>
                <w:rFonts w:hint="eastAsia" w:ascii="宋体" w:hAnsi="宋体" w:eastAsia="宋体" w:cs="宋体"/>
                <w:b w:val="0"/>
                <w:bCs/>
                <w:color w:val="000000" w:themeColor="text1"/>
                <w:kern w:val="2"/>
                <w:sz w:val="21"/>
                <w:szCs w:val="24"/>
                <w:highlight w:val="none"/>
                <w:lang w:val="en-US" w:eastAsia="zh-CN"/>
                <w14:textFill>
                  <w14:solidFill>
                    <w14:schemeClr w14:val="tx1"/>
                  </w14:solidFill>
                </w14:textFill>
              </w:rPr>
              <w:t>均须作为非工作日现场值班人员参与日常值班。</w:t>
            </w:r>
          </w:p>
        </w:tc>
        <w:tc>
          <w:tcPr>
            <w:tcW w:w="795" w:type="dxa"/>
            <w:vAlign w:val="center"/>
          </w:tcPr>
          <w:p w14:paraId="670A6D5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760ED13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63535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EA2D52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O-18 驻场工程师</w:t>
            </w:r>
          </w:p>
        </w:tc>
        <w:tc>
          <w:tcPr>
            <w:tcW w:w="690" w:type="dxa"/>
            <w:vAlign w:val="center"/>
          </w:tcPr>
          <w:p w14:paraId="606CFC7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5D32B8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大专及以上学历或同等学历；</w:t>
            </w:r>
          </w:p>
          <w:p w14:paraId="19B7CE2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eastAsia="zh-CN"/>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14:textFill>
                  <w14:solidFill>
                    <w14:schemeClr w14:val="tx1"/>
                  </w14:solidFill>
                </w14:textFill>
              </w:rPr>
              <w:t>企业微信私有化售前工程师；企业微信私有化认证开发工程师；企业微信私有化认证运维工程师</w:t>
            </w:r>
            <w:r>
              <w:rPr>
                <w:rFonts w:hint="eastAsia" w:ascii="宋体" w:hAnsi="宋体" w:eastAsia="宋体" w:cs="宋体"/>
                <w:b w:val="0"/>
                <w:bCs/>
                <w:color w:val="000000" w:themeColor="text1"/>
                <w:kern w:val="2"/>
                <w:sz w:val="21"/>
                <w:szCs w:val="24"/>
                <w:highlight w:val="none"/>
                <w:lang w:eastAsia="zh-CN"/>
                <w14:textFill>
                  <w14:solidFill>
                    <w14:schemeClr w14:val="tx1"/>
                  </w14:solidFill>
                </w14:textFill>
              </w:rPr>
              <w:t>；</w:t>
            </w:r>
          </w:p>
          <w:p w14:paraId="10D4C4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3年以上；</w:t>
            </w:r>
          </w:p>
          <w:p w14:paraId="778F020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4、工作职责：</w:t>
            </w:r>
            <w:r>
              <w:rPr>
                <w:rFonts w:hint="eastAsia" w:ascii="宋体" w:hAnsi="宋体" w:eastAsia="宋体" w:cs="宋体"/>
                <w:b w:val="0"/>
                <w:bCs/>
                <w:color w:val="000000" w:themeColor="text1"/>
                <w:kern w:val="2"/>
                <w:sz w:val="21"/>
                <w:szCs w:val="24"/>
                <w:highlight w:val="none"/>
                <w14:textFill>
                  <w14:solidFill>
                    <w14:schemeClr w14:val="tx1"/>
                  </w14:solidFill>
                </w14:textFill>
              </w:rPr>
              <w:t>负责新八桂警信日常运维，使用培训，故障响应处理，工作台应用接入技术指导。</w:t>
            </w:r>
          </w:p>
        </w:tc>
        <w:tc>
          <w:tcPr>
            <w:tcW w:w="795" w:type="dxa"/>
            <w:vAlign w:val="center"/>
          </w:tcPr>
          <w:p w14:paraId="4DA682B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是</w:t>
            </w:r>
          </w:p>
        </w:tc>
        <w:tc>
          <w:tcPr>
            <w:tcW w:w="1090" w:type="dxa"/>
            <w:vAlign w:val="center"/>
          </w:tcPr>
          <w:p w14:paraId="395FF45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5*8小时，按采购人工作时间要求到岗</w:t>
            </w:r>
          </w:p>
        </w:tc>
      </w:tr>
      <w:tr w14:paraId="342F1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2CF11B9">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O-18 非驻场工程师</w:t>
            </w:r>
          </w:p>
        </w:tc>
        <w:tc>
          <w:tcPr>
            <w:tcW w:w="690" w:type="dxa"/>
            <w:vAlign w:val="center"/>
          </w:tcPr>
          <w:p w14:paraId="6091BB8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5250C63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大专及以上学历或同等学历；</w:t>
            </w:r>
          </w:p>
          <w:p w14:paraId="48A783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eastAsia="zh-CN"/>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14:textFill>
                  <w14:solidFill>
                    <w14:schemeClr w14:val="tx1"/>
                  </w14:solidFill>
                </w14:textFill>
              </w:rPr>
              <w:t>企业微信私有化售前工程师；企业微信私有化认证开发工程师；企业微信私有化认证运维工程师</w:t>
            </w:r>
            <w:r>
              <w:rPr>
                <w:rFonts w:hint="eastAsia" w:ascii="宋体" w:hAnsi="宋体" w:eastAsia="宋体" w:cs="宋体"/>
                <w:b w:val="0"/>
                <w:bCs/>
                <w:color w:val="000000" w:themeColor="text1"/>
                <w:kern w:val="2"/>
                <w:sz w:val="21"/>
                <w:szCs w:val="24"/>
                <w:highlight w:val="none"/>
                <w:lang w:eastAsia="zh-CN"/>
                <w14:textFill>
                  <w14:solidFill>
                    <w14:schemeClr w14:val="tx1"/>
                  </w14:solidFill>
                </w14:textFill>
              </w:rPr>
              <w:t>；</w:t>
            </w:r>
          </w:p>
          <w:p w14:paraId="548C85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3年以上；</w:t>
            </w:r>
          </w:p>
          <w:p w14:paraId="464F3B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4、工作职责：</w:t>
            </w:r>
            <w:r>
              <w:rPr>
                <w:rFonts w:hint="eastAsia" w:ascii="宋体" w:hAnsi="宋体" w:eastAsia="宋体" w:cs="宋体"/>
                <w:b w:val="0"/>
                <w:bCs/>
                <w:color w:val="000000" w:themeColor="text1"/>
                <w:kern w:val="2"/>
                <w:sz w:val="21"/>
                <w:szCs w:val="24"/>
                <w:highlight w:val="none"/>
                <w14:textFill>
                  <w14:solidFill>
                    <w14:schemeClr w14:val="tx1"/>
                  </w14:solidFill>
                </w14:textFill>
              </w:rPr>
              <w:t>负责新八桂警信日常运维，使用培训，故障响应处理，工作台应用接入技术指导。</w:t>
            </w:r>
          </w:p>
        </w:tc>
        <w:tc>
          <w:tcPr>
            <w:tcW w:w="795" w:type="dxa"/>
            <w:vAlign w:val="center"/>
          </w:tcPr>
          <w:p w14:paraId="72E6825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159029F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446F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2C5BB0B">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O-19</w:t>
            </w:r>
            <w:r>
              <w:rPr>
                <w:rFonts w:hint="eastAsia" w:ascii="宋体" w:hAnsi="宋体" w:cs="宋体"/>
                <w:color w:val="000000" w:themeColor="text1"/>
                <w:kern w:val="0"/>
                <w:sz w:val="21"/>
                <w:szCs w:val="21"/>
                <w:highlight w:val="none"/>
                <w:lang w:val="en-US" w:eastAsia="zh-CN"/>
                <w14:textFill>
                  <w14:solidFill>
                    <w14:schemeClr w14:val="tx1"/>
                  </w14:solidFill>
                </w14:textFill>
              </w:rPr>
              <w:t>至O-20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 xml:space="preserve"> 非驻场</w:t>
            </w:r>
            <w:r>
              <w:rPr>
                <w:rFonts w:hint="eastAsia" w:ascii="宋体" w:hAnsi="宋体" w:cs="宋体"/>
                <w:color w:val="000000" w:themeColor="text1"/>
                <w:kern w:val="0"/>
                <w:sz w:val="21"/>
                <w:szCs w:val="21"/>
                <w:highlight w:val="none"/>
                <w:lang w:val="en-US" w:eastAsia="zh-CN"/>
                <w14:textFill>
                  <w14:solidFill>
                    <w14:schemeClr w14:val="tx1"/>
                  </w14:solidFill>
                </w14:textFill>
              </w:rPr>
              <w:t>系统</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维护工程师</w:t>
            </w:r>
          </w:p>
        </w:tc>
        <w:tc>
          <w:tcPr>
            <w:tcW w:w="690" w:type="dxa"/>
            <w:vAlign w:val="center"/>
          </w:tcPr>
          <w:p w14:paraId="3F4A4D7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29935A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大学本科及以上计算机类专业学历或同等学历；</w:t>
            </w:r>
          </w:p>
          <w:p w14:paraId="2F52EC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无；</w:t>
            </w:r>
          </w:p>
          <w:p w14:paraId="08363A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3年</w:t>
            </w:r>
            <w:r>
              <w:rPr>
                <w:rFonts w:hint="eastAsia" w:ascii="宋体" w:hAnsi="宋体" w:eastAsia="宋体" w:cs="宋体"/>
                <w:b w:val="0"/>
                <w:bCs/>
                <w:color w:val="000000" w:themeColor="text1"/>
                <w:kern w:val="2"/>
                <w:sz w:val="21"/>
                <w:szCs w:val="24"/>
                <w:highlight w:val="none"/>
                <w:lang w:eastAsia="zh-CN"/>
                <w14:textFill>
                  <w14:solidFill>
                    <w14:schemeClr w14:val="tx1"/>
                  </w14:solidFill>
                </w14:textFill>
              </w:rPr>
              <w:t>及</w:t>
            </w:r>
            <w:r>
              <w:rPr>
                <w:rFonts w:hint="eastAsia" w:ascii="宋体" w:hAnsi="宋体" w:eastAsia="宋体" w:cs="宋体"/>
                <w:b w:val="0"/>
                <w:bCs/>
                <w:color w:val="000000" w:themeColor="text1"/>
                <w:kern w:val="2"/>
                <w:sz w:val="21"/>
                <w:szCs w:val="24"/>
                <w:highlight w:val="none"/>
                <w14:textFill>
                  <w14:solidFill>
                    <w14:schemeClr w14:val="tx1"/>
                  </w14:solidFill>
                </w14:textFill>
              </w:rPr>
              <w:t>以上计算机行业软件运维项目建设经验；</w:t>
            </w:r>
          </w:p>
          <w:p w14:paraId="3D59AF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4、工作职责：</w:t>
            </w:r>
            <w:r>
              <w:rPr>
                <w:rFonts w:hint="eastAsia" w:ascii="宋体" w:hAnsi="宋体" w:eastAsia="宋体" w:cs="宋体"/>
                <w:b/>
                <w:color w:val="000000" w:themeColor="text1"/>
                <w:kern w:val="2"/>
                <w:sz w:val="21"/>
                <w:szCs w:val="24"/>
                <w:highlight w:val="none"/>
                <w14:textFill>
                  <w14:solidFill>
                    <w14:schemeClr w14:val="tx1"/>
                  </w14:solidFill>
                </w14:textFill>
              </w:rPr>
              <w:br w:type="textWrapping"/>
            </w:r>
            <w:r>
              <w:rPr>
                <w:rFonts w:hint="eastAsia" w:ascii="宋体" w:hAnsi="宋体" w:cs="宋体"/>
                <w:b w:val="0"/>
                <w:bCs/>
                <w:color w:val="000000" w:themeColor="text1"/>
                <w:kern w:val="2"/>
                <w:sz w:val="21"/>
                <w:szCs w:val="24"/>
                <w:highlight w:val="none"/>
                <w:lang w:eastAsia="zh-CN"/>
                <w14:textFill>
                  <w14:solidFill>
                    <w14:schemeClr w14:val="tx1"/>
                  </w14:solidFill>
                </w14:textFill>
              </w:rPr>
              <w:t>（</w:t>
            </w:r>
            <w:r>
              <w:rPr>
                <w:rFonts w:hint="eastAsia" w:ascii="宋体" w:hAnsi="宋体" w:cs="宋体"/>
                <w:b w:val="0"/>
                <w:bCs/>
                <w:color w:val="000000" w:themeColor="text1"/>
                <w:kern w:val="2"/>
                <w:sz w:val="21"/>
                <w:szCs w:val="24"/>
                <w:highlight w:val="none"/>
                <w:lang w:val="en-US" w:eastAsia="zh-CN"/>
                <w14:textFill>
                  <w14:solidFill>
                    <w14:schemeClr w14:val="tx1"/>
                  </w14:solidFill>
                </w14:textFill>
              </w:rPr>
              <w:t>1</w:t>
            </w:r>
            <w:r>
              <w:rPr>
                <w:rFonts w:hint="eastAsia" w:ascii="宋体" w:hAnsi="宋体" w:cs="宋体"/>
                <w:b w:val="0"/>
                <w:bCs/>
                <w:color w:val="000000" w:themeColor="text1"/>
                <w:kern w:val="2"/>
                <w:sz w:val="21"/>
                <w:szCs w:val="24"/>
                <w:highlight w:val="none"/>
                <w:lang w:eastAsia="zh-CN"/>
                <w14:textFill>
                  <w14:solidFill>
                    <w14:schemeClr w14:val="tx1"/>
                  </w14:solidFill>
                </w14:textFill>
              </w:rPr>
              <w:t>）</w:t>
            </w:r>
            <w:r>
              <w:rPr>
                <w:rFonts w:hint="eastAsia" w:ascii="宋体" w:hAnsi="宋体" w:eastAsia="宋体" w:cs="宋体"/>
                <w:b w:val="0"/>
                <w:bCs/>
                <w:color w:val="000000" w:themeColor="text1"/>
                <w:kern w:val="2"/>
                <w:sz w:val="21"/>
                <w:szCs w:val="24"/>
                <w:highlight w:val="none"/>
                <w14:textFill>
                  <w14:solidFill>
                    <w14:schemeClr w14:val="tx1"/>
                  </w14:solidFill>
                </w14:textFill>
              </w:rPr>
              <w:t>对大数据处理工具运维服务工作提供技术支持服务，在发生故障时需在1小时内远程响应，如远程无法解决故障需1天内到现场解决。</w:t>
            </w:r>
            <w:r>
              <w:rPr>
                <w:rFonts w:hint="eastAsia" w:ascii="宋体" w:hAnsi="宋体" w:eastAsia="宋体" w:cs="宋体"/>
                <w:b w:val="0"/>
                <w:bCs/>
                <w:color w:val="000000" w:themeColor="text1"/>
                <w:kern w:val="2"/>
                <w:sz w:val="21"/>
                <w:szCs w:val="24"/>
                <w:highlight w:val="none"/>
                <w14:textFill>
                  <w14:solidFill>
                    <w14:schemeClr w14:val="tx1"/>
                  </w14:solidFill>
                </w14:textFill>
              </w:rPr>
              <w:br w:type="textWrapping"/>
            </w:r>
            <w:r>
              <w:rPr>
                <w:rFonts w:hint="eastAsia" w:ascii="宋体" w:hAnsi="宋体" w:eastAsia="宋体" w:cs="宋体"/>
                <w:b w:val="0"/>
                <w:bCs/>
                <w:color w:val="000000" w:themeColor="text1"/>
                <w:kern w:val="2"/>
                <w:sz w:val="21"/>
                <w:szCs w:val="24"/>
                <w:highlight w:val="none"/>
                <w14:textFill>
                  <w14:solidFill>
                    <w14:schemeClr w14:val="tx1"/>
                  </w14:solidFill>
                </w14:textFill>
              </w:rPr>
              <w:t>（2）对DNS域名系统设备进行日常监控，形成设备及系统运行状态记录日志，发现问题随时处理，按照域名使用需求，开展日常域名配置工作。</w:t>
            </w:r>
          </w:p>
        </w:tc>
        <w:tc>
          <w:tcPr>
            <w:tcW w:w="795" w:type="dxa"/>
            <w:vAlign w:val="center"/>
          </w:tcPr>
          <w:p w14:paraId="6B833F19">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3A29EA9B">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1B9BE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E0C9815">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O-21 驻场服务工程师</w:t>
            </w:r>
          </w:p>
        </w:tc>
        <w:tc>
          <w:tcPr>
            <w:tcW w:w="690" w:type="dxa"/>
            <w:vAlign w:val="center"/>
          </w:tcPr>
          <w:p w14:paraId="75FECF0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2</w:t>
            </w:r>
          </w:p>
        </w:tc>
        <w:tc>
          <w:tcPr>
            <w:tcW w:w="4525" w:type="dxa"/>
            <w:vAlign w:val="center"/>
          </w:tcPr>
          <w:p w14:paraId="40C1217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大专/本科及以上学历或同等学历；</w:t>
            </w:r>
          </w:p>
          <w:p w14:paraId="7E551C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无；</w:t>
            </w:r>
          </w:p>
          <w:p w14:paraId="694561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5年以上网络维护工作经验， 2 年以上系统运维经验，熟悉系统及网络运维，包括服务器、操作系统、数据库和应用系统、网络设备等的日常软件故障排除。</w:t>
            </w:r>
          </w:p>
        </w:tc>
        <w:tc>
          <w:tcPr>
            <w:tcW w:w="795" w:type="dxa"/>
            <w:vAlign w:val="center"/>
          </w:tcPr>
          <w:p w14:paraId="306DA444">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是</w:t>
            </w:r>
          </w:p>
        </w:tc>
        <w:tc>
          <w:tcPr>
            <w:tcW w:w="1090" w:type="dxa"/>
            <w:vAlign w:val="center"/>
          </w:tcPr>
          <w:p w14:paraId="1A0DE23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5*8小时，按采购人工作时间要求到岗</w:t>
            </w:r>
          </w:p>
        </w:tc>
      </w:tr>
      <w:tr w14:paraId="1E3B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9D8BAF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O-21 非驻场服务工程师</w:t>
            </w:r>
          </w:p>
        </w:tc>
        <w:tc>
          <w:tcPr>
            <w:tcW w:w="690" w:type="dxa"/>
            <w:vAlign w:val="center"/>
          </w:tcPr>
          <w:p w14:paraId="4737E7A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0742A3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大专/本科及以上学历或同等学历；</w:t>
            </w:r>
          </w:p>
          <w:p w14:paraId="2C0C6CD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无；</w:t>
            </w:r>
          </w:p>
          <w:p w14:paraId="4C186C5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lang w:eastAsia="zh-CN"/>
                <w14:textFill>
                  <w14:solidFill>
                    <w14:schemeClr w14:val="tx1"/>
                  </w14:solidFill>
                </w14:textFill>
              </w:rPr>
              <w:t>提供</w:t>
            </w:r>
            <w:r>
              <w:rPr>
                <w:rFonts w:hint="eastAsia" w:ascii="宋体" w:hAnsi="宋体" w:eastAsia="宋体" w:cs="宋体"/>
                <w:b w:val="0"/>
                <w:bCs/>
                <w:color w:val="000000" w:themeColor="text1"/>
                <w:kern w:val="2"/>
                <w:sz w:val="21"/>
                <w:szCs w:val="24"/>
                <w:highlight w:val="none"/>
                <w14:textFill>
                  <w14:solidFill>
                    <w14:schemeClr w14:val="tx1"/>
                  </w14:solidFill>
                </w14:textFill>
              </w:rPr>
              <w:t>7×24小时的技术支持和故障响应时间应小于30分钟，即30分钟内有能够处理故障的技术人员到达现场。一般问题在2小时内修复，复杂问题在12小时内修复。</w:t>
            </w:r>
          </w:p>
        </w:tc>
        <w:tc>
          <w:tcPr>
            <w:tcW w:w="795" w:type="dxa"/>
            <w:vAlign w:val="center"/>
          </w:tcPr>
          <w:p w14:paraId="2F2901D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07C4EEA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5C85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79E825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O-22 系统非驻场工程师</w:t>
            </w:r>
          </w:p>
        </w:tc>
        <w:tc>
          <w:tcPr>
            <w:tcW w:w="690" w:type="dxa"/>
            <w:vAlign w:val="center"/>
          </w:tcPr>
          <w:p w14:paraId="1D1F29A4">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18795A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大专/本科及以上学历或同等学历；</w:t>
            </w:r>
          </w:p>
          <w:p w14:paraId="47CF13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具有平台原厂认证技术证书；</w:t>
            </w:r>
          </w:p>
          <w:p w14:paraId="3E40F4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含2年</w:t>
            </w:r>
            <w:r>
              <w:rPr>
                <w:rFonts w:hint="eastAsia" w:ascii="宋体" w:hAnsi="宋体" w:cs="宋体"/>
                <w:b w:val="0"/>
                <w:bCs/>
                <w:color w:val="000000" w:themeColor="text1"/>
                <w:kern w:val="2"/>
                <w:sz w:val="21"/>
                <w:szCs w:val="24"/>
                <w:highlight w:val="none"/>
                <w:lang w:eastAsia="zh-CN"/>
                <w14:textFill>
                  <w14:solidFill>
                    <w14:schemeClr w14:val="tx1"/>
                  </w14:solidFill>
                </w14:textFill>
              </w:rPr>
              <w:t>同类型系统运维</w:t>
            </w:r>
            <w:r>
              <w:rPr>
                <w:rFonts w:hint="eastAsia" w:ascii="宋体" w:hAnsi="宋体" w:eastAsia="宋体" w:cs="宋体"/>
                <w:b w:val="0"/>
                <w:bCs/>
                <w:color w:val="000000" w:themeColor="text1"/>
                <w:kern w:val="2"/>
                <w:sz w:val="21"/>
                <w:szCs w:val="24"/>
                <w:highlight w:val="none"/>
                <w14:textFill>
                  <w14:solidFill>
                    <w14:schemeClr w14:val="tx1"/>
                  </w14:solidFill>
                </w14:textFill>
              </w:rPr>
              <w:t>经验；</w:t>
            </w:r>
          </w:p>
          <w:p w14:paraId="337B61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4、工作职责：</w:t>
            </w:r>
            <w:r>
              <w:rPr>
                <w:rFonts w:hint="eastAsia" w:ascii="宋体" w:hAnsi="宋体" w:eastAsia="宋体" w:cs="宋体"/>
                <w:b w:val="0"/>
                <w:bCs/>
                <w:color w:val="000000" w:themeColor="text1"/>
                <w:kern w:val="2"/>
                <w:sz w:val="21"/>
                <w:szCs w:val="24"/>
                <w:highlight w:val="none"/>
                <w14:textFill>
                  <w14:solidFill>
                    <w14:schemeClr w14:val="tx1"/>
                  </w14:solidFill>
                </w14:textFill>
              </w:rPr>
              <w:t>熟悉话务系统软硬件，熟悉windows/linux操作系统，数据数据网络，熟悉数据库运维，熟悉公安业务数据接口诊断。</w:t>
            </w:r>
          </w:p>
          <w:p w14:paraId="09414A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lang w:eastAsia="zh-CN"/>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5、熟悉现有系统日志诊断</w:t>
            </w:r>
            <w:r>
              <w:rPr>
                <w:rFonts w:hint="eastAsia" w:ascii="宋体" w:hAnsi="宋体" w:eastAsia="宋体" w:cs="宋体"/>
                <w:b w:val="0"/>
                <w:bCs/>
                <w:color w:val="000000" w:themeColor="text1"/>
                <w:kern w:val="2"/>
                <w:sz w:val="21"/>
                <w:szCs w:val="24"/>
                <w:highlight w:val="none"/>
                <w:lang w:eastAsia="zh-CN"/>
                <w14:textFill>
                  <w14:solidFill>
                    <w14:schemeClr w14:val="tx1"/>
                  </w14:solidFill>
                </w14:textFill>
              </w:rPr>
              <w:t>。</w:t>
            </w:r>
          </w:p>
        </w:tc>
        <w:tc>
          <w:tcPr>
            <w:tcW w:w="795" w:type="dxa"/>
            <w:vAlign w:val="center"/>
          </w:tcPr>
          <w:p w14:paraId="641E340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57EDB05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0CE5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2CB685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O-23 平台驻场运维工程师</w:t>
            </w:r>
          </w:p>
        </w:tc>
        <w:tc>
          <w:tcPr>
            <w:tcW w:w="690" w:type="dxa"/>
            <w:vAlign w:val="center"/>
          </w:tcPr>
          <w:p w14:paraId="10490F51">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024CE2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大专/本科及以上学历或同等学历；</w:t>
            </w:r>
          </w:p>
          <w:p w14:paraId="5B9416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至少含3年以上软件运维经验；</w:t>
            </w:r>
          </w:p>
          <w:p w14:paraId="218A7A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3、工作职责：</w:t>
            </w:r>
            <w:r>
              <w:rPr>
                <w:rFonts w:hint="eastAsia" w:ascii="宋体" w:hAnsi="宋体" w:eastAsia="宋体" w:cs="宋体"/>
                <w:b w:val="0"/>
                <w:bCs/>
                <w:color w:val="000000" w:themeColor="text1"/>
                <w:kern w:val="2"/>
                <w:sz w:val="21"/>
                <w:szCs w:val="24"/>
                <w:highlight w:val="none"/>
                <w14:textFill>
                  <w14:solidFill>
                    <w14:schemeClr w14:val="tx1"/>
                  </w14:solidFill>
                </w14:textFill>
              </w:rPr>
              <w:t>负责驻场软件运维服务，包括软件定期巡检、数据库备份。</w:t>
            </w:r>
          </w:p>
        </w:tc>
        <w:tc>
          <w:tcPr>
            <w:tcW w:w="795" w:type="dxa"/>
            <w:vAlign w:val="center"/>
          </w:tcPr>
          <w:p w14:paraId="2DF4618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是</w:t>
            </w:r>
          </w:p>
        </w:tc>
        <w:tc>
          <w:tcPr>
            <w:tcW w:w="1090" w:type="dxa"/>
            <w:vAlign w:val="center"/>
          </w:tcPr>
          <w:p w14:paraId="2D28E89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5*8小时，按采购人工作时间要求到岗</w:t>
            </w:r>
          </w:p>
        </w:tc>
      </w:tr>
      <w:tr w14:paraId="3AA1C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3D2BF56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O-24 平台非驻场运维工程师</w:t>
            </w:r>
          </w:p>
        </w:tc>
        <w:tc>
          <w:tcPr>
            <w:tcW w:w="690" w:type="dxa"/>
            <w:vAlign w:val="center"/>
          </w:tcPr>
          <w:p w14:paraId="0F02EAC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p>
        </w:tc>
        <w:tc>
          <w:tcPr>
            <w:tcW w:w="4525" w:type="dxa"/>
            <w:vAlign w:val="center"/>
          </w:tcPr>
          <w:p w14:paraId="1C8685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大专及以上学历或同等学历；</w:t>
            </w:r>
          </w:p>
          <w:p w14:paraId="3995F5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三年以上软件开发或运维经验；</w:t>
            </w:r>
          </w:p>
          <w:p w14:paraId="12CDC90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3、工作职责：</w:t>
            </w:r>
            <w:r>
              <w:rPr>
                <w:rFonts w:hint="eastAsia" w:ascii="宋体" w:hAnsi="宋体" w:eastAsia="宋体" w:cs="宋体"/>
                <w:b w:val="0"/>
                <w:bCs/>
                <w:color w:val="000000" w:themeColor="text1"/>
                <w:kern w:val="2"/>
                <w:sz w:val="21"/>
                <w:szCs w:val="24"/>
                <w:highlight w:val="none"/>
                <w14:textFill>
                  <w14:solidFill>
                    <w14:schemeClr w14:val="tx1"/>
                  </w14:solidFill>
                </w14:textFill>
              </w:rPr>
              <w:t>负责驻场软件运维服务，包括软件定期巡检、数据库备份。</w:t>
            </w:r>
          </w:p>
        </w:tc>
        <w:tc>
          <w:tcPr>
            <w:tcW w:w="795" w:type="dxa"/>
            <w:vAlign w:val="center"/>
          </w:tcPr>
          <w:p w14:paraId="11FDFBF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3311024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56778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501732D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P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7623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153AA49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2F387B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0FD659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4EC40E3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1F128D2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1A21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1B3411B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P-1 系统非驻场工程师</w:t>
            </w:r>
          </w:p>
        </w:tc>
        <w:tc>
          <w:tcPr>
            <w:tcW w:w="690" w:type="dxa"/>
            <w:vAlign w:val="center"/>
          </w:tcPr>
          <w:p w14:paraId="25F6049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242DF0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本科及以上学历或同等学历；</w:t>
            </w:r>
          </w:p>
          <w:p w14:paraId="62E1D69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无；</w:t>
            </w:r>
          </w:p>
          <w:p w14:paraId="6E5B42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含2年；</w:t>
            </w:r>
          </w:p>
          <w:p w14:paraId="3D685A6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4、工作职责：</w:t>
            </w:r>
            <w:r>
              <w:rPr>
                <w:rFonts w:hint="eastAsia" w:ascii="宋体" w:hAnsi="宋体" w:eastAsia="宋体" w:cs="宋体"/>
                <w:b w:val="0"/>
                <w:bCs/>
                <w:color w:val="000000" w:themeColor="text1"/>
                <w:kern w:val="2"/>
                <w:sz w:val="21"/>
                <w:szCs w:val="24"/>
                <w:highlight w:val="none"/>
                <w14:textFill>
                  <w14:solidFill>
                    <w14:schemeClr w14:val="tx1"/>
                  </w14:solidFill>
                </w14:textFill>
              </w:rPr>
              <w:t>负责及时接听客户的咨询电话，解答客户的技术疑问，提供专业的技术支持；远程排查和解决网络故障；提供软件使用培训和指导；定期检查和优化系统性能；以及根据客户需求提供定制化的技术支持方案；根据需求情况提供到场系统管理与维护、性能优化与升级、解决故障等。</w:t>
            </w:r>
          </w:p>
        </w:tc>
        <w:tc>
          <w:tcPr>
            <w:tcW w:w="795" w:type="dxa"/>
            <w:vAlign w:val="center"/>
          </w:tcPr>
          <w:p w14:paraId="2C4E7F4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02C8088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558CB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B696B9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P-2 系统驻场工程师</w:t>
            </w:r>
          </w:p>
        </w:tc>
        <w:tc>
          <w:tcPr>
            <w:tcW w:w="690" w:type="dxa"/>
            <w:vAlign w:val="center"/>
          </w:tcPr>
          <w:p w14:paraId="3C05ACC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1138C5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本科及以上学历或同等学历；</w:t>
            </w:r>
          </w:p>
          <w:p w14:paraId="4EEF92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无；</w:t>
            </w:r>
          </w:p>
          <w:p w14:paraId="65C3A14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含2年；</w:t>
            </w:r>
          </w:p>
          <w:p w14:paraId="56C9A7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4、工作职责：</w:t>
            </w:r>
            <w:r>
              <w:rPr>
                <w:rFonts w:hint="eastAsia" w:ascii="宋体" w:hAnsi="宋体" w:eastAsia="宋体" w:cs="宋体"/>
                <w:b w:val="0"/>
                <w:bCs/>
                <w:color w:val="000000" w:themeColor="text1"/>
                <w:kern w:val="2"/>
                <w:sz w:val="21"/>
                <w:szCs w:val="24"/>
                <w:highlight w:val="none"/>
                <w14:textFill>
                  <w14:solidFill>
                    <w14:schemeClr w14:val="tx1"/>
                  </w14:solidFill>
                </w14:textFill>
              </w:rPr>
              <w:t>负责及时接听客户的咨询电话，解答客户的技术疑问，提供专业的技术支持；远程排查和解决网络故障；提供软件使用培训和指导；定期检查和优化系统性能；以及根据客户需求提供定制化的技术支持方案；根据需求情况提供到场系统管理与维护、性能优化与升级、解决故障等。</w:t>
            </w:r>
          </w:p>
        </w:tc>
        <w:tc>
          <w:tcPr>
            <w:tcW w:w="795" w:type="dxa"/>
            <w:vAlign w:val="center"/>
          </w:tcPr>
          <w:p w14:paraId="21231A19">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是</w:t>
            </w:r>
          </w:p>
        </w:tc>
        <w:tc>
          <w:tcPr>
            <w:tcW w:w="1090" w:type="dxa"/>
            <w:vAlign w:val="center"/>
          </w:tcPr>
          <w:p w14:paraId="0011494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5*8小时，按采购人工作时间要求到岗</w:t>
            </w:r>
          </w:p>
        </w:tc>
      </w:tr>
      <w:tr w14:paraId="3018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07B5FE43">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P-3 系统非驻场工程师</w:t>
            </w:r>
          </w:p>
        </w:tc>
        <w:tc>
          <w:tcPr>
            <w:tcW w:w="690" w:type="dxa"/>
            <w:vAlign w:val="center"/>
          </w:tcPr>
          <w:p w14:paraId="1B88B04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7B642B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1、学历要求：</w:t>
            </w:r>
            <w:r>
              <w:rPr>
                <w:rFonts w:hint="eastAsia" w:ascii="宋体" w:hAnsi="宋体" w:eastAsia="宋体" w:cs="宋体"/>
                <w:b w:val="0"/>
                <w:bCs/>
                <w:color w:val="000000" w:themeColor="text1"/>
                <w:kern w:val="2"/>
                <w:sz w:val="21"/>
                <w:szCs w:val="24"/>
                <w:highlight w:val="none"/>
                <w14:textFill>
                  <w14:solidFill>
                    <w14:schemeClr w14:val="tx1"/>
                  </w14:solidFill>
                </w14:textFill>
              </w:rPr>
              <w:t>要求大学本科及以上计算机类专业学历；</w:t>
            </w:r>
          </w:p>
          <w:p w14:paraId="20A24C5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2、认证要求：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无；</w:t>
            </w:r>
          </w:p>
          <w:p w14:paraId="34A9F05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有1年以上的运维工作经验；</w:t>
            </w:r>
          </w:p>
          <w:p w14:paraId="5192BF7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4、工作职责：</w:t>
            </w:r>
            <w:r>
              <w:rPr>
                <w:rFonts w:hint="eastAsia" w:ascii="宋体" w:hAnsi="宋体" w:eastAsia="宋体" w:cs="宋体"/>
                <w:b w:val="0"/>
                <w:bCs/>
                <w:color w:val="000000" w:themeColor="text1"/>
                <w:kern w:val="2"/>
                <w:sz w:val="21"/>
                <w:szCs w:val="24"/>
                <w:highlight w:val="none"/>
                <w14:textFill>
                  <w14:solidFill>
                    <w14:schemeClr w14:val="tx1"/>
                  </w14:solidFill>
                </w14:textFill>
              </w:rPr>
              <w:t>负责及时接听客户的咨询电话，解答客户的技术疑问，提供专业的技术支持；远程排查和解决网络故障；提供软件使用培训和指导；定期检查和优化系统性能；以及根据客户需求提供定制化的技术支持方案；根据需求情况提供到场系统管理与维护、性能优化与升级、解决故障等。</w:t>
            </w:r>
          </w:p>
        </w:tc>
        <w:tc>
          <w:tcPr>
            <w:tcW w:w="795" w:type="dxa"/>
            <w:vAlign w:val="center"/>
          </w:tcPr>
          <w:p w14:paraId="70CF716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4D173B4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3623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DF7ED4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P-4至P-6 系统驻场工程师</w:t>
            </w:r>
          </w:p>
        </w:tc>
        <w:tc>
          <w:tcPr>
            <w:tcW w:w="690" w:type="dxa"/>
            <w:vAlign w:val="center"/>
          </w:tcPr>
          <w:p w14:paraId="2B97FEC5">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1D7A88A8">
            <w:pPr>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学历及</w:t>
            </w:r>
            <w:r>
              <w:rPr>
                <w:rFonts w:hint="eastAsia" w:ascii="宋体" w:hAnsi="宋体" w:cs="宋体"/>
                <w:b/>
                <w:color w:val="000000" w:themeColor="text1"/>
                <w:kern w:val="2"/>
                <w:sz w:val="21"/>
                <w:szCs w:val="24"/>
                <w:highlight w:val="none"/>
                <w:lang w:eastAsia="zh-CN"/>
                <w14:textFill>
                  <w14:solidFill>
                    <w14:schemeClr w14:val="tx1"/>
                  </w14:solidFill>
                </w14:textFill>
              </w:rPr>
              <w:t>认证</w:t>
            </w:r>
            <w:r>
              <w:rPr>
                <w:rFonts w:hint="eastAsia" w:ascii="宋体" w:hAnsi="宋体" w:eastAsia="宋体" w:cs="宋体"/>
                <w:b/>
                <w:color w:val="000000" w:themeColor="text1"/>
                <w:kern w:val="2"/>
                <w:sz w:val="21"/>
                <w:szCs w:val="24"/>
                <w:highlight w:val="none"/>
                <w14:textFill>
                  <w14:solidFill>
                    <w14:schemeClr w14:val="tx1"/>
                  </w14:solidFill>
                </w14:textFill>
              </w:rPr>
              <w:t>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本科以上学历；</w:t>
            </w:r>
          </w:p>
          <w:p w14:paraId="6B3776F4">
            <w:pPr>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至少含1年以上信息系统运维经验。</w:t>
            </w:r>
          </w:p>
          <w:p w14:paraId="3E4355EA">
            <w:pPr>
              <w:keepNext w:val="0"/>
              <w:keepLines w:val="0"/>
              <w:pageBreakBefore w:val="0"/>
              <w:numPr>
                <w:ilvl w:val="0"/>
                <w:numId w:val="12"/>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工作职责：</w:t>
            </w:r>
          </w:p>
          <w:p w14:paraId="75E19473">
            <w:pPr>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定期监控广西公安出入境省级系统与移民局出入境部级系统的数据交换，发现数据传输问题及时跟踪与处理。监控内容包括：证件签发数据48小时上报及时率监控、在逃人员文件下载、不准入境人员公文下载、双备库每日上报、人像比对数据传输等；</w:t>
            </w:r>
          </w:p>
          <w:p w14:paraId="424D61DF">
            <w:pPr>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实时对全国公安出入境管理信息系统、出入境证照电子收费系统、出入境证照采集系统应用及关联的各接口应用的运行状态、运行情况进行监控，保障系统与接口运行正常。</w:t>
            </w:r>
          </w:p>
          <w:p w14:paraId="1C5E8C1A">
            <w:pPr>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定期对数据库服务器、应用服务器、MQ服务器、人像比对服务器等的状态与性能监控。具体内容包括服务器状态、响应时间、磁盘剩余空间大小、内存剩余大小、CPU利用率等。</w:t>
            </w:r>
          </w:p>
          <w:p w14:paraId="1D34A5BF">
            <w:pPr>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负责服务器、防火墙等设备安装配置、日常管理、数据备份与故障排除，以及构建、维护、管理、优化域网络环境的工作。同时需定期查杀病毒与检查系统网络运行状况，确保系统的正常运行、可访问、数据传输安全准确。</w:t>
            </w:r>
          </w:p>
          <w:p w14:paraId="55D7009C">
            <w:pPr>
              <w:keepNext w:val="0"/>
              <w:keepLines w:val="0"/>
              <w:pageBreakBefore w:val="0"/>
              <w:numPr>
                <w:ilvl w:val="0"/>
                <w:numId w:val="13"/>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负责日常服务器与客户端电脑的操作系统漏洞补丁升级、应用系统缺陷修正的升级与部署，并做好升级发布的版本管理。</w:t>
            </w:r>
          </w:p>
          <w:p w14:paraId="08ECC9F1">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（6）负责各地、市、县、派出所上报的系统问题和需求的处理，及时解决应用系统存在的缺陷，修正应用带来的数据异常等问题。</w:t>
            </w:r>
          </w:p>
        </w:tc>
        <w:tc>
          <w:tcPr>
            <w:tcW w:w="795" w:type="dxa"/>
            <w:vAlign w:val="center"/>
          </w:tcPr>
          <w:p w14:paraId="448719E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是</w:t>
            </w:r>
          </w:p>
        </w:tc>
        <w:tc>
          <w:tcPr>
            <w:tcW w:w="1090" w:type="dxa"/>
            <w:vAlign w:val="center"/>
          </w:tcPr>
          <w:p w14:paraId="205D0DE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5*8小时，按采购人工作时间要求到岗</w:t>
            </w:r>
          </w:p>
        </w:tc>
      </w:tr>
      <w:tr w14:paraId="37C97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71522EC9">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P-4至P-6 系统非驻场网络工程师</w:t>
            </w:r>
          </w:p>
        </w:tc>
        <w:tc>
          <w:tcPr>
            <w:tcW w:w="690" w:type="dxa"/>
            <w:vAlign w:val="center"/>
          </w:tcPr>
          <w:p w14:paraId="683B592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56932916">
            <w:pPr>
              <w:keepNext w:val="0"/>
              <w:keepLines w:val="0"/>
              <w:pageBreakBefore w:val="0"/>
              <w:numPr>
                <w:ilvl w:val="0"/>
                <w:numId w:val="14"/>
              </w:numPr>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学历及</w:t>
            </w:r>
            <w:r>
              <w:rPr>
                <w:rFonts w:hint="eastAsia" w:ascii="宋体" w:hAnsi="宋体" w:cs="宋体"/>
                <w:b/>
                <w:color w:val="000000" w:themeColor="text1"/>
                <w:kern w:val="2"/>
                <w:sz w:val="21"/>
                <w:szCs w:val="24"/>
                <w:highlight w:val="none"/>
                <w:lang w:eastAsia="zh-CN"/>
                <w14:textFill>
                  <w14:solidFill>
                    <w14:schemeClr w14:val="tx1"/>
                  </w14:solidFill>
                </w14:textFill>
              </w:rPr>
              <w:t>认证</w:t>
            </w:r>
            <w:r>
              <w:rPr>
                <w:rFonts w:hint="eastAsia" w:ascii="宋体" w:hAnsi="宋体" w:eastAsia="宋体" w:cs="宋体"/>
                <w:b/>
                <w:color w:val="000000" w:themeColor="text1"/>
                <w:kern w:val="2"/>
                <w:sz w:val="21"/>
                <w:szCs w:val="24"/>
                <w:highlight w:val="none"/>
                <w14:textFill>
                  <w14:solidFill>
                    <w14:schemeClr w14:val="tx1"/>
                  </w14:solidFill>
                </w14:textFill>
              </w:rPr>
              <w:t>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本科以上学历；</w:t>
            </w:r>
          </w:p>
          <w:p w14:paraId="669B780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rightChars="0"/>
              <w:outlineLvl w:val="9"/>
              <w:rPr>
                <w:rFonts w:hint="eastAsia" w:ascii="宋体" w:hAnsi="宋体" w:eastAsia="宋体" w:cs="宋体"/>
                <w:b/>
                <w:color w:val="000000" w:themeColor="text1"/>
                <w:kern w:val="2"/>
                <w:sz w:val="21"/>
                <w:szCs w:val="24"/>
                <w:highlight w:val="none"/>
                <w:lang w:eastAsia="zh-CN"/>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2、工作经验要求：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至少含1年以上信息系统运维经验</w:t>
            </w:r>
            <w:r>
              <w:rPr>
                <w:rFonts w:hint="eastAsia" w:ascii="宋体" w:hAnsi="宋体" w:eastAsia="宋体" w:cs="宋体"/>
                <w:b w:val="0"/>
                <w:bCs/>
                <w:color w:val="000000" w:themeColor="text1"/>
                <w:kern w:val="2"/>
                <w:sz w:val="21"/>
                <w:szCs w:val="24"/>
                <w:highlight w:val="none"/>
                <w:lang w:eastAsia="zh-CN"/>
                <w14:textFill>
                  <w14:solidFill>
                    <w14:schemeClr w14:val="tx1"/>
                  </w14:solidFill>
                </w14:textFill>
              </w:rPr>
              <w:t>；</w:t>
            </w:r>
          </w:p>
          <w:p w14:paraId="2AB06DEA">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rightChars="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3、工作职责：</w:t>
            </w:r>
            <w:r>
              <w:rPr>
                <w:rFonts w:hint="eastAsia" w:ascii="宋体" w:hAnsi="宋体" w:eastAsia="宋体" w:cs="宋体"/>
                <w:b w:val="0"/>
                <w:bCs/>
                <w:color w:val="000000" w:themeColor="text1"/>
                <w:kern w:val="2"/>
                <w:sz w:val="21"/>
                <w:szCs w:val="24"/>
                <w:highlight w:val="none"/>
                <w14:textFill>
                  <w14:solidFill>
                    <w14:schemeClr w14:val="tx1"/>
                  </w14:solidFill>
                </w14:textFill>
              </w:rPr>
              <w:t>（1）定期监控广西公安出入境省级系统与移民局出入境部级系统的数据交换，发现数据传输问题及时跟踪与处理。监控内容包括：证件签发数据48小时上报及时率监控、在逃人员文件下载、不准入境人员公文下载、双备库每日上报、人像比对数据传输等；</w:t>
            </w:r>
          </w:p>
          <w:p w14:paraId="1766B9A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rightChars="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（2）实时对全国公安出入境管理信息系统、出入境证照电子收费系统、出入境证照采集系统应用及关联的各接口应用的运行状态、运行情况进行监控，保障系统与接口运行正常。</w:t>
            </w:r>
          </w:p>
          <w:p w14:paraId="03324DA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（3）定期对数据库服务器、应用服务器、MQ服务器、人像比对服务器等的状态与性能监控。具体内容包括服务器状态、响应时间、磁盘剩余空间大小、内存剩余大小、CPU利用率等。</w:t>
            </w:r>
          </w:p>
          <w:p w14:paraId="3EE740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4）负责服务器、防火墙等设备安装配置、日常管理、数据备份与故障排除，以及构建、维护、管理、优化域网络环境的工作。同时需定期查杀病毒与检查系统网络运行状况，确保系统的正常运行、可访问、数据传输安全准确。</w:t>
            </w:r>
          </w:p>
          <w:p w14:paraId="78D3D0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（5）负责日常服务器与客户端电脑的操作系统漏洞补丁升级、应用系统缺陷修正的升级与部署，并做好升级发布的版本管理。</w:t>
            </w:r>
          </w:p>
          <w:p w14:paraId="582EE9E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val="0"/>
                <w:bCs/>
                <w:color w:val="000000" w:themeColor="text1"/>
                <w:kern w:val="2"/>
                <w:sz w:val="21"/>
                <w:szCs w:val="24"/>
                <w:highlight w:val="none"/>
                <w14:textFill>
                  <w14:solidFill>
                    <w14:schemeClr w14:val="tx1"/>
                  </w14:solidFill>
                </w14:textFill>
              </w:rPr>
              <w:t>（6）负责各地、市、县、派出所上报的系统问题和需求的处理，及时解决应用系统存在的缺陷，修正应用带来的数据异常等问题。4、远程服务要求：服务期内提供不少于160人天远程服务。</w:t>
            </w:r>
          </w:p>
        </w:tc>
        <w:tc>
          <w:tcPr>
            <w:tcW w:w="795" w:type="dxa"/>
            <w:vAlign w:val="center"/>
          </w:tcPr>
          <w:p w14:paraId="261F679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4B312AD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726EE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A1A60D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P-4至P-6 系统非驻场开发工程师</w:t>
            </w:r>
          </w:p>
        </w:tc>
        <w:tc>
          <w:tcPr>
            <w:tcW w:w="690" w:type="dxa"/>
            <w:vAlign w:val="center"/>
          </w:tcPr>
          <w:p w14:paraId="052D7913">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p>
        </w:tc>
        <w:tc>
          <w:tcPr>
            <w:tcW w:w="4525" w:type="dxa"/>
            <w:vAlign w:val="center"/>
          </w:tcPr>
          <w:p w14:paraId="5D44ACEB">
            <w:pPr>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340" w:lineRule="exact"/>
              <w:ind w:left="0" w:right="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学历及</w:t>
            </w:r>
            <w:r>
              <w:rPr>
                <w:rFonts w:hint="eastAsia" w:ascii="宋体" w:hAnsi="宋体" w:cs="宋体"/>
                <w:b/>
                <w:color w:val="000000" w:themeColor="text1"/>
                <w:kern w:val="2"/>
                <w:sz w:val="21"/>
                <w:szCs w:val="24"/>
                <w:highlight w:val="none"/>
                <w:lang w:eastAsia="zh-CN"/>
                <w14:textFill>
                  <w14:solidFill>
                    <w14:schemeClr w14:val="tx1"/>
                  </w14:solidFill>
                </w14:textFill>
              </w:rPr>
              <w:t>认证</w:t>
            </w:r>
            <w:r>
              <w:rPr>
                <w:rFonts w:hint="eastAsia" w:ascii="宋体" w:hAnsi="宋体" w:eastAsia="宋体" w:cs="宋体"/>
                <w:b/>
                <w:color w:val="000000" w:themeColor="text1"/>
                <w:kern w:val="2"/>
                <w:sz w:val="21"/>
                <w:szCs w:val="24"/>
                <w:highlight w:val="none"/>
                <w14:textFill>
                  <w14:solidFill>
                    <w14:schemeClr w14:val="tx1"/>
                  </w14:solidFill>
                </w14:textFill>
              </w:rPr>
              <w:t>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本科以上学历；</w:t>
            </w:r>
          </w:p>
          <w:p w14:paraId="16EBA329">
            <w:pPr>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工作经验要求：</w:t>
            </w:r>
            <w:r>
              <w:rPr>
                <w:rFonts w:hint="eastAsia" w:ascii="宋体" w:hAnsi="宋体" w:eastAsia="宋体" w:cs="宋体"/>
                <w:b w:val="0"/>
                <w:bCs/>
                <w:color w:val="000000" w:themeColor="text1"/>
                <w:kern w:val="2"/>
                <w:sz w:val="21"/>
                <w:szCs w:val="24"/>
                <w:highlight w:val="none"/>
                <w14:textFill>
                  <w14:solidFill>
                    <w14:schemeClr w14:val="tx1"/>
                  </w14:solidFill>
                </w14:textFill>
              </w:rPr>
              <w:t>至少含1年以上信息系统运维经验</w:t>
            </w:r>
            <w:r>
              <w:rPr>
                <w:rFonts w:hint="eastAsia" w:ascii="宋体" w:hAnsi="宋体" w:eastAsia="宋体" w:cs="宋体"/>
                <w:b w:val="0"/>
                <w:bCs/>
                <w:color w:val="000000" w:themeColor="text1"/>
                <w:kern w:val="2"/>
                <w:sz w:val="21"/>
                <w:szCs w:val="24"/>
                <w:highlight w:val="none"/>
                <w:lang w:eastAsia="zh-CN"/>
                <w14:textFill>
                  <w14:solidFill>
                    <w14:schemeClr w14:val="tx1"/>
                  </w14:solidFill>
                </w14:textFill>
              </w:rPr>
              <w:t>；</w:t>
            </w:r>
          </w:p>
          <w:p w14:paraId="65424BC5">
            <w:pPr>
              <w:keepNext w:val="0"/>
              <w:keepLines w:val="0"/>
              <w:pageBreakBefore w:val="0"/>
              <w:numPr>
                <w:ilvl w:val="0"/>
                <w:numId w:val="15"/>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firstLine="0" w:firstLineChars="0"/>
              <w:outlineLvl w:val="9"/>
              <w:rPr>
                <w:rFonts w:hint="eastAsia" w:ascii="宋体" w:hAnsi="宋体" w:eastAsia="宋体" w:cs="宋体"/>
                <w:b w:val="0"/>
                <w:bCs/>
                <w:color w:val="000000" w:themeColor="text1"/>
                <w:kern w:val="2"/>
                <w:sz w:val="21"/>
                <w:szCs w:val="24"/>
                <w:highlight w:val="none"/>
                <w14:textFill>
                  <w14:solidFill>
                    <w14:schemeClr w14:val="tx1"/>
                  </w14:solidFill>
                </w14:textFill>
              </w:rPr>
            </w:pPr>
            <w:r>
              <w:rPr>
                <w:rFonts w:hint="eastAsia" w:ascii="宋体" w:hAnsi="宋体" w:eastAsia="宋体" w:cs="宋体"/>
                <w:b/>
                <w:color w:val="000000" w:themeColor="text1"/>
                <w:kern w:val="2"/>
                <w:sz w:val="21"/>
                <w:szCs w:val="24"/>
                <w:highlight w:val="none"/>
                <w14:textFill>
                  <w14:solidFill>
                    <w14:schemeClr w14:val="tx1"/>
                  </w14:solidFill>
                </w14:textFill>
              </w:rPr>
              <w:t>工作职责：</w:t>
            </w:r>
            <w:r>
              <w:rPr>
                <w:rFonts w:hint="eastAsia" w:ascii="宋体" w:hAnsi="宋体" w:eastAsia="宋体" w:cs="宋体"/>
                <w:b w:val="0"/>
                <w:bCs/>
                <w:color w:val="000000" w:themeColor="text1"/>
                <w:kern w:val="2"/>
                <w:sz w:val="21"/>
                <w:szCs w:val="24"/>
                <w:highlight w:val="none"/>
                <w14:textFill>
                  <w14:solidFill>
                    <w14:schemeClr w14:val="tx1"/>
                  </w14:solidFill>
                </w14:textFill>
              </w:rPr>
              <w:t>（1）负责出入境系统的功能开发与缺陷修复工作。（2）根据出入境的政策与业务需要，对功能进行合理规划，同时规范数据逻辑与操作流程。（3）负责出入境系统的功能上线、功能测试、开发文档编写工作。（4）提供系统技术支持、系统功能故障排查服务。（5）负责广西公安出入境各地、市、县、派出所上报的系统问题和需求的处理，及时解决应用系统存在的缺陷，修正应用带来的数据异常等问题。</w:t>
            </w:r>
          </w:p>
          <w:p w14:paraId="40E295BE">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outlineLvl w:val="9"/>
              <w:rPr>
                <w:rFonts w:hint="eastAsia" w:ascii="宋体" w:hAnsi="宋体" w:eastAsia="宋体" w:cs="宋体"/>
                <w:b/>
                <w:color w:val="000000" w:themeColor="text1"/>
                <w:kern w:val="2"/>
                <w:sz w:val="21"/>
                <w:szCs w:val="24"/>
                <w:highlight w:val="none"/>
                <w14:textFill>
                  <w14:solidFill>
                    <w14:schemeClr w14:val="tx1"/>
                  </w14:solidFill>
                </w14:textFill>
              </w:rPr>
            </w:pPr>
            <w:r>
              <w:rPr>
                <w:rFonts w:hint="eastAsia" w:ascii="宋体" w:hAnsi="宋体" w:eastAsia="宋体" w:cs="宋体"/>
                <w:b/>
                <w:bCs w:val="0"/>
                <w:color w:val="000000" w:themeColor="text1"/>
                <w:kern w:val="2"/>
                <w:sz w:val="21"/>
                <w:szCs w:val="24"/>
                <w:highlight w:val="none"/>
                <w14:textFill>
                  <w14:solidFill>
                    <w14:schemeClr w14:val="tx1"/>
                  </w14:solidFill>
                </w14:textFill>
              </w:rPr>
              <w:t>4、远程服务要求：</w:t>
            </w:r>
            <w:r>
              <w:rPr>
                <w:rFonts w:hint="eastAsia" w:ascii="宋体" w:hAnsi="宋体" w:eastAsia="宋体" w:cs="宋体"/>
                <w:b w:val="0"/>
                <w:bCs/>
                <w:color w:val="000000" w:themeColor="text1"/>
                <w:kern w:val="2"/>
                <w:sz w:val="21"/>
                <w:szCs w:val="24"/>
                <w:highlight w:val="none"/>
                <w14:textFill>
                  <w14:solidFill>
                    <w14:schemeClr w14:val="tx1"/>
                  </w14:solidFill>
                </w14:textFill>
              </w:rPr>
              <w:t>服务期内提供不少于160人天远程服务。</w:t>
            </w:r>
          </w:p>
        </w:tc>
        <w:tc>
          <w:tcPr>
            <w:tcW w:w="795" w:type="dxa"/>
            <w:vAlign w:val="center"/>
          </w:tcPr>
          <w:p w14:paraId="1C6E6D7B">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否</w:t>
            </w:r>
          </w:p>
        </w:tc>
        <w:tc>
          <w:tcPr>
            <w:tcW w:w="1090" w:type="dxa"/>
            <w:vAlign w:val="center"/>
          </w:tcPr>
          <w:p w14:paraId="48478E7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left"/>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根据采购人具体需求提供技术支持</w:t>
            </w:r>
          </w:p>
        </w:tc>
      </w:tr>
      <w:tr w14:paraId="02D7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1E13470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Q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37B6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7934FD7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42D782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3550CB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1C65D51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0277820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749A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80B0C1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Q-1至Q-2 系统驻场运维工程师</w:t>
            </w:r>
          </w:p>
        </w:tc>
        <w:tc>
          <w:tcPr>
            <w:tcW w:w="690" w:type="dxa"/>
            <w:vAlign w:val="center"/>
          </w:tcPr>
          <w:p w14:paraId="5B6157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41DE8D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本科及以上计算机或通信或网络或电子类专业学历或同等学历；</w:t>
            </w:r>
          </w:p>
          <w:p w14:paraId="47A530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具有计算机相关认证证书；</w:t>
            </w:r>
          </w:p>
          <w:p w14:paraId="6C579D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2年以上工作经验，要求熟悉服务器、存储、路由器、交换机等；有接触系统运维经验、有视频监控平台及网络管理维护经验、有微信公众号运维经验；</w:t>
            </w:r>
          </w:p>
          <w:p w14:paraId="455E0C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b w:val="0"/>
                <w:bCs w:val="0"/>
                <w:color w:val="000000" w:themeColor="text1"/>
                <w:kern w:val="2"/>
                <w:sz w:val="21"/>
                <w:szCs w:val="21"/>
                <w:highlight w:val="none"/>
                <w14:textFill>
                  <w14:solidFill>
                    <w14:schemeClr w14:val="tx1"/>
                  </w14:solidFill>
                </w14:textFill>
              </w:rPr>
              <w:t>熟练掌握及运用机场公安局综合应用业务平台相关的软件及硬件，对指挥中心软硬件系统等能熟练操作、配置，并进行日常维护管理以及必要的性能：对视频综合平台、内部网站及公众号相关的软件及硬件进行日常巡检。</w:t>
            </w:r>
          </w:p>
        </w:tc>
        <w:tc>
          <w:tcPr>
            <w:tcW w:w="795" w:type="dxa"/>
            <w:vAlign w:val="center"/>
          </w:tcPr>
          <w:p w14:paraId="4FD38E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1AF2AE6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48DE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606EBB2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Q-1至Q-2 系统非驻场运维工程师</w:t>
            </w:r>
          </w:p>
        </w:tc>
        <w:tc>
          <w:tcPr>
            <w:tcW w:w="690" w:type="dxa"/>
            <w:vAlign w:val="center"/>
          </w:tcPr>
          <w:p w14:paraId="0BF59C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3CA9ACB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本科及以上计算机或通信或网络或电子类专业学历或同等学历；</w:t>
            </w:r>
          </w:p>
          <w:p w14:paraId="17548C7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具有计算机相关认证证书；</w:t>
            </w:r>
          </w:p>
          <w:p w14:paraId="355826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2年以上工作经验，熟悉常用的软件运维工具和技术，包括但不限于：服务器部署、配置、监控和维护，数据库管理，代码管理和版本控制，安全和备份等方面；</w:t>
            </w:r>
          </w:p>
          <w:p w14:paraId="5923D7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b w:val="0"/>
                <w:bCs w:val="0"/>
                <w:color w:val="000000" w:themeColor="text1"/>
                <w:kern w:val="2"/>
                <w:sz w:val="21"/>
                <w:szCs w:val="21"/>
                <w:highlight w:val="none"/>
                <w14:textFill>
                  <w14:solidFill>
                    <w14:schemeClr w14:val="tx1"/>
                  </w14:solidFill>
                </w14:textFill>
              </w:rPr>
              <w:t>（1）能够独立完成软件系统的部署、配置、监控和维护工作，及时发现和解决系统故障问题；能够写相关的脚本和程序，自动化运维工作，提高工作效率；</w:t>
            </w:r>
          </w:p>
          <w:p w14:paraId="285319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（2）能够进行系统更新和升级，熟悉常用的安全补丁和功能升级；</w:t>
            </w:r>
          </w:p>
          <w:p w14:paraId="31FE145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能够进行数据库管理和维护，包括备份和恢复、性能优化、数据清理等工作；（3）能够进行代码管理和版本控制，熟悉常用的代码质量管理和优化工具；（4）能够提供用户支持和培训，解答用户的问题和疑问，并提供培训和文档。</w:t>
            </w:r>
          </w:p>
        </w:tc>
        <w:tc>
          <w:tcPr>
            <w:tcW w:w="795" w:type="dxa"/>
            <w:vAlign w:val="center"/>
          </w:tcPr>
          <w:p w14:paraId="620F02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5A969B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4"/>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r w14:paraId="4E30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D993F3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Q-3 平台驻场工程师</w:t>
            </w:r>
          </w:p>
        </w:tc>
        <w:tc>
          <w:tcPr>
            <w:tcW w:w="690" w:type="dxa"/>
            <w:vAlign w:val="center"/>
          </w:tcPr>
          <w:p w14:paraId="05DAFE8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4CAFD5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大专/本科及以上学历或同等学历；</w:t>
            </w:r>
          </w:p>
          <w:p w14:paraId="481E9A0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无；</w:t>
            </w:r>
          </w:p>
          <w:p w14:paraId="7492257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b w:val="0"/>
                <w:bCs w:val="0"/>
                <w:color w:val="000000" w:themeColor="text1"/>
                <w:kern w:val="2"/>
                <w:sz w:val="21"/>
                <w:szCs w:val="21"/>
                <w:highlight w:val="none"/>
                <w14:textFill>
                  <w14:solidFill>
                    <w14:schemeClr w14:val="tx1"/>
                  </w14:solidFill>
                </w14:textFill>
              </w:rPr>
              <w:t>2年以上工作经验，熟悉常用的软件运维工具和技术，包括但不限于：服务器部署、配置、监控和维护，数据库管理，相关系统2年维护经验</w:t>
            </w:r>
          </w:p>
          <w:p w14:paraId="5E29FDA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p>
          <w:p w14:paraId="5DFA74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（1）能够独立完成软件系统的部署、配置、监控和维护工作，及时发现和解决系统故障问题；</w:t>
            </w:r>
          </w:p>
          <w:p w14:paraId="499CF8D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（2）进行系统更新和升级</w:t>
            </w:r>
          </w:p>
          <w:p w14:paraId="7C0450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（3）负责对硬件系统进行维护管理</w:t>
            </w:r>
          </w:p>
        </w:tc>
        <w:tc>
          <w:tcPr>
            <w:tcW w:w="795" w:type="dxa"/>
            <w:vAlign w:val="center"/>
          </w:tcPr>
          <w:p w14:paraId="2F8679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47CDFB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302D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509" w:type="dxa"/>
            <w:gridSpan w:val="5"/>
            <w:vAlign w:val="center"/>
          </w:tcPr>
          <w:p w14:paraId="3F900ED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R </w:t>
            </w:r>
            <w:r>
              <w:rPr>
                <w:rFonts w:hint="eastAsia" w:ascii="宋体" w:hAnsi="宋体" w:cs="宋体"/>
                <w:b/>
                <w:bCs/>
                <w:color w:val="000000" w:themeColor="text1"/>
                <w:kern w:val="44"/>
                <w:sz w:val="32"/>
                <w:szCs w:val="44"/>
                <w:highlight w:val="none"/>
                <w:lang w:val="en-US" w:eastAsia="zh-CN"/>
                <w14:textFill>
                  <w14:solidFill>
                    <w14:schemeClr w14:val="tx1"/>
                  </w14:solidFill>
                </w14:textFill>
              </w:rPr>
              <w:t>单位</w:t>
            </w:r>
          </w:p>
        </w:tc>
      </w:tr>
      <w:tr w14:paraId="4D80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9C2C58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187756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68884A9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val="0"/>
                <w:bCs w:val="0"/>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7C6E296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4549F7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7FD27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4545068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color w:val="000000" w:themeColor="text1"/>
                <w:kern w:val="2"/>
                <w:sz w:val="21"/>
                <w:szCs w:val="2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R-1 系统岗</w:t>
            </w:r>
          </w:p>
        </w:tc>
        <w:tc>
          <w:tcPr>
            <w:tcW w:w="7100" w:type="dxa"/>
            <w:gridSpan w:val="4"/>
            <w:vAlign w:val="center"/>
          </w:tcPr>
          <w:p w14:paraId="6284CFC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color w:val="000000" w:themeColor="text1"/>
                <w:kern w:val="2"/>
                <w:sz w:val="21"/>
                <w:szCs w:val="21"/>
                <w:highlight w:val="none"/>
                <w14:textFill>
                  <w14:solidFill>
                    <w14:schemeClr w14:val="tx1"/>
                  </w14:solidFill>
                </w14:textFill>
              </w:rPr>
            </w:pPr>
            <w:r>
              <w:rPr>
                <w:rFonts w:hint="eastAsia" w:ascii="宋体" w:hAnsi="宋体" w:eastAsia="宋体" w:cs="宋体"/>
                <w:b w:val="0"/>
                <w:bCs/>
                <w:color w:val="000000" w:themeColor="text1"/>
                <w:kern w:val="2"/>
                <w:sz w:val="21"/>
                <w:szCs w:val="21"/>
                <w:highlight w:val="none"/>
                <w:lang w:eastAsia="zh-CN"/>
                <w14:textFill>
                  <w14:solidFill>
                    <w14:schemeClr w14:val="tx1"/>
                  </w14:solidFill>
                </w14:textFill>
              </w:rPr>
              <w:t>此岗位服务人员为共用服务人员，有关要求详见</w:t>
            </w:r>
            <w:r>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t xml:space="preserve">G </w:t>
            </w:r>
            <w:r>
              <w:rPr>
                <w:rFonts w:hint="eastAsia" w:ascii="宋体" w:hAnsi="宋体" w:cs="宋体"/>
                <w:b w:val="0"/>
                <w:bCs/>
                <w:color w:val="000000" w:themeColor="text1"/>
                <w:kern w:val="2"/>
                <w:sz w:val="21"/>
                <w:szCs w:val="21"/>
                <w:highlight w:val="none"/>
                <w:lang w:val="en-US" w:eastAsia="zh-CN"/>
                <w14:textFill>
                  <w14:solidFill>
                    <w14:schemeClr w14:val="tx1"/>
                  </w14:solidFill>
                </w14:textFill>
              </w:rPr>
              <w:t>单位</w:t>
            </w:r>
            <w:r>
              <w:rPr>
                <w:rFonts w:hint="eastAsia" w:ascii="宋体" w:hAnsi="宋体" w:eastAsia="宋体" w:cs="宋体"/>
                <w:b w:val="0"/>
                <w:bCs/>
                <w:color w:val="000000" w:themeColor="text1"/>
                <w:kern w:val="2"/>
                <w:sz w:val="21"/>
                <w:szCs w:val="21"/>
                <w:highlight w:val="none"/>
                <w:lang w:val="en-US" w:eastAsia="zh-CN"/>
                <w14:textFill>
                  <w14:solidFill>
                    <w14:schemeClr w14:val="tx1"/>
                  </w14:solidFill>
                </w14:textFill>
              </w:rPr>
              <w:t>。</w:t>
            </w:r>
          </w:p>
        </w:tc>
      </w:tr>
      <w:tr w14:paraId="019C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8509" w:type="dxa"/>
            <w:gridSpan w:val="5"/>
            <w:vAlign w:val="center"/>
          </w:tcPr>
          <w:p w14:paraId="4BEEE17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S </w:t>
            </w:r>
            <w:r>
              <w:rPr>
                <w:rFonts w:hint="eastAsia" w:ascii="宋体" w:hAnsi="宋体" w:eastAsia="宋体" w:cs="宋体"/>
                <w:b/>
                <w:bCs/>
                <w:color w:val="000000" w:themeColor="text1"/>
                <w:kern w:val="44"/>
                <w:sz w:val="32"/>
                <w:szCs w:val="44"/>
                <w:highlight w:val="none"/>
                <w14:textFill>
                  <w14:solidFill>
                    <w14:schemeClr w14:val="tx1"/>
                  </w14:solidFill>
                </w14:textFill>
              </w:rPr>
              <w:t>13个业务单位</w:t>
            </w:r>
          </w:p>
        </w:tc>
      </w:tr>
      <w:tr w14:paraId="363FE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7629111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岗位名称</w:t>
            </w:r>
          </w:p>
        </w:tc>
        <w:tc>
          <w:tcPr>
            <w:tcW w:w="690" w:type="dxa"/>
            <w:vAlign w:val="center"/>
          </w:tcPr>
          <w:p w14:paraId="2FAB24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数量</w:t>
            </w:r>
          </w:p>
        </w:tc>
        <w:tc>
          <w:tcPr>
            <w:tcW w:w="4525" w:type="dxa"/>
            <w:vAlign w:val="center"/>
          </w:tcPr>
          <w:p w14:paraId="493D43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人员资质、工作经验、工作职责</w:t>
            </w:r>
          </w:p>
        </w:tc>
        <w:tc>
          <w:tcPr>
            <w:tcW w:w="795" w:type="dxa"/>
            <w:vAlign w:val="center"/>
          </w:tcPr>
          <w:p w14:paraId="1DEF415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是否驻场</w:t>
            </w:r>
          </w:p>
        </w:tc>
        <w:tc>
          <w:tcPr>
            <w:tcW w:w="1090" w:type="dxa"/>
            <w:vAlign w:val="center"/>
          </w:tcPr>
          <w:p w14:paraId="2AB0CEA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highlight w:val="none"/>
                <w14:textFill>
                  <w14:solidFill>
                    <w14:schemeClr w14:val="tx1"/>
                  </w14:solidFill>
                </w14:textFill>
              </w:rPr>
              <w:t>工作时间</w:t>
            </w:r>
          </w:p>
        </w:tc>
      </w:tr>
      <w:tr w14:paraId="2AED2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513DC9A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S-1 </w:t>
            </w:r>
            <w:r>
              <w:rPr>
                <w:rFonts w:hint="eastAsia" w:ascii="宋体" w:hAnsi="宋体" w:eastAsia="宋体" w:cs="宋体"/>
                <w:color w:val="000000" w:themeColor="text1"/>
                <w:kern w:val="2"/>
                <w:sz w:val="21"/>
                <w:szCs w:val="21"/>
                <w:highlight w:val="none"/>
                <w14:textFill>
                  <w14:solidFill>
                    <w14:schemeClr w14:val="tx1"/>
                  </w14:solidFill>
                </w14:textFill>
              </w:rPr>
              <w:t>项目主管</w:t>
            </w:r>
          </w:p>
        </w:tc>
        <w:tc>
          <w:tcPr>
            <w:tcW w:w="690" w:type="dxa"/>
            <w:vAlign w:val="center"/>
          </w:tcPr>
          <w:p w14:paraId="13EC390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w:t>
            </w:r>
          </w:p>
        </w:tc>
        <w:tc>
          <w:tcPr>
            <w:tcW w:w="4525" w:type="dxa"/>
            <w:vAlign w:val="center"/>
          </w:tcPr>
          <w:p w14:paraId="1C73067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1、学历及工作年限要求：</w:t>
            </w:r>
            <w:r>
              <w:rPr>
                <w:rFonts w:hint="eastAsia" w:ascii="宋体" w:hAnsi="宋体" w:eastAsia="宋体" w:cs="宋体"/>
                <w:color w:val="000000" w:themeColor="text1"/>
                <w:kern w:val="2"/>
                <w:sz w:val="21"/>
                <w:szCs w:val="21"/>
                <w:highlight w:val="none"/>
                <w14:textFill>
                  <w14:solidFill>
                    <w14:schemeClr w14:val="tx1"/>
                  </w14:solidFill>
                </w14:textFill>
              </w:rPr>
              <w:t>大学</w:t>
            </w:r>
            <w:r>
              <w:rPr>
                <w:rFonts w:hint="eastAsia" w:ascii="宋体" w:hAnsi="宋体" w:cs="宋体"/>
                <w:color w:val="000000" w:themeColor="text1"/>
                <w:kern w:val="2"/>
                <w:sz w:val="21"/>
                <w:szCs w:val="21"/>
                <w:highlight w:val="none"/>
                <w:lang w:eastAsia="zh-CN"/>
                <w14:textFill>
                  <w14:solidFill>
                    <w14:schemeClr w14:val="tx1"/>
                  </w14:solidFill>
                </w14:textFill>
              </w:rPr>
              <w:t>本</w:t>
            </w:r>
            <w:r>
              <w:rPr>
                <w:rFonts w:hint="eastAsia" w:ascii="宋体" w:hAnsi="宋体" w:eastAsia="宋体" w:cs="宋体"/>
                <w:color w:val="000000" w:themeColor="text1"/>
                <w:kern w:val="2"/>
                <w:sz w:val="21"/>
                <w:szCs w:val="21"/>
                <w:highlight w:val="none"/>
                <w14:textFill>
                  <w14:solidFill>
                    <w14:schemeClr w14:val="tx1"/>
                  </w14:solidFill>
                </w14:textFill>
              </w:rPr>
              <w:t>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 xml:space="preserve">以上学历； </w:t>
            </w:r>
          </w:p>
          <w:p w14:paraId="596683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cs="宋体"/>
                <w:b w:val="0"/>
                <w:color w:val="000000" w:themeColor="text1"/>
                <w:kern w:val="2"/>
                <w:sz w:val="21"/>
                <w:szCs w:val="21"/>
                <w:highlight w:val="none"/>
                <w:lang w:eastAsia="zh-CN"/>
                <w14:textFill>
                  <w14:solidFill>
                    <w14:schemeClr w14:val="tx1"/>
                  </w14:solidFill>
                </w14:textFill>
              </w:rPr>
              <w:t>具有</w:t>
            </w:r>
            <w:r>
              <w:rPr>
                <w:rFonts w:hint="eastAsia" w:ascii="宋体" w:hAnsi="宋体" w:eastAsia="宋体" w:cs="宋体"/>
                <w:color w:val="000000" w:themeColor="text1"/>
                <w:kern w:val="2"/>
                <w:sz w:val="21"/>
                <w:szCs w:val="21"/>
                <w:highlight w:val="none"/>
                <w14:textFill>
                  <w14:solidFill>
                    <w14:schemeClr w14:val="tx1"/>
                  </w14:solidFill>
                </w14:textFill>
              </w:rPr>
              <w:t>计算机</w:t>
            </w:r>
            <w:r>
              <w:rPr>
                <w:rFonts w:hint="eastAsia" w:ascii="宋体" w:hAnsi="宋体" w:cs="宋体"/>
                <w:color w:val="000000" w:themeColor="text1"/>
                <w:kern w:val="2"/>
                <w:sz w:val="21"/>
                <w:szCs w:val="21"/>
                <w:highlight w:val="none"/>
                <w:lang w:eastAsia="zh-CN"/>
                <w14:textFill>
                  <w14:solidFill>
                    <w14:schemeClr w14:val="tx1"/>
                  </w14:solidFill>
                </w14:textFill>
              </w:rPr>
              <w:t>类</w:t>
            </w:r>
            <w:r>
              <w:rPr>
                <w:rFonts w:hint="eastAsia" w:ascii="宋体" w:hAnsi="宋体" w:eastAsia="宋体" w:cs="宋体"/>
                <w:color w:val="000000" w:themeColor="text1"/>
                <w:kern w:val="2"/>
                <w:sz w:val="21"/>
                <w:szCs w:val="21"/>
                <w:highlight w:val="none"/>
                <w14:textFill>
                  <w14:solidFill>
                    <w14:schemeClr w14:val="tx1"/>
                  </w14:solidFill>
                </w14:textFill>
              </w:rPr>
              <w:t>相关证书；</w:t>
            </w:r>
          </w:p>
          <w:p w14:paraId="4F7BBB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至少含3年计算机行业客户服务协调管理工作经验；</w:t>
            </w:r>
          </w:p>
          <w:p w14:paraId="017A40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b/>
                <w:bCs/>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按用户需求提供项目管理、流程管理、绩效考核、项目跟进把控、产出物等运维管理服务。</w:t>
            </w:r>
          </w:p>
        </w:tc>
        <w:tc>
          <w:tcPr>
            <w:tcW w:w="795" w:type="dxa"/>
            <w:vAlign w:val="center"/>
          </w:tcPr>
          <w:p w14:paraId="1D8E6D3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541D91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22F56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2F101E2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S-1 </w:t>
            </w:r>
            <w:r>
              <w:rPr>
                <w:rFonts w:hint="eastAsia" w:ascii="宋体" w:hAnsi="宋体" w:eastAsia="宋体" w:cs="宋体"/>
                <w:color w:val="000000" w:themeColor="text1"/>
                <w:kern w:val="2"/>
                <w:sz w:val="21"/>
                <w:szCs w:val="21"/>
                <w:highlight w:val="none"/>
                <w14:textFill>
                  <w14:solidFill>
                    <w14:schemeClr w14:val="tx1"/>
                  </w14:solidFill>
                </w14:textFill>
              </w:rPr>
              <w:t>网站美工及网站维护工程师</w:t>
            </w:r>
          </w:p>
        </w:tc>
        <w:tc>
          <w:tcPr>
            <w:tcW w:w="690" w:type="dxa"/>
            <w:vAlign w:val="center"/>
          </w:tcPr>
          <w:p w14:paraId="3E6B19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w:t>
            </w:r>
          </w:p>
        </w:tc>
        <w:tc>
          <w:tcPr>
            <w:tcW w:w="4525" w:type="dxa"/>
            <w:vAlign w:val="center"/>
          </w:tcPr>
          <w:p w14:paraId="6EB3B24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w:t>
            </w:r>
            <w:r>
              <w:rPr>
                <w:rFonts w:hint="eastAsia" w:ascii="宋体" w:hAnsi="宋体" w:cs="宋体"/>
                <w:color w:val="000000" w:themeColor="text1"/>
                <w:kern w:val="2"/>
                <w:sz w:val="21"/>
                <w:szCs w:val="21"/>
                <w:highlight w:val="none"/>
                <w:lang w:eastAsia="zh-CN"/>
                <w14:textFill>
                  <w14:solidFill>
                    <w14:schemeClr w14:val="tx1"/>
                  </w14:solidFill>
                </w14:textFill>
              </w:rPr>
              <w:t>本</w:t>
            </w:r>
            <w:r>
              <w:rPr>
                <w:rFonts w:hint="eastAsia" w:ascii="宋体" w:hAnsi="宋体" w:eastAsia="宋体" w:cs="宋体"/>
                <w:color w:val="000000" w:themeColor="text1"/>
                <w:kern w:val="2"/>
                <w:sz w:val="21"/>
                <w:szCs w:val="21"/>
                <w:highlight w:val="none"/>
                <w14:textFill>
                  <w14:solidFill>
                    <w14:schemeClr w14:val="tx1"/>
                  </w14:solidFill>
                </w14:textFill>
              </w:rPr>
              <w:t>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以上学历；</w:t>
            </w:r>
          </w:p>
          <w:p w14:paraId="7F2F16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cs="宋体"/>
                <w:b w:val="0"/>
                <w:color w:val="000000" w:themeColor="text1"/>
                <w:kern w:val="2"/>
                <w:sz w:val="21"/>
                <w:szCs w:val="21"/>
                <w:highlight w:val="none"/>
                <w:lang w:eastAsia="zh-CN"/>
                <w14:textFill>
                  <w14:solidFill>
                    <w14:schemeClr w14:val="tx1"/>
                  </w14:solidFill>
                </w14:textFill>
              </w:rPr>
              <w:t>具有</w:t>
            </w:r>
            <w:r>
              <w:rPr>
                <w:rFonts w:hint="eastAsia" w:ascii="宋体" w:hAnsi="宋体" w:eastAsia="宋体" w:cs="宋体"/>
                <w:color w:val="000000" w:themeColor="text1"/>
                <w:kern w:val="2"/>
                <w:sz w:val="21"/>
                <w:szCs w:val="21"/>
                <w:highlight w:val="none"/>
                <w14:textFill>
                  <w14:solidFill>
                    <w14:schemeClr w14:val="tx1"/>
                  </w14:solidFill>
                </w14:textFill>
              </w:rPr>
              <w:t>计算机</w:t>
            </w:r>
            <w:r>
              <w:rPr>
                <w:rFonts w:hint="eastAsia" w:ascii="宋体" w:hAnsi="宋体" w:cs="宋体"/>
                <w:color w:val="000000" w:themeColor="text1"/>
                <w:kern w:val="2"/>
                <w:sz w:val="21"/>
                <w:szCs w:val="21"/>
                <w:highlight w:val="none"/>
                <w:lang w:eastAsia="zh-CN"/>
                <w14:textFill>
                  <w14:solidFill>
                    <w14:schemeClr w14:val="tx1"/>
                  </w14:solidFill>
                </w14:textFill>
              </w:rPr>
              <w:t>类</w:t>
            </w:r>
            <w:r>
              <w:rPr>
                <w:rFonts w:hint="eastAsia" w:ascii="宋体" w:hAnsi="宋体" w:eastAsia="宋体" w:cs="宋体"/>
                <w:color w:val="000000" w:themeColor="text1"/>
                <w:kern w:val="2"/>
                <w:sz w:val="21"/>
                <w:szCs w:val="21"/>
                <w:highlight w:val="none"/>
                <w14:textFill>
                  <w14:solidFill>
                    <w14:schemeClr w14:val="tx1"/>
                  </w14:solidFill>
                </w14:textFill>
              </w:rPr>
              <w:t>相关证书；</w:t>
            </w:r>
          </w:p>
          <w:p w14:paraId="3B5BC0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要求含3年以上信息系统软件开发与数据资源维护经验；网页美工设计、PPT制作、网页制作及维护经验；熟悉网站开发编程语言（ htm、 asp、 php、</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kern w:val="2"/>
                <w:sz w:val="21"/>
                <w:szCs w:val="21"/>
                <w:highlight w:val="none"/>
                <w14:textFill>
                  <w14:solidFill>
                    <w14:schemeClr w14:val="tx1"/>
                  </w14:solidFill>
                </w14:textFill>
              </w:rPr>
              <w:t>asp.net、 jsp等），能独立完成网站代码的编写和后期维护工作；</w:t>
            </w:r>
          </w:p>
          <w:p w14:paraId="0B4616F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网站的日常运行维护与网站备份，优化IIS、数据库和系统运行环境。要求对网站进行实时监控；要求制定详细的巡检方案，每日对网站运行状态进行巡检及系统错误日志分析，巡检中发现的问题要及时和使用部门沟通，提出解决方案。维护记录须及时填报到采购人运维管理系统当中，填报时限不得超出24小时。同时，每月出具一份网站维护情况报告（含网站运行情况、维修记录、故障处理情况、优化建议等）。</w:t>
            </w:r>
          </w:p>
        </w:tc>
        <w:tc>
          <w:tcPr>
            <w:tcW w:w="795" w:type="dxa"/>
            <w:vAlign w:val="center"/>
          </w:tcPr>
          <w:p w14:paraId="2547497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是</w:t>
            </w:r>
          </w:p>
        </w:tc>
        <w:tc>
          <w:tcPr>
            <w:tcW w:w="1090" w:type="dxa"/>
            <w:vAlign w:val="center"/>
          </w:tcPr>
          <w:p w14:paraId="2F0C49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5*8小时，按采购人工作时间要求到岗</w:t>
            </w:r>
          </w:p>
        </w:tc>
      </w:tr>
      <w:tr w14:paraId="16C5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409" w:type="dxa"/>
            <w:vAlign w:val="center"/>
          </w:tcPr>
          <w:p w14:paraId="7A32F7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S-1 </w:t>
            </w:r>
            <w:r>
              <w:rPr>
                <w:rFonts w:hint="eastAsia" w:ascii="宋体" w:hAnsi="宋体" w:eastAsia="宋体" w:cs="宋体"/>
                <w:color w:val="000000" w:themeColor="text1"/>
                <w:kern w:val="2"/>
                <w:sz w:val="21"/>
                <w:szCs w:val="21"/>
                <w:highlight w:val="none"/>
                <w14:textFill>
                  <w14:solidFill>
                    <w14:schemeClr w14:val="tx1"/>
                  </w14:solidFill>
                </w14:textFill>
              </w:rPr>
              <w:t>维护主管工程师</w:t>
            </w:r>
          </w:p>
        </w:tc>
        <w:tc>
          <w:tcPr>
            <w:tcW w:w="690" w:type="dxa"/>
            <w:vAlign w:val="center"/>
          </w:tcPr>
          <w:p w14:paraId="332D33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w:t>
            </w:r>
          </w:p>
        </w:tc>
        <w:tc>
          <w:tcPr>
            <w:tcW w:w="4525" w:type="dxa"/>
            <w:vAlign w:val="center"/>
          </w:tcPr>
          <w:p w14:paraId="349721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1、学历要求：</w:t>
            </w:r>
            <w:r>
              <w:rPr>
                <w:rFonts w:hint="eastAsia" w:ascii="宋体" w:hAnsi="宋体" w:eastAsia="宋体" w:cs="宋体"/>
                <w:color w:val="000000" w:themeColor="text1"/>
                <w:kern w:val="2"/>
                <w:sz w:val="21"/>
                <w:szCs w:val="21"/>
                <w:highlight w:val="none"/>
                <w14:textFill>
                  <w14:solidFill>
                    <w14:schemeClr w14:val="tx1"/>
                  </w14:solidFill>
                </w14:textFill>
              </w:rPr>
              <w:t>大学</w:t>
            </w:r>
            <w:r>
              <w:rPr>
                <w:rFonts w:hint="eastAsia" w:ascii="宋体" w:hAnsi="宋体" w:cs="宋体"/>
                <w:color w:val="000000" w:themeColor="text1"/>
                <w:kern w:val="2"/>
                <w:sz w:val="21"/>
                <w:szCs w:val="21"/>
                <w:highlight w:val="none"/>
                <w:lang w:eastAsia="zh-CN"/>
                <w14:textFill>
                  <w14:solidFill>
                    <w14:schemeClr w14:val="tx1"/>
                  </w14:solidFill>
                </w14:textFill>
              </w:rPr>
              <w:t>本</w:t>
            </w:r>
            <w:r>
              <w:rPr>
                <w:rFonts w:hint="eastAsia" w:ascii="宋体" w:hAnsi="宋体" w:eastAsia="宋体" w:cs="宋体"/>
                <w:color w:val="000000" w:themeColor="text1"/>
                <w:kern w:val="2"/>
                <w:sz w:val="21"/>
                <w:szCs w:val="21"/>
                <w:highlight w:val="none"/>
                <w14:textFill>
                  <w14:solidFill>
                    <w14:schemeClr w14:val="tx1"/>
                  </w14:solidFill>
                </w14:textFill>
              </w:rPr>
              <w:t>科</w:t>
            </w:r>
            <w:r>
              <w:rPr>
                <w:rFonts w:hint="eastAsia" w:ascii="宋体" w:hAnsi="宋体" w:eastAsia="宋体" w:cs="宋体"/>
                <w:color w:val="000000" w:themeColor="text1"/>
                <w:kern w:val="2"/>
                <w:sz w:val="21"/>
                <w:szCs w:val="21"/>
                <w:highlight w:val="none"/>
                <w:lang w:eastAsia="zh-CN"/>
                <w14:textFill>
                  <w14:solidFill>
                    <w14:schemeClr w14:val="tx1"/>
                  </w14:solidFill>
                </w14:textFill>
              </w:rPr>
              <w:t>及</w:t>
            </w:r>
            <w:r>
              <w:rPr>
                <w:rFonts w:hint="eastAsia" w:ascii="宋体" w:hAnsi="宋体" w:eastAsia="宋体" w:cs="宋体"/>
                <w:color w:val="000000" w:themeColor="text1"/>
                <w:kern w:val="2"/>
                <w:sz w:val="21"/>
                <w:szCs w:val="21"/>
                <w:highlight w:val="none"/>
                <w14:textFill>
                  <w14:solidFill>
                    <w14:schemeClr w14:val="tx1"/>
                  </w14:solidFill>
                </w14:textFill>
              </w:rPr>
              <w:t>以上计算机类专业学历或同等学历；</w:t>
            </w:r>
          </w:p>
          <w:p w14:paraId="68343FF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2、认证要求：</w:t>
            </w:r>
            <w:r>
              <w:rPr>
                <w:rFonts w:hint="eastAsia" w:ascii="宋体" w:hAnsi="宋体" w:cs="宋体"/>
                <w:color w:val="000000" w:themeColor="text1"/>
                <w:szCs w:val="21"/>
                <w:highlight w:val="none"/>
                <w14:textFill>
                  <w14:solidFill>
                    <w14:schemeClr w14:val="tx1"/>
                  </w14:solidFill>
                </w14:textFill>
              </w:rPr>
              <w:t>具有国家级计算机应用证书</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计算机网络管理员证书或同类以上级别认证</w:t>
            </w:r>
            <w:r>
              <w:rPr>
                <w:rFonts w:hint="eastAsia" w:ascii="宋体" w:hAnsi="宋体" w:eastAsia="宋体" w:cs="宋体"/>
                <w:color w:val="000000" w:themeColor="text1"/>
                <w:kern w:val="2"/>
                <w:sz w:val="21"/>
                <w:szCs w:val="21"/>
                <w:highlight w:val="none"/>
                <w14:textFill>
                  <w14:solidFill>
                    <w14:schemeClr w14:val="tx1"/>
                  </w14:solidFill>
                </w14:textFill>
              </w:rPr>
              <w:t>；</w:t>
            </w:r>
          </w:p>
          <w:p w14:paraId="18CE480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left"/>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3、工作经验要求：</w:t>
            </w:r>
            <w:r>
              <w:rPr>
                <w:rFonts w:hint="eastAsia" w:ascii="宋体" w:hAnsi="宋体" w:eastAsia="宋体" w:cs="宋体"/>
                <w:color w:val="000000" w:themeColor="text1"/>
                <w:kern w:val="2"/>
                <w:sz w:val="21"/>
                <w:szCs w:val="21"/>
                <w:highlight w:val="none"/>
                <w14:textFill>
                  <w14:solidFill>
                    <w14:schemeClr w14:val="tx1"/>
                  </w14:solidFill>
                </w14:textFill>
              </w:rPr>
              <w:t>要求含3年以上网页美工设计、PPT制作、网页及维护经验，网页美工设计、PPT制作、网页制作及维护经验；熟悉网站开发编程语言（ htm、 asp、 php、asp.net、 jsp等），能独立完成网站代码的编写和后期维护工作。管理过网站开发及维护工程师团队，项目跟进把控、产出物等运维管理服务；</w:t>
            </w:r>
          </w:p>
          <w:p w14:paraId="25B0D85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left"/>
              <w:outlineLvl w:val="9"/>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14:textFill>
                  <w14:solidFill>
                    <w14:schemeClr w14:val="tx1"/>
                  </w14:solidFill>
                </w14:textFill>
              </w:rPr>
              <w:t>4、工作职责：</w:t>
            </w:r>
            <w:r>
              <w:rPr>
                <w:rFonts w:hint="eastAsia" w:ascii="宋体" w:hAnsi="宋体" w:eastAsia="宋体" w:cs="宋体"/>
                <w:color w:val="000000" w:themeColor="text1"/>
                <w:kern w:val="2"/>
                <w:sz w:val="21"/>
                <w:szCs w:val="21"/>
                <w:highlight w:val="none"/>
                <w14:textFill>
                  <w14:solidFill>
                    <w14:schemeClr w14:val="tx1"/>
                  </w14:solidFill>
                </w14:textFill>
              </w:rPr>
              <w:t>负责网站的日常运行维护中使用部门提出的一些版面美工部分的微调整，及网站备份，优化IIS、数据库和系统运行环境。同时补充网站维护工程师对网站进行实时监控；要求制定详细的巡检方案，每日对网站运行状态进行巡检及系统错误日志分析，巡检中发现的问题要及时和使用部门沟通，提出解决方案。维护记录须及时填报到采购人运维管理系统当中，填报时限不得超出24小时。同时，每个季度出具一份网站维护情况报告（含网站运行情况、维修记录、故障处理情况、优化建议等）。</w:t>
            </w:r>
          </w:p>
        </w:tc>
        <w:tc>
          <w:tcPr>
            <w:tcW w:w="795" w:type="dxa"/>
            <w:vAlign w:val="center"/>
          </w:tcPr>
          <w:p w14:paraId="6362660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否</w:t>
            </w:r>
          </w:p>
        </w:tc>
        <w:tc>
          <w:tcPr>
            <w:tcW w:w="1090" w:type="dxa"/>
            <w:vAlign w:val="center"/>
          </w:tcPr>
          <w:p w14:paraId="29FCCB0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根据采购人具体需</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求</w:t>
            </w:r>
            <w:r>
              <w:rPr>
                <w:rFonts w:hint="eastAsia" w:ascii="宋体" w:hAnsi="宋体" w:eastAsia="宋体" w:cs="宋体"/>
                <w:color w:val="000000" w:themeColor="text1"/>
                <w:kern w:val="2"/>
                <w:sz w:val="21"/>
                <w:szCs w:val="21"/>
                <w:highlight w:val="none"/>
                <w14:textFill>
                  <w14:solidFill>
                    <w14:schemeClr w14:val="tx1"/>
                  </w14:solidFill>
                </w14:textFill>
              </w:rPr>
              <w:t>提供技术支持</w:t>
            </w:r>
          </w:p>
        </w:tc>
      </w:tr>
    </w:tbl>
    <w:p w14:paraId="4C9152CB">
      <w:pPr>
        <w:spacing w:line="360" w:lineRule="auto"/>
        <w:rPr>
          <w:rFonts w:ascii="宋体" w:hAnsi="宋体" w:cs="宋体"/>
          <w:color w:val="000000" w:themeColor="text1"/>
          <w:sz w:val="24"/>
          <w:highlight w:val="none"/>
          <w14:textFill>
            <w14:solidFill>
              <w14:schemeClr w14:val="tx1"/>
            </w14:solidFill>
          </w14:textFill>
        </w:rPr>
      </w:pPr>
    </w:p>
    <w:p w14:paraId="23A9E34B">
      <w:pPr>
        <w:spacing w:line="360" w:lineRule="auto"/>
        <w:ind w:firstLine="420" w:firstLineChars="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szCs w:val="22"/>
          <w:highlight w:val="none"/>
          <w14:textFill>
            <w14:solidFill>
              <w14:schemeClr w14:val="tx1"/>
            </w14:solidFill>
          </w14:textFill>
        </w:rPr>
        <w:t>说明：投标人承诺满足人员要求的，提供相应人员的学历证书复印件及认证证书复印件作为证明。</w:t>
      </w:r>
    </w:p>
    <w:p w14:paraId="4D2676EB">
      <w:pPr>
        <w:keepNext/>
        <w:keepLines/>
        <w:pageBreakBefore w:val="0"/>
        <w:widowControl w:val="0"/>
        <w:kinsoku/>
        <w:wordWrap/>
        <w:overflowPunct/>
        <w:topLinePunct w:val="0"/>
        <w:autoSpaceDE/>
        <w:autoSpaceDN/>
        <w:bidi w:val="0"/>
        <w:adjustRightInd/>
        <w:snapToGrid/>
        <w:spacing w:line="300" w:lineRule="auto"/>
        <w:ind w:firstLine="281" w:firstLineChars="100"/>
        <w:textAlignment w:val="auto"/>
        <w:outlineLvl w:val="9"/>
        <w:rPr>
          <w:rFonts w:ascii="宋体" w:hAnsi="宋体" w:cs="宋体"/>
          <w:b/>
          <w:bCs/>
          <w:color w:val="000000" w:themeColor="text1"/>
          <w:sz w:val="28"/>
          <w:szCs w:val="32"/>
          <w:highlight w:val="none"/>
          <w14:textFill>
            <w14:solidFill>
              <w14:schemeClr w14:val="tx1"/>
            </w14:solidFill>
          </w14:textFill>
        </w:rPr>
      </w:pPr>
      <w:bookmarkStart w:id="72" w:name="_Toc23191"/>
      <w:bookmarkStart w:id="73" w:name="_Toc4148"/>
      <w:r>
        <w:rPr>
          <w:rFonts w:hint="eastAsia" w:ascii="宋体" w:hAnsi="宋体" w:cs="宋体"/>
          <w:b/>
          <w:bCs/>
          <w:color w:val="000000" w:themeColor="text1"/>
          <w:sz w:val="28"/>
          <w:szCs w:val="32"/>
          <w:highlight w:val="none"/>
          <w14:textFill>
            <w14:solidFill>
              <w14:schemeClr w14:val="tx1"/>
            </w14:solidFill>
          </w14:textFill>
        </w:rPr>
        <w:t>（二）人员管理要求</w:t>
      </w:r>
      <w:bookmarkEnd w:id="72"/>
      <w:bookmarkEnd w:id="73"/>
    </w:p>
    <w:p w14:paraId="00260434">
      <w:pPr>
        <w:numPr>
          <w:ilvl w:val="0"/>
          <w:numId w:val="16"/>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对于不满足采购人要求的人员，采购人有权要求中标</w:t>
      </w:r>
      <w:r>
        <w:rPr>
          <w:rFonts w:hint="eastAsia" w:ascii="宋体" w:hAnsi="宋体" w:cs="宋体"/>
          <w:color w:val="000000" w:themeColor="text1"/>
          <w:sz w:val="24"/>
          <w:highlight w:val="none"/>
          <w:lang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无条件更换人员，且不能影响项目进度。</w:t>
      </w:r>
    </w:p>
    <w:p w14:paraId="38D0FD36">
      <w:pPr>
        <w:numPr>
          <w:ilvl w:val="0"/>
          <w:numId w:val="16"/>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中标</w:t>
      </w:r>
      <w:r>
        <w:rPr>
          <w:rFonts w:hint="eastAsia" w:ascii="宋体" w:hAnsi="宋体" w:cs="宋体"/>
          <w:color w:val="000000" w:themeColor="text1"/>
          <w:sz w:val="24"/>
          <w:highlight w:val="none"/>
          <w:lang w:eastAsia="zh-CN"/>
          <w14:textFill>
            <w14:solidFill>
              <w14:schemeClr w14:val="tx1"/>
            </w14:solidFill>
          </w14:textFill>
        </w:rPr>
        <w:t>人服务</w:t>
      </w:r>
      <w:r>
        <w:rPr>
          <w:rFonts w:hint="eastAsia" w:ascii="宋体" w:hAnsi="宋体" w:cs="宋体"/>
          <w:color w:val="000000" w:themeColor="text1"/>
          <w:sz w:val="24"/>
          <w:highlight w:val="none"/>
          <w14:textFill>
            <w14:solidFill>
              <w14:schemeClr w14:val="tx1"/>
            </w14:solidFill>
          </w14:textFill>
        </w:rPr>
        <w:t>人员如无法履行岗位职责，经采购人监理审核认定需要更换人员的，须提前一周向采购人提出申请，</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人须在2个工作日内安排符合</w:t>
      </w:r>
      <w:r>
        <w:rPr>
          <w:rFonts w:hint="eastAsia" w:ascii="宋体" w:hAnsi="宋体" w:cs="宋体"/>
          <w:color w:val="000000" w:themeColor="text1"/>
          <w:sz w:val="24"/>
          <w:highlight w:val="none"/>
          <w:lang w:eastAsia="zh-CN"/>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合同要求的替换人员到岗并完成工作交接，</w:t>
      </w:r>
      <w:r>
        <w:rPr>
          <w:rFonts w:hint="eastAsia" w:ascii="宋体" w:hAnsi="宋体" w:cs="宋体"/>
          <w:color w:val="000000" w:themeColor="text1"/>
          <w:sz w:val="24"/>
          <w:highlight w:val="none"/>
          <w:lang w:eastAsia="zh-CN"/>
          <w14:textFill>
            <w14:solidFill>
              <w14:schemeClr w14:val="tx1"/>
            </w14:solidFill>
          </w14:textFill>
        </w:rPr>
        <w:t>待采购人</w:t>
      </w:r>
      <w:r>
        <w:rPr>
          <w:rFonts w:hint="eastAsia" w:ascii="宋体" w:hAnsi="宋体" w:cs="宋体"/>
          <w:color w:val="000000" w:themeColor="text1"/>
          <w:sz w:val="24"/>
          <w:highlight w:val="none"/>
          <w14:textFill>
            <w14:solidFill>
              <w14:schemeClr w14:val="tx1"/>
            </w14:solidFill>
          </w14:textFill>
        </w:rPr>
        <w:t>确认无误后，</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服务人员方可离场。若更换人员3次后仍不合格的，视为中标</w:t>
      </w:r>
      <w:r>
        <w:rPr>
          <w:rFonts w:hint="eastAsia" w:ascii="宋体" w:hAnsi="宋体" w:cs="宋体"/>
          <w:color w:val="000000" w:themeColor="text1"/>
          <w:sz w:val="24"/>
          <w:highlight w:val="none"/>
          <w:lang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违约，采购人可解除双方的采购合同，并追究其法律责任。</w:t>
      </w:r>
    </w:p>
    <w:p w14:paraId="55AAF0B4">
      <w:pPr>
        <w:numPr>
          <w:ilvl w:val="0"/>
          <w:numId w:val="16"/>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在服务期间，中标</w:t>
      </w:r>
      <w:r>
        <w:rPr>
          <w:rFonts w:hint="eastAsia" w:ascii="宋体" w:hAnsi="宋体" w:cs="宋体"/>
          <w:color w:val="000000" w:themeColor="text1"/>
          <w:sz w:val="24"/>
          <w:highlight w:val="none"/>
          <w:lang w:eastAsia="zh-CN"/>
          <w14:textFill>
            <w14:solidFill>
              <w14:schemeClr w14:val="tx1"/>
            </w14:solidFill>
          </w14:textFill>
        </w:rPr>
        <w:t>人更换</w:t>
      </w:r>
      <w:r>
        <w:rPr>
          <w:rFonts w:hint="eastAsia" w:ascii="宋体" w:hAnsi="宋体" w:cs="宋体"/>
          <w:color w:val="000000" w:themeColor="text1"/>
          <w:sz w:val="24"/>
          <w:highlight w:val="none"/>
          <w14:textFill>
            <w14:solidFill>
              <w14:schemeClr w14:val="tx1"/>
            </w14:solidFill>
          </w14:textFill>
        </w:rPr>
        <w:t>驻场</w:t>
      </w:r>
      <w:r>
        <w:rPr>
          <w:rFonts w:hint="eastAsia" w:ascii="宋体" w:hAnsi="宋体" w:cs="宋体"/>
          <w:color w:val="000000" w:themeColor="text1"/>
          <w:sz w:val="24"/>
          <w:highlight w:val="none"/>
          <w:lang w:eastAsia="zh-CN"/>
          <w14:textFill>
            <w14:solidFill>
              <w14:schemeClr w14:val="tx1"/>
            </w14:solidFill>
          </w14:textFill>
        </w:rPr>
        <w:t>服务</w:t>
      </w:r>
      <w:r>
        <w:rPr>
          <w:rFonts w:hint="eastAsia" w:ascii="宋体" w:hAnsi="宋体" w:cs="宋体"/>
          <w:color w:val="000000" w:themeColor="text1"/>
          <w:sz w:val="24"/>
          <w:highlight w:val="none"/>
          <w14:textFill>
            <w14:solidFill>
              <w14:schemeClr w14:val="tx1"/>
            </w14:solidFill>
          </w14:textFill>
        </w:rPr>
        <w:t>人员的，须提前一</w:t>
      </w:r>
      <w:r>
        <w:rPr>
          <w:rFonts w:hint="eastAsia" w:ascii="宋体" w:hAnsi="宋体" w:cs="宋体"/>
          <w:color w:val="000000" w:themeColor="text1"/>
          <w:sz w:val="24"/>
          <w:highlight w:val="none"/>
          <w:lang w:eastAsia="zh-CN"/>
          <w14:textFill>
            <w14:solidFill>
              <w14:schemeClr w14:val="tx1"/>
            </w14:solidFill>
          </w14:textFill>
        </w:rPr>
        <w:t>周</w:t>
      </w:r>
      <w:r>
        <w:rPr>
          <w:rFonts w:hint="eastAsia" w:ascii="宋体" w:hAnsi="宋体" w:cs="宋体"/>
          <w:color w:val="000000" w:themeColor="text1"/>
          <w:sz w:val="24"/>
          <w:highlight w:val="none"/>
          <w14:textFill>
            <w14:solidFill>
              <w14:schemeClr w14:val="tx1"/>
            </w14:solidFill>
          </w14:textFill>
        </w:rPr>
        <w:t>向采购人提出申请，经采购人确认备档后，</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人须在2个工作日内安排符合</w:t>
      </w:r>
      <w:r>
        <w:rPr>
          <w:rFonts w:hint="eastAsia" w:ascii="宋体" w:hAnsi="宋体" w:cs="宋体"/>
          <w:color w:val="000000" w:themeColor="text1"/>
          <w:sz w:val="24"/>
          <w:highlight w:val="none"/>
          <w:lang w:eastAsia="zh-CN"/>
          <w14:textFill>
            <w14:solidFill>
              <w14:schemeClr w14:val="tx1"/>
            </w14:solidFill>
          </w14:textFill>
        </w:rPr>
        <w:t>采购</w:t>
      </w:r>
      <w:r>
        <w:rPr>
          <w:rFonts w:hint="eastAsia" w:ascii="宋体" w:hAnsi="宋体" w:cs="宋体"/>
          <w:color w:val="000000" w:themeColor="text1"/>
          <w:sz w:val="24"/>
          <w:highlight w:val="none"/>
          <w14:textFill>
            <w14:solidFill>
              <w14:schemeClr w14:val="tx1"/>
            </w14:solidFill>
          </w14:textFill>
        </w:rPr>
        <w:t>合同要求的替换人员到岗并完成工作交接，</w:t>
      </w:r>
      <w:r>
        <w:rPr>
          <w:rFonts w:hint="eastAsia" w:ascii="宋体" w:hAnsi="宋体" w:cs="宋体"/>
          <w:color w:val="000000" w:themeColor="text1"/>
          <w:sz w:val="24"/>
          <w:highlight w:val="none"/>
          <w:lang w:eastAsia="zh-CN"/>
          <w14:textFill>
            <w14:solidFill>
              <w14:schemeClr w14:val="tx1"/>
            </w14:solidFill>
          </w14:textFill>
        </w:rPr>
        <w:t>待采购人</w:t>
      </w:r>
      <w:r>
        <w:rPr>
          <w:rFonts w:hint="eastAsia" w:ascii="宋体" w:hAnsi="宋体" w:cs="宋体"/>
          <w:color w:val="000000" w:themeColor="text1"/>
          <w:sz w:val="24"/>
          <w:highlight w:val="none"/>
          <w14:textFill>
            <w14:solidFill>
              <w14:schemeClr w14:val="tx1"/>
            </w14:solidFill>
          </w14:textFill>
        </w:rPr>
        <w:t>确认无误后，</w:t>
      </w:r>
      <w:r>
        <w:rPr>
          <w:rFonts w:hint="eastAsia" w:ascii="宋体" w:hAnsi="宋体" w:cs="宋体"/>
          <w:color w:val="000000" w:themeColor="text1"/>
          <w:sz w:val="24"/>
          <w:highlight w:val="none"/>
          <w:lang w:eastAsia="zh-CN"/>
          <w14:textFill>
            <w14:solidFill>
              <w14:schemeClr w14:val="tx1"/>
            </w14:solidFill>
          </w14:textFill>
        </w:rPr>
        <w:t>中标人</w:t>
      </w:r>
      <w:r>
        <w:rPr>
          <w:rFonts w:hint="eastAsia" w:ascii="宋体" w:hAnsi="宋体" w:cs="宋体"/>
          <w:color w:val="000000" w:themeColor="text1"/>
          <w:sz w:val="24"/>
          <w:highlight w:val="none"/>
          <w14:textFill>
            <w14:solidFill>
              <w14:schemeClr w14:val="tx1"/>
            </w14:solidFill>
          </w14:textFill>
        </w:rPr>
        <w:t>服务人员方可离场。若更换人员3次后仍不合格的，视为</w:t>
      </w:r>
      <w:r>
        <w:rPr>
          <w:rFonts w:hint="eastAsia" w:ascii="宋体" w:hAnsi="宋体" w:cs="宋体"/>
          <w:color w:val="000000" w:themeColor="text1"/>
          <w:sz w:val="24"/>
          <w:highlight w:val="none"/>
          <w:lang w:eastAsia="zh-CN"/>
          <w14:textFill>
            <w14:solidFill>
              <w14:schemeClr w14:val="tx1"/>
            </w14:solidFill>
          </w14:textFill>
        </w:rPr>
        <w:t>中标</w:t>
      </w:r>
      <w:r>
        <w:rPr>
          <w:rFonts w:hint="eastAsia" w:ascii="宋体" w:hAnsi="宋体" w:cs="宋体"/>
          <w:color w:val="000000" w:themeColor="text1"/>
          <w:sz w:val="24"/>
          <w:highlight w:val="none"/>
          <w14:textFill>
            <w14:solidFill>
              <w14:schemeClr w14:val="tx1"/>
            </w14:solidFill>
          </w14:textFill>
        </w:rPr>
        <w:t>人违约，采购人可取消双方的采购合同，并追究其法律责任。</w:t>
      </w:r>
    </w:p>
    <w:p w14:paraId="4FBEC0E8">
      <w:pPr>
        <w:numPr>
          <w:ilvl w:val="0"/>
          <w:numId w:val="16"/>
        </w:numPr>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中标</w:t>
      </w:r>
      <w:r>
        <w:rPr>
          <w:rFonts w:hint="eastAsia" w:ascii="宋体" w:hAnsi="宋体" w:cs="宋体"/>
          <w:color w:val="000000" w:themeColor="text1"/>
          <w:sz w:val="24"/>
          <w:highlight w:val="none"/>
          <w:lang w:eastAsia="zh-CN"/>
          <w14:textFill>
            <w14:solidFill>
              <w14:schemeClr w14:val="tx1"/>
            </w14:solidFill>
          </w14:textFill>
        </w:rPr>
        <w:t>人服务</w:t>
      </w:r>
      <w:r>
        <w:rPr>
          <w:rFonts w:hint="eastAsia" w:ascii="宋体" w:hAnsi="宋体" w:cs="宋体"/>
          <w:color w:val="000000" w:themeColor="text1"/>
          <w:sz w:val="24"/>
          <w:highlight w:val="none"/>
          <w14:textFill>
            <w14:solidFill>
              <w14:schemeClr w14:val="tx1"/>
            </w14:solidFill>
          </w14:textFill>
        </w:rPr>
        <w:t>人员须按照采购人管理要求规范着装、佩戴工作证，所需费用由中标</w:t>
      </w:r>
      <w:r>
        <w:rPr>
          <w:rFonts w:hint="eastAsia" w:ascii="宋体" w:hAnsi="宋体" w:cs="宋体"/>
          <w:color w:val="000000" w:themeColor="text1"/>
          <w:sz w:val="24"/>
          <w:highlight w:val="none"/>
          <w:lang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自行承担。</w:t>
      </w:r>
    </w:p>
    <w:p w14:paraId="39D7DF75">
      <w:pPr>
        <w:numPr>
          <w:ilvl w:val="0"/>
          <w:numId w:val="16"/>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根据采购人需要，中标</w:t>
      </w:r>
      <w:r>
        <w:rPr>
          <w:rFonts w:hint="eastAsia" w:ascii="宋体" w:hAnsi="宋体" w:cs="宋体"/>
          <w:color w:val="000000" w:themeColor="text1"/>
          <w:sz w:val="24"/>
          <w:highlight w:val="none"/>
          <w:lang w:eastAsia="zh-CN"/>
          <w14:textFill>
            <w14:solidFill>
              <w14:schemeClr w14:val="tx1"/>
            </w14:solidFill>
          </w14:textFill>
        </w:rPr>
        <w:t>人服务</w:t>
      </w:r>
      <w:r>
        <w:rPr>
          <w:rFonts w:hint="eastAsia" w:ascii="宋体" w:hAnsi="宋体" w:cs="宋体"/>
          <w:color w:val="000000" w:themeColor="text1"/>
          <w:sz w:val="24"/>
          <w:highlight w:val="none"/>
          <w14:textFill>
            <w14:solidFill>
              <w14:schemeClr w14:val="tx1"/>
            </w14:solidFill>
          </w14:textFill>
        </w:rPr>
        <w:t>人员需服从运维中心工作安排和调整，而不仅限于本项目所属系统运维工作。</w:t>
      </w:r>
    </w:p>
    <w:p w14:paraId="1A5D6A1D">
      <w:pPr>
        <w:numPr>
          <w:ilvl w:val="0"/>
          <w:numId w:val="16"/>
        </w:num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bookmarkStart w:id="74" w:name="_Toc15693"/>
      <w:bookmarkStart w:id="75" w:name="_Toc27844"/>
      <w:r>
        <w:rPr>
          <w:rFonts w:hint="eastAsia" w:ascii="宋体" w:hAnsi="宋体" w:cs="宋体"/>
          <w:color w:val="000000" w:themeColor="text1"/>
          <w:sz w:val="24"/>
          <w:highlight w:val="none"/>
          <w:lang w:eastAsia="zh-CN"/>
          <w14:textFill>
            <w14:solidFill>
              <w14:schemeClr w14:val="tx1"/>
            </w14:solidFill>
          </w14:textFill>
        </w:rPr>
        <w:t>中标人驻场服务人员作为本项目的专职服务人员，不能再作为其它项目的服务人员（包括驻场和非驻场）复用。一经发现人员复用情况，中标人须在</w:t>
      </w:r>
      <w:r>
        <w:rPr>
          <w:rFonts w:hint="eastAsia" w:ascii="宋体" w:hAnsi="宋体" w:cs="宋体"/>
          <w:color w:val="000000" w:themeColor="text1"/>
          <w:sz w:val="24"/>
          <w:highlight w:val="none"/>
          <w:lang w:val="en-US" w:eastAsia="zh-CN"/>
          <w14:textFill>
            <w14:solidFill>
              <w14:schemeClr w14:val="tx1"/>
            </w14:solidFill>
          </w14:textFill>
        </w:rPr>
        <w:t>2个工作日内完成整改并经采购人确认无误。否则，视为中标人违约。</w:t>
      </w:r>
    </w:p>
    <w:p w14:paraId="4B201F60">
      <w:pPr>
        <w:keepNext/>
        <w:keepLines/>
        <w:pageBreakBefore w:val="0"/>
        <w:widowControl w:val="0"/>
        <w:kinsoku/>
        <w:wordWrap/>
        <w:overflowPunct/>
        <w:topLinePunct w:val="0"/>
        <w:autoSpaceDE/>
        <w:autoSpaceDN/>
        <w:bidi w:val="0"/>
        <w:adjustRightInd/>
        <w:snapToGrid/>
        <w:spacing w:line="300" w:lineRule="auto"/>
        <w:ind w:firstLine="281" w:firstLineChars="100"/>
        <w:textAlignment w:val="auto"/>
        <w:outlineLvl w:val="9"/>
        <w:rPr>
          <w:rFonts w:hint="eastAsia" w:ascii="宋体" w:hAnsi="宋体" w:eastAsia="宋体" w:cs="宋体"/>
          <w:b/>
          <w:bCs/>
          <w:color w:val="000000" w:themeColor="text1"/>
          <w:sz w:val="28"/>
          <w:szCs w:val="32"/>
          <w:highlight w:val="none"/>
          <w14:textFill>
            <w14:solidFill>
              <w14:schemeClr w14:val="tx1"/>
            </w14:solidFill>
          </w14:textFill>
        </w:rPr>
      </w:pPr>
      <w:r>
        <w:rPr>
          <w:rFonts w:hint="eastAsia" w:ascii="宋体" w:hAnsi="宋体" w:eastAsia="宋体" w:cs="宋体"/>
          <w:b/>
          <w:bCs/>
          <w:color w:val="000000" w:themeColor="text1"/>
          <w:sz w:val="28"/>
          <w:szCs w:val="32"/>
          <w:highlight w:val="none"/>
          <w14:textFill>
            <w14:solidFill>
              <w14:schemeClr w14:val="tx1"/>
            </w14:solidFill>
          </w14:textFill>
        </w:rPr>
        <w:t>（三）人员考核要求</w:t>
      </w:r>
      <w:bookmarkEnd w:id="74"/>
      <w:bookmarkEnd w:id="75"/>
    </w:p>
    <w:p w14:paraId="30DF3814">
      <w:pPr>
        <w:numPr>
          <w:ilvl w:val="-1"/>
          <w:numId w:val="0"/>
        </w:numPr>
        <w:spacing w:line="480" w:lineRule="atLeast"/>
        <w:ind w:firstLine="480" w:firstLineChars="200"/>
        <w:rPr>
          <w:rFonts w:hint="eastAsia"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中标</w:t>
      </w:r>
      <w:r>
        <w:rPr>
          <w:rFonts w:hint="eastAsia" w:ascii="宋体" w:hAnsi="宋体" w:cs="宋体"/>
          <w:color w:val="000000" w:themeColor="text1"/>
          <w:sz w:val="24"/>
          <w:szCs w:val="21"/>
          <w:highlight w:val="none"/>
          <w:lang w:eastAsia="zh-CN"/>
          <w14:textFill>
            <w14:solidFill>
              <w14:schemeClr w14:val="tx1"/>
            </w14:solidFill>
          </w14:textFill>
        </w:rPr>
        <w:t>人</w:t>
      </w:r>
      <w:r>
        <w:rPr>
          <w:rFonts w:hint="eastAsia" w:ascii="宋体" w:hAnsi="宋体" w:cs="宋体"/>
          <w:color w:val="000000" w:themeColor="text1"/>
          <w:sz w:val="24"/>
          <w:szCs w:val="21"/>
          <w:highlight w:val="none"/>
          <w14:textFill>
            <w14:solidFill>
              <w14:schemeClr w14:val="tx1"/>
            </w14:solidFill>
          </w14:textFill>
        </w:rPr>
        <w:t>驻场</w:t>
      </w:r>
      <w:r>
        <w:rPr>
          <w:rFonts w:hint="eastAsia" w:ascii="宋体" w:hAnsi="宋体" w:cs="宋体"/>
          <w:color w:val="000000" w:themeColor="text1"/>
          <w:sz w:val="24"/>
          <w:szCs w:val="21"/>
          <w:highlight w:val="none"/>
          <w:lang w:eastAsia="zh-CN"/>
          <w14:textFill>
            <w14:solidFill>
              <w14:schemeClr w14:val="tx1"/>
            </w14:solidFill>
          </w14:textFill>
        </w:rPr>
        <w:t>服务</w:t>
      </w:r>
      <w:r>
        <w:rPr>
          <w:rFonts w:hint="eastAsia" w:ascii="宋体" w:hAnsi="宋体" w:cs="宋体"/>
          <w:color w:val="000000" w:themeColor="text1"/>
          <w:sz w:val="24"/>
          <w:szCs w:val="21"/>
          <w:highlight w:val="none"/>
          <w14:textFill>
            <w14:solidFill>
              <w14:schemeClr w14:val="tx1"/>
            </w14:solidFill>
          </w14:textFill>
        </w:rPr>
        <w:t>人员须遵守</w:t>
      </w:r>
      <w:r>
        <w:rPr>
          <w:rFonts w:hint="eastAsia" w:ascii="宋体" w:hAnsi="宋体" w:cs="宋体"/>
          <w:color w:val="000000" w:themeColor="text1"/>
          <w:sz w:val="24"/>
          <w:szCs w:val="21"/>
          <w:highlight w:val="none"/>
          <w:lang w:eastAsia="zh-CN"/>
          <w14:textFill>
            <w14:solidFill>
              <w14:schemeClr w14:val="tx1"/>
            </w14:solidFill>
          </w14:textFill>
        </w:rPr>
        <w:t>广西</w:t>
      </w:r>
      <w:r>
        <w:rPr>
          <w:rFonts w:hint="eastAsia" w:ascii="宋体" w:hAnsi="宋体" w:cs="宋体"/>
          <w:color w:val="000000" w:themeColor="text1"/>
          <w:sz w:val="24"/>
          <w:szCs w:val="21"/>
          <w:highlight w:val="none"/>
          <w14:textFill>
            <w14:solidFill>
              <w14:schemeClr w14:val="tx1"/>
            </w14:solidFill>
          </w14:textFill>
        </w:rPr>
        <w:t>公安厅和运维中心各项管理制度，采购人结合岗位考核标准对各岗位进行评定，对个人工作进行考核。各岗位以职位划分，职位不同，考核内容也不同。考核</w:t>
      </w:r>
      <w:r>
        <w:rPr>
          <w:rFonts w:hint="eastAsia" w:ascii="宋体" w:hAnsi="宋体" w:cs="宋体"/>
          <w:color w:val="000000" w:themeColor="text1"/>
          <w:sz w:val="24"/>
          <w:szCs w:val="21"/>
          <w:highlight w:val="none"/>
          <w:lang w:eastAsia="zh-CN"/>
          <w14:textFill>
            <w14:solidFill>
              <w14:schemeClr w14:val="tx1"/>
            </w14:solidFill>
          </w14:textFill>
        </w:rPr>
        <w:t>结果分为</w:t>
      </w:r>
      <w:r>
        <w:rPr>
          <w:rFonts w:hint="eastAsia" w:ascii="宋体" w:hAnsi="宋体" w:cs="宋体"/>
          <w:color w:val="000000" w:themeColor="text1"/>
          <w:sz w:val="24"/>
          <w:szCs w:val="21"/>
          <w:highlight w:val="none"/>
          <w14:textFill>
            <w14:solidFill>
              <w14:schemeClr w14:val="tx1"/>
            </w14:solidFill>
          </w14:textFill>
        </w:rPr>
        <w:t>四个档次，分</w:t>
      </w:r>
      <w:r>
        <w:rPr>
          <w:rFonts w:hint="eastAsia" w:ascii="宋体" w:hAnsi="宋体" w:cs="宋体"/>
          <w:color w:val="000000" w:themeColor="text1"/>
          <w:sz w:val="24"/>
          <w:szCs w:val="21"/>
          <w:highlight w:val="none"/>
          <w:lang w:eastAsia="zh-CN"/>
          <w14:textFill>
            <w14:solidFill>
              <w14:schemeClr w14:val="tx1"/>
            </w14:solidFill>
          </w14:textFill>
        </w:rPr>
        <w:t>别</w:t>
      </w:r>
      <w:r>
        <w:rPr>
          <w:rFonts w:hint="eastAsia" w:ascii="宋体" w:hAnsi="宋体" w:cs="宋体"/>
          <w:color w:val="000000" w:themeColor="text1"/>
          <w:sz w:val="24"/>
          <w:szCs w:val="21"/>
          <w:highlight w:val="none"/>
          <w14:textFill>
            <w14:solidFill>
              <w14:schemeClr w14:val="tx1"/>
            </w14:solidFill>
          </w14:textFill>
        </w:rPr>
        <w:t>为优秀、良好、</w:t>
      </w:r>
      <w:r>
        <w:rPr>
          <w:rFonts w:hint="eastAsia" w:ascii="宋体" w:hAnsi="宋体" w:cs="宋体"/>
          <w:color w:val="000000" w:themeColor="text1"/>
          <w:sz w:val="24"/>
          <w:szCs w:val="21"/>
          <w:highlight w:val="none"/>
          <w:lang w:eastAsia="zh-CN"/>
          <w14:textFill>
            <w14:solidFill>
              <w14:schemeClr w14:val="tx1"/>
            </w14:solidFill>
          </w14:textFill>
        </w:rPr>
        <w:t>基本</w:t>
      </w:r>
      <w:r>
        <w:rPr>
          <w:rFonts w:hint="eastAsia" w:ascii="宋体" w:hAnsi="宋体" w:cs="宋体"/>
          <w:color w:val="000000" w:themeColor="text1"/>
          <w:sz w:val="24"/>
          <w:szCs w:val="21"/>
          <w:highlight w:val="none"/>
          <w14:textFill>
            <w14:solidFill>
              <w14:schemeClr w14:val="tx1"/>
            </w14:solidFill>
          </w14:textFill>
        </w:rPr>
        <w:t>合格、不合格。</w:t>
      </w:r>
      <w:r>
        <w:rPr>
          <w:rFonts w:hint="eastAsia" w:ascii="宋体" w:hAnsi="宋体" w:cs="宋体"/>
          <w:color w:val="000000" w:themeColor="text1"/>
          <w:sz w:val="24"/>
          <w:szCs w:val="21"/>
          <w:highlight w:val="none"/>
          <w:lang w:eastAsia="zh-CN"/>
          <w14:textFill>
            <w14:solidFill>
              <w14:schemeClr w14:val="tx1"/>
            </w14:solidFill>
          </w14:textFill>
        </w:rPr>
        <w:t>人员考核工作定期开展，中标人驻场服务人员考核结果为不合格或连续</w:t>
      </w:r>
      <w:r>
        <w:rPr>
          <w:rFonts w:hint="eastAsia" w:ascii="宋体" w:hAnsi="宋体" w:cs="宋体"/>
          <w:color w:val="000000" w:themeColor="text1"/>
          <w:sz w:val="24"/>
          <w:szCs w:val="21"/>
          <w:highlight w:val="none"/>
          <w:lang w:val="en-US" w:eastAsia="zh-CN"/>
          <w14:textFill>
            <w14:solidFill>
              <w14:schemeClr w14:val="tx1"/>
            </w14:solidFill>
          </w14:textFill>
        </w:rPr>
        <w:t>3次均</w:t>
      </w:r>
      <w:r>
        <w:rPr>
          <w:rFonts w:hint="eastAsia" w:ascii="宋体" w:hAnsi="宋体" w:cs="宋体"/>
          <w:color w:val="000000" w:themeColor="text1"/>
          <w:sz w:val="24"/>
          <w:szCs w:val="21"/>
          <w:highlight w:val="none"/>
          <w:lang w:eastAsia="zh-CN"/>
          <w14:textFill>
            <w14:solidFill>
              <w14:schemeClr w14:val="tx1"/>
            </w14:solidFill>
          </w14:textFill>
        </w:rPr>
        <w:t>为基本合格的，视为不满足采购人要求，采购人</w:t>
      </w:r>
      <w:r>
        <w:rPr>
          <w:rFonts w:hint="eastAsia" w:ascii="宋体" w:hAnsi="宋体" w:cs="宋体"/>
          <w:color w:val="000000" w:themeColor="text1"/>
          <w:sz w:val="24"/>
          <w:highlight w:val="none"/>
          <w14:textFill>
            <w14:solidFill>
              <w14:schemeClr w14:val="tx1"/>
            </w14:solidFill>
          </w14:textFill>
        </w:rPr>
        <w:t>有权要求中标</w:t>
      </w:r>
      <w:r>
        <w:rPr>
          <w:rFonts w:hint="eastAsia" w:ascii="宋体" w:hAnsi="宋体" w:cs="宋体"/>
          <w:color w:val="000000" w:themeColor="text1"/>
          <w:sz w:val="24"/>
          <w:highlight w:val="none"/>
          <w:lang w:eastAsia="zh-CN"/>
          <w14:textFill>
            <w14:solidFill>
              <w14:schemeClr w14:val="tx1"/>
            </w14:solidFill>
          </w14:textFill>
        </w:rPr>
        <w:t>人</w:t>
      </w:r>
      <w:r>
        <w:rPr>
          <w:rFonts w:hint="eastAsia" w:ascii="宋体" w:hAnsi="宋体" w:cs="宋体"/>
          <w:color w:val="000000" w:themeColor="text1"/>
          <w:sz w:val="24"/>
          <w:highlight w:val="none"/>
          <w14:textFill>
            <w14:solidFill>
              <w14:schemeClr w14:val="tx1"/>
            </w14:solidFill>
          </w14:textFill>
        </w:rPr>
        <w:t>无条件更换人员，且不能影响项目进度。</w:t>
      </w:r>
      <w:r>
        <w:rPr>
          <w:rFonts w:hint="eastAsia" w:ascii="宋体" w:hAnsi="宋体" w:cs="宋体"/>
          <w:color w:val="000000" w:themeColor="text1"/>
          <w:sz w:val="24"/>
          <w:szCs w:val="21"/>
          <w:highlight w:val="none"/>
          <w14:textFill>
            <w14:solidFill>
              <w14:schemeClr w14:val="tx1"/>
            </w14:solidFill>
          </w14:textFill>
        </w:rPr>
        <w:t>工作考核评价标准</w:t>
      </w:r>
      <w:r>
        <w:rPr>
          <w:rFonts w:hint="eastAsia" w:ascii="宋体" w:hAnsi="宋体" w:cs="宋体"/>
          <w:color w:val="000000" w:themeColor="text1"/>
          <w:sz w:val="24"/>
          <w:szCs w:val="21"/>
          <w:highlight w:val="none"/>
          <w:lang w:eastAsia="zh-CN"/>
          <w14:textFill>
            <w14:solidFill>
              <w14:schemeClr w14:val="tx1"/>
            </w14:solidFill>
          </w14:textFill>
        </w:rPr>
        <w:t>如下</w:t>
      </w:r>
      <w:r>
        <w:rPr>
          <w:rFonts w:hint="eastAsia" w:ascii="宋体" w:hAnsi="宋体" w:cs="宋体"/>
          <w:color w:val="000000" w:themeColor="text1"/>
          <w:sz w:val="24"/>
          <w:szCs w:val="21"/>
          <w:highlight w:val="none"/>
          <w14:textFill>
            <w14:solidFill>
              <w14:schemeClr w14:val="tx1"/>
            </w14:solidFill>
          </w14:textFill>
        </w:rPr>
        <w:t>：</w:t>
      </w:r>
    </w:p>
    <w:p w14:paraId="39C3802D">
      <w:pPr>
        <w:numPr>
          <w:ilvl w:val="-1"/>
          <w:numId w:val="0"/>
        </w:numPr>
        <w:spacing w:line="480" w:lineRule="atLeast"/>
        <w:ind w:left="0" w:leftChars="0" w:firstLine="480" w:firstLineChars="200"/>
        <w:rPr>
          <w:rFonts w:hint="eastAsia"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达到岗位要求并在本岗位做出突出成绩的为优秀；</w:t>
      </w:r>
    </w:p>
    <w:p w14:paraId="61657EB2">
      <w:pPr>
        <w:numPr>
          <w:ilvl w:val="-1"/>
          <w:numId w:val="0"/>
        </w:numPr>
        <w:spacing w:line="480" w:lineRule="atLeast"/>
        <w:ind w:leftChars="0" w:firstLine="480" w:firstLineChars="200"/>
        <w:rPr>
          <w:rFonts w:hint="eastAsia"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达到岗位要求并按时优质完成任务的为良好；</w:t>
      </w:r>
    </w:p>
    <w:p w14:paraId="1F26787F">
      <w:pPr>
        <w:numPr>
          <w:ilvl w:val="-1"/>
          <w:numId w:val="0"/>
        </w:numPr>
        <w:spacing w:line="480" w:lineRule="atLeast"/>
        <w:ind w:leftChars="0" w:firstLine="480" w:firstLineChars="200"/>
        <w:rPr>
          <w:rFonts w:hint="eastAsia"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基本达到岗位要求并在帮助下按时完成任务的为</w:t>
      </w:r>
      <w:r>
        <w:rPr>
          <w:rFonts w:hint="eastAsia" w:ascii="宋体" w:hAnsi="宋体" w:cs="宋体"/>
          <w:color w:val="000000" w:themeColor="text1"/>
          <w:sz w:val="24"/>
          <w:szCs w:val="21"/>
          <w:highlight w:val="none"/>
          <w:lang w:eastAsia="zh-CN"/>
          <w14:textFill>
            <w14:solidFill>
              <w14:schemeClr w14:val="tx1"/>
            </w14:solidFill>
          </w14:textFill>
        </w:rPr>
        <w:t>基本</w:t>
      </w:r>
      <w:r>
        <w:rPr>
          <w:rFonts w:hint="eastAsia" w:ascii="宋体" w:hAnsi="宋体" w:cs="宋体"/>
          <w:color w:val="000000" w:themeColor="text1"/>
          <w:sz w:val="24"/>
          <w:szCs w:val="21"/>
          <w:highlight w:val="none"/>
          <w14:textFill>
            <w14:solidFill>
              <w14:schemeClr w14:val="tx1"/>
            </w14:solidFill>
          </w14:textFill>
        </w:rPr>
        <w:t>合格；</w:t>
      </w:r>
    </w:p>
    <w:p w14:paraId="04B466C3">
      <w:pPr>
        <w:numPr>
          <w:ilvl w:val="-1"/>
          <w:numId w:val="0"/>
        </w:numPr>
        <w:spacing w:line="480" w:lineRule="atLeast"/>
        <w:ind w:leftChars="0" w:firstLine="480" w:firstLineChars="200"/>
        <w:rPr>
          <w:rFonts w:hint="eastAsia"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未达到岗位要求且在帮助下也未能完成任务的为不合格</w:t>
      </w:r>
      <w:r>
        <w:rPr>
          <w:rFonts w:hint="eastAsia" w:ascii="宋体" w:hAnsi="宋体" w:cs="宋体"/>
          <w:color w:val="000000" w:themeColor="text1"/>
          <w:sz w:val="24"/>
          <w:szCs w:val="21"/>
          <w:highlight w:val="none"/>
          <w:lang w:eastAsia="zh-CN"/>
          <w14:textFill>
            <w14:solidFill>
              <w14:schemeClr w14:val="tx1"/>
            </w14:solidFill>
          </w14:textFill>
        </w:rPr>
        <w:t>。</w:t>
      </w:r>
    </w:p>
    <w:p w14:paraId="3792BAC8">
      <w:pPr>
        <w:spacing w:line="480" w:lineRule="atLeast"/>
        <w:ind w:firstLine="480" w:firstLineChars="200"/>
        <w:rPr>
          <w:rFonts w:ascii="宋体" w:hAnsi="宋体" w:cs="宋体"/>
          <w:color w:val="000000" w:themeColor="text1"/>
          <w:sz w:val="24"/>
          <w:szCs w:val="21"/>
          <w:highlight w:val="none"/>
          <w14:textFill>
            <w14:solidFill>
              <w14:schemeClr w14:val="tx1"/>
            </w14:solidFill>
          </w14:textFill>
        </w:rPr>
      </w:pPr>
    </w:p>
    <w:p w14:paraId="4EA61AF3">
      <w:pPr>
        <w:spacing w:line="480" w:lineRule="atLeast"/>
        <w:ind w:firstLine="480" w:firstLineChars="200"/>
        <w:rPr>
          <w:rFonts w:ascii="宋体" w:hAnsi="宋体" w:cs="宋体"/>
          <w:color w:val="000000" w:themeColor="text1"/>
          <w:sz w:val="24"/>
          <w:szCs w:val="21"/>
          <w:highlight w:val="none"/>
          <w14:textFill>
            <w14:solidFill>
              <w14:schemeClr w14:val="tx1"/>
            </w14:solidFill>
          </w14:textFill>
        </w:rPr>
      </w:pPr>
    </w:p>
    <w:p w14:paraId="6321BD61">
      <w:pPr>
        <w:spacing w:line="360" w:lineRule="auto"/>
        <w:rPr>
          <w:rFonts w:ascii="宋体" w:hAnsi="宋体" w:cs="宋体"/>
          <w:color w:val="000000" w:themeColor="text1"/>
          <w:sz w:val="24"/>
          <w:highlight w:val="none"/>
          <w14:textFill>
            <w14:solidFill>
              <w14:schemeClr w14:val="tx1"/>
            </w14:solidFill>
          </w14:textFill>
        </w:rPr>
      </w:pPr>
    </w:p>
    <w:p w14:paraId="2016D4A3">
      <w:pPr>
        <w:keepNext/>
        <w:keepLines/>
        <w:pageBreakBefore w:val="0"/>
        <w:widowControl w:val="0"/>
        <w:kinsoku/>
        <w:wordWrap/>
        <w:overflowPunct/>
        <w:topLinePunct w:val="0"/>
        <w:autoSpaceDE/>
        <w:autoSpaceDN/>
        <w:bidi w:val="0"/>
        <w:adjustRightInd/>
        <w:snapToGrid/>
        <w:spacing w:line="520" w:lineRule="exact"/>
        <w:textAlignment w:val="auto"/>
        <w:outlineLvl w:val="9"/>
        <w:rPr>
          <w:rFonts w:ascii="宋体" w:hAnsi="宋体" w:cs="宋体"/>
          <w:b/>
          <w:bCs/>
          <w:color w:val="000000" w:themeColor="text1"/>
          <w:kern w:val="44"/>
          <w:sz w:val="32"/>
          <w:szCs w:val="44"/>
          <w:highlight w:val="none"/>
          <w14:textFill>
            <w14:solidFill>
              <w14:schemeClr w14:val="tx1"/>
            </w14:solidFill>
          </w14:textFill>
        </w:rPr>
      </w:pPr>
      <w:bookmarkStart w:id="76" w:name="_Toc7585"/>
      <w:r>
        <w:rPr>
          <w:rFonts w:hint="eastAsia" w:ascii="宋体" w:hAnsi="宋体" w:cs="宋体"/>
          <w:b/>
          <w:bCs/>
          <w:color w:val="000000" w:themeColor="text1"/>
          <w:kern w:val="44"/>
          <w:sz w:val="32"/>
          <w:szCs w:val="44"/>
          <w:highlight w:val="none"/>
          <w14:textFill>
            <w14:solidFill>
              <w14:schemeClr w14:val="tx1"/>
            </w14:solidFill>
          </w14:textFill>
        </w:rPr>
        <w:t>四、服务范围</w:t>
      </w:r>
      <w:bookmarkEnd w:id="76"/>
      <w:r>
        <w:rPr>
          <w:rFonts w:hint="eastAsia" w:ascii="宋体" w:hAnsi="宋体" w:cs="宋体"/>
          <w:b/>
          <w:bCs/>
          <w:color w:val="000000" w:themeColor="text1"/>
          <w:kern w:val="44"/>
          <w:sz w:val="32"/>
          <w:szCs w:val="44"/>
          <w:highlight w:val="none"/>
          <w14:textFill>
            <w14:solidFill>
              <w14:schemeClr w14:val="tx1"/>
            </w14:solidFill>
          </w14:textFill>
        </w:rPr>
        <w:t xml:space="preserve"> </w:t>
      </w:r>
    </w:p>
    <w:p w14:paraId="3949849D">
      <w:pPr>
        <w:spacing w:line="360" w:lineRule="auto"/>
        <w:ind w:left="48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以下为维护对象总述信息表，如需详情可另附清单。</w:t>
      </w:r>
    </w:p>
    <w:tbl>
      <w:tblPr>
        <w:tblStyle w:val="53"/>
        <w:tblW w:w="8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3012"/>
        <w:gridCol w:w="2688"/>
        <w:gridCol w:w="1588"/>
      </w:tblGrid>
      <w:tr w14:paraId="0A02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4F8E9719">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A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3B5A0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23CD91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4C9CD64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55F3F96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1DF02BE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047DB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825A033">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A-1</w:t>
            </w:r>
          </w:p>
        </w:tc>
        <w:tc>
          <w:tcPr>
            <w:tcW w:w="3012" w:type="dxa"/>
            <w:vAlign w:val="center"/>
          </w:tcPr>
          <w:p w14:paraId="0E320FD0">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A-1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54255197">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7050490B">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2CE4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AAF28D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A-2</w:t>
            </w:r>
          </w:p>
        </w:tc>
        <w:tc>
          <w:tcPr>
            <w:tcW w:w="3012" w:type="dxa"/>
            <w:vAlign w:val="center"/>
          </w:tcPr>
          <w:p w14:paraId="1916837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A-2</w:t>
            </w:r>
            <w:r>
              <w:rPr>
                <w:rFonts w:hint="eastAsia" w:ascii="宋体" w:hAnsi="宋体" w:eastAsia="宋体" w:cs="宋体"/>
                <w:color w:val="000000" w:themeColor="text1"/>
                <w:sz w:val="21"/>
                <w:szCs w:val="21"/>
                <w:highlight w:val="none"/>
                <w14:textFill>
                  <w14:solidFill>
                    <w14:schemeClr w14:val="tx1"/>
                  </w14:solidFill>
                </w14:textFill>
              </w:rPr>
              <w:t>系统</w:t>
            </w:r>
          </w:p>
        </w:tc>
        <w:tc>
          <w:tcPr>
            <w:tcW w:w="2688" w:type="dxa"/>
            <w:vAlign w:val="center"/>
          </w:tcPr>
          <w:p w14:paraId="3965A18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广西全区</w:t>
            </w:r>
          </w:p>
        </w:tc>
        <w:tc>
          <w:tcPr>
            <w:tcW w:w="1588" w:type="dxa"/>
            <w:vAlign w:val="center"/>
          </w:tcPr>
          <w:p w14:paraId="2825F96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7311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265AAAF8">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B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6480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EC663C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434660D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0657347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71380E2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0C11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4034D5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B-1</w:t>
            </w:r>
          </w:p>
        </w:tc>
        <w:tc>
          <w:tcPr>
            <w:tcW w:w="3012" w:type="dxa"/>
            <w:vAlign w:val="center"/>
          </w:tcPr>
          <w:p w14:paraId="0BF6D5C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B-1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3454EAE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厅本级</w:t>
            </w:r>
          </w:p>
        </w:tc>
        <w:tc>
          <w:tcPr>
            <w:tcW w:w="1588" w:type="dxa"/>
            <w:vAlign w:val="center"/>
          </w:tcPr>
          <w:p w14:paraId="57B7CC0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2FAE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30265013">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C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3A395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FBFC8F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45BBAFA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6A71312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56AEDB4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2F73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10F244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C-1</w:t>
            </w:r>
          </w:p>
        </w:tc>
        <w:tc>
          <w:tcPr>
            <w:tcW w:w="3012" w:type="dxa"/>
            <w:vAlign w:val="center"/>
          </w:tcPr>
          <w:p w14:paraId="53850B6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C-1</w:t>
            </w:r>
            <w:r>
              <w:rPr>
                <w:rFonts w:hint="eastAsia" w:ascii="宋体" w:hAnsi="宋体" w:eastAsia="宋体" w:cs="宋体"/>
                <w:color w:val="000000" w:themeColor="text1"/>
                <w:kern w:val="0"/>
                <w:sz w:val="21"/>
                <w:szCs w:val="21"/>
                <w:highlight w:val="none"/>
                <w14:textFill>
                  <w14:solidFill>
                    <w14:schemeClr w14:val="tx1"/>
                  </w14:solidFill>
                </w14:textFill>
              </w:rPr>
              <w:t>平台</w:t>
            </w:r>
          </w:p>
        </w:tc>
        <w:tc>
          <w:tcPr>
            <w:tcW w:w="2688" w:type="dxa"/>
            <w:vAlign w:val="center"/>
          </w:tcPr>
          <w:p w14:paraId="56E55CE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广西南宁市 </w:t>
            </w:r>
          </w:p>
        </w:tc>
        <w:tc>
          <w:tcPr>
            <w:tcW w:w="1588" w:type="dxa"/>
            <w:vAlign w:val="center"/>
          </w:tcPr>
          <w:p w14:paraId="423AEAE3">
            <w:pPr>
              <w:keepNext w:val="0"/>
              <w:keepLines w:val="0"/>
              <w:widowControl/>
              <w:suppressLineNumbers w:val="0"/>
              <w:spacing w:before="0" w:beforeAutospacing="0" w:after="0" w:afterAutospacing="0"/>
              <w:ind w:left="0" w:right="0" w:firstLine="420" w:firstLineChars="200"/>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1101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0C8983E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D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1C53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ADE441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5F6E109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4E655D3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56A4234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0DE6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4B296AD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D-1</w:t>
            </w:r>
          </w:p>
        </w:tc>
        <w:tc>
          <w:tcPr>
            <w:tcW w:w="3012" w:type="dxa"/>
            <w:vAlign w:val="center"/>
          </w:tcPr>
          <w:p w14:paraId="74D878A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D-1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3AEA657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31139A2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2F5BA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F951CE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D-2</w:t>
            </w:r>
          </w:p>
        </w:tc>
        <w:tc>
          <w:tcPr>
            <w:tcW w:w="3012" w:type="dxa"/>
            <w:vAlign w:val="center"/>
          </w:tcPr>
          <w:p w14:paraId="66B1F1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D-2</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4708A7B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4162067A">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15F7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5E7D44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D-3</w:t>
            </w:r>
          </w:p>
        </w:tc>
        <w:tc>
          <w:tcPr>
            <w:tcW w:w="3012" w:type="dxa"/>
            <w:vAlign w:val="center"/>
          </w:tcPr>
          <w:p w14:paraId="1ECFEBE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D-3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522FA9A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5383EFC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3288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2ED8DB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D-4</w:t>
            </w:r>
          </w:p>
        </w:tc>
        <w:tc>
          <w:tcPr>
            <w:tcW w:w="3012" w:type="dxa"/>
            <w:vAlign w:val="center"/>
          </w:tcPr>
          <w:p w14:paraId="6110439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D-4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3EF6D1E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39D7C9A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1FE3E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105FE08F">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E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2EFA6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104ED8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50F22E1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3365363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255C153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69F2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8E21F6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E-1</w:t>
            </w:r>
          </w:p>
        </w:tc>
        <w:tc>
          <w:tcPr>
            <w:tcW w:w="3012" w:type="dxa"/>
            <w:vAlign w:val="center"/>
          </w:tcPr>
          <w:p w14:paraId="66BB1DC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E-1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001EB50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6EE007E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1393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42446E0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E-2</w:t>
            </w:r>
          </w:p>
        </w:tc>
        <w:tc>
          <w:tcPr>
            <w:tcW w:w="3012" w:type="dxa"/>
            <w:vAlign w:val="center"/>
          </w:tcPr>
          <w:p w14:paraId="3AD2FBF1">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E-2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0580EAD8">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2AC612F8">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111A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9F2845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E-3</w:t>
            </w:r>
          </w:p>
        </w:tc>
        <w:tc>
          <w:tcPr>
            <w:tcW w:w="3012" w:type="dxa"/>
            <w:vAlign w:val="center"/>
          </w:tcPr>
          <w:p w14:paraId="04316A9C">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E-3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2B8188ED">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0B975A57">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2F19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570805C6">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F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5A85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139AE8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3D97C12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3B11696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29BC45F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7F710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FAFB5DC">
            <w:pPr>
              <w:keepNext w:val="0"/>
              <w:keepLines w:val="0"/>
              <w:widowControl/>
              <w:suppressLineNumbers w:val="0"/>
              <w:spacing w:before="0" w:beforeAutospacing="0" w:after="0" w:afterAutospacing="0" w:line="340" w:lineRule="exact"/>
              <w:ind w:left="0" w:right="0" w:firstLine="210" w:firstLineChars="100"/>
              <w:jc w:val="both"/>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F-1</w:t>
            </w:r>
          </w:p>
        </w:tc>
        <w:tc>
          <w:tcPr>
            <w:tcW w:w="3012" w:type="dxa"/>
            <w:vAlign w:val="center"/>
          </w:tcPr>
          <w:p w14:paraId="2C8BD9F7">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F-1</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2A66356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29191D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0FF8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45791BD">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F-2</w:t>
            </w:r>
          </w:p>
        </w:tc>
        <w:tc>
          <w:tcPr>
            <w:tcW w:w="3012" w:type="dxa"/>
            <w:vAlign w:val="center"/>
          </w:tcPr>
          <w:p w14:paraId="1E2DE2FE">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F-2</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51851208">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14DF7FE0">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3CFA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58E759A">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F-3</w:t>
            </w:r>
          </w:p>
        </w:tc>
        <w:tc>
          <w:tcPr>
            <w:tcW w:w="3012" w:type="dxa"/>
            <w:vAlign w:val="center"/>
          </w:tcPr>
          <w:p w14:paraId="77E7018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F-3</w:t>
            </w:r>
            <w:r>
              <w:rPr>
                <w:rFonts w:hint="eastAsia" w:ascii="宋体" w:hAnsi="宋体" w:eastAsia="宋体" w:cs="宋体"/>
                <w:color w:val="000000" w:themeColor="text1"/>
                <w:sz w:val="21"/>
                <w:szCs w:val="21"/>
                <w:highlight w:val="none"/>
                <w14:textFill>
                  <w14:solidFill>
                    <w14:schemeClr w14:val="tx1"/>
                  </w14:solidFill>
                </w14:textFill>
              </w:rPr>
              <w:t>平台</w:t>
            </w:r>
          </w:p>
        </w:tc>
        <w:tc>
          <w:tcPr>
            <w:tcW w:w="2688" w:type="dxa"/>
            <w:vAlign w:val="center"/>
          </w:tcPr>
          <w:p w14:paraId="0A9FFCBB">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广西区内</w:t>
            </w:r>
          </w:p>
        </w:tc>
        <w:tc>
          <w:tcPr>
            <w:tcW w:w="1588" w:type="dxa"/>
            <w:vAlign w:val="center"/>
          </w:tcPr>
          <w:p w14:paraId="4F93110A">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w:t>
            </w:r>
          </w:p>
        </w:tc>
      </w:tr>
      <w:tr w14:paraId="604B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907B5D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F-4</w:t>
            </w:r>
          </w:p>
        </w:tc>
        <w:tc>
          <w:tcPr>
            <w:tcW w:w="3012" w:type="dxa"/>
            <w:vAlign w:val="center"/>
          </w:tcPr>
          <w:p w14:paraId="6F9402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F-4服务</w:t>
            </w:r>
          </w:p>
        </w:tc>
        <w:tc>
          <w:tcPr>
            <w:tcW w:w="2688" w:type="dxa"/>
            <w:vAlign w:val="center"/>
          </w:tcPr>
          <w:p w14:paraId="19300776">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广西南宁市</w:t>
            </w:r>
          </w:p>
        </w:tc>
        <w:tc>
          <w:tcPr>
            <w:tcW w:w="1588" w:type="dxa"/>
            <w:vAlign w:val="center"/>
          </w:tcPr>
          <w:p w14:paraId="787AC53A">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1项</w:t>
            </w:r>
          </w:p>
        </w:tc>
      </w:tr>
      <w:tr w14:paraId="494E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3E03D356">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G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736C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3D9DDF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4D4B433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2D2DB5A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339B687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67789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98216E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G-1</w:t>
            </w:r>
          </w:p>
        </w:tc>
        <w:tc>
          <w:tcPr>
            <w:tcW w:w="3012" w:type="dxa"/>
            <w:vAlign w:val="center"/>
          </w:tcPr>
          <w:p w14:paraId="40F33A0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G-1</w:t>
            </w:r>
            <w:r>
              <w:rPr>
                <w:rFonts w:hint="eastAsia" w:ascii="宋体" w:hAnsi="宋体" w:eastAsia="宋体" w:cs="宋体"/>
                <w:color w:val="000000" w:themeColor="text1"/>
                <w:kern w:val="2"/>
                <w:sz w:val="21"/>
                <w:szCs w:val="21"/>
                <w:highlight w:val="none"/>
                <w14:textFill>
                  <w14:solidFill>
                    <w14:schemeClr w14:val="tx1"/>
                  </w14:solidFill>
                </w14:textFill>
              </w:rPr>
              <w:t>系统</w:t>
            </w:r>
          </w:p>
        </w:tc>
        <w:tc>
          <w:tcPr>
            <w:tcW w:w="2688" w:type="dxa"/>
            <w:vAlign w:val="center"/>
          </w:tcPr>
          <w:p w14:paraId="0D6C101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广西全区</w:t>
            </w:r>
          </w:p>
        </w:tc>
        <w:tc>
          <w:tcPr>
            <w:tcW w:w="1588" w:type="dxa"/>
            <w:vAlign w:val="center"/>
          </w:tcPr>
          <w:p w14:paraId="70122A1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1项</w:t>
            </w:r>
          </w:p>
        </w:tc>
      </w:tr>
      <w:tr w14:paraId="5302B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A5C2B2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G-2</w:t>
            </w:r>
          </w:p>
        </w:tc>
        <w:tc>
          <w:tcPr>
            <w:tcW w:w="3012" w:type="dxa"/>
            <w:vAlign w:val="center"/>
          </w:tcPr>
          <w:p w14:paraId="1C0B07E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G-2</w:t>
            </w:r>
            <w:r>
              <w:rPr>
                <w:rFonts w:hint="eastAsia" w:ascii="宋体" w:hAnsi="宋体" w:eastAsia="宋体" w:cs="宋体"/>
                <w:color w:val="000000" w:themeColor="text1"/>
                <w:kern w:val="2"/>
                <w:sz w:val="21"/>
                <w:szCs w:val="21"/>
                <w:highlight w:val="none"/>
                <w14:textFill>
                  <w14:solidFill>
                    <w14:schemeClr w14:val="tx1"/>
                  </w14:solidFill>
                </w14:textFill>
              </w:rPr>
              <w:t>系统</w:t>
            </w:r>
          </w:p>
        </w:tc>
        <w:tc>
          <w:tcPr>
            <w:tcW w:w="2688" w:type="dxa"/>
            <w:vAlign w:val="center"/>
          </w:tcPr>
          <w:p w14:paraId="1912EE7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广西全区</w:t>
            </w:r>
          </w:p>
        </w:tc>
        <w:tc>
          <w:tcPr>
            <w:tcW w:w="1588" w:type="dxa"/>
            <w:vAlign w:val="center"/>
          </w:tcPr>
          <w:p w14:paraId="451B9B6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1项</w:t>
            </w:r>
          </w:p>
        </w:tc>
      </w:tr>
      <w:tr w14:paraId="4EA40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85E00B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G-3</w:t>
            </w:r>
          </w:p>
        </w:tc>
        <w:tc>
          <w:tcPr>
            <w:tcW w:w="3012" w:type="dxa"/>
            <w:vAlign w:val="center"/>
          </w:tcPr>
          <w:p w14:paraId="2145026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G-3</w:t>
            </w:r>
            <w:r>
              <w:rPr>
                <w:rFonts w:hint="eastAsia" w:ascii="宋体" w:hAnsi="宋体" w:eastAsia="宋体" w:cs="宋体"/>
                <w:color w:val="000000" w:themeColor="text1"/>
                <w:kern w:val="2"/>
                <w:sz w:val="21"/>
                <w:szCs w:val="21"/>
                <w:highlight w:val="none"/>
                <w14:textFill>
                  <w14:solidFill>
                    <w14:schemeClr w14:val="tx1"/>
                  </w14:solidFill>
                </w14:textFill>
              </w:rPr>
              <w:t>系统</w:t>
            </w:r>
          </w:p>
        </w:tc>
        <w:tc>
          <w:tcPr>
            <w:tcW w:w="2688" w:type="dxa"/>
            <w:vAlign w:val="center"/>
          </w:tcPr>
          <w:p w14:paraId="291D6C3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广西区内</w:t>
            </w:r>
          </w:p>
        </w:tc>
        <w:tc>
          <w:tcPr>
            <w:tcW w:w="1588" w:type="dxa"/>
            <w:vAlign w:val="center"/>
          </w:tcPr>
          <w:p w14:paraId="125759F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1项</w:t>
            </w:r>
          </w:p>
        </w:tc>
      </w:tr>
      <w:tr w14:paraId="3C28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EBB290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G-4</w:t>
            </w:r>
          </w:p>
        </w:tc>
        <w:tc>
          <w:tcPr>
            <w:tcW w:w="3012" w:type="dxa"/>
            <w:vAlign w:val="center"/>
          </w:tcPr>
          <w:p w14:paraId="50B6622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601F494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62610B1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3A5C5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4FA0FF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G-5</w:t>
            </w:r>
          </w:p>
        </w:tc>
        <w:tc>
          <w:tcPr>
            <w:tcW w:w="3012" w:type="dxa"/>
            <w:vAlign w:val="center"/>
          </w:tcPr>
          <w:p w14:paraId="1735EDF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7BA8015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5124EB2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7EDD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16F46E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G-6</w:t>
            </w:r>
          </w:p>
        </w:tc>
        <w:tc>
          <w:tcPr>
            <w:tcW w:w="3012" w:type="dxa"/>
            <w:vAlign w:val="center"/>
          </w:tcPr>
          <w:p w14:paraId="3D8B16C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13CDB70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61C196E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3DE1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C29F30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G-7</w:t>
            </w:r>
          </w:p>
        </w:tc>
        <w:tc>
          <w:tcPr>
            <w:tcW w:w="3012" w:type="dxa"/>
            <w:vAlign w:val="center"/>
          </w:tcPr>
          <w:p w14:paraId="491651E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18BAD67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7AF6A67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38B6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B21BFE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G-8</w:t>
            </w:r>
          </w:p>
        </w:tc>
        <w:tc>
          <w:tcPr>
            <w:tcW w:w="3012" w:type="dxa"/>
            <w:vAlign w:val="center"/>
          </w:tcPr>
          <w:p w14:paraId="2EDB5E8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0B84216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4B2B810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2902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523282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G-9</w:t>
            </w:r>
          </w:p>
        </w:tc>
        <w:tc>
          <w:tcPr>
            <w:tcW w:w="3012" w:type="dxa"/>
            <w:vAlign w:val="center"/>
          </w:tcPr>
          <w:p w14:paraId="7EA0540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0FF7EA9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3476B74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154B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C839C3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G-10</w:t>
            </w:r>
          </w:p>
        </w:tc>
        <w:tc>
          <w:tcPr>
            <w:tcW w:w="3012" w:type="dxa"/>
            <w:vAlign w:val="center"/>
          </w:tcPr>
          <w:p w14:paraId="1059C1CD">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10服务</w:t>
            </w:r>
          </w:p>
        </w:tc>
        <w:tc>
          <w:tcPr>
            <w:tcW w:w="2688" w:type="dxa"/>
            <w:vAlign w:val="center"/>
          </w:tcPr>
          <w:p w14:paraId="1E02D42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515EF72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64947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6AB1776">
            <w:pPr>
              <w:keepNext w:val="0"/>
              <w:keepLines w:val="0"/>
              <w:widowControl/>
              <w:suppressLineNumbers w:val="0"/>
              <w:spacing w:before="0" w:beforeAutospacing="0" w:after="0" w:afterAutospacing="0" w:line="340" w:lineRule="exact"/>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G-11</w:t>
            </w:r>
          </w:p>
        </w:tc>
        <w:tc>
          <w:tcPr>
            <w:tcW w:w="3012" w:type="dxa"/>
            <w:vAlign w:val="center"/>
          </w:tcPr>
          <w:p w14:paraId="1D5E0E1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5DB3876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6AC0ADA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666B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E29A32A">
            <w:pPr>
              <w:keepNext w:val="0"/>
              <w:keepLines w:val="0"/>
              <w:widowControl/>
              <w:suppressLineNumbers w:val="0"/>
              <w:spacing w:before="0" w:beforeAutospacing="0" w:after="0" w:afterAutospacing="0" w:line="340" w:lineRule="exact"/>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G-12</w:t>
            </w:r>
          </w:p>
        </w:tc>
        <w:tc>
          <w:tcPr>
            <w:tcW w:w="3012" w:type="dxa"/>
            <w:vAlign w:val="center"/>
          </w:tcPr>
          <w:p w14:paraId="4CB8DC7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1529F77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0F65650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7210A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38C3B7C">
            <w:pPr>
              <w:keepNext w:val="0"/>
              <w:keepLines w:val="0"/>
              <w:widowControl/>
              <w:suppressLineNumbers w:val="0"/>
              <w:spacing w:before="0" w:beforeAutospacing="0" w:after="0" w:afterAutospacing="0" w:line="340" w:lineRule="exact"/>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G-13</w:t>
            </w:r>
          </w:p>
        </w:tc>
        <w:tc>
          <w:tcPr>
            <w:tcW w:w="3012" w:type="dxa"/>
            <w:vAlign w:val="center"/>
          </w:tcPr>
          <w:p w14:paraId="103D508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13</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6BF7509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1911A16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4A69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B5F724B">
            <w:pPr>
              <w:keepNext w:val="0"/>
              <w:keepLines w:val="0"/>
              <w:widowControl/>
              <w:suppressLineNumbers w:val="0"/>
              <w:spacing w:before="0" w:beforeAutospacing="0" w:after="0" w:afterAutospacing="0" w:line="340" w:lineRule="exact"/>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G-14</w:t>
            </w:r>
          </w:p>
        </w:tc>
        <w:tc>
          <w:tcPr>
            <w:tcW w:w="3012" w:type="dxa"/>
            <w:vAlign w:val="center"/>
          </w:tcPr>
          <w:p w14:paraId="46756B6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14</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460EABA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7008D8A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71C3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001D5DD">
            <w:pPr>
              <w:keepNext w:val="0"/>
              <w:keepLines w:val="0"/>
              <w:widowControl/>
              <w:suppressLineNumbers w:val="0"/>
              <w:spacing w:before="0" w:beforeAutospacing="0" w:after="0" w:afterAutospacing="0" w:line="340" w:lineRule="exact"/>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G-15</w:t>
            </w:r>
          </w:p>
        </w:tc>
        <w:tc>
          <w:tcPr>
            <w:tcW w:w="3012" w:type="dxa"/>
            <w:vAlign w:val="center"/>
          </w:tcPr>
          <w:p w14:paraId="61435BC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423C5F2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6CE892E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448EF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6D0654D">
            <w:pPr>
              <w:keepNext w:val="0"/>
              <w:keepLines w:val="0"/>
              <w:widowControl/>
              <w:suppressLineNumbers w:val="0"/>
              <w:spacing w:before="0" w:beforeAutospacing="0" w:after="0" w:afterAutospacing="0" w:line="340" w:lineRule="exact"/>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G-16</w:t>
            </w:r>
          </w:p>
        </w:tc>
        <w:tc>
          <w:tcPr>
            <w:tcW w:w="3012" w:type="dxa"/>
            <w:vAlign w:val="center"/>
          </w:tcPr>
          <w:p w14:paraId="263B3CF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G-</w:t>
            </w:r>
            <w:r>
              <w:rPr>
                <w:rFonts w:hint="eastAsia" w:ascii="宋体" w:hAnsi="宋体" w:cs="宋体"/>
                <w:color w:val="000000" w:themeColor="text1"/>
                <w:kern w:val="0"/>
                <w:sz w:val="21"/>
                <w:szCs w:val="21"/>
                <w:highlight w:val="none"/>
                <w:lang w:val="en-US" w:eastAsia="zh-CN"/>
                <w14:textFill>
                  <w14:solidFill>
                    <w14:schemeClr w14:val="tx1"/>
                  </w14:solidFill>
                </w14:textFill>
              </w:rPr>
              <w:t>16</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0F53DC6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18F9215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3664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3AEDC5E6">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H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42A5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6DCD50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6D5F4F8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3634384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7640378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32F8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5BDDAE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H-1</w:t>
            </w:r>
          </w:p>
        </w:tc>
        <w:tc>
          <w:tcPr>
            <w:tcW w:w="3012" w:type="dxa"/>
            <w:vAlign w:val="center"/>
          </w:tcPr>
          <w:p w14:paraId="0630E09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024351D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0F1E5A3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8C3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DEC0CD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H-2</w:t>
            </w:r>
          </w:p>
        </w:tc>
        <w:tc>
          <w:tcPr>
            <w:tcW w:w="3012" w:type="dxa"/>
            <w:vAlign w:val="center"/>
          </w:tcPr>
          <w:p w14:paraId="68F3452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6CFA8B4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6352061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1套</w:t>
            </w:r>
          </w:p>
        </w:tc>
      </w:tr>
      <w:tr w14:paraId="0564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8A8BCE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H-3</w:t>
            </w:r>
          </w:p>
        </w:tc>
        <w:tc>
          <w:tcPr>
            <w:tcW w:w="3012" w:type="dxa"/>
            <w:vAlign w:val="center"/>
          </w:tcPr>
          <w:p w14:paraId="2F4D20F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7C12705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厅本级</w:t>
            </w:r>
          </w:p>
        </w:tc>
        <w:tc>
          <w:tcPr>
            <w:tcW w:w="1588" w:type="dxa"/>
            <w:vAlign w:val="center"/>
          </w:tcPr>
          <w:p w14:paraId="0AFF8D6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4E6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A1E150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H-4</w:t>
            </w:r>
          </w:p>
        </w:tc>
        <w:tc>
          <w:tcPr>
            <w:tcW w:w="3012" w:type="dxa"/>
            <w:vAlign w:val="center"/>
          </w:tcPr>
          <w:p w14:paraId="5ED9DE3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104340F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32F6D05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1316B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4A55AA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H-5</w:t>
            </w:r>
          </w:p>
        </w:tc>
        <w:tc>
          <w:tcPr>
            <w:tcW w:w="3012" w:type="dxa"/>
            <w:vAlign w:val="center"/>
          </w:tcPr>
          <w:p w14:paraId="1843076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569DB35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厅本级</w:t>
            </w:r>
          </w:p>
        </w:tc>
        <w:tc>
          <w:tcPr>
            <w:tcW w:w="1588" w:type="dxa"/>
            <w:vAlign w:val="center"/>
          </w:tcPr>
          <w:p w14:paraId="122290F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27FB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C08093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H-6</w:t>
            </w:r>
          </w:p>
        </w:tc>
        <w:tc>
          <w:tcPr>
            <w:tcW w:w="3012" w:type="dxa"/>
            <w:vAlign w:val="center"/>
          </w:tcPr>
          <w:p w14:paraId="23AAEEE5">
            <w:pPr>
              <w:keepNext w:val="0"/>
              <w:keepLines w:val="0"/>
              <w:widowControl/>
              <w:suppressLineNumbers w:val="0"/>
              <w:spacing w:before="0" w:beforeAutospacing="0" w:after="0" w:afterAutospacing="0" w:line="340" w:lineRule="exact"/>
              <w:ind w:left="0" w:leftChars="0" w:right="0" w:right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H-6服务</w:t>
            </w:r>
          </w:p>
        </w:tc>
        <w:tc>
          <w:tcPr>
            <w:tcW w:w="2688" w:type="dxa"/>
            <w:vAlign w:val="center"/>
          </w:tcPr>
          <w:p w14:paraId="2138FD6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厅本级</w:t>
            </w:r>
          </w:p>
        </w:tc>
        <w:tc>
          <w:tcPr>
            <w:tcW w:w="1588" w:type="dxa"/>
            <w:vAlign w:val="center"/>
          </w:tcPr>
          <w:p w14:paraId="5ABAE66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239E0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20200E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H-7</w:t>
            </w:r>
          </w:p>
        </w:tc>
        <w:tc>
          <w:tcPr>
            <w:tcW w:w="3012" w:type="dxa"/>
            <w:vAlign w:val="center"/>
          </w:tcPr>
          <w:p w14:paraId="3239EE2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w:t>
            </w:r>
          </w:p>
        </w:tc>
        <w:tc>
          <w:tcPr>
            <w:tcW w:w="2688" w:type="dxa"/>
            <w:vAlign w:val="center"/>
          </w:tcPr>
          <w:p w14:paraId="4EBA7E6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厅本级</w:t>
            </w:r>
          </w:p>
        </w:tc>
        <w:tc>
          <w:tcPr>
            <w:tcW w:w="1588" w:type="dxa"/>
            <w:vAlign w:val="center"/>
          </w:tcPr>
          <w:p w14:paraId="591B5D8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5F4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CD0FD9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H-8</w:t>
            </w:r>
          </w:p>
        </w:tc>
        <w:tc>
          <w:tcPr>
            <w:tcW w:w="3012" w:type="dxa"/>
            <w:vAlign w:val="center"/>
          </w:tcPr>
          <w:p w14:paraId="694D8DF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54328C2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7163D77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5EB0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44B789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H-9</w:t>
            </w:r>
          </w:p>
        </w:tc>
        <w:tc>
          <w:tcPr>
            <w:tcW w:w="3012" w:type="dxa"/>
            <w:vAlign w:val="center"/>
          </w:tcPr>
          <w:p w14:paraId="0611831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H-9</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60A39D2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3B27B32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023A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C5FC5A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H-10</w:t>
            </w:r>
          </w:p>
        </w:tc>
        <w:tc>
          <w:tcPr>
            <w:tcW w:w="3012" w:type="dxa"/>
            <w:vAlign w:val="center"/>
          </w:tcPr>
          <w:p w14:paraId="11E5098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1FAC229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2FF0172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573D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D91158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H-11</w:t>
            </w:r>
          </w:p>
        </w:tc>
        <w:tc>
          <w:tcPr>
            <w:tcW w:w="3012" w:type="dxa"/>
            <w:vAlign w:val="center"/>
          </w:tcPr>
          <w:p w14:paraId="563D440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H-11</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620E39A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76530B1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4750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78441E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H-12</w:t>
            </w:r>
          </w:p>
        </w:tc>
        <w:tc>
          <w:tcPr>
            <w:tcW w:w="3012" w:type="dxa"/>
            <w:vAlign w:val="center"/>
          </w:tcPr>
          <w:p w14:paraId="6A5545E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H-12</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7D41149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3CBC500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2475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833246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H-13</w:t>
            </w:r>
          </w:p>
        </w:tc>
        <w:tc>
          <w:tcPr>
            <w:tcW w:w="3012" w:type="dxa"/>
            <w:vAlign w:val="center"/>
          </w:tcPr>
          <w:p w14:paraId="267FFE9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65E5FB9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00C5836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571C5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2F9D66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H-14</w:t>
            </w:r>
          </w:p>
        </w:tc>
        <w:tc>
          <w:tcPr>
            <w:tcW w:w="3012" w:type="dxa"/>
            <w:vAlign w:val="center"/>
          </w:tcPr>
          <w:p w14:paraId="28E57EDF">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H-14服务</w:t>
            </w:r>
          </w:p>
        </w:tc>
        <w:tc>
          <w:tcPr>
            <w:tcW w:w="2688" w:type="dxa"/>
            <w:vAlign w:val="center"/>
          </w:tcPr>
          <w:p w14:paraId="79FE2DA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3CBE650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51909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20969466">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J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6A74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DD4473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6AA2BD7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5E9A146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0EAC806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5B63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8678B9F">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J-1</w:t>
            </w:r>
          </w:p>
        </w:tc>
        <w:tc>
          <w:tcPr>
            <w:tcW w:w="3012" w:type="dxa"/>
            <w:vAlign w:val="center"/>
          </w:tcPr>
          <w:p w14:paraId="107DF130">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J-1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03364464">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w:t>
            </w:r>
          </w:p>
        </w:tc>
        <w:tc>
          <w:tcPr>
            <w:tcW w:w="1588" w:type="dxa"/>
            <w:vAlign w:val="center"/>
          </w:tcPr>
          <w:p w14:paraId="3252B771">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B60E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B94A3E8">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J-2</w:t>
            </w:r>
          </w:p>
        </w:tc>
        <w:tc>
          <w:tcPr>
            <w:tcW w:w="3012" w:type="dxa"/>
            <w:vAlign w:val="center"/>
          </w:tcPr>
          <w:p w14:paraId="62A83FF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J-2</w:t>
            </w:r>
            <w:r>
              <w:rPr>
                <w:rFonts w:hint="eastAsia" w:ascii="宋体" w:hAnsi="宋体" w:eastAsia="宋体" w:cs="宋体"/>
                <w:color w:val="000000" w:themeColor="text1"/>
                <w:kern w:val="0"/>
                <w:sz w:val="21"/>
                <w:szCs w:val="21"/>
                <w:highlight w:val="none"/>
                <w14:textFill>
                  <w14:solidFill>
                    <w14:schemeClr w14:val="tx1"/>
                  </w14:solidFill>
                </w14:textFill>
              </w:rPr>
              <w:t>平台</w:t>
            </w:r>
          </w:p>
        </w:tc>
        <w:tc>
          <w:tcPr>
            <w:tcW w:w="2688" w:type="dxa"/>
            <w:vAlign w:val="center"/>
          </w:tcPr>
          <w:p w14:paraId="6B44375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7D68E2B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5BE6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02A2035">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J-3</w:t>
            </w:r>
          </w:p>
        </w:tc>
        <w:tc>
          <w:tcPr>
            <w:tcW w:w="3012" w:type="dxa"/>
            <w:vAlign w:val="center"/>
          </w:tcPr>
          <w:p w14:paraId="05DAB6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J-3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27041E21">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30736A5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6BB5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315070DE">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K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73CA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F65FF5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6340505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74A5C04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5C9DE15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70D9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FC24F8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K-1</w:t>
            </w:r>
          </w:p>
        </w:tc>
        <w:tc>
          <w:tcPr>
            <w:tcW w:w="3012" w:type="dxa"/>
            <w:vAlign w:val="center"/>
          </w:tcPr>
          <w:p w14:paraId="7588CB6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K-1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493E981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54AD5C9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3A1C3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62" w:type="dxa"/>
            <w:vAlign w:val="center"/>
          </w:tcPr>
          <w:p w14:paraId="6E8E528B">
            <w:pPr>
              <w:keepNext w:val="0"/>
              <w:keepLines w:val="0"/>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color w:val="000000" w:themeColor="text1"/>
                <w:kern w:val="0"/>
                <w:sz w:val="21"/>
                <w:szCs w:val="21"/>
                <w:highlight w:val="none"/>
                <w:lang w:val="en-US" w:eastAsia="zh-CN"/>
                <w14:textFill>
                  <w14:solidFill>
                    <w14:schemeClr w14:val="tx1"/>
                  </w14:solidFill>
                </w14:textFill>
              </w:rPr>
              <w:t>K-2</w:t>
            </w:r>
          </w:p>
        </w:tc>
        <w:tc>
          <w:tcPr>
            <w:tcW w:w="3012" w:type="dxa"/>
            <w:vAlign w:val="center"/>
          </w:tcPr>
          <w:p w14:paraId="0059C55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75865A5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w:t>
            </w:r>
          </w:p>
        </w:tc>
        <w:tc>
          <w:tcPr>
            <w:tcW w:w="1588" w:type="dxa"/>
            <w:vAlign w:val="center"/>
          </w:tcPr>
          <w:p w14:paraId="25A9AF9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FC7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5F4DD0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K-3</w:t>
            </w:r>
          </w:p>
        </w:tc>
        <w:tc>
          <w:tcPr>
            <w:tcW w:w="3012" w:type="dxa"/>
            <w:vAlign w:val="center"/>
          </w:tcPr>
          <w:p w14:paraId="312E2C6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706F04B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采购人指定区域</w:t>
            </w:r>
          </w:p>
        </w:tc>
        <w:tc>
          <w:tcPr>
            <w:tcW w:w="1588" w:type="dxa"/>
            <w:vAlign w:val="center"/>
          </w:tcPr>
          <w:p w14:paraId="692FBDF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3FCD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E20BBA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K-4</w:t>
            </w:r>
          </w:p>
        </w:tc>
        <w:tc>
          <w:tcPr>
            <w:tcW w:w="3012" w:type="dxa"/>
            <w:vAlign w:val="center"/>
          </w:tcPr>
          <w:p w14:paraId="2E7478E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5899E1A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广西区内</w:t>
            </w:r>
          </w:p>
        </w:tc>
        <w:tc>
          <w:tcPr>
            <w:tcW w:w="1588" w:type="dxa"/>
            <w:vAlign w:val="center"/>
          </w:tcPr>
          <w:p w14:paraId="03436A2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1项</w:t>
            </w:r>
          </w:p>
        </w:tc>
      </w:tr>
      <w:tr w14:paraId="002CB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4873FC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K-5</w:t>
            </w:r>
          </w:p>
        </w:tc>
        <w:tc>
          <w:tcPr>
            <w:tcW w:w="3012" w:type="dxa"/>
            <w:vAlign w:val="center"/>
          </w:tcPr>
          <w:p w14:paraId="4B84184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42E4C6A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79830C8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5FFBD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586954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K-6</w:t>
            </w:r>
          </w:p>
        </w:tc>
        <w:tc>
          <w:tcPr>
            <w:tcW w:w="3012" w:type="dxa"/>
            <w:vAlign w:val="center"/>
          </w:tcPr>
          <w:p w14:paraId="3A6BD88E">
            <w:pPr>
              <w:keepNext w:val="0"/>
              <w:keepLines w:val="0"/>
              <w:widowControl/>
              <w:suppressLineNumbers w:val="0"/>
              <w:spacing w:before="0" w:beforeAutospacing="0" w:after="0" w:afterAutospacing="0" w:line="340" w:lineRule="exact"/>
              <w:ind w:left="0" w:leftChars="0" w:right="0" w:right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H-6服务</w:t>
            </w:r>
          </w:p>
        </w:tc>
        <w:tc>
          <w:tcPr>
            <w:tcW w:w="2688" w:type="dxa"/>
            <w:vAlign w:val="center"/>
          </w:tcPr>
          <w:p w14:paraId="1B71F6B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669F07F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3093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0807E1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K-7</w:t>
            </w:r>
          </w:p>
        </w:tc>
        <w:tc>
          <w:tcPr>
            <w:tcW w:w="3012" w:type="dxa"/>
            <w:vAlign w:val="center"/>
          </w:tcPr>
          <w:p w14:paraId="734C943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w:t>
            </w:r>
          </w:p>
        </w:tc>
        <w:tc>
          <w:tcPr>
            <w:tcW w:w="2688" w:type="dxa"/>
            <w:vAlign w:val="center"/>
          </w:tcPr>
          <w:p w14:paraId="11D15F9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36ED733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36F0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54EEF7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K-8</w:t>
            </w:r>
          </w:p>
        </w:tc>
        <w:tc>
          <w:tcPr>
            <w:tcW w:w="3012" w:type="dxa"/>
            <w:vAlign w:val="center"/>
          </w:tcPr>
          <w:p w14:paraId="207ECEC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6842B52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440A616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E1BE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EEFBBE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K-9</w:t>
            </w:r>
          </w:p>
        </w:tc>
        <w:tc>
          <w:tcPr>
            <w:tcW w:w="3012" w:type="dxa"/>
            <w:vAlign w:val="center"/>
          </w:tcPr>
          <w:p w14:paraId="51CFA03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H-9</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186782E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0E53C14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0177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1A6F77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K-10</w:t>
            </w:r>
          </w:p>
        </w:tc>
        <w:tc>
          <w:tcPr>
            <w:tcW w:w="3012" w:type="dxa"/>
            <w:vAlign w:val="center"/>
          </w:tcPr>
          <w:p w14:paraId="32A5FCD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5524B29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45C7FE3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73587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1F203F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K-11</w:t>
            </w:r>
          </w:p>
        </w:tc>
        <w:tc>
          <w:tcPr>
            <w:tcW w:w="3012" w:type="dxa"/>
            <w:vAlign w:val="center"/>
          </w:tcPr>
          <w:p w14:paraId="72E0745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w:t>
            </w:r>
            <w:r>
              <w:rPr>
                <w:rFonts w:hint="eastAsia" w:ascii="宋体" w:hAnsi="宋体" w:cs="宋体"/>
                <w:color w:val="000000" w:themeColor="text1"/>
                <w:kern w:val="2"/>
                <w:sz w:val="21"/>
                <w:szCs w:val="21"/>
                <w:highlight w:val="none"/>
                <w:lang w:val="en-US" w:eastAsia="zh-CN"/>
                <w14:textFill>
                  <w14:solidFill>
                    <w14:schemeClr w14:val="tx1"/>
                  </w14:solidFill>
                </w14:textFill>
              </w:rPr>
              <w:t>11</w:t>
            </w:r>
            <w:r>
              <w:rPr>
                <w:rFonts w:hint="eastAsia" w:ascii="宋体" w:hAnsi="宋体" w:eastAsia="宋体" w:cs="宋体"/>
                <w:color w:val="000000" w:themeColor="text1"/>
                <w:kern w:val="2"/>
                <w:sz w:val="21"/>
                <w:szCs w:val="21"/>
                <w:highlight w:val="none"/>
                <w14:textFill>
                  <w14:solidFill>
                    <w14:schemeClr w14:val="tx1"/>
                  </w14:solidFill>
                </w14:textFill>
              </w:rPr>
              <w:t>系统</w:t>
            </w:r>
          </w:p>
        </w:tc>
        <w:tc>
          <w:tcPr>
            <w:tcW w:w="2688" w:type="dxa"/>
            <w:vAlign w:val="center"/>
          </w:tcPr>
          <w:p w14:paraId="2AC4EF1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6930800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0879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2EBDD5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K-12</w:t>
            </w:r>
          </w:p>
        </w:tc>
        <w:tc>
          <w:tcPr>
            <w:tcW w:w="3012" w:type="dxa"/>
            <w:vAlign w:val="center"/>
          </w:tcPr>
          <w:p w14:paraId="56AA1B1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4DF4DF1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5DC73D8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2AC2E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0817EB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K-13</w:t>
            </w:r>
          </w:p>
        </w:tc>
        <w:tc>
          <w:tcPr>
            <w:tcW w:w="3012" w:type="dxa"/>
            <w:vAlign w:val="center"/>
          </w:tcPr>
          <w:p w14:paraId="542540C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2DE4448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40CB1CB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7C50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5E78DF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K-14</w:t>
            </w:r>
          </w:p>
        </w:tc>
        <w:tc>
          <w:tcPr>
            <w:tcW w:w="3012" w:type="dxa"/>
            <w:vAlign w:val="center"/>
          </w:tcPr>
          <w:p w14:paraId="3A5702D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7193A3D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66BB88E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313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41230F5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K-15</w:t>
            </w:r>
          </w:p>
        </w:tc>
        <w:tc>
          <w:tcPr>
            <w:tcW w:w="3012" w:type="dxa"/>
            <w:vAlign w:val="center"/>
          </w:tcPr>
          <w:p w14:paraId="178A4FD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H-15</w:t>
            </w:r>
            <w:r>
              <w:rPr>
                <w:rFonts w:hint="eastAsia" w:ascii="宋体" w:hAnsi="宋体" w:eastAsia="宋体" w:cs="宋体"/>
                <w:color w:val="000000" w:themeColor="text1"/>
                <w:kern w:val="0"/>
                <w:sz w:val="21"/>
                <w:szCs w:val="21"/>
                <w:highlight w:val="none"/>
                <w14:textFill>
                  <w14:solidFill>
                    <w14:schemeClr w14:val="tx1"/>
                  </w14:solidFill>
                </w14:textFill>
              </w:rPr>
              <w:t>平台</w:t>
            </w:r>
          </w:p>
        </w:tc>
        <w:tc>
          <w:tcPr>
            <w:tcW w:w="2688" w:type="dxa"/>
            <w:vAlign w:val="center"/>
          </w:tcPr>
          <w:p w14:paraId="01F7BA8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187E0A3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27B0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4290059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K-16</w:t>
            </w:r>
          </w:p>
        </w:tc>
        <w:tc>
          <w:tcPr>
            <w:tcW w:w="3012" w:type="dxa"/>
            <w:vAlign w:val="center"/>
          </w:tcPr>
          <w:p w14:paraId="623921A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H-16</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33DCD67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1E6A690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7DF9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0EFECF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K-17</w:t>
            </w:r>
          </w:p>
        </w:tc>
        <w:tc>
          <w:tcPr>
            <w:tcW w:w="3012" w:type="dxa"/>
            <w:vAlign w:val="center"/>
          </w:tcPr>
          <w:p w14:paraId="55D177AA">
            <w:pPr>
              <w:keepNext w:val="0"/>
              <w:keepLines w:val="0"/>
              <w:widowControl/>
              <w:suppressLineNumbers w:val="0"/>
              <w:spacing w:before="0" w:beforeAutospacing="0" w:after="0" w:afterAutospacing="0" w:line="340" w:lineRule="exact"/>
              <w:ind w:left="0" w:leftChars="0" w:right="0" w:right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H-</w:t>
            </w:r>
            <w:r>
              <w:rPr>
                <w:rFonts w:hint="eastAsia" w:ascii="宋体" w:hAnsi="宋体" w:cs="宋体"/>
                <w:color w:val="000000" w:themeColor="text1"/>
                <w:kern w:val="2"/>
                <w:sz w:val="21"/>
                <w:szCs w:val="21"/>
                <w:highlight w:val="none"/>
                <w:lang w:val="en-US" w:eastAsia="zh-CN"/>
                <w14:textFill>
                  <w14:solidFill>
                    <w14:schemeClr w14:val="tx1"/>
                  </w14:solidFill>
                </w14:textFill>
              </w:rPr>
              <w:t>17服务</w:t>
            </w:r>
          </w:p>
        </w:tc>
        <w:tc>
          <w:tcPr>
            <w:tcW w:w="2688" w:type="dxa"/>
            <w:vAlign w:val="center"/>
          </w:tcPr>
          <w:p w14:paraId="6AD848D8">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7D6ACFD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6CFF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692D8B39">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L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0F6A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4537F2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02EEA3A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07E1571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6875EEE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4559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D4C33BE">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L-1</w:t>
            </w:r>
          </w:p>
        </w:tc>
        <w:tc>
          <w:tcPr>
            <w:tcW w:w="3012" w:type="dxa"/>
            <w:vAlign w:val="center"/>
          </w:tcPr>
          <w:p w14:paraId="7E6F3E28">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2D12B677">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厅本级</w:t>
            </w:r>
          </w:p>
        </w:tc>
        <w:tc>
          <w:tcPr>
            <w:tcW w:w="1588" w:type="dxa"/>
            <w:vAlign w:val="center"/>
          </w:tcPr>
          <w:p w14:paraId="0C55F840">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0D2A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34116D7">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L-2</w:t>
            </w:r>
          </w:p>
        </w:tc>
        <w:tc>
          <w:tcPr>
            <w:tcW w:w="3012" w:type="dxa"/>
            <w:vAlign w:val="center"/>
          </w:tcPr>
          <w:p w14:paraId="75C0BDD0">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7F0E47E9">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厅本级</w:t>
            </w:r>
          </w:p>
        </w:tc>
        <w:tc>
          <w:tcPr>
            <w:tcW w:w="1588" w:type="dxa"/>
            <w:vAlign w:val="center"/>
          </w:tcPr>
          <w:p w14:paraId="6077C345">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D80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220C954">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L-3</w:t>
            </w:r>
          </w:p>
        </w:tc>
        <w:tc>
          <w:tcPr>
            <w:tcW w:w="3012" w:type="dxa"/>
            <w:vAlign w:val="center"/>
          </w:tcPr>
          <w:p w14:paraId="60AF707F">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447C4629">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03D39053">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4DC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2597347">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L-4</w:t>
            </w:r>
          </w:p>
        </w:tc>
        <w:tc>
          <w:tcPr>
            <w:tcW w:w="3012" w:type="dxa"/>
            <w:vAlign w:val="center"/>
          </w:tcPr>
          <w:p w14:paraId="621ACF54">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L-4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0B579EA9">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05658D1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0E3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0FE9C0FD">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M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132B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98963C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36AEAA3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6BC9E2F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630F90D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658A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EB2837F">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M-1</w:t>
            </w:r>
          </w:p>
        </w:tc>
        <w:tc>
          <w:tcPr>
            <w:tcW w:w="3012" w:type="dxa"/>
            <w:vAlign w:val="center"/>
          </w:tcPr>
          <w:p w14:paraId="554EA639">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52A3A29A">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19780549">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157B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CC7A726">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M-2</w:t>
            </w:r>
          </w:p>
        </w:tc>
        <w:tc>
          <w:tcPr>
            <w:tcW w:w="3012" w:type="dxa"/>
            <w:vAlign w:val="center"/>
          </w:tcPr>
          <w:p w14:paraId="119986CA">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566D96C6">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6EC63E2F">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546B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4A0C15D">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M-3</w:t>
            </w:r>
          </w:p>
        </w:tc>
        <w:tc>
          <w:tcPr>
            <w:tcW w:w="3012" w:type="dxa"/>
            <w:vAlign w:val="center"/>
          </w:tcPr>
          <w:p w14:paraId="104ED37F">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71AD090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597EF1B9">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50BB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05624D9">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M-4</w:t>
            </w:r>
          </w:p>
        </w:tc>
        <w:tc>
          <w:tcPr>
            <w:tcW w:w="3012" w:type="dxa"/>
            <w:vAlign w:val="center"/>
          </w:tcPr>
          <w:p w14:paraId="288F30E0">
            <w:pPr>
              <w:keepNext w:val="0"/>
              <w:keepLines w:val="0"/>
              <w:widowControl/>
              <w:suppressLineNumbers w:val="0"/>
              <w:spacing w:before="0" w:beforeAutospacing="0" w:after="0" w:afterAutospacing="0" w:line="340" w:lineRule="exact"/>
              <w:ind w:left="0" w:right="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M-4服务</w:t>
            </w:r>
          </w:p>
        </w:tc>
        <w:tc>
          <w:tcPr>
            <w:tcW w:w="2688" w:type="dxa"/>
            <w:vAlign w:val="center"/>
          </w:tcPr>
          <w:p w14:paraId="3CB28C23">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659D10B5">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0597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AB1F261">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M-5</w:t>
            </w:r>
          </w:p>
        </w:tc>
        <w:tc>
          <w:tcPr>
            <w:tcW w:w="3012" w:type="dxa"/>
            <w:vAlign w:val="center"/>
          </w:tcPr>
          <w:p w14:paraId="005314CB">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M-5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43FEB9D3">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260C87B3">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EE0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450DC91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N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49B1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69DB20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2E61A75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06CE87D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211DC94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66CF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757FF2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N-1</w:t>
            </w:r>
          </w:p>
        </w:tc>
        <w:tc>
          <w:tcPr>
            <w:tcW w:w="3012" w:type="dxa"/>
            <w:vAlign w:val="center"/>
          </w:tcPr>
          <w:p w14:paraId="288CC9B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N-1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服务</w:t>
            </w:r>
          </w:p>
        </w:tc>
        <w:tc>
          <w:tcPr>
            <w:tcW w:w="2688" w:type="dxa"/>
            <w:vAlign w:val="center"/>
          </w:tcPr>
          <w:p w14:paraId="254E6E1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eastAsia="zh-CN"/>
                <w14:textFill>
                  <w14:solidFill>
                    <w14:schemeClr w14:val="tx1"/>
                  </w14:solidFill>
                </w14:textFill>
              </w:rPr>
              <w:t>广西全区</w:t>
            </w:r>
          </w:p>
        </w:tc>
        <w:tc>
          <w:tcPr>
            <w:tcW w:w="1588" w:type="dxa"/>
            <w:vAlign w:val="center"/>
          </w:tcPr>
          <w:p w14:paraId="58E1F23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1项</w:t>
            </w:r>
          </w:p>
        </w:tc>
      </w:tr>
      <w:tr w14:paraId="4139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42A175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N-2</w:t>
            </w:r>
          </w:p>
        </w:tc>
        <w:tc>
          <w:tcPr>
            <w:tcW w:w="3012" w:type="dxa"/>
            <w:vAlign w:val="center"/>
          </w:tcPr>
          <w:p w14:paraId="0E25FD5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N-</w:t>
            </w:r>
            <w:r>
              <w:rPr>
                <w:rFonts w:hint="eastAsia" w:ascii="宋体" w:hAnsi="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w:t>
            </w:r>
          </w:p>
        </w:tc>
        <w:tc>
          <w:tcPr>
            <w:tcW w:w="2688" w:type="dxa"/>
            <w:vAlign w:val="center"/>
          </w:tcPr>
          <w:p w14:paraId="0C669EA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7E62F23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720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D76F91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N-3</w:t>
            </w:r>
          </w:p>
        </w:tc>
        <w:tc>
          <w:tcPr>
            <w:tcW w:w="3012" w:type="dxa"/>
            <w:vAlign w:val="center"/>
          </w:tcPr>
          <w:p w14:paraId="49A5160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N-</w:t>
            </w:r>
            <w:r>
              <w:rPr>
                <w:rFonts w:hint="eastAsia" w:ascii="宋体" w:hAnsi="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w:t>
            </w:r>
          </w:p>
        </w:tc>
        <w:tc>
          <w:tcPr>
            <w:tcW w:w="2688" w:type="dxa"/>
            <w:vAlign w:val="center"/>
          </w:tcPr>
          <w:p w14:paraId="34F5A63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31890C1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71E5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DDAECF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N-4</w:t>
            </w:r>
          </w:p>
        </w:tc>
        <w:tc>
          <w:tcPr>
            <w:tcW w:w="3012" w:type="dxa"/>
            <w:vAlign w:val="center"/>
          </w:tcPr>
          <w:p w14:paraId="3001746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N-</w:t>
            </w:r>
            <w:r>
              <w:rPr>
                <w:rFonts w:hint="eastAsia" w:ascii="宋体" w:hAnsi="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w:t>
            </w:r>
          </w:p>
        </w:tc>
        <w:tc>
          <w:tcPr>
            <w:tcW w:w="2688" w:type="dxa"/>
            <w:vAlign w:val="center"/>
          </w:tcPr>
          <w:p w14:paraId="5692ECE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3470843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1B6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9980E4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N-</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p>
        </w:tc>
        <w:tc>
          <w:tcPr>
            <w:tcW w:w="3012" w:type="dxa"/>
            <w:vAlign w:val="center"/>
          </w:tcPr>
          <w:p w14:paraId="3CF301F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N-</w:t>
            </w:r>
            <w:r>
              <w:rPr>
                <w:rFonts w:hint="eastAsia" w:ascii="宋体" w:hAnsi="宋体" w:cs="宋体"/>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服务</w:t>
            </w:r>
          </w:p>
        </w:tc>
        <w:tc>
          <w:tcPr>
            <w:tcW w:w="2688" w:type="dxa"/>
            <w:vAlign w:val="center"/>
          </w:tcPr>
          <w:p w14:paraId="3861285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09F1842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3F32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47FC0B1B">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O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0E4E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E01690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4580C16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1195084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31C42E9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22D3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94CFB6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O-1</w:t>
            </w:r>
          </w:p>
        </w:tc>
        <w:tc>
          <w:tcPr>
            <w:tcW w:w="3012" w:type="dxa"/>
            <w:vAlign w:val="center"/>
          </w:tcPr>
          <w:p w14:paraId="2482020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5B29FEE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71C2179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2633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CADAA4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O-2</w:t>
            </w:r>
          </w:p>
        </w:tc>
        <w:tc>
          <w:tcPr>
            <w:tcW w:w="3012" w:type="dxa"/>
            <w:vAlign w:val="center"/>
          </w:tcPr>
          <w:p w14:paraId="007E546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555F5E8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796B008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3728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8688E3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O-3</w:t>
            </w:r>
          </w:p>
        </w:tc>
        <w:tc>
          <w:tcPr>
            <w:tcW w:w="3012" w:type="dxa"/>
            <w:vAlign w:val="center"/>
          </w:tcPr>
          <w:p w14:paraId="103E568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580BE3D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3ECD34F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0D00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FFE547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O-4</w:t>
            </w:r>
          </w:p>
        </w:tc>
        <w:tc>
          <w:tcPr>
            <w:tcW w:w="3012" w:type="dxa"/>
            <w:vAlign w:val="center"/>
          </w:tcPr>
          <w:p w14:paraId="4E90FA8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2175E31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13AF9F8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331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4527D7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O-5</w:t>
            </w:r>
          </w:p>
        </w:tc>
        <w:tc>
          <w:tcPr>
            <w:tcW w:w="3012" w:type="dxa"/>
            <w:vAlign w:val="center"/>
          </w:tcPr>
          <w:p w14:paraId="7C0F450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64CA5A2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16B8089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683E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E14C3E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O-6</w:t>
            </w:r>
          </w:p>
        </w:tc>
        <w:tc>
          <w:tcPr>
            <w:tcW w:w="3012" w:type="dxa"/>
            <w:vAlign w:val="center"/>
          </w:tcPr>
          <w:p w14:paraId="2EC6D13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5EDDFC9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70A2514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3C8E3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B3F476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O-7</w:t>
            </w:r>
          </w:p>
        </w:tc>
        <w:tc>
          <w:tcPr>
            <w:tcW w:w="3012" w:type="dxa"/>
            <w:vAlign w:val="center"/>
          </w:tcPr>
          <w:p w14:paraId="4B82BC1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O-7</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70B9E78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7877692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724D6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CC81FA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O-8</w:t>
            </w:r>
          </w:p>
        </w:tc>
        <w:tc>
          <w:tcPr>
            <w:tcW w:w="3012" w:type="dxa"/>
            <w:vAlign w:val="center"/>
          </w:tcPr>
          <w:p w14:paraId="51A334A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O-8</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75B8086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3D0C11F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9924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8F2852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O-9</w:t>
            </w:r>
          </w:p>
        </w:tc>
        <w:tc>
          <w:tcPr>
            <w:tcW w:w="3012" w:type="dxa"/>
            <w:vAlign w:val="center"/>
          </w:tcPr>
          <w:p w14:paraId="25A5069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O-9</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7A17EDE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0347D7EB">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5741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391319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O-10</w:t>
            </w:r>
          </w:p>
        </w:tc>
        <w:tc>
          <w:tcPr>
            <w:tcW w:w="3012" w:type="dxa"/>
            <w:vAlign w:val="center"/>
          </w:tcPr>
          <w:p w14:paraId="243FC7E5">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O-10服务</w:t>
            </w:r>
          </w:p>
        </w:tc>
        <w:tc>
          <w:tcPr>
            <w:tcW w:w="2688" w:type="dxa"/>
            <w:vAlign w:val="center"/>
          </w:tcPr>
          <w:p w14:paraId="7E677E5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1B5ADEF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3197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089211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O-11</w:t>
            </w:r>
          </w:p>
        </w:tc>
        <w:tc>
          <w:tcPr>
            <w:tcW w:w="3012" w:type="dxa"/>
            <w:vAlign w:val="center"/>
          </w:tcPr>
          <w:p w14:paraId="42A76B2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O-11</w:t>
            </w:r>
            <w:r>
              <w:rPr>
                <w:rFonts w:hint="eastAsia" w:ascii="宋体" w:hAnsi="宋体" w:eastAsia="宋体" w:cs="宋体"/>
                <w:color w:val="000000" w:themeColor="text1"/>
                <w:kern w:val="0"/>
                <w:sz w:val="21"/>
                <w:szCs w:val="21"/>
                <w:highlight w:val="none"/>
                <w14:textFill>
                  <w14:solidFill>
                    <w14:schemeClr w14:val="tx1"/>
                  </w14:solidFill>
                </w14:textFill>
              </w:rPr>
              <w:t>平台</w:t>
            </w:r>
          </w:p>
        </w:tc>
        <w:tc>
          <w:tcPr>
            <w:tcW w:w="2688" w:type="dxa"/>
            <w:vAlign w:val="center"/>
          </w:tcPr>
          <w:p w14:paraId="0F16F0B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46D19BE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798A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72B770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O-12</w:t>
            </w:r>
          </w:p>
        </w:tc>
        <w:tc>
          <w:tcPr>
            <w:tcW w:w="3012" w:type="dxa"/>
            <w:vAlign w:val="center"/>
          </w:tcPr>
          <w:p w14:paraId="390AFD6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O-12</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49551B7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139DCC0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0995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427F72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O-13</w:t>
            </w:r>
          </w:p>
        </w:tc>
        <w:tc>
          <w:tcPr>
            <w:tcW w:w="3012" w:type="dxa"/>
            <w:vAlign w:val="center"/>
          </w:tcPr>
          <w:p w14:paraId="12D0729C">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O-13</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751F2791">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0D180A29">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284D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7EB465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O-14</w:t>
            </w:r>
          </w:p>
        </w:tc>
        <w:tc>
          <w:tcPr>
            <w:tcW w:w="3012" w:type="dxa"/>
            <w:vAlign w:val="center"/>
          </w:tcPr>
          <w:p w14:paraId="18EAC1B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O-14</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7148989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01CA2B33">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6F4B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420298F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O-15</w:t>
            </w:r>
          </w:p>
        </w:tc>
        <w:tc>
          <w:tcPr>
            <w:tcW w:w="3012" w:type="dxa"/>
            <w:vAlign w:val="center"/>
          </w:tcPr>
          <w:p w14:paraId="14C2927A">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O-15</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6F229A9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4B5E9E8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3775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DF808C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O-16</w:t>
            </w:r>
          </w:p>
        </w:tc>
        <w:tc>
          <w:tcPr>
            <w:tcW w:w="3012" w:type="dxa"/>
            <w:vAlign w:val="center"/>
          </w:tcPr>
          <w:p w14:paraId="73D8B60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O-16</w:t>
            </w:r>
            <w:r>
              <w:rPr>
                <w:rFonts w:hint="eastAsia" w:ascii="宋体" w:hAnsi="宋体" w:eastAsia="宋体" w:cs="宋体"/>
                <w:color w:val="000000" w:themeColor="text1"/>
                <w:kern w:val="0"/>
                <w:sz w:val="21"/>
                <w:szCs w:val="21"/>
                <w:highlight w:val="none"/>
                <w14:textFill>
                  <w14:solidFill>
                    <w14:schemeClr w14:val="tx1"/>
                  </w14:solidFill>
                </w14:textFill>
              </w:rPr>
              <w:t>平台</w:t>
            </w:r>
          </w:p>
        </w:tc>
        <w:tc>
          <w:tcPr>
            <w:tcW w:w="2688" w:type="dxa"/>
            <w:vAlign w:val="center"/>
          </w:tcPr>
          <w:p w14:paraId="3F82BB6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77B6CEB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42E53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EA8496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O-17</w:t>
            </w:r>
          </w:p>
        </w:tc>
        <w:tc>
          <w:tcPr>
            <w:tcW w:w="3012" w:type="dxa"/>
            <w:vAlign w:val="center"/>
          </w:tcPr>
          <w:p w14:paraId="36F51A5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O-17</w:t>
            </w:r>
            <w:r>
              <w:rPr>
                <w:rFonts w:hint="eastAsia" w:ascii="宋体" w:hAnsi="宋体" w:eastAsia="宋体" w:cs="宋体"/>
                <w:color w:val="000000" w:themeColor="text1"/>
                <w:kern w:val="0"/>
                <w:sz w:val="21"/>
                <w:szCs w:val="21"/>
                <w:highlight w:val="none"/>
                <w14:textFill>
                  <w14:solidFill>
                    <w14:schemeClr w14:val="tx1"/>
                  </w14:solidFill>
                </w14:textFill>
              </w:rPr>
              <w:t>平台</w:t>
            </w:r>
          </w:p>
        </w:tc>
        <w:tc>
          <w:tcPr>
            <w:tcW w:w="2688" w:type="dxa"/>
            <w:vAlign w:val="center"/>
          </w:tcPr>
          <w:p w14:paraId="29235267">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730AD90F">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16D2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45ED24C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O-18</w:t>
            </w:r>
          </w:p>
        </w:tc>
        <w:tc>
          <w:tcPr>
            <w:tcW w:w="3012" w:type="dxa"/>
            <w:vAlign w:val="center"/>
          </w:tcPr>
          <w:p w14:paraId="0CBE98B9">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O-18服务</w:t>
            </w:r>
          </w:p>
        </w:tc>
        <w:tc>
          <w:tcPr>
            <w:tcW w:w="2688" w:type="dxa"/>
            <w:vAlign w:val="center"/>
          </w:tcPr>
          <w:p w14:paraId="4BE0131D">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广西全区</w:t>
            </w:r>
          </w:p>
        </w:tc>
        <w:tc>
          <w:tcPr>
            <w:tcW w:w="1588" w:type="dxa"/>
            <w:vAlign w:val="center"/>
          </w:tcPr>
          <w:p w14:paraId="0AAC12C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5C40B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810071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O-19</w:t>
            </w:r>
          </w:p>
        </w:tc>
        <w:tc>
          <w:tcPr>
            <w:tcW w:w="3012" w:type="dxa"/>
            <w:vAlign w:val="center"/>
          </w:tcPr>
          <w:p w14:paraId="292ECE3A">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O-19服务</w:t>
            </w:r>
          </w:p>
        </w:tc>
        <w:tc>
          <w:tcPr>
            <w:tcW w:w="2688" w:type="dxa"/>
            <w:vAlign w:val="center"/>
          </w:tcPr>
          <w:p w14:paraId="14C5C8B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77B7165D">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0D296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923CE7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O-20</w:t>
            </w:r>
          </w:p>
        </w:tc>
        <w:tc>
          <w:tcPr>
            <w:tcW w:w="3012" w:type="dxa"/>
            <w:vAlign w:val="center"/>
          </w:tcPr>
          <w:p w14:paraId="230A3EBE">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O-20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44322BA6">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400DE34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FBE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15045F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O-21</w:t>
            </w:r>
          </w:p>
        </w:tc>
        <w:tc>
          <w:tcPr>
            <w:tcW w:w="3012" w:type="dxa"/>
            <w:vAlign w:val="center"/>
          </w:tcPr>
          <w:p w14:paraId="694468C5">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O-21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66E2D5B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3B98E5C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5808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C417D6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O-22</w:t>
            </w:r>
          </w:p>
        </w:tc>
        <w:tc>
          <w:tcPr>
            <w:tcW w:w="3012" w:type="dxa"/>
            <w:vAlign w:val="center"/>
          </w:tcPr>
          <w:p w14:paraId="365ED64B">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O-22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4AAC31F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636D4EF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ED7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37E087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O-23</w:t>
            </w:r>
          </w:p>
        </w:tc>
        <w:tc>
          <w:tcPr>
            <w:tcW w:w="3012" w:type="dxa"/>
            <w:vAlign w:val="center"/>
          </w:tcPr>
          <w:p w14:paraId="03DD6A00">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O-23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43F1B53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30DCA272">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4847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4E98DC66">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O-24</w:t>
            </w:r>
          </w:p>
        </w:tc>
        <w:tc>
          <w:tcPr>
            <w:tcW w:w="3012" w:type="dxa"/>
            <w:vAlign w:val="center"/>
          </w:tcPr>
          <w:p w14:paraId="51403CE4">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O-24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平台</w:t>
            </w:r>
          </w:p>
        </w:tc>
        <w:tc>
          <w:tcPr>
            <w:tcW w:w="2688" w:type="dxa"/>
            <w:vAlign w:val="center"/>
          </w:tcPr>
          <w:p w14:paraId="76DB2D9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4CBC5E0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7BE7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4D8DA019">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P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4CF41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6CF052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79A62EB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2D197F8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20FF80D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1094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E5688CF">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P-1</w:t>
            </w:r>
          </w:p>
        </w:tc>
        <w:tc>
          <w:tcPr>
            <w:tcW w:w="3012" w:type="dxa"/>
            <w:vAlign w:val="center"/>
          </w:tcPr>
          <w:p w14:paraId="241C711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P-1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4EAA7AF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1EB1DDC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C98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53E255B">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P-2</w:t>
            </w:r>
          </w:p>
        </w:tc>
        <w:tc>
          <w:tcPr>
            <w:tcW w:w="3012" w:type="dxa"/>
            <w:vAlign w:val="center"/>
          </w:tcPr>
          <w:p w14:paraId="597C678E">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P-2</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6262DF8B">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0942E470">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6089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06D74F75">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P-3</w:t>
            </w:r>
          </w:p>
        </w:tc>
        <w:tc>
          <w:tcPr>
            <w:tcW w:w="3012" w:type="dxa"/>
            <w:vAlign w:val="center"/>
          </w:tcPr>
          <w:p w14:paraId="5DCB29D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P-3</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247A965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60A18BC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79747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7233EE5">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P-4</w:t>
            </w:r>
          </w:p>
        </w:tc>
        <w:tc>
          <w:tcPr>
            <w:tcW w:w="3012" w:type="dxa"/>
            <w:vAlign w:val="center"/>
          </w:tcPr>
          <w:p w14:paraId="1AE57AC0">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P-4</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26FCE20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2005072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2BA6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5AFF1B04">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P-5</w:t>
            </w:r>
          </w:p>
        </w:tc>
        <w:tc>
          <w:tcPr>
            <w:tcW w:w="3012" w:type="dxa"/>
            <w:vAlign w:val="center"/>
          </w:tcPr>
          <w:p w14:paraId="27E781A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P-5</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3F3D9DD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79C40BF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27FD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AED328F">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P-6</w:t>
            </w:r>
          </w:p>
        </w:tc>
        <w:tc>
          <w:tcPr>
            <w:tcW w:w="3012" w:type="dxa"/>
            <w:vAlign w:val="center"/>
          </w:tcPr>
          <w:p w14:paraId="0F11813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P-6</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0DB97F9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0507CA0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2437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05A12068">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Q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15333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FDCCCC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38FCE3C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2D18D2C2">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15C8AD9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7DDC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F5C56D8">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Q-1</w:t>
            </w:r>
          </w:p>
        </w:tc>
        <w:tc>
          <w:tcPr>
            <w:tcW w:w="3012" w:type="dxa"/>
            <w:vAlign w:val="center"/>
          </w:tcPr>
          <w:p w14:paraId="13BC1C0C">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Q-1</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61058F7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2C091F4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43A32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7A13BE8B">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Q-2</w:t>
            </w:r>
          </w:p>
        </w:tc>
        <w:tc>
          <w:tcPr>
            <w:tcW w:w="3012" w:type="dxa"/>
            <w:vAlign w:val="center"/>
          </w:tcPr>
          <w:p w14:paraId="7EEB1A51">
            <w:pPr>
              <w:keepNext w:val="0"/>
              <w:keepLines w:val="0"/>
              <w:widowControl/>
              <w:suppressLineNumbers w:val="0"/>
              <w:spacing w:before="0" w:beforeAutospacing="0" w:after="0" w:afterAutospacing="0"/>
              <w:ind w:left="0" w:right="0"/>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Q-2</w:t>
            </w:r>
            <w:r>
              <w:rPr>
                <w:rFonts w:hint="eastAsia" w:ascii="宋体" w:hAnsi="宋体" w:eastAsia="宋体" w:cs="宋体"/>
                <w:color w:val="000000" w:themeColor="text1"/>
                <w:kern w:val="0"/>
                <w:sz w:val="21"/>
                <w:szCs w:val="21"/>
                <w:highlight w:val="none"/>
                <w14:textFill>
                  <w14:solidFill>
                    <w14:schemeClr w14:val="tx1"/>
                  </w14:solidFill>
                </w14:textFill>
              </w:rPr>
              <w:t>系统</w:t>
            </w:r>
          </w:p>
        </w:tc>
        <w:tc>
          <w:tcPr>
            <w:tcW w:w="2688" w:type="dxa"/>
            <w:vAlign w:val="center"/>
          </w:tcPr>
          <w:p w14:paraId="711A4338">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广西南宁市</w:t>
            </w:r>
          </w:p>
        </w:tc>
        <w:tc>
          <w:tcPr>
            <w:tcW w:w="1588" w:type="dxa"/>
            <w:vAlign w:val="center"/>
          </w:tcPr>
          <w:p w14:paraId="1F872D73">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1项</w:t>
            </w:r>
          </w:p>
        </w:tc>
      </w:tr>
      <w:tr w14:paraId="1B4A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174A974">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Q-3</w:t>
            </w:r>
          </w:p>
        </w:tc>
        <w:tc>
          <w:tcPr>
            <w:tcW w:w="3012" w:type="dxa"/>
            <w:vAlign w:val="center"/>
          </w:tcPr>
          <w:p w14:paraId="67552F87">
            <w:pPr>
              <w:keepNext w:val="0"/>
              <w:keepLines w:val="0"/>
              <w:widowControl/>
              <w:suppressLineNumbers w:val="0"/>
              <w:tabs>
                <w:tab w:val="left" w:pos="0"/>
              </w:tabs>
              <w:spacing w:before="0" w:beforeAutospacing="0" w:after="0" w:afterAutospacing="0" w:line="340" w:lineRule="exact"/>
              <w:ind w:left="0" w:right="0"/>
              <w:jc w:val="center"/>
              <w:rPr>
                <w:rFonts w:hint="eastAsia" w:ascii="宋体" w:hAnsi="宋体" w:eastAsia="宋体" w:cs="宋体"/>
                <w:bCs/>
                <w:color w:val="000000" w:themeColor="text1"/>
                <w:sz w:val="21"/>
                <w:szCs w:val="21"/>
                <w:highlight w:val="none"/>
                <w:lang w:val="en-US" w:eastAsia="zh-CN"/>
                <w14:textFill>
                  <w14:solidFill>
                    <w14:schemeClr w14:val="tx1"/>
                  </w14:solidFill>
                </w14:textFill>
              </w:rPr>
            </w:pPr>
            <w:r>
              <w:rPr>
                <w:rFonts w:hint="eastAsia" w:ascii="宋体" w:hAnsi="宋体" w:cs="宋体"/>
                <w:bCs/>
                <w:color w:val="000000" w:themeColor="text1"/>
                <w:sz w:val="21"/>
                <w:szCs w:val="21"/>
                <w:highlight w:val="none"/>
                <w:lang w:val="en-US" w:eastAsia="zh-CN"/>
                <w14:textFill>
                  <w14:solidFill>
                    <w14:schemeClr w14:val="tx1"/>
                  </w14:solidFill>
                </w14:textFill>
              </w:rPr>
              <w:t>Q-3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平台</w:t>
            </w:r>
          </w:p>
        </w:tc>
        <w:tc>
          <w:tcPr>
            <w:tcW w:w="2688" w:type="dxa"/>
            <w:vAlign w:val="center"/>
          </w:tcPr>
          <w:p w14:paraId="34EAB4BE">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6A1D8B3A">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5841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350" w:type="dxa"/>
            <w:gridSpan w:val="4"/>
            <w:vAlign w:val="center"/>
          </w:tcPr>
          <w:p w14:paraId="6BBF5A01">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b/>
                <w:bCs/>
                <w:color w:val="000000" w:themeColor="text1"/>
                <w:kern w:val="44"/>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32"/>
                <w:highlight w:val="none"/>
                <w:lang w:val="en-US" w:eastAsia="zh-CN"/>
                <w14:textFill>
                  <w14:solidFill>
                    <w14:schemeClr w14:val="tx1"/>
                  </w14:solidFill>
                </w14:textFill>
              </w:rPr>
              <w:t xml:space="preserve">R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2CEE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67F2CF6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33C461C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1B89848C">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06ECB67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3ABC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3AB0DD3A">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R-1</w:t>
            </w:r>
          </w:p>
        </w:tc>
        <w:tc>
          <w:tcPr>
            <w:tcW w:w="3012" w:type="dxa"/>
            <w:vAlign w:val="center"/>
          </w:tcPr>
          <w:p w14:paraId="332F0912">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R-1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系统</w:t>
            </w:r>
          </w:p>
        </w:tc>
        <w:tc>
          <w:tcPr>
            <w:tcW w:w="2688" w:type="dxa"/>
            <w:vAlign w:val="center"/>
          </w:tcPr>
          <w:p w14:paraId="32F8527C">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广西区内</w:t>
            </w:r>
          </w:p>
        </w:tc>
        <w:tc>
          <w:tcPr>
            <w:tcW w:w="1588" w:type="dxa"/>
            <w:vAlign w:val="center"/>
          </w:tcPr>
          <w:p w14:paraId="5FEA23EE">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r w14:paraId="49855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8350" w:type="dxa"/>
            <w:gridSpan w:val="4"/>
            <w:vAlign w:val="center"/>
          </w:tcPr>
          <w:p w14:paraId="0C65EB5D">
            <w:pPr>
              <w:keepNext w:val="0"/>
              <w:keepLines w:val="0"/>
              <w:widowControl/>
              <w:suppressLineNumbers w:val="0"/>
              <w:spacing w:before="0" w:beforeAutospacing="0" w:after="0" w:afterAutospacing="0" w:line="340" w:lineRule="exact"/>
              <w:ind w:left="0" w:right="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44"/>
                <w:sz w:val="28"/>
                <w:szCs w:val="28"/>
                <w:highlight w:val="none"/>
                <w:lang w:val="en-US" w:eastAsia="zh-CN" w:bidi="ar"/>
                <w14:textFill>
                  <w14:solidFill>
                    <w14:schemeClr w14:val="tx1"/>
                  </w14:solidFill>
                </w14:textFill>
              </w:rPr>
              <w:t xml:space="preserve">S </w:t>
            </w:r>
            <w:r>
              <w:rPr>
                <w:rFonts w:hint="eastAsia" w:ascii="宋体" w:hAnsi="宋体" w:eastAsia="宋体" w:cs="宋体"/>
                <w:b/>
                <w:bCs/>
                <w:color w:val="000000" w:themeColor="text1"/>
                <w:kern w:val="44"/>
                <w:sz w:val="28"/>
                <w:szCs w:val="28"/>
                <w:highlight w:val="none"/>
                <w:lang w:bidi="ar"/>
                <w14:textFill>
                  <w14:solidFill>
                    <w14:schemeClr w14:val="tx1"/>
                  </w14:solidFill>
                </w14:textFill>
              </w:rPr>
              <w:t>13个业务单位</w:t>
            </w:r>
          </w:p>
        </w:tc>
      </w:tr>
      <w:tr w14:paraId="6E402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2ECF0368">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3012" w:type="dxa"/>
            <w:vAlign w:val="center"/>
          </w:tcPr>
          <w:p w14:paraId="1339DFE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维护对象</w:t>
            </w:r>
          </w:p>
        </w:tc>
        <w:tc>
          <w:tcPr>
            <w:tcW w:w="2688" w:type="dxa"/>
            <w:vAlign w:val="center"/>
          </w:tcPr>
          <w:p w14:paraId="7A1F994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维护区域</w:t>
            </w:r>
          </w:p>
        </w:tc>
        <w:tc>
          <w:tcPr>
            <w:tcW w:w="1588" w:type="dxa"/>
            <w:vAlign w:val="center"/>
          </w:tcPr>
          <w:p w14:paraId="413137F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维护数量</w:t>
            </w:r>
          </w:p>
        </w:tc>
      </w:tr>
      <w:tr w14:paraId="65EE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062" w:type="dxa"/>
            <w:vAlign w:val="center"/>
          </w:tcPr>
          <w:p w14:paraId="10BFDD5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S-1</w:t>
            </w:r>
          </w:p>
        </w:tc>
        <w:tc>
          <w:tcPr>
            <w:tcW w:w="3012" w:type="dxa"/>
            <w:vAlign w:val="center"/>
          </w:tcPr>
          <w:p w14:paraId="4B633299">
            <w:pPr>
              <w:keepNext w:val="0"/>
              <w:keepLines w:val="0"/>
              <w:widowControl/>
              <w:suppressLineNumbers w:val="0"/>
              <w:spacing w:before="0" w:beforeAutospacing="0" w:after="0" w:afterAutospacing="0" w:line="340" w:lineRule="exact"/>
              <w:ind w:left="0" w:leftChars="0" w:right="0" w:rightChars="0"/>
              <w:jc w:val="center"/>
              <w:rPr>
                <w:rFonts w:hint="default"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S-1服务</w:t>
            </w:r>
          </w:p>
        </w:tc>
        <w:tc>
          <w:tcPr>
            <w:tcW w:w="2688" w:type="dxa"/>
            <w:vAlign w:val="center"/>
          </w:tcPr>
          <w:p w14:paraId="09F2B3B5">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广西南宁市</w:t>
            </w:r>
          </w:p>
        </w:tc>
        <w:tc>
          <w:tcPr>
            <w:tcW w:w="1588" w:type="dxa"/>
            <w:vAlign w:val="center"/>
          </w:tcPr>
          <w:p w14:paraId="26C01C14">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1项</w:t>
            </w:r>
          </w:p>
        </w:tc>
      </w:tr>
    </w:tbl>
    <w:p w14:paraId="05CE0AFB">
      <w:pPr>
        <w:keepNext/>
        <w:keepLines/>
        <w:pageBreakBefore w:val="0"/>
        <w:widowControl w:val="0"/>
        <w:kinsoku/>
        <w:wordWrap/>
        <w:overflowPunct/>
        <w:topLinePunct w:val="0"/>
        <w:autoSpaceDE/>
        <w:autoSpaceDN/>
        <w:bidi w:val="0"/>
        <w:adjustRightInd/>
        <w:snapToGrid/>
        <w:spacing w:line="440" w:lineRule="exact"/>
        <w:textAlignment w:val="auto"/>
        <w:outlineLvl w:val="9"/>
        <w:rPr>
          <w:rFonts w:ascii="宋体" w:hAnsi="宋体" w:cs="宋体"/>
          <w:b/>
          <w:bCs/>
          <w:color w:val="000000" w:themeColor="text1"/>
          <w:kern w:val="44"/>
          <w:sz w:val="32"/>
          <w:szCs w:val="44"/>
          <w:highlight w:val="none"/>
          <w14:textFill>
            <w14:solidFill>
              <w14:schemeClr w14:val="tx1"/>
            </w14:solidFill>
          </w14:textFill>
        </w:rPr>
      </w:pPr>
      <w:bookmarkStart w:id="77" w:name="_Toc5810"/>
      <w:r>
        <w:rPr>
          <w:rFonts w:hint="eastAsia" w:ascii="宋体" w:hAnsi="宋体" w:cs="宋体"/>
          <w:b/>
          <w:bCs/>
          <w:color w:val="000000" w:themeColor="text1"/>
          <w:kern w:val="44"/>
          <w:sz w:val="32"/>
          <w:szCs w:val="44"/>
          <w:highlight w:val="none"/>
          <w14:textFill>
            <w14:solidFill>
              <w14:schemeClr w14:val="tx1"/>
            </w14:solidFill>
          </w14:textFill>
        </w:rPr>
        <w:t>五、设备维保要求</w:t>
      </w:r>
      <w:bookmarkEnd w:id="77"/>
    </w:p>
    <w:p w14:paraId="31A1C08C">
      <w:pPr>
        <w:keepNext/>
        <w:keepLines/>
        <w:pageBreakBefore w:val="0"/>
        <w:widowControl w:val="0"/>
        <w:kinsoku/>
        <w:wordWrap/>
        <w:overflowPunct/>
        <w:topLinePunct w:val="0"/>
        <w:autoSpaceDE/>
        <w:autoSpaceDN/>
        <w:bidi w:val="0"/>
        <w:adjustRightInd/>
        <w:snapToGrid/>
        <w:spacing w:line="440" w:lineRule="exact"/>
        <w:textAlignment w:val="auto"/>
        <w:outlineLvl w:val="9"/>
        <w:rPr>
          <w:rFonts w:ascii="宋体" w:hAnsi="宋体" w:cs="宋体"/>
          <w:b/>
          <w:bCs/>
          <w:color w:val="000000" w:themeColor="text1"/>
          <w:sz w:val="28"/>
          <w:szCs w:val="32"/>
          <w:highlight w:val="none"/>
          <w14:textFill>
            <w14:solidFill>
              <w14:schemeClr w14:val="tx1"/>
            </w14:solidFill>
          </w14:textFill>
        </w:rPr>
      </w:pPr>
      <w:r>
        <w:rPr>
          <w:rFonts w:hint="eastAsia" w:ascii="宋体" w:hAnsi="宋体" w:cs="宋体"/>
          <w:b/>
          <w:bCs/>
          <w:color w:val="000000" w:themeColor="text1"/>
          <w:sz w:val="28"/>
          <w:szCs w:val="32"/>
          <w:highlight w:val="none"/>
          <w14:textFill>
            <w14:solidFill>
              <w14:schemeClr w14:val="tx1"/>
            </w14:solidFill>
          </w14:textFill>
        </w:rPr>
        <w:t>（一）原厂维保</w:t>
      </w:r>
    </w:p>
    <w:p w14:paraId="612E85CB">
      <w:pPr>
        <w:spacing w:line="480" w:lineRule="atLeast"/>
        <w:ind w:firstLine="480" w:firstLineChars="200"/>
        <w:rPr>
          <w:rFonts w:hint="eastAsia"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设备</w:t>
      </w:r>
      <w:r>
        <w:rPr>
          <w:rFonts w:hint="eastAsia" w:ascii="宋体" w:hAnsi="宋体" w:cs="宋体"/>
          <w:color w:val="000000" w:themeColor="text1"/>
          <w:sz w:val="24"/>
          <w:szCs w:val="21"/>
          <w:highlight w:val="none"/>
          <w:lang w:eastAsia="zh-CN"/>
          <w14:textFill>
            <w14:solidFill>
              <w14:schemeClr w14:val="tx1"/>
            </w14:solidFill>
          </w14:textFill>
        </w:rPr>
        <w:t>维护</w:t>
      </w:r>
      <w:r>
        <w:rPr>
          <w:rFonts w:hint="eastAsia" w:ascii="宋体" w:hAnsi="宋体" w:cs="宋体"/>
          <w:color w:val="000000" w:themeColor="text1"/>
          <w:sz w:val="24"/>
          <w:szCs w:val="21"/>
          <w:highlight w:val="none"/>
          <w14:textFill>
            <w14:solidFill>
              <w14:schemeClr w14:val="tx1"/>
            </w14:solidFill>
          </w14:textFill>
        </w:rPr>
        <w:t>等级定为一级服务，7*24小时服务，设备（含硬盘）有故障，保证1小时内到达现场处置，4小时内免费完成维修或更换处理，提供原厂维保服务书。要求原厂维护工程师免费故障诊断、安装与调试，保证更换后设备恢复正常。原厂维保设备清单如下：</w:t>
      </w:r>
    </w:p>
    <w:p w14:paraId="2A37F57F">
      <w:pPr>
        <w:pStyle w:val="9"/>
        <w:rPr>
          <w:rFonts w:hint="eastAsia" w:ascii="宋体" w:hAnsi="宋体" w:cs="宋体"/>
          <w:color w:val="000000" w:themeColor="text1"/>
          <w:sz w:val="24"/>
          <w:szCs w:val="21"/>
          <w:highlight w:val="none"/>
          <w14:textFill>
            <w14:solidFill>
              <w14:schemeClr w14:val="tx1"/>
            </w14:solidFill>
          </w14:textFill>
        </w:rPr>
      </w:pPr>
    </w:p>
    <w:tbl>
      <w:tblPr>
        <w:tblStyle w:val="5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976"/>
        <w:gridCol w:w="2725"/>
        <w:gridCol w:w="1161"/>
        <w:gridCol w:w="856"/>
      </w:tblGrid>
      <w:tr w14:paraId="4564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495" w:type="dxa"/>
            <w:gridSpan w:val="5"/>
            <w:tcBorders>
              <w:top w:val="single" w:color="auto" w:sz="4" w:space="0"/>
              <w:left w:val="single" w:color="auto" w:sz="4" w:space="0"/>
              <w:bottom w:val="single" w:color="auto" w:sz="4" w:space="0"/>
              <w:right w:val="single" w:color="auto" w:sz="4" w:space="0"/>
            </w:tcBorders>
            <w:vAlign w:val="center"/>
          </w:tcPr>
          <w:p w14:paraId="70594A5A">
            <w:pPr>
              <w:keepNext w:val="0"/>
              <w:keepLines w:val="0"/>
              <w:suppressLineNumbers w:val="0"/>
              <w:spacing w:before="0" w:beforeAutospacing="0" w:after="0" w:afterAutospacing="0" w:line="340" w:lineRule="exact"/>
              <w:ind w:left="0" w:right="0"/>
              <w:jc w:val="center"/>
              <w:rPr>
                <w:rFonts w:hint="default"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kern w:val="44"/>
                <w:sz w:val="32"/>
                <w:szCs w:val="44"/>
                <w:highlight w:val="none"/>
                <w:lang w:val="en-US" w:eastAsia="zh-CN"/>
                <w14:textFill>
                  <w14:solidFill>
                    <w14:schemeClr w14:val="tx1"/>
                  </w14:solidFill>
                </w14:textFill>
              </w:rPr>
              <w:t xml:space="preserve">K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17B8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495" w:type="dxa"/>
            <w:gridSpan w:val="5"/>
            <w:tcBorders>
              <w:top w:val="single" w:color="auto" w:sz="4" w:space="0"/>
              <w:left w:val="single" w:color="auto" w:sz="4" w:space="0"/>
              <w:bottom w:val="single" w:color="auto" w:sz="4" w:space="0"/>
              <w:right w:val="single" w:color="auto" w:sz="4" w:space="0"/>
            </w:tcBorders>
            <w:vAlign w:val="center"/>
          </w:tcPr>
          <w:p w14:paraId="1F629825">
            <w:pPr>
              <w:keepNext w:val="0"/>
              <w:keepLines w:val="0"/>
              <w:suppressLineNumbers w:val="0"/>
              <w:spacing w:before="0" w:beforeAutospacing="0" w:after="0" w:afterAutospacing="0" w:line="340" w:lineRule="exact"/>
              <w:ind w:left="0" w:right="0"/>
              <w:jc w:val="center"/>
              <w:rPr>
                <w:rFonts w:hint="default" w:ascii="宋体" w:hAnsi="宋体" w:cs="宋体"/>
                <w:b/>
                <w:bCs/>
                <w:color w:val="000000" w:themeColor="text1"/>
                <w:kern w:val="44"/>
                <w:sz w:val="28"/>
                <w:szCs w:val="28"/>
                <w:highlight w:val="none"/>
                <w:lang w:val="en-US" w:eastAsia="zh-CN"/>
                <w14:textFill>
                  <w14:solidFill>
                    <w14:schemeClr w14:val="tx1"/>
                  </w14:solidFill>
                </w14:textFill>
              </w:rPr>
            </w:pPr>
            <w:r>
              <w:rPr>
                <w:rFonts w:hint="eastAsia" w:ascii="宋体" w:hAnsi="宋体" w:cs="宋体"/>
                <w:b/>
                <w:bCs/>
                <w:color w:val="000000" w:themeColor="text1"/>
                <w:kern w:val="44"/>
                <w:sz w:val="28"/>
                <w:szCs w:val="28"/>
                <w:highlight w:val="none"/>
                <w:lang w:val="en-US" w:eastAsia="zh-CN"/>
                <w14:textFill>
                  <w14:solidFill>
                    <w14:schemeClr w14:val="tx1"/>
                  </w14:solidFill>
                </w14:textFill>
              </w:rPr>
              <w:t>K-3</w:t>
            </w:r>
            <w:r>
              <w:rPr>
                <w:rFonts w:hint="eastAsia" w:ascii="宋体" w:hAnsi="宋体" w:cs="宋体"/>
                <w:b/>
                <w:bCs/>
                <w:color w:val="000000" w:themeColor="text1"/>
                <w:kern w:val="44"/>
                <w:sz w:val="28"/>
                <w:szCs w:val="28"/>
                <w:highlight w:val="none"/>
                <w14:textFill>
                  <w14:solidFill>
                    <w14:schemeClr w14:val="tx1"/>
                  </w14:solidFill>
                </w14:textFill>
              </w:rPr>
              <w:t>平台</w:t>
            </w:r>
          </w:p>
        </w:tc>
      </w:tr>
      <w:tr w14:paraId="187A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53C3D247">
            <w:pPr>
              <w:keepNext w:val="0"/>
              <w:keepLines w:val="0"/>
              <w:widowControl/>
              <w:suppressLineNumbers w:val="0"/>
              <w:spacing w:before="0" w:beforeAutospacing="0" w:after="0" w:afterAutospacing="0" w:line="340" w:lineRule="exact"/>
              <w:ind w:left="0" w:right="0"/>
              <w:jc w:val="center"/>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序号</w:t>
            </w:r>
          </w:p>
        </w:tc>
        <w:tc>
          <w:tcPr>
            <w:tcW w:w="2976" w:type="dxa"/>
            <w:tcBorders>
              <w:top w:val="single" w:color="auto" w:sz="4" w:space="0"/>
              <w:left w:val="single" w:color="auto" w:sz="4" w:space="0"/>
              <w:bottom w:val="single" w:color="auto" w:sz="4" w:space="0"/>
              <w:right w:val="single" w:color="auto" w:sz="4" w:space="0"/>
            </w:tcBorders>
            <w:vAlign w:val="center"/>
          </w:tcPr>
          <w:p w14:paraId="4BE613B0">
            <w:pPr>
              <w:keepNext w:val="0"/>
              <w:keepLines w:val="0"/>
              <w:widowControl/>
              <w:suppressLineNumbers w:val="0"/>
              <w:spacing w:before="0" w:beforeAutospacing="0" w:after="0" w:afterAutospacing="0" w:line="340" w:lineRule="exact"/>
              <w:ind w:left="0" w:right="0"/>
              <w:jc w:val="center"/>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设备名称</w:t>
            </w:r>
          </w:p>
        </w:tc>
        <w:tc>
          <w:tcPr>
            <w:tcW w:w="2725" w:type="dxa"/>
            <w:tcBorders>
              <w:top w:val="single" w:color="auto" w:sz="4" w:space="0"/>
              <w:left w:val="single" w:color="auto" w:sz="4" w:space="0"/>
              <w:bottom w:val="single" w:color="auto" w:sz="4" w:space="0"/>
              <w:right w:val="single" w:color="auto" w:sz="4" w:space="0"/>
            </w:tcBorders>
            <w:vAlign w:val="center"/>
          </w:tcPr>
          <w:p w14:paraId="0FEC4511">
            <w:pPr>
              <w:keepNext w:val="0"/>
              <w:keepLines w:val="0"/>
              <w:widowControl/>
              <w:suppressLineNumbers w:val="0"/>
              <w:spacing w:before="0" w:beforeAutospacing="0" w:after="0" w:afterAutospacing="0" w:line="340" w:lineRule="exact"/>
              <w:ind w:left="0" w:right="0"/>
              <w:jc w:val="center"/>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型号</w:t>
            </w:r>
          </w:p>
        </w:tc>
        <w:tc>
          <w:tcPr>
            <w:tcW w:w="1161" w:type="dxa"/>
            <w:tcBorders>
              <w:top w:val="single" w:color="auto" w:sz="4" w:space="0"/>
              <w:left w:val="single" w:color="auto" w:sz="4" w:space="0"/>
              <w:bottom w:val="single" w:color="auto" w:sz="4" w:space="0"/>
              <w:right w:val="single" w:color="auto" w:sz="4" w:space="0"/>
            </w:tcBorders>
            <w:vAlign w:val="center"/>
          </w:tcPr>
          <w:p w14:paraId="14FF74F8">
            <w:pPr>
              <w:keepNext w:val="0"/>
              <w:keepLines w:val="0"/>
              <w:widowControl/>
              <w:suppressLineNumbers w:val="0"/>
              <w:spacing w:before="0" w:beforeAutospacing="0" w:after="0" w:afterAutospacing="0" w:line="340" w:lineRule="exact"/>
              <w:ind w:left="0" w:right="0"/>
              <w:jc w:val="center"/>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单位</w:t>
            </w:r>
          </w:p>
        </w:tc>
        <w:tc>
          <w:tcPr>
            <w:tcW w:w="856" w:type="dxa"/>
            <w:tcBorders>
              <w:top w:val="single" w:color="auto" w:sz="4" w:space="0"/>
              <w:left w:val="single" w:color="auto" w:sz="4" w:space="0"/>
              <w:bottom w:val="single" w:color="auto" w:sz="4" w:space="0"/>
              <w:right w:val="single" w:color="auto" w:sz="4" w:space="0"/>
            </w:tcBorders>
            <w:vAlign w:val="center"/>
          </w:tcPr>
          <w:p w14:paraId="35452DC8">
            <w:pPr>
              <w:keepNext w:val="0"/>
              <w:keepLines w:val="0"/>
              <w:widowControl/>
              <w:suppressLineNumbers w:val="0"/>
              <w:spacing w:before="0" w:beforeAutospacing="0" w:after="0" w:afterAutospacing="0" w:line="340" w:lineRule="exact"/>
              <w:ind w:left="0" w:right="0"/>
              <w:jc w:val="center"/>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数量</w:t>
            </w:r>
          </w:p>
        </w:tc>
      </w:tr>
      <w:tr w14:paraId="7F23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0BA76B13">
            <w:pPr>
              <w:keepNext w:val="0"/>
              <w:keepLines w:val="0"/>
              <w:widowControl/>
              <w:suppressLineNumbers w:val="0"/>
              <w:spacing w:before="100" w:beforeAutospacing="1" w:after="100" w:afterAutospacing="1" w:line="340" w:lineRule="exact"/>
              <w:ind w:left="0" w:right="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p>
        </w:tc>
        <w:tc>
          <w:tcPr>
            <w:tcW w:w="2976" w:type="dxa"/>
            <w:tcBorders>
              <w:top w:val="single" w:color="auto" w:sz="4" w:space="0"/>
              <w:left w:val="single" w:color="auto" w:sz="4" w:space="0"/>
              <w:bottom w:val="single" w:color="auto" w:sz="4" w:space="0"/>
              <w:right w:val="single" w:color="auto" w:sz="4" w:space="0"/>
            </w:tcBorders>
            <w:vAlign w:val="center"/>
          </w:tcPr>
          <w:p w14:paraId="546F3607">
            <w:pPr>
              <w:keepNext w:val="0"/>
              <w:keepLines w:val="0"/>
              <w:widowControl/>
              <w:suppressLineNumbers w:val="0"/>
              <w:spacing w:before="100" w:beforeAutospacing="1" w:after="100" w:afterAutospacing="1" w:line="340" w:lineRule="exact"/>
              <w:ind w:left="0" w:right="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智联网关</w:t>
            </w:r>
          </w:p>
        </w:tc>
        <w:tc>
          <w:tcPr>
            <w:tcW w:w="2725" w:type="dxa"/>
            <w:tcBorders>
              <w:top w:val="single" w:color="auto" w:sz="4" w:space="0"/>
              <w:left w:val="single" w:color="auto" w:sz="4" w:space="0"/>
              <w:bottom w:val="single" w:color="auto" w:sz="4" w:space="0"/>
              <w:right w:val="single" w:color="auto" w:sz="4" w:space="0"/>
            </w:tcBorders>
            <w:vAlign w:val="center"/>
          </w:tcPr>
          <w:p w14:paraId="76726663">
            <w:pPr>
              <w:keepNext w:val="0"/>
              <w:keepLines w:val="0"/>
              <w:widowControl/>
              <w:suppressLineNumbers w:val="0"/>
              <w:spacing w:before="100" w:beforeAutospacing="1" w:after="100" w:afterAutospacing="1" w:line="340" w:lineRule="exact"/>
              <w:ind w:left="0" w:right="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视图智联网</w:t>
            </w:r>
          </w:p>
          <w:p w14:paraId="5A16BE56">
            <w:pPr>
              <w:keepNext w:val="0"/>
              <w:keepLines w:val="0"/>
              <w:widowControl/>
              <w:suppressLineNumbers w:val="0"/>
              <w:spacing w:before="100" w:beforeAutospacing="1" w:after="100" w:afterAutospacing="1" w:line="340" w:lineRule="exact"/>
              <w:ind w:left="0" w:right="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（YLIT-PHV</w:t>
            </w:r>
            <w:r>
              <w:rPr>
                <w:rFonts w:hint="eastAsia" w:ascii="宋体" w:hAnsi="宋体" w:cs="宋体"/>
                <w:color w:val="000000" w:themeColor="text1"/>
                <w:kern w:val="0"/>
                <w:szCs w:val="21"/>
                <w:highlight w:val="none"/>
                <w:lang w:eastAsia="zh-CN"/>
                <w14:textFill>
                  <w14:solidFill>
                    <w14:schemeClr w14:val="tx1"/>
                  </w14:solidFill>
                </w14:textFill>
              </w:rPr>
              <w:t>J</w:t>
            </w:r>
            <w:r>
              <w:rPr>
                <w:rFonts w:hint="eastAsia" w:ascii="宋体" w:hAnsi="宋体" w:cs="宋体"/>
                <w:color w:val="000000" w:themeColor="text1"/>
                <w:kern w:val="0"/>
                <w:szCs w:val="21"/>
                <w:highlight w:val="none"/>
                <w14:textFill>
                  <w14:solidFill>
                    <w14:schemeClr w14:val="tx1"/>
                  </w14:solidFill>
                </w14:textFill>
              </w:rPr>
              <w:t>W-1U128）</w:t>
            </w:r>
          </w:p>
        </w:tc>
        <w:tc>
          <w:tcPr>
            <w:tcW w:w="1161" w:type="dxa"/>
            <w:tcBorders>
              <w:top w:val="single" w:color="auto" w:sz="4" w:space="0"/>
              <w:left w:val="single" w:color="auto" w:sz="4" w:space="0"/>
              <w:bottom w:val="single" w:color="auto" w:sz="4" w:space="0"/>
              <w:right w:val="single" w:color="auto" w:sz="4" w:space="0"/>
            </w:tcBorders>
            <w:vAlign w:val="center"/>
          </w:tcPr>
          <w:p w14:paraId="5567BF6D">
            <w:pPr>
              <w:keepNext w:val="0"/>
              <w:keepLines w:val="0"/>
              <w:widowControl/>
              <w:suppressLineNumbers w:val="0"/>
              <w:spacing w:before="100" w:beforeAutospacing="1" w:after="100" w:afterAutospacing="1" w:line="340" w:lineRule="exact"/>
              <w:ind w:left="0" w:right="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台</w:t>
            </w:r>
          </w:p>
        </w:tc>
        <w:tc>
          <w:tcPr>
            <w:tcW w:w="856" w:type="dxa"/>
            <w:tcBorders>
              <w:top w:val="single" w:color="auto" w:sz="4" w:space="0"/>
              <w:left w:val="single" w:color="auto" w:sz="4" w:space="0"/>
              <w:bottom w:val="single" w:color="auto" w:sz="4" w:space="0"/>
              <w:right w:val="single" w:color="auto" w:sz="4" w:space="0"/>
            </w:tcBorders>
            <w:vAlign w:val="center"/>
          </w:tcPr>
          <w:p w14:paraId="06D040DB">
            <w:pPr>
              <w:keepNext w:val="0"/>
              <w:keepLines w:val="0"/>
              <w:widowControl/>
              <w:suppressLineNumbers w:val="0"/>
              <w:spacing w:before="100" w:beforeAutospacing="1" w:after="100" w:afterAutospacing="1" w:line="340" w:lineRule="exact"/>
              <w:ind w:left="0" w:right="0"/>
              <w:jc w:val="center"/>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p>
        </w:tc>
      </w:tr>
      <w:tr w14:paraId="3280D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495" w:type="dxa"/>
            <w:gridSpan w:val="5"/>
            <w:tcBorders>
              <w:top w:val="single" w:color="auto" w:sz="4" w:space="0"/>
              <w:left w:val="single" w:color="auto" w:sz="4" w:space="0"/>
              <w:bottom w:val="single" w:color="auto" w:sz="4" w:space="0"/>
              <w:right w:val="single" w:color="auto" w:sz="4" w:space="0"/>
            </w:tcBorders>
            <w:vAlign w:val="center"/>
          </w:tcPr>
          <w:p w14:paraId="188D3270">
            <w:pPr>
              <w:keepNext w:val="0"/>
              <w:keepLines w:val="0"/>
              <w:suppressLineNumbers w:val="0"/>
              <w:spacing w:before="0" w:beforeAutospacing="0" w:after="0" w:afterAutospacing="0" w:line="340" w:lineRule="exact"/>
              <w:ind w:left="0" w:leftChars="0" w:right="0" w:rightChars="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44"/>
                <w:sz w:val="32"/>
                <w:szCs w:val="44"/>
                <w:highlight w:val="none"/>
                <w:lang w:val="en-US" w:eastAsia="zh-CN"/>
                <w14:textFill>
                  <w14:solidFill>
                    <w14:schemeClr w14:val="tx1"/>
                  </w14:solidFill>
                </w14:textFill>
              </w:rPr>
              <w:t xml:space="preserve">O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06FB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495" w:type="dxa"/>
            <w:gridSpan w:val="5"/>
            <w:tcBorders>
              <w:top w:val="single" w:color="auto" w:sz="4" w:space="0"/>
              <w:left w:val="single" w:color="auto" w:sz="4" w:space="0"/>
              <w:bottom w:val="single" w:color="auto" w:sz="4" w:space="0"/>
              <w:right w:val="single" w:color="auto" w:sz="4" w:space="0"/>
            </w:tcBorders>
            <w:vAlign w:val="center"/>
          </w:tcPr>
          <w:p w14:paraId="7E6D1CAB">
            <w:pPr>
              <w:keepNext w:val="0"/>
              <w:keepLines w:val="0"/>
              <w:suppressLineNumbers w:val="0"/>
              <w:spacing w:before="0" w:beforeAutospacing="0" w:after="0" w:afterAutospacing="0" w:line="340" w:lineRule="exact"/>
              <w:ind w:left="0" w:leftChars="0" w:right="0" w:rightChars="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44"/>
                <w:sz w:val="28"/>
                <w:szCs w:val="28"/>
                <w:highlight w:val="none"/>
                <w:lang w:val="en-US" w:eastAsia="zh-CN"/>
                <w14:textFill>
                  <w14:solidFill>
                    <w14:schemeClr w14:val="tx1"/>
                  </w14:solidFill>
                </w14:textFill>
              </w:rPr>
              <w:t>O-20系统</w:t>
            </w:r>
          </w:p>
        </w:tc>
      </w:tr>
      <w:tr w14:paraId="51C5E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45548330">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序号</w:t>
            </w:r>
          </w:p>
        </w:tc>
        <w:tc>
          <w:tcPr>
            <w:tcW w:w="2976" w:type="dxa"/>
            <w:tcBorders>
              <w:top w:val="single" w:color="auto" w:sz="4" w:space="0"/>
              <w:left w:val="single" w:color="auto" w:sz="4" w:space="0"/>
              <w:bottom w:val="single" w:color="auto" w:sz="4" w:space="0"/>
              <w:right w:val="single" w:color="auto" w:sz="4" w:space="0"/>
            </w:tcBorders>
            <w:vAlign w:val="center"/>
          </w:tcPr>
          <w:p w14:paraId="7C8033F1">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设备名称</w:t>
            </w:r>
          </w:p>
        </w:tc>
        <w:tc>
          <w:tcPr>
            <w:tcW w:w="2725" w:type="dxa"/>
            <w:tcBorders>
              <w:top w:val="single" w:color="auto" w:sz="4" w:space="0"/>
              <w:left w:val="single" w:color="auto" w:sz="4" w:space="0"/>
              <w:bottom w:val="single" w:color="auto" w:sz="4" w:space="0"/>
              <w:right w:val="single" w:color="auto" w:sz="4" w:space="0"/>
            </w:tcBorders>
            <w:vAlign w:val="center"/>
          </w:tcPr>
          <w:p w14:paraId="13E7EA3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型号</w:t>
            </w:r>
          </w:p>
        </w:tc>
        <w:tc>
          <w:tcPr>
            <w:tcW w:w="1161" w:type="dxa"/>
            <w:tcBorders>
              <w:top w:val="single" w:color="auto" w:sz="4" w:space="0"/>
              <w:left w:val="single" w:color="auto" w:sz="4" w:space="0"/>
              <w:bottom w:val="single" w:color="auto" w:sz="4" w:space="0"/>
              <w:right w:val="single" w:color="auto" w:sz="4" w:space="0"/>
            </w:tcBorders>
            <w:vAlign w:val="center"/>
          </w:tcPr>
          <w:p w14:paraId="7276B76F">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单位</w:t>
            </w:r>
          </w:p>
        </w:tc>
        <w:tc>
          <w:tcPr>
            <w:tcW w:w="856" w:type="dxa"/>
            <w:tcBorders>
              <w:top w:val="single" w:color="auto" w:sz="4" w:space="0"/>
              <w:left w:val="single" w:color="auto" w:sz="4" w:space="0"/>
              <w:bottom w:val="single" w:color="auto" w:sz="4" w:space="0"/>
              <w:right w:val="single" w:color="auto" w:sz="4" w:space="0"/>
            </w:tcBorders>
            <w:vAlign w:val="center"/>
          </w:tcPr>
          <w:p w14:paraId="5F99F64E">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数量</w:t>
            </w:r>
          </w:p>
        </w:tc>
      </w:tr>
      <w:tr w14:paraId="014A8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77" w:type="dxa"/>
            <w:tcBorders>
              <w:top w:val="single" w:color="auto" w:sz="4" w:space="0"/>
              <w:left w:val="single" w:color="auto" w:sz="4" w:space="0"/>
              <w:bottom w:val="single" w:color="auto" w:sz="4" w:space="0"/>
              <w:right w:val="single" w:color="auto" w:sz="4" w:space="0"/>
            </w:tcBorders>
            <w:vAlign w:val="center"/>
          </w:tcPr>
          <w:p w14:paraId="71F79130">
            <w:pPr>
              <w:keepNext w:val="0"/>
              <w:keepLines w:val="0"/>
              <w:widowControl/>
              <w:suppressLineNumbers w:val="0"/>
              <w:spacing w:before="100" w:beforeAutospacing="1" w:after="100" w:afterAutospacing="1" w:line="340" w:lineRule="exact"/>
              <w:ind w:left="0" w:right="0"/>
              <w:jc w:val="center"/>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1</w:t>
            </w:r>
          </w:p>
        </w:tc>
        <w:tc>
          <w:tcPr>
            <w:tcW w:w="2976" w:type="dxa"/>
            <w:tcBorders>
              <w:top w:val="single" w:color="auto" w:sz="4" w:space="0"/>
              <w:left w:val="single" w:color="auto" w:sz="4" w:space="0"/>
              <w:bottom w:val="single" w:color="auto" w:sz="4" w:space="0"/>
              <w:right w:val="single" w:color="auto" w:sz="4" w:space="0"/>
            </w:tcBorders>
            <w:vAlign w:val="center"/>
          </w:tcPr>
          <w:p w14:paraId="2BC32A28">
            <w:pPr>
              <w:keepNext w:val="0"/>
              <w:keepLines w:val="0"/>
              <w:widowControl/>
              <w:suppressLineNumbers w:val="0"/>
              <w:spacing w:before="100" w:beforeAutospacing="1" w:after="100" w:afterAutospacing="1" w:line="340" w:lineRule="exact"/>
              <w:ind w:left="0" w:right="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DNS域名服务器</w:t>
            </w:r>
          </w:p>
        </w:tc>
        <w:tc>
          <w:tcPr>
            <w:tcW w:w="2725" w:type="dxa"/>
            <w:tcBorders>
              <w:top w:val="single" w:color="auto" w:sz="4" w:space="0"/>
              <w:left w:val="single" w:color="auto" w:sz="4" w:space="0"/>
              <w:bottom w:val="single" w:color="auto" w:sz="4" w:space="0"/>
              <w:right w:val="single" w:color="auto" w:sz="4" w:space="0"/>
            </w:tcBorders>
            <w:vAlign w:val="center"/>
          </w:tcPr>
          <w:p w14:paraId="3D4EBE05">
            <w:pPr>
              <w:keepNext w:val="0"/>
              <w:keepLines w:val="0"/>
              <w:widowControl/>
              <w:suppressLineNumbers w:val="0"/>
              <w:spacing w:before="100" w:beforeAutospacing="1" w:after="100" w:afterAutospacing="1" w:line="340" w:lineRule="exact"/>
              <w:ind w:left="0" w:right="0"/>
              <w:jc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ZDNS域名服务器</w:t>
            </w:r>
          </w:p>
        </w:tc>
        <w:tc>
          <w:tcPr>
            <w:tcW w:w="1161" w:type="dxa"/>
            <w:tcBorders>
              <w:top w:val="single" w:color="auto" w:sz="4" w:space="0"/>
              <w:left w:val="single" w:color="auto" w:sz="4" w:space="0"/>
              <w:bottom w:val="single" w:color="auto" w:sz="4" w:space="0"/>
              <w:right w:val="single" w:color="auto" w:sz="4" w:space="0"/>
            </w:tcBorders>
            <w:vAlign w:val="center"/>
          </w:tcPr>
          <w:p w14:paraId="711E2B44">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台</w:t>
            </w:r>
          </w:p>
        </w:tc>
        <w:tc>
          <w:tcPr>
            <w:tcW w:w="856" w:type="dxa"/>
            <w:tcBorders>
              <w:top w:val="single" w:color="auto" w:sz="4" w:space="0"/>
              <w:left w:val="single" w:color="auto" w:sz="4" w:space="0"/>
              <w:bottom w:val="single" w:color="auto" w:sz="4" w:space="0"/>
              <w:right w:val="single" w:color="auto" w:sz="4" w:space="0"/>
            </w:tcBorders>
            <w:vAlign w:val="center"/>
          </w:tcPr>
          <w:p w14:paraId="00D2ABD9">
            <w:pPr>
              <w:keepNext w:val="0"/>
              <w:keepLines w:val="0"/>
              <w:widowControl/>
              <w:suppressLineNumbers w:val="0"/>
              <w:spacing w:before="0" w:beforeAutospacing="0" w:after="0" w:afterAutospacing="0" w:line="340" w:lineRule="exact"/>
              <w:ind w:left="0" w:right="0"/>
              <w:jc w:val="center"/>
              <w:textAlignment w:val="center"/>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2"/>
                <w:szCs w:val="22"/>
                <w:highlight w:val="none"/>
                <w:u w:val="none"/>
                <w:lang w:val="en-US" w:eastAsia="zh-CN" w:bidi="ar"/>
                <w14:textFill>
                  <w14:solidFill>
                    <w14:schemeClr w14:val="tx1"/>
                  </w14:solidFill>
                </w14:textFill>
              </w:rPr>
              <w:t>2</w:t>
            </w:r>
          </w:p>
        </w:tc>
      </w:tr>
    </w:tbl>
    <w:p w14:paraId="50B5F2AD">
      <w:pPr>
        <w:pStyle w:val="9"/>
        <w:rPr>
          <w:rFonts w:hint="eastAsia" w:ascii="宋体" w:hAnsi="宋体" w:cs="宋体"/>
          <w:color w:val="000000" w:themeColor="text1"/>
          <w:sz w:val="24"/>
          <w:szCs w:val="21"/>
          <w:highlight w:val="none"/>
          <w14:textFill>
            <w14:solidFill>
              <w14:schemeClr w14:val="tx1"/>
            </w14:solidFill>
          </w14:textFill>
        </w:rPr>
      </w:pPr>
    </w:p>
    <w:p w14:paraId="01B5CA9A">
      <w:pPr>
        <w:keepNext/>
        <w:keepLines/>
        <w:pageBreakBefore w:val="0"/>
        <w:widowControl w:val="0"/>
        <w:kinsoku/>
        <w:wordWrap/>
        <w:overflowPunct/>
        <w:topLinePunct w:val="0"/>
        <w:autoSpaceDE/>
        <w:autoSpaceDN/>
        <w:bidi w:val="0"/>
        <w:adjustRightInd/>
        <w:snapToGrid/>
        <w:spacing w:line="480" w:lineRule="exact"/>
        <w:textAlignment w:val="auto"/>
        <w:outlineLvl w:val="9"/>
        <w:rPr>
          <w:rFonts w:ascii="宋体" w:hAnsi="宋体" w:cs="宋体"/>
          <w:b/>
          <w:bCs/>
          <w:color w:val="000000" w:themeColor="text1"/>
          <w:sz w:val="28"/>
          <w:szCs w:val="32"/>
          <w:highlight w:val="none"/>
          <w14:textFill>
            <w14:solidFill>
              <w14:schemeClr w14:val="tx1"/>
            </w14:solidFill>
          </w14:textFill>
        </w:rPr>
      </w:pPr>
      <w:r>
        <w:rPr>
          <w:rFonts w:hint="eastAsia" w:ascii="宋体" w:hAnsi="宋体" w:cs="宋体"/>
          <w:b/>
          <w:bCs/>
          <w:color w:val="000000" w:themeColor="text1"/>
          <w:sz w:val="28"/>
          <w:szCs w:val="32"/>
          <w:highlight w:val="none"/>
          <w14:textFill>
            <w14:solidFill>
              <w14:schemeClr w14:val="tx1"/>
            </w14:solidFill>
          </w14:textFill>
        </w:rPr>
        <w:t>（二）第三方维保</w:t>
      </w:r>
    </w:p>
    <w:p w14:paraId="17C7B62F">
      <w:pPr>
        <w:spacing w:line="480" w:lineRule="atLeast"/>
        <w:ind w:firstLine="480" w:firstLineChars="200"/>
        <w:rPr>
          <w:rFonts w:ascii="宋体" w:hAnsi="宋体" w:cs="宋体"/>
          <w:color w:val="000000" w:themeColor="text1"/>
          <w:sz w:val="24"/>
          <w:szCs w:val="21"/>
          <w:highlight w:val="none"/>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设备按二级维保等级进行第三方维保（即7*24小时技术服务，设备（含硬盘）如有故障，保证1小时内到达现场处置，24小时内免费完成维修、更换处理）。第三方维保设备清单如下：</w:t>
      </w:r>
    </w:p>
    <w:tbl>
      <w:tblPr>
        <w:tblStyle w:val="5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3019"/>
        <w:gridCol w:w="2467"/>
        <w:gridCol w:w="1143"/>
        <w:gridCol w:w="1156"/>
      </w:tblGrid>
      <w:tr w14:paraId="66B65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04" w:type="dxa"/>
            <w:gridSpan w:val="5"/>
            <w:tcBorders>
              <w:top w:val="single" w:color="auto" w:sz="4" w:space="0"/>
              <w:left w:val="single" w:color="auto" w:sz="4" w:space="0"/>
              <w:bottom w:val="single" w:color="auto" w:sz="4" w:space="0"/>
              <w:right w:val="single" w:color="auto" w:sz="4" w:space="0"/>
            </w:tcBorders>
            <w:vAlign w:val="center"/>
          </w:tcPr>
          <w:p w14:paraId="6BEB5D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K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47DE5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04" w:type="dxa"/>
            <w:gridSpan w:val="5"/>
            <w:tcBorders>
              <w:top w:val="single" w:color="auto" w:sz="4" w:space="0"/>
              <w:left w:val="single" w:color="auto" w:sz="4" w:space="0"/>
              <w:bottom w:val="single" w:color="auto" w:sz="4" w:space="0"/>
              <w:right w:val="single" w:color="auto" w:sz="4" w:space="0"/>
            </w:tcBorders>
            <w:vAlign w:val="center"/>
          </w:tcPr>
          <w:p w14:paraId="73D1FA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b/>
                <w:bCs/>
                <w:color w:val="000000" w:themeColor="text1"/>
                <w:kern w:val="44"/>
                <w:sz w:val="28"/>
                <w:szCs w:val="28"/>
                <w:highlight w:val="none"/>
                <w:lang w:val="en-US" w:eastAsia="zh-CN"/>
                <w14:textFill>
                  <w14:solidFill>
                    <w14:schemeClr w14:val="tx1"/>
                  </w14:solidFill>
                </w14:textFill>
              </w:rPr>
              <w:t>K-3</w:t>
            </w:r>
            <w:r>
              <w:rPr>
                <w:rFonts w:hint="eastAsia" w:ascii="宋体" w:hAnsi="宋体" w:eastAsia="宋体" w:cs="宋体"/>
                <w:b/>
                <w:bCs/>
                <w:color w:val="000000" w:themeColor="text1"/>
                <w:kern w:val="44"/>
                <w:sz w:val="28"/>
                <w:szCs w:val="28"/>
                <w:highlight w:val="none"/>
                <w14:textFill>
                  <w14:solidFill>
                    <w14:schemeClr w14:val="tx1"/>
                  </w14:solidFill>
                </w14:textFill>
              </w:rPr>
              <w:t>平台</w:t>
            </w:r>
          </w:p>
        </w:tc>
      </w:tr>
      <w:tr w14:paraId="5BEA6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99417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序号</w:t>
            </w:r>
          </w:p>
        </w:tc>
        <w:tc>
          <w:tcPr>
            <w:tcW w:w="3019" w:type="dxa"/>
            <w:tcBorders>
              <w:top w:val="single" w:color="auto" w:sz="4" w:space="0"/>
              <w:left w:val="single" w:color="auto" w:sz="4" w:space="0"/>
              <w:bottom w:val="single" w:color="auto" w:sz="4" w:space="0"/>
              <w:right w:val="single" w:color="auto" w:sz="4" w:space="0"/>
            </w:tcBorders>
            <w:vAlign w:val="center"/>
          </w:tcPr>
          <w:p w14:paraId="28A2EB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设备名称</w:t>
            </w:r>
          </w:p>
        </w:tc>
        <w:tc>
          <w:tcPr>
            <w:tcW w:w="2467" w:type="dxa"/>
            <w:tcBorders>
              <w:top w:val="single" w:color="auto" w:sz="4" w:space="0"/>
              <w:left w:val="single" w:color="auto" w:sz="4" w:space="0"/>
              <w:bottom w:val="single" w:color="auto" w:sz="4" w:space="0"/>
              <w:right w:val="single" w:color="auto" w:sz="4" w:space="0"/>
            </w:tcBorders>
            <w:vAlign w:val="center"/>
          </w:tcPr>
          <w:p w14:paraId="3F926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型号</w:t>
            </w:r>
          </w:p>
        </w:tc>
        <w:tc>
          <w:tcPr>
            <w:tcW w:w="1143" w:type="dxa"/>
            <w:tcBorders>
              <w:top w:val="single" w:color="auto" w:sz="4" w:space="0"/>
              <w:left w:val="single" w:color="auto" w:sz="4" w:space="0"/>
              <w:bottom w:val="single" w:color="auto" w:sz="4" w:space="0"/>
              <w:right w:val="single" w:color="auto" w:sz="4" w:space="0"/>
            </w:tcBorders>
            <w:vAlign w:val="center"/>
          </w:tcPr>
          <w:p w14:paraId="37833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单位</w:t>
            </w:r>
          </w:p>
        </w:tc>
        <w:tc>
          <w:tcPr>
            <w:tcW w:w="1156" w:type="dxa"/>
            <w:tcBorders>
              <w:top w:val="single" w:color="auto" w:sz="4" w:space="0"/>
              <w:left w:val="single" w:color="auto" w:sz="4" w:space="0"/>
              <w:bottom w:val="single" w:color="auto" w:sz="4" w:space="0"/>
              <w:right w:val="single" w:color="auto" w:sz="4" w:space="0"/>
            </w:tcBorders>
            <w:vAlign w:val="center"/>
          </w:tcPr>
          <w:p w14:paraId="33799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数量</w:t>
            </w:r>
          </w:p>
        </w:tc>
      </w:tr>
      <w:tr w14:paraId="5D1A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87886C1">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3019" w:type="dxa"/>
            <w:tcBorders>
              <w:top w:val="single" w:color="auto" w:sz="4" w:space="0"/>
              <w:left w:val="single" w:color="auto" w:sz="4" w:space="0"/>
              <w:bottom w:val="single" w:color="auto" w:sz="4" w:space="0"/>
              <w:right w:val="single" w:color="auto" w:sz="4" w:space="0"/>
            </w:tcBorders>
            <w:vAlign w:val="center"/>
          </w:tcPr>
          <w:p w14:paraId="6921EF55">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应用程序服务器</w:t>
            </w:r>
          </w:p>
        </w:tc>
        <w:tc>
          <w:tcPr>
            <w:tcW w:w="2467" w:type="dxa"/>
            <w:tcBorders>
              <w:top w:val="single" w:color="auto" w:sz="4" w:space="0"/>
              <w:left w:val="single" w:color="auto" w:sz="4" w:space="0"/>
              <w:bottom w:val="single" w:color="auto" w:sz="4" w:space="0"/>
              <w:right w:val="single" w:color="auto" w:sz="4" w:space="0"/>
            </w:tcBorders>
            <w:vAlign w:val="center"/>
          </w:tcPr>
          <w:p w14:paraId="6388800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浪潮NF5270M4</w:t>
            </w:r>
          </w:p>
        </w:tc>
        <w:tc>
          <w:tcPr>
            <w:tcW w:w="1143" w:type="dxa"/>
            <w:tcBorders>
              <w:top w:val="single" w:color="auto" w:sz="4" w:space="0"/>
              <w:left w:val="single" w:color="auto" w:sz="4" w:space="0"/>
              <w:bottom w:val="single" w:color="auto" w:sz="4" w:space="0"/>
              <w:right w:val="single" w:color="auto" w:sz="4" w:space="0"/>
            </w:tcBorders>
            <w:vAlign w:val="center"/>
          </w:tcPr>
          <w:p w14:paraId="7B8D7C2B">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559780B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35</w:t>
            </w:r>
          </w:p>
        </w:tc>
      </w:tr>
      <w:tr w14:paraId="670F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46906D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3019" w:type="dxa"/>
            <w:tcBorders>
              <w:top w:val="single" w:color="auto" w:sz="4" w:space="0"/>
              <w:left w:val="single" w:color="auto" w:sz="4" w:space="0"/>
              <w:bottom w:val="single" w:color="auto" w:sz="4" w:space="0"/>
              <w:right w:val="single" w:color="auto" w:sz="4" w:space="0"/>
            </w:tcBorders>
            <w:vAlign w:val="center"/>
          </w:tcPr>
          <w:p w14:paraId="6DE70C7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数据库</w:t>
            </w:r>
          </w:p>
        </w:tc>
        <w:tc>
          <w:tcPr>
            <w:tcW w:w="2467" w:type="dxa"/>
            <w:tcBorders>
              <w:top w:val="single" w:color="auto" w:sz="4" w:space="0"/>
              <w:left w:val="single" w:color="auto" w:sz="4" w:space="0"/>
              <w:bottom w:val="single" w:color="auto" w:sz="4" w:space="0"/>
              <w:right w:val="single" w:color="auto" w:sz="4" w:space="0"/>
            </w:tcBorders>
            <w:vAlign w:val="center"/>
          </w:tcPr>
          <w:p w14:paraId="2FBF969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浪潮NF5270M4</w:t>
            </w:r>
          </w:p>
        </w:tc>
        <w:tc>
          <w:tcPr>
            <w:tcW w:w="1143" w:type="dxa"/>
            <w:tcBorders>
              <w:top w:val="single" w:color="auto" w:sz="4" w:space="0"/>
              <w:left w:val="single" w:color="auto" w:sz="4" w:space="0"/>
              <w:bottom w:val="single" w:color="auto" w:sz="4" w:space="0"/>
              <w:right w:val="single" w:color="auto" w:sz="4" w:space="0"/>
            </w:tcBorders>
            <w:vAlign w:val="center"/>
          </w:tcPr>
          <w:p w14:paraId="0BF101B4">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2B2C9AC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leftChars="0" w:right="0" w:rightChars="0"/>
              <w:jc w:val="center"/>
              <w:textAlignment w:val="auto"/>
              <w:outlineLvl w:val="9"/>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r>
      <w:tr w14:paraId="4428B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04" w:type="dxa"/>
            <w:gridSpan w:val="5"/>
            <w:tcBorders>
              <w:top w:val="single" w:color="auto" w:sz="4" w:space="0"/>
              <w:left w:val="single" w:color="auto" w:sz="4" w:space="0"/>
              <w:bottom w:val="single" w:color="auto" w:sz="4" w:space="0"/>
              <w:right w:val="single" w:color="auto" w:sz="4" w:space="0"/>
            </w:tcBorders>
            <w:vAlign w:val="center"/>
          </w:tcPr>
          <w:p w14:paraId="1DC04E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O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2A847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04" w:type="dxa"/>
            <w:gridSpan w:val="5"/>
            <w:tcBorders>
              <w:top w:val="single" w:color="auto" w:sz="4" w:space="0"/>
              <w:left w:val="single" w:color="auto" w:sz="4" w:space="0"/>
              <w:bottom w:val="single" w:color="auto" w:sz="4" w:space="0"/>
              <w:right w:val="single" w:color="auto" w:sz="4" w:space="0"/>
            </w:tcBorders>
            <w:vAlign w:val="center"/>
          </w:tcPr>
          <w:p w14:paraId="55098D8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44"/>
                <w:sz w:val="28"/>
                <w:szCs w:val="28"/>
                <w:highlight w:val="none"/>
                <w:lang w:val="en-US" w:eastAsia="zh-CN"/>
                <w14:textFill>
                  <w14:solidFill>
                    <w14:schemeClr w14:val="tx1"/>
                  </w14:solidFill>
                </w14:textFill>
              </w:rPr>
              <w:t>O-4至O-9</w:t>
            </w:r>
            <w:r>
              <w:rPr>
                <w:rFonts w:hint="eastAsia" w:ascii="宋体" w:hAnsi="宋体" w:eastAsia="宋体" w:cs="宋体"/>
                <w:b/>
                <w:bCs/>
                <w:color w:val="000000" w:themeColor="text1"/>
                <w:kern w:val="44"/>
                <w:sz w:val="28"/>
                <w:szCs w:val="28"/>
                <w:highlight w:val="none"/>
                <w:lang w:eastAsia="zh-CN"/>
                <w14:textFill>
                  <w14:solidFill>
                    <w14:schemeClr w14:val="tx1"/>
                  </w14:solidFill>
                </w14:textFill>
              </w:rPr>
              <w:t>平台</w:t>
            </w:r>
          </w:p>
        </w:tc>
      </w:tr>
      <w:tr w14:paraId="3565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B9B2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序号</w:t>
            </w:r>
          </w:p>
        </w:tc>
        <w:tc>
          <w:tcPr>
            <w:tcW w:w="3019" w:type="dxa"/>
            <w:tcBorders>
              <w:top w:val="single" w:color="auto" w:sz="4" w:space="0"/>
              <w:left w:val="single" w:color="auto" w:sz="4" w:space="0"/>
              <w:bottom w:val="single" w:color="auto" w:sz="4" w:space="0"/>
              <w:right w:val="single" w:color="auto" w:sz="4" w:space="0"/>
            </w:tcBorders>
            <w:vAlign w:val="center"/>
          </w:tcPr>
          <w:p w14:paraId="754BD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设备名称</w:t>
            </w:r>
          </w:p>
        </w:tc>
        <w:tc>
          <w:tcPr>
            <w:tcW w:w="2467" w:type="dxa"/>
            <w:tcBorders>
              <w:top w:val="single" w:color="auto" w:sz="4" w:space="0"/>
              <w:left w:val="single" w:color="auto" w:sz="4" w:space="0"/>
              <w:bottom w:val="single" w:color="auto" w:sz="4" w:space="0"/>
              <w:right w:val="single" w:color="auto" w:sz="4" w:space="0"/>
            </w:tcBorders>
            <w:vAlign w:val="center"/>
          </w:tcPr>
          <w:p w14:paraId="335CC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型号</w:t>
            </w:r>
          </w:p>
        </w:tc>
        <w:tc>
          <w:tcPr>
            <w:tcW w:w="1143" w:type="dxa"/>
            <w:tcBorders>
              <w:top w:val="single" w:color="auto" w:sz="4" w:space="0"/>
              <w:left w:val="single" w:color="auto" w:sz="4" w:space="0"/>
              <w:bottom w:val="single" w:color="auto" w:sz="4" w:space="0"/>
              <w:right w:val="single" w:color="auto" w:sz="4" w:space="0"/>
            </w:tcBorders>
            <w:vAlign w:val="center"/>
          </w:tcPr>
          <w:p w14:paraId="7B9F1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单位</w:t>
            </w:r>
          </w:p>
        </w:tc>
        <w:tc>
          <w:tcPr>
            <w:tcW w:w="1156" w:type="dxa"/>
            <w:tcBorders>
              <w:top w:val="single" w:color="auto" w:sz="4" w:space="0"/>
              <w:left w:val="single" w:color="auto" w:sz="4" w:space="0"/>
              <w:bottom w:val="single" w:color="auto" w:sz="4" w:space="0"/>
              <w:right w:val="single" w:color="auto" w:sz="4" w:space="0"/>
            </w:tcBorders>
            <w:vAlign w:val="center"/>
          </w:tcPr>
          <w:p w14:paraId="27144D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数量</w:t>
            </w:r>
          </w:p>
        </w:tc>
      </w:tr>
      <w:tr w14:paraId="6342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F272A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3019" w:type="dxa"/>
            <w:tcBorders>
              <w:top w:val="single" w:color="auto" w:sz="4" w:space="0"/>
              <w:left w:val="single" w:color="auto" w:sz="4" w:space="0"/>
              <w:bottom w:val="single" w:color="auto" w:sz="4" w:space="0"/>
              <w:right w:val="single" w:color="auto" w:sz="4" w:space="0"/>
            </w:tcBorders>
            <w:vAlign w:val="center"/>
          </w:tcPr>
          <w:p w14:paraId="624EC0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高性能服务器</w:t>
            </w:r>
          </w:p>
        </w:tc>
        <w:tc>
          <w:tcPr>
            <w:tcW w:w="2467" w:type="dxa"/>
            <w:tcBorders>
              <w:top w:val="single" w:color="auto" w:sz="4" w:space="0"/>
              <w:left w:val="single" w:color="auto" w:sz="4" w:space="0"/>
              <w:bottom w:val="single" w:color="auto" w:sz="4" w:space="0"/>
              <w:right w:val="single" w:color="auto" w:sz="4" w:space="0"/>
            </w:tcBorders>
            <w:vAlign w:val="center"/>
          </w:tcPr>
          <w:p w14:paraId="1DD77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华为FusionServer RH2288H V3</w:t>
            </w:r>
          </w:p>
        </w:tc>
        <w:tc>
          <w:tcPr>
            <w:tcW w:w="1143" w:type="dxa"/>
            <w:tcBorders>
              <w:top w:val="single" w:color="auto" w:sz="4" w:space="0"/>
              <w:left w:val="single" w:color="auto" w:sz="4" w:space="0"/>
              <w:bottom w:val="single" w:color="auto" w:sz="4" w:space="0"/>
              <w:right w:val="single" w:color="auto" w:sz="4" w:space="0"/>
            </w:tcBorders>
            <w:vAlign w:val="center"/>
          </w:tcPr>
          <w:p w14:paraId="774C5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387EA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r>
      <w:tr w14:paraId="3509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B9969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3019" w:type="dxa"/>
            <w:tcBorders>
              <w:top w:val="single" w:color="auto" w:sz="4" w:space="0"/>
              <w:left w:val="single" w:color="auto" w:sz="4" w:space="0"/>
              <w:bottom w:val="single" w:color="auto" w:sz="4" w:space="0"/>
              <w:right w:val="single" w:color="auto" w:sz="4" w:space="0"/>
            </w:tcBorders>
            <w:vAlign w:val="center"/>
          </w:tcPr>
          <w:p w14:paraId="491A00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核心交换机</w:t>
            </w:r>
          </w:p>
        </w:tc>
        <w:tc>
          <w:tcPr>
            <w:tcW w:w="2467" w:type="dxa"/>
            <w:tcBorders>
              <w:top w:val="single" w:color="auto" w:sz="4" w:space="0"/>
              <w:left w:val="single" w:color="auto" w:sz="4" w:space="0"/>
              <w:bottom w:val="single" w:color="auto" w:sz="4" w:space="0"/>
              <w:right w:val="single" w:color="auto" w:sz="4" w:space="0"/>
            </w:tcBorders>
            <w:vAlign w:val="center"/>
          </w:tcPr>
          <w:p w14:paraId="588D75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华为S9703</w:t>
            </w:r>
          </w:p>
        </w:tc>
        <w:tc>
          <w:tcPr>
            <w:tcW w:w="1143" w:type="dxa"/>
            <w:tcBorders>
              <w:top w:val="single" w:color="auto" w:sz="4" w:space="0"/>
              <w:left w:val="single" w:color="auto" w:sz="4" w:space="0"/>
              <w:bottom w:val="single" w:color="auto" w:sz="4" w:space="0"/>
              <w:right w:val="single" w:color="auto" w:sz="4" w:space="0"/>
            </w:tcBorders>
            <w:vAlign w:val="center"/>
          </w:tcPr>
          <w:p w14:paraId="0A68E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54CDED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54167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CFE6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3019" w:type="dxa"/>
            <w:tcBorders>
              <w:top w:val="single" w:color="auto" w:sz="4" w:space="0"/>
              <w:left w:val="single" w:color="auto" w:sz="4" w:space="0"/>
              <w:bottom w:val="single" w:color="auto" w:sz="4" w:space="0"/>
              <w:right w:val="single" w:color="auto" w:sz="4" w:space="0"/>
            </w:tcBorders>
            <w:vAlign w:val="center"/>
          </w:tcPr>
          <w:p w14:paraId="5EE1E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接入交换机</w:t>
            </w:r>
          </w:p>
        </w:tc>
        <w:tc>
          <w:tcPr>
            <w:tcW w:w="2467" w:type="dxa"/>
            <w:tcBorders>
              <w:top w:val="single" w:color="auto" w:sz="4" w:space="0"/>
              <w:left w:val="single" w:color="auto" w:sz="4" w:space="0"/>
              <w:bottom w:val="single" w:color="auto" w:sz="4" w:space="0"/>
              <w:right w:val="single" w:color="auto" w:sz="4" w:space="0"/>
            </w:tcBorders>
            <w:vAlign w:val="center"/>
          </w:tcPr>
          <w:p w14:paraId="0D38E2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S5710-52C-EI</w:t>
            </w:r>
          </w:p>
        </w:tc>
        <w:tc>
          <w:tcPr>
            <w:tcW w:w="1143" w:type="dxa"/>
            <w:tcBorders>
              <w:top w:val="single" w:color="auto" w:sz="4" w:space="0"/>
              <w:left w:val="single" w:color="auto" w:sz="4" w:space="0"/>
              <w:bottom w:val="single" w:color="auto" w:sz="4" w:space="0"/>
              <w:right w:val="single" w:color="auto" w:sz="4" w:space="0"/>
            </w:tcBorders>
            <w:vAlign w:val="center"/>
          </w:tcPr>
          <w:p w14:paraId="1B4788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0D1C71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389B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56543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3019" w:type="dxa"/>
            <w:tcBorders>
              <w:top w:val="single" w:color="auto" w:sz="4" w:space="0"/>
              <w:left w:val="single" w:color="auto" w:sz="4" w:space="0"/>
              <w:bottom w:val="single" w:color="auto" w:sz="4" w:space="0"/>
              <w:right w:val="single" w:color="auto" w:sz="4" w:space="0"/>
            </w:tcBorders>
            <w:vAlign w:val="center"/>
          </w:tcPr>
          <w:p w14:paraId="5017C7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防火墙</w:t>
            </w:r>
          </w:p>
        </w:tc>
        <w:tc>
          <w:tcPr>
            <w:tcW w:w="2467" w:type="dxa"/>
            <w:tcBorders>
              <w:top w:val="single" w:color="auto" w:sz="4" w:space="0"/>
              <w:left w:val="single" w:color="auto" w:sz="4" w:space="0"/>
              <w:bottom w:val="single" w:color="auto" w:sz="4" w:space="0"/>
              <w:right w:val="single" w:color="auto" w:sz="4" w:space="0"/>
            </w:tcBorders>
            <w:vAlign w:val="center"/>
          </w:tcPr>
          <w:p w14:paraId="2AE1E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华为USG6630</w:t>
            </w:r>
          </w:p>
        </w:tc>
        <w:tc>
          <w:tcPr>
            <w:tcW w:w="1143" w:type="dxa"/>
            <w:tcBorders>
              <w:top w:val="single" w:color="auto" w:sz="4" w:space="0"/>
              <w:left w:val="single" w:color="auto" w:sz="4" w:space="0"/>
              <w:bottom w:val="single" w:color="auto" w:sz="4" w:space="0"/>
              <w:right w:val="single" w:color="auto" w:sz="4" w:space="0"/>
            </w:tcBorders>
            <w:vAlign w:val="center"/>
          </w:tcPr>
          <w:p w14:paraId="581E6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568809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14E3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C6D99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3019" w:type="dxa"/>
            <w:tcBorders>
              <w:top w:val="single" w:color="auto" w:sz="4" w:space="0"/>
              <w:left w:val="single" w:color="auto" w:sz="4" w:space="0"/>
              <w:bottom w:val="single" w:color="auto" w:sz="4" w:space="0"/>
              <w:right w:val="single" w:color="auto" w:sz="4" w:space="0"/>
            </w:tcBorders>
            <w:vAlign w:val="center"/>
          </w:tcPr>
          <w:p w14:paraId="2A8D4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单向网闸</w:t>
            </w:r>
          </w:p>
        </w:tc>
        <w:tc>
          <w:tcPr>
            <w:tcW w:w="2467" w:type="dxa"/>
            <w:tcBorders>
              <w:top w:val="single" w:color="auto" w:sz="4" w:space="0"/>
              <w:left w:val="single" w:color="auto" w:sz="4" w:space="0"/>
              <w:bottom w:val="single" w:color="auto" w:sz="4" w:space="0"/>
              <w:right w:val="single" w:color="auto" w:sz="4" w:space="0"/>
            </w:tcBorders>
            <w:vAlign w:val="center"/>
          </w:tcPr>
          <w:p w14:paraId="314E22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赛博兴安XingAn SPG-FIB-M646</w:t>
            </w:r>
          </w:p>
        </w:tc>
        <w:tc>
          <w:tcPr>
            <w:tcW w:w="1143" w:type="dxa"/>
            <w:tcBorders>
              <w:top w:val="single" w:color="auto" w:sz="4" w:space="0"/>
              <w:left w:val="single" w:color="auto" w:sz="4" w:space="0"/>
              <w:bottom w:val="single" w:color="auto" w:sz="4" w:space="0"/>
              <w:right w:val="single" w:color="auto" w:sz="4" w:space="0"/>
            </w:tcBorders>
            <w:vAlign w:val="center"/>
          </w:tcPr>
          <w:p w14:paraId="0C2F28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0B7BA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1244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5E9E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3019" w:type="dxa"/>
            <w:tcBorders>
              <w:top w:val="single" w:color="auto" w:sz="4" w:space="0"/>
              <w:left w:val="single" w:color="auto" w:sz="4" w:space="0"/>
              <w:bottom w:val="single" w:color="auto" w:sz="4" w:space="0"/>
              <w:right w:val="single" w:color="auto" w:sz="4" w:space="0"/>
            </w:tcBorders>
            <w:vAlign w:val="center"/>
          </w:tcPr>
          <w:p w14:paraId="4A82D7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 xml:space="preserve">VPN </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适配器</w:t>
            </w:r>
          </w:p>
        </w:tc>
        <w:tc>
          <w:tcPr>
            <w:tcW w:w="2467" w:type="dxa"/>
            <w:tcBorders>
              <w:top w:val="single" w:color="auto" w:sz="4" w:space="0"/>
              <w:left w:val="single" w:color="auto" w:sz="4" w:space="0"/>
              <w:bottom w:val="single" w:color="auto" w:sz="4" w:space="0"/>
              <w:right w:val="single" w:color="auto" w:sz="4" w:space="0"/>
            </w:tcBorders>
            <w:vAlign w:val="center"/>
          </w:tcPr>
          <w:p w14:paraId="65B7B3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辰锐VSAG-300</w:t>
            </w:r>
          </w:p>
        </w:tc>
        <w:tc>
          <w:tcPr>
            <w:tcW w:w="1143" w:type="dxa"/>
            <w:tcBorders>
              <w:top w:val="single" w:color="auto" w:sz="4" w:space="0"/>
              <w:left w:val="single" w:color="auto" w:sz="4" w:space="0"/>
              <w:bottom w:val="single" w:color="auto" w:sz="4" w:space="0"/>
              <w:right w:val="single" w:color="auto" w:sz="4" w:space="0"/>
            </w:tcBorders>
            <w:vAlign w:val="center"/>
          </w:tcPr>
          <w:p w14:paraId="29C5C5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6C7B5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7CE3F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110D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w:t>
            </w:r>
          </w:p>
        </w:tc>
        <w:tc>
          <w:tcPr>
            <w:tcW w:w="3019" w:type="dxa"/>
            <w:tcBorders>
              <w:top w:val="single" w:color="auto" w:sz="4" w:space="0"/>
              <w:left w:val="single" w:color="auto" w:sz="4" w:space="0"/>
              <w:bottom w:val="single" w:color="auto" w:sz="4" w:space="0"/>
              <w:right w:val="single" w:color="auto" w:sz="4" w:space="0"/>
            </w:tcBorders>
            <w:vAlign w:val="center"/>
          </w:tcPr>
          <w:p w14:paraId="74090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网络接入控制网关</w:t>
            </w:r>
          </w:p>
        </w:tc>
        <w:tc>
          <w:tcPr>
            <w:tcW w:w="2467" w:type="dxa"/>
            <w:tcBorders>
              <w:top w:val="single" w:color="auto" w:sz="4" w:space="0"/>
              <w:left w:val="single" w:color="auto" w:sz="4" w:space="0"/>
              <w:bottom w:val="single" w:color="auto" w:sz="4" w:space="0"/>
              <w:right w:val="single" w:color="auto" w:sz="4" w:space="0"/>
            </w:tcBorders>
            <w:vAlign w:val="center"/>
          </w:tcPr>
          <w:p w14:paraId="7D262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信大捷安NACS-S-1000HA</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信大捷安IAS-S-1000HA</w:t>
            </w:r>
          </w:p>
        </w:tc>
        <w:tc>
          <w:tcPr>
            <w:tcW w:w="1143" w:type="dxa"/>
            <w:tcBorders>
              <w:top w:val="single" w:color="auto" w:sz="4" w:space="0"/>
              <w:left w:val="single" w:color="auto" w:sz="4" w:space="0"/>
              <w:bottom w:val="single" w:color="auto" w:sz="4" w:space="0"/>
              <w:right w:val="single" w:color="auto" w:sz="4" w:space="0"/>
            </w:tcBorders>
            <w:vAlign w:val="center"/>
          </w:tcPr>
          <w:p w14:paraId="56541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1156" w:type="dxa"/>
            <w:tcBorders>
              <w:top w:val="single" w:color="auto" w:sz="4" w:space="0"/>
              <w:left w:val="single" w:color="auto" w:sz="4" w:space="0"/>
              <w:bottom w:val="single" w:color="auto" w:sz="4" w:space="0"/>
              <w:right w:val="single" w:color="auto" w:sz="4" w:space="0"/>
            </w:tcBorders>
            <w:vAlign w:val="center"/>
          </w:tcPr>
          <w:p w14:paraId="24BD13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7ACB2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6CDF8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c>
          <w:tcPr>
            <w:tcW w:w="3019" w:type="dxa"/>
            <w:tcBorders>
              <w:top w:val="single" w:color="auto" w:sz="4" w:space="0"/>
              <w:left w:val="single" w:color="auto" w:sz="4" w:space="0"/>
              <w:bottom w:val="single" w:color="auto" w:sz="4" w:space="0"/>
              <w:right w:val="single" w:color="auto" w:sz="4" w:space="0"/>
            </w:tcBorders>
            <w:vAlign w:val="center"/>
          </w:tcPr>
          <w:p w14:paraId="7992E1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数据交换网关</w:t>
            </w:r>
          </w:p>
        </w:tc>
        <w:tc>
          <w:tcPr>
            <w:tcW w:w="2467" w:type="dxa"/>
            <w:tcBorders>
              <w:top w:val="single" w:color="auto" w:sz="4" w:space="0"/>
              <w:left w:val="single" w:color="auto" w:sz="4" w:space="0"/>
              <w:bottom w:val="single" w:color="auto" w:sz="4" w:space="0"/>
              <w:right w:val="single" w:color="auto" w:sz="4" w:space="0"/>
            </w:tcBorders>
            <w:vAlign w:val="center"/>
          </w:tcPr>
          <w:p w14:paraId="784341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明朝万达 WS-DTP-6000</w:t>
            </w:r>
          </w:p>
        </w:tc>
        <w:tc>
          <w:tcPr>
            <w:tcW w:w="1143" w:type="dxa"/>
            <w:tcBorders>
              <w:top w:val="single" w:color="auto" w:sz="4" w:space="0"/>
              <w:left w:val="single" w:color="auto" w:sz="4" w:space="0"/>
              <w:bottom w:val="single" w:color="auto" w:sz="4" w:space="0"/>
              <w:right w:val="single" w:color="auto" w:sz="4" w:space="0"/>
            </w:tcBorders>
            <w:vAlign w:val="center"/>
          </w:tcPr>
          <w:p w14:paraId="61574A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0FD01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74DC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28C76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w:t>
            </w:r>
          </w:p>
        </w:tc>
        <w:tc>
          <w:tcPr>
            <w:tcW w:w="3019" w:type="dxa"/>
            <w:tcBorders>
              <w:top w:val="single" w:color="auto" w:sz="4" w:space="0"/>
              <w:left w:val="single" w:color="auto" w:sz="4" w:space="0"/>
              <w:bottom w:val="single" w:color="auto" w:sz="4" w:space="0"/>
              <w:right w:val="single" w:color="auto" w:sz="4" w:space="0"/>
            </w:tcBorders>
            <w:vAlign w:val="center"/>
          </w:tcPr>
          <w:p w14:paraId="4EFA98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集中安全管控系统</w:t>
            </w:r>
          </w:p>
        </w:tc>
        <w:tc>
          <w:tcPr>
            <w:tcW w:w="2467" w:type="dxa"/>
            <w:tcBorders>
              <w:top w:val="single" w:color="auto" w:sz="4" w:space="0"/>
              <w:left w:val="single" w:color="auto" w:sz="4" w:space="0"/>
              <w:bottom w:val="single" w:color="auto" w:sz="4" w:space="0"/>
              <w:right w:val="single" w:color="auto" w:sz="4" w:space="0"/>
            </w:tcBorders>
            <w:vAlign w:val="center"/>
          </w:tcPr>
          <w:p w14:paraId="6CC158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明朝万达</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WS-STCA/V2.0</w:t>
            </w:r>
          </w:p>
        </w:tc>
        <w:tc>
          <w:tcPr>
            <w:tcW w:w="1143" w:type="dxa"/>
            <w:tcBorders>
              <w:top w:val="single" w:color="auto" w:sz="4" w:space="0"/>
              <w:left w:val="single" w:color="auto" w:sz="4" w:space="0"/>
              <w:bottom w:val="single" w:color="auto" w:sz="4" w:space="0"/>
              <w:right w:val="single" w:color="auto" w:sz="4" w:space="0"/>
            </w:tcBorders>
            <w:vAlign w:val="center"/>
          </w:tcPr>
          <w:p w14:paraId="4F45B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1156" w:type="dxa"/>
            <w:tcBorders>
              <w:top w:val="single" w:color="auto" w:sz="4" w:space="0"/>
              <w:left w:val="single" w:color="auto" w:sz="4" w:space="0"/>
              <w:bottom w:val="single" w:color="auto" w:sz="4" w:space="0"/>
              <w:right w:val="single" w:color="auto" w:sz="4" w:space="0"/>
            </w:tcBorders>
            <w:vAlign w:val="center"/>
          </w:tcPr>
          <w:p w14:paraId="33520A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57409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A3D9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3019" w:type="dxa"/>
            <w:tcBorders>
              <w:top w:val="single" w:color="auto" w:sz="4" w:space="0"/>
              <w:left w:val="single" w:color="auto" w:sz="4" w:space="0"/>
              <w:bottom w:val="single" w:color="auto" w:sz="4" w:space="0"/>
              <w:right w:val="single" w:color="auto" w:sz="4" w:space="0"/>
            </w:tcBorders>
            <w:vAlign w:val="center"/>
          </w:tcPr>
          <w:p w14:paraId="1A9A2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高性能云服务器</w:t>
            </w:r>
          </w:p>
        </w:tc>
        <w:tc>
          <w:tcPr>
            <w:tcW w:w="2467" w:type="dxa"/>
            <w:tcBorders>
              <w:top w:val="single" w:color="auto" w:sz="4" w:space="0"/>
              <w:left w:val="single" w:color="auto" w:sz="4" w:space="0"/>
              <w:bottom w:val="single" w:color="auto" w:sz="4" w:space="0"/>
              <w:right w:val="single" w:color="auto" w:sz="4" w:space="0"/>
            </w:tcBorders>
            <w:vAlign w:val="center"/>
          </w:tcPr>
          <w:p w14:paraId="618354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RH2288H V3</w:t>
            </w:r>
          </w:p>
        </w:tc>
        <w:tc>
          <w:tcPr>
            <w:tcW w:w="1143" w:type="dxa"/>
            <w:tcBorders>
              <w:top w:val="single" w:color="auto" w:sz="4" w:space="0"/>
              <w:left w:val="single" w:color="auto" w:sz="4" w:space="0"/>
              <w:bottom w:val="single" w:color="auto" w:sz="4" w:space="0"/>
              <w:right w:val="single" w:color="auto" w:sz="4" w:space="0"/>
            </w:tcBorders>
            <w:vAlign w:val="center"/>
          </w:tcPr>
          <w:p w14:paraId="6801D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339E5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r>
      <w:tr w14:paraId="058CD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B0685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c>
          <w:tcPr>
            <w:tcW w:w="3019" w:type="dxa"/>
            <w:tcBorders>
              <w:top w:val="single" w:color="auto" w:sz="4" w:space="0"/>
              <w:left w:val="single" w:color="auto" w:sz="4" w:space="0"/>
              <w:bottom w:val="single" w:color="auto" w:sz="4" w:space="0"/>
              <w:right w:val="single" w:color="auto" w:sz="4" w:space="0"/>
            </w:tcBorders>
            <w:vAlign w:val="center"/>
          </w:tcPr>
          <w:p w14:paraId="13FCEF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对象存储服务器</w:t>
            </w:r>
          </w:p>
        </w:tc>
        <w:tc>
          <w:tcPr>
            <w:tcW w:w="2467" w:type="dxa"/>
            <w:tcBorders>
              <w:top w:val="single" w:color="auto" w:sz="4" w:space="0"/>
              <w:left w:val="single" w:color="auto" w:sz="4" w:space="0"/>
              <w:bottom w:val="single" w:color="auto" w:sz="4" w:space="0"/>
              <w:right w:val="single" w:color="auto" w:sz="4" w:space="0"/>
            </w:tcBorders>
            <w:vAlign w:val="center"/>
          </w:tcPr>
          <w:p w14:paraId="34B0C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RH2288 V3</w:t>
            </w:r>
          </w:p>
        </w:tc>
        <w:tc>
          <w:tcPr>
            <w:tcW w:w="1143" w:type="dxa"/>
            <w:tcBorders>
              <w:top w:val="single" w:color="auto" w:sz="4" w:space="0"/>
              <w:left w:val="single" w:color="auto" w:sz="4" w:space="0"/>
              <w:bottom w:val="single" w:color="auto" w:sz="4" w:space="0"/>
              <w:right w:val="single" w:color="auto" w:sz="4" w:space="0"/>
            </w:tcBorders>
            <w:vAlign w:val="center"/>
          </w:tcPr>
          <w:p w14:paraId="4C6162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6E927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r>
      <w:tr w14:paraId="3FAB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C652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c>
          <w:tcPr>
            <w:tcW w:w="3019" w:type="dxa"/>
            <w:tcBorders>
              <w:top w:val="single" w:color="auto" w:sz="4" w:space="0"/>
              <w:left w:val="single" w:color="auto" w:sz="4" w:space="0"/>
              <w:bottom w:val="single" w:color="auto" w:sz="4" w:space="0"/>
              <w:right w:val="single" w:color="auto" w:sz="4" w:space="0"/>
            </w:tcBorders>
            <w:vAlign w:val="center"/>
          </w:tcPr>
          <w:p w14:paraId="48726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高性能标准服务器</w:t>
            </w:r>
          </w:p>
        </w:tc>
        <w:tc>
          <w:tcPr>
            <w:tcW w:w="2467" w:type="dxa"/>
            <w:tcBorders>
              <w:top w:val="single" w:color="auto" w:sz="4" w:space="0"/>
              <w:left w:val="single" w:color="auto" w:sz="4" w:space="0"/>
              <w:bottom w:val="single" w:color="auto" w:sz="4" w:space="0"/>
              <w:right w:val="single" w:color="auto" w:sz="4" w:space="0"/>
            </w:tcBorders>
            <w:vAlign w:val="center"/>
          </w:tcPr>
          <w:p w14:paraId="3EAF80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RH2288H V3</w:t>
            </w:r>
          </w:p>
        </w:tc>
        <w:tc>
          <w:tcPr>
            <w:tcW w:w="1143" w:type="dxa"/>
            <w:tcBorders>
              <w:top w:val="single" w:color="auto" w:sz="4" w:space="0"/>
              <w:left w:val="single" w:color="auto" w:sz="4" w:space="0"/>
              <w:bottom w:val="single" w:color="auto" w:sz="4" w:space="0"/>
              <w:right w:val="single" w:color="auto" w:sz="4" w:space="0"/>
            </w:tcBorders>
            <w:vAlign w:val="center"/>
          </w:tcPr>
          <w:p w14:paraId="1EDC10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2A8876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7C06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F8196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13</w:t>
            </w:r>
          </w:p>
        </w:tc>
        <w:tc>
          <w:tcPr>
            <w:tcW w:w="3019" w:type="dxa"/>
            <w:tcBorders>
              <w:top w:val="single" w:color="auto" w:sz="4" w:space="0"/>
              <w:left w:val="single" w:color="auto" w:sz="4" w:space="0"/>
              <w:bottom w:val="single" w:color="auto" w:sz="4" w:space="0"/>
              <w:right w:val="single" w:color="auto" w:sz="4" w:space="0"/>
            </w:tcBorders>
            <w:vAlign w:val="center"/>
          </w:tcPr>
          <w:p w14:paraId="00641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高性能PKI服务器</w:t>
            </w:r>
          </w:p>
        </w:tc>
        <w:tc>
          <w:tcPr>
            <w:tcW w:w="2467" w:type="dxa"/>
            <w:tcBorders>
              <w:top w:val="single" w:color="auto" w:sz="4" w:space="0"/>
              <w:left w:val="single" w:color="auto" w:sz="4" w:space="0"/>
              <w:bottom w:val="single" w:color="auto" w:sz="4" w:space="0"/>
              <w:right w:val="single" w:color="auto" w:sz="4" w:space="0"/>
            </w:tcBorders>
            <w:vAlign w:val="center"/>
          </w:tcPr>
          <w:p w14:paraId="5C9D45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RH2288H V3</w:t>
            </w:r>
          </w:p>
        </w:tc>
        <w:tc>
          <w:tcPr>
            <w:tcW w:w="1143" w:type="dxa"/>
            <w:tcBorders>
              <w:top w:val="single" w:color="auto" w:sz="4" w:space="0"/>
              <w:left w:val="single" w:color="auto" w:sz="4" w:space="0"/>
              <w:bottom w:val="single" w:color="auto" w:sz="4" w:space="0"/>
              <w:right w:val="single" w:color="auto" w:sz="4" w:space="0"/>
            </w:tcBorders>
            <w:vAlign w:val="center"/>
          </w:tcPr>
          <w:p w14:paraId="4369C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60947A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19B15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A82E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w:t>
            </w:r>
          </w:p>
        </w:tc>
        <w:tc>
          <w:tcPr>
            <w:tcW w:w="3019" w:type="dxa"/>
            <w:tcBorders>
              <w:top w:val="single" w:color="auto" w:sz="4" w:space="0"/>
              <w:left w:val="single" w:color="auto" w:sz="4" w:space="0"/>
              <w:bottom w:val="single" w:color="auto" w:sz="4" w:space="0"/>
              <w:right w:val="single" w:color="auto" w:sz="4" w:space="0"/>
            </w:tcBorders>
            <w:vAlign w:val="center"/>
          </w:tcPr>
          <w:p w14:paraId="15CAB6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数据交换网关</w:t>
            </w:r>
          </w:p>
        </w:tc>
        <w:tc>
          <w:tcPr>
            <w:tcW w:w="2467" w:type="dxa"/>
            <w:tcBorders>
              <w:top w:val="single" w:color="auto" w:sz="4" w:space="0"/>
              <w:left w:val="single" w:color="auto" w:sz="4" w:space="0"/>
              <w:bottom w:val="single" w:color="auto" w:sz="4" w:space="0"/>
              <w:right w:val="single" w:color="auto" w:sz="4" w:space="0"/>
            </w:tcBorders>
            <w:vAlign w:val="center"/>
          </w:tcPr>
          <w:p w14:paraId="3AD5FA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明朝万达</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WS-DTP-4000</w:t>
            </w:r>
          </w:p>
        </w:tc>
        <w:tc>
          <w:tcPr>
            <w:tcW w:w="1143" w:type="dxa"/>
            <w:tcBorders>
              <w:top w:val="single" w:color="auto" w:sz="4" w:space="0"/>
              <w:left w:val="single" w:color="auto" w:sz="4" w:space="0"/>
              <w:bottom w:val="single" w:color="auto" w:sz="4" w:space="0"/>
              <w:right w:val="single" w:color="auto" w:sz="4" w:space="0"/>
            </w:tcBorders>
            <w:vAlign w:val="center"/>
          </w:tcPr>
          <w:p w14:paraId="15DE9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56FC9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14:paraId="64ABB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DD63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p>
        </w:tc>
        <w:tc>
          <w:tcPr>
            <w:tcW w:w="3019" w:type="dxa"/>
            <w:tcBorders>
              <w:top w:val="single" w:color="auto" w:sz="4" w:space="0"/>
              <w:left w:val="single" w:color="auto" w:sz="4" w:space="0"/>
              <w:bottom w:val="single" w:color="auto" w:sz="4" w:space="0"/>
              <w:right w:val="single" w:color="auto" w:sz="4" w:space="0"/>
            </w:tcBorders>
            <w:vAlign w:val="center"/>
          </w:tcPr>
          <w:p w14:paraId="440CD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单向光闸</w:t>
            </w:r>
          </w:p>
        </w:tc>
        <w:tc>
          <w:tcPr>
            <w:tcW w:w="2467" w:type="dxa"/>
            <w:tcBorders>
              <w:top w:val="single" w:color="auto" w:sz="4" w:space="0"/>
              <w:left w:val="single" w:color="auto" w:sz="4" w:space="0"/>
              <w:bottom w:val="single" w:color="auto" w:sz="4" w:space="0"/>
              <w:right w:val="single" w:color="auto" w:sz="4" w:space="0"/>
            </w:tcBorders>
            <w:vAlign w:val="center"/>
          </w:tcPr>
          <w:p w14:paraId="13D604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安盟</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SU-FGAP3000-ZMD7</w:t>
            </w:r>
          </w:p>
        </w:tc>
        <w:tc>
          <w:tcPr>
            <w:tcW w:w="1143" w:type="dxa"/>
            <w:tcBorders>
              <w:top w:val="single" w:color="auto" w:sz="4" w:space="0"/>
              <w:left w:val="single" w:color="auto" w:sz="4" w:space="0"/>
              <w:bottom w:val="single" w:color="auto" w:sz="4" w:space="0"/>
              <w:right w:val="single" w:color="auto" w:sz="4" w:space="0"/>
            </w:tcBorders>
            <w:vAlign w:val="center"/>
          </w:tcPr>
          <w:p w14:paraId="0D7AA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05651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05FB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5A0E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w:t>
            </w:r>
          </w:p>
        </w:tc>
        <w:tc>
          <w:tcPr>
            <w:tcW w:w="3019" w:type="dxa"/>
            <w:tcBorders>
              <w:top w:val="single" w:color="auto" w:sz="4" w:space="0"/>
              <w:left w:val="single" w:color="auto" w:sz="4" w:space="0"/>
              <w:bottom w:val="single" w:color="auto" w:sz="4" w:space="0"/>
              <w:right w:val="single" w:color="auto" w:sz="4" w:space="0"/>
            </w:tcBorders>
            <w:vAlign w:val="center"/>
          </w:tcPr>
          <w:p w14:paraId="0B397C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区域核心三层交换机</w:t>
            </w:r>
          </w:p>
        </w:tc>
        <w:tc>
          <w:tcPr>
            <w:tcW w:w="2467" w:type="dxa"/>
            <w:tcBorders>
              <w:top w:val="single" w:color="auto" w:sz="4" w:space="0"/>
              <w:left w:val="single" w:color="auto" w:sz="4" w:space="0"/>
              <w:bottom w:val="single" w:color="auto" w:sz="4" w:space="0"/>
              <w:right w:val="single" w:color="auto" w:sz="4" w:space="0"/>
            </w:tcBorders>
            <w:vAlign w:val="center"/>
          </w:tcPr>
          <w:p w14:paraId="161BD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S5720-56C-EI</w:t>
            </w:r>
          </w:p>
        </w:tc>
        <w:tc>
          <w:tcPr>
            <w:tcW w:w="1143" w:type="dxa"/>
            <w:tcBorders>
              <w:top w:val="single" w:color="auto" w:sz="4" w:space="0"/>
              <w:left w:val="single" w:color="auto" w:sz="4" w:space="0"/>
              <w:bottom w:val="single" w:color="auto" w:sz="4" w:space="0"/>
              <w:right w:val="single" w:color="auto" w:sz="4" w:space="0"/>
            </w:tcBorders>
            <w:vAlign w:val="center"/>
          </w:tcPr>
          <w:p w14:paraId="53B34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457327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1D49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7219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17</w:t>
            </w:r>
          </w:p>
        </w:tc>
        <w:tc>
          <w:tcPr>
            <w:tcW w:w="3019" w:type="dxa"/>
            <w:tcBorders>
              <w:top w:val="single" w:color="auto" w:sz="4" w:space="0"/>
              <w:left w:val="single" w:color="auto" w:sz="4" w:space="0"/>
              <w:bottom w:val="single" w:color="auto" w:sz="4" w:space="0"/>
              <w:right w:val="single" w:color="auto" w:sz="4" w:space="0"/>
            </w:tcBorders>
            <w:vAlign w:val="center"/>
          </w:tcPr>
          <w:p w14:paraId="4AD235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数据交换集群负载</w:t>
            </w:r>
          </w:p>
        </w:tc>
        <w:tc>
          <w:tcPr>
            <w:tcW w:w="2467" w:type="dxa"/>
            <w:tcBorders>
              <w:top w:val="single" w:color="auto" w:sz="4" w:space="0"/>
              <w:left w:val="single" w:color="auto" w:sz="4" w:space="0"/>
              <w:bottom w:val="single" w:color="auto" w:sz="4" w:space="0"/>
              <w:right w:val="single" w:color="auto" w:sz="4" w:space="0"/>
            </w:tcBorders>
            <w:vAlign w:val="center"/>
          </w:tcPr>
          <w:p w14:paraId="0769B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明朝万达</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WS-DTP-3000-S</w:t>
            </w:r>
          </w:p>
        </w:tc>
        <w:tc>
          <w:tcPr>
            <w:tcW w:w="1143" w:type="dxa"/>
            <w:tcBorders>
              <w:top w:val="single" w:color="auto" w:sz="4" w:space="0"/>
              <w:left w:val="single" w:color="auto" w:sz="4" w:space="0"/>
              <w:bottom w:val="single" w:color="auto" w:sz="4" w:space="0"/>
              <w:right w:val="single" w:color="auto" w:sz="4" w:space="0"/>
            </w:tcBorders>
            <w:vAlign w:val="center"/>
          </w:tcPr>
          <w:p w14:paraId="7120F4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7D0F7E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5426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BF550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tc>
        <w:tc>
          <w:tcPr>
            <w:tcW w:w="3019" w:type="dxa"/>
            <w:tcBorders>
              <w:top w:val="single" w:color="auto" w:sz="4" w:space="0"/>
              <w:left w:val="single" w:color="auto" w:sz="4" w:space="0"/>
              <w:bottom w:val="single" w:color="auto" w:sz="4" w:space="0"/>
              <w:right w:val="single" w:color="auto" w:sz="4" w:space="0"/>
            </w:tcBorders>
            <w:vAlign w:val="center"/>
          </w:tcPr>
          <w:p w14:paraId="051CB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下一代防火墙</w:t>
            </w:r>
          </w:p>
        </w:tc>
        <w:tc>
          <w:tcPr>
            <w:tcW w:w="2467" w:type="dxa"/>
            <w:tcBorders>
              <w:top w:val="single" w:color="auto" w:sz="4" w:space="0"/>
              <w:left w:val="single" w:color="auto" w:sz="4" w:space="0"/>
              <w:bottom w:val="single" w:color="auto" w:sz="4" w:space="0"/>
              <w:right w:val="single" w:color="auto" w:sz="4" w:space="0"/>
            </w:tcBorders>
            <w:vAlign w:val="center"/>
          </w:tcPr>
          <w:p w14:paraId="4C0113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USG6630</w:t>
            </w:r>
          </w:p>
        </w:tc>
        <w:tc>
          <w:tcPr>
            <w:tcW w:w="1143" w:type="dxa"/>
            <w:tcBorders>
              <w:top w:val="single" w:color="auto" w:sz="4" w:space="0"/>
              <w:left w:val="single" w:color="auto" w:sz="4" w:space="0"/>
              <w:bottom w:val="single" w:color="auto" w:sz="4" w:space="0"/>
              <w:right w:val="single" w:color="auto" w:sz="4" w:space="0"/>
            </w:tcBorders>
            <w:vAlign w:val="center"/>
          </w:tcPr>
          <w:p w14:paraId="37E7A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7020B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537F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FC01A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19</w:t>
            </w:r>
          </w:p>
        </w:tc>
        <w:tc>
          <w:tcPr>
            <w:tcW w:w="3019" w:type="dxa"/>
            <w:tcBorders>
              <w:top w:val="single" w:color="auto" w:sz="4" w:space="0"/>
              <w:left w:val="single" w:color="auto" w:sz="4" w:space="0"/>
              <w:bottom w:val="single" w:color="auto" w:sz="4" w:space="0"/>
              <w:right w:val="single" w:color="auto" w:sz="4" w:space="0"/>
            </w:tcBorders>
            <w:vAlign w:val="center"/>
          </w:tcPr>
          <w:p w14:paraId="737E9D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区域核心三层交换机</w:t>
            </w:r>
          </w:p>
        </w:tc>
        <w:tc>
          <w:tcPr>
            <w:tcW w:w="2467" w:type="dxa"/>
            <w:tcBorders>
              <w:top w:val="single" w:color="auto" w:sz="4" w:space="0"/>
              <w:left w:val="single" w:color="auto" w:sz="4" w:space="0"/>
              <w:bottom w:val="single" w:color="auto" w:sz="4" w:space="0"/>
              <w:right w:val="single" w:color="auto" w:sz="4" w:space="0"/>
            </w:tcBorders>
            <w:vAlign w:val="center"/>
          </w:tcPr>
          <w:p w14:paraId="3D3E6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S5720-56C-EI</w:t>
            </w:r>
          </w:p>
        </w:tc>
        <w:tc>
          <w:tcPr>
            <w:tcW w:w="1143" w:type="dxa"/>
            <w:tcBorders>
              <w:top w:val="single" w:color="auto" w:sz="4" w:space="0"/>
              <w:left w:val="single" w:color="auto" w:sz="4" w:space="0"/>
              <w:bottom w:val="single" w:color="auto" w:sz="4" w:space="0"/>
              <w:right w:val="single" w:color="auto" w:sz="4" w:space="0"/>
            </w:tcBorders>
            <w:vAlign w:val="center"/>
          </w:tcPr>
          <w:p w14:paraId="6C3FC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7FC30F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1D647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73871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w:t>
            </w:r>
          </w:p>
        </w:tc>
        <w:tc>
          <w:tcPr>
            <w:tcW w:w="3019" w:type="dxa"/>
            <w:tcBorders>
              <w:top w:val="single" w:color="auto" w:sz="4" w:space="0"/>
              <w:left w:val="single" w:color="auto" w:sz="4" w:space="0"/>
              <w:bottom w:val="single" w:color="auto" w:sz="4" w:space="0"/>
              <w:right w:val="single" w:color="auto" w:sz="4" w:space="0"/>
            </w:tcBorders>
            <w:vAlign w:val="center"/>
          </w:tcPr>
          <w:p w14:paraId="6F1B7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安全准入系统</w:t>
            </w:r>
          </w:p>
        </w:tc>
        <w:tc>
          <w:tcPr>
            <w:tcW w:w="2467" w:type="dxa"/>
            <w:tcBorders>
              <w:top w:val="single" w:color="auto" w:sz="4" w:space="0"/>
              <w:left w:val="single" w:color="auto" w:sz="4" w:space="0"/>
              <w:bottom w:val="single" w:color="auto" w:sz="4" w:space="0"/>
              <w:right w:val="single" w:color="auto" w:sz="4" w:space="0"/>
            </w:tcBorders>
            <w:vAlign w:val="center"/>
          </w:tcPr>
          <w:p w14:paraId="4D3198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宁盾一体化身份与访问平台ND ACE2800</w:t>
            </w:r>
          </w:p>
        </w:tc>
        <w:tc>
          <w:tcPr>
            <w:tcW w:w="1143" w:type="dxa"/>
            <w:tcBorders>
              <w:top w:val="single" w:color="auto" w:sz="4" w:space="0"/>
              <w:left w:val="single" w:color="auto" w:sz="4" w:space="0"/>
              <w:bottom w:val="single" w:color="auto" w:sz="4" w:space="0"/>
              <w:right w:val="single" w:color="auto" w:sz="4" w:space="0"/>
            </w:tcBorders>
            <w:vAlign w:val="center"/>
          </w:tcPr>
          <w:p w14:paraId="0D3542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6B034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5D864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6F45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21</w:t>
            </w:r>
          </w:p>
        </w:tc>
        <w:tc>
          <w:tcPr>
            <w:tcW w:w="3019" w:type="dxa"/>
            <w:tcBorders>
              <w:top w:val="single" w:color="auto" w:sz="4" w:space="0"/>
              <w:left w:val="single" w:color="auto" w:sz="4" w:space="0"/>
              <w:bottom w:val="single" w:color="auto" w:sz="4" w:space="0"/>
              <w:right w:val="single" w:color="auto" w:sz="4" w:space="0"/>
            </w:tcBorders>
            <w:vAlign w:val="center"/>
          </w:tcPr>
          <w:p w14:paraId="565837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出口防火墙</w:t>
            </w:r>
          </w:p>
        </w:tc>
        <w:tc>
          <w:tcPr>
            <w:tcW w:w="2467" w:type="dxa"/>
            <w:tcBorders>
              <w:top w:val="single" w:color="auto" w:sz="4" w:space="0"/>
              <w:left w:val="single" w:color="auto" w:sz="4" w:space="0"/>
              <w:bottom w:val="single" w:color="auto" w:sz="4" w:space="0"/>
              <w:right w:val="single" w:color="auto" w:sz="4" w:space="0"/>
            </w:tcBorders>
            <w:vAlign w:val="center"/>
          </w:tcPr>
          <w:p w14:paraId="4B549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华为USG6625E</w:t>
            </w:r>
          </w:p>
        </w:tc>
        <w:tc>
          <w:tcPr>
            <w:tcW w:w="1143" w:type="dxa"/>
            <w:tcBorders>
              <w:top w:val="single" w:color="auto" w:sz="4" w:space="0"/>
              <w:left w:val="single" w:color="auto" w:sz="4" w:space="0"/>
              <w:bottom w:val="single" w:color="auto" w:sz="4" w:space="0"/>
              <w:right w:val="single" w:color="auto" w:sz="4" w:space="0"/>
            </w:tcBorders>
            <w:vAlign w:val="center"/>
          </w:tcPr>
          <w:p w14:paraId="6FCB7D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4554F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4BEB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D7DE3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22</w:t>
            </w:r>
          </w:p>
        </w:tc>
        <w:tc>
          <w:tcPr>
            <w:tcW w:w="3019" w:type="dxa"/>
            <w:tcBorders>
              <w:top w:val="single" w:color="auto" w:sz="4" w:space="0"/>
              <w:left w:val="single" w:color="auto" w:sz="4" w:space="0"/>
              <w:bottom w:val="single" w:color="auto" w:sz="4" w:space="0"/>
              <w:right w:val="single" w:color="auto" w:sz="4" w:space="0"/>
            </w:tcBorders>
            <w:vAlign w:val="center"/>
          </w:tcPr>
          <w:p w14:paraId="2DAF9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核心交换机</w:t>
            </w:r>
          </w:p>
        </w:tc>
        <w:tc>
          <w:tcPr>
            <w:tcW w:w="2467" w:type="dxa"/>
            <w:tcBorders>
              <w:top w:val="single" w:color="auto" w:sz="4" w:space="0"/>
              <w:left w:val="single" w:color="auto" w:sz="4" w:space="0"/>
              <w:bottom w:val="single" w:color="auto" w:sz="4" w:space="0"/>
              <w:right w:val="single" w:color="auto" w:sz="4" w:space="0"/>
            </w:tcBorders>
            <w:vAlign w:val="center"/>
          </w:tcPr>
          <w:p w14:paraId="78EDB8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华为S7706</w:t>
            </w:r>
          </w:p>
        </w:tc>
        <w:tc>
          <w:tcPr>
            <w:tcW w:w="1143" w:type="dxa"/>
            <w:tcBorders>
              <w:top w:val="single" w:color="auto" w:sz="4" w:space="0"/>
              <w:left w:val="single" w:color="auto" w:sz="4" w:space="0"/>
              <w:bottom w:val="single" w:color="auto" w:sz="4" w:space="0"/>
              <w:right w:val="single" w:color="auto" w:sz="4" w:space="0"/>
            </w:tcBorders>
            <w:vAlign w:val="center"/>
          </w:tcPr>
          <w:p w14:paraId="0FE33E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4489E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6B5B8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0CE82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23</w:t>
            </w:r>
          </w:p>
        </w:tc>
        <w:tc>
          <w:tcPr>
            <w:tcW w:w="3019" w:type="dxa"/>
            <w:tcBorders>
              <w:top w:val="single" w:color="auto" w:sz="4" w:space="0"/>
              <w:left w:val="single" w:color="auto" w:sz="4" w:space="0"/>
              <w:bottom w:val="single" w:color="auto" w:sz="4" w:space="0"/>
              <w:right w:val="single" w:color="auto" w:sz="4" w:space="0"/>
            </w:tcBorders>
            <w:vAlign w:val="center"/>
          </w:tcPr>
          <w:p w14:paraId="4CD858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区域核心三层交换机</w:t>
            </w:r>
          </w:p>
        </w:tc>
        <w:tc>
          <w:tcPr>
            <w:tcW w:w="2467" w:type="dxa"/>
            <w:tcBorders>
              <w:top w:val="single" w:color="auto" w:sz="4" w:space="0"/>
              <w:left w:val="single" w:color="auto" w:sz="4" w:space="0"/>
              <w:bottom w:val="single" w:color="auto" w:sz="4" w:space="0"/>
              <w:right w:val="single" w:color="auto" w:sz="4" w:space="0"/>
            </w:tcBorders>
            <w:vAlign w:val="center"/>
          </w:tcPr>
          <w:p w14:paraId="1AA96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华为S5720-56C-EI</w:t>
            </w:r>
          </w:p>
        </w:tc>
        <w:tc>
          <w:tcPr>
            <w:tcW w:w="1143" w:type="dxa"/>
            <w:tcBorders>
              <w:top w:val="single" w:color="auto" w:sz="4" w:space="0"/>
              <w:left w:val="single" w:color="auto" w:sz="4" w:space="0"/>
              <w:bottom w:val="single" w:color="auto" w:sz="4" w:space="0"/>
              <w:right w:val="single" w:color="auto" w:sz="4" w:space="0"/>
            </w:tcBorders>
            <w:vAlign w:val="center"/>
          </w:tcPr>
          <w:p w14:paraId="768D8B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4F0DB6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4610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4BC4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24</w:t>
            </w:r>
          </w:p>
        </w:tc>
        <w:tc>
          <w:tcPr>
            <w:tcW w:w="3019" w:type="dxa"/>
            <w:tcBorders>
              <w:top w:val="single" w:color="auto" w:sz="4" w:space="0"/>
              <w:left w:val="single" w:color="auto" w:sz="4" w:space="0"/>
              <w:bottom w:val="single" w:color="auto" w:sz="4" w:space="0"/>
              <w:right w:val="single" w:color="auto" w:sz="4" w:space="0"/>
            </w:tcBorders>
            <w:vAlign w:val="center"/>
          </w:tcPr>
          <w:p w14:paraId="15325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万兆交换机</w:t>
            </w:r>
          </w:p>
        </w:tc>
        <w:tc>
          <w:tcPr>
            <w:tcW w:w="2467" w:type="dxa"/>
            <w:tcBorders>
              <w:top w:val="single" w:color="auto" w:sz="4" w:space="0"/>
              <w:left w:val="single" w:color="auto" w:sz="4" w:space="0"/>
              <w:bottom w:val="single" w:color="auto" w:sz="4" w:space="0"/>
              <w:right w:val="single" w:color="auto" w:sz="4" w:space="0"/>
            </w:tcBorders>
            <w:vAlign w:val="center"/>
          </w:tcPr>
          <w:p w14:paraId="5139A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华为S6720-26Q-LI-24S-AC</w:t>
            </w:r>
          </w:p>
        </w:tc>
        <w:tc>
          <w:tcPr>
            <w:tcW w:w="1143" w:type="dxa"/>
            <w:tcBorders>
              <w:top w:val="single" w:color="auto" w:sz="4" w:space="0"/>
              <w:left w:val="single" w:color="auto" w:sz="4" w:space="0"/>
              <w:bottom w:val="single" w:color="auto" w:sz="4" w:space="0"/>
              <w:right w:val="single" w:color="auto" w:sz="4" w:space="0"/>
            </w:tcBorders>
            <w:vAlign w:val="center"/>
          </w:tcPr>
          <w:p w14:paraId="752900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14F7B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30735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FA38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w:t>
            </w:r>
          </w:p>
        </w:tc>
        <w:tc>
          <w:tcPr>
            <w:tcW w:w="3019" w:type="dxa"/>
            <w:tcBorders>
              <w:top w:val="single" w:color="auto" w:sz="4" w:space="0"/>
              <w:left w:val="single" w:color="auto" w:sz="4" w:space="0"/>
              <w:bottom w:val="single" w:color="auto" w:sz="4" w:space="0"/>
              <w:right w:val="single" w:color="auto" w:sz="4" w:space="0"/>
            </w:tcBorders>
            <w:vAlign w:val="center"/>
          </w:tcPr>
          <w:p w14:paraId="041C0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负载均衡</w:t>
            </w:r>
          </w:p>
        </w:tc>
        <w:tc>
          <w:tcPr>
            <w:tcW w:w="2467" w:type="dxa"/>
            <w:tcBorders>
              <w:top w:val="single" w:color="auto" w:sz="4" w:space="0"/>
              <w:left w:val="single" w:color="auto" w:sz="4" w:space="0"/>
              <w:bottom w:val="single" w:color="auto" w:sz="4" w:space="0"/>
              <w:right w:val="single" w:color="auto" w:sz="4" w:space="0"/>
            </w:tcBorders>
            <w:vAlign w:val="center"/>
          </w:tcPr>
          <w:p w14:paraId="419486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深信服AD-1000-F680-F4</w:t>
            </w:r>
          </w:p>
        </w:tc>
        <w:tc>
          <w:tcPr>
            <w:tcW w:w="1143" w:type="dxa"/>
            <w:tcBorders>
              <w:top w:val="single" w:color="auto" w:sz="4" w:space="0"/>
              <w:left w:val="single" w:color="auto" w:sz="4" w:space="0"/>
              <w:bottom w:val="single" w:color="auto" w:sz="4" w:space="0"/>
              <w:right w:val="single" w:color="auto" w:sz="4" w:space="0"/>
            </w:tcBorders>
            <w:vAlign w:val="center"/>
          </w:tcPr>
          <w:p w14:paraId="62EEF9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0AA78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26FE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D749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26</w:t>
            </w:r>
          </w:p>
        </w:tc>
        <w:tc>
          <w:tcPr>
            <w:tcW w:w="3019" w:type="dxa"/>
            <w:tcBorders>
              <w:top w:val="single" w:color="auto" w:sz="4" w:space="0"/>
              <w:left w:val="single" w:color="auto" w:sz="4" w:space="0"/>
              <w:bottom w:val="single" w:color="auto" w:sz="4" w:space="0"/>
              <w:right w:val="single" w:color="auto" w:sz="4" w:space="0"/>
            </w:tcBorders>
            <w:vAlign w:val="center"/>
          </w:tcPr>
          <w:p w14:paraId="73EEF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vpn</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网关</w:t>
            </w:r>
          </w:p>
        </w:tc>
        <w:tc>
          <w:tcPr>
            <w:tcW w:w="2467" w:type="dxa"/>
            <w:tcBorders>
              <w:top w:val="single" w:color="auto" w:sz="4" w:space="0"/>
              <w:left w:val="single" w:color="auto" w:sz="4" w:space="0"/>
              <w:bottom w:val="single" w:color="auto" w:sz="4" w:space="0"/>
              <w:right w:val="single" w:color="auto" w:sz="4" w:space="0"/>
            </w:tcBorders>
            <w:vAlign w:val="center"/>
          </w:tcPr>
          <w:p w14:paraId="32E27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上海辰锐MVSA-200</w:t>
            </w:r>
          </w:p>
        </w:tc>
        <w:tc>
          <w:tcPr>
            <w:tcW w:w="1143" w:type="dxa"/>
            <w:tcBorders>
              <w:top w:val="single" w:color="auto" w:sz="4" w:space="0"/>
              <w:left w:val="single" w:color="auto" w:sz="4" w:space="0"/>
              <w:bottom w:val="single" w:color="auto" w:sz="4" w:space="0"/>
              <w:right w:val="single" w:color="auto" w:sz="4" w:space="0"/>
            </w:tcBorders>
            <w:vAlign w:val="center"/>
          </w:tcPr>
          <w:p w14:paraId="5BF1D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57D52E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26BAC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0867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27</w:t>
            </w:r>
          </w:p>
        </w:tc>
        <w:tc>
          <w:tcPr>
            <w:tcW w:w="3019" w:type="dxa"/>
            <w:tcBorders>
              <w:top w:val="single" w:color="auto" w:sz="4" w:space="0"/>
              <w:left w:val="single" w:color="auto" w:sz="4" w:space="0"/>
              <w:bottom w:val="single" w:color="auto" w:sz="4" w:space="0"/>
              <w:right w:val="single" w:color="auto" w:sz="4" w:space="0"/>
            </w:tcBorders>
            <w:vAlign w:val="center"/>
          </w:tcPr>
          <w:p w14:paraId="6AD5F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网络接入控制网关</w:t>
            </w:r>
          </w:p>
        </w:tc>
        <w:tc>
          <w:tcPr>
            <w:tcW w:w="2467" w:type="dxa"/>
            <w:tcBorders>
              <w:top w:val="single" w:color="auto" w:sz="4" w:space="0"/>
              <w:left w:val="single" w:color="auto" w:sz="4" w:space="0"/>
              <w:bottom w:val="single" w:color="auto" w:sz="4" w:space="0"/>
              <w:right w:val="single" w:color="auto" w:sz="4" w:space="0"/>
            </w:tcBorders>
            <w:vAlign w:val="center"/>
          </w:tcPr>
          <w:p w14:paraId="732A79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信大捷安NACS-S-1000HA</w:t>
            </w:r>
          </w:p>
        </w:tc>
        <w:tc>
          <w:tcPr>
            <w:tcW w:w="1143" w:type="dxa"/>
            <w:tcBorders>
              <w:top w:val="single" w:color="auto" w:sz="4" w:space="0"/>
              <w:left w:val="single" w:color="auto" w:sz="4" w:space="0"/>
              <w:bottom w:val="single" w:color="auto" w:sz="4" w:space="0"/>
              <w:right w:val="single" w:color="auto" w:sz="4" w:space="0"/>
            </w:tcBorders>
            <w:vAlign w:val="center"/>
          </w:tcPr>
          <w:p w14:paraId="356CD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199F4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2CD5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F4A03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28</w:t>
            </w:r>
          </w:p>
        </w:tc>
        <w:tc>
          <w:tcPr>
            <w:tcW w:w="3019" w:type="dxa"/>
            <w:tcBorders>
              <w:top w:val="single" w:color="auto" w:sz="4" w:space="0"/>
              <w:left w:val="single" w:color="auto" w:sz="4" w:space="0"/>
              <w:bottom w:val="single" w:color="auto" w:sz="4" w:space="0"/>
              <w:right w:val="single" w:color="auto" w:sz="4" w:space="0"/>
            </w:tcBorders>
            <w:vAlign w:val="center"/>
          </w:tcPr>
          <w:p w14:paraId="18245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身份鉴别认证系统</w:t>
            </w:r>
          </w:p>
        </w:tc>
        <w:tc>
          <w:tcPr>
            <w:tcW w:w="2467" w:type="dxa"/>
            <w:tcBorders>
              <w:top w:val="single" w:color="auto" w:sz="4" w:space="0"/>
              <w:left w:val="single" w:color="auto" w:sz="4" w:space="0"/>
              <w:bottom w:val="single" w:color="auto" w:sz="4" w:space="0"/>
              <w:right w:val="single" w:color="auto" w:sz="4" w:space="0"/>
            </w:tcBorders>
            <w:vAlign w:val="center"/>
          </w:tcPr>
          <w:p w14:paraId="252803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信大捷安IAS-S-1000HA</w:t>
            </w:r>
          </w:p>
        </w:tc>
        <w:tc>
          <w:tcPr>
            <w:tcW w:w="1143" w:type="dxa"/>
            <w:tcBorders>
              <w:top w:val="single" w:color="auto" w:sz="4" w:space="0"/>
              <w:left w:val="single" w:color="auto" w:sz="4" w:space="0"/>
              <w:bottom w:val="single" w:color="auto" w:sz="4" w:space="0"/>
              <w:right w:val="single" w:color="auto" w:sz="4" w:space="0"/>
            </w:tcBorders>
            <w:vAlign w:val="center"/>
          </w:tcPr>
          <w:p w14:paraId="58ED65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7FCE4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293AA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F55E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29</w:t>
            </w:r>
          </w:p>
        </w:tc>
        <w:tc>
          <w:tcPr>
            <w:tcW w:w="3019" w:type="dxa"/>
            <w:tcBorders>
              <w:top w:val="single" w:color="auto" w:sz="4" w:space="0"/>
              <w:left w:val="single" w:color="auto" w:sz="4" w:space="0"/>
              <w:bottom w:val="single" w:color="auto" w:sz="4" w:space="0"/>
              <w:right w:val="single" w:color="auto" w:sz="4" w:space="0"/>
            </w:tcBorders>
            <w:vAlign w:val="center"/>
          </w:tcPr>
          <w:p w14:paraId="5DA658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签名服务器</w:t>
            </w:r>
          </w:p>
        </w:tc>
        <w:tc>
          <w:tcPr>
            <w:tcW w:w="2467" w:type="dxa"/>
            <w:tcBorders>
              <w:top w:val="single" w:color="auto" w:sz="4" w:space="0"/>
              <w:left w:val="single" w:color="auto" w:sz="4" w:space="0"/>
              <w:bottom w:val="single" w:color="auto" w:sz="4" w:space="0"/>
              <w:right w:val="single" w:color="auto" w:sz="4" w:space="0"/>
            </w:tcBorders>
            <w:vAlign w:val="center"/>
          </w:tcPr>
          <w:p w14:paraId="7B7A4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吉大正元V3000-S</w:t>
            </w:r>
          </w:p>
        </w:tc>
        <w:tc>
          <w:tcPr>
            <w:tcW w:w="1143" w:type="dxa"/>
            <w:tcBorders>
              <w:top w:val="single" w:color="auto" w:sz="4" w:space="0"/>
              <w:left w:val="single" w:color="auto" w:sz="4" w:space="0"/>
              <w:bottom w:val="single" w:color="auto" w:sz="4" w:space="0"/>
              <w:right w:val="single" w:color="auto" w:sz="4" w:space="0"/>
            </w:tcBorders>
            <w:vAlign w:val="center"/>
          </w:tcPr>
          <w:p w14:paraId="1789EF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08ED0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3D9A4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CF672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w:t>
            </w:r>
          </w:p>
        </w:tc>
        <w:tc>
          <w:tcPr>
            <w:tcW w:w="3019" w:type="dxa"/>
            <w:tcBorders>
              <w:top w:val="single" w:color="auto" w:sz="4" w:space="0"/>
              <w:left w:val="single" w:color="auto" w:sz="4" w:space="0"/>
              <w:bottom w:val="single" w:color="auto" w:sz="4" w:space="0"/>
              <w:right w:val="single" w:color="auto" w:sz="4" w:space="0"/>
            </w:tcBorders>
            <w:vAlign w:val="center"/>
          </w:tcPr>
          <w:p w14:paraId="210D0C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虚拟化基础计算服务器</w:t>
            </w:r>
          </w:p>
        </w:tc>
        <w:tc>
          <w:tcPr>
            <w:tcW w:w="2467" w:type="dxa"/>
            <w:tcBorders>
              <w:top w:val="single" w:color="auto" w:sz="4" w:space="0"/>
              <w:left w:val="single" w:color="auto" w:sz="4" w:space="0"/>
              <w:bottom w:val="single" w:color="auto" w:sz="4" w:space="0"/>
              <w:right w:val="single" w:color="auto" w:sz="4" w:space="0"/>
            </w:tcBorders>
            <w:vAlign w:val="center"/>
          </w:tcPr>
          <w:p w14:paraId="19309B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华为RH2288 V3</w:t>
            </w:r>
          </w:p>
        </w:tc>
        <w:tc>
          <w:tcPr>
            <w:tcW w:w="1143" w:type="dxa"/>
            <w:tcBorders>
              <w:top w:val="single" w:color="auto" w:sz="4" w:space="0"/>
              <w:left w:val="single" w:color="auto" w:sz="4" w:space="0"/>
              <w:bottom w:val="single" w:color="auto" w:sz="4" w:space="0"/>
              <w:right w:val="single" w:color="auto" w:sz="4" w:space="0"/>
            </w:tcBorders>
            <w:vAlign w:val="center"/>
          </w:tcPr>
          <w:p w14:paraId="75BBE8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6E870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r>
      <w:tr w14:paraId="17B78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BD495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31</w:t>
            </w:r>
          </w:p>
        </w:tc>
        <w:tc>
          <w:tcPr>
            <w:tcW w:w="3019" w:type="dxa"/>
            <w:tcBorders>
              <w:top w:val="single" w:color="auto" w:sz="4" w:space="0"/>
              <w:left w:val="single" w:color="auto" w:sz="4" w:space="0"/>
              <w:bottom w:val="single" w:color="auto" w:sz="4" w:space="0"/>
              <w:right w:val="single" w:color="auto" w:sz="4" w:space="0"/>
            </w:tcBorders>
            <w:vAlign w:val="center"/>
          </w:tcPr>
          <w:p w14:paraId="78F4A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内存条</w:t>
            </w:r>
          </w:p>
        </w:tc>
        <w:tc>
          <w:tcPr>
            <w:tcW w:w="2467" w:type="dxa"/>
            <w:tcBorders>
              <w:top w:val="single" w:color="auto" w:sz="4" w:space="0"/>
              <w:left w:val="single" w:color="auto" w:sz="4" w:space="0"/>
              <w:bottom w:val="single" w:color="auto" w:sz="4" w:space="0"/>
              <w:right w:val="single" w:color="auto" w:sz="4" w:space="0"/>
            </w:tcBorders>
            <w:vAlign w:val="center"/>
          </w:tcPr>
          <w:p w14:paraId="50F480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p>
        </w:tc>
        <w:tc>
          <w:tcPr>
            <w:tcW w:w="1143" w:type="dxa"/>
            <w:tcBorders>
              <w:top w:val="single" w:color="auto" w:sz="4" w:space="0"/>
              <w:left w:val="single" w:color="auto" w:sz="4" w:space="0"/>
              <w:bottom w:val="single" w:color="auto" w:sz="4" w:space="0"/>
              <w:right w:val="single" w:color="auto" w:sz="4" w:space="0"/>
            </w:tcBorders>
            <w:vAlign w:val="center"/>
          </w:tcPr>
          <w:p w14:paraId="63CCA2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条</w:t>
            </w:r>
          </w:p>
        </w:tc>
        <w:tc>
          <w:tcPr>
            <w:tcW w:w="1156" w:type="dxa"/>
            <w:tcBorders>
              <w:top w:val="single" w:color="auto" w:sz="4" w:space="0"/>
              <w:left w:val="single" w:color="auto" w:sz="4" w:space="0"/>
              <w:bottom w:val="single" w:color="auto" w:sz="4" w:space="0"/>
              <w:right w:val="single" w:color="auto" w:sz="4" w:space="0"/>
            </w:tcBorders>
            <w:vAlign w:val="center"/>
          </w:tcPr>
          <w:p w14:paraId="32C071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r>
      <w:tr w14:paraId="58016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189A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32</w:t>
            </w:r>
          </w:p>
        </w:tc>
        <w:tc>
          <w:tcPr>
            <w:tcW w:w="3019" w:type="dxa"/>
            <w:tcBorders>
              <w:top w:val="single" w:color="auto" w:sz="4" w:space="0"/>
              <w:left w:val="single" w:color="auto" w:sz="4" w:space="0"/>
              <w:bottom w:val="single" w:color="auto" w:sz="4" w:space="0"/>
              <w:right w:val="single" w:color="auto" w:sz="4" w:space="0"/>
            </w:tcBorders>
            <w:vAlign w:val="center"/>
          </w:tcPr>
          <w:p w14:paraId="2C0F2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SAS</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硬盘</w:t>
            </w:r>
          </w:p>
        </w:tc>
        <w:tc>
          <w:tcPr>
            <w:tcW w:w="2467" w:type="dxa"/>
            <w:tcBorders>
              <w:top w:val="single" w:color="auto" w:sz="4" w:space="0"/>
              <w:left w:val="single" w:color="auto" w:sz="4" w:space="0"/>
              <w:bottom w:val="single" w:color="auto" w:sz="4" w:space="0"/>
              <w:right w:val="single" w:color="auto" w:sz="4" w:space="0"/>
            </w:tcBorders>
            <w:vAlign w:val="center"/>
          </w:tcPr>
          <w:p w14:paraId="4ACA08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p>
        </w:tc>
        <w:tc>
          <w:tcPr>
            <w:tcW w:w="1143" w:type="dxa"/>
            <w:tcBorders>
              <w:top w:val="single" w:color="auto" w:sz="4" w:space="0"/>
              <w:left w:val="single" w:color="auto" w:sz="4" w:space="0"/>
              <w:bottom w:val="single" w:color="auto" w:sz="4" w:space="0"/>
              <w:right w:val="single" w:color="auto" w:sz="4" w:space="0"/>
            </w:tcBorders>
            <w:vAlign w:val="center"/>
          </w:tcPr>
          <w:p w14:paraId="6A6F97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块</w:t>
            </w:r>
          </w:p>
        </w:tc>
        <w:tc>
          <w:tcPr>
            <w:tcW w:w="1156" w:type="dxa"/>
            <w:tcBorders>
              <w:top w:val="single" w:color="auto" w:sz="4" w:space="0"/>
              <w:left w:val="single" w:color="auto" w:sz="4" w:space="0"/>
              <w:bottom w:val="single" w:color="auto" w:sz="4" w:space="0"/>
              <w:right w:val="single" w:color="auto" w:sz="4" w:space="0"/>
            </w:tcBorders>
            <w:vAlign w:val="center"/>
          </w:tcPr>
          <w:p w14:paraId="6BFC0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tc>
      </w:tr>
      <w:tr w14:paraId="2D74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4703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33</w:t>
            </w:r>
          </w:p>
        </w:tc>
        <w:tc>
          <w:tcPr>
            <w:tcW w:w="3019" w:type="dxa"/>
            <w:tcBorders>
              <w:top w:val="single" w:color="auto" w:sz="4" w:space="0"/>
              <w:left w:val="single" w:color="auto" w:sz="4" w:space="0"/>
              <w:bottom w:val="single" w:color="auto" w:sz="4" w:space="0"/>
              <w:right w:val="single" w:color="auto" w:sz="4" w:space="0"/>
            </w:tcBorders>
            <w:vAlign w:val="center"/>
          </w:tcPr>
          <w:p w14:paraId="31CFDD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千兆交换机</w:t>
            </w:r>
          </w:p>
        </w:tc>
        <w:tc>
          <w:tcPr>
            <w:tcW w:w="2467" w:type="dxa"/>
            <w:tcBorders>
              <w:top w:val="single" w:color="auto" w:sz="4" w:space="0"/>
              <w:left w:val="single" w:color="auto" w:sz="4" w:space="0"/>
              <w:bottom w:val="single" w:color="auto" w:sz="4" w:space="0"/>
              <w:right w:val="single" w:color="auto" w:sz="4" w:space="0"/>
            </w:tcBorders>
            <w:vAlign w:val="center"/>
          </w:tcPr>
          <w:p w14:paraId="37251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华为S5720-52P-LI-AC</w:t>
            </w:r>
          </w:p>
        </w:tc>
        <w:tc>
          <w:tcPr>
            <w:tcW w:w="1143" w:type="dxa"/>
            <w:tcBorders>
              <w:top w:val="single" w:color="auto" w:sz="4" w:space="0"/>
              <w:left w:val="single" w:color="auto" w:sz="4" w:space="0"/>
              <w:bottom w:val="single" w:color="auto" w:sz="4" w:space="0"/>
              <w:right w:val="single" w:color="auto" w:sz="4" w:space="0"/>
            </w:tcBorders>
            <w:vAlign w:val="center"/>
          </w:tcPr>
          <w:p w14:paraId="110467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7069D0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2244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D0839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34</w:t>
            </w:r>
          </w:p>
        </w:tc>
        <w:tc>
          <w:tcPr>
            <w:tcW w:w="3019" w:type="dxa"/>
            <w:tcBorders>
              <w:top w:val="single" w:color="auto" w:sz="4" w:space="0"/>
              <w:left w:val="single" w:color="auto" w:sz="4" w:space="0"/>
              <w:bottom w:val="single" w:color="auto" w:sz="4" w:space="0"/>
              <w:right w:val="single" w:color="auto" w:sz="4" w:space="0"/>
            </w:tcBorders>
            <w:vAlign w:val="center"/>
          </w:tcPr>
          <w:p w14:paraId="6ED23C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虚拟化共享基础存储</w:t>
            </w:r>
          </w:p>
        </w:tc>
        <w:tc>
          <w:tcPr>
            <w:tcW w:w="2467" w:type="dxa"/>
            <w:tcBorders>
              <w:top w:val="single" w:color="auto" w:sz="4" w:space="0"/>
              <w:left w:val="single" w:color="auto" w:sz="4" w:space="0"/>
              <w:bottom w:val="single" w:color="auto" w:sz="4" w:space="0"/>
              <w:right w:val="single" w:color="auto" w:sz="4" w:space="0"/>
            </w:tcBorders>
            <w:vAlign w:val="center"/>
          </w:tcPr>
          <w:p w14:paraId="4BE7B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华为5300 V5</w:t>
            </w:r>
          </w:p>
        </w:tc>
        <w:tc>
          <w:tcPr>
            <w:tcW w:w="1143" w:type="dxa"/>
            <w:tcBorders>
              <w:top w:val="single" w:color="auto" w:sz="4" w:space="0"/>
              <w:left w:val="single" w:color="auto" w:sz="4" w:space="0"/>
              <w:bottom w:val="single" w:color="auto" w:sz="4" w:space="0"/>
              <w:right w:val="single" w:color="auto" w:sz="4" w:space="0"/>
            </w:tcBorders>
            <w:vAlign w:val="center"/>
          </w:tcPr>
          <w:p w14:paraId="491BA0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1156" w:type="dxa"/>
            <w:tcBorders>
              <w:top w:val="single" w:color="auto" w:sz="4" w:space="0"/>
              <w:left w:val="single" w:color="auto" w:sz="4" w:space="0"/>
              <w:bottom w:val="single" w:color="auto" w:sz="4" w:space="0"/>
              <w:right w:val="single" w:color="auto" w:sz="4" w:space="0"/>
            </w:tcBorders>
            <w:vAlign w:val="center"/>
          </w:tcPr>
          <w:p w14:paraId="7D886C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1912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FCDD8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35</w:t>
            </w:r>
          </w:p>
        </w:tc>
        <w:tc>
          <w:tcPr>
            <w:tcW w:w="3019" w:type="dxa"/>
            <w:tcBorders>
              <w:top w:val="single" w:color="auto" w:sz="4" w:space="0"/>
              <w:left w:val="single" w:color="auto" w:sz="4" w:space="0"/>
              <w:bottom w:val="single" w:color="auto" w:sz="4" w:space="0"/>
              <w:right w:val="single" w:color="auto" w:sz="4" w:space="0"/>
            </w:tcBorders>
            <w:vAlign w:val="center"/>
          </w:tcPr>
          <w:p w14:paraId="05FA8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虚拟共享存储万兆交换机</w:t>
            </w:r>
          </w:p>
        </w:tc>
        <w:tc>
          <w:tcPr>
            <w:tcW w:w="2467" w:type="dxa"/>
            <w:tcBorders>
              <w:top w:val="single" w:color="auto" w:sz="4" w:space="0"/>
              <w:left w:val="single" w:color="auto" w:sz="4" w:space="0"/>
              <w:bottom w:val="single" w:color="auto" w:sz="4" w:space="0"/>
              <w:right w:val="single" w:color="auto" w:sz="4" w:space="0"/>
            </w:tcBorders>
            <w:vAlign w:val="center"/>
          </w:tcPr>
          <w:p w14:paraId="4BC214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华为CE6880-24S4Q2CQ-EI</w:t>
            </w:r>
          </w:p>
        </w:tc>
        <w:tc>
          <w:tcPr>
            <w:tcW w:w="1143" w:type="dxa"/>
            <w:tcBorders>
              <w:top w:val="single" w:color="auto" w:sz="4" w:space="0"/>
              <w:left w:val="single" w:color="auto" w:sz="4" w:space="0"/>
              <w:bottom w:val="single" w:color="auto" w:sz="4" w:space="0"/>
              <w:right w:val="single" w:color="auto" w:sz="4" w:space="0"/>
            </w:tcBorders>
            <w:vAlign w:val="center"/>
          </w:tcPr>
          <w:p w14:paraId="6EF50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18F569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3E4D4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0C12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36</w:t>
            </w:r>
          </w:p>
        </w:tc>
        <w:tc>
          <w:tcPr>
            <w:tcW w:w="3019" w:type="dxa"/>
            <w:tcBorders>
              <w:top w:val="single" w:color="auto" w:sz="4" w:space="0"/>
              <w:left w:val="single" w:color="auto" w:sz="4" w:space="0"/>
              <w:bottom w:val="single" w:color="auto" w:sz="4" w:space="0"/>
              <w:right w:val="single" w:color="auto" w:sz="4" w:space="0"/>
            </w:tcBorders>
            <w:vAlign w:val="center"/>
          </w:tcPr>
          <w:p w14:paraId="2DED9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核心交换机（万兆交换机）</w:t>
            </w:r>
          </w:p>
        </w:tc>
        <w:tc>
          <w:tcPr>
            <w:tcW w:w="2467" w:type="dxa"/>
            <w:tcBorders>
              <w:top w:val="single" w:color="auto" w:sz="4" w:space="0"/>
              <w:left w:val="single" w:color="auto" w:sz="4" w:space="0"/>
              <w:bottom w:val="single" w:color="auto" w:sz="4" w:space="0"/>
              <w:right w:val="single" w:color="auto" w:sz="4" w:space="0"/>
            </w:tcBorders>
            <w:vAlign w:val="center"/>
          </w:tcPr>
          <w:p w14:paraId="7FF86C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华为S5720-36C-EI-AC</w:t>
            </w:r>
          </w:p>
        </w:tc>
        <w:tc>
          <w:tcPr>
            <w:tcW w:w="1143" w:type="dxa"/>
            <w:tcBorders>
              <w:top w:val="single" w:color="auto" w:sz="4" w:space="0"/>
              <w:left w:val="single" w:color="auto" w:sz="4" w:space="0"/>
              <w:bottom w:val="single" w:color="auto" w:sz="4" w:space="0"/>
              <w:right w:val="single" w:color="auto" w:sz="4" w:space="0"/>
            </w:tcBorders>
            <w:vAlign w:val="center"/>
          </w:tcPr>
          <w:p w14:paraId="79203D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192B18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7F55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CC86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37</w:t>
            </w:r>
          </w:p>
        </w:tc>
        <w:tc>
          <w:tcPr>
            <w:tcW w:w="3019" w:type="dxa"/>
            <w:tcBorders>
              <w:top w:val="single" w:color="auto" w:sz="4" w:space="0"/>
              <w:left w:val="single" w:color="auto" w:sz="4" w:space="0"/>
              <w:bottom w:val="single" w:color="auto" w:sz="4" w:space="0"/>
              <w:right w:val="single" w:color="auto" w:sz="4" w:space="0"/>
            </w:tcBorders>
            <w:vAlign w:val="center"/>
          </w:tcPr>
          <w:p w14:paraId="746685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汇聚和业务交换机（万兆交换机）</w:t>
            </w:r>
          </w:p>
        </w:tc>
        <w:tc>
          <w:tcPr>
            <w:tcW w:w="2467" w:type="dxa"/>
            <w:tcBorders>
              <w:top w:val="single" w:color="auto" w:sz="4" w:space="0"/>
              <w:left w:val="single" w:color="auto" w:sz="4" w:space="0"/>
              <w:bottom w:val="single" w:color="auto" w:sz="4" w:space="0"/>
              <w:right w:val="single" w:color="auto" w:sz="4" w:space="0"/>
            </w:tcBorders>
            <w:vAlign w:val="center"/>
          </w:tcPr>
          <w:p w14:paraId="55C3C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华为CE6855</w:t>
            </w:r>
          </w:p>
        </w:tc>
        <w:tc>
          <w:tcPr>
            <w:tcW w:w="1143" w:type="dxa"/>
            <w:tcBorders>
              <w:top w:val="single" w:color="auto" w:sz="4" w:space="0"/>
              <w:left w:val="single" w:color="auto" w:sz="4" w:space="0"/>
              <w:bottom w:val="single" w:color="auto" w:sz="4" w:space="0"/>
              <w:right w:val="single" w:color="auto" w:sz="4" w:space="0"/>
            </w:tcBorders>
            <w:vAlign w:val="center"/>
          </w:tcPr>
          <w:p w14:paraId="2464FB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4757F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14:paraId="0990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006BD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38</w:t>
            </w:r>
          </w:p>
        </w:tc>
        <w:tc>
          <w:tcPr>
            <w:tcW w:w="3019" w:type="dxa"/>
            <w:tcBorders>
              <w:top w:val="single" w:color="auto" w:sz="4" w:space="0"/>
              <w:left w:val="single" w:color="auto" w:sz="4" w:space="0"/>
              <w:bottom w:val="single" w:color="auto" w:sz="4" w:space="0"/>
              <w:right w:val="single" w:color="auto" w:sz="4" w:space="0"/>
            </w:tcBorders>
            <w:vAlign w:val="center"/>
          </w:tcPr>
          <w:p w14:paraId="1868E7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管理交换机(千兆交换机)</w:t>
            </w:r>
          </w:p>
        </w:tc>
        <w:tc>
          <w:tcPr>
            <w:tcW w:w="2467" w:type="dxa"/>
            <w:tcBorders>
              <w:top w:val="single" w:color="auto" w:sz="4" w:space="0"/>
              <w:left w:val="single" w:color="auto" w:sz="4" w:space="0"/>
              <w:bottom w:val="single" w:color="auto" w:sz="4" w:space="0"/>
              <w:right w:val="single" w:color="auto" w:sz="4" w:space="0"/>
            </w:tcBorders>
            <w:vAlign w:val="center"/>
          </w:tcPr>
          <w:p w14:paraId="513995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华为S5720-36PC-EI-AC</w:t>
            </w:r>
          </w:p>
        </w:tc>
        <w:tc>
          <w:tcPr>
            <w:tcW w:w="1143" w:type="dxa"/>
            <w:tcBorders>
              <w:top w:val="single" w:color="auto" w:sz="4" w:space="0"/>
              <w:left w:val="single" w:color="auto" w:sz="4" w:space="0"/>
              <w:bottom w:val="single" w:color="auto" w:sz="4" w:space="0"/>
              <w:right w:val="single" w:color="auto" w:sz="4" w:space="0"/>
            </w:tcBorders>
            <w:vAlign w:val="center"/>
          </w:tcPr>
          <w:p w14:paraId="4730A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39C4B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r>
      <w:tr w14:paraId="33A3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72D32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39</w:t>
            </w:r>
          </w:p>
        </w:tc>
        <w:tc>
          <w:tcPr>
            <w:tcW w:w="3019" w:type="dxa"/>
            <w:tcBorders>
              <w:top w:val="single" w:color="auto" w:sz="4" w:space="0"/>
              <w:left w:val="single" w:color="auto" w:sz="4" w:space="0"/>
              <w:bottom w:val="single" w:color="auto" w:sz="4" w:space="0"/>
              <w:right w:val="single" w:color="auto" w:sz="4" w:space="0"/>
            </w:tcBorders>
            <w:vAlign w:val="center"/>
          </w:tcPr>
          <w:p w14:paraId="4F106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虚拟化服务的以太网卡（10Gb光口）</w:t>
            </w:r>
          </w:p>
        </w:tc>
        <w:tc>
          <w:tcPr>
            <w:tcW w:w="2467" w:type="dxa"/>
            <w:tcBorders>
              <w:top w:val="single" w:color="auto" w:sz="4" w:space="0"/>
              <w:left w:val="single" w:color="auto" w:sz="4" w:space="0"/>
              <w:bottom w:val="single" w:color="auto" w:sz="4" w:space="0"/>
              <w:right w:val="single" w:color="auto" w:sz="4" w:space="0"/>
            </w:tcBorders>
            <w:vAlign w:val="center"/>
          </w:tcPr>
          <w:p w14:paraId="7E201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p>
        </w:tc>
        <w:tc>
          <w:tcPr>
            <w:tcW w:w="1143" w:type="dxa"/>
            <w:tcBorders>
              <w:top w:val="single" w:color="auto" w:sz="4" w:space="0"/>
              <w:left w:val="single" w:color="auto" w:sz="4" w:space="0"/>
              <w:bottom w:val="single" w:color="auto" w:sz="4" w:space="0"/>
              <w:right w:val="single" w:color="auto" w:sz="4" w:space="0"/>
            </w:tcBorders>
            <w:vAlign w:val="center"/>
          </w:tcPr>
          <w:p w14:paraId="65895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1156" w:type="dxa"/>
            <w:tcBorders>
              <w:top w:val="single" w:color="auto" w:sz="4" w:space="0"/>
              <w:left w:val="single" w:color="auto" w:sz="4" w:space="0"/>
              <w:bottom w:val="single" w:color="auto" w:sz="4" w:space="0"/>
              <w:right w:val="single" w:color="auto" w:sz="4" w:space="0"/>
            </w:tcBorders>
            <w:vAlign w:val="center"/>
          </w:tcPr>
          <w:p w14:paraId="1D64AA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r>
      <w:tr w14:paraId="73C85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AFB2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40</w:t>
            </w:r>
          </w:p>
        </w:tc>
        <w:tc>
          <w:tcPr>
            <w:tcW w:w="3019" w:type="dxa"/>
            <w:tcBorders>
              <w:top w:val="single" w:color="auto" w:sz="4" w:space="0"/>
              <w:left w:val="single" w:color="auto" w:sz="4" w:space="0"/>
              <w:bottom w:val="single" w:color="auto" w:sz="4" w:space="0"/>
              <w:right w:val="single" w:color="auto" w:sz="4" w:space="0"/>
            </w:tcBorders>
            <w:vAlign w:val="center"/>
          </w:tcPr>
          <w:p w14:paraId="7D10E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万兆多模光模块</w:t>
            </w:r>
          </w:p>
        </w:tc>
        <w:tc>
          <w:tcPr>
            <w:tcW w:w="2467" w:type="dxa"/>
            <w:tcBorders>
              <w:top w:val="single" w:color="auto" w:sz="4" w:space="0"/>
              <w:left w:val="single" w:color="auto" w:sz="4" w:space="0"/>
              <w:bottom w:val="single" w:color="auto" w:sz="4" w:space="0"/>
              <w:right w:val="single" w:color="auto" w:sz="4" w:space="0"/>
            </w:tcBorders>
            <w:vAlign w:val="center"/>
          </w:tcPr>
          <w:p w14:paraId="601D2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p>
        </w:tc>
        <w:tc>
          <w:tcPr>
            <w:tcW w:w="1143" w:type="dxa"/>
            <w:tcBorders>
              <w:top w:val="single" w:color="auto" w:sz="4" w:space="0"/>
              <w:left w:val="single" w:color="auto" w:sz="4" w:space="0"/>
              <w:bottom w:val="single" w:color="auto" w:sz="4" w:space="0"/>
              <w:right w:val="single" w:color="auto" w:sz="4" w:space="0"/>
            </w:tcBorders>
            <w:vAlign w:val="center"/>
          </w:tcPr>
          <w:p w14:paraId="42EDAF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1156" w:type="dxa"/>
            <w:tcBorders>
              <w:top w:val="single" w:color="auto" w:sz="4" w:space="0"/>
              <w:left w:val="single" w:color="auto" w:sz="4" w:space="0"/>
              <w:bottom w:val="single" w:color="auto" w:sz="4" w:space="0"/>
              <w:right w:val="single" w:color="auto" w:sz="4" w:space="0"/>
            </w:tcBorders>
            <w:vAlign w:val="center"/>
          </w:tcPr>
          <w:p w14:paraId="410D35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24</w:t>
            </w:r>
          </w:p>
        </w:tc>
      </w:tr>
      <w:tr w14:paraId="781B6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9262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41</w:t>
            </w:r>
          </w:p>
        </w:tc>
        <w:tc>
          <w:tcPr>
            <w:tcW w:w="3019" w:type="dxa"/>
            <w:tcBorders>
              <w:top w:val="single" w:color="auto" w:sz="4" w:space="0"/>
              <w:left w:val="single" w:color="auto" w:sz="4" w:space="0"/>
              <w:bottom w:val="single" w:color="auto" w:sz="4" w:space="0"/>
              <w:right w:val="single" w:color="auto" w:sz="4" w:space="0"/>
            </w:tcBorders>
            <w:vAlign w:val="center"/>
          </w:tcPr>
          <w:p w14:paraId="7AB76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千兆多模光模块</w:t>
            </w:r>
          </w:p>
        </w:tc>
        <w:tc>
          <w:tcPr>
            <w:tcW w:w="2467" w:type="dxa"/>
            <w:tcBorders>
              <w:top w:val="single" w:color="auto" w:sz="4" w:space="0"/>
              <w:left w:val="single" w:color="auto" w:sz="4" w:space="0"/>
              <w:bottom w:val="single" w:color="auto" w:sz="4" w:space="0"/>
              <w:right w:val="single" w:color="auto" w:sz="4" w:space="0"/>
            </w:tcBorders>
            <w:vAlign w:val="center"/>
          </w:tcPr>
          <w:p w14:paraId="75AAEA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p>
        </w:tc>
        <w:tc>
          <w:tcPr>
            <w:tcW w:w="1143" w:type="dxa"/>
            <w:tcBorders>
              <w:top w:val="single" w:color="auto" w:sz="4" w:space="0"/>
              <w:left w:val="single" w:color="auto" w:sz="4" w:space="0"/>
              <w:bottom w:val="single" w:color="auto" w:sz="4" w:space="0"/>
              <w:right w:val="single" w:color="auto" w:sz="4" w:space="0"/>
            </w:tcBorders>
            <w:vAlign w:val="center"/>
          </w:tcPr>
          <w:p w14:paraId="74E11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1156" w:type="dxa"/>
            <w:tcBorders>
              <w:top w:val="single" w:color="auto" w:sz="4" w:space="0"/>
              <w:left w:val="single" w:color="auto" w:sz="4" w:space="0"/>
              <w:bottom w:val="single" w:color="auto" w:sz="4" w:space="0"/>
              <w:right w:val="single" w:color="auto" w:sz="4" w:space="0"/>
            </w:tcBorders>
            <w:vAlign w:val="center"/>
          </w:tcPr>
          <w:p w14:paraId="49B4C0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101F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6ED7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42</w:t>
            </w:r>
          </w:p>
        </w:tc>
        <w:tc>
          <w:tcPr>
            <w:tcW w:w="3019" w:type="dxa"/>
            <w:tcBorders>
              <w:top w:val="single" w:color="auto" w:sz="4" w:space="0"/>
              <w:left w:val="single" w:color="auto" w:sz="4" w:space="0"/>
              <w:bottom w:val="single" w:color="auto" w:sz="4" w:space="0"/>
              <w:right w:val="single" w:color="auto" w:sz="4" w:space="0"/>
            </w:tcBorders>
            <w:vAlign w:val="center"/>
          </w:tcPr>
          <w:p w14:paraId="61A13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APT</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防御系统</w:t>
            </w:r>
          </w:p>
        </w:tc>
        <w:tc>
          <w:tcPr>
            <w:tcW w:w="2467" w:type="dxa"/>
            <w:tcBorders>
              <w:top w:val="single" w:color="auto" w:sz="4" w:space="0"/>
              <w:left w:val="single" w:color="auto" w:sz="4" w:space="0"/>
              <w:bottom w:val="single" w:color="auto" w:sz="4" w:space="0"/>
              <w:right w:val="single" w:color="auto" w:sz="4" w:space="0"/>
            </w:tcBorders>
            <w:vAlign w:val="center"/>
          </w:tcPr>
          <w:p w14:paraId="49DDE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北京明朝万达</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ATD2000</w:t>
            </w:r>
          </w:p>
        </w:tc>
        <w:tc>
          <w:tcPr>
            <w:tcW w:w="1143" w:type="dxa"/>
            <w:tcBorders>
              <w:top w:val="single" w:color="auto" w:sz="4" w:space="0"/>
              <w:left w:val="single" w:color="auto" w:sz="4" w:space="0"/>
              <w:bottom w:val="single" w:color="auto" w:sz="4" w:space="0"/>
              <w:right w:val="single" w:color="auto" w:sz="4" w:space="0"/>
            </w:tcBorders>
            <w:vAlign w:val="center"/>
          </w:tcPr>
          <w:p w14:paraId="3B79DA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47308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352A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6B234F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43</w:t>
            </w:r>
          </w:p>
        </w:tc>
        <w:tc>
          <w:tcPr>
            <w:tcW w:w="3019" w:type="dxa"/>
            <w:tcBorders>
              <w:top w:val="single" w:color="auto" w:sz="4" w:space="0"/>
              <w:left w:val="single" w:color="auto" w:sz="4" w:space="0"/>
              <w:bottom w:val="single" w:color="auto" w:sz="4" w:space="0"/>
              <w:right w:val="single" w:color="auto" w:sz="4" w:space="0"/>
            </w:tcBorders>
            <w:vAlign w:val="center"/>
          </w:tcPr>
          <w:p w14:paraId="16D0F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数据防泄漏系统</w:t>
            </w:r>
          </w:p>
        </w:tc>
        <w:tc>
          <w:tcPr>
            <w:tcW w:w="2467" w:type="dxa"/>
            <w:tcBorders>
              <w:top w:val="single" w:color="auto" w:sz="4" w:space="0"/>
              <w:left w:val="single" w:color="auto" w:sz="4" w:space="0"/>
              <w:bottom w:val="single" w:color="auto" w:sz="4" w:space="0"/>
              <w:right w:val="single" w:color="auto" w:sz="4" w:space="0"/>
            </w:tcBorders>
            <w:vAlign w:val="center"/>
          </w:tcPr>
          <w:p w14:paraId="21E0A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北京明朝万达</w:t>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Chinasec(安元)数据防泄漏系统（WS-NDLP/V3.2.0）</w:t>
            </w:r>
          </w:p>
        </w:tc>
        <w:tc>
          <w:tcPr>
            <w:tcW w:w="1143" w:type="dxa"/>
            <w:tcBorders>
              <w:top w:val="single" w:color="auto" w:sz="4" w:space="0"/>
              <w:left w:val="single" w:color="auto" w:sz="4" w:space="0"/>
              <w:bottom w:val="single" w:color="auto" w:sz="4" w:space="0"/>
              <w:right w:val="single" w:color="auto" w:sz="4" w:space="0"/>
            </w:tcBorders>
            <w:vAlign w:val="center"/>
          </w:tcPr>
          <w:p w14:paraId="1DD48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3CA4E3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4869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1F20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44</w:t>
            </w:r>
          </w:p>
        </w:tc>
        <w:tc>
          <w:tcPr>
            <w:tcW w:w="3019" w:type="dxa"/>
            <w:tcBorders>
              <w:top w:val="single" w:color="auto" w:sz="4" w:space="0"/>
              <w:left w:val="single" w:color="auto" w:sz="4" w:space="0"/>
              <w:bottom w:val="single" w:color="auto" w:sz="4" w:space="0"/>
              <w:right w:val="single" w:color="auto" w:sz="4" w:space="0"/>
            </w:tcBorders>
            <w:vAlign w:val="center"/>
          </w:tcPr>
          <w:p w14:paraId="398769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内存条</w:t>
            </w:r>
          </w:p>
        </w:tc>
        <w:tc>
          <w:tcPr>
            <w:tcW w:w="2467" w:type="dxa"/>
            <w:tcBorders>
              <w:top w:val="single" w:color="auto" w:sz="4" w:space="0"/>
              <w:left w:val="single" w:color="auto" w:sz="4" w:space="0"/>
              <w:bottom w:val="single" w:color="auto" w:sz="4" w:space="0"/>
              <w:right w:val="single" w:color="auto" w:sz="4" w:space="0"/>
            </w:tcBorders>
            <w:vAlign w:val="center"/>
          </w:tcPr>
          <w:p w14:paraId="29B253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w:t>
            </w:r>
          </w:p>
        </w:tc>
        <w:tc>
          <w:tcPr>
            <w:tcW w:w="1143" w:type="dxa"/>
            <w:tcBorders>
              <w:top w:val="single" w:color="auto" w:sz="4" w:space="0"/>
              <w:left w:val="single" w:color="auto" w:sz="4" w:space="0"/>
              <w:bottom w:val="single" w:color="auto" w:sz="4" w:space="0"/>
              <w:right w:val="single" w:color="auto" w:sz="4" w:space="0"/>
            </w:tcBorders>
            <w:vAlign w:val="center"/>
          </w:tcPr>
          <w:p w14:paraId="7FA331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条</w:t>
            </w:r>
          </w:p>
        </w:tc>
        <w:tc>
          <w:tcPr>
            <w:tcW w:w="1156" w:type="dxa"/>
            <w:tcBorders>
              <w:top w:val="single" w:color="auto" w:sz="4" w:space="0"/>
              <w:left w:val="single" w:color="auto" w:sz="4" w:space="0"/>
              <w:bottom w:val="single" w:color="auto" w:sz="4" w:space="0"/>
              <w:right w:val="single" w:color="auto" w:sz="4" w:space="0"/>
            </w:tcBorders>
            <w:vAlign w:val="center"/>
          </w:tcPr>
          <w:p w14:paraId="1B10F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r>
      <w:tr w14:paraId="4BEC3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74A5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45</w:t>
            </w:r>
          </w:p>
        </w:tc>
        <w:tc>
          <w:tcPr>
            <w:tcW w:w="3019" w:type="dxa"/>
            <w:tcBorders>
              <w:top w:val="single" w:color="auto" w:sz="4" w:space="0"/>
              <w:left w:val="single" w:color="auto" w:sz="4" w:space="0"/>
              <w:bottom w:val="single" w:color="auto" w:sz="4" w:space="0"/>
              <w:right w:val="single" w:color="auto" w:sz="4" w:space="0"/>
            </w:tcBorders>
            <w:vAlign w:val="center"/>
          </w:tcPr>
          <w:p w14:paraId="0641C8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视频交换系统</w:t>
            </w:r>
          </w:p>
        </w:tc>
        <w:tc>
          <w:tcPr>
            <w:tcW w:w="2467" w:type="dxa"/>
            <w:tcBorders>
              <w:top w:val="single" w:color="auto" w:sz="4" w:space="0"/>
              <w:left w:val="single" w:color="auto" w:sz="4" w:space="0"/>
              <w:bottom w:val="single" w:color="auto" w:sz="4" w:space="0"/>
              <w:right w:val="single" w:color="auto" w:sz="4" w:space="0"/>
            </w:tcBorders>
            <w:vAlign w:val="center"/>
          </w:tcPr>
          <w:p w14:paraId="1349C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明朝万达</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Chinasec（安元）视频交换系统V1.0</w:t>
            </w:r>
          </w:p>
        </w:tc>
        <w:tc>
          <w:tcPr>
            <w:tcW w:w="1143" w:type="dxa"/>
            <w:tcBorders>
              <w:top w:val="single" w:color="auto" w:sz="4" w:space="0"/>
              <w:left w:val="single" w:color="auto" w:sz="4" w:space="0"/>
              <w:bottom w:val="single" w:color="auto" w:sz="4" w:space="0"/>
              <w:right w:val="single" w:color="auto" w:sz="4" w:space="0"/>
            </w:tcBorders>
            <w:vAlign w:val="center"/>
          </w:tcPr>
          <w:p w14:paraId="333646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1156" w:type="dxa"/>
            <w:tcBorders>
              <w:top w:val="single" w:color="auto" w:sz="4" w:space="0"/>
              <w:left w:val="single" w:color="auto" w:sz="4" w:space="0"/>
              <w:bottom w:val="single" w:color="auto" w:sz="4" w:space="0"/>
              <w:right w:val="single" w:color="auto" w:sz="4" w:space="0"/>
            </w:tcBorders>
            <w:vAlign w:val="center"/>
          </w:tcPr>
          <w:p w14:paraId="46D81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4E7A5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7C02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46</w:t>
            </w:r>
          </w:p>
        </w:tc>
        <w:tc>
          <w:tcPr>
            <w:tcW w:w="3019" w:type="dxa"/>
            <w:tcBorders>
              <w:top w:val="single" w:color="auto" w:sz="4" w:space="0"/>
              <w:left w:val="single" w:color="auto" w:sz="4" w:space="0"/>
              <w:bottom w:val="single" w:color="auto" w:sz="4" w:space="0"/>
              <w:right w:val="single" w:color="auto" w:sz="4" w:space="0"/>
            </w:tcBorders>
            <w:vAlign w:val="center"/>
          </w:tcPr>
          <w:p w14:paraId="6CDBC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数据交换系统</w:t>
            </w:r>
          </w:p>
        </w:tc>
        <w:tc>
          <w:tcPr>
            <w:tcW w:w="2467" w:type="dxa"/>
            <w:tcBorders>
              <w:top w:val="single" w:color="auto" w:sz="4" w:space="0"/>
              <w:left w:val="single" w:color="auto" w:sz="4" w:space="0"/>
              <w:bottom w:val="single" w:color="auto" w:sz="4" w:space="0"/>
              <w:right w:val="single" w:color="auto" w:sz="4" w:space="0"/>
            </w:tcBorders>
            <w:vAlign w:val="center"/>
          </w:tcPr>
          <w:p w14:paraId="43512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明朝万达</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Chinasec（安元）数据交换系统V2.0</w:t>
            </w:r>
          </w:p>
        </w:tc>
        <w:tc>
          <w:tcPr>
            <w:tcW w:w="1143" w:type="dxa"/>
            <w:tcBorders>
              <w:top w:val="single" w:color="auto" w:sz="4" w:space="0"/>
              <w:left w:val="single" w:color="auto" w:sz="4" w:space="0"/>
              <w:bottom w:val="single" w:color="auto" w:sz="4" w:space="0"/>
              <w:right w:val="single" w:color="auto" w:sz="4" w:space="0"/>
            </w:tcBorders>
            <w:vAlign w:val="center"/>
          </w:tcPr>
          <w:p w14:paraId="63A81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1156" w:type="dxa"/>
            <w:tcBorders>
              <w:top w:val="single" w:color="auto" w:sz="4" w:space="0"/>
              <w:left w:val="single" w:color="auto" w:sz="4" w:space="0"/>
              <w:bottom w:val="single" w:color="auto" w:sz="4" w:space="0"/>
              <w:right w:val="single" w:color="auto" w:sz="4" w:space="0"/>
            </w:tcBorders>
            <w:vAlign w:val="center"/>
          </w:tcPr>
          <w:p w14:paraId="33B5F1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3A06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A711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47</w:t>
            </w:r>
          </w:p>
        </w:tc>
        <w:tc>
          <w:tcPr>
            <w:tcW w:w="3019" w:type="dxa"/>
            <w:tcBorders>
              <w:top w:val="single" w:color="auto" w:sz="4" w:space="0"/>
              <w:left w:val="single" w:color="auto" w:sz="4" w:space="0"/>
              <w:bottom w:val="single" w:color="auto" w:sz="4" w:space="0"/>
              <w:right w:val="single" w:color="auto" w:sz="4" w:space="0"/>
            </w:tcBorders>
            <w:vAlign w:val="center"/>
          </w:tcPr>
          <w:p w14:paraId="29FEE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万兆网闸</w:t>
            </w:r>
          </w:p>
        </w:tc>
        <w:tc>
          <w:tcPr>
            <w:tcW w:w="2467" w:type="dxa"/>
            <w:tcBorders>
              <w:top w:val="single" w:color="auto" w:sz="4" w:space="0"/>
              <w:left w:val="single" w:color="auto" w:sz="4" w:space="0"/>
              <w:bottom w:val="single" w:color="auto" w:sz="4" w:space="0"/>
              <w:right w:val="single" w:color="auto" w:sz="4" w:space="0"/>
            </w:tcBorders>
            <w:vAlign w:val="center"/>
          </w:tcPr>
          <w:p w14:paraId="31DD6A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网神SecSIS3600安全隔离与信息交换系统V2.0GZ10000-FT10</w:t>
            </w:r>
          </w:p>
        </w:tc>
        <w:tc>
          <w:tcPr>
            <w:tcW w:w="1143" w:type="dxa"/>
            <w:tcBorders>
              <w:top w:val="single" w:color="auto" w:sz="4" w:space="0"/>
              <w:left w:val="single" w:color="auto" w:sz="4" w:space="0"/>
              <w:bottom w:val="single" w:color="auto" w:sz="4" w:space="0"/>
              <w:right w:val="single" w:color="auto" w:sz="4" w:space="0"/>
            </w:tcBorders>
            <w:vAlign w:val="center"/>
          </w:tcPr>
          <w:p w14:paraId="2F649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1156" w:type="dxa"/>
            <w:tcBorders>
              <w:top w:val="single" w:color="auto" w:sz="4" w:space="0"/>
              <w:left w:val="single" w:color="auto" w:sz="4" w:space="0"/>
              <w:bottom w:val="single" w:color="auto" w:sz="4" w:space="0"/>
              <w:right w:val="single" w:color="auto" w:sz="4" w:space="0"/>
            </w:tcBorders>
            <w:vAlign w:val="center"/>
          </w:tcPr>
          <w:p w14:paraId="1464F2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46E4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5181B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48</w:t>
            </w:r>
          </w:p>
        </w:tc>
        <w:tc>
          <w:tcPr>
            <w:tcW w:w="3019" w:type="dxa"/>
            <w:tcBorders>
              <w:top w:val="single" w:color="auto" w:sz="4" w:space="0"/>
              <w:left w:val="single" w:color="auto" w:sz="4" w:space="0"/>
              <w:bottom w:val="single" w:color="auto" w:sz="4" w:space="0"/>
              <w:right w:val="single" w:color="auto" w:sz="4" w:space="0"/>
            </w:tcBorders>
            <w:vAlign w:val="center"/>
          </w:tcPr>
          <w:p w14:paraId="24E80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八桂警信二类区接入服务器</w:t>
            </w:r>
          </w:p>
        </w:tc>
        <w:tc>
          <w:tcPr>
            <w:tcW w:w="2467" w:type="dxa"/>
            <w:tcBorders>
              <w:top w:val="single" w:color="auto" w:sz="4" w:space="0"/>
              <w:left w:val="single" w:color="auto" w:sz="4" w:space="0"/>
              <w:bottom w:val="single" w:color="auto" w:sz="4" w:space="0"/>
              <w:right w:val="single" w:color="auto" w:sz="4" w:space="0"/>
            </w:tcBorders>
            <w:vAlign w:val="center"/>
          </w:tcPr>
          <w:p w14:paraId="3B19C4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华为2288HV5</w:t>
            </w:r>
          </w:p>
        </w:tc>
        <w:tc>
          <w:tcPr>
            <w:tcW w:w="1143" w:type="dxa"/>
            <w:tcBorders>
              <w:top w:val="single" w:color="auto" w:sz="4" w:space="0"/>
              <w:left w:val="single" w:color="auto" w:sz="4" w:space="0"/>
              <w:bottom w:val="single" w:color="auto" w:sz="4" w:space="0"/>
              <w:right w:val="single" w:color="auto" w:sz="4" w:space="0"/>
            </w:tcBorders>
            <w:vAlign w:val="center"/>
          </w:tcPr>
          <w:p w14:paraId="3FBC5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1A805B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1BB5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60ED1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49</w:t>
            </w:r>
          </w:p>
        </w:tc>
        <w:tc>
          <w:tcPr>
            <w:tcW w:w="3019" w:type="dxa"/>
            <w:tcBorders>
              <w:top w:val="single" w:color="auto" w:sz="4" w:space="0"/>
              <w:left w:val="single" w:color="auto" w:sz="4" w:space="0"/>
              <w:bottom w:val="single" w:color="auto" w:sz="4" w:space="0"/>
              <w:right w:val="single" w:color="auto" w:sz="4" w:space="0"/>
            </w:tcBorders>
            <w:vAlign w:val="center"/>
          </w:tcPr>
          <w:p w14:paraId="2623E7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八桂警信二类区逻辑存储服务器</w:t>
            </w:r>
          </w:p>
        </w:tc>
        <w:tc>
          <w:tcPr>
            <w:tcW w:w="2467" w:type="dxa"/>
            <w:tcBorders>
              <w:top w:val="single" w:color="auto" w:sz="4" w:space="0"/>
              <w:left w:val="single" w:color="auto" w:sz="4" w:space="0"/>
              <w:bottom w:val="single" w:color="auto" w:sz="4" w:space="0"/>
              <w:right w:val="single" w:color="auto" w:sz="4" w:space="0"/>
            </w:tcBorders>
            <w:vAlign w:val="center"/>
          </w:tcPr>
          <w:p w14:paraId="098F7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华为2288HV5</w:t>
            </w:r>
          </w:p>
        </w:tc>
        <w:tc>
          <w:tcPr>
            <w:tcW w:w="1143" w:type="dxa"/>
            <w:tcBorders>
              <w:top w:val="single" w:color="auto" w:sz="4" w:space="0"/>
              <w:left w:val="single" w:color="auto" w:sz="4" w:space="0"/>
              <w:bottom w:val="single" w:color="auto" w:sz="4" w:space="0"/>
              <w:right w:val="single" w:color="auto" w:sz="4" w:space="0"/>
            </w:tcBorders>
            <w:vAlign w:val="center"/>
          </w:tcPr>
          <w:p w14:paraId="227255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232F6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14:paraId="1859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349C9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50</w:t>
            </w:r>
          </w:p>
        </w:tc>
        <w:tc>
          <w:tcPr>
            <w:tcW w:w="3019" w:type="dxa"/>
            <w:tcBorders>
              <w:top w:val="single" w:color="auto" w:sz="4" w:space="0"/>
              <w:left w:val="single" w:color="auto" w:sz="4" w:space="0"/>
              <w:bottom w:val="single" w:color="auto" w:sz="4" w:space="0"/>
              <w:right w:val="single" w:color="auto" w:sz="4" w:space="0"/>
            </w:tcBorders>
            <w:vAlign w:val="center"/>
          </w:tcPr>
          <w:p w14:paraId="099CD2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八桂警信三类区接入服务器</w:t>
            </w:r>
          </w:p>
        </w:tc>
        <w:tc>
          <w:tcPr>
            <w:tcW w:w="2467" w:type="dxa"/>
            <w:tcBorders>
              <w:top w:val="single" w:color="auto" w:sz="4" w:space="0"/>
              <w:left w:val="single" w:color="auto" w:sz="4" w:space="0"/>
              <w:bottom w:val="single" w:color="auto" w:sz="4" w:space="0"/>
              <w:right w:val="single" w:color="auto" w:sz="4" w:space="0"/>
            </w:tcBorders>
            <w:vAlign w:val="center"/>
          </w:tcPr>
          <w:p w14:paraId="46FF9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华为2288HV5</w:t>
            </w:r>
          </w:p>
        </w:tc>
        <w:tc>
          <w:tcPr>
            <w:tcW w:w="1143" w:type="dxa"/>
            <w:tcBorders>
              <w:top w:val="single" w:color="auto" w:sz="4" w:space="0"/>
              <w:left w:val="single" w:color="auto" w:sz="4" w:space="0"/>
              <w:bottom w:val="single" w:color="auto" w:sz="4" w:space="0"/>
              <w:right w:val="single" w:color="auto" w:sz="4" w:space="0"/>
            </w:tcBorders>
            <w:vAlign w:val="center"/>
          </w:tcPr>
          <w:p w14:paraId="67E16B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4931D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r>
      <w:tr w14:paraId="20494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773EF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51</w:t>
            </w:r>
          </w:p>
        </w:tc>
        <w:tc>
          <w:tcPr>
            <w:tcW w:w="3019" w:type="dxa"/>
            <w:tcBorders>
              <w:top w:val="single" w:color="auto" w:sz="4" w:space="0"/>
              <w:left w:val="single" w:color="auto" w:sz="4" w:space="0"/>
              <w:bottom w:val="single" w:color="auto" w:sz="4" w:space="0"/>
              <w:right w:val="single" w:color="auto" w:sz="4" w:space="0"/>
            </w:tcBorders>
            <w:vAlign w:val="center"/>
          </w:tcPr>
          <w:p w14:paraId="2A7364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八桂警信三类区逻辑存储服务器</w:t>
            </w:r>
          </w:p>
        </w:tc>
        <w:tc>
          <w:tcPr>
            <w:tcW w:w="2467" w:type="dxa"/>
            <w:tcBorders>
              <w:top w:val="single" w:color="auto" w:sz="4" w:space="0"/>
              <w:left w:val="single" w:color="auto" w:sz="4" w:space="0"/>
              <w:bottom w:val="single" w:color="auto" w:sz="4" w:space="0"/>
              <w:right w:val="single" w:color="auto" w:sz="4" w:space="0"/>
            </w:tcBorders>
            <w:vAlign w:val="center"/>
          </w:tcPr>
          <w:p w14:paraId="0A9CA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华为2288HV5</w:t>
            </w:r>
          </w:p>
        </w:tc>
        <w:tc>
          <w:tcPr>
            <w:tcW w:w="1143" w:type="dxa"/>
            <w:tcBorders>
              <w:top w:val="single" w:color="auto" w:sz="4" w:space="0"/>
              <w:left w:val="single" w:color="auto" w:sz="4" w:space="0"/>
              <w:bottom w:val="single" w:color="auto" w:sz="4" w:space="0"/>
              <w:right w:val="single" w:color="auto" w:sz="4" w:space="0"/>
            </w:tcBorders>
            <w:vAlign w:val="center"/>
          </w:tcPr>
          <w:p w14:paraId="567325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21D1E5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r>
      <w:tr w14:paraId="55373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2514E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52</w:t>
            </w:r>
          </w:p>
        </w:tc>
        <w:tc>
          <w:tcPr>
            <w:tcW w:w="3019" w:type="dxa"/>
            <w:tcBorders>
              <w:top w:val="single" w:color="auto" w:sz="4" w:space="0"/>
              <w:left w:val="single" w:color="auto" w:sz="4" w:space="0"/>
              <w:bottom w:val="single" w:color="auto" w:sz="4" w:space="0"/>
              <w:right w:val="single" w:color="auto" w:sz="4" w:space="0"/>
            </w:tcBorders>
            <w:vAlign w:val="center"/>
          </w:tcPr>
          <w:p w14:paraId="1F2CD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空中发证身份效验网关</w:t>
            </w:r>
          </w:p>
        </w:tc>
        <w:tc>
          <w:tcPr>
            <w:tcW w:w="2467" w:type="dxa"/>
            <w:tcBorders>
              <w:top w:val="single" w:color="auto" w:sz="4" w:space="0"/>
              <w:left w:val="single" w:color="auto" w:sz="4" w:space="0"/>
              <w:bottom w:val="single" w:color="auto" w:sz="4" w:space="0"/>
              <w:right w:val="single" w:color="auto" w:sz="4" w:space="0"/>
            </w:tcBorders>
            <w:vAlign w:val="center"/>
          </w:tcPr>
          <w:p w14:paraId="0D1289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公安部第一研究所</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ZD-APDG1000</w:t>
            </w:r>
          </w:p>
        </w:tc>
        <w:tc>
          <w:tcPr>
            <w:tcW w:w="1143" w:type="dxa"/>
            <w:tcBorders>
              <w:top w:val="single" w:color="auto" w:sz="4" w:space="0"/>
              <w:left w:val="single" w:color="auto" w:sz="4" w:space="0"/>
              <w:bottom w:val="single" w:color="auto" w:sz="4" w:space="0"/>
              <w:right w:val="single" w:color="auto" w:sz="4" w:space="0"/>
            </w:tcBorders>
            <w:vAlign w:val="center"/>
          </w:tcPr>
          <w:p w14:paraId="7723A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249FE9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218D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C5400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53</w:t>
            </w:r>
          </w:p>
        </w:tc>
        <w:tc>
          <w:tcPr>
            <w:tcW w:w="3019" w:type="dxa"/>
            <w:tcBorders>
              <w:top w:val="single" w:color="auto" w:sz="4" w:space="0"/>
              <w:left w:val="single" w:color="auto" w:sz="4" w:space="0"/>
              <w:bottom w:val="single" w:color="auto" w:sz="4" w:space="0"/>
              <w:right w:val="single" w:color="auto" w:sz="4" w:space="0"/>
            </w:tcBorders>
            <w:vAlign w:val="center"/>
          </w:tcPr>
          <w:p w14:paraId="6508D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移动VPN安全接入网关E</w:t>
            </w:r>
          </w:p>
        </w:tc>
        <w:tc>
          <w:tcPr>
            <w:tcW w:w="2467" w:type="dxa"/>
            <w:tcBorders>
              <w:top w:val="single" w:color="auto" w:sz="4" w:space="0"/>
              <w:left w:val="single" w:color="auto" w:sz="4" w:space="0"/>
              <w:bottom w:val="single" w:color="auto" w:sz="4" w:space="0"/>
              <w:right w:val="single" w:color="auto" w:sz="4" w:space="0"/>
            </w:tcBorders>
            <w:vAlign w:val="center"/>
          </w:tcPr>
          <w:p w14:paraId="1CDD18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上海辰锐/VSAG—100</w:t>
            </w:r>
          </w:p>
        </w:tc>
        <w:tc>
          <w:tcPr>
            <w:tcW w:w="1143" w:type="dxa"/>
            <w:tcBorders>
              <w:top w:val="single" w:color="auto" w:sz="4" w:space="0"/>
              <w:left w:val="single" w:color="auto" w:sz="4" w:space="0"/>
              <w:bottom w:val="single" w:color="auto" w:sz="4" w:space="0"/>
              <w:right w:val="single" w:color="auto" w:sz="4" w:space="0"/>
            </w:tcBorders>
            <w:vAlign w:val="center"/>
          </w:tcPr>
          <w:p w14:paraId="6F565A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3AAED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7FC3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B846E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54</w:t>
            </w:r>
          </w:p>
        </w:tc>
        <w:tc>
          <w:tcPr>
            <w:tcW w:w="3019" w:type="dxa"/>
            <w:tcBorders>
              <w:top w:val="single" w:color="auto" w:sz="4" w:space="0"/>
              <w:left w:val="single" w:color="auto" w:sz="4" w:space="0"/>
              <w:bottom w:val="single" w:color="auto" w:sz="4" w:space="0"/>
              <w:right w:val="single" w:color="auto" w:sz="4" w:space="0"/>
            </w:tcBorders>
            <w:vAlign w:val="center"/>
          </w:tcPr>
          <w:p w14:paraId="2D317F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移动VPN安全接入网关F</w:t>
            </w:r>
          </w:p>
        </w:tc>
        <w:tc>
          <w:tcPr>
            <w:tcW w:w="2467" w:type="dxa"/>
            <w:tcBorders>
              <w:top w:val="single" w:color="auto" w:sz="4" w:space="0"/>
              <w:left w:val="single" w:color="auto" w:sz="4" w:space="0"/>
              <w:bottom w:val="single" w:color="auto" w:sz="4" w:space="0"/>
              <w:right w:val="single" w:color="auto" w:sz="4" w:space="0"/>
            </w:tcBorders>
            <w:vAlign w:val="center"/>
          </w:tcPr>
          <w:p w14:paraId="3C9A8B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上海辰锐/VSAG—100</w:t>
            </w:r>
          </w:p>
        </w:tc>
        <w:tc>
          <w:tcPr>
            <w:tcW w:w="1143" w:type="dxa"/>
            <w:tcBorders>
              <w:top w:val="single" w:color="auto" w:sz="4" w:space="0"/>
              <w:left w:val="single" w:color="auto" w:sz="4" w:space="0"/>
              <w:bottom w:val="single" w:color="auto" w:sz="4" w:space="0"/>
              <w:right w:val="single" w:color="auto" w:sz="4" w:space="0"/>
            </w:tcBorders>
            <w:vAlign w:val="center"/>
          </w:tcPr>
          <w:p w14:paraId="7064F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68FFD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1403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4CF04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55</w:t>
            </w:r>
          </w:p>
        </w:tc>
        <w:tc>
          <w:tcPr>
            <w:tcW w:w="3019" w:type="dxa"/>
            <w:tcBorders>
              <w:top w:val="single" w:color="auto" w:sz="4" w:space="0"/>
              <w:left w:val="single" w:color="auto" w:sz="4" w:space="0"/>
              <w:bottom w:val="single" w:color="auto" w:sz="4" w:space="0"/>
              <w:right w:val="single" w:color="auto" w:sz="4" w:space="0"/>
            </w:tcBorders>
            <w:vAlign w:val="center"/>
          </w:tcPr>
          <w:p w14:paraId="253DB7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移动安全接入适配器A</w:t>
            </w:r>
          </w:p>
        </w:tc>
        <w:tc>
          <w:tcPr>
            <w:tcW w:w="2467" w:type="dxa"/>
            <w:tcBorders>
              <w:top w:val="single" w:color="auto" w:sz="4" w:space="0"/>
              <w:left w:val="single" w:color="auto" w:sz="4" w:space="0"/>
              <w:bottom w:val="single" w:color="auto" w:sz="4" w:space="0"/>
              <w:right w:val="single" w:color="auto" w:sz="4" w:space="0"/>
            </w:tcBorders>
            <w:vAlign w:val="center"/>
          </w:tcPr>
          <w:p w14:paraId="3D2F1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上海辰锐/SAA—1000</w:t>
            </w:r>
          </w:p>
        </w:tc>
        <w:tc>
          <w:tcPr>
            <w:tcW w:w="1143" w:type="dxa"/>
            <w:tcBorders>
              <w:top w:val="single" w:color="auto" w:sz="4" w:space="0"/>
              <w:left w:val="single" w:color="auto" w:sz="4" w:space="0"/>
              <w:bottom w:val="single" w:color="auto" w:sz="4" w:space="0"/>
              <w:right w:val="single" w:color="auto" w:sz="4" w:space="0"/>
            </w:tcBorders>
            <w:vAlign w:val="center"/>
          </w:tcPr>
          <w:p w14:paraId="1BEBC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16CA51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6CEAE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41008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56</w:t>
            </w:r>
          </w:p>
        </w:tc>
        <w:tc>
          <w:tcPr>
            <w:tcW w:w="3019" w:type="dxa"/>
            <w:tcBorders>
              <w:top w:val="single" w:color="auto" w:sz="4" w:space="0"/>
              <w:left w:val="single" w:color="auto" w:sz="4" w:space="0"/>
              <w:bottom w:val="single" w:color="auto" w:sz="4" w:space="0"/>
              <w:right w:val="single" w:color="auto" w:sz="4" w:space="0"/>
            </w:tcBorders>
            <w:vAlign w:val="center"/>
          </w:tcPr>
          <w:p w14:paraId="063438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移动应用管理系统B</w:t>
            </w:r>
          </w:p>
        </w:tc>
        <w:tc>
          <w:tcPr>
            <w:tcW w:w="2467" w:type="dxa"/>
            <w:tcBorders>
              <w:top w:val="single" w:color="auto" w:sz="4" w:space="0"/>
              <w:left w:val="single" w:color="auto" w:sz="4" w:space="0"/>
              <w:bottom w:val="single" w:color="auto" w:sz="4" w:space="0"/>
              <w:right w:val="single" w:color="auto" w:sz="4" w:space="0"/>
            </w:tcBorders>
            <w:vAlign w:val="center"/>
          </w:tcPr>
          <w:p w14:paraId="1CE0A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上海辰锐/MAMS-4020</w:t>
            </w:r>
          </w:p>
        </w:tc>
        <w:tc>
          <w:tcPr>
            <w:tcW w:w="1143" w:type="dxa"/>
            <w:tcBorders>
              <w:top w:val="single" w:color="auto" w:sz="4" w:space="0"/>
              <w:left w:val="single" w:color="auto" w:sz="4" w:space="0"/>
              <w:bottom w:val="single" w:color="auto" w:sz="4" w:space="0"/>
              <w:right w:val="single" w:color="auto" w:sz="4" w:space="0"/>
            </w:tcBorders>
            <w:vAlign w:val="center"/>
          </w:tcPr>
          <w:p w14:paraId="1AB9A5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5EA1C1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4B21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91F3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57</w:t>
            </w:r>
          </w:p>
        </w:tc>
        <w:tc>
          <w:tcPr>
            <w:tcW w:w="3019" w:type="dxa"/>
            <w:tcBorders>
              <w:top w:val="single" w:color="auto" w:sz="4" w:space="0"/>
              <w:left w:val="single" w:color="auto" w:sz="4" w:space="0"/>
              <w:bottom w:val="single" w:color="auto" w:sz="4" w:space="0"/>
              <w:right w:val="single" w:color="auto" w:sz="4" w:space="0"/>
            </w:tcBorders>
            <w:vAlign w:val="center"/>
          </w:tcPr>
          <w:p w14:paraId="11B42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移动应用管理系统C</w:t>
            </w:r>
          </w:p>
        </w:tc>
        <w:tc>
          <w:tcPr>
            <w:tcW w:w="2467" w:type="dxa"/>
            <w:tcBorders>
              <w:top w:val="single" w:color="auto" w:sz="4" w:space="0"/>
              <w:left w:val="single" w:color="auto" w:sz="4" w:space="0"/>
              <w:bottom w:val="single" w:color="auto" w:sz="4" w:space="0"/>
              <w:right w:val="single" w:color="auto" w:sz="4" w:space="0"/>
            </w:tcBorders>
            <w:vAlign w:val="center"/>
          </w:tcPr>
          <w:p w14:paraId="77508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上海辰锐/MAMS-4020</w:t>
            </w:r>
          </w:p>
        </w:tc>
        <w:tc>
          <w:tcPr>
            <w:tcW w:w="1143" w:type="dxa"/>
            <w:tcBorders>
              <w:top w:val="single" w:color="auto" w:sz="4" w:space="0"/>
              <w:left w:val="single" w:color="auto" w:sz="4" w:space="0"/>
              <w:bottom w:val="single" w:color="auto" w:sz="4" w:space="0"/>
              <w:right w:val="single" w:color="auto" w:sz="4" w:space="0"/>
            </w:tcBorders>
            <w:vAlign w:val="center"/>
          </w:tcPr>
          <w:p w14:paraId="42CDAD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4E9571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2942C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14EA6C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58</w:t>
            </w:r>
          </w:p>
        </w:tc>
        <w:tc>
          <w:tcPr>
            <w:tcW w:w="3019" w:type="dxa"/>
            <w:tcBorders>
              <w:top w:val="single" w:color="auto" w:sz="4" w:space="0"/>
              <w:left w:val="single" w:color="auto" w:sz="4" w:space="0"/>
              <w:bottom w:val="single" w:color="auto" w:sz="4" w:space="0"/>
              <w:right w:val="single" w:color="auto" w:sz="4" w:space="0"/>
            </w:tcBorders>
            <w:vAlign w:val="center"/>
          </w:tcPr>
          <w:p w14:paraId="5252DF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移动应用代理系统B</w:t>
            </w:r>
          </w:p>
        </w:tc>
        <w:tc>
          <w:tcPr>
            <w:tcW w:w="2467" w:type="dxa"/>
            <w:tcBorders>
              <w:top w:val="single" w:color="auto" w:sz="4" w:space="0"/>
              <w:left w:val="single" w:color="auto" w:sz="4" w:space="0"/>
              <w:bottom w:val="single" w:color="auto" w:sz="4" w:space="0"/>
              <w:right w:val="single" w:color="auto" w:sz="4" w:space="0"/>
            </w:tcBorders>
            <w:vAlign w:val="center"/>
          </w:tcPr>
          <w:p w14:paraId="45834E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上海辰锐/MAPS-4020</w:t>
            </w:r>
          </w:p>
        </w:tc>
        <w:tc>
          <w:tcPr>
            <w:tcW w:w="1143" w:type="dxa"/>
            <w:tcBorders>
              <w:top w:val="single" w:color="auto" w:sz="4" w:space="0"/>
              <w:left w:val="single" w:color="auto" w:sz="4" w:space="0"/>
              <w:bottom w:val="single" w:color="auto" w:sz="4" w:space="0"/>
              <w:right w:val="single" w:color="auto" w:sz="4" w:space="0"/>
            </w:tcBorders>
            <w:vAlign w:val="center"/>
          </w:tcPr>
          <w:p w14:paraId="398AA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5B1C80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5513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3CA8B8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59</w:t>
            </w:r>
          </w:p>
        </w:tc>
        <w:tc>
          <w:tcPr>
            <w:tcW w:w="3019" w:type="dxa"/>
            <w:tcBorders>
              <w:top w:val="single" w:color="auto" w:sz="4" w:space="0"/>
              <w:left w:val="single" w:color="auto" w:sz="4" w:space="0"/>
              <w:bottom w:val="single" w:color="auto" w:sz="4" w:space="0"/>
              <w:right w:val="single" w:color="auto" w:sz="4" w:space="0"/>
            </w:tcBorders>
            <w:vAlign w:val="center"/>
          </w:tcPr>
          <w:p w14:paraId="7B63B9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移动应用代理系统C</w:t>
            </w:r>
          </w:p>
        </w:tc>
        <w:tc>
          <w:tcPr>
            <w:tcW w:w="2467" w:type="dxa"/>
            <w:tcBorders>
              <w:top w:val="single" w:color="auto" w:sz="4" w:space="0"/>
              <w:left w:val="single" w:color="auto" w:sz="4" w:space="0"/>
              <w:bottom w:val="single" w:color="auto" w:sz="4" w:space="0"/>
              <w:right w:val="single" w:color="auto" w:sz="4" w:space="0"/>
            </w:tcBorders>
            <w:vAlign w:val="center"/>
          </w:tcPr>
          <w:p w14:paraId="65C65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上海辰锐/MAPS-4020</w:t>
            </w:r>
          </w:p>
        </w:tc>
        <w:tc>
          <w:tcPr>
            <w:tcW w:w="1143" w:type="dxa"/>
            <w:tcBorders>
              <w:top w:val="single" w:color="auto" w:sz="4" w:space="0"/>
              <w:left w:val="single" w:color="auto" w:sz="4" w:space="0"/>
              <w:bottom w:val="single" w:color="auto" w:sz="4" w:space="0"/>
              <w:right w:val="single" w:color="auto" w:sz="4" w:space="0"/>
            </w:tcBorders>
            <w:vAlign w:val="center"/>
          </w:tcPr>
          <w:p w14:paraId="25D555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3489DD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r w14:paraId="7F71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C2D4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w:t>
            </w:r>
          </w:p>
        </w:tc>
        <w:tc>
          <w:tcPr>
            <w:tcW w:w="3019" w:type="dxa"/>
            <w:tcBorders>
              <w:top w:val="single" w:color="auto" w:sz="4" w:space="0"/>
              <w:left w:val="single" w:color="auto" w:sz="4" w:space="0"/>
              <w:bottom w:val="single" w:color="auto" w:sz="4" w:space="0"/>
              <w:right w:val="single" w:color="auto" w:sz="4" w:space="0"/>
            </w:tcBorders>
            <w:vAlign w:val="center"/>
          </w:tcPr>
          <w:p w14:paraId="379FBE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应用统一代理转发系统A</w:t>
            </w:r>
          </w:p>
        </w:tc>
        <w:tc>
          <w:tcPr>
            <w:tcW w:w="2467" w:type="dxa"/>
            <w:tcBorders>
              <w:top w:val="single" w:color="auto" w:sz="4" w:space="0"/>
              <w:left w:val="single" w:color="auto" w:sz="4" w:space="0"/>
              <w:bottom w:val="single" w:color="auto" w:sz="4" w:space="0"/>
              <w:right w:val="single" w:color="auto" w:sz="4" w:space="0"/>
            </w:tcBorders>
            <w:vAlign w:val="center"/>
          </w:tcPr>
          <w:p w14:paraId="30BAE8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none"/>
                <w:lang w:val="en-US" w:eastAsia="zh-CN" w:bidi="ar"/>
                <w14:textFill>
                  <w14:solidFill>
                    <w14:schemeClr w14:val="tx1"/>
                  </w14:solidFill>
                </w14:textFill>
              </w:rPr>
              <w:t>上海辰锐/AUPS-200</w:t>
            </w:r>
          </w:p>
        </w:tc>
        <w:tc>
          <w:tcPr>
            <w:tcW w:w="1143" w:type="dxa"/>
            <w:tcBorders>
              <w:top w:val="single" w:color="auto" w:sz="4" w:space="0"/>
              <w:left w:val="single" w:color="auto" w:sz="4" w:space="0"/>
              <w:bottom w:val="single" w:color="auto" w:sz="4" w:space="0"/>
              <w:right w:val="single" w:color="auto" w:sz="4" w:space="0"/>
            </w:tcBorders>
            <w:vAlign w:val="center"/>
          </w:tcPr>
          <w:p w14:paraId="11BDBF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0CCC4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r>
    </w:tbl>
    <w:p w14:paraId="25B918DC">
      <w:pPr>
        <w:keepNext/>
        <w:keepLines/>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p>
    <w:p w14:paraId="7F40CE5C">
      <w:pPr>
        <w:keepNext/>
        <w:keepLines/>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bCs/>
          <w:color w:val="000000" w:themeColor="text1"/>
          <w:sz w:val="28"/>
          <w:szCs w:val="32"/>
          <w:highlight w:val="none"/>
          <w14:textFill>
            <w14:solidFill>
              <w14:schemeClr w14:val="tx1"/>
            </w14:solidFill>
          </w14:textFill>
        </w:rPr>
      </w:pPr>
      <w:r>
        <w:rPr>
          <w:rFonts w:hint="eastAsia" w:ascii="宋体" w:hAnsi="宋体" w:eastAsia="宋体" w:cs="宋体"/>
          <w:b/>
          <w:bCs/>
          <w:color w:val="000000" w:themeColor="text1"/>
          <w:sz w:val="28"/>
          <w:szCs w:val="32"/>
          <w:highlight w:val="none"/>
          <w14:textFill>
            <w14:solidFill>
              <w14:schemeClr w14:val="tx1"/>
            </w14:solidFill>
          </w14:textFill>
        </w:rPr>
        <w:t>（三）仅提供维护服务</w:t>
      </w:r>
    </w:p>
    <w:p w14:paraId="65A9C059">
      <w:pPr>
        <w:spacing w:line="480" w:lineRule="atLeast"/>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设备仅提供维护服务（即7*24小时技术服务，设备（含硬盘）如有故障，保证24小时内到达现场处置并进行故障判断，如设备发生故障，所产生故障设备修理、更换费用须提交采购凭证后，方可申报支付）。清单如下：</w:t>
      </w:r>
    </w:p>
    <w:tbl>
      <w:tblPr>
        <w:tblStyle w:val="53"/>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955"/>
        <w:gridCol w:w="2467"/>
        <w:gridCol w:w="1143"/>
        <w:gridCol w:w="1156"/>
      </w:tblGrid>
      <w:tr w14:paraId="6F8D0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04" w:type="dxa"/>
            <w:gridSpan w:val="5"/>
            <w:tcBorders>
              <w:top w:val="single" w:color="auto" w:sz="4" w:space="0"/>
              <w:left w:val="single" w:color="auto" w:sz="4" w:space="0"/>
              <w:bottom w:val="single" w:color="auto" w:sz="4" w:space="0"/>
              <w:right w:val="single" w:color="auto" w:sz="4" w:space="0"/>
            </w:tcBorders>
            <w:vAlign w:val="center"/>
          </w:tcPr>
          <w:p w14:paraId="747576E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b/>
                <w:color w:val="000000" w:themeColor="text1"/>
                <w:sz w:val="24"/>
                <w:highlight w:val="none"/>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K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0A88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04" w:type="dxa"/>
            <w:gridSpan w:val="5"/>
            <w:tcBorders>
              <w:top w:val="single" w:color="auto" w:sz="4" w:space="0"/>
              <w:left w:val="single" w:color="auto" w:sz="4" w:space="0"/>
              <w:bottom w:val="single" w:color="auto" w:sz="4" w:space="0"/>
              <w:right w:val="single" w:color="auto" w:sz="4" w:space="0"/>
            </w:tcBorders>
            <w:vAlign w:val="center"/>
          </w:tcPr>
          <w:p w14:paraId="6F12832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default" w:ascii="宋体" w:hAnsi="宋体" w:eastAsia="宋体" w:cs="宋体"/>
                <w:b/>
                <w:bCs/>
                <w:color w:val="000000" w:themeColor="text1"/>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sz w:val="28"/>
                <w:szCs w:val="28"/>
                <w:highlight w:val="none"/>
                <w:lang w:val="en-US" w:eastAsia="zh-CN"/>
                <w14:textFill>
                  <w14:solidFill>
                    <w14:schemeClr w14:val="tx1"/>
                  </w14:solidFill>
                </w14:textFill>
              </w:rPr>
              <w:t>K-2</w:t>
            </w:r>
            <w:r>
              <w:rPr>
                <w:rFonts w:hint="eastAsia" w:ascii="宋体" w:hAnsi="宋体" w:eastAsia="宋体" w:cs="宋体"/>
                <w:b/>
                <w:bCs/>
                <w:color w:val="000000" w:themeColor="text1"/>
                <w:kern w:val="2"/>
                <w:sz w:val="28"/>
                <w:szCs w:val="28"/>
                <w:highlight w:val="none"/>
                <w14:textFill>
                  <w14:solidFill>
                    <w14:schemeClr w14:val="tx1"/>
                  </w14:solidFill>
                </w14:textFill>
              </w:rPr>
              <w:t>平台</w:t>
            </w:r>
          </w:p>
        </w:tc>
      </w:tr>
      <w:tr w14:paraId="1A65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46422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序号</w:t>
            </w:r>
          </w:p>
        </w:tc>
        <w:tc>
          <w:tcPr>
            <w:tcW w:w="2955" w:type="dxa"/>
            <w:tcBorders>
              <w:top w:val="single" w:color="auto" w:sz="4" w:space="0"/>
              <w:left w:val="single" w:color="auto" w:sz="4" w:space="0"/>
              <w:bottom w:val="single" w:color="auto" w:sz="4" w:space="0"/>
              <w:right w:val="single" w:color="auto" w:sz="4" w:space="0"/>
            </w:tcBorders>
            <w:vAlign w:val="center"/>
          </w:tcPr>
          <w:p w14:paraId="16AF4A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设备名称</w:t>
            </w:r>
          </w:p>
        </w:tc>
        <w:tc>
          <w:tcPr>
            <w:tcW w:w="2467" w:type="dxa"/>
            <w:tcBorders>
              <w:top w:val="single" w:color="auto" w:sz="4" w:space="0"/>
              <w:left w:val="single" w:color="auto" w:sz="4" w:space="0"/>
              <w:bottom w:val="single" w:color="auto" w:sz="4" w:space="0"/>
              <w:right w:val="single" w:color="auto" w:sz="4" w:space="0"/>
            </w:tcBorders>
            <w:vAlign w:val="center"/>
          </w:tcPr>
          <w:p w14:paraId="09542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型号</w:t>
            </w:r>
          </w:p>
        </w:tc>
        <w:tc>
          <w:tcPr>
            <w:tcW w:w="1143" w:type="dxa"/>
            <w:tcBorders>
              <w:top w:val="single" w:color="auto" w:sz="4" w:space="0"/>
              <w:left w:val="single" w:color="auto" w:sz="4" w:space="0"/>
              <w:bottom w:val="single" w:color="auto" w:sz="4" w:space="0"/>
              <w:right w:val="single" w:color="auto" w:sz="4" w:space="0"/>
            </w:tcBorders>
            <w:vAlign w:val="center"/>
          </w:tcPr>
          <w:p w14:paraId="0307B5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单位</w:t>
            </w:r>
          </w:p>
        </w:tc>
        <w:tc>
          <w:tcPr>
            <w:tcW w:w="1156" w:type="dxa"/>
            <w:tcBorders>
              <w:top w:val="single" w:color="auto" w:sz="4" w:space="0"/>
              <w:left w:val="single" w:color="auto" w:sz="4" w:space="0"/>
              <w:bottom w:val="single" w:color="auto" w:sz="4" w:space="0"/>
              <w:right w:val="single" w:color="auto" w:sz="4" w:space="0"/>
            </w:tcBorders>
            <w:vAlign w:val="center"/>
          </w:tcPr>
          <w:p w14:paraId="5E3C36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outlineLvl w:val="9"/>
              <w:rPr>
                <w:rFonts w:hint="eastAsia"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数量</w:t>
            </w:r>
          </w:p>
        </w:tc>
      </w:tr>
      <w:tr w14:paraId="797D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7278A6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2955" w:type="dxa"/>
            <w:tcBorders>
              <w:top w:val="single" w:color="auto" w:sz="4" w:space="0"/>
              <w:left w:val="single" w:color="auto" w:sz="4" w:space="0"/>
              <w:bottom w:val="single" w:color="auto" w:sz="4" w:space="0"/>
              <w:right w:val="single" w:color="auto" w:sz="4" w:space="0"/>
            </w:tcBorders>
            <w:vAlign w:val="center"/>
          </w:tcPr>
          <w:p w14:paraId="665106B3">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华为服务器</w:t>
            </w:r>
          </w:p>
        </w:tc>
        <w:tc>
          <w:tcPr>
            <w:tcW w:w="2467" w:type="dxa"/>
            <w:tcBorders>
              <w:top w:val="single" w:color="auto" w:sz="4" w:space="0"/>
              <w:left w:val="single" w:color="auto" w:sz="4" w:space="0"/>
              <w:bottom w:val="single" w:color="auto" w:sz="4" w:space="0"/>
              <w:right w:val="single" w:color="auto" w:sz="4" w:space="0"/>
            </w:tcBorders>
            <w:vAlign w:val="center"/>
          </w:tcPr>
          <w:p w14:paraId="3914717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华为RH5885V3</w:t>
            </w:r>
          </w:p>
        </w:tc>
        <w:tc>
          <w:tcPr>
            <w:tcW w:w="1143" w:type="dxa"/>
            <w:tcBorders>
              <w:top w:val="single" w:color="auto" w:sz="4" w:space="0"/>
              <w:left w:val="single" w:color="auto" w:sz="4" w:space="0"/>
              <w:bottom w:val="single" w:color="auto" w:sz="4" w:space="0"/>
              <w:right w:val="single" w:color="auto" w:sz="4" w:space="0"/>
            </w:tcBorders>
            <w:vAlign w:val="center"/>
          </w:tcPr>
          <w:p w14:paraId="06662D1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311DDD7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r>
      <w:tr w14:paraId="4B9D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38B3A14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2955" w:type="dxa"/>
            <w:tcBorders>
              <w:top w:val="single" w:color="auto" w:sz="4" w:space="0"/>
              <w:left w:val="single" w:color="auto" w:sz="4" w:space="0"/>
              <w:bottom w:val="single" w:color="auto" w:sz="4" w:space="0"/>
              <w:right w:val="single" w:color="auto" w:sz="4" w:space="0"/>
            </w:tcBorders>
            <w:vAlign w:val="center"/>
          </w:tcPr>
          <w:p w14:paraId="65DD5DA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存储设备</w:t>
            </w:r>
          </w:p>
        </w:tc>
        <w:tc>
          <w:tcPr>
            <w:tcW w:w="2467" w:type="dxa"/>
            <w:tcBorders>
              <w:top w:val="single" w:color="auto" w:sz="4" w:space="0"/>
              <w:left w:val="single" w:color="auto" w:sz="4" w:space="0"/>
              <w:bottom w:val="single" w:color="auto" w:sz="4" w:space="0"/>
              <w:right w:val="single" w:color="auto" w:sz="4" w:space="0"/>
            </w:tcBorders>
            <w:vAlign w:val="center"/>
          </w:tcPr>
          <w:p w14:paraId="490B2989">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华为S2200T</w:t>
            </w:r>
          </w:p>
        </w:tc>
        <w:tc>
          <w:tcPr>
            <w:tcW w:w="1143" w:type="dxa"/>
            <w:tcBorders>
              <w:top w:val="single" w:color="auto" w:sz="4" w:space="0"/>
              <w:left w:val="single" w:color="auto" w:sz="4" w:space="0"/>
              <w:bottom w:val="single" w:color="auto" w:sz="4" w:space="0"/>
              <w:right w:val="single" w:color="auto" w:sz="4" w:space="0"/>
            </w:tcBorders>
            <w:vAlign w:val="center"/>
          </w:tcPr>
          <w:p w14:paraId="144D4491">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4B85BE1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r>
      <w:tr w14:paraId="086E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3D4493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c>
          <w:tcPr>
            <w:tcW w:w="2955" w:type="dxa"/>
            <w:tcBorders>
              <w:top w:val="single" w:color="auto" w:sz="4" w:space="0"/>
              <w:left w:val="single" w:color="auto" w:sz="4" w:space="0"/>
              <w:bottom w:val="single" w:color="auto" w:sz="4" w:space="0"/>
              <w:right w:val="single" w:color="auto" w:sz="4" w:space="0"/>
            </w:tcBorders>
            <w:vAlign w:val="center"/>
          </w:tcPr>
          <w:p w14:paraId="568847A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HBA卡设备</w:t>
            </w:r>
          </w:p>
        </w:tc>
        <w:tc>
          <w:tcPr>
            <w:tcW w:w="2467" w:type="dxa"/>
            <w:tcBorders>
              <w:top w:val="single" w:color="auto" w:sz="4" w:space="0"/>
              <w:left w:val="single" w:color="auto" w:sz="4" w:space="0"/>
              <w:bottom w:val="single" w:color="auto" w:sz="4" w:space="0"/>
              <w:right w:val="single" w:color="auto" w:sz="4" w:space="0"/>
            </w:tcBorders>
            <w:vAlign w:val="center"/>
          </w:tcPr>
          <w:p w14:paraId="6B01B3C3">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华为NS8GOLC00</w:t>
            </w:r>
          </w:p>
        </w:tc>
        <w:tc>
          <w:tcPr>
            <w:tcW w:w="1143" w:type="dxa"/>
            <w:tcBorders>
              <w:top w:val="single" w:color="auto" w:sz="4" w:space="0"/>
              <w:left w:val="single" w:color="auto" w:sz="4" w:space="0"/>
              <w:bottom w:val="single" w:color="auto" w:sz="4" w:space="0"/>
              <w:right w:val="single" w:color="auto" w:sz="4" w:space="0"/>
            </w:tcBorders>
            <w:vAlign w:val="center"/>
          </w:tcPr>
          <w:p w14:paraId="7ADD52A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4DAB8B59">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r>
      <w:tr w14:paraId="0F802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E9FBF4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4</w:t>
            </w:r>
          </w:p>
        </w:tc>
        <w:tc>
          <w:tcPr>
            <w:tcW w:w="2955" w:type="dxa"/>
            <w:tcBorders>
              <w:top w:val="single" w:color="auto" w:sz="4" w:space="0"/>
              <w:left w:val="single" w:color="auto" w:sz="4" w:space="0"/>
              <w:bottom w:val="single" w:color="auto" w:sz="4" w:space="0"/>
              <w:right w:val="single" w:color="auto" w:sz="4" w:space="0"/>
            </w:tcBorders>
            <w:vAlign w:val="center"/>
          </w:tcPr>
          <w:p w14:paraId="0E6E272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备份系统设备</w:t>
            </w:r>
          </w:p>
        </w:tc>
        <w:tc>
          <w:tcPr>
            <w:tcW w:w="2467" w:type="dxa"/>
            <w:tcBorders>
              <w:top w:val="single" w:color="auto" w:sz="4" w:space="0"/>
              <w:left w:val="single" w:color="auto" w:sz="4" w:space="0"/>
              <w:bottom w:val="single" w:color="auto" w:sz="4" w:space="0"/>
              <w:right w:val="single" w:color="auto" w:sz="4" w:space="0"/>
            </w:tcBorders>
            <w:vAlign w:val="center"/>
          </w:tcPr>
          <w:p w14:paraId="0961D67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信核NextorCS2012</w:t>
            </w:r>
          </w:p>
        </w:tc>
        <w:tc>
          <w:tcPr>
            <w:tcW w:w="1143" w:type="dxa"/>
            <w:tcBorders>
              <w:top w:val="single" w:color="auto" w:sz="4" w:space="0"/>
              <w:left w:val="single" w:color="auto" w:sz="4" w:space="0"/>
              <w:bottom w:val="single" w:color="auto" w:sz="4" w:space="0"/>
              <w:right w:val="single" w:color="auto" w:sz="4" w:space="0"/>
            </w:tcBorders>
            <w:vAlign w:val="center"/>
          </w:tcPr>
          <w:p w14:paraId="49B9F3A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5B1B5543">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r>
      <w:tr w14:paraId="5B71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CB7626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5</w:t>
            </w:r>
          </w:p>
        </w:tc>
        <w:tc>
          <w:tcPr>
            <w:tcW w:w="2955" w:type="dxa"/>
            <w:tcBorders>
              <w:top w:val="single" w:color="auto" w:sz="4" w:space="0"/>
              <w:left w:val="single" w:color="auto" w:sz="4" w:space="0"/>
              <w:bottom w:val="single" w:color="auto" w:sz="4" w:space="0"/>
              <w:right w:val="single" w:color="auto" w:sz="4" w:space="0"/>
            </w:tcBorders>
            <w:vAlign w:val="center"/>
          </w:tcPr>
          <w:p w14:paraId="2C52578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网络安全设备</w:t>
            </w:r>
          </w:p>
        </w:tc>
        <w:tc>
          <w:tcPr>
            <w:tcW w:w="2467" w:type="dxa"/>
            <w:tcBorders>
              <w:top w:val="single" w:color="auto" w:sz="4" w:space="0"/>
              <w:left w:val="single" w:color="auto" w:sz="4" w:space="0"/>
              <w:bottom w:val="single" w:color="auto" w:sz="4" w:space="0"/>
              <w:right w:val="single" w:color="auto" w:sz="4" w:space="0"/>
            </w:tcBorders>
            <w:vAlign w:val="center"/>
          </w:tcPr>
          <w:p w14:paraId="7C31AFC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网康NI3100-DI4</w:t>
            </w:r>
          </w:p>
        </w:tc>
        <w:tc>
          <w:tcPr>
            <w:tcW w:w="1143" w:type="dxa"/>
            <w:tcBorders>
              <w:top w:val="single" w:color="auto" w:sz="4" w:space="0"/>
              <w:left w:val="single" w:color="auto" w:sz="4" w:space="0"/>
              <w:bottom w:val="single" w:color="auto" w:sz="4" w:space="0"/>
              <w:right w:val="single" w:color="auto" w:sz="4" w:space="0"/>
            </w:tcBorders>
            <w:vAlign w:val="center"/>
          </w:tcPr>
          <w:p w14:paraId="130289C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262DF7D5">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r>
      <w:tr w14:paraId="7E50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551656D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6</w:t>
            </w:r>
          </w:p>
        </w:tc>
        <w:tc>
          <w:tcPr>
            <w:tcW w:w="2955" w:type="dxa"/>
            <w:tcBorders>
              <w:top w:val="single" w:color="auto" w:sz="4" w:space="0"/>
              <w:left w:val="single" w:color="auto" w:sz="4" w:space="0"/>
              <w:bottom w:val="single" w:color="auto" w:sz="4" w:space="0"/>
              <w:right w:val="single" w:color="auto" w:sz="4" w:space="0"/>
            </w:tcBorders>
            <w:vAlign w:val="center"/>
          </w:tcPr>
          <w:p w14:paraId="66808D2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数据交换机</w:t>
            </w:r>
          </w:p>
        </w:tc>
        <w:tc>
          <w:tcPr>
            <w:tcW w:w="2467" w:type="dxa"/>
            <w:tcBorders>
              <w:top w:val="single" w:color="auto" w:sz="4" w:space="0"/>
              <w:left w:val="single" w:color="auto" w:sz="4" w:space="0"/>
              <w:bottom w:val="single" w:color="auto" w:sz="4" w:space="0"/>
              <w:right w:val="single" w:color="auto" w:sz="4" w:space="0"/>
            </w:tcBorders>
            <w:vAlign w:val="center"/>
          </w:tcPr>
          <w:p w14:paraId="0DE71E9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华为S5700S-28PLI</w:t>
            </w:r>
          </w:p>
        </w:tc>
        <w:tc>
          <w:tcPr>
            <w:tcW w:w="1143" w:type="dxa"/>
            <w:tcBorders>
              <w:top w:val="single" w:color="auto" w:sz="4" w:space="0"/>
              <w:left w:val="single" w:color="auto" w:sz="4" w:space="0"/>
              <w:bottom w:val="single" w:color="auto" w:sz="4" w:space="0"/>
              <w:right w:val="single" w:color="auto" w:sz="4" w:space="0"/>
            </w:tcBorders>
            <w:vAlign w:val="center"/>
          </w:tcPr>
          <w:p w14:paraId="42A54FB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3088D9F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r>
      <w:tr w14:paraId="3BE3F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CA72B5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7</w:t>
            </w:r>
          </w:p>
        </w:tc>
        <w:tc>
          <w:tcPr>
            <w:tcW w:w="2955" w:type="dxa"/>
            <w:tcBorders>
              <w:top w:val="single" w:color="auto" w:sz="4" w:space="0"/>
              <w:left w:val="single" w:color="auto" w:sz="4" w:space="0"/>
              <w:bottom w:val="single" w:color="auto" w:sz="4" w:space="0"/>
              <w:right w:val="single" w:color="auto" w:sz="4" w:space="0"/>
            </w:tcBorders>
            <w:vAlign w:val="center"/>
          </w:tcPr>
          <w:p w14:paraId="76B9B8D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机架式KVM</w:t>
            </w:r>
          </w:p>
        </w:tc>
        <w:tc>
          <w:tcPr>
            <w:tcW w:w="2467" w:type="dxa"/>
            <w:tcBorders>
              <w:top w:val="single" w:color="auto" w:sz="4" w:space="0"/>
              <w:left w:val="single" w:color="auto" w:sz="4" w:space="0"/>
              <w:bottom w:val="single" w:color="auto" w:sz="4" w:space="0"/>
              <w:right w:val="single" w:color="auto" w:sz="4" w:space="0"/>
            </w:tcBorders>
            <w:vAlign w:val="center"/>
          </w:tcPr>
          <w:p w14:paraId="6EA00B4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鸿通科技E1916</w:t>
            </w:r>
          </w:p>
        </w:tc>
        <w:tc>
          <w:tcPr>
            <w:tcW w:w="1143" w:type="dxa"/>
            <w:tcBorders>
              <w:top w:val="single" w:color="auto" w:sz="4" w:space="0"/>
              <w:left w:val="single" w:color="auto" w:sz="4" w:space="0"/>
              <w:bottom w:val="single" w:color="auto" w:sz="4" w:space="0"/>
              <w:right w:val="single" w:color="auto" w:sz="4" w:space="0"/>
            </w:tcBorders>
            <w:vAlign w:val="center"/>
          </w:tcPr>
          <w:p w14:paraId="5BAA309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39A8AA7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r>
      <w:tr w14:paraId="660C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E3A942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8</w:t>
            </w:r>
          </w:p>
        </w:tc>
        <w:tc>
          <w:tcPr>
            <w:tcW w:w="2955" w:type="dxa"/>
            <w:tcBorders>
              <w:top w:val="single" w:color="auto" w:sz="4" w:space="0"/>
              <w:left w:val="single" w:color="auto" w:sz="4" w:space="0"/>
              <w:bottom w:val="single" w:color="auto" w:sz="4" w:space="0"/>
              <w:right w:val="single" w:color="auto" w:sz="4" w:space="0"/>
            </w:tcBorders>
            <w:vAlign w:val="center"/>
          </w:tcPr>
          <w:p w14:paraId="6D1FC28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数据查询主机</w:t>
            </w:r>
          </w:p>
        </w:tc>
        <w:tc>
          <w:tcPr>
            <w:tcW w:w="2467" w:type="dxa"/>
            <w:tcBorders>
              <w:top w:val="single" w:color="auto" w:sz="4" w:space="0"/>
              <w:left w:val="single" w:color="auto" w:sz="4" w:space="0"/>
              <w:bottom w:val="single" w:color="auto" w:sz="4" w:space="0"/>
              <w:right w:val="single" w:color="auto" w:sz="4" w:space="0"/>
            </w:tcBorders>
            <w:vAlign w:val="center"/>
          </w:tcPr>
          <w:p w14:paraId="0FB06C85">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爱闰科技AIRUN-22TA</w:t>
            </w:r>
          </w:p>
        </w:tc>
        <w:tc>
          <w:tcPr>
            <w:tcW w:w="1143" w:type="dxa"/>
            <w:tcBorders>
              <w:top w:val="single" w:color="auto" w:sz="4" w:space="0"/>
              <w:left w:val="single" w:color="auto" w:sz="4" w:space="0"/>
              <w:bottom w:val="single" w:color="auto" w:sz="4" w:space="0"/>
              <w:right w:val="single" w:color="auto" w:sz="4" w:space="0"/>
            </w:tcBorders>
            <w:vAlign w:val="center"/>
          </w:tcPr>
          <w:p w14:paraId="574AC05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536FE7E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w:t>
            </w:r>
          </w:p>
        </w:tc>
      </w:tr>
      <w:tr w14:paraId="304E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04" w:type="dxa"/>
            <w:gridSpan w:val="5"/>
            <w:tcBorders>
              <w:top w:val="single" w:color="auto" w:sz="4" w:space="0"/>
              <w:left w:val="single" w:color="auto" w:sz="4" w:space="0"/>
              <w:bottom w:val="single" w:color="auto" w:sz="4" w:space="0"/>
              <w:right w:val="single" w:color="auto" w:sz="4" w:space="0"/>
            </w:tcBorders>
            <w:vAlign w:val="center"/>
          </w:tcPr>
          <w:p w14:paraId="2619385B">
            <w:pPr>
              <w:keepNext w:val="0"/>
              <w:keepLines w:val="0"/>
              <w:widowControl/>
              <w:suppressLineNumbers w:val="0"/>
              <w:spacing w:before="100" w:beforeAutospacing="1" w:after="100" w:afterAutospacing="1" w:line="340" w:lineRule="exact"/>
              <w:ind w:left="0" w:right="0"/>
              <w:jc w:val="center"/>
              <w:rPr>
                <w:rFonts w:hint="default" w:ascii="宋体" w:hAnsi="宋体" w:eastAsia="宋体" w:cs="宋体"/>
                <w:b/>
                <w:bCs/>
                <w:color w:val="000000" w:themeColor="text1"/>
                <w:kern w:val="44"/>
                <w:sz w:val="28"/>
                <w:szCs w:val="28"/>
                <w:highlight w:val="none"/>
                <w:lang w:val="en-US" w:eastAsia="zh-CN"/>
                <w14:textFill>
                  <w14:solidFill>
                    <w14:schemeClr w14:val="tx1"/>
                  </w14:solidFill>
                </w14:textFill>
              </w:rPr>
            </w:pPr>
            <w:r>
              <w:rPr>
                <w:rFonts w:hint="eastAsia" w:ascii="宋体" w:hAnsi="宋体" w:eastAsia="宋体" w:cs="宋体"/>
                <w:b/>
                <w:bCs/>
                <w:color w:val="000000" w:themeColor="text1"/>
                <w:kern w:val="44"/>
                <w:sz w:val="28"/>
                <w:szCs w:val="28"/>
                <w:highlight w:val="none"/>
                <w:lang w:val="en-US" w:eastAsia="zh-CN"/>
                <w14:textFill>
                  <w14:solidFill>
                    <w14:schemeClr w14:val="tx1"/>
                  </w14:solidFill>
                </w14:textFill>
              </w:rPr>
              <w:t xml:space="preserve">Q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4DB87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04" w:type="dxa"/>
            <w:gridSpan w:val="5"/>
            <w:tcBorders>
              <w:top w:val="single" w:color="auto" w:sz="4" w:space="0"/>
              <w:left w:val="single" w:color="auto" w:sz="4" w:space="0"/>
              <w:bottom w:val="single" w:color="auto" w:sz="4" w:space="0"/>
              <w:right w:val="single" w:color="auto" w:sz="4" w:space="0"/>
            </w:tcBorders>
            <w:vAlign w:val="center"/>
          </w:tcPr>
          <w:p w14:paraId="43E33CF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44"/>
                <w:sz w:val="28"/>
                <w:szCs w:val="28"/>
                <w:highlight w:val="none"/>
                <w:lang w:val="en-US" w:eastAsia="zh-CN"/>
                <w14:textFill>
                  <w14:solidFill>
                    <w14:schemeClr w14:val="tx1"/>
                  </w14:solidFill>
                </w14:textFill>
              </w:rPr>
              <w:t>Q-3平台</w:t>
            </w:r>
          </w:p>
        </w:tc>
      </w:tr>
      <w:tr w14:paraId="4CF97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7AFDA7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序号</w:t>
            </w:r>
          </w:p>
        </w:tc>
        <w:tc>
          <w:tcPr>
            <w:tcW w:w="2955" w:type="dxa"/>
            <w:tcBorders>
              <w:top w:val="single" w:color="auto" w:sz="4" w:space="0"/>
              <w:left w:val="single" w:color="auto" w:sz="4" w:space="0"/>
              <w:bottom w:val="single" w:color="auto" w:sz="4" w:space="0"/>
              <w:right w:val="single" w:color="auto" w:sz="4" w:space="0"/>
            </w:tcBorders>
            <w:vAlign w:val="center"/>
          </w:tcPr>
          <w:p w14:paraId="66C3C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设备名称</w:t>
            </w:r>
          </w:p>
        </w:tc>
        <w:tc>
          <w:tcPr>
            <w:tcW w:w="2467" w:type="dxa"/>
            <w:tcBorders>
              <w:top w:val="single" w:color="auto" w:sz="4" w:space="0"/>
              <w:left w:val="single" w:color="auto" w:sz="4" w:space="0"/>
              <w:bottom w:val="single" w:color="auto" w:sz="4" w:space="0"/>
              <w:right w:val="single" w:color="auto" w:sz="4" w:space="0"/>
            </w:tcBorders>
            <w:vAlign w:val="center"/>
          </w:tcPr>
          <w:p w14:paraId="172C7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型号</w:t>
            </w:r>
          </w:p>
        </w:tc>
        <w:tc>
          <w:tcPr>
            <w:tcW w:w="1143" w:type="dxa"/>
            <w:tcBorders>
              <w:top w:val="single" w:color="auto" w:sz="4" w:space="0"/>
              <w:left w:val="single" w:color="auto" w:sz="4" w:space="0"/>
              <w:bottom w:val="single" w:color="auto" w:sz="4" w:space="0"/>
              <w:right w:val="single" w:color="auto" w:sz="4" w:space="0"/>
            </w:tcBorders>
            <w:vAlign w:val="center"/>
          </w:tcPr>
          <w:p w14:paraId="62DDDC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单位</w:t>
            </w:r>
          </w:p>
        </w:tc>
        <w:tc>
          <w:tcPr>
            <w:tcW w:w="1156" w:type="dxa"/>
            <w:tcBorders>
              <w:top w:val="single" w:color="auto" w:sz="4" w:space="0"/>
              <w:left w:val="single" w:color="auto" w:sz="4" w:space="0"/>
              <w:bottom w:val="single" w:color="auto" w:sz="4" w:space="0"/>
              <w:right w:val="single" w:color="auto" w:sz="4" w:space="0"/>
            </w:tcBorders>
            <w:vAlign w:val="center"/>
          </w:tcPr>
          <w:p w14:paraId="356D08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lang w:val="en-US" w:eastAsia="zh-CN"/>
                <w14:textFill>
                  <w14:solidFill>
                    <w14:schemeClr w14:val="tx1"/>
                  </w14:solidFill>
                </w14:textFill>
              </w:rPr>
              <w:t>数量</w:t>
            </w:r>
          </w:p>
        </w:tc>
      </w:tr>
      <w:tr w14:paraId="6E876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661934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c>
          <w:tcPr>
            <w:tcW w:w="2955" w:type="dxa"/>
            <w:tcBorders>
              <w:top w:val="single" w:color="auto" w:sz="4" w:space="0"/>
              <w:left w:val="single" w:color="auto" w:sz="4" w:space="0"/>
              <w:bottom w:val="single" w:color="auto" w:sz="4" w:space="0"/>
              <w:right w:val="single" w:color="auto" w:sz="4" w:space="0"/>
            </w:tcBorders>
            <w:vAlign w:val="center"/>
          </w:tcPr>
          <w:p w14:paraId="1095FC40">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Q-3</w:t>
            </w:r>
            <w:r>
              <w:rPr>
                <w:rFonts w:hint="eastAsia" w:ascii="宋体" w:hAnsi="宋体" w:eastAsia="宋体" w:cs="宋体"/>
                <w:color w:val="000000" w:themeColor="text1"/>
                <w:kern w:val="0"/>
                <w:szCs w:val="21"/>
                <w:highlight w:val="none"/>
                <w14:textFill>
                  <w14:solidFill>
                    <w14:schemeClr w14:val="tx1"/>
                  </w14:solidFill>
                </w14:textFill>
              </w:rPr>
              <w:t>平台服务器</w:t>
            </w:r>
          </w:p>
        </w:tc>
        <w:tc>
          <w:tcPr>
            <w:tcW w:w="2467" w:type="dxa"/>
            <w:tcBorders>
              <w:top w:val="single" w:color="auto" w:sz="4" w:space="0"/>
              <w:left w:val="single" w:color="auto" w:sz="4" w:space="0"/>
              <w:bottom w:val="single" w:color="auto" w:sz="4" w:space="0"/>
              <w:right w:val="single" w:color="auto" w:sz="4" w:space="0"/>
            </w:tcBorders>
            <w:vAlign w:val="center"/>
          </w:tcPr>
          <w:p w14:paraId="4F9E880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宝德PR2715P2</w:t>
            </w:r>
          </w:p>
        </w:tc>
        <w:tc>
          <w:tcPr>
            <w:tcW w:w="1143" w:type="dxa"/>
            <w:tcBorders>
              <w:top w:val="single" w:color="auto" w:sz="4" w:space="0"/>
              <w:left w:val="single" w:color="auto" w:sz="4" w:space="0"/>
              <w:bottom w:val="single" w:color="auto" w:sz="4" w:space="0"/>
              <w:right w:val="single" w:color="auto" w:sz="4" w:space="0"/>
            </w:tcBorders>
            <w:vAlign w:val="center"/>
          </w:tcPr>
          <w:p w14:paraId="5DCFE1CB">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34D17101">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r>
      <w:tr w14:paraId="3E89F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0874BB7D">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c>
          <w:tcPr>
            <w:tcW w:w="2955" w:type="dxa"/>
            <w:tcBorders>
              <w:top w:val="single" w:color="auto" w:sz="4" w:space="0"/>
              <w:left w:val="single" w:color="auto" w:sz="4" w:space="0"/>
              <w:bottom w:val="single" w:color="auto" w:sz="4" w:space="0"/>
              <w:right w:val="single" w:color="auto" w:sz="4" w:space="0"/>
            </w:tcBorders>
            <w:vAlign w:val="center"/>
          </w:tcPr>
          <w:p w14:paraId="4FBA13E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Q-3</w:t>
            </w:r>
            <w:r>
              <w:rPr>
                <w:rFonts w:hint="eastAsia" w:ascii="宋体" w:hAnsi="宋体" w:eastAsia="宋体" w:cs="宋体"/>
                <w:color w:val="000000" w:themeColor="text1"/>
                <w:kern w:val="0"/>
                <w:szCs w:val="21"/>
                <w:highlight w:val="none"/>
                <w14:textFill>
                  <w14:solidFill>
                    <w14:schemeClr w14:val="tx1"/>
                  </w14:solidFill>
                </w14:textFill>
              </w:rPr>
              <w:t>平台服务器</w:t>
            </w:r>
          </w:p>
        </w:tc>
        <w:tc>
          <w:tcPr>
            <w:tcW w:w="2467" w:type="dxa"/>
            <w:tcBorders>
              <w:top w:val="single" w:color="auto" w:sz="4" w:space="0"/>
              <w:left w:val="single" w:color="auto" w:sz="4" w:space="0"/>
              <w:bottom w:val="single" w:color="auto" w:sz="4" w:space="0"/>
              <w:right w:val="single" w:color="auto" w:sz="4" w:space="0"/>
            </w:tcBorders>
            <w:vAlign w:val="center"/>
          </w:tcPr>
          <w:p w14:paraId="7462CAF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宝德PR4865P2</w:t>
            </w:r>
          </w:p>
        </w:tc>
        <w:tc>
          <w:tcPr>
            <w:tcW w:w="1143" w:type="dxa"/>
            <w:tcBorders>
              <w:top w:val="single" w:color="auto" w:sz="4" w:space="0"/>
              <w:left w:val="single" w:color="auto" w:sz="4" w:space="0"/>
              <w:bottom w:val="single" w:color="auto" w:sz="4" w:space="0"/>
              <w:right w:val="single" w:color="auto" w:sz="4" w:space="0"/>
            </w:tcBorders>
            <w:vAlign w:val="center"/>
          </w:tcPr>
          <w:p w14:paraId="44A2A5B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5C9AF53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r>
      <w:tr w14:paraId="3466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AC8029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c>
          <w:tcPr>
            <w:tcW w:w="2955" w:type="dxa"/>
            <w:tcBorders>
              <w:top w:val="single" w:color="auto" w:sz="4" w:space="0"/>
              <w:left w:val="single" w:color="auto" w:sz="4" w:space="0"/>
              <w:bottom w:val="single" w:color="auto" w:sz="4" w:space="0"/>
              <w:right w:val="single" w:color="auto" w:sz="4" w:space="0"/>
            </w:tcBorders>
            <w:vAlign w:val="center"/>
          </w:tcPr>
          <w:p w14:paraId="6DE3764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Q-3</w:t>
            </w:r>
            <w:r>
              <w:rPr>
                <w:rFonts w:hint="eastAsia" w:ascii="宋体" w:hAnsi="宋体" w:eastAsia="宋体" w:cs="宋体"/>
                <w:color w:val="000000" w:themeColor="text1"/>
                <w:kern w:val="0"/>
                <w:szCs w:val="21"/>
                <w:highlight w:val="none"/>
                <w14:textFill>
                  <w14:solidFill>
                    <w14:schemeClr w14:val="tx1"/>
                  </w14:solidFill>
                </w14:textFill>
              </w:rPr>
              <w:t>平台服务器</w:t>
            </w:r>
          </w:p>
        </w:tc>
        <w:tc>
          <w:tcPr>
            <w:tcW w:w="2467" w:type="dxa"/>
            <w:tcBorders>
              <w:top w:val="single" w:color="auto" w:sz="4" w:space="0"/>
              <w:left w:val="single" w:color="auto" w:sz="4" w:space="0"/>
              <w:bottom w:val="single" w:color="auto" w:sz="4" w:space="0"/>
              <w:right w:val="single" w:color="auto" w:sz="4" w:space="0"/>
            </w:tcBorders>
            <w:vAlign w:val="center"/>
          </w:tcPr>
          <w:p w14:paraId="208B1FA2">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宝德PR2710P</w:t>
            </w:r>
          </w:p>
        </w:tc>
        <w:tc>
          <w:tcPr>
            <w:tcW w:w="1143" w:type="dxa"/>
            <w:tcBorders>
              <w:top w:val="single" w:color="auto" w:sz="4" w:space="0"/>
              <w:left w:val="single" w:color="auto" w:sz="4" w:space="0"/>
              <w:bottom w:val="single" w:color="auto" w:sz="4" w:space="0"/>
              <w:right w:val="single" w:color="auto" w:sz="4" w:space="0"/>
            </w:tcBorders>
            <w:vAlign w:val="center"/>
          </w:tcPr>
          <w:p w14:paraId="367BBABA">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7E66BD5B">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w:t>
            </w:r>
          </w:p>
        </w:tc>
      </w:tr>
      <w:tr w14:paraId="6E8E9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5D44F38B">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c>
          <w:tcPr>
            <w:tcW w:w="2955" w:type="dxa"/>
            <w:tcBorders>
              <w:top w:val="single" w:color="auto" w:sz="4" w:space="0"/>
              <w:left w:val="single" w:color="auto" w:sz="4" w:space="0"/>
              <w:bottom w:val="single" w:color="auto" w:sz="4" w:space="0"/>
              <w:right w:val="single" w:color="auto" w:sz="4" w:space="0"/>
            </w:tcBorders>
            <w:vAlign w:val="center"/>
          </w:tcPr>
          <w:p w14:paraId="10FA02F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Q-3</w:t>
            </w:r>
            <w:r>
              <w:rPr>
                <w:rFonts w:hint="eastAsia" w:ascii="宋体" w:hAnsi="宋体" w:eastAsia="宋体" w:cs="宋体"/>
                <w:color w:val="000000" w:themeColor="text1"/>
                <w:kern w:val="0"/>
                <w:szCs w:val="21"/>
                <w:highlight w:val="none"/>
                <w14:textFill>
                  <w14:solidFill>
                    <w14:schemeClr w14:val="tx1"/>
                  </w14:solidFill>
                </w14:textFill>
              </w:rPr>
              <w:t>平台服务器</w:t>
            </w:r>
          </w:p>
        </w:tc>
        <w:tc>
          <w:tcPr>
            <w:tcW w:w="2467" w:type="dxa"/>
            <w:tcBorders>
              <w:top w:val="single" w:color="auto" w:sz="4" w:space="0"/>
              <w:left w:val="single" w:color="auto" w:sz="4" w:space="0"/>
              <w:bottom w:val="single" w:color="auto" w:sz="4" w:space="0"/>
              <w:right w:val="single" w:color="auto" w:sz="4" w:space="0"/>
            </w:tcBorders>
            <w:vAlign w:val="center"/>
          </w:tcPr>
          <w:p w14:paraId="34510F5B">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宝德PR2710P</w:t>
            </w:r>
          </w:p>
        </w:tc>
        <w:tc>
          <w:tcPr>
            <w:tcW w:w="1143" w:type="dxa"/>
            <w:tcBorders>
              <w:top w:val="single" w:color="auto" w:sz="4" w:space="0"/>
              <w:left w:val="single" w:color="auto" w:sz="4" w:space="0"/>
              <w:bottom w:val="single" w:color="auto" w:sz="4" w:space="0"/>
              <w:right w:val="single" w:color="auto" w:sz="4" w:space="0"/>
            </w:tcBorders>
            <w:vAlign w:val="center"/>
          </w:tcPr>
          <w:p w14:paraId="5135E5B3">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0A7F5068">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4</w:t>
            </w:r>
          </w:p>
        </w:tc>
      </w:tr>
      <w:tr w14:paraId="1224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6308271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w:t>
            </w:r>
          </w:p>
        </w:tc>
        <w:tc>
          <w:tcPr>
            <w:tcW w:w="2955" w:type="dxa"/>
            <w:tcBorders>
              <w:top w:val="single" w:color="auto" w:sz="4" w:space="0"/>
              <w:left w:val="single" w:color="auto" w:sz="4" w:space="0"/>
              <w:bottom w:val="single" w:color="auto" w:sz="4" w:space="0"/>
              <w:right w:val="single" w:color="auto" w:sz="4" w:space="0"/>
            </w:tcBorders>
            <w:vAlign w:val="center"/>
          </w:tcPr>
          <w:p w14:paraId="4B20E1F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Q-3</w:t>
            </w:r>
            <w:r>
              <w:rPr>
                <w:rFonts w:hint="eastAsia" w:ascii="宋体" w:hAnsi="宋体" w:eastAsia="宋体" w:cs="宋体"/>
                <w:color w:val="000000" w:themeColor="text1"/>
                <w:kern w:val="0"/>
                <w:szCs w:val="21"/>
                <w:highlight w:val="none"/>
                <w14:textFill>
                  <w14:solidFill>
                    <w14:schemeClr w14:val="tx1"/>
                  </w14:solidFill>
                </w14:textFill>
              </w:rPr>
              <w:t>平台服务器</w:t>
            </w:r>
          </w:p>
        </w:tc>
        <w:tc>
          <w:tcPr>
            <w:tcW w:w="2467" w:type="dxa"/>
            <w:tcBorders>
              <w:top w:val="single" w:color="auto" w:sz="4" w:space="0"/>
              <w:left w:val="single" w:color="auto" w:sz="4" w:space="0"/>
              <w:bottom w:val="single" w:color="auto" w:sz="4" w:space="0"/>
              <w:right w:val="single" w:color="auto" w:sz="4" w:space="0"/>
            </w:tcBorders>
            <w:vAlign w:val="center"/>
          </w:tcPr>
          <w:p w14:paraId="03A80C8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宝德PR2710P</w:t>
            </w:r>
          </w:p>
        </w:tc>
        <w:tc>
          <w:tcPr>
            <w:tcW w:w="1143" w:type="dxa"/>
            <w:tcBorders>
              <w:top w:val="single" w:color="auto" w:sz="4" w:space="0"/>
              <w:left w:val="single" w:color="auto" w:sz="4" w:space="0"/>
              <w:bottom w:val="single" w:color="auto" w:sz="4" w:space="0"/>
              <w:right w:val="single" w:color="auto" w:sz="4" w:space="0"/>
            </w:tcBorders>
            <w:vAlign w:val="center"/>
          </w:tcPr>
          <w:p w14:paraId="18A0BDC4">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58A882C4">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3</w:t>
            </w:r>
          </w:p>
        </w:tc>
      </w:tr>
      <w:tr w14:paraId="4752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1470D464">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6</w:t>
            </w:r>
          </w:p>
        </w:tc>
        <w:tc>
          <w:tcPr>
            <w:tcW w:w="2955" w:type="dxa"/>
            <w:tcBorders>
              <w:top w:val="single" w:color="auto" w:sz="4" w:space="0"/>
              <w:left w:val="single" w:color="auto" w:sz="4" w:space="0"/>
              <w:bottom w:val="single" w:color="auto" w:sz="4" w:space="0"/>
              <w:right w:val="single" w:color="auto" w:sz="4" w:space="0"/>
            </w:tcBorders>
            <w:vAlign w:val="center"/>
          </w:tcPr>
          <w:p w14:paraId="32FF34BC">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Q-3</w:t>
            </w:r>
            <w:r>
              <w:rPr>
                <w:rFonts w:hint="eastAsia" w:ascii="宋体" w:hAnsi="宋体" w:eastAsia="宋体" w:cs="宋体"/>
                <w:color w:val="000000" w:themeColor="text1"/>
                <w:kern w:val="0"/>
                <w:szCs w:val="21"/>
                <w:highlight w:val="none"/>
                <w14:textFill>
                  <w14:solidFill>
                    <w14:schemeClr w14:val="tx1"/>
                  </w14:solidFill>
                </w14:textFill>
              </w:rPr>
              <w:t>平台服务器</w:t>
            </w:r>
          </w:p>
        </w:tc>
        <w:tc>
          <w:tcPr>
            <w:tcW w:w="2467" w:type="dxa"/>
            <w:tcBorders>
              <w:top w:val="single" w:color="auto" w:sz="4" w:space="0"/>
              <w:left w:val="single" w:color="auto" w:sz="4" w:space="0"/>
              <w:bottom w:val="single" w:color="auto" w:sz="4" w:space="0"/>
              <w:right w:val="single" w:color="auto" w:sz="4" w:space="0"/>
            </w:tcBorders>
            <w:vAlign w:val="center"/>
          </w:tcPr>
          <w:p w14:paraId="7A7FB9D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中科可控R5230HA</w:t>
            </w:r>
          </w:p>
        </w:tc>
        <w:tc>
          <w:tcPr>
            <w:tcW w:w="1143" w:type="dxa"/>
            <w:tcBorders>
              <w:top w:val="single" w:color="auto" w:sz="4" w:space="0"/>
              <w:left w:val="single" w:color="auto" w:sz="4" w:space="0"/>
              <w:bottom w:val="single" w:color="auto" w:sz="4" w:space="0"/>
              <w:right w:val="single" w:color="auto" w:sz="4" w:space="0"/>
            </w:tcBorders>
            <w:vAlign w:val="center"/>
          </w:tcPr>
          <w:p w14:paraId="64B7E2CE">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74A4C045">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r>
      <w:tr w14:paraId="23B6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3" w:type="dxa"/>
            <w:tcBorders>
              <w:top w:val="single" w:color="auto" w:sz="4" w:space="0"/>
              <w:left w:val="single" w:color="auto" w:sz="4" w:space="0"/>
              <w:bottom w:val="single" w:color="auto" w:sz="4" w:space="0"/>
              <w:right w:val="single" w:color="auto" w:sz="4" w:space="0"/>
            </w:tcBorders>
            <w:vAlign w:val="center"/>
          </w:tcPr>
          <w:p w14:paraId="20E92515">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7</w:t>
            </w:r>
          </w:p>
        </w:tc>
        <w:tc>
          <w:tcPr>
            <w:tcW w:w="2955" w:type="dxa"/>
            <w:tcBorders>
              <w:top w:val="single" w:color="auto" w:sz="4" w:space="0"/>
              <w:left w:val="single" w:color="auto" w:sz="4" w:space="0"/>
              <w:bottom w:val="single" w:color="auto" w:sz="4" w:space="0"/>
              <w:right w:val="single" w:color="auto" w:sz="4" w:space="0"/>
            </w:tcBorders>
            <w:vAlign w:val="center"/>
          </w:tcPr>
          <w:p w14:paraId="5BD7E02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Q-3</w:t>
            </w:r>
            <w:r>
              <w:rPr>
                <w:rFonts w:hint="eastAsia" w:ascii="宋体" w:hAnsi="宋体" w:eastAsia="宋体" w:cs="宋体"/>
                <w:color w:val="000000" w:themeColor="text1"/>
                <w:kern w:val="0"/>
                <w:szCs w:val="21"/>
                <w:highlight w:val="none"/>
                <w14:textFill>
                  <w14:solidFill>
                    <w14:schemeClr w14:val="tx1"/>
                  </w14:solidFill>
                </w14:textFill>
              </w:rPr>
              <w:t>平台服务器</w:t>
            </w:r>
          </w:p>
        </w:tc>
        <w:tc>
          <w:tcPr>
            <w:tcW w:w="2467" w:type="dxa"/>
            <w:tcBorders>
              <w:top w:val="single" w:color="auto" w:sz="4" w:space="0"/>
              <w:left w:val="single" w:color="auto" w:sz="4" w:space="0"/>
              <w:bottom w:val="single" w:color="auto" w:sz="4" w:space="0"/>
              <w:right w:val="single" w:color="auto" w:sz="4" w:space="0"/>
            </w:tcBorders>
            <w:vAlign w:val="center"/>
          </w:tcPr>
          <w:p w14:paraId="28D22E67">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中科可控R5230HA</w:t>
            </w:r>
          </w:p>
        </w:tc>
        <w:tc>
          <w:tcPr>
            <w:tcW w:w="1143" w:type="dxa"/>
            <w:tcBorders>
              <w:top w:val="single" w:color="auto" w:sz="4" w:space="0"/>
              <w:left w:val="single" w:color="auto" w:sz="4" w:space="0"/>
              <w:bottom w:val="single" w:color="auto" w:sz="4" w:space="0"/>
              <w:right w:val="single" w:color="auto" w:sz="4" w:space="0"/>
            </w:tcBorders>
            <w:vAlign w:val="center"/>
          </w:tcPr>
          <w:p w14:paraId="0478617F">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台</w:t>
            </w:r>
          </w:p>
        </w:tc>
        <w:tc>
          <w:tcPr>
            <w:tcW w:w="1156" w:type="dxa"/>
            <w:tcBorders>
              <w:top w:val="single" w:color="auto" w:sz="4" w:space="0"/>
              <w:left w:val="single" w:color="auto" w:sz="4" w:space="0"/>
              <w:bottom w:val="single" w:color="auto" w:sz="4" w:space="0"/>
              <w:right w:val="single" w:color="auto" w:sz="4" w:space="0"/>
            </w:tcBorders>
            <w:vAlign w:val="center"/>
          </w:tcPr>
          <w:p w14:paraId="38C06606">
            <w:pPr>
              <w:keepNext w:val="0"/>
              <w:keepLines w:val="0"/>
              <w:pageBreakBefore w:val="0"/>
              <w:widowControl/>
              <w:suppressLineNumbers w:val="0"/>
              <w:kinsoku/>
              <w:wordWrap/>
              <w:overflowPunct/>
              <w:topLinePunct w:val="0"/>
              <w:autoSpaceDE/>
              <w:autoSpaceDN/>
              <w:bidi w:val="0"/>
              <w:adjustRightInd/>
              <w:snapToGrid/>
              <w:spacing w:before="100" w:beforeAutospacing="1" w:after="100" w:afterAutospacing="1" w:line="340" w:lineRule="exact"/>
              <w:ind w:left="0" w:right="0"/>
              <w:jc w:val="center"/>
              <w:outlineLvl w:val="9"/>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1</w:t>
            </w:r>
          </w:p>
        </w:tc>
      </w:tr>
    </w:tbl>
    <w:p w14:paraId="7B92573A">
      <w:pPr>
        <w:spacing w:line="480" w:lineRule="atLeast"/>
        <w:ind w:firstLine="480" w:firstLineChars="200"/>
        <w:rPr>
          <w:rFonts w:ascii="宋体" w:hAnsi="宋体" w:cs="宋体"/>
          <w:color w:val="000000" w:themeColor="text1"/>
          <w:sz w:val="24"/>
          <w:highlight w:val="none"/>
          <w14:textFill>
            <w14:solidFill>
              <w14:schemeClr w14:val="tx1"/>
            </w14:solidFill>
          </w14:textFill>
        </w:rPr>
      </w:pPr>
    </w:p>
    <w:p w14:paraId="65277C58">
      <w:pPr>
        <w:keepNext/>
        <w:keepLines/>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b/>
          <w:bCs/>
          <w:color w:val="000000" w:themeColor="text1"/>
          <w:kern w:val="44"/>
          <w:sz w:val="32"/>
          <w:szCs w:val="44"/>
          <w:highlight w:val="none"/>
          <w:lang w:eastAsia="zh-CN"/>
          <w14:textFill>
            <w14:solidFill>
              <w14:schemeClr w14:val="tx1"/>
            </w14:solidFill>
          </w14:textFill>
        </w:rPr>
      </w:pPr>
      <w:bookmarkStart w:id="78" w:name="_Toc772"/>
      <w:r>
        <w:rPr>
          <w:rFonts w:hint="eastAsia" w:ascii="宋体" w:hAnsi="宋体" w:cs="宋体"/>
          <w:b/>
          <w:bCs/>
          <w:color w:val="000000" w:themeColor="text1"/>
          <w:kern w:val="44"/>
          <w:sz w:val="32"/>
          <w:szCs w:val="44"/>
          <w:highlight w:val="none"/>
          <w14:textFill>
            <w14:solidFill>
              <w14:schemeClr w14:val="tx1"/>
            </w14:solidFill>
          </w14:textFill>
        </w:rPr>
        <w:t>六、备品备件</w:t>
      </w:r>
      <w:bookmarkEnd w:id="78"/>
      <w:r>
        <w:rPr>
          <w:rFonts w:hint="eastAsia" w:ascii="宋体" w:hAnsi="宋体" w:cs="宋体"/>
          <w:b/>
          <w:bCs/>
          <w:color w:val="000000" w:themeColor="text1"/>
          <w:kern w:val="44"/>
          <w:sz w:val="32"/>
          <w:szCs w:val="44"/>
          <w:highlight w:val="none"/>
          <w:lang w:eastAsia="zh-CN"/>
          <w14:textFill>
            <w14:solidFill>
              <w14:schemeClr w14:val="tx1"/>
            </w14:solidFill>
          </w14:textFill>
        </w:rPr>
        <w:t>服务</w:t>
      </w:r>
    </w:p>
    <w:p w14:paraId="3CEE6146">
      <w:pPr>
        <w:spacing w:line="480" w:lineRule="atLeast"/>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szCs w:val="21"/>
          <w:highlight w:val="none"/>
          <w14:textFill>
            <w14:solidFill>
              <w14:schemeClr w14:val="tx1"/>
            </w14:solidFill>
          </w14:textFill>
        </w:rPr>
        <w:t>购买原厂维保的备品备件均要求原厂维护工程师免费故障诊断、安装与调试，保证更换后设备恢复正常</w:t>
      </w:r>
      <w:r>
        <w:rPr>
          <w:rFonts w:hint="eastAsia" w:ascii="宋体" w:hAnsi="宋体" w:cs="宋体"/>
          <w:color w:val="000000" w:themeColor="text1"/>
          <w:sz w:val="24"/>
          <w:szCs w:val="21"/>
          <w:highlight w:val="none"/>
          <w:lang w:eastAsia="zh-CN"/>
          <w14:textFill>
            <w14:solidFill>
              <w14:schemeClr w14:val="tx1"/>
            </w14:solidFill>
          </w14:textFill>
        </w:rPr>
        <w:t>，备品备件质保期自更换使用后起算至少</w:t>
      </w:r>
      <w:r>
        <w:rPr>
          <w:rFonts w:hint="eastAsia" w:ascii="宋体" w:hAnsi="宋体" w:cs="宋体"/>
          <w:color w:val="000000" w:themeColor="text1"/>
          <w:sz w:val="24"/>
          <w:szCs w:val="21"/>
          <w:highlight w:val="none"/>
          <w:lang w:val="en-US" w:eastAsia="zh-CN"/>
          <w14:textFill>
            <w14:solidFill>
              <w14:schemeClr w14:val="tx1"/>
            </w14:solidFill>
          </w14:textFill>
        </w:rPr>
        <w:t>1年</w:t>
      </w:r>
      <w:r>
        <w:rPr>
          <w:rFonts w:hint="eastAsia" w:ascii="宋体" w:hAnsi="宋体" w:cs="宋体"/>
          <w:color w:val="000000" w:themeColor="text1"/>
          <w:sz w:val="24"/>
          <w:szCs w:val="21"/>
          <w:highlight w:val="none"/>
          <w14:textFill>
            <w14:solidFill>
              <w14:schemeClr w14:val="tx1"/>
            </w14:solidFill>
          </w14:textFill>
        </w:rPr>
        <w:t>。</w:t>
      </w:r>
      <w:r>
        <w:rPr>
          <w:rFonts w:hint="eastAsia" w:ascii="宋体" w:hAnsi="宋体" w:cs="宋体"/>
          <w:color w:val="000000" w:themeColor="text1"/>
          <w:sz w:val="24"/>
          <w:szCs w:val="21"/>
          <w:highlight w:val="none"/>
          <w:lang w:eastAsia="zh-CN"/>
          <w14:textFill>
            <w14:solidFill>
              <w14:schemeClr w14:val="tx1"/>
            </w14:solidFill>
          </w14:textFill>
        </w:rPr>
        <w:t>提供兼容于以下配置参数的备品备件，</w:t>
      </w:r>
      <w:r>
        <w:rPr>
          <w:rFonts w:hint="eastAsia" w:ascii="宋体" w:hAnsi="宋体" w:cs="宋体"/>
          <w:color w:val="000000" w:themeColor="text1"/>
          <w:sz w:val="24"/>
          <w:szCs w:val="21"/>
          <w:highlight w:val="none"/>
          <w14:textFill>
            <w14:solidFill>
              <w14:schemeClr w14:val="tx1"/>
            </w14:solidFill>
          </w14:textFill>
        </w:rPr>
        <w:t>所有备品备件均需提供采购凭证。</w:t>
      </w:r>
      <w:r>
        <w:rPr>
          <w:rFonts w:hint="eastAsia" w:ascii="宋体" w:hAnsi="宋体" w:cs="宋体"/>
          <w:color w:val="000000" w:themeColor="text1"/>
          <w:sz w:val="24"/>
          <w:highlight w:val="none"/>
          <w14:textFill>
            <w14:solidFill>
              <w14:schemeClr w14:val="tx1"/>
            </w14:solidFill>
          </w14:textFill>
        </w:rPr>
        <w:t>清单如下：</w:t>
      </w:r>
    </w:p>
    <w:tbl>
      <w:tblPr>
        <w:tblStyle w:val="5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68"/>
        <w:gridCol w:w="2865"/>
        <w:gridCol w:w="675"/>
        <w:gridCol w:w="735"/>
        <w:gridCol w:w="2006"/>
      </w:tblGrid>
      <w:tr w14:paraId="11943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520" w:type="dxa"/>
            <w:gridSpan w:val="6"/>
            <w:tcBorders>
              <w:top w:val="single" w:color="auto" w:sz="4" w:space="0"/>
              <w:left w:val="single" w:color="auto" w:sz="4" w:space="0"/>
              <w:bottom w:val="single" w:color="auto" w:sz="4" w:space="0"/>
              <w:right w:val="single" w:color="auto" w:sz="4" w:space="0"/>
            </w:tcBorders>
            <w:vAlign w:val="center"/>
          </w:tcPr>
          <w:p w14:paraId="2B3DED5B">
            <w:pPr>
              <w:keepNext w:val="0"/>
              <w:keepLines w:val="0"/>
              <w:suppressLineNumbers w:val="0"/>
              <w:spacing w:before="0" w:beforeAutospacing="0" w:after="0" w:afterAutospacing="0" w:line="340" w:lineRule="exact"/>
              <w:ind w:left="0" w:right="0"/>
              <w:jc w:val="center"/>
              <w:rPr>
                <w:rFonts w:hint="default" w:ascii="宋体" w:hAnsi="宋体" w:cs="宋体"/>
                <w:b/>
                <w:color w:val="000000" w:themeColor="text1"/>
                <w:szCs w:val="21"/>
                <w:highlight w:val="none"/>
                <w14:textFill>
                  <w14:solidFill>
                    <w14:schemeClr w14:val="tx1"/>
                  </w14:solidFill>
                </w14:textFill>
              </w:rPr>
            </w:pPr>
            <w:r>
              <w:rPr>
                <w:rFonts w:hint="eastAsia" w:ascii="宋体" w:hAnsi="宋体" w:cs="宋体"/>
                <w:b/>
                <w:bCs/>
                <w:color w:val="000000" w:themeColor="text1"/>
                <w:kern w:val="44"/>
                <w:sz w:val="32"/>
                <w:szCs w:val="44"/>
                <w:highlight w:val="none"/>
                <w:lang w:val="en-US" w:eastAsia="zh-CN"/>
                <w14:textFill>
                  <w14:solidFill>
                    <w14:schemeClr w14:val="tx1"/>
                  </w14:solidFill>
                </w14:textFill>
              </w:rPr>
              <w:t xml:space="preserve">K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7DCA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520" w:type="dxa"/>
            <w:gridSpan w:val="6"/>
            <w:tcBorders>
              <w:top w:val="single" w:color="auto" w:sz="4" w:space="0"/>
              <w:left w:val="single" w:color="auto" w:sz="4" w:space="0"/>
              <w:bottom w:val="single" w:color="auto" w:sz="4" w:space="0"/>
              <w:right w:val="single" w:color="auto" w:sz="4" w:space="0"/>
            </w:tcBorders>
            <w:vAlign w:val="center"/>
          </w:tcPr>
          <w:p w14:paraId="7353C8A3">
            <w:pPr>
              <w:keepNext w:val="0"/>
              <w:keepLines w:val="0"/>
              <w:suppressLineNumbers w:val="0"/>
              <w:spacing w:before="0" w:beforeAutospacing="0" w:after="0" w:afterAutospacing="0" w:line="340" w:lineRule="exact"/>
              <w:ind w:left="0" w:right="0"/>
              <w:jc w:val="center"/>
              <w:rPr>
                <w:rFonts w:hint="eastAsia" w:ascii="宋体" w:hAnsi="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cs="宋体"/>
                <w:b/>
                <w:bCs/>
                <w:color w:val="000000" w:themeColor="text1"/>
                <w:kern w:val="44"/>
                <w:sz w:val="28"/>
                <w:szCs w:val="28"/>
                <w:highlight w:val="none"/>
                <w:lang w:val="en-US" w:eastAsia="zh-CN"/>
                <w14:textFill>
                  <w14:solidFill>
                    <w14:schemeClr w14:val="tx1"/>
                  </w14:solidFill>
                </w14:textFill>
              </w:rPr>
              <w:t>K-3</w:t>
            </w:r>
            <w:r>
              <w:rPr>
                <w:rFonts w:hint="eastAsia" w:ascii="宋体" w:hAnsi="宋体" w:cs="宋体"/>
                <w:b/>
                <w:bCs/>
                <w:color w:val="000000" w:themeColor="text1"/>
                <w:kern w:val="44"/>
                <w:sz w:val="28"/>
                <w:szCs w:val="28"/>
                <w:highlight w:val="none"/>
                <w14:textFill>
                  <w14:solidFill>
                    <w14:schemeClr w14:val="tx1"/>
                  </w14:solidFill>
                </w14:textFill>
              </w:rPr>
              <w:t>平台</w:t>
            </w:r>
          </w:p>
        </w:tc>
      </w:tr>
      <w:tr w14:paraId="65E1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3E6DFB46">
            <w:pPr>
              <w:keepNext w:val="0"/>
              <w:keepLines w:val="0"/>
              <w:widowControl/>
              <w:suppressLineNumbers w:val="0"/>
              <w:spacing w:before="0" w:beforeAutospacing="0" w:after="0" w:afterAutospacing="0" w:line="340" w:lineRule="exact"/>
              <w:ind w:left="0" w:right="0"/>
              <w:jc w:val="center"/>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序号</w:t>
            </w:r>
          </w:p>
        </w:tc>
        <w:tc>
          <w:tcPr>
            <w:tcW w:w="1568" w:type="dxa"/>
            <w:tcBorders>
              <w:top w:val="single" w:color="auto" w:sz="4" w:space="0"/>
              <w:left w:val="single" w:color="auto" w:sz="4" w:space="0"/>
              <w:bottom w:val="single" w:color="auto" w:sz="4" w:space="0"/>
              <w:right w:val="single" w:color="auto" w:sz="4" w:space="0"/>
            </w:tcBorders>
            <w:vAlign w:val="center"/>
          </w:tcPr>
          <w:p w14:paraId="6772FDC1">
            <w:pPr>
              <w:keepNext w:val="0"/>
              <w:keepLines w:val="0"/>
              <w:widowControl/>
              <w:suppressLineNumbers w:val="0"/>
              <w:spacing w:before="0" w:beforeAutospacing="0" w:after="0" w:afterAutospacing="0" w:line="340" w:lineRule="exact"/>
              <w:ind w:left="0" w:right="0"/>
              <w:jc w:val="center"/>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备品备件名称</w:t>
            </w:r>
          </w:p>
        </w:tc>
        <w:tc>
          <w:tcPr>
            <w:tcW w:w="2865" w:type="dxa"/>
            <w:tcBorders>
              <w:top w:val="single" w:color="auto" w:sz="4" w:space="0"/>
              <w:left w:val="single" w:color="auto" w:sz="4" w:space="0"/>
              <w:bottom w:val="single" w:color="auto" w:sz="4" w:space="0"/>
              <w:right w:val="single" w:color="auto" w:sz="4" w:space="0"/>
            </w:tcBorders>
            <w:vAlign w:val="center"/>
          </w:tcPr>
          <w:p w14:paraId="2BB21C08">
            <w:pPr>
              <w:keepNext w:val="0"/>
              <w:keepLines w:val="0"/>
              <w:widowControl/>
              <w:suppressLineNumbers w:val="0"/>
              <w:spacing w:before="0" w:beforeAutospacing="0" w:after="0" w:afterAutospacing="0" w:line="340" w:lineRule="exact"/>
              <w:ind w:left="0" w:right="0"/>
              <w:jc w:val="center"/>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配置参数</w:t>
            </w:r>
          </w:p>
        </w:tc>
        <w:tc>
          <w:tcPr>
            <w:tcW w:w="675" w:type="dxa"/>
            <w:tcBorders>
              <w:top w:val="single" w:color="auto" w:sz="4" w:space="0"/>
              <w:left w:val="single" w:color="auto" w:sz="4" w:space="0"/>
              <w:bottom w:val="single" w:color="auto" w:sz="4" w:space="0"/>
              <w:right w:val="single" w:color="auto" w:sz="4" w:space="0"/>
            </w:tcBorders>
            <w:vAlign w:val="center"/>
          </w:tcPr>
          <w:p w14:paraId="7ACC3AF7">
            <w:pPr>
              <w:keepNext w:val="0"/>
              <w:keepLines w:val="0"/>
              <w:widowControl/>
              <w:suppressLineNumbers w:val="0"/>
              <w:spacing w:before="0" w:beforeAutospacing="0" w:after="0" w:afterAutospacing="0" w:line="340" w:lineRule="exact"/>
              <w:ind w:left="0" w:right="0"/>
              <w:jc w:val="center"/>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单位</w:t>
            </w:r>
          </w:p>
        </w:tc>
        <w:tc>
          <w:tcPr>
            <w:tcW w:w="735" w:type="dxa"/>
            <w:tcBorders>
              <w:top w:val="single" w:color="auto" w:sz="4" w:space="0"/>
              <w:left w:val="single" w:color="auto" w:sz="4" w:space="0"/>
              <w:bottom w:val="single" w:color="auto" w:sz="4" w:space="0"/>
              <w:right w:val="single" w:color="auto" w:sz="4" w:space="0"/>
            </w:tcBorders>
            <w:vAlign w:val="center"/>
          </w:tcPr>
          <w:p w14:paraId="5182B310">
            <w:pPr>
              <w:keepNext w:val="0"/>
              <w:keepLines w:val="0"/>
              <w:widowControl/>
              <w:suppressLineNumbers w:val="0"/>
              <w:spacing w:before="0" w:beforeAutospacing="0" w:after="0" w:afterAutospacing="0" w:line="340" w:lineRule="exact"/>
              <w:ind w:left="0" w:right="0"/>
              <w:jc w:val="center"/>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数量</w:t>
            </w:r>
          </w:p>
        </w:tc>
        <w:tc>
          <w:tcPr>
            <w:tcW w:w="2006" w:type="dxa"/>
            <w:tcBorders>
              <w:top w:val="single" w:color="auto" w:sz="4" w:space="0"/>
              <w:left w:val="single" w:color="auto" w:sz="4" w:space="0"/>
              <w:bottom w:val="single" w:color="auto" w:sz="4" w:space="0"/>
              <w:right w:val="single" w:color="auto" w:sz="4" w:space="0"/>
            </w:tcBorders>
            <w:vAlign w:val="center"/>
          </w:tcPr>
          <w:p w14:paraId="42581C8B">
            <w:pPr>
              <w:keepNext w:val="0"/>
              <w:keepLines w:val="0"/>
              <w:widowControl/>
              <w:suppressLineNumbers w:val="0"/>
              <w:spacing w:before="0" w:beforeAutospacing="0" w:after="0" w:afterAutospacing="0" w:line="340" w:lineRule="exact"/>
              <w:ind w:left="0" w:right="0"/>
              <w:jc w:val="center"/>
              <w:rPr>
                <w:rFonts w:hint="eastAsia" w:ascii="宋体" w:hAnsi="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存放地点</w:t>
            </w:r>
          </w:p>
        </w:tc>
      </w:tr>
      <w:tr w14:paraId="0C22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F3FF7F3">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1568" w:type="dxa"/>
            <w:tcBorders>
              <w:top w:val="single" w:color="auto" w:sz="4" w:space="0"/>
              <w:left w:val="single" w:color="auto" w:sz="4" w:space="0"/>
              <w:bottom w:val="single" w:color="auto" w:sz="4" w:space="0"/>
              <w:right w:val="single" w:color="auto" w:sz="4" w:space="0"/>
            </w:tcBorders>
            <w:vAlign w:val="center"/>
          </w:tcPr>
          <w:p w14:paraId="3DAE9D31">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Cpu</w:t>
            </w:r>
          </w:p>
        </w:tc>
        <w:tc>
          <w:tcPr>
            <w:tcW w:w="2865" w:type="dxa"/>
            <w:tcBorders>
              <w:top w:val="single" w:color="auto" w:sz="4" w:space="0"/>
              <w:left w:val="single" w:color="auto" w:sz="4" w:space="0"/>
              <w:bottom w:val="single" w:color="auto" w:sz="4" w:space="0"/>
              <w:right w:val="single" w:color="auto" w:sz="4" w:space="0"/>
            </w:tcBorders>
            <w:vAlign w:val="center"/>
          </w:tcPr>
          <w:p w14:paraId="0D1E58DA">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14核心28线程*2</w:t>
            </w:r>
          </w:p>
        </w:tc>
        <w:tc>
          <w:tcPr>
            <w:tcW w:w="675" w:type="dxa"/>
            <w:tcBorders>
              <w:top w:val="single" w:color="auto" w:sz="4" w:space="0"/>
              <w:left w:val="single" w:color="auto" w:sz="4" w:space="0"/>
              <w:bottom w:val="single" w:color="auto" w:sz="4" w:space="0"/>
              <w:right w:val="single" w:color="auto" w:sz="4" w:space="0"/>
            </w:tcBorders>
            <w:vAlign w:val="center"/>
          </w:tcPr>
          <w:p w14:paraId="6ACDC9F5">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100BE6B4">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006" w:type="dxa"/>
            <w:tcBorders>
              <w:top w:val="single" w:color="auto" w:sz="4" w:space="0"/>
              <w:left w:val="single" w:color="auto" w:sz="4" w:space="0"/>
              <w:bottom w:val="single" w:color="auto" w:sz="4" w:space="0"/>
              <w:right w:val="single" w:color="auto" w:sz="4" w:space="0"/>
            </w:tcBorders>
            <w:vAlign w:val="center"/>
          </w:tcPr>
          <w:p w14:paraId="0D3ED3A5">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采购人备品备件库</w:t>
            </w:r>
          </w:p>
        </w:tc>
      </w:tr>
      <w:tr w14:paraId="254D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630617DC">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1568" w:type="dxa"/>
            <w:tcBorders>
              <w:top w:val="single" w:color="auto" w:sz="4" w:space="0"/>
              <w:left w:val="single" w:color="auto" w:sz="4" w:space="0"/>
              <w:bottom w:val="single" w:color="auto" w:sz="4" w:space="0"/>
              <w:right w:val="single" w:color="auto" w:sz="4" w:space="0"/>
            </w:tcBorders>
            <w:vAlign w:val="center"/>
          </w:tcPr>
          <w:p w14:paraId="28203600">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内存条</w:t>
            </w:r>
          </w:p>
        </w:tc>
        <w:tc>
          <w:tcPr>
            <w:tcW w:w="2865" w:type="dxa"/>
            <w:tcBorders>
              <w:top w:val="single" w:color="auto" w:sz="4" w:space="0"/>
              <w:left w:val="single" w:color="auto" w:sz="4" w:space="0"/>
              <w:bottom w:val="single" w:color="auto" w:sz="4" w:space="0"/>
              <w:right w:val="single" w:color="auto" w:sz="4" w:space="0"/>
            </w:tcBorders>
            <w:vAlign w:val="center"/>
          </w:tcPr>
          <w:p w14:paraId="0A1706B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16g</w:t>
            </w:r>
          </w:p>
        </w:tc>
        <w:tc>
          <w:tcPr>
            <w:tcW w:w="675" w:type="dxa"/>
            <w:tcBorders>
              <w:top w:val="single" w:color="auto" w:sz="4" w:space="0"/>
              <w:left w:val="single" w:color="auto" w:sz="4" w:space="0"/>
              <w:bottom w:val="single" w:color="auto" w:sz="4" w:space="0"/>
              <w:right w:val="single" w:color="auto" w:sz="4" w:space="0"/>
            </w:tcBorders>
            <w:vAlign w:val="center"/>
          </w:tcPr>
          <w:p w14:paraId="6C97F68C">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条</w:t>
            </w:r>
          </w:p>
        </w:tc>
        <w:tc>
          <w:tcPr>
            <w:tcW w:w="735" w:type="dxa"/>
            <w:tcBorders>
              <w:top w:val="single" w:color="auto" w:sz="4" w:space="0"/>
              <w:left w:val="single" w:color="auto" w:sz="4" w:space="0"/>
              <w:bottom w:val="single" w:color="auto" w:sz="4" w:space="0"/>
              <w:right w:val="single" w:color="auto" w:sz="4" w:space="0"/>
            </w:tcBorders>
            <w:vAlign w:val="center"/>
          </w:tcPr>
          <w:p w14:paraId="7066E65F">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006" w:type="dxa"/>
            <w:tcBorders>
              <w:top w:val="single" w:color="auto" w:sz="4" w:space="0"/>
              <w:left w:val="single" w:color="auto" w:sz="4" w:space="0"/>
              <w:bottom w:val="single" w:color="auto" w:sz="4" w:space="0"/>
              <w:right w:val="single" w:color="auto" w:sz="4" w:space="0"/>
            </w:tcBorders>
            <w:vAlign w:val="center"/>
          </w:tcPr>
          <w:p w14:paraId="1CC8334C">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供应商备件库</w:t>
            </w:r>
          </w:p>
        </w:tc>
      </w:tr>
      <w:tr w14:paraId="1826D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6F26091">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1568" w:type="dxa"/>
            <w:tcBorders>
              <w:top w:val="single" w:color="auto" w:sz="4" w:space="0"/>
              <w:left w:val="single" w:color="auto" w:sz="4" w:space="0"/>
              <w:bottom w:val="single" w:color="auto" w:sz="4" w:space="0"/>
              <w:right w:val="single" w:color="auto" w:sz="4" w:space="0"/>
            </w:tcBorders>
            <w:vAlign w:val="center"/>
          </w:tcPr>
          <w:p w14:paraId="18A410C1">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SSD固态</w:t>
            </w:r>
          </w:p>
        </w:tc>
        <w:tc>
          <w:tcPr>
            <w:tcW w:w="2865" w:type="dxa"/>
            <w:tcBorders>
              <w:top w:val="single" w:color="auto" w:sz="4" w:space="0"/>
              <w:left w:val="single" w:color="auto" w:sz="4" w:space="0"/>
              <w:bottom w:val="single" w:color="auto" w:sz="4" w:space="0"/>
              <w:right w:val="single" w:color="auto" w:sz="4" w:space="0"/>
            </w:tcBorders>
            <w:vAlign w:val="center"/>
          </w:tcPr>
          <w:p w14:paraId="1C454D0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240G</w:t>
            </w:r>
          </w:p>
        </w:tc>
        <w:tc>
          <w:tcPr>
            <w:tcW w:w="675" w:type="dxa"/>
            <w:tcBorders>
              <w:top w:val="single" w:color="auto" w:sz="4" w:space="0"/>
              <w:left w:val="single" w:color="auto" w:sz="4" w:space="0"/>
              <w:bottom w:val="single" w:color="auto" w:sz="4" w:space="0"/>
              <w:right w:val="single" w:color="auto" w:sz="4" w:space="0"/>
            </w:tcBorders>
            <w:vAlign w:val="center"/>
          </w:tcPr>
          <w:p w14:paraId="02C67D31">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42AD9689">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006" w:type="dxa"/>
            <w:tcBorders>
              <w:top w:val="single" w:color="auto" w:sz="4" w:space="0"/>
              <w:left w:val="single" w:color="auto" w:sz="4" w:space="0"/>
              <w:bottom w:val="single" w:color="auto" w:sz="4" w:space="0"/>
              <w:right w:val="single" w:color="auto" w:sz="4" w:space="0"/>
            </w:tcBorders>
            <w:vAlign w:val="center"/>
          </w:tcPr>
          <w:p w14:paraId="317E1474">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供应商备件库</w:t>
            </w:r>
          </w:p>
        </w:tc>
      </w:tr>
      <w:tr w14:paraId="23488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520" w:type="dxa"/>
            <w:gridSpan w:val="6"/>
            <w:tcBorders>
              <w:top w:val="single" w:color="auto" w:sz="4" w:space="0"/>
              <w:left w:val="single" w:color="auto" w:sz="4" w:space="0"/>
              <w:bottom w:val="single" w:color="auto" w:sz="4" w:space="0"/>
              <w:right w:val="single" w:color="auto" w:sz="4" w:space="0"/>
            </w:tcBorders>
            <w:vAlign w:val="center"/>
          </w:tcPr>
          <w:p w14:paraId="28740E62">
            <w:pPr>
              <w:keepNext w:val="0"/>
              <w:keepLines w:val="0"/>
              <w:suppressLineNumbers w:val="0"/>
              <w:spacing w:before="0" w:beforeAutospacing="0" w:after="0" w:afterAutospacing="0" w:line="340" w:lineRule="exact"/>
              <w:ind w:left="0" w:leftChars="0" w:right="0" w:rightChars="0"/>
              <w:jc w:val="cente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pPr>
            <w:r>
              <w:rPr>
                <w:rFonts w:hint="eastAsia" w:ascii="宋体" w:hAnsi="宋体" w:cs="宋体"/>
                <w:b/>
                <w:bCs/>
                <w:color w:val="000000" w:themeColor="text1"/>
                <w:kern w:val="44"/>
                <w:sz w:val="32"/>
                <w:szCs w:val="44"/>
                <w:highlight w:val="none"/>
                <w:lang w:val="en-US" w:eastAsia="zh-CN"/>
                <w14:textFill>
                  <w14:solidFill>
                    <w14:schemeClr w14:val="tx1"/>
                  </w14:solidFill>
                </w14:textFill>
              </w:rPr>
              <w:t xml:space="preserve">O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69F1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520" w:type="dxa"/>
            <w:gridSpan w:val="6"/>
            <w:tcBorders>
              <w:top w:val="single" w:color="auto" w:sz="4" w:space="0"/>
              <w:left w:val="single" w:color="auto" w:sz="4" w:space="0"/>
              <w:bottom w:val="single" w:color="auto" w:sz="4" w:space="0"/>
              <w:right w:val="single" w:color="auto" w:sz="4" w:space="0"/>
            </w:tcBorders>
            <w:vAlign w:val="center"/>
          </w:tcPr>
          <w:p w14:paraId="57E20FD7">
            <w:pPr>
              <w:keepNext w:val="0"/>
              <w:keepLines w:val="0"/>
              <w:suppressLineNumbers w:val="0"/>
              <w:spacing w:before="0" w:beforeAutospacing="0" w:after="0" w:afterAutospacing="0" w:line="340" w:lineRule="exact"/>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44"/>
                <w:sz w:val="28"/>
                <w:szCs w:val="28"/>
                <w:highlight w:val="none"/>
                <w:lang w:val="en-US" w:eastAsia="zh-CN"/>
                <w14:textFill>
                  <w14:solidFill>
                    <w14:schemeClr w14:val="tx1"/>
                  </w14:solidFill>
                </w14:textFill>
              </w:rPr>
              <w:t>O-4至O-9</w:t>
            </w:r>
            <w:r>
              <w:rPr>
                <w:rFonts w:hint="eastAsia" w:ascii="宋体" w:hAnsi="宋体" w:cs="宋体"/>
                <w:b/>
                <w:bCs/>
                <w:color w:val="000000" w:themeColor="text1"/>
                <w:kern w:val="44"/>
                <w:sz w:val="28"/>
                <w:szCs w:val="28"/>
                <w:highlight w:val="none"/>
                <w:lang w:eastAsia="zh-CN"/>
                <w14:textFill>
                  <w14:solidFill>
                    <w14:schemeClr w14:val="tx1"/>
                  </w14:solidFill>
                </w14:textFill>
              </w:rPr>
              <w:t>平台</w:t>
            </w:r>
          </w:p>
        </w:tc>
      </w:tr>
      <w:tr w14:paraId="2980E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69A75BE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序号</w:t>
            </w:r>
          </w:p>
        </w:tc>
        <w:tc>
          <w:tcPr>
            <w:tcW w:w="1568" w:type="dxa"/>
            <w:tcBorders>
              <w:top w:val="single" w:color="auto" w:sz="4" w:space="0"/>
              <w:left w:val="single" w:color="auto" w:sz="4" w:space="0"/>
              <w:bottom w:val="single" w:color="auto" w:sz="4" w:space="0"/>
              <w:right w:val="single" w:color="auto" w:sz="4" w:space="0"/>
            </w:tcBorders>
            <w:vAlign w:val="center"/>
          </w:tcPr>
          <w:p w14:paraId="7BB1F4C6">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备品备件名称</w:t>
            </w:r>
          </w:p>
        </w:tc>
        <w:tc>
          <w:tcPr>
            <w:tcW w:w="2865" w:type="dxa"/>
            <w:tcBorders>
              <w:top w:val="single" w:color="auto" w:sz="4" w:space="0"/>
              <w:left w:val="single" w:color="auto" w:sz="4" w:space="0"/>
              <w:bottom w:val="single" w:color="auto" w:sz="4" w:space="0"/>
              <w:right w:val="single" w:color="auto" w:sz="4" w:space="0"/>
            </w:tcBorders>
            <w:vAlign w:val="center"/>
          </w:tcPr>
          <w:p w14:paraId="4EF56ADA">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配置参数</w:t>
            </w:r>
          </w:p>
        </w:tc>
        <w:tc>
          <w:tcPr>
            <w:tcW w:w="675" w:type="dxa"/>
            <w:tcBorders>
              <w:top w:val="single" w:color="auto" w:sz="4" w:space="0"/>
              <w:left w:val="single" w:color="auto" w:sz="4" w:space="0"/>
              <w:bottom w:val="single" w:color="auto" w:sz="4" w:space="0"/>
              <w:right w:val="single" w:color="auto" w:sz="4" w:space="0"/>
            </w:tcBorders>
            <w:vAlign w:val="center"/>
          </w:tcPr>
          <w:p w14:paraId="4E209B67">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单位</w:t>
            </w:r>
          </w:p>
        </w:tc>
        <w:tc>
          <w:tcPr>
            <w:tcW w:w="735" w:type="dxa"/>
            <w:tcBorders>
              <w:top w:val="single" w:color="auto" w:sz="4" w:space="0"/>
              <w:left w:val="single" w:color="auto" w:sz="4" w:space="0"/>
              <w:bottom w:val="single" w:color="auto" w:sz="4" w:space="0"/>
              <w:right w:val="single" w:color="auto" w:sz="4" w:space="0"/>
            </w:tcBorders>
            <w:vAlign w:val="center"/>
          </w:tcPr>
          <w:p w14:paraId="5FB3DA39">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数量</w:t>
            </w:r>
          </w:p>
        </w:tc>
        <w:tc>
          <w:tcPr>
            <w:tcW w:w="2006" w:type="dxa"/>
            <w:tcBorders>
              <w:top w:val="single" w:color="auto" w:sz="4" w:space="0"/>
              <w:left w:val="single" w:color="auto" w:sz="4" w:space="0"/>
              <w:bottom w:val="single" w:color="auto" w:sz="4" w:space="0"/>
              <w:right w:val="single" w:color="auto" w:sz="4" w:space="0"/>
            </w:tcBorders>
            <w:vAlign w:val="center"/>
          </w:tcPr>
          <w:p w14:paraId="460E9693">
            <w:pPr>
              <w:keepNext w:val="0"/>
              <w:keepLines w:val="0"/>
              <w:widowControl/>
              <w:suppressLineNumbers w:val="0"/>
              <w:spacing w:before="0" w:beforeAutospacing="0" w:after="0" w:afterAutospacing="0" w:line="340" w:lineRule="exact"/>
              <w:ind w:left="0" w:leftChars="0" w:right="0" w:rightChars="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存放地点</w:t>
            </w:r>
          </w:p>
        </w:tc>
      </w:tr>
      <w:tr w14:paraId="6D6A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8E0762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w:t>
            </w:r>
          </w:p>
        </w:tc>
        <w:tc>
          <w:tcPr>
            <w:tcW w:w="1568" w:type="dxa"/>
            <w:vMerge w:val="restart"/>
            <w:tcBorders>
              <w:top w:val="single" w:color="auto" w:sz="4" w:space="0"/>
              <w:left w:val="single" w:color="auto" w:sz="4" w:space="0"/>
              <w:right w:val="single" w:color="auto" w:sz="4" w:space="0"/>
            </w:tcBorders>
            <w:vAlign w:val="center"/>
          </w:tcPr>
          <w:p w14:paraId="6916F92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高性能服务器配件</w:t>
            </w:r>
          </w:p>
        </w:tc>
        <w:tc>
          <w:tcPr>
            <w:tcW w:w="2865" w:type="dxa"/>
            <w:tcBorders>
              <w:top w:val="single" w:color="auto" w:sz="4" w:space="0"/>
              <w:left w:val="single" w:color="auto" w:sz="4" w:space="0"/>
              <w:bottom w:val="single" w:color="auto" w:sz="4" w:space="0"/>
              <w:right w:val="single" w:color="auto" w:sz="4" w:space="0"/>
            </w:tcBorders>
            <w:vAlign w:val="center"/>
          </w:tcPr>
          <w:p w14:paraId="4A5692D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内存：Hynix 8G DIMM 2133 MHz </w:t>
            </w:r>
          </w:p>
        </w:tc>
        <w:tc>
          <w:tcPr>
            <w:tcW w:w="675" w:type="dxa"/>
            <w:tcBorders>
              <w:top w:val="single" w:color="auto" w:sz="4" w:space="0"/>
              <w:left w:val="single" w:color="auto" w:sz="4" w:space="0"/>
              <w:bottom w:val="single" w:color="auto" w:sz="4" w:space="0"/>
              <w:right w:val="single" w:color="auto" w:sz="4" w:space="0"/>
            </w:tcBorders>
            <w:vAlign w:val="center"/>
          </w:tcPr>
          <w:p w14:paraId="3635CC5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20EA441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006" w:type="dxa"/>
            <w:tcBorders>
              <w:top w:val="single" w:color="auto" w:sz="4" w:space="0"/>
              <w:left w:val="single" w:color="auto" w:sz="4" w:space="0"/>
              <w:bottom w:val="single" w:color="auto" w:sz="4" w:space="0"/>
              <w:right w:val="single" w:color="auto" w:sz="4" w:space="0"/>
            </w:tcBorders>
            <w:vAlign w:val="center"/>
          </w:tcPr>
          <w:p w14:paraId="3B826B7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005C7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4E95F3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p>
        </w:tc>
        <w:tc>
          <w:tcPr>
            <w:tcW w:w="1568" w:type="dxa"/>
            <w:vMerge w:val="continue"/>
            <w:tcBorders>
              <w:left w:val="single" w:color="auto" w:sz="4" w:space="0"/>
              <w:right w:val="single" w:color="auto" w:sz="4" w:space="0"/>
            </w:tcBorders>
            <w:vAlign w:val="center"/>
          </w:tcPr>
          <w:p w14:paraId="6979A7E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3C6DEC4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硬盘：2.5英寸机械盘 10000转 900GB SAS  </w:t>
            </w:r>
          </w:p>
        </w:tc>
        <w:tc>
          <w:tcPr>
            <w:tcW w:w="675" w:type="dxa"/>
            <w:tcBorders>
              <w:top w:val="single" w:color="auto" w:sz="4" w:space="0"/>
              <w:left w:val="single" w:color="auto" w:sz="4" w:space="0"/>
              <w:bottom w:val="single" w:color="auto" w:sz="4" w:space="0"/>
              <w:right w:val="single" w:color="auto" w:sz="4" w:space="0"/>
            </w:tcBorders>
            <w:vAlign w:val="center"/>
          </w:tcPr>
          <w:p w14:paraId="28D61C0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1C51F26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006" w:type="dxa"/>
            <w:tcBorders>
              <w:top w:val="single" w:color="auto" w:sz="4" w:space="0"/>
              <w:left w:val="single" w:color="auto" w:sz="4" w:space="0"/>
              <w:bottom w:val="single" w:color="auto" w:sz="4" w:space="0"/>
              <w:right w:val="single" w:color="auto" w:sz="4" w:space="0"/>
            </w:tcBorders>
            <w:vAlign w:val="center"/>
          </w:tcPr>
          <w:p w14:paraId="78DA50A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4F3D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45CDFD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w:t>
            </w:r>
          </w:p>
        </w:tc>
        <w:tc>
          <w:tcPr>
            <w:tcW w:w="1568" w:type="dxa"/>
            <w:vMerge w:val="continue"/>
            <w:tcBorders>
              <w:left w:val="single" w:color="auto" w:sz="4" w:space="0"/>
              <w:bottom w:val="single" w:color="auto" w:sz="4" w:space="0"/>
              <w:right w:val="single" w:color="auto" w:sz="4" w:space="0"/>
            </w:tcBorders>
            <w:vAlign w:val="center"/>
          </w:tcPr>
          <w:p w14:paraId="484FF01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16D4B80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电源：460W交流电源模块</w:t>
            </w:r>
          </w:p>
        </w:tc>
        <w:tc>
          <w:tcPr>
            <w:tcW w:w="675" w:type="dxa"/>
            <w:tcBorders>
              <w:top w:val="single" w:color="auto" w:sz="4" w:space="0"/>
              <w:left w:val="single" w:color="auto" w:sz="4" w:space="0"/>
              <w:bottom w:val="single" w:color="auto" w:sz="4" w:space="0"/>
              <w:right w:val="single" w:color="auto" w:sz="4" w:space="0"/>
            </w:tcBorders>
            <w:vAlign w:val="center"/>
          </w:tcPr>
          <w:p w14:paraId="4A6B04D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237BE2B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364A265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76FA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34CDE8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w:t>
            </w:r>
          </w:p>
        </w:tc>
        <w:tc>
          <w:tcPr>
            <w:tcW w:w="1568" w:type="dxa"/>
            <w:vMerge w:val="restart"/>
            <w:tcBorders>
              <w:top w:val="single" w:color="auto" w:sz="4" w:space="0"/>
              <w:left w:val="single" w:color="auto" w:sz="4" w:space="0"/>
              <w:right w:val="single" w:color="auto" w:sz="4" w:space="0"/>
            </w:tcBorders>
            <w:vAlign w:val="center"/>
          </w:tcPr>
          <w:p w14:paraId="3A63502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数据交换网关</w:t>
            </w:r>
          </w:p>
        </w:tc>
        <w:tc>
          <w:tcPr>
            <w:tcW w:w="2865" w:type="dxa"/>
            <w:tcBorders>
              <w:top w:val="single" w:color="auto" w:sz="4" w:space="0"/>
              <w:left w:val="single" w:color="auto" w:sz="4" w:space="0"/>
              <w:bottom w:val="single" w:color="auto" w:sz="4" w:space="0"/>
              <w:right w:val="single" w:color="auto" w:sz="4" w:space="0"/>
            </w:tcBorders>
            <w:vAlign w:val="center"/>
          </w:tcPr>
          <w:p w14:paraId="5CF51B5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内存：DDR4 16G DIMM 2400 MHz</w:t>
            </w:r>
          </w:p>
        </w:tc>
        <w:tc>
          <w:tcPr>
            <w:tcW w:w="675" w:type="dxa"/>
            <w:tcBorders>
              <w:top w:val="single" w:color="auto" w:sz="4" w:space="0"/>
              <w:left w:val="single" w:color="auto" w:sz="4" w:space="0"/>
              <w:bottom w:val="single" w:color="auto" w:sz="4" w:space="0"/>
              <w:right w:val="single" w:color="auto" w:sz="4" w:space="0"/>
            </w:tcBorders>
            <w:vAlign w:val="center"/>
          </w:tcPr>
          <w:p w14:paraId="2EA8140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31C0CBE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255D741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6D87A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3F11C1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p>
        </w:tc>
        <w:tc>
          <w:tcPr>
            <w:tcW w:w="1568" w:type="dxa"/>
            <w:vMerge w:val="continue"/>
            <w:tcBorders>
              <w:left w:val="single" w:color="auto" w:sz="4" w:space="0"/>
              <w:right w:val="single" w:color="auto" w:sz="4" w:space="0"/>
            </w:tcBorders>
            <w:vAlign w:val="center"/>
          </w:tcPr>
          <w:p w14:paraId="4D52E6B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7822D40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硬盘：3.5英寸机械盘 7200转 1000GB SATA </w:t>
            </w:r>
          </w:p>
        </w:tc>
        <w:tc>
          <w:tcPr>
            <w:tcW w:w="675" w:type="dxa"/>
            <w:tcBorders>
              <w:top w:val="single" w:color="auto" w:sz="4" w:space="0"/>
              <w:left w:val="single" w:color="auto" w:sz="4" w:space="0"/>
              <w:bottom w:val="single" w:color="auto" w:sz="4" w:space="0"/>
              <w:right w:val="single" w:color="auto" w:sz="4" w:space="0"/>
            </w:tcBorders>
            <w:vAlign w:val="center"/>
          </w:tcPr>
          <w:p w14:paraId="59298BB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3F2BE2B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42FE3AE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3DE43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6A1160D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w:t>
            </w:r>
          </w:p>
        </w:tc>
        <w:tc>
          <w:tcPr>
            <w:tcW w:w="1568" w:type="dxa"/>
            <w:vMerge w:val="continue"/>
            <w:tcBorders>
              <w:left w:val="single" w:color="auto" w:sz="4" w:space="0"/>
              <w:right w:val="single" w:color="auto" w:sz="4" w:space="0"/>
            </w:tcBorders>
            <w:vAlign w:val="center"/>
          </w:tcPr>
          <w:p w14:paraId="5960E8E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576F1A0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电源： 650W交流电源模块</w:t>
            </w:r>
          </w:p>
        </w:tc>
        <w:tc>
          <w:tcPr>
            <w:tcW w:w="675" w:type="dxa"/>
            <w:tcBorders>
              <w:top w:val="single" w:color="auto" w:sz="4" w:space="0"/>
              <w:left w:val="single" w:color="auto" w:sz="4" w:space="0"/>
              <w:bottom w:val="single" w:color="auto" w:sz="4" w:space="0"/>
              <w:right w:val="single" w:color="auto" w:sz="4" w:space="0"/>
            </w:tcBorders>
            <w:vAlign w:val="center"/>
          </w:tcPr>
          <w:p w14:paraId="78DCCD6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621D221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23E49C7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6D3B3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31507E5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p>
        </w:tc>
        <w:tc>
          <w:tcPr>
            <w:tcW w:w="1568" w:type="dxa"/>
            <w:vMerge w:val="continue"/>
            <w:tcBorders>
              <w:left w:val="single" w:color="auto" w:sz="4" w:space="0"/>
              <w:bottom w:val="single" w:color="auto" w:sz="4" w:space="0"/>
              <w:right w:val="single" w:color="auto" w:sz="4" w:space="0"/>
            </w:tcBorders>
            <w:vAlign w:val="center"/>
          </w:tcPr>
          <w:p w14:paraId="02D9047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0475983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网卡：4口千兆网卡</w:t>
            </w:r>
          </w:p>
        </w:tc>
        <w:tc>
          <w:tcPr>
            <w:tcW w:w="675" w:type="dxa"/>
            <w:tcBorders>
              <w:top w:val="single" w:color="auto" w:sz="4" w:space="0"/>
              <w:left w:val="single" w:color="auto" w:sz="4" w:space="0"/>
              <w:bottom w:val="single" w:color="auto" w:sz="4" w:space="0"/>
              <w:right w:val="single" w:color="auto" w:sz="4" w:space="0"/>
            </w:tcBorders>
            <w:vAlign w:val="center"/>
          </w:tcPr>
          <w:p w14:paraId="68457AE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4295378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4BC9910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7E3F1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F1AC86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8</w:t>
            </w:r>
          </w:p>
        </w:tc>
        <w:tc>
          <w:tcPr>
            <w:tcW w:w="1568" w:type="dxa"/>
            <w:vMerge w:val="restart"/>
            <w:tcBorders>
              <w:top w:val="single" w:color="auto" w:sz="4" w:space="0"/>
              <w:left w:val="single" w:color="auto" w:sz="4" w:space="0"/>
              <w:right w:val="single" w:color="auto" w:sz="4" w:space="0"/>
            </w:tcBorders>
            <w:vAlign w:val="center"/>
          </w:tcPr>
          <w:p w14:paraId="078B22C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高性能云服务器配件</w:t>
            </w:r>
          </w:p>
        </w:tc>
        <w:tc>
          <w:tcPr>
            <w:tcW w:w="2865" w:type="dxa"/>
            <w:tcBorders>
              <w:top w:val="single" w:color="auto" w:sz="4" w:space="0"/>
              <w:left w:val="single" w:color="auto" w:sz="4" w:space="0"/>
              <w:bottom w:val="single" w:color="auto" w:sz="4" w:space="0"/>
              <w:right w:val="single" w:color="auto" w:sz="4" w:space="0"/>
            </w:tcBorders>
            <w:vAlign w:val="center"/>
          </w:tcPr>
          <w:p w14:paraId="366ECAD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内存：DDR4 RDIMM内存-32GB-2400MT/s-2Rank(2G*4bit)-1.2V-ECC</w:t>
            </w:r>
          </w:p>
        </w:tc>
        <w:tc>
          <w:tcPr>
            <w:tcW w:w="675" w:type="dxa"/>
            <w:tcBorders>
              <w:top w:val="single" w:color="auto" w:sz="4" w:space="0"/>
              <w:left w:val="single" w:color="auto" w:sz="4" w:space="0"/>
              <w:bottom w:val="single" w:color="auto" w:sz="4" w:space="0"/>
              <w:right w:val="single" w:color="auto" w:sz="4" w:space="0"/>
            </w:tcBorders>
            <w:vAlign w:val="center"/>
          </w:tcPr>
          <w:p w14:paraId="61139CB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4E0FDB9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006" w:type="dxa"/>
            <w:tcBorders>
              <w:top w:val="single" w:color="auto" w:sz="4" w:space="0"/>
              <w:left w:val="single" w:color="auto" w:sz="4" w:space="0"/>
              <w:bottom w:val="single" w:color="auto" w:sz="4" w:space="0"/>
              <w:right w:val="single" w:color="auto" w:sz="4" w:space="0"/>
            </w:tcBorders>
            <w:vAlign w:val="center"/>
          </w:tcPr>
          <w:p w14:paraId="69C8143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5805C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61FB969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9</w:t>
            </w:r>
          </w:p>
        </w:tc>
        <w:tc>
          <w:tcPr>
            <w:tcW w:w="1568" w:type="dxa"/>
            <w:vMerge w:val="continue"/>
            <w:tcBorders>
              <w:left w:val="single" w:color="auto" w:sz="4" w:space="0"/>
              <w:right w:val="single" w:color="auto" w:sz="4" w:space="0"/>
            </w:tcBorders>
            <w:vAlign w:val="center"/>
          </w:tcPr>
          <w:p w14:paraId="6B1AF94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4D7CD47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硬盘：通用硬盘-300GB-SAS 12Gb/s-10K rpm-128MB及以上-2.5英寸</w:t>
            </w:r>
          </w:p>
        </w:tc>
        <w:tc>
          <w:tcPr>
            <w:tcW w:w="675" w:type="dxa"/>
            <w:tcBorders>
              <w:top w:val="single" w:color="auto" w:sz="4" w:space="0"/>
              <w:left w:val="single" w:color="auto" w:sz="4" w:space="0"/>
              <w:bottom w:val="single" w:color="auto" w:sz="4" w:space="0"/>
              <w:right w:val="single" w:color="auto" w:sz="4" w:space="0"/>
            </w:tcBorders>
            <w:vAlign w:val="center"/>
          </w:tcPr>
          <w:p w14:paraId="7332ED5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5816E6A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006" w:type="dxa"/>
            <w:tcBorders>
              <w:top w:val="single" w:color="auto" w:sz="4" w:space="0"/>
              <w:left w:val="single" w:color="auto" w:sz="4" w:space="0"/>
              <w:bottom w:val="single" w:color="auto" w:sz="4" w:space="0"/>
              <w:right w:val="single" w:color="auto" w:sz="4" w:space="0"/>
            </w:tcBorders>
            <w:vAlign w:val="center"/>
          </w:tcPr>
          <w:p w14:paraId="2AE1141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572D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569966F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10</w:t>
            </w:r>
          </w:p>
        </w:tc>
        <w:tc>
          <w:tcPr>
            <w:tcW w:w="1568" w:type="dxa"/>
            <w:vMerge w:val="continue"/>
            <w:tcBorders>
              <w:left w:val="single" w:color="auto" w:sz="4" w:space="0"/>
              <w:right w:val="single" w:color="auto" w:sz="4" w:space="0"/>
            </w:tcBorders>
            <w:vAlign w:val="center"/>
          </w:tcPr>
          <w:p w14:paraId="159A3DF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26C6DAC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通用硬盘-1200GB-SAS 12Gb/s-10K rpm-128MB及以上-2.5英寸(2.5英寸托架）</w:t>
            </w:r>
          </w:p>
        </w:tc>
        <w:tc>
          <w:tcPr>
            <w:tcW w:w="675" w:type="dxa"/>
            <w:tcBorders>
              <w:top w:val="single" w:color="auto" w:sz="4" w:space="0"/>
              <w:left w:val="single" w:color="auto" w:sz="4" w:space="0"/>
              <w:bottom w:val="single" w:color="auto" w:sz="4" w:space="0"/>
              <w:right w:val="single" w:color="auto" w:sz="4" w:space="0"/>
            </w:tcBorders>
            <w:vAlign w:val="center"/>
          </w:tcPr>
          <w:p w14:paraId="665A7CD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3678BBA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006" w:type="dxa"/>
            <w:tcBorders>
              <w:top w:val="single" w:color="auto" w:sz="4" w:space="0"/>
              <w:left w:val="single" w:color="auto" w:sz="4" w:space="0"/>
              <w:bottom w:val="single" w:color="auto" w:sz="4" w:space="0"/>
              <w:right w:val="single" w:color="auto" w:sz="4" w:space="0"/>
            </w:tcBorders>
            <w:vAlign w:val="center"/>
          </w:tcPr>
          <w:p w14:paraId="30E2851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1869E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3B13FF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w:t>
            </w:r>
          </w:p>
        </w:tc>
        <w:tc>
          <w:tcPr>
            <w:tcW w:w="1568" w:type="dxa"/>
            <w:vMerge w:val="continue"/>
            <w:tcBorders>
              <w:left w:val="single" w:color="auto" w:sz="4" w:space="0"/>
              <w:bottom w:val="single" w:color="auto" w:sz="4" w:space="0"/>
              <w:right w:val="single" w:color="auto" w:sz="4" w:space="0"/>
            </w:tcBorders>
            <w:vAlign w:val="center"/>
          </w:tcPr>
          <w:p w14:paraId="38A35DB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219C630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网卡：以太网卡-10Gb光口(Intel 82599)-双端口-SFP+(含2个多模光模块)-PCIe 2.0</w:t>
            </w:r>
          </w:p>
        </w:tc>
        <w:tc>
          <w:tcPr>
            <w:tcW w:w="675" w:type="dxa"/>
            <w:tcBorders>
              <w:top w:val="single" w:color="auto" w:sz="4" w:space="0"/>
              <w:left w:val="single" w:color="auto" w:sz="4" w:space="0"/>
              <w:bottom w:val="single" w:color="auto" w:sz="4" w:space="0"/>
              <w:right w:val="single" w:color="auto" w:sz="4" w:space="0"/>
            </w:tcBorders>
            <w:vAlign w:val="center"/>
          </w:tcPr>
          <w:p w14:paraId="3CA2BC1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62DD730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4296253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7E27F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398084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12</w:t>
            </w:r>
          </w:p>
        </w:tc>
        <w:tc>
          <w:tcPr>
            <w:tcW w:w="1568" w:type="dxa"/>
            <w:vMerge w:val="restart"/>
            <w:tcBorders>
              <w:top w:val="single" w:color="auto" w:sz="4" w:space="0"/>
              <w:left w:val="single" w:color="auto" w:sz="4" w:space="0"/>
              <w:right w:val="single" w:color="auto" w:sz="4" w:space="0"/>
            </w:tcBorders>
            <w:vAlign w:val="center"/>
          </w:tcPr>
          <w:p w14:paraId="5D9FFC8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对象存储服务器配件</w:t>
            </w:r>
          </w:p>
        </w:tc>
        <w:tc>
          <w:tcPr>
            <w:tcW w:w="2865" w:type="dxa"/>
            <w:tcBorders>
              <w:top w:val="single" w:color="auto" w:sz="4" w:space="0"/>
              <w:left w:val="single" w:color="auto" w:sz="4" w:space="0"/>
              <w:bottom w:val="single" w:color="auto" w:sz="4" w:space="0"/>
              <w:right w:val="single" w:color="auto" w:sz="4" w:space="0"/>
            </w:tcBorders>
            <w:vAlign w:val="center"/>
          </w:tcPr>
          <w:p w14:paraId="3C93365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内存：DDR4 RDIMM内存-16GB-2400MT/s</w:t>
            </w:r>
          </w:p>
        </w:tc>
        <w:tc>
          <w:tcPr>
            <w:tcW w:w="675" w:type="dxa"/>
            <w:tcBorders>
              <w:top w:val="single" w:color="auto" w:sz="4" w:space="0"/>
              <w:left w:val="single" w:color="auto" w:sz="4" w:space="0"/>
              <w:bottom w:val="single" w:color="auto" w:sz="4" w:space="0"/>
              <w:right w:val="single" w:color="auto" w:sz="4" w:space="0"/>
            </w:tcBorders>
            <w:vAlign w:val="center"/>
          </w:tcPr>
          <w:p w14:paraId="3DDD2BC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459DB37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006" w:type="dxa"/>
            <w:tcBorders>
              <w:top w:val="single" w:color="auto" w:sz="4" w:space="0"/>
              <w:left w:val="single" w:color="auto" w:sz="4" w:space="0"/>
              <w:bottom w:val="single" w:color="auto" w:sz="4" w:space="0"/>
              <w:right w:val="single" w:color="auto" w:sz="4" w:space="0"/>
            </w:tcBorders>
            <w:vAlign w:val="center"/>
          </w:tcPr>
          <w:p w14:paraId="32481C4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2EE6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55C4C49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13</w:t>
            </w:r>
          </w:p>
        </w:tc>
        <w:tc>
          <w:tcPr>
            <w:tcW w:w="1568" w:type="dxa"/>
            <w:vMerge w:val="continue"/>
            <w:tcBorders>
              <w:left w:val="single" w:color="auto" w:sz="4" w:space="0"/>
              <w:bottom w:val="single" w:color="auto" w:sz="4" w:space="0"/>
              <w:right w:val="single" w:color="auto" w:sz="4" w:space="0"/>
            </w:tcBorders>
            <w:vAlign w:val="center"/>
          </w:tcPr>
          <w:p w14:paraId="55CD575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75C87B6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电源： 1200W交流电源模块</w:t>
            </w:r>
          </w:p>
        </w:tc>
        <w:tc>
          <w:tcPr>
            <w:tcW w:w="675" w:type="dxa"/>
            <w:tcBorders>
              <w:top w:val="single" w:color="auto" w:sz="4" w:space="0"/>
              <w:left w:val="single" w:color="auto" w:sz="4" w:space="0"/>
              <w:bottom w:val="single" w:color="auto" w:sz="4" w:space="0"/>
              <w:right w:val="single" w:color="auto" w:sz="4" w:space="0"/>
            </w:tcBorders>
            <w:vAlign w:val="center"/>
          </w:tcPr>
          <w:p w14:paraId="378FB48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05FF14A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10F3C44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5C379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E59195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14</w:t>
            </w:r>
          </w:p>
        </w:tc>
        <w:tc>
          <w:tcPr>
            <w:tcW w:w="1568" w:type="dxa"/>
            <w:vMerge w:val="restart"/>
            <w:tcBorders>
              <w:top w:val="single" w:color="auto" w:sz="4" w:space="0"/>
              <w:left w:val="single" w:color="auto" w:sz="4" w:space="0"/>
              <w:right w:val="single" w:color="auto" w:sz="4" w:space="0"/>
            </w:tcBorders>
            <w:vAlign w:val="center"/>
          </w:tcPr>
          <w:p w14:paraId="727C3C5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高性能标准服务器配件</w:t>
            </w:r>
          </w:p>
        </w:tc>
        <w:tc>
          <w:tcPr>
            <w:tcW w:w="2865" w:type="dxa"/>
            <w:tcBorders>
              <w:top w:val="single" w:color="auto" w:sz="4" w:space="0"/>
              <w:left w:val="single" w:color="auto" w:sz="4" w:space="0"/>
              <w:bottom w:val="single" w:color="auto" w:sz="4" w:space="0"/>
              <w:right w:val="single" w:color="auto" w:sz="4" w:space="0"/>
            </w:tcBorders>
            <w:vAlign w:val="center"/>
          </w:tcPr>
          <w:p w14:paraId="4FAA2FD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通用硬盘-300GB-SAS 12Gb/s-10K rpm-128MB及以上-2.5英寸</w:t>
            </w:r>
          </w:p>
        </w:tc>
        <w:tc>
          <w:tcPr>
            <w:tcW w:w="675" w:type="dxa"/>
            <w:tcBorders>
              <w:top w:val="single" w:color="auto" w:sz="4" w:space="0"/>
              <w:left w:val="single" w:color="auto" w:sz="4" w:space="0"/>
              <w:bottom w:val="single" w:color="auto" w:sz="4" w:space="0"/>
              <w:right w:val="single" w:color="auto" w:sz="4" w:space="0"/>
            </w:tcBorders>
            <w:vAlign w:val="center"/>
          </w:tcPr>
          <w:p w14:paraId="609C21B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1ECC2B8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163C17B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71626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4757F8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15</w:t>
            </w:r>
          </w:p>
        </w:tc>
        <w:tc>
          <w:tcPr>
            <w:tcW w:w="1568" w:type="dxa"/>
            <w:vMerge w:val="continue"/>
            <w:tcBorders>
              <w:left w:val="single" w:color="auto" w:sz="4" w:space="0"/>
              <w:bottom w:val="single" w:color="auto" w:sz="4" w:space="0"/>
              <w:right w:val="single" w:color="auto" w:sz="4" w:space="0"/>
            </w:tcBorders>
            <w:vAlign w:val="center"/>
          </w:tcPr>
          <w:p w14:paraId="4596DE1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73027B1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通用硬盘-1200GB-SAS 12Gb/s-10K rpm-128MB及以上-2.5英寸</w:t>
            </w:r>
          </w:p>
        </w:tc>
        <w:tc>
          <w:tcPr>
            <w:tcW w:w="675" w:type="dxa"/>
            <w:tcBorders>
              <w:top w:val="single" w:color="auto" w:sz="4" w:space="0"/>
              <w:left w:val="single" w:color="auto" w:sz="4" w:space="0"/>
              <w:bottom w:val="single" w:color="auto" w:sz="4" w:space="0"/>
              <w:right w:val="single" w:color="auto" w:sz="4" w:space="0"/>
            </w:tcBorders>
            <w:vAlign w:val="center"/>
          </w:tcPr>
          <w:p w14:paraId="65DA4DA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56E6222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452BEF1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7F9E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667667D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16</w:t>
            </w:r>
          </w:p>
        </w:tc>
        <w:tc>
          <w:tcPr>
            <w:tcW w:w="1568" w:type="dxa"/>
            <w:vMerge w:val="restart"/>
            <w:tcBorders>
              <w:top w:val="single" w:color="auto" w:sz="4" w:space="0"/>
              <w:left w:val="single" w:color="auto" w:sz="4" w:space="0"/>
              <w:right w:val="single" w:color="auto" w:sz="4" w:space="0"/>
            </w:tcBorders>
            <w:vAlign w:val="center"/>
          </w:tcPr>
          <w:p w14:paraId="1414936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虚拟化基础计算服务器配件</w:t>
            </w:r>
          </w:p>
        </w:tc>
        <w:tc>
          <w:tcPr>
            <w:tcW w:w="2865" w:type="dxa"/>
            <w:tcBorders>
              <w:top w:val="single" w:color="auto" w:sz="4" w:space="0"/>
              <w:left w:val="single" w:color="auto" w:sz="4" w:space="0"/>
              <w:bottom w:val="single" w:color="auto" w:sz="4" w:space="0"/>
              <w:right w:val="single" w:color="auto" w:sz="4" w:space="0"/>
            </w:tcBorders>
            <w:vAlign w:val="center"/>
          </w:tcPr>
          <w:p w14:paraId="0578DB1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硬盘：2TB SATA 6Gb/s-7.2K 3.5英寸  </w:t>
            </w:r>
          </w:p>
        </w:tc>
        <w:tc>
          <w:tcPr>
            <w:tcW w:w="675" w:type="dxa"/>
            <w:tcBorders>
              <w:top w:val="single" w:color="auto" w:sz="4" w:space="0"/>
              <w:left w:val="single" w:color="auto" w:sz="4" w:space="0"/>
              <w:bottom w:val="single" w:color="auto" w:sz="4" w:space="0"/>
              <w:right w:val="single" w:color="auto" w:sz="4" w:space="0"/>
            </w:tcBorders>
            <w:vAlign w:val="center"/>
          </w:tcPr>
          <w:p w14:paraId="2C2D4EA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7B479C3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25D5CC9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306D0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A8C01A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17</w:t>
            </w:r>
          </w:p>
        </w:tc>
        <w:tc>
          <w:tcPr>
            <w:tcW w:w="1568" w:type="dxa"/>
            <w:vMerge w:val="continue"/>
            <w:tcBorders>
              <w:left w:val="single" w:color="auto" w:sz="4" w:space="0"/>
              <w:bottom w:val="single" w:color="auto" w:sz="4" w:space="0"/>
              <w:right w:val="single" w:color="auto" w:sz="4" w:space="0"/>
            </w:tcBorders>
            <w:vAlign w:val="center"/>
          </w:tcPr>
          <w:p w14:paraId="7DB19FE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78F4744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1.8T SAS 12Gb/s-10K rpm 3.5英寸</w:t>
            </w:r>
          </w:p>
        </w:tc>
        <w:tc>
          <w:tcPr>
            <w:tcW w:w="675" w:type="dxa"/>
            <w:tcBorders>
              <w:top w:val="single" w:color="auto" w:sz="4" w:space="0"/>
              <w:left w:val="single" w:color="auto" w:sz="4" w:space="0"/>
              <w:bottom w:val="single" w:color="auto" w:sz="4" w:space="0"/>
              <w:right w:val="single" w:color="auto" w:sz="4" w:space="0"/>
            </w:tcBorders>
            <w:vAlign w:val="center"/>
          </w:tcPr>
          <w:p w14:paraId="5942B6D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7FFEB53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761F5B4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1B3B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65344D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18</w:t>
            </w:r>
          </w:p>
        </w:tc>
        <w:tc>
          <w:tcPr>
            <w:tcW w:w="1568" w:type="dxa"/>
            <w:tcBorders>
              <w:top w:val="single" w:color="auto" w:sz="4" w:space="0"/>
              <w:left w:val="single" w:color="auto" w:sz="4" w:space="0"/>
              <w:bottom w:val="single" w:color="auto" w:sz="4" w:space="0"/>
              <w:right w:val="single" w:color="auto" w:sz="4" w:space="0"/>
            </w:tcBorders>
            <w:vAlign w:val="center"/>
          </w:tcPr>
          <w:p w14:paraId="43FDA47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虚拟化共享基础存储</w:t>
            </w:r>
          </w:p>
        </w:tc>
        <w:tc>
          <w:tcPr>
            <w:tcW w:w="2865" w:type="dxa"/>
            <w:tcBorders>
              <w:top w:val="single" w:color="auto" w:sz="4" w:space="0"/>
              <w:left w:val="single" w:color="auto" w:sz="4" w:space="0"/>
              <w:bottom w:val="single" w:color="auto" w:sz="4" w:space="0"/>
              <w:right w:val="single" w:color="auto" w:sz="4" w:space="0"/>
            </w:tcBorders>
            <w:vAlign w:val="center"/>
          </w:tcPr>
          <w:p w14:paraId="7FB50E6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1.2TB 10K RPM SAS硬盘 2.5英寸</w:t>
            </w:r>
          </w:p>
        </w:tc>
        <w:tc>
          <w:tcPr>
            <w:tcW w:w="675" w:type="dxa"/>
            <w:tcBorders>
              <w:top w:val="single" w:color="auto" w:sz="4" w:space="0"/>
              <w:left w:val="single" w:color="auto" w:sz="4" w:space="0"/>
              <w:bottom w:val="single" w:color="auto" w:sz="4" w:space="0"/>
              <w:right w:val="single" w:color="auto" w:sz="4" w:space="0"/>
            </w:tcBorders>
            <w:vAlign w:val="center"/>
          </w:tcPr>
          <w:p w14:paraId="311A8BC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1889C48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006" w:type="dxa"/>
            <w:tcBorders>
              <w:top w:val="single" w:color="auto" w:sz="4" w:space="0"/>
              <w:left w:val="single" w:color="auto" w:sz="4" w:space="0"/>
              <w:bottom w:val="single" w:color="auto" w:sz="4" w:space="0"/>
              <w:right w:val="single" w:color="auto" w:sz="4" w:space="0"/>
            </w:tcBorders>
            <w:vAlign w:val="center"/>
          </w:tcPr>
          <w:p w14:paraId="64E8B10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40327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3B6B8A0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19</w:t>
            </w:r>
          </w:p>
        </w:tc>
        <w:tc>
          <w:tcPr>
            <w:tcW w:w="1568" w:type="dxa"/>
            <w:tcBorders>
              <w:top w:val="single" w:color="auto" w:sz="4" w:space="0"/>
              <w:left w:val="single" w:color="auto" w:sz="4" w:space="0"/>
              <w:bottom w:val="single" w:color="auto" w:sz="4" w:space="0"/>
              <w:right w:val="single" w:color="auto" w:sz="4" w:space="0"/>
            </w:tcBorders>
            <w:vAlign w:val="center"/>
          </w:tcPr>
          <w:p w14:paraId="1E09641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交换机</w:t>
            </w:r>
          </w:p>
        </w:tc>
        <w:tc>
          <w:tcPr>
            <w:tcW w:w="2865" w:type="dxa"/>
            <w:tcBorders>
              <w:top w:val="single" w:color="auto" w:sz="4" w:space="0"/>
              <w:left w:val="single" w:color="auto" w:sz="4" w:space="0"/>
              <w:bottom w:val="single" w:color="auto" w:sz="4" w:space="0"/>
              <w:right w:val="single" w:color="auto" w:sz="4" w:space="0"/>
            </w:tcBorders>
            <w:vAlign w:val="center"/>
          </w:tcPr>
          <w:p w14:paraId="1E173AB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1U，48个千兆电口+4个万兆光口</w:t>
            </w:r>
          </w:p>
        </w:tc>
        <w:tc>
          <w:tcPr>
            <w:tcW w:w="675" w:type="dxa"/>
            <w:tcBorders>
              <w:top w:val="single" w:color="auto" w:sz="4" w:space="0"/>
              <w:left w:val="single" w:color="auto" w:sz="4" w:space="0"/>
              <w:bottom w:val="single" w:color="auto" w:sz="4" w:space="0"/>
              <w:right w:val="single" w:color="auto" w:sz="4" w:space="0"/>
            </w:tcBorders>
            <w:vAlign w:val="center"/>
          </w:tcPr>
          <w:p w14:paraId="31166E6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40DBFF1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133D60E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68F6D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798A946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20</w:t>
            </w:r>
          </w:p>
        </w:tc>
        <w:tc>
          <w:tcPr>
            <w:tcW w:w="1568" w:type="dxa"/>
            <w:tcBorders>
              <w:top w:val="single" w:color="auto" w:sz="4" w:space="0"/>
              <w:left w:val="single" w:color="auto" w:sz="4" w:space="0"/>
              <w:bottom w:val="single" w:color="auto" w:sz="4" w:space="0"/>
              <w:right w:val="single" w:color="auto" w:sz="4" w:space="0"/>
            </w:tcBorders>
            <w:vAlign w:val="center"/>
          </w:tcPr>
          <w:p w14:paraId="05DE0B7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万兆多模光模块</w:t>
            </w:r>
          </w:p>
        </w:tc>
        <w:tc>
          <w:tcPr>
            <w:tcW w:w="2865" w:type="dxa"/>
            <w:tcBorders>
              <w:top w:val="single" w:color="auto" w:sz="4" w:space="0"/>
              <w:left w:val="single" w:color="auto" w:sz="4" w:space="0"/>
              <w:bottom w:val="single" w:color="auto" w:sz="4" w:space="0"/>
              <w:right w:val="single" w:color="auto" w:sz="4" w:space="0"/>
            </w:tcBorders>
            <w:vAlign w:val="center"/>
          </w:tcPr>
          <w:p w14:paraId="35E9EB0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SFP+10G-多模光模块（850nm,0.3km,LC）</w:t>
            </w:r>
          </w:p>
        </w:tc>
        <w:tc>
          <w:tcPr>
            <w:tcW w:w="675" w:type="dxa"/>
            <w:tcBorders>
              <w:top w:val="single" w:color="auto" w:sz="4" w:space="0"/>
              <w:left w:val="single" w:color="auto" w:sz="4" w:space="0"/>
              <w:bottom w:val="single" w:color="auto" w:sz="4" w:space="0"/>
              <w:right w:val="single" w:color="auto" w:sz="4" w:space="0"/>
            </w:tcBorders>
            <w:vAlign w:val="center"/>
          </w:tcPr>
          <w:p w14:paraId="269528C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41175A6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006" w:type="dxa"/>
            <w:tcBorders>
              <w:top w:val="single" w:color="auto" w:sz="4" w:space="0"/>
              <w:left w:val="single" w:color="auto" w:sz="4" w:space="0"/>
              <w:bottom w:val="single" w:color="auto" w:sz="4" w:space="0"/>
              <w:right w:val="single" w:color="auto" w:sz="4" w:space="0"/>
            </w:tcBorders>
            <w:vAlign w:val="center"/>
          </w:tcPr>
          <w:p w14:paraId="6EB41A9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39CD5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AB733C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21</w:t>
            </w:r>
          </w:p>
        </w:tc>
        <w:tc>
          <w:tcPr>
            <w:tcW w:w="1568" w:type="dxa"/>
            <w:tcBorders>
              <w:top w:val="single" w:color="auto" w:sz="4" w:space="0"/>
              <w:left w:val="single" w:color="auto" w:sz="4" w:space="0"/>
              <w:bottom w:val="single" w:color="auto" w:sz="4" w:space="0"/>
              <w:right w:val="single" w:color="auto" w:sz="4" w:space="0"/>
            </w:tcBorders>
            <w:vAlign w:val="center"/>
          </w:tcPr>
          <w:p w14:paraId="2B27C98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千兆多模光模块</w:t>
            </w:r>
          </w:p>
        </w:tc>
        <w:tc>
          <w:tcPr>
            <w:tcW w:w="2865" w:type="dxa"/>
            <w:tcBorders>
              <w:top w:val="single" w:color="auto" w:sz="4" w:space="0"/>
              <w:left w:val="single" w:color="auto" w:sz="4" w:space="0"/>
              <w:bottom w:val="single" w:color="auto" w:sz="4" w:space="0"/>
              <w:right w:val="single" w:color="auto" w:sz="4" w:space="0"/>
            </w:tcBorders>
            <w:vAlign w:val="center"/>
          </w:tcPr>
          <w:p w14:paraId="2E228F8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eSFP+GE-多模光模块（850nm,0.55km,LC）</w:t>
            </w:r>
          </w:p>
        </w:tc>
        <w:tc>
          <w:tcPr>
            <w:tcW w:w="675" w:type="dxa"/>
            <w:tcBorders>
              <w:top w:val="single" w:color="auto" w:sz="4" w:space="0"/>
              <w:left w:val="single" w:color="auto" w:sz="4" w:space="0"/>
              <w:bottom w:val="single" w:color="auto" w:sz="4" w:space="0"/>
              <w:right w:val="single" w:color="auto" w:sz="4" w:space="0"/>
            </w:tcBorders>
            <w:vAlign w:val="center"/>
          </w:tcPr>
          <w:p w14:paraId="161C034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23ABADD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006" w:type="dxa"/>
            <w:tcBorders>
              <w:top w:val="single" w:color="auto" w:sz="4" w:space="0"/>
              <w:left w:val="single" w:color="auto" w:sz="4" w:space="0"/>
              <w:bottom w:val="single" w:color="auto" w:sz="4" w:space="0"/>
              <w:right w:val="single" w:color="auto" w:sz="4" w:space="0"/>
            </w:tcBorders>
            <w:vAlign w:val="center"/>
          </w:tcPr>
          <w:p w14:paraId="4DD9E5C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2D8F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E26B87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22</w:t>
            </w:r>
          </w:p>
        </w:tc>
        <w:tc>
          <w:tcPr>
            <w:tcW w:w="1568" w:type="dxa"/>
            <w:vMerge w:val="restart"/>
            <w:tcBorders>
              <w:top w:val="single" w:color="auto" w:sz="4" w:space="0"/>
              <w:left w:val="single" w:color="auto" w:sz="4" w:space="0"/>
              <w:right w:val="single" w:color="auto" w:sz="4" w:space="0"/>
            </w:tcBorders>
            <w:vAlign w:val="center"/>
          </w:tcPr>
          <w:p w14:paraId="62F6546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八桂警信普配服务器配件</w:t>
            </w:r>
          </w:p>
        </w:tc>
        <w:tc>
          <w:tcPr>
            <w:tcW w:w="2865" w:type="dxa"/>
            <w:tcBorders>
              <w:top w:val="single" w:color="auto" w:sz="4" w:space="0"/>
              <w:left w:val="single" w:color="auto" w:sz="4" w:space="0"/>
              <w:bottom w:val="single" w:color="auto" w:sz="4" w:space="0"/>
              <w:right w:val="single" w:color="auto" w:sz="4" w:space="0"/>
            </w:tcBorders>
            <w:vAlign w:val="center"/>
          </w:tcPr>
          <w:p w14:paraId="5ED51B1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内存：配置内存32GB 2400MHz DDR4内存</w:t>
            </w:r>
          </w:p>
        </w:tc>
        <w:tc>
          <w:tcPr>
            <w:tcW w:w="675" w:type="dxa"/>
            <w:tcBorders>
              <w:top w:val="single" w:color="auto" w:sz="4" w:space="0"/>
              <w:left w:val="single" w:color="auto" w:sz="4" w:space="0"/>
              <w:bottom w:val="single" w:color="auto" w:sz="4" w:space="0"/>
              <w:right w:val="single" w:color="auto" w:sz="4" w:space="0"/>
            </w:tcBorders>
            <w:vAlign w:val="center"/>
          </w:tcPr>
          <w:p w14:paraId="04A3142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3DC6A98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006" w:type="dxa"/>
            <w:tcBorders>
              <w:top w:val="single" w:color="auto" w:sz="4" w:space="0"/>
              <w:left w:val="single" w:color="auto" w:sz="4" w:space="0"/>
              <w:bottom w:val="single" w:color="auto" w:sz="4" w:space="0"/>
              <w:right w:val="single" w:color="auto" w:sz="4" w:space="0"/>
            </w:tcBorders>
            <w:vAlign w:val="center"/>
          </w:tcPr>
          <w:p w14:paraId="747C4E7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0FCA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23614A2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23</w:t>
            </w:r>
          </w:p>
        </w:tc>
        <w:tc>
          <w:tcPr>
            <w:tcW w:w="1568" w:type="dxa"/>
            <w:vMerge w:val="continue"/>
            <w:tcBorders>
              <w:left w:val="single" w:color="auto" w:sz="4" w:space="0"/>
              <w:right w:val="single" w:color="auto" w:sz="4" w:space="0"/>
            </w:tcBorders>
            <w:vAlign w:val="center"/>
          </w:tcPr>
          <w:p w14:paraId="5F4B1FDC">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4EAC87F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硬盘：300G 10K RPM SAS </w:t>
            </w:r>
          </w:p>
        </w:tc>
        <w:tc>
          <w:tcPr>
            <w:tcW w:w="675" w:type="dxa"/>
            <w:tcBorders>
              <w:top w:val="single" w:color="auto" w:sz="4" w:space="0"/>
              <w:left w:val="single" w:color="auto" w:sz="4" w:space="0"/>
              <w:bottom w:val="single" w:color="auto" w:sz="4" w:space="0"/>
              <w:right w:val="single" w:color="auto" w:sz="4" w:space="0"/>
            </w:tcBorders>
            <w:vAlign w:val="center"/>
          </w:tcPr>
          <w:p w14:paraId="51355EE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615B4FA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006" w:type="dxa"/>
            <w:tcBorders>
              <w:top w:val="single" w:color="auto" w:sz="4" w:space="0"/>
              <w:left w:val="single" w:color="auto" w:sz="4" w:space="0"/>
              <w:bottom w:val="single" w:color="auto" w:sz="4" w:space="0"/>
              <w:right w:val="single" w:color="auto" w:sz="4" w:space="0"/>
            </w:tcBorders>
            <w:vAlign w:val="center"/>
          </w:tcPr>
          <w:p w14:paraId="3A26D79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0EBF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62A84A6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24</w:t>
            </w:r>
          </w:p>
        </w:tc>
        <w:tc>
          <w:tcPr>
            <w:tcW w:w="1568" w:type="dxa"/>
            <w:vMerge w:val="continue"/>
            <w:tcBorders>
              <w:left w:val="single" w:color="auto" w:sz="4" w:space="0"/>
              <w:right w:val="single" w:color="auto" w:sz="4" w:space="0"/>
            </w:tcBorders>
            <w:vAlign w:val="center"/>
          </w:tcPr>
          <w:p w14:paraId="2B4B561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031B968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RAID卡：支持RAID0,1,10-12Gb/s；</w:t>
            </w:r>
          </w:p>
        </w:tc>
        <w:tc>
          <w:tcPr>
            <w:tcW w:w="675" w:type="dxa"/>
            <w:tcBorders>
              <w:top w:val="single" w:color="auto" w:sz="4" w:space="0"/>
              <w:left w:val="single" w:color="auto" w:sz="4" w:space="0"/>
              <w:bottom w:val="single" w:color="auto" w:sz="4" w:space="0"/>
              <w:right w:val="single" w:color="auto" w:sz="4" w:space="0"/>
            </w:tcBorders>
            <w:vAlign w:val="center"/>
          </w:tcPr>
          <w:p w14:paraId="214945A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5B3C521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54BD522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4B2C4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2895B3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25</w:t>
            </w:r>
          </w:p>
        </w:tc>
        <w:tc>
          <w:tcPr>
            <w:tcW w:w="1568" w:type="dxa"/>
            <w:vMerge w:val="continue"/>
            <w:tcBorders>
              <w:left w:val="single" w:color="auto" w:sz="4" w:space="0"/>
              <w:bottom w:val="single" w:color="auto" w:sz="4" w:space="0"/>
              <w:right w:val="single" w:color="auto" w:sz="4" w:space="0"/>
            </w:tcBorders>
            <w:vAlign w:val="center"/>
          </w:tcPr>
          <w:p w14:paraId="70657F3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7B19002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电源： 550W电源模块</w:t>
            </w:r>
          </w:p>
        </w:tc>
        <w:tc>
          <w:tcPr>
            <w:tcW w:w="675" w:type="dxa"/>
            <w:tcBorders>
              <w:top w:val="single" w:color="auto" w:sz="4" w:space="0"/>
              <w:left w:val="single" w:color="auto" w:sz="4" w:space="0"/>
              <w:bottom w:val="single" w:color="auto" w:sz="4" w:space="0"/>
              <w:right w:val="single" w:color="auto" w:sz="4" w:space="0"/>
            </w:tcBorders>
            <w:vAlign w:val="center"/>
          </w:tcPr>
          <w:p w14:paraId="41F6DAC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0876117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4455188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25BD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688830E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26</w:t>
            </w:r>
          </w:p>
        </w:tc>
        <w:tc>
          <w:tcPr>
            <w:tcW w:w="1568" w:type="dxa"/>
            <w:vMerge w:val="restart"/>
            <w:tcBorders>
              <w:top w:val="single" w:color="auto" w:sz="4" w:space="0"/>
              <w:left w:val="single" w:color="auto" w:sz="4" w:space="0"/>
              <w:right w:val="single" w:color="auto" w:sz="4" w:space="0"/>
            </w:tcBorders>
            <w:vAlign w:val="center"/>
          </w:tcPr>
          <w:p w14:paraId="2B3E031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八桂警信高配服务器配件</w:t>
            </w:r>
          </w:p>
        </w:tc>
        <w:tc>
          <w:tcPr>
            <w:tcW w:w="2865" w:type="dxa"/>
            <w:tcBorders>
              <w:top w:val="single" w:color="auto" w:sz="4" w:space="0"/>
              <w:left w:val="single" w:color="auto" w:sz="4" w:space="0"/>
              <w:bottom w:val="single" w:color="auto" w:sz="4" w:space="0"/>
              <w:right w:val="single" w:color="auto" w:sz="4" w:space="0"/>
            </w:tcBorders>
            <w:vAlign w:val="center"/>
          </w:tcPr>
          <w:p w14:paraId="0A7BC71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内存：配置内存128GB 2400MHz DDR4内存</w:t>
            </w:r>
          </w:p>
        </w:tc>
        <w:tc>
          <w:tcPr>
            <w:tcW w:w="675" w:type="dxa"/>
            <w:tcBorders>
              <w:top w:val="single" w:color="auto" w:sz="4" w:space="0"/>
              <w:left w:val="single" w:color="auto" w:sz="4" w:space="0"/>
              <w:bottom w:val="single" w:color="auto" w:sz="4" w:space="0"/>
              <w:right w:val="single" w:color="auto" w:sz="4" w:space="0"/>
            </w:tcBorders>
            <w:vAlign w:val="center"/>
          </w:tcPr>
          <w:p w14:paraId="1D3AA34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2A5EF7F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w:t>
            </w:r>
          </w:p>
        </w:tc>
        <w:tc>
          <w:tcPr>
            <w:tcW w:w="2006" w:type="dxa"/>
            <w:tcBorders>
              <w:top w:val="single" w:color="auto" w:sz="4" w:space="0"/>
              <w:left w:val="single" w:color="auto" w:sz="4" w:space="0"/>
              <w:bottom w:val="single" w:color="auto" w:sz="4" w:space="0"/>
              <w:right w:val="single" w:color="auto" w:sz="4" w:space="0"/>
            </w:tcBorders>
            <w:vAlign w:val="center"/>
          </w:tcPr>
          <w:p w14:paraId="68E82A9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69D23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C8028F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27</w:t>
            </w:r>
          </w:p>
        </w:tc>
        <w:tc>
          <w:tcPr>
            <w:tcW w:w="1568" w:type="dxa"/>
            <w:vMerge w:val="continue"/>
            <w:tcBorders>
              <w:left w:val="single" w:color="auto" w:sz="4" w:space="0"/>
              <w:right w:val="single" w:color="auto" w:sz="4" w:space="0"/>
            </w:tcBorders>
            <w:vAlign w:val="center"/>
          </w:tcPr>
          <w:p w14:paraId="65F06890">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7144F8C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硬盘：300G SAS读写混合型</w:t>
            </w:r>
          </w:p>
        </w:tc>
        <w:tc>
          <w:tcPr>
            <w:tcW w:w="675" w:type="dxa"/>
            <w:tcBorders>
              <w:top w:val="single" w:color="auto" w:sz="4" w:space="0"/>
              <w:left w:val="single" w:color="auto" w:sz="4" w:space="0"/>
              <w:bottom w:val="single" w:color="auto" w:sz="4" w:space="0"/>
              <w:right w:val="single" w:color="auto" w:sz="4" w:space="0"/>
            </w:tcBorders>
            <w:vAlign w:val="center"/>
          </w:tcPr>
          <w:p w14:paraId="07FDEFC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6EC070D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040821C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66FF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974064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28</w:t>
            </w:r>
          </w:p>
        </w:tc>
        <w:tc>
          <w:tcPr>
            <w:tcW w:w="1568" w:type="dxa"/>
            <w:vMerge w:val="continue"/>
            <w:tcBorders>
              <w:left w:val="single" w:color="auto" w:sz="4" w:space="0"/>
              <w:right w:val="single" w:color="auto" w:sz="4" w:space="0"/>
            </w:tcBorders>
            <w:vAlign w:val="center"/>
          </w:tcPr>
          <w:p w14:paraId="627828B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66352CA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硬盘：900G SSD</w:t>
            </w:r>
          </w:p>
        </w:tc>
        <w:tc>
          <w:tcPr>
            <w:tcW w:w="675" w:type="dxa"/>
            <w:tcBorders>
              <w:top w:val="single" w:color="auto" w:sz="4" w:space="0"/>
              <w:left w:val="single" w:color="auto" w:sz="4" w:space="0"/>
              <w:bottom w:val="single" w:color="auto" w:sz="4" w:space="0"/>
              <w:right w:val="single" w:color="auto" w:sz="4" w:space="0"/>
            </w:tcBorders>
            <w:vAlign w:val="center"/>
          </w:tcPr>
          <w:p w14:paraId="46646E9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3BA2DD76">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006" w:type="dxa"/>
            <w:tcBorders>
              <w:top w:val="single" w:color="auto" w:sz="4" w:space="0"/>
              <w:left w:val="single" w:color="auto" w:sz="4" w:space="0"/>
              <w:bottom w:val="single" w:color="auto" w:sz="4" w:space="0"/>
              <w:right w:val="single" w:color="auto" w:sz="4" w:space="0"/>
            </w:tcBorders>
            <w:vAlign w:val="center"/>
          </w:tcPr>
          <w:p w14:paraId="647B3FA2">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24F0E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888B83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29</w:t>
            </w:r>
          </w:p>
        </w:tc>
        <w:tc>
          <w:tcPr>
            <w:tcW w:w="1568" w:type="dxa"/>
            <w:vMerge w:val="continue"/>
            <w:tcBorders>
              <w:left w:val="single" w:color="auto" w:sz="4" w:space="0"/>
              <w:right w:val="single" w:color="auto" w:sz="4" w:space="0"/>
            </w:tcBorders>
            <w:vAlign w:val="center"/>
          </w:tcPr>
          <w:p w14:paraId="56B9D2E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57DAF18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网卡：2*GE电口</w:t>
            </w:r>
          </w:p>
        </w:tc>
        <w:tc>
          <w:tcPr>
            <w:tcW w:w="675" w:type="dxa"/>
            <w:tcBorders>
              <w:top w:val="single" w:color="auto" w:sz="4" w:space="0"/>
              <w:left w:val="single" w:color="auto" w:sz="4" w:space="0"/>
              <w:bottom w:val="single" w:color="auto" w:sz="4" w:space="0"/>
              <w:right w:val="single" w:color="auto" w:sz="4" w:space="0"/>
            </w:tcBorders>
            <w:vAlign w:val="center"/>
          </w:tcPr>
          <w:p w14:paraId="34B94DEF">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3B06060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3BD21B4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2C9A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63D2C1A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30</w:t>
            </w:r>
          </w:p>
        </w:tc>
        <w:tc>
          <w:tcPr>
            <w:tcW w:w="1568" w:type="dxa"/>
            <w:vMerge w:val="continue"/>
            <w:tcBorders>
              <w:left w:val="single" w:color="auto" w:sz="4" w:space="0"/>
              <w:right w:val="single" w:color="auto" w:sz="4" w:space="0"/>
            </w:tcBorders>
            <w:vAlign w:val="center"/>
          </w:tcPr>
          <w:p w14:paraId="4D7B0951">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02C3459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网卡：4*10GE电口；</w:t>
            </w:r>
          </w:p>
        </w:tc>
        <w:tc>
          <w:tcPr>
            <w:tcW w:w="675" w:type="dxa"/>
            <w:tcBorders>
              <w:top w:val="single" w:color="auto" w:sz="4" w:space="0"/>
              <w:left w:val="single" w:color="auto" w:sz="4" w:space="0"/>
              <w:bottom w:val="single" w:color="auto" w:sz="4" w:space="0"/>
              <w:right w:val="single" w:color="auto" w:sz="4" w:space="0"/>
            </w:tcBorders>
            <w:vAlign w:val="center"/>
          </w:tcPr>
          <w:p w14:paraId="4D90842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6D7A444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6F788FE9">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7795C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146E56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p>
        </w:tc>
        <w:tc>
          <w:tcPr>
            <w:tcW w:w="1568" w:type="dxa"/>
            <w:vMerge w:val="continue"/>
            <w:tcBorders>
              <w:left w:val="single" w:color="auto" w:sz="4" w:space="0"/>
              <w:right w:val="single" w:color="auto" w:sz="4" w:space="0"/>
            </w:tcBorders>
            <w:vAlign w:val="center"/>
          </w:tcPr>
          <w:p w14:paraId="20EAE9BB">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69AAFE37">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RAID卡：支持RAID0,1,10-12Gb/s</w:t>
            </w:r>
          </w:p>
        </w:tc>
        <w:tc>
          <w:tcPr>
            <w:tcW w:w="675" w:type="dxa"/>
            <w:tcBorders>
              <w:top w:val="single" w:color="auto" w:sz="4" w:space="0"/>
              <w:left w:val="single" w:color="auto" w:sz="4" w:space="0"/>
              <w:bottom w:val="single" w:color="auto" w:sz="4" w:space="0"/>
              <w:right w:val="single" w:color="auto" w:sz="4" w:space="0"/>
            </w:tcBorders>
            <w:vAlign w:val="center"/>
          </w:tcPr>
          <w:p w14:paraId="0B98FE3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5121908D">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51BDEEDA">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r w14:paraId="4099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1B357DB4">
            <w:pPr>
              <w:keepNext w:val="0"/>
              <w:keepLines w:val="0"/>
              <w:suppressLineNumbers w:val="0"/>
              <w:adjustRightInd w:val="0"/>
              <w:snapToGrid w:val="0"/>
              <w:spacing w:before="0" w:beforeAutospacing="0" w:after="0" w:afterAutospacing="0" w:line="340" w:lineRule="exact"/>
              <w:ind w:left="0" w:right="0"/>
              <w:jc w:val="center"/>
              <w:rPr>
                <w:rFonts w:hint="default" w:ascii="宋体" w:hAnsi="宋体" w:eastAsia="宋体" w:cs="宋体"/>
                <w:color w:val="000000" w:themeColor="text1"/>
                <w:szCs w:val="2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32</w:t>
            </w:r>
          </w:p>
        </w:tc>
        <w:tc>
          <w:tcPr>
            <w:tcW w:w="1568" w:type="dxa"/>
            <w:vMerge w:val="continue"/>
            <w:tcBorders>
              <w:left w:val="single" w:color="auto" w:sz="4" w:space="0"/>
              <w:bottom w:val="single" w:color="auto" w:sz="4" w:space="0"/>
              <w:right w:val="single" w:color="auto" w:sz="4" w:space="0"/>
            </w:tcBorders>
            <w:vAlign w:val="center"/>
          </w:tcPr>
          <w:p w14:paraId="61CC9D2E">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p>
        </w:tc>
        <w:tc>
          <w:tcPr>
            <w:tcW w:w="2865" w:type="dxa"/>
            <w:tcBorders>
              <w:top w:val="single" w:color="auto" w:sz="4" w:space="0"/>
              <w:left w:val="single" w:color="auto" w:sz="4" w:space="0"/>
              <w:bottom w:val="single" w:color="auto" w:sz="4" w:space="0"/>
              <w:right w:val="single" w:color="auto" w:sz="4" w:space="0"/>
            </w:tcBorders>
            <w:vAlign w:val="center"/>
          </w:tcPr>
          <w:p w14:paraId="10043D63">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电源：550W电源模块</w:t>
            </w:r>
          </w:p>
        </w:tc>
        <w:tc>
          <w:tcPr>
            <w:tcW w:w="675" w:type="dxa"/>
            <w:tcBorders>
              <w:top w:val="single" w:color="auto" w:sz="4" w:space="0"/>
              <w:left w:val="single" w:color="auto" w:sz="4" w:space="0"/>
              <w:bottom w:val="single" w:color="auto" w:sz="4" w:space="0"/>
              <w:right w:val="single" w:color="auto" w:sz="4" w:space="0"/>
            </w:tcBorders>
            <w:vAlign w:val="center"/>
          </w:tcPr>
          <w:p w14:paraId="0805CCC8">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个</w:t>
            </w:r>
          </w:p>
        </w:tc>
        <w:tc>
          <w:tcPr>
            <w:tcW w:w="735" w:type="dxa"/>
            <w:tcBorders>
              <w:top w:val="single" w:color="auto" w:sz="4" w:space="0"/>
              <w:left w:val="single" w:color="auto" w:sz="4" w:space="0"/>
              <w:bottom w:val="single" w:color="auto" w:sz="4" w:space="0"/>
              <w:right w:val="single" w:color="auto" w:sz="4" w:space="0"/>
            </w:tcBorders>
            <w:vAlign w:val="center"/>
          </w:tcPr>
          <w:p w14:paraId="660F0354">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006" w:type="dxa"/>
            <w:tcBorders>
              <w:top w:val="single" w:color="auto" w:sz="4" w:space="0"/>
              <w:left w:val="single" w:color="auto" w:sz="4" w:space="0"/>
              <w:bottom w:val="single" w:color="auto" w:sz="4" w:space="0"/>
              <w:right w:val="single" w:color="auto" w:sz="4" w:space="0"/>
            </w:tcBorders>
            <w:vAlign w:val="center"/>
          </w:tcPr>
          <w:p w14:paraId="606C7295">
            <w:pPr>
              <w:keepNext w:val="0"/>
              <w:keepLines w:val="0"/>
              <w:suppressLineNumbers w:val="0"/>
              <w:adjustRightInd w:val="0"/>
              <w:snapToGrid w:val="0"/>
              <w:spacing w:before="0" w:beforeAutospacing="0" w:after="0" w:afterAutospacing="0" w:line="340" w:lineRule="exact"/>
              <w:ind w:left="0" w:right="0"/>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采购人备品备件库</w:t>
            </w:r>
          </w:p>
        </w:tc>
      </w:tr>
    </w:tbl>
    <w:p w14:paraId="5BE0F822">
      <w:pPr>
        <w:widowControl w:val="0"/>
        <w:shd w:val="clear" w:color="auto" w:fill="FFFFFF"/>
        <w:spacing w:line="240" w:lineRule="auto"/>
        <w:ind w:left="0" w:leftChars="0" w:firstLine="0" w:firstLineChars="0"/>
        <w:jc w:val="left"/>
        <w:rPr>
          <w:rFonts w:hint="eastAsia" w:ascii="仿宋" w:hAnsi="仿宋" w:eastAsia="仿宋" w:cs="仿宋"/>
          <w:b/>
          <w:bCs/>
          <w:color w:val="000000" w:themeColor="text1"/>
          <w:kern w:val="2"/>
          <w:sz w:val="24"/>
          <w:szCs w:val="24"/>
          <w:highlight w:val="none"/>
          <w:lang w:val="zh-CN" w:eastAsia="zh-CN" w:bidi="ar-SA"/>
          <w14:textFill>
            <w14:solidFill>
              <w14:schemeClr w14:val="tx1"/>
            </w14:solidFill>
          </w14:textFill>
        </w:rPr>
      </w:pPr>
    </w:p>
    <w:p w14:paraId="144493CF">
      <w:pPr>
        <w:widowControl/>
        <w:shd w:val="clear" w:color="auto" w:fill="auto"/>
        <w:spacing w:line="480" w:lineRule="atLeast"/>
        <w:ind w:left="0" w:leftChars="0" w:firstLine="480" w:firstLineChars="200"/>
        <w:jc w:val="left"/>
        <w:rPr>
          <w:rFonts w:hint="eastAsia" w:ascii="宋体" w:hAnsi="宋体" w:eastAsia="宋体" w:cs="宋体"/>
          <w:b w:val="0"/>
          <w:bCs w:val="0"/>
          <w:color w:val="000000" w:themeColor="text1"/>
          <w:kern w:val="2"/>
          <w:sz w:val="24"/>
          <w:szCs w:val="21"/>
          <w:highlight w:val="none"/>
          <w:lang w:val="zh-CN" w:eastAsia="zh-CN" w:bidi="ar-SA"/>
          <w14:textFill>
            <w14:solidFill>
              <w14:schemeClr w14:val="tx1"/>
            </w14:solidFill>
          </w14:textFill>
        </w:rPr>
      </w:pPr>
      <w:r>
        <w:rPr>
          <w:rFonts w:hint="eastAsia" w:ascii="宋体" w:hAnsi="宋体" w:eastAsia="宋体" w:cs="宋体"/>
          <w:b w:val="0"/>
          <w:bCs w:val="0"/>
          <w:color w:val="000000" w:themeColor="text1"/>
          <w:kern w:val="2"/>
          <w:sz w:val="24"/>
          <w:szCs w:val="21"/>
          <w:highlight w:val="none"/>
          <w:lang w:val="zh-CN" w:eastAsia="zh-CN" w:bidi="ar-SA"/>
          <w14:textFill>
            <w14:solidFill>
              <w14:schemeClr w14:val="tx1"/>
            </w14:solidFill>
          </w14:textFill>
        </w:rPr>
        <w:t>备品备件库除了以上承诺的还额外提供的备品备件包括如下：</w:t>
      </w:r>
    </w:p>
    <w:tbl>
      <w:tblPr>
        <w:tblStyle w:val="54"/>
        <w:tblW w:w="8560" w:type="dxa"/>
        <w:tblInd w:w="6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4421"/>
        <w:gridCol w:w="2468"/>
      </w:tblGrid>
      <w:tr w14:paraId="4E2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60" w:type="dxa"/>
            <w:gridSpan w:val="3"/>
            <w:vAlign w:val="center"/>
          </w:tcPr>
          <w:p w14:paraId="3F679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9"/>
              <w:rPr>
                <w:rFonts w:hint="eastAsia" w:ascii="宋体" w:hAnsi="宋体" w:eastAsia="宋体" w:cs="宋体"/>
                <w:b/>
                <w:bCs/>
                <w:color w:val="000000" w:themeColor="text1"/>
                <w:kern w:val="0"/>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44"/>
                <w:sz w:val="32"/>
                <w:szCs w:val="44"/>
                <w:highlight w:val="none"/>
                <w:lang w:val="en-US" w:eastAsia="zh-CN"/>
                <w14:textFill>
                  <w14:solidFill>
                    <w14:schemeClr w14:val="tx1"/>
                  </w14:solidFill>
                </w14:textFill>
              </w:rPr>
              <w:t xml:space="preserve">O </w:t>
            </w:r>
            <w:r>
              <w:rPr>
                <w:rFonts w:hint="eastAsia" w:ascii="宋体" w:hAnsi="宋体" w:cs="宋体"/>
                <w:b/>
                <w:bCs/>
                <w:color w:val="000000" w:themeColor="text1"/>
                <w:kern w:val="44"/>
                <w:sz w:val="32"/>
                <w:szCs w:val="32"/>
                <w:highlight w:val="none"/>
                <w:lang w:val="en-US" w:eastAsia="zh-CN"/>
                <w14:textFill>
                  <w14:solidFill>
                    <w14:schemeClr w14:val="tx1"/>
                  </w14:solidFill>
                </w14:textFill>
              </w:rPr>
              <w:t>单位</w:t>
            </w:r>
          </w:p>
        </w:tc>
      </w:tr>
      <w:tr w14:paraId="04CE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60" w:type="dxa"/>
            <w:gridSpan w:val="3"/>
            <w:vAlign w:val="center"/>
          </w:tcPr>
          <w:p w14:paraId="7F0900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9"/>
              <w:rPr>
                <w:rFonts w:hint="eastAsia" w:ascii="宋体" w:hAnsi="宋体" w:eastAsia="宋体" w:cs="宋体"/>
                <w:b/>
                <w:bCs/>
                <w:color w:val="000000" w:themeColor="text1"/>
                <w:kern w:val="0"/>
                <w:szCs w:val="21"/>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kern w:val="44"/>
                <w:sz w:val="28"/>
                <w:szCs w:val="28"/>
                <w:highlight w:val="none"/>
                <w:lang w:val="en-US" w:eastAsia="zh-CN"/>
                <w14:textFill>
                  <w14:solidFill>
                    <w14:schemeClr w14:val="tx1"/>
                  </w14:solidFill>
                </w14:textFill>
              </w:rPr>
              <w:t>O-4至O-9</w:t>
            </w:r>
            <w:r>
              <w:rPr>
                <w:rFonts w:hint="eastAsia" w:ascii="宋体" w:hAnsi="宋体" w:eastAsia="宋体" w:cs="宋体"/>
                <w:b/>
                <w:bCs/>
                <w:color w:val="000000" w:themeColor="text1"/>
                <w:kern w:val="44"/>
                <w:sz w:val="28"/>
                <w:szCs w:val="28"/>
                <w:highlight w:val="none"/>
                <w:lang w:eastAsia="zh-CN"/>
                <w14:textFill>
                  <w14:solidFill>
                    <w14:schemeClr w14:val="tx1"/>
                  </w14:solidFill>
                </w14:textFill>
              </w:rPr>
              <w:t>平台</w:t>
            </w:r>
          </w:p>
        </w:tc>
      </w:tr>
      <w:tr w14:paraId="4AF1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71" w:type="dxa"/>
            <w:vAlign w:val="center"/>
          </w:tcPr>
          <w:p w14:paraId="3CD656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9"/>
              <w:rPr>
                <w:rFonts w:hint="default" w:ascii="宋体" w:hAnsi="宋体" w:eastAsia="宋体" w:cs="宋体"/>
                <w:b/>
                <w:bCs/>
                <w:color w:val="000000" w:themeColor="text1"/>
                <w:kern w:val="0"/>
                <w:sz w:val="21"/>
                <w:szCs w:val="21"/>
                <w:highlight w:val="none"/>
                <w:vertAlign w:val="baseline"/>
                <w14:textFill>
                  <w14:solidFill>
                    <w14:schemeClr w14:val="tx1"/>
                  </w14:solidFill>
                </w14:textFill>
              </w:rPr>
            </w:pPr>
            <w:r>
              <w:rPr>
                <w:rFonts w:hint="eastAsia" w:ascii="宋体" w:hAnsi="宋体" w:eastAsia="宋体" w:cs="宋体"/>
                <w:b/>
                <w:bCs/>
                <w:color w:val="000000" w:themeColor="text1"/>
                <w:kern w:val="0"/>
                <w:szCs w:val="21"/>
                <w:highlight w:val="none"/>
                <w:vertAlign w:val="baseline"/>
                <w:lang w:val="en-US" w:eastAsia="zh-CN"/>
                <w14:textFill>
                  <w14:solidFill>
                    <w14:schemeClr w14:val="tx1"/>
                  </w14:solidFill>
                </w14:textFill>
              </w:rPr>
              <w:t>核心设备名称</w:t>
            </w:r>
          </w:p>
        </w:tc>
        <w:tc>
          <w:tcPr>
            <w:tcW w:w="4421" w:type="dxa"/>
            <w:vAlign w:val="center"/>
          </w:tcPr>
          <w:p w14:paraId="60FA5F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9"/>
              <w:rPr>
                <w:rFonts w:hint="default" w:ascii="宋体" w:hAnsi="宋体" w:eastAsia="宋体" w:cs="宋体"/>
                <w:b/>
                <w:bCs/>
                <w:color w:val="000000" w:themeColor="text1"/>
                <w:kern w:val="0"/>
                <w:sz w:val="21"/>
                <w:szCs w:val="21"/>
                <w:highlight w:val="none"/>
                <w:vertAlign w:val="baseline"/>
                <w14:textFill>
                  <w14:solidFill>
                    <w14:schemeClr w14:val="tx1"/>
                  </w14:solidFill>
                </w14:textFill>
              </w:rPr>
            </w:pPr>
            <w:r>
              <w:rPr>
                <w:rFonts w:hint="eastAsia" w:ascii="宋体" w:hAnsi="宋体" w:eastAsia="宋体" w:cs="宋体"/>
                <w:b/>
                <w:bCs/>
                <w:color w:val="000000" w:themeColor="text1"/>
                <w:kern w:val="0"/>
                <w:szCs w:val="21"/>
                <w:highlight w:val="none"/>
                <w:vertAlign w:val="baseline"/>
                <w:lang w:val="en-US" w:eastAsia="zh-CN"/>
                <w14:textFill>
                  <w14:solidFill>
                    <w14:schemeClr w14:val="tx1"/>
                  </w14:solidFill>
                </w14:textFill>
              </w:rPr>
              <w:t>核心配件</w:t>
            </w:r>
          </w:p>
        </w:tc>
        <w:tc>
          <w:tcPr>
            <w:tcW w:w="2468" w:type="dxa"/>
            <w:vAlign w:val="center"/>
          </w:tcPr>
          <w:p w14:paraId="1A9EB8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9"/>
              <w:rPr>
                <w:rFonts w:hint="default" w:ascii="宋体" w:hAnsi="宋体" w:eastAsia="宋体" w:cs="宋体"/>
                <w:b/>
                <w:bCs/>
                <w:color w:val="000000" w:themeColor="text1"/>
                <w:kern w:val="0"/>
                <w:sz w:val="21"/>
                <w:szCs w:val="21"/>
                <w:highlight w:val="none"/>
                <w:vertAlign w:val="baseline"/>
                <w14:textFill>
                  <w14:solidFill>
                    <w14:schemeClr w14:val="tx1"/>
                  </w14:solidFill>
                </w14:textFill>
              </w:rPr>
            </w:pPr>
            <w:r>
              <w:rPr>
                <w:rFonts w:hint="eastAsia" w:ascii="宋体" w:hAnsi="宋体" w:eastAsia="宋体" w:cs="宋体"/>
                <w:b/>
                <w:bCs/>
                <w:color w:val="000000" w:themeColor="text1"/>
                <w:kern w:val="0"/>
                <w:szCs w:val="21"/>
                <w:highlight w:val="none"/>
                <w:vertAlign w:val="baseline"/>
                <w:lang w:val="en-US" w:eastAsia="zh-CN"/>
                <w14:textFill>
                  <w14:solidFill>
                    <w14:schemeClr w14:val="tx1"/>
                  </w14:solidFill>
                </w14:textFill>
              </w:rPr>
              <w:t>核心备件供货数量</w:t>
            </w:r>
          </w:p>
        </w:tc>
      </w:tr>
      <w:tr w14:paraId="6B14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trPr>
        <w:tc>
          <w:tcPr>
            <w:tcW w:w="1671" w:type="dxa"/>
            <w:vMerge w:val="restart"/>
            <w:vAlign w:val="center"/>
          </w:tcPr>
          <w:p w14:paraId="1EF6FB9B">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outlineLvl w:val="0"/>
              <w:rPr>
                <w:rFonts w:hint="eastAsia" w:ascii="宋体" w:hAnsi="宋体" w:eastAsia="宋体" w:cs="宋体"/>
                <w:b/>
                <w:bCs/>
                <w:color w:val="000000" w:themeColor="text1"/>
                <w:kern w:val="44"/>
                <w:sz w:val="32"/>
                <w:szCs w:val="44"/>
                <w:highlight w:val="none"/>
                <w:vertAlign w:val="baseline"/>
                <w14:textFill>
                  <w14:solidFill>
                    <w14:schemeClr w14:val="tx1"/>
                  </w14:solidFill>
                </w14:textFill>
              </w:rPr>
            </w:pPr>
            <w:r>
              <w:rPr>
                <w:rFonts w:hint="eastAsia" w:ascii="宋体" w:hAnsi="宋体" w:eastAsia="宋体" w:cs="宋体"/>
                <w:color w:val="000000" w:themeColor="text1"/>
                <w:szCs w:val="21"/>
                <w:highlight w:val="none"/>
                <w:vertAlign w:val="baseline"/>
                <w:lang w:val="zh-CN" w:eastAsia="zh-CN"/>
                <w14:textFill>
                  <w14:solidFill>
                    <w14:schemeClr w14:val="tx1"/>
                  </w14:solidFill>
                </w14:textFill>
              </w:rPr>
              <w:t>高性能服务器配件</w:t>
            </w:r>
          </w:p>
        </w:tc>
        <w:tc>
          <w:tcPr>
            <w:tcW w:w="4421" w:type="dxa"/>
            <w:vAlign w:val="center"/>
          </w:tcPr>
          <w:p w14:paraId="209864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default" w:ascii="宋体" w:hAnsi="宋体" w:eastAsia="宋体" w:cs="宋体"/>
                <w:b w:val="0"/>
                <w:bCs w:val="0"/>
                <w:color w:val="000000" w:themeColor="text1"/>
                <w:kern w:val="2"/>
                <w:sz w:val="21"/>
                <w:szCs w:val="21"/>
                <w:highlight w:val="none"/>
                <w:vertAlign w:val="baseline"/>
                <w14:textFill>
                  <w14:solidFill>
                    <w14:schemeClr w14:val="tx1"/>
                  </w14:solidFill>
                </w14:textFill>
              </w:rPr>
            </w:pPr>
            <w:r>
              <w:rPr>
                <w:rFonts w:hint="eastAsia" w:ascii="宋体" w:hAnsi="宋体" w:eastAsia="宋体" w:cs="宋体"/>
                <w:color w:val="000000" w:themeColor="text1"/>
                <w:szCs w:val="21"/>
                <w:highlight w:val="none"/>
                <w:vertAlign w:val="baseline"/>
                <w:lang w:val="zh-CN" w:eastAsia="zh-CN"/>
                <w14:textFill>
                  <w14:solidFill>
                    <w14:schemeClr w14:val="tx1"/>
                  </w14:solidFill>
                </w14:textFill>
              </w:rPr>
              <w:t>内存：配置内存</w:t>
            </w:r>
            <w:r>
              <w:rPr>
                <w:rFonts w:hint="eastAsia" w:ascii="宋体" w:hAnsi="宋体" w:eastAsia="宋体" w:cs="宋体"/>
                <w:color w:val="000000" w:themeColor="text1"/>
                <w:szCs w:val="21"/>
                <w:highlight w:val="none"/>
                <w:vertAlign w:val="baseline"/>
                <w:lang w:val="en-US" w:eastAsia="zh-CN"/>
                <w14:textFill>
                  <w14:solidFill>
                    <w14:schemeClr w14:val="tx1"/>
                  </w14:solidFill>
                </w14:textFill>
              </w:rPr>
              <w:t>128GB 2400MHz DDR4内存</w:t>
            </w:r>
          </w:p>
        </w:tc>
        <w:tc>
          <w:tcPr>
            <w:tcW w:w="2468" w:type="dxa"/>
            <w:vAlign w:val="center"/>
          </w:tcPr>
          <w:p w14:paraId="6B365F8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default" w:ascii="宋体" w:hAnsi="宋体" w:eastAsia="宋体" w:cs="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vertAlign w:val="baseline"/>
                <w:lang w:val="en-US" w:eastAsia="zh-CN"/>
                <w14:textFill>
                  <w14:solidFill>
                    <w14:schemeClr w14:val="tx1"/>
                  </w14:solidFill>
                </w14:textFill>
              </w:rPr>
              <w:t>1</w:t>
            </w:r>
          </w:p>
        </w:tc>
      </w:tr>
      <w:tr w14:paraId="550EC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71" w:type="dxa"/>
            <w:vMerge w:val="continue"/>
            <w:vAlign w:val="top"/>
          </w:tcPr>
          <w:p w14:paraId="0DD9ABD5">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outlineLvl w:val="0"/>
              <w:rPr>
                <w:rFonts w:hint="eastAsia" w:ascii="宋体" w:hAnsi="宋体" w:eastAsia="宋体" w:cs="宋体"/>
                <w:b/>
                <w:bCs/>
                <w:color w:val="000000" w:themeColor="text1"/>
                <w:kern w:val="44"/>
                <w:sz w:val="32"/>
                <w:szCs w:val="44"/>
                <w:highlight w:val="none"/>
                <w:vertAlign w:val="baseline"/>
                <w14:textFill>
                  <w14:solidFill>
                    <w14:schemeClr w14:val="tx1"/>
                  </w14:solidFill>
                </w14:textFill>
              </w:rPr>
            </w:pPr>
          </w:p>
        </w:tc>
        <w:tc>
          <w:tcPr>
            <w:tcW w:w="4421" w:type="dxa"/>
            <w:vAlign w:val="center"/>
          </w:tcPr>
          <w:p w14:paraId="03A0A84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default" w:ascii="宋体" w:hAnsi="宋体" w:eastAsia="宋体" w:cs="宋体"/>
                <w:b w:val="0"/>
                <w:bCs w:val="0"/>
                <w:color w:val="000000" w:themeColor="text1"/>
                <w:kern w:val="2"/>
                <w:sz w:val="21"/>
                <w:szCs w:val="21"/>
                <w:highlight w:val="none"/>
                <w:vertAlign w:val="baseline"/>
                <w14:textFill>
                  <w14:solidFill>
                    <w14:schemeClr w14:val="tx1"/>
                  </w14:solidFill>
                </w14:textFill>
              </w:rPr>
            </w:pPr>
            <w:r>
              <w:rPr>
                <w:rFonts w:hint="eastAsia" w:ascii="宋体" w:hAnsi="宋体" w:eastAsia="宋体" w:cs="宋体"/>
                <w:color w:val="000000" w:themeColor="text1"/>
                <w:szCs w:val="21"/>
                <w:highlight w:val="none"/>
                <w:vertAlign w:val="baseline"/>
                <w:lang w:val="zh-CN" w:eastAsia="zh-CN"/>
                <w14:textFill>
                  <w14:solidFill>
                    <w14:schemeClr w14:val="tx1"/>
                  </w14:solidFill>
                </w14:textFill>
              </w:rPr>
              <w:t>电源：</w:t>
            </w:r>
            <w:r>
              <w:rPr>
                <w:rFonts w:hint="eastAsia" w:ascii="宋体" w:hAnsi="宋体" w:eastAsia="宋体" w:cs="宋体"/>
                <w:color w:val="000000" w:themeColor="text1"/>
                <w:szCs w:val="21"/>
                <w:highlight w:val="none"/>
                <w:vertAlign w:val="baseline"/>
                <w:lang w:val="en-US" w:eastAsia="zh-CN"/>
                <w14:textFill>
                  <w14:solidFill>
                    <w14:schemeClr w14:val="tx1"/>
                  </w14:solidFill>
                </w14:textFill>
              </w:rPr>
              <w:t>460W交流电源模块</w:t>
            </w:r>
          </w:p>
        </w:tc>
        <w:tc>
          <w:tcPr>
            <w:tcW w:w="2468" w:type="dxa"/>
            <w:vAlign w:val="center"/>
          </w:tcPr>
          <w:p w14:paraId="7549190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40" w:lineRule="exact"/>
              <w:ind w:left="0" w:right="0"/>
              <w:jc w:val="center"/>
              <w:textAlignment w:val="auto"/>
              <w:outlineLvl w:val="9"/>
              <w:rPr>
                <w:rFonts w:hint="default" w:ascii="宋体" w:hAnsi="宋体" w:eastAsia="宋体" w:cs="宋体"/>
                <w:b w:val="0"/>
                <w:bCs w:val="0"/>
                <w:color w:val="000000" w:themeColor="text1"/>
                <w:kern w:val="2"/>
                <w:sz w:val="21"/>
                <w:szCs w:val="21"/>
                <w:highlight w:val="none"/>
                <w:vertAlign w:val="baseline"/>
                <w:lang w:val="en-US" w:eastAsia="zh-CN"/>
                <w14:textFill>
                  <w14:solidFill>
                    <w14:schemeClr w14:val="tx1"/>
                  </w14:solidFill>
                </w14:textFill>
              </w:rPr>
            </w:pPr>
            <w:r>
              <w:rPr>
                <w:rFonts w:hint="eastAsia" w:ascii="宋体" w:hAnsi="宋体" w:eastAsia="宋体" w:cs="宋体"/>
                <w:b w:val="0"/>
                <w:bCs w:val="0"/>
                <w:color w:val="000000" w:themeColor="text1"/>
                <w:kern w:val="2"/>
                <w:sz w:val="21"/>
                <w:szCs w:val="21"/>
                <w:highlight w:val="none"/>
                <w:vertAlign w:val="baseline"/>
                <w:lang w:val="en-US" w:eastAsia="zh-CN"/>
                <w14:textFill>
                  <w14:solidFill>
                    <w14:schemeClr w14:val="tx1"/>
                  </w14:solidFill>
                </w14:textFill>
              </w:rPr>
              <w:t>1</w:t>
            </w:r>
          </w:p>
        </w:tc>
      </w:tr>
    </w:tbl>
    <w:p w14:paraId="3CC482D8">
      <w:pPr>
        <w:rPr>
          <w:color w:val="000000" w:themeColor="text1"/>
          <w:highlight w:val="none"/>
          <w14:textFill>
            <w14:solidFill>
              <w14:schemeClr w14:val="tx1"/>
            </w14:solidFill>
          </w14:textFill>
        </w:rPr>
      </w:pPr>
    </w:p>
    <w:bookmarkEnd w:id="63"/>
    <w:bookmarkEnd w:id="64"/>
    <w:p w14:paraId="1D91ABF5">
      <w:pPr>
        <w:pStyle w:val="2"/>
        <w:bidi w:val="0"/>
        <w:spacing w:line="240" w:lineRule="auto"/>
        <w:jc w:val="center"/>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79" w:name="_Toc24388"/>
      <w:r>
        <w:rPr>
          <w:rFonts w:hint="eastAsia"/>
          <w:color w:val="000000" w:themeColor="text1"/>
          <w:highlight w:val="none"/>
          <w14:textFill>
            <w14:solidFill>
              <w14:schemeClr w14:val="tx1"/>
            </w14:solidFill>
          </w14:textFill>
        </w:rPr>
        <w:t>第三章  投标人须知</w:t>
      </w:r>
      <w:bookmarkEnd w:id="79"/>
    </w:p>
    <w:p w14:paraId="1CC0BF3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color w:val="000000" w:themeColor="text1"/>
          <w:sz w:val="36"/>
          <w:szCs w:val="36"/>
          <w:highlight w:val="none"/>
          <w14:textFill>
            <w14:solidFill>
              <w14:schemeClr w14:val="tx1"/>
            </w14:solidFill>
          </w14:textFill>
        </w:rPr>
      </w:pPr>
      <w:bookmarkStart w:id="80" w:name="_Toc254970667"/>
      <w:bookmarkStart w:id="81" w:name="_Toc1643"/>
      <w:bookmarkStart w:id="82" w:name="_Toc254970526"/>
      <w:r>
        <w:rPr>
          <w:rFonts w:hint="eastAsia"/>
          <w:color w:val="000000" w:themeColor="text1"/>
          <w:sz w:val="36"/>
          <w:szCs w:val="36"/>
          <w:highlight w:val="none"/>
          <w14:textFill>
            <w14:solidFill>
              <w14:schemeClr w14:val="tx1"/>
            </w14:solidFill>
          </w14:textFill>
        </w:rPr>
        <w:t>投标人须知前附表</w:t>
      </w:r>
      <w:bookmarkEnd w:id="80"/>
      <w:bookmarkEnd w:id="81"/>
      <w:bookmarkEnd w:id="82"/>
    </w:p>
    <w:tbl>
      <w:tblPr>
        <w:tblStyle w:val="53"/>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73DFEF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EE8F2D7">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3D8BF48C">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编列内容</w:t>
            </w:r>
          </w:p>
        </w:tc>
      </w:tr>
      <w:tr w14:paraId="67C1AA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5A9E634">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8708" w:type="dxa"/>
            <w:tcBorders>
              <w:top w:val="single" w:color="auto" w:sz="4" w:space="0"/>
              <w:left w:val="single" w:color="auto" w:sz="4" w:space="0"/>
              <w:bottom w:val="single" w:color="auto" w:sz="4" w:space="0"/>
              <w:right w:val="single" w:color="auto" w:sz="4" w:space="0"/>
            </w:tcBorders>
            <w:vAlign w:val="center"/>
          </w:tcPr>
          <w:p w14:paraId="5AE16643">
            <w:pPr>
              <w:snapToGrid w:val="0"/>
              <w:spacing w:line="400" w:lineRule="exact"/>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投标人的资格要求：详见招标公告。</w:t>
            </w:r>
          </w:p>
        </w:tc>
      </w:tr>
      <w:tr w14:paraId="1CF7BB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F0C98BF">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w:t>
            </w:r>
          </w:p>
        </w:tc>
        <w:tc>
          <w:tcPr>
            <w:tcW w:w="8708" w:type="dxa"/>
            <w:tcBorders>
              <w:top w:val="single" w:color="auto" w:sz="4" w:space="0"/>
              <w:left w:val="single" w:color="auto" w:sz="4" w:space="0"/>
              <w:bottom w:val="single" w:color="auto" w:sz="4" w:space="0"/>
              <w:right w:val="single" w:color="auto" w:sz="4" w:space="0"/>
            </w:tcBorders>
            <w:vAlign w:val="center"/>
          </w:tcPr>
          <w:p w14:paraId="161A647C">
            <w:pPr>
              <w:pStyle w:val="17"/>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本项目是否接受联合体投标：</w:t>
            </w:r>
            <w:r>
              <w:rPr>
                <w:rFonts w:hint="eastAsia" w:ascii="宋体" w:hAnsi="宋体"/>
                <w:color w:val="000000" w:themeColor="text1"/>
                <w:szCs w:val="21"/>
                <w:highlight w:val="none"/>
                <w:lang w:eastAsia="zh-CN"/>
                <w14:textFill>
                  <w14:solidFill>
                    <w14:schemeClr w14:val="tx1"/>
                  </w14:solidFill>
                </w14:textFill>
              </w:rPr>
              <w:t>不接受</w:t>
            </w:r>
            <w:r>
              <w:rPr>
                <w:rFonts w:hint="eastAsia" w:ascii="宋体" w:hAnsi="宋体"/>
                <w:color w:val="000000" w:themeColor="text1"/>
                <w:szCs w:val="21"/>
                <w:highlight w:val="none"/>
                <w14:textFill>
                  <w14:solidFill>
                    <w14:schemeClr w14:val="tx1"/>
                  </w14:solidFill>
                </w14:textFill>
              </w:rPr>
              <w:t>。</w:t>
            </w:r>
          </w:p>
        </w:tc>
      </w:tr>
      <w:tr w14:paraId="06C8D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B3575E6">
            <w:pPr>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6.2</w:t>
            </w:r>
          </w:p>
        </w:tc>
        <w:tc>
          <w:tcPr>
            <w:tcW w:w="8708" w:type="dxa"/>
            <w:tcBorders>
              <w:top w:val="single" w:color="auto" w:sz="4" w:space="0"/>
              <w:left w:val="single" w:color="auto" w:sz="4" w:space="0"/>
              <w:bottom w:val="single" w:color="auto" w:sz="4" w:space="0"/>
              <w:right w:val="single" w:color="auto" w:sz="4" w:space="0"/>
            </w:tcBorders>
            <w:vAlign w:val="center"/>
          </w:tcPr>
          <w:p w14:paraId="6F3186C4">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bookmarkStart w:id="83" w:name="_Hlk54105293"/>
            <w:r>
              <w:rPr>
                <w:rFonts w:hint="eastAsia" w:ascii="宋体" w:hAnsi="宋体"/>
                <w:color w:val="000000" w:themeColor="text1"/>
                <w:szCs w:val="21"/>
                <w:highlight w:val="none"/>
                <w14:textFill>
                  <w14:solidFill>
                    <w14:schemeClr w14:val="tx1"/>
                  </w14:solidFill>
                </w14:textFill>
              </w:rPr>
              <w:t>如接受联合体投标，</w:t>
            </w:r>
            <w:bookmarkEnd w:id="83"/>
            <w:r>
              <w:rPr>
                <w:rFonts w:hint="eastAsia" w:ascii="宋体" w:hAnsi="宋体"/>
                <w:color w:val="000000" w:themeColor="text1"/>
                <w:szCs w:val="21"/>
                <w:highlight w:val="none"/>
                <w14:textFill>
                  <w14:solidFill>
                    <w14:schemeClr w14:val="tx1"/>
                  </w14:solidFill>
                </w14:textFill>
              </w:rPr>
              <w:t>联合体投标要求如下：</w:t>
            </w:r>
          </w:p>
          <w:p w14:paraId="7421035E">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1、两个以上投标人可以组成一个投标联合体，以一个投标人的身份共同参加投标，联合体投标人的名称应统一按“XXX 公司与 XXX 公司的联合体”的规则填写。</w:t>
            </w:r>
            <w:r>
              <w:rPr>
                <w:rFonts w:hint="eastAsia" w:ascii="宋体" w:hAnsi="宋体"/>
                <w:color w:val="000000" w:themeColor="text1"/>
                <w:szCs w:val="21"/>
                <w:highlight w:val="none"/>
                <w14:textFill>
                  <w14:solidFill>
                    <w14:schemeClr w14:val="tx1"/>
                  </w14:solidFill>
                </w14:textFill>
              </w:rPr>
              <w:tab/>
            </w:r>
          </w:p>
          <w:p w14:paraId="2151C698">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7BF5B151">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olor w:val="000000" w:themeColor="text1"/>
                <w:szCs w:val="21"/>
                <w:highlight w:val="none"/>
                <w14:textFill>
                  <w14:solidFill>
                    <w14:schemeClr w14:val="tx1"/>
                  </w14:solidFill>
                </w14:textFill>
              </w:rPr>
              <w:tab/>
            </w:r>
          </w:p>
          <w:p w14:paraId="7CAB3EE0">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4、以联合体形式参加政府采购活动的，联合体各方不得再单独参加或者与其他投标人另外组成联合体参加同一合同项下的政府采购活动，否则与之相关的投标文件作废。</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p>
          <w:p w14:paraId="67DF3F90">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5、联合体中有同类资质的投标人按照联合体分工承担相同工作的，应当按照资质等级较低的投标人确定资质等级。</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p>
          <w:p w14:paraId="4FFA3902">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6、联合体投标业绩、履约能力按照联合体各方其中较高的一方认定并计算（招标文件另有规定的除外）。</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ab/>
            </w:r>
          </w:p>
          <w:p w14:paraId="7E7E6BBB">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7、联合体各方均应按照招标文件的规定提交资格证明文件。</w:t>
            </w:r>
          </w:p>
        </w:tc>
      </w:tr>
      <w:tr w14:paraId="1DC2C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66077BB2">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w:t>
            </w:r>
          </w:p>
        </w:tc>
        <w:tc>
          <w:tcPr>
            <w:tcW w:w="8708" w:type="dxa"/>
            <w:tcBorders>
              <w:top w:val="single" w:color="auto" w:sz="4" w:space="0"/>
              <w:left w:val="single" w:color="auto" w:sz="4" w:space="0"/>
              <w:bottom w:val="single" w:color="auto" w:sz="4" w:space="0"/>
              <w:right w:val="single" w:color="auto" w:sz="4" w:space="0"/>
            </w:tcBorders>
            <w:vAlign w:val="center"/>
          </w:tcPr>
          <w:p w14:paraId="48EF1AC4">
            <w:pPr>
              <w:pStyle w:val="18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pacing w:val="7"/>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7"/>
                <w:sz w:val="21"/>
                <w:szCs w:val="21"/>
                <w:highlight w:val="none"/>
                <w14:textFill>
                  <w14:solidFill>
                    <w14:schemeClr w14:val="tx1"/>
                  </w14:solidFill>
                </w14:textFill>
              </w:rPr>
              <w:t>本项目不允许分包。</w:t>
            </w:r>
          </w:p>
          <w:p w14:paraId="30FFE362">
            <w:pPr>
              <w:pStyle w:val="18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cs="宋体"/>
                <w:color w:val="000000" w:themeColor="text1"/>
                <w:spacing w:val="5"/>
                <w:sz w:val="21"/>
                <w:szCs w:val="21"/>
                <w:highlight w:val="none"/>
                <w:lang w:eastAsia="zh-CN"/>
                <w14:textFill>
                  <w14:solidFill>
                    <w14:schemeClr w14:val="tx1"/>
                  </w14:solidFill>
                </w14:textFill>
              </w:rPr>
              <w:t>☑</w:t>
            </w:r>
            <w:r>
              <w:rPr>
                <w:rFonts w:hint="eastAsia" w:ascii="宋体" w:hAnsi="宋体" w:eastAsia="宋体" w:cs="宋体"/>
                <w:color w:val="000000" w:themeColor="text1"/>
                <w:spacing w:val="5"/>
                <w:sz w:val="21"/>
                <w:szCs w:val="21"/>
                <w:highlight w:val="none"/>
                <w14:textFill>
                  <w14:solidFill>
                    <w14:schemeClr w14:val="tx1"/>
                  </w14:solidFill>
                </w14:textFill>
              </w:rPr>
              <w:t>本项目允许分包：</w:t>
            </w:r>
          </w:p>
          <w:p w14:paraId="74E47FB1">
            <w:pPr>
              <w:pStyle w:val="187"/>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pacing w:val="6"/>
                <w:sz w:val="21"/>
                <w:szCs w:val="21"/>
                <w:highlight w:val="none"/>
                <w14:textFill>
                  <w14:solidFill>
                    <w14:schemeClr w14:val="tx1"/>
                  </w14:solidFill>
                </w14:textFill>
              </w:rPr>
              <w:t>分包内容：</w:t>
            </w:r>
            <w:r>
              <w:rPr>
                <w:rFonts w:hint="eastAsia" w:cs="宋体"/>
                <w:color w:val="000000" w:themeColor="text1"/>
                <w:spacing w:val="6"/>
                <w:sz w:val="21"/>
                <w:szCs w:val="21"/>
                <w:highlight w:val="none"/>
                <w:lang w:eastAsia="zh-CN"/>
                <w14:textFill>
                  <w14:solidFill>
                    <w14:schemeClr w14:val="tx1"/>
                  </w14:solidFill>
                </w14:textFill>
              </w:rPr>
              <w:t>仅限</w:t>
            </w:r>
            <w:r>
              <w:rPr>
                <w:rFonts w:hint="eastAsia"/>
                <w:color w:val="000000" w:themeColor="text1"/>
                <w:spacing w:val="6"/>
                <w:sz w:val="21"/>
                <w:szCs w:val="21"/>
                <w:highlight w:val="none"/>
                <w14:textFill>
                  <w14:solidFill>
                    <w14:schemeClr w14:val="tx1"/>
                  </w14:solidFill>
                </w14:textFill>
              </w:rPr>
              <w:t>技术部分附件《2026—2027年度厅机关应用系统维护服务项目招标要求》</w:t>
            </w:r>
            <w:r>
              <w:rPr>
                <w:rFonts w:hint="eastAsia"/>
                <w:color w:val="000000" w:themeColor="text1"/>
                <w:spacing w:val="6"/>
                <w:sz w:val="21"/>
                <w:szCs w:val="21"/>
                <w:highlight w:val="none"/>
                <w:lang w:eastAsia="zh-CN"/>
                <w14:textFill>
                  <w14:solidFill>
                    <w14:schemeClr w14:val="tx1"/>
                  </w14:solidFill>
                </w14:textFill>
              </w:rPr>
              <w:t>中</w:t>
            </w:r>
            <w:r>
              <w:rPr>
                <w:rFonts w:hint="eastAsia" w:cs="宋体"/>
                <w:color w:val="000000" w:themeColor="text1"/>
                <w:spacing w:val="6"/>
                <w:sz w:val="21"/>
                <w:szCs w:val="21"/>
                <w:highlight w:val="none"/>
                <w:lang w:val="en-US" w:eastAsia="zh-CN"/>
                <w14:textFill>
                  <w14:solidFill>
                    <w14:schemeClr w14:val="tx1"/>
                  </w14:solidFill>
                </w14:textFill>
              </w:rPr>
              <w:t>D、G、H、L</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M、R、S</w:t>
            </w:r>
            <w:r>
              <w:rPr>
                <w:rFonts w:hint="eastAsia"/>
                <w:color w:val="000000" w:themeColor="text1"/>
                <w:highlight w:val="none"/>
                <w:lang w:eastAsia="zh-CN"/>
                <w14:textFill>
                  <w14:solidFill>
                    <w14:schemeClr w14:val="tx1"/>
                  </w14:solidFill>
                </w14:textFill>
              </w:rPr>
              <w:t>等</w:t>
            </w:r>
            <w:r>
              <w:rPr>
                <w:rFonts w:hint="eastAsia"/>
                <w:color w:val="000000" w:themeColor="text1"/>
                <w:highlight w:val="none"/>
                <w:lang w:val="en-US" w:eastAsia="zh-CN"/>
                <w14:textFill>
                  <w14:solidFill>
                    <w14:schemeClr w14:val="tx1"/>
                  </w14:solidFill>
                </w14:textFill>
              </w:rPr>
              <w:t>7大</w:t>
            </w:r>
            <w:r>
              <w:rPr>
                <w:rFonts w:hint="eastAsia" w:cs="宋体"/>
                <w:color w:val="000000" w:themeColor="text1"/>
                <w:sz w:val="21"/>
                <w:szCs w:val="21"/>
                <w:highlight w:val="none"/>
                <w:u w:val="single" w:color="auto"/>
                <w:lang w:eastAsia="zh-CN"/>
                <w14:textFill>
                  <w14:solidFill>
                    <w14:schemeClr w14:val="tx1"/>
                  </w14:solidFill>
                </w14:textFill>
              </w:rPr>
              <w:t>项对应的服务内容</w:t>
            </w:r>
            <w:r>
              <w:rPr>
                <w:rFonts w:hint="eastAsia" w:ascii="宋体" w:hAnsi="宋体" w:eastAsia="宋体" w:cs="宋体"/>
                <w:color w:val="000000" w:themeColor="text1"/>
                <w:spacing w:val="6"/>
                <w:sz w:val="21"/>
                <w:szCs w:val="21"/>
                <w:highlight w:val="none"/>
                <w:u w:val="single" w:color="auto"/>
                <w14:textFill>
                  <w14:solidFill>
                    <w14:schemeClr w14:val="tx1"/>
                  </w14:solidFill>
                </w14:textFill>
              </w:rPr>
              <w:t>。</w:t>
            </w:r>
          </w:p>
          <w:p w14:paraId="5BD2E2DA">
            <w:pPr>
              <w:pStyle w:val="17"/>
              <w:keepNext w:val="0"/>
              <w:keepLines w:val="0"/>
              <w:pageBreakBefore w:val="0"/>
              <w:wordWrap/>
              <w:overflowPunct/>
              <w:topLinePunct w:val="0"/>
              <w:bidi w:val="0"/>
              <w:spacing w:line="360" w:lineRule="auto"/>
              <w:rPr>
                <w:rFonts w:hint="eastAsia" w:ascii="宋体" w:hAnsi="宋体" w:eastAsia="宋体" w:cs="宋体"/>
                <w:color w:val="000000" w:themeColor="text1"/>
                <w:spacing w:val="8"/>
                <w:sz w:val="21"/>
                <w:szCs w:val="21"/>
                <w:highlight w:val="none"/>
                <w14:textFill>
                  <w14:solidFill>
                    <w14:schemeClr w14:val="tx1"/>
                  </w14:solidFill>
                </w14:textFill>
              </w:rPr>
            </w:pPr>
            <w:r>
              <w:rPr>
                <w:rFonts w:hint="eastAsia" w:ascii="宋体" w:hAnsi="宋体" w:eastAsia="宋体" w:cs="宋体"/>
                <w:color w:val="000000" w:themeColor="text1"/>
                <w:spacing w:val="8"/>
                <w:sz w:val="21"/>
                <w:szCs w:val="21"/>
                <w:highlight w:val="none"/>
                <w14:textFill>
                  <w14:solidFill>
                    <w14:schemeClr w14:val="tx1"/>
                  </w14:solidFill>
                </w14:textFill>
              </w:rPr>
              <w:t>分包金额或者比例：</w:t>
            </w:r>
          </w:p>
          <w:p w14:paraId="4F4A35B6">
            <w:pPr>
              <w:pStyle w:val="17"/>
              <w:keepNext w:val="0"/>
              <w:keepLines w:val="0"/>
              <w:pageBreakBefore w:val="0"/>
              <w:numPr>
                <w:ilvl w:val="0"/>
                <w:numId w:val="17"/>
              </w:numPr>
              <w:wordWrap/>
              <w:overflowPunct/>
              <w:topLinePunct w:val="0"/>
              <w:bidi w:val="0"/>
              <w:spacing w:line="360" w:lineRule="auto"/>
              <w:rPr>
                <w:rFonts w:hint="eastAsia" w:ascii="宋体" w:hAnsi="宋体" w:cs="宋体"/>
                <w:color w:val="000000" w:themeColor="text1"/>
                <w:spacing w:val="8"/>
                <w:szCs w:val="21"/>
                <w:highlight w:val="none"/>
                <w14:textFill>
                  <w14:solidFill>
                    <w14:schemeClr w14:val="tx1"/>
                  </w14:solidFill>
                </w14:textFill>
              </w:rPr>
            </w:pPr>
            <w:r>
              <w:rPr>
                <w:rFonts w:hint="eastAsia" w:ascii="宋体" w:hAnsi="宋体" w:cs="宋体"/>
                <w:color w:val="000000" w:themeColor="text1"/>
                <w:spacing w:val="8"/>
                <w:szCs w:val="21"/>
                <w:highlight w:val="none"/>
                <w14:textFill>
                  <w14:solidFill>
                    <w14:schemeClr w14:val="tx1"/>
                  </w14:solidFill>
                </w14:textFill>
              </w:rPr>
              <w:t>投标人为中型企业的，须将不低于本项目</w:t>
            </w:r>
            <w:r>
              <w:rPr>
                <w:rFonts w:hint="eastAsia" w:ascii="宋体" w:hAnsi="宋体" w:cs="宋体"/>
                <w:color w:val="000000" w:themeColor="text1"/>
                <w:spacing w:val="8"/>
                <w:szCs w:val="21"/>
                <w:highlight w:val="none"/>
                <w:lang w:eastAsia="zh-CN"/>
                <w14:textFill>
                  <w14:solidFill>
                    <w14:schemeClr w14:val="tx1"/>
                  </w14:solidFill>
                </w14:textFill>
              </w:rPr>
              <w:t>合同</w:t>
            </w:r>
            <w:r>
              <w:rPr>
                <w:rFonts w:hint="eastAsia" w:ascii="宋体" w:hAnsi="宋体" w:cs="宋体"/>
                <w:color w:val="000000" w:themeColor="text1"/>
                <w:spacing w:val="8"/>
                <w:szCs w:val="21"/>
                <w:highlight w:val="none"/>
                <w14:textFill>
                  <w14:solidFill>
                    <w14:schemeClr w14:val="tx1"/>
                  </w14:solidFill>
                </w14:textFill>
              </w:rPr>
              <w:t>金额的18%（即≥</w:t>
            </w:r>
            <w:r>
              <w:rPr>
                <w:rFonts w:hint="eastAsia" w:ascii="宋体" w:hAnsi="宋体" w:cs="宋体"/>
                <w:color w:val="000000" w:themeColor="text1"/>
                <w:spacing w:val="8"/>
                <w:szCs w:val="21"/>
                <w:highlight w:val="none"/>
                <w:lang w:val="en-US" w:eastAsia="zh-CN"/>
                <w14:textFill>
                  <w14:solidFill>
                    <w14:schemeClr w14:val="tx1"/>
                  </w14:solidFill>
                </w14:textFill>
              </w:rPr>
              <w:t>351.171</w:t>
            </w:r>
            <w:r>
              <w:rPr>
                <w:rFonts w:hint="eastAsia" w:ascii="宋体" w:hAnsi="宋体" w:cs="宋体"/>
                <w:color w:val="000000" w:themeColor="text1"/>
                <w:spacing w:val="8"/>
                <w:szCs w:val="21"/>
                <w:highlight w:val="none"/>
                <w14:textFill>
                  <w14:solidFill>
                    <w14:schemeClr w14:val="tx1"/>
                  </w14:solidFill>
                </w14:textFill>
              </w:rPr>
              <w:t>万元）分包给小微企业。</w:t>
            </w:r>
          </w:p>
          <w:p w14:paraId="529602C3">
            <w:pPr>
              <w:pStyle w:val="17"/>
              <w:keepNext w:val="0"/>
              <w:keepLines w:val="0"/>
              <w:pageBreakBefore w:val="0"/>
              <w:numPr>
                <w:ilvl w:val="0"/>
                <w:numId w:val="17"/>
              </w:numPr>
              <w:wordWrap/>
              <w:overflowPunct/>
              <w:topLinePunct w:val="0"/>
              <w:bidi w:val="0"/>
              <w:spacing w:line="360" w:lineRule="auto"/>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pacing w:val="8"/>
                <w:szCs w:val="21"/>
                <w:highlight w:val="none"/>
                <w14:textFill>
                  <w14:solidFill>
                    <w14:schemeClr w14:val="tx1"/>
                  </w14:solidFill>
                </w14:textFill>
              </w:rPr>
              <w:t>投标人为大型企业的，须将不低于本项目</w:t>
            </w:r>
            <w:r>
              <w:rPr>
                <w:rFonts w:hint="eastAsia" w:ascii="宋体" w:hAnsi="宋体" w:cs="宋体"/>
                <w:color w:val="000000" w:themeColor="text1"/>
                <w:spacing w:val="8"/>
                <w:szCs w:val="21"/>
                <w:highlight w:val="none"/>
                <w:lang w:eastAsia="zh-CN"/>
                <w14:textFill>
                  <w14:solidFill>
                    <w14:schemeClr w14:val="tx1"/>
                  </w14:solidFill>
                </w14:textFill>
              </w:rPr>
              <w:t>合同</w:t>
            </w:r>
            <w:r>
              <w:rPr>
                <w:rFonts w:hint="eastAsia" w:ascii="宋体" w:hAnsi="宋体" w:cs="宋体"/>
                <w:color w:val="000000" w:themeColor="text1"/>
                <w:spacing w:val="8"/>
                <w:szCs w:val="21"/>
                <w:highlight w:val="none"/>
                <w14:textFill>
                  <w14:solidFill>
                    <w14:schemeClr w14:val="tx1"/>
                  </w14:solidFill>
                </w14:textFill>
              </w:rPr>
              <w:t>金额的30%（即≥</w:t>
            </w:r>
            <w:r>
              <w:rPr>
                <w:rFonts w:hint="eastAsia" w:ascii="宋体" w:hAnsi="宋体" w:cs="宋体"/>
                <w:color w:val="000000" w:themeColor="text1"/>
                <w:spacing w:val="8"/>
                <w:szCs w:val="21"/>
                <w:highlight w:val="none"/>
                <w:lang w:val="en-US" w:eastAsia="zh-CN"/>
                <w14:textFill>
                  <w14:solidFill>
                    <w14:schemeClr w14:val="tx1"/>
                  </w14:solidFill>
                </w14:textFill>
              </w:rPr>
              <w:t>585.285</w:t>
            </w:r>
            <w:r>
              <w:rPr>
                <w:rFonts w:hint="eastAsia" w:ascii="宋体" w:hAnsi="宋体" w:cs="宋体"/>
                <w:color w:val="000000" w:themeColor="text1"/>
                <w:spacing w:val="8"/>
                <w:szCs w:val="21"/>
                <w:highlight w:val="none"/>
                <w14:textFill>
                  <w14:solidFill>
                    <w14:schemeClr w14:val="tx1"/>
                  </w14:solidFill>
                </w14:textFill>
              </w:rPr>
              <w:t>万元）分包给中小微企业</w:t>
            </w:r>
            <w:r>
              <w:rPr>
                <w:rFonts w:hint="eastAsia" w:ascii="宋体" w:hAnsi="宋体" w:cs="宋体"/>
                <w:color w:val="000000" w:themeColor="text1"/>
                <w:spacing w:val="8"/>
                <w:szCs w:val="21"/>
                <w:highlight w:val="none"/>
                <w:lang w:eastAsia="zh-CN"/>
                <w14:textFill>
                  <w14:solidFill>
                    <w14:schemeClr w14:val="tx1"/>
                  </w14:solidFill>
                </w14:textFill>
              </w:rPr>
              <w:t>（</w:t>
            </w:r>
            <w:r>
              <w:rPr>
                <w:rFonts w:hint="eastAsia" w:ascii="宋体" w:hAnsi="宋体" w:cs="宋体"/>
                <w:color w:val="000000" w:themeColor="text1"/>
                <w:spacing w:val="8"/>
                <w:szCs w:val="21"/>
                <w:highlight w:val="none"/>
                <w14:textFill>
                  <w14:solidFill>
                    <w14:schemeClr w14:val="tx1"/>
                  </w14:solidFill>
                </w14:textFill>
              </w:rPr>
              <w:t>其中，分包给小微企业的比例应不少于18%（即≥</w:t>
            </w:r>
            <w:r>
              <w:rPr>
                <w:rFonts w:hint="eastAsia" w:ascii="宋体" w:hAnsi="宋体" w:cs="宋体"/>
                <w:color w:val="000000" w:themeColor="text1"/>
                <w:spacing w:val="8"/>
                <w:szCs w:val="21"/>
                <w:highlight w:val="none"/>
                <w:lang w:val="en-US" w:eastAsia="zh-CN"/>
                <w14:textFill>
                  <w14:solidFill>
                    <w14:schemeClr w14:val="tx1"/>
                  </w14:solidFill>
                </w14:textFill>
              </w:rPr>
              <w:t>351.171</w:t>
            </w:r>
            <w:r>
              <w:rPr>
                <w:rFonts w:hint="eastAsia" w:ascii="宋体" w:hAnsi="宋体" w:cs="宋体"/>
                <w:color w:val="000000" w:themeColor="text1"/>
                <w:spacing w:val="8"/>
                <w:szCs w:val="21"/>
                <w:highlight w:val="none"/>
                <w14:textFill>
                  <w14:solidFill>
                    <w14:schemeClr w14:val="tx1"/>
                  </w14:solidFill>
                </w14:textFill>
              </w:rPr>
              <w:t>万元）</w:t>
            </w:r>
            <w:r>
              <w:rPr>
                <w:rFonts w:hint="eastAsia" w:ascii="宋体" w:hAnsi="宋体" w:cs="宋体"/>
                <w:color w:val="000000" w:themeColor="text1"/>
                <w:spacing w:val="8"/>
                <w:szCs w:val="21"/>
                <w:highlight w:val="none"/>
                <w:lang w:eastAsia="zh-CN"/>
                <w14:textFill>
                  <w14:solidFill>
                    <w14:schemeClr w14:val="tx1"/>
                  </w14:solidFill>
                </w14:textFill>
              </w:rPr>
              <w:t>）</w:t>
            </w:r>
            <w:r>
              <w:rPr>
                <w:rFonts w:hint="eastAsia" w:ascii="宋体" w:hAnsi="宋体" w:eastAsia="宋体" w:cs="宋体"/>
                <w:color w:val="000000" w:themeColor="text1"/>
                <w:spacing w:val="8"/>
                <w:sz w:val="21"/>
                <w:szCs w:val="21"/>
                <w:highlight w:val="none"/>
                <w:u w:val="single" w:color="auto"/>
                <w14:textFill>
                  <w14:solidFill>
                    <w14:schemeClr w14:val="tx1"/>
                  </w14:solidFill>
                </w14:textFill>
              </w:rPr>
              <w:t>。</w:t>
            </w:r>
          </w:p>
          <w:p w14:paraId="4D19BB97">
            <w:pPr>
              <w:keepNext w:val="0"/>
              <w:keepLines w:val="0"/>
              <w:pageBreakBefore w:val="0"/>
              <w:wordWrap/>
              <w:overflowPunct/>
              <w:topLinePunct w:val="0"/>
              <w:bidi w:val="0"/>
              <w:spacing w:line="360" w:lineRule="auto"/>
              <w:ind w:firstLine="0" w:firstLineChars="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投标人为小微企业的须在投标文件中提供《中小企业声明函》；投标人为非小微企业的须在投标文件中提供《中小企业声明函》及《分包意向协议》。</w:t>
            </w:r>
          </w:p>
          <w:p w14:paraId="0B99E1A2">
            <w:pPr>
              <w:keepNext w:val="0"/>
              <w:keepLines w:val="0"/>
              <w:pageBreakBefore w:val="0"/>
              <w:wordWrap/>
              <w:overflowPunct/>
              <w:topLinePunct w:val="0"/>
              <w:bidi w:val="0"/>
              <w:spacing w:line="360" w:lineRule="auto"/>
              <w:ind w:firstLine="0" w:firstLineChars="0"/>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监狱企业、残疾人福利单位视同小型、微型企业，中小企业须符合本项目采购标的所属行业对应的中小企业划分标准；接受分包合同中的中小微企业与分包企业之间不得存在直接控股、管理关系；接受分包的中小微企业不得再次分包。</w:t>
            </w:r>
          </w:p>
        </w:tc>
      </w:tr>
      <w:tr w14:paraId="0C955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895" w:type="dxa"/>
            <w:vMerge w:val="restart"/>
            <w:tcBorders>
              <w:top w:val="single" w:color="auto" w:sz="4" w:space="0"/>
              <w:left w:val="single" w:color="auto" w:sz="4" w:space="0"/>
              <w:right w:val="single" w:color="auto" w:sz="4" w:space="0"/>
            </w:tcBorders>
            <w:vAlign w:val="center"/>
          </w:tcPr>
          <w:p w14:paraId="5868AAA2">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5</w:t>
            </w:r>
          </w:p>
        </w:tc>
        <w:tc>
          <w:tcPr>
            <w:tcW w:w="8708" w:type="dxa"/>
            <w:tcBorders>
              <w:top w:val="single" w:color="auto" w:sz="4" w:space="0"/>
              <w:left w:val="single" w:color="auto" w:sz="4" w:space="0"/>
              <w:bottom w:val="single" w:color="auto" w:sz="4" w:space="0"/>
              <w:right w:val="single" w:color="auto" w:sz="4" w:space="0"/>
            </w:tcBorders>
            <w:vAlign w:val="center"/>
          </w:tcPr>
          <w:p w14:paraId="51D46B04">
            <w:pPr>
              <w:keepNext w:val="0"/>
              <w:keepLines w:val="0"/>
              <w:pageBreakBefore w:val="0"/>
              <w:widowControl w:val="0"/>
              <w:kinsoku/>
              <w:wordWrap/>
              <w:overflowPunct/>
              <w:topLinePunct w:val="0"/>
              <w:autoSpaceDE/>
              <w:autoSpaceDN/>
              <w:bidi w:val="0"/>
              <w:adjustRightInd/>
              <w:snapToGrid w:val="0"/>
              <w:spacing w:line="360" w:lineRule="auto"/>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本项目组织现场考察：</w:t>
            </w:r>
          </w:p>
          <w:p w14:paraId="4DEEB734">
            <w:pPr>
              <w:pStyle w:val="1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both"/>
              <w:textAlignment w:val="auto"/>
              <w:rPr>
                <w:rFonts w:hint="default" w:ascii="宋体" w:hAnsi="宋体" w:cs="宋体"/>
                <w:color w:val="000000" w:themeColor="text1"/>
                <w:kern w:val="0"/>
                <w:sz w:val="21"/>
                <w:szCs w:val="21"/>
                <w:highlight w:val="none"/>
                <w:lang w:eastAsia="en-US"/>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由于本项目运维标准及内容涉及公安系统内部信息，详细信息不宜对外公开，因此投标人应到采购人现场查阅相关资料及考察，以充分了解项目情况，否则导致投标失误由投标人自行承担。</w:t>
            </w:r>
          </w:p>
          <w:p w14:paraId="0A58852B">
            <w:pPr>
              <w:pStyle w:val="1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both"/>
              <w:textAlignment w:val="auto"/>
              <w:rPr>
                <w:rFonts w:hint="default" w:ascii="宋体" w:hAnsi="宋体" w:cs="宋体"/>
                <w:color w:val="000000" w:themeColor="text1"/>
                <w:kern w:val="0"/>
                <w:sz w:val="21"/>
                <w:szCs w:val="21"/>
                <w:highlight w:val="none"/>
                <w:lang w:eastAsia="en-US"/>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（1）时间：202</w:t>
            </w:r>
            <w:r>
              <w:rPr>
                <w:rFonts w:hint="eastAsia" w:ascii="宋体" w:hAnsi="宋体" w:cs="宋体"/>
                <w:color w:val="000000" w:themeColor="text1"/>
                <w:kern w:val="0"/>
                <w:sz w:val="21"/>
                <w:szCs w:val="21"/>
                <w:highlight w:val="none"/>
                <w:lang w:val="en-US" w:eastAsia="zh-CN"/>
                <w14:textFill>
                  <w14:solidFill>
                    <w14:schemeClr w14:val="tx1"/>
                  </w14:solidFill>
                </w14:textFill>
              </w:rPr>
              <w:t>6</w:t>
            </w:r>
            <w:r>
              <w:rPr>
                <w:rFonts w:hint="eastAsia" w:ascii="宋体" w:hAnsi="宋体" w:cs="宋体"/>
                <w:color w:val="000000" w:themeColor="text1"/>
                <w:kern w:val="0"/>
                <w:sz w:val="21"/>
                <w:szCs w:val="21"/>
                <w:highlight w:val="none"/>
                <w:lang w:eastAsia="en-US"/>
                <w14:textFill>
                  <w14:solidFill>
                    <w14:schemeClr w14:val="tx1"/>
                  </w14:solidFill>
                </w14:textFill>
              </w:rPr>
              <w:t>年</w:t>
            </w:r>
            <w:r>
              <w:rPr>
                <w:rFonts w:hint="eastAsia" w:ascii="宋体" w:hAnsi="宋体" w:cs="宋体"/>
                <w:color w:val="000000" w:themeColor="text1"/>
                <w:kern w:val="0"/>
                <w:sz w:val="21"/>
                <w:szCs w:val="21"/>
                <w:highlight w:val="none"/>
                <w:lang w:val="en-US" w:eastAsia="zh-CN"/>
                <w14:textFill>
                  <w14:solidFill>
                    <w14:schemeClr w14:val="tx1"/>
                  </w14:solidFill>
                </w14:textFill>
              </w:rPr>
              <w:t>12</w:t>
            </w:r>
            <w:r>
              <w:rPr>
                <w:rFonts w:hint="eastAsia" w:ascii="宋体" w:hAnsi="宋体" w:cs="宋体"/>
                <w:color w:val="000000" w:themeColor="text1"/>
                <w:kern w:val="0"/>
                <w:sz w:val="21"/>
                <w:szCs w:val="21"/>
                <w:highlight w:val="none"/>
                <w:lang w:eastAsia="en-US"/>
                <w14:textFill>
                  <w14:solidFill>
                    <w14:schemeClr w14:val="tx1"/>
                  </w14:solidFill>
                </w14:textFill>
              </w:rPr>
              <w:t>月</w:t>
            </w:r>
            <w:r>
              <w:rPr>
                <w:rFonts w:hint="eastAsia" w:ascii="宋体" w:hAnsi="宋体" w:cs="宋体"/>
                <w:color w:val="000000" w:themeColor="text1"/>
                <w:kern w:val="0"/>
                <w:sz w:val="21"/>
                <w:szCs w:val="21"/>
                <w:highlight w:val="none"/>
                <w:lang w:val="en-US" w:eastAsia="zh-CN"/>
                <w14:textFill>
                  <w14:solidFill>
                    <w14:schemeClr w14:val="tx1"/>
                  </w14:solidFill>
                </w14:textFill>
              </w:rPr>
              <w:t>22</w:t>
            </w:r>
            <w:r>
              <w:rPr>
                <w:rFonts w:hint="eastAsia" w:ascii="宋体" w:hAnsi="宋体" w:cs="宋体"/>
                <w:color w:val="000000" w:themeColor="text1"/>
                <w:kern w:val="0"/>
                <w:sz w:val="21"/>
                <w:szCs w:val="21"/>
                <w:highlight w:val="none"/>
                <w:lang w:eastAsia="en-US"/>
                <w14:textFill>
                  <w14:solidFill>
                    <w14:schemeClr w14:val="tx1"/>
                  </w14:solidFill>
                </w14:textFill>
              </w:rPr>
              <w:t>日上午9:30集中，逾时后果自负。</w:t>
            </w:r>
          </w:p>
          <w:p w14:paraId="377148DB">
            <w:pPr>
              <w:pStyle w:val="1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both"/>
              <w:textAlignment w:val="auto"/>
              <w:rPr>
                <w:rFonts w:hint="default" w:ascii="宋体" w:hAnsi="宋体" w:cs="宋体"/>
                <w:color w:val="000000" w:themeColor="text1"/>
                <w:kern w:val="0"/>
                <w:sz w:val="21"/>
                <w:szCs w:val="21"/>
                <w:highlight w:val="none"/>
                <w:lang w:eastAsia="en-US"/>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（2）统一集中地点：广西壮族自治区南宁市佛子岭路1号。</w:t>
            </w:r>
          </w:p>
          <w:p w14:paraId="6B63A1F6">
            <w:pPr>
              <w:pStyle w:val="1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both"/>
              <w:textAlignment w:val="auto"/>
              <w:rPr>
                <w:rFonts w:hint="default" w:ascii="宋体" w:hAnsi="宋体" w:cs="宋体"/>
                <w:color w:val="000000" w:themeColor="text1"/>
                <w:kern w:val="0"/>
                <w:sz w:val="21"/>
                <w:szCs w:val="21"/>
                <w:highlight w:val="none"/>
                <w:lang w:eastAsia="en-US"/>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（3）联系人：康辛，联系电话：0771-2892391。</w:t>
            </w:r>
          </w:p>
          <w:p w14:paraId="06E67451">
            <w:pPr>
              <w:pStyle w:val="17"/>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20" w:firstLineChars="200"/>
              <w:jc w:val="both"/>
              <w:textAlignment w:val="auto"/>
              <w:rPr>
                <w:rFonts w:hint="default" w:ascii="宋体" w:hAnsi="宋体" w:cs="宋体"/>
                <w:color w:val="000000" w:themeColor="text1"/>
                <w:kern w:val="0"/>
                <w:sz w:val="21"/>
                <w:szCs w:val="21"/>
                <w:highlight w:val="none"/>
                <w:lang w:eastAsia="en-US"/>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4）请各投标人携带有效的单位证明（单位开具的介绍信及授权委托书原件）、考察人员身份证原件及复印件（复印件须加盖单位公章）在上述时间前抵达上述地点统一集中，过时不候，届时由采购人经办人统一安排进行现场考察。</w:t>
            </w:r>
          </w:p>
          <w:p w14:paraId="4605560B">
            <w:pPr>
              <w:pStyle w:val="1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kern w:val="0"/>
                <w:sz w:val="21"/>
                <w:szCs w:val="21"/>
                <w:highlight w:val="none"/>
                <w:lang w:eastAsia="en-US"/>
                <w14:textFill>
                  <w14:solidFill>
                    <w14:schemeClr w14:val="tx1"/>
                  </w14:solidFill>
                </w14:textFill>
              </w:rPr>
            </w:pPr>
            <w:r>
              <w:rPr>
                <w:rFonts w:hint="eastAsia" w:ascii="宋体" w:hAnsi="宋体" w:cs="宋体"/>
                <w:color w:val="000000" w:themeColor="text1"/>
                <w:kern w:val="0"/>
                <w:sz w:val="21"/>
                <w:szCs w:val="21"/>
                <w:highlight w:val="none"/>
                <w:lang w:eastAsia="en-US"/>
                <w14:textFill>
                  <w14:solidFill>
                    <w14:schemeClr w14:val="tx1"/>
                  </w14:solidFill>
                </w14:textFill>
              </w:rPr>
              <w:t>（5）投标人前往项目所在地进行现场考察一切费用自行承担，经实地考察后因自身原因考察不详细而导致投标方案偏差、中标后不能履约等一切责任由投标人自行承担</w:t>
            </w:r>
            <w:r>
              <w:rPr>
                <w:rFonts w:hint="eastAsia" w:ascii="宋体" w:hAnsi="宋体" w:eastAsia="宋体" w:cs="宋体"/>
                <w:color w:val="000000" w:themeColor="text1"/>
                <w:kern w:val="0"/>
                <w:sz w:val="21"/>
                <w:szCs w:val="21"/>
                <w:highlight w:val="none"/>
                <w:lang w:eastAsia="en-US"/>
                <w14:textFill>
                  <w14:solidFill>
                    <w14:schemeClr w14:val="tx1"/>
                  </w14:solidFill>
                </w14:textFill>
              </w:rPr>
              <w:t>。</w:t>
            </w:r>
          </w:p>
          <w:p w14:paraId="421AD3AC">
            <w:pPr>
              <w:pStyle w:val="17"/>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eastAsia="en-US"/>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en-US"/>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lang w:eastAsia="en-US"/>
                <w14:textFill>
                  <w14:solidFill>
                    <w14:schemeClr w14:val="tx1"/>
                  </w14:solidFill>
                </w14:textFill>
              </w:rPr>
              <w:t>现场考察结束后采购人为参加考察的投标人开具“现场考察证明”，投标人可将“现场考察证明”原件或复印件于投标文件中提供。</w:t>
            </w:r>
          </w:p>
        </w:tc>
      </w:tr>
      <w:tr w14:paraId="449DD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0C7C9BCB">
            <w:pPr>
              <w:spacing w:line="400" w:lineRule="exact"/>
              <w:jc w:val="center"/>
              <w:rPr>
                <w:rFonts w:hint="eastAsia" w:ascii="宋体" w:hAnsi="宋体"/>
                <w:color w:val="000000" w:themeColor="text1"/>
                <w:szCs w:val="21"/>
                <w:highlight w:val="none"/>
                <w14:textFill>
                  <w14:solidFill>
                    <w14:schemeClr w14:val="tx1"/>
                  </w14:solidFill>
                </w14:textFill>
              </w:rPr>
            </w:pPr>
          </w:p>
        </w:tc>
        <w:tc>
          <w:tcPr>
            <w:tcW w:w="8708" w:type="dxa"/>
            <w:tcBorders>
              <w:top w:val="single" w:color="auto" w:sz="4" w:space="0"/>
              <w:left w:val="single" w:color="auto" w:sz="4" w:space="0"/>
              <w:bottom w:val="single" w:color="auto" w:sz="4" w:space="0"/>
              <w:right w:val="single" w:color="auto" w:sz="4" w:space="0"/>
            </w:tcBorders>
            <w:vAlign w:val="center"/>
          </w:tcPr>
          <w:p w14:paraId="4CDB64F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本项目不组织召开开标前答疑会。</w:t>
            </w:r>
          </w:p>
        </w:tc>
      </w:tr>
      <w:tr w14:paraId="216112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75A041D2">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13.</w:t>
            </w:r>
            <w:bookmarkStart w:id="84" w:name="_Hlt19632543"/>
            <w:r>
              <w:rPr>
                <w:rFonts w:hint="eastAsia" w:ascii="宋体" w:hAnsi="宋体"/>
                <w:color w:val="000000" w:themeColor="text1"/>
                <w:szCs w:val="21"/>
                <w:highlight w:val="none"/>
                <w14:textFill>
                  <w14:solidFill>
                    <w14:schemeClr w14:val="tx1"/>
                  </w14:solidFill>
                </w14:textFill>
              </w:rPr>
              <w:t>1</w:t>
            </w:r>
            <w:bookmarkEnd w:id="84"/>
          </w:p>
        </w:tc>
        <w:tc>
          <w:tcPr>
            <w:tcW w:w="8708" w:type="dxa"/>
            <w:tcBorders>
              <w:top w:val="single" w:color="auto" w:sz="4" w:space="0"/>
              <w:left w:val="single" w:color="auto" w:sz="4" w:space="0"/>
              <w:bottom w:val="single" w:color="auto" w:sz="4" w:space="0"/>
              <w:right w:val="single" w:color="auto" w:sz="4" w:space="0"/>
            </w:tcBorders>
            <w:vAlign w:val="center"/>
          </w:tcPr>
          <w:p w14:paraId="3663BEF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报价文件:</w:t>
            </w:r>
          </w:p>
          <w:p w14:paraId="3A19F701">
            <w:pPr>
              <w:keepNext w:val="0"/>
              <w:keepLines w:val="0"/>
              <w:pageBreakBefore w:val="0"/>
              <w:widowControl w:val="0"/>
              <w:tabs>
                <w:tab w:val="left" w:pos="459"/>
              </w:tabs>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1、投标函（格式后附）；</w:t>
            </w:r>
            <w:r>
              <w:rPr>
                <w:rFonts w:hint="eastAsia" w:ascii="宋体" w:hAnsi="宋体"/>
                <w:b/>
                <w:color w:val="000000" w:themeColor="text1"/>
                <w:szCs w:val="21"/>
                <w:highlight w:val="none"/>
                <w14:textFill>
                  <w14:solidFill>
                    <w14:schemeClr w14:val="tx1"/>
                  </w14:solidFill>
                </w14:textFill>
              </w:rPr>
              <w:t>（必须提供，否则按无效投标处理）</w:t>
            </w:r>
          </w:p>
          <w:p w14:paraId="04F6DDCF">
            <w:pPr>
              <w:keepNext w:val="0"/>
              <w:keepLines w:val="0"/>
              <w:pageBreakBefore w:val="0"/>
              <w:widowControl w:val="0"/>
              <w:tabs>
                <w:tab w:val="left" w:pos="459"/>
              </w:tabs>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Cs w:val="21"/>
                <w:highlight w:val="none"/>
                <w14:textFill>
                  <w14:solidFill>
                    <w14:schemeClr w14:val="tx1"/>
                  </w14:solidFill>
                </w14:textFill>
              </w:rPr>
            </w:pPr>
            <w:bookmarkStart w:id="85" w:name="_Hlk71299233"/>
            <w:r>
              <w:rPr>
                <w:rFonts w:hint="eastAsia" w:ascii="宋体" w:hAnsi="宋体"/>
                <w:color w:val="000000" w:themeColor="text1"/>
                <w:szCs w:val="21"/>
                <w:highlight w:val="none"/>
                <w14:textFill>
                  <w14:solidFill>
                    <w14:schemeClr w14:val="tx1"/>
                  </w14:solidFill>
                </w14:textFill>
              </w:rPr>
              <w:t>2、开标一览表</w:t>
            </w:r>
            <w:bookmarkEnd w:id="85"/>
            <w:r>
              <w:rPr>
                <w:rFonts w:hint="eastAsia" w:ascii="宋体" w:hAnsi="宋体"/>
                <w:color w:val="000000" w:themeColor="text1"/>
                <w:szCs w:val="21"/>
                <w:highlight w:val="none"/>
                <w14:textFill>
                  <w14:solidFill>
                    <w14:schemeClr w14:val="tx1"/>
                  </w14:solidFill>
                </w14:textFill>
              </w:rPr>
              <w:t>（格式后附）； （</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3054450F">
            <w:pPr>
              <w:keepNext w:val="0"/>
              <w:keepLines w:val="0"/>
              <w:pageBreakBefore w:val="0"/>
              <w:widowControl w:val="0"/>
              <w:tabs>
                <w:tab w:val="left" w:pos="459"/>
              </w:tabs>
              <w:kinsoku/>
              <w:wordWrap/>
              <w:overflowPunct/>
              <w:topLinePunct w:val="0"/>
              <w:autoSpaceDE/>
              <w:autoSpaceDN/>
              <w:bidi w:val="0"/>
              <w:adjustRightInd/>
              <w:snapToGrid w:val="0"/>
              <w:spacing w:line="360" w:lineRule="auto"/>
              <w:jc w:val="left"/>
              <w:textAlignment w:val="auto"/>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s="宋体"/>
                <w:strike w:val="0"/>
                <w:dstrike w:val="0"/>
                <w:color w:val="000000" w:themeColor="text1"/>
                <w:szCs w:val="21"/>
                <w:highlight w:val="none"/>
                <w14:textFill>
                  <w14:solidFill>
                    <w14:schemeClr w14:val="tx1"/>
                  </w14:solidFill>
                </w14:textFill>
              </w:rPr>
              <w:t>中小企业声明函（格式后附）或由省级以上监狱管理局、戒毒管理局（含新疆生产建设兵团）出具的属于监狱企业的证明文件或残疾人福利性单位声明函（格式后附）</w:t>
            </w:r>
            <w:r>
              <w:rPr>
                <w:rFonts w:hint="eastAsia" w:ascii="宋体" w:hAnsi="宋体" w:cs="宋体"/>
                <w:strike w:val="0"/>
                <w:dstrike w:val="0"/>
                <w:color w:val="000000" w:themeColor="text1"/>
                <w:szCs w:val="21"/>
                <w:highlight w:val="none"/>
                <w:lang w:eastAsia="zh-CN"/>
                <w14:textFill>
                  <w14:solidFill>
                    <w14:schemeClr w14:val="tx1"/>
                  </w14:solidFill>
                </w14:textFill>
              </w:rPr>
              <w:t>（</w:t>
            </w:r>
            <w:r>
              <w:rPr>
                <w:rFonts w:hint="eastAsia" w:ascii="宋体" w:hAnsi="宋体" w:cs="宋体"/>
                <w:strike w:val="0"/>
                <w:dstrike w:val="0"/>
                <w:color w:val="000000" w:themeColor="text1"/>
                <w:szCs w:val="21"/>
                <w:highlight w:val="none"/>
                <w14:textFill>
                  <w14:solidFill>
                    <w14:schemeClr w14:val="tx1"/>
                  </w14:solidFill>
                </w14:textFill>
              </w:rPr>
              <w:t>必须提供，否则按无效投标处理）</w:t>
            </w:r>
          </w:p>
          <w:p w14:paraId="42E59A03">
            <w:pPr>
              <w:keepNext w:val="0"/>
              <w:keepLines w:val="0"/>
              <w:pageBreakBefore w:val="0"/>
              <w:widowControl w:val="0"/>
              <w:tabs>
                <w:tab w:val="left" w:pos="459"/>
              </w:tabs>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、投标人针对报价需要说明的其他文件和说明（格式自拟）。</w:t>
            </w:r>
          </w:p>
          <w:p w14:paraId="45DD16CC">
            <w:pPr>
              <w:keepNext w:val="0"/>
              <w:keepLines w:val="0"/>
              <w:pageBreakBefore w:val="0"/>
              <w:widowControl w:val="0"/>
              <w:kinsoku/>
              <w:wordWrap/>
              <w:overflowPunct/>
              <w:topLinePunct w:val="0"/>
              <w:autoSpaceDE/>
              <w:autoSpaceDN/>
              <w:bidi w:val="0"/>
              <w:adjustRightInd/>
              <w:snapToGrid w:val="0"/>
              <w:spacing w:line="360" w:lineRule="auto"/>
              <w:ind w:firstLine="42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注：投标函、开标一览表必须由法定代表人（负责人）或者委托代理人在规定签章处逐一签字或盖章或电子签名，并加盖投标人公章或电子签章，否则按无效投标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739F3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3A3E533">
            <w:pPr>
              <w:spacing w:line="400" w:lineRule="exact"/>
              <w:rPr>
                <w:rFonts w:hint="eastAsia" w:ascii="宋体" w:hAnsi="宋体"/>
                <w:color w:val="000000" w:themeColor="text1"/>
                <w:szCs w:val="21"/>
                <w:highlight w:val="none"/>
                <w14:textFill>
                  <w14:solidFill>
                    <w14:schemeClr w14:val="tx1"/>
                  </w14:solidFill>
                </w14:textFill>
              </w:rPr>
            </w:pPr>
          </w:p>
        </w:tc>
        <w:tc>
          <w:tcPr>
            <w:tcW w:w="8708" w:type="dxa"/>
            <w:tcBorders>
              <w:top w:val="single" w:color="auto" w:sz="4" w:space="0"/>
              <w:left w:val="single" w:color="auto" w:sz="4" w:space="0"/>
              <w:bottom w:val="single" w:color="auto" w:sz="4" w:space="0"/>
              <w:right w:val="single" w:color="auto" w:sz="4" w:space="0"/>
            </w:tcBorders>
            <w:vAlign w:val="center"/>
          </w:tcPr>
          <w:p w14:paraId="56611FD0">
            <w:pPr>
              <w:keepNext w:val="0"/>
              <w:keepLines w:val="0"/>
              <w:pageBreakBefore w:val="0"/>
              <w:widowControl w:val="0"/>
              <w:kinsoku/>
              <w:wordWrap/>
              <w:overflowPunct/>
              <w:topLinePunct w:val="0"/>
              <w:bidi w:val="0"/>
              <w:adjustRightInd/>
              <w:snapToGrid w:val="0"/>
              <w:spacing w:line="360" w:lineRule="auto"/>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资格证明文件:</w:t>
            </w:r>
          </w:p>
          <w:p w14:paraId="0AC32A8D">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1、供应商为法人或者其他组织的，</w:t>
            </w:r>
            <w:r>
              <w:rPr>
                <w:rFonts w:hint="eastAsia" w:ascii="宋体" w:hAnsi="宋体"/>
                <w:color w:val="000000" w:themeColor="text1"/>
                <w:szCs w:val="21"/>
                <w:highlight w:val="none"/>
                <w14:textFill>
                  <w14:solidFill>
                    <w14:schemeClr w14:val="tx1"/>
                  </w14:solidFill>
                </w14:textFill>
              </w:rPr>
              <w:t>证明文件为其营业执照复印件（如营业执照或者事业单位法人证书或者执业许可证等）；供应商为自然人的，证明文件为其身份证复印件；</w:t>
            </w:r>
            <w:r>
              <w:rPr>
                <w:rFonts w:hint="eastAsia" w:ascii="宋体" w:hAnsi="宋体"/>
                <w:b/>
                <w:color w:val="000000" w:themeColor="text1"/>
                <w:szCs w:val="21"/>
                <w:highlight w:val="none"/>
                <w14:textFill>
                  <w14:solidFill>
                    <w14:schemeClr w14:val="tx1"/>
                  </w14:solidFill>
                </w14:textFill>
              </w:rPr>
              <w:t>（必须提供，否则按无效投标处理</w:t>
            </w:r>
            <w:r>
              <w:rPr>
                <w:rFonts w:ascii="宋体" w:hAnsi="宋体"/>
                <w:b/>
                <w:color w:val="000000" w:themeColor="text1"/>
                <w:szCs w:val="21"/>
                <w:highlight w:val="none"/>
                <w14:textFill>
                  <w14:solidFill>
                    <w14:schemeClr w14:val="tx1"/>
                  </w14:solidFill>
                </w14:textFill>
              </w:rPr>
              <w:t>）</w:t>
            </w:r>
          </w:p>
          <w:p w14:paraId="0AA0FD9E">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2、投标人依法缴纳税收的相关材料</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u w:val="single"/>
                <w14:textFill>
                  <w14:solidFill>
                    <w14:schemeClr w14:val="tx1"/>
                  </w14:solidFill>
                </w14:textFill>
              </w:rPr>
              <w:t>202</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u w:val="single"/>
                <w:lang w:val="en-US" w:eastAsia="zh-CN"/>
                <w14:textFill>
                  <w14:solidFill>
                    <w14:schemeClr w14:val="tx1"/>
                  </w14:solidFill>
                </w14:textFill>
              </w:rPr>
              <w:t xml:space="preserve"> 5 </w:t>
            </w:r>
            <w:r>
              <w:rPr>
                <w:rFonts w:hint="eastAsia" w:ascii="宋体" w:hAnsi="宋体" w:cs="宋体"/>
                <w:b/>
                <w:bCs/>
                <w:color w:val="000000" w:themeColor="text1"/>
                <w:szCs w:val="21"/>
                <w:highlight w:val="none"/>
                <w14:textFill>
                  <w14:solidFill>
                    <w14:schemeClr w14:val="tx1"/>
                  </w14:solidFill>
                </w14:textFill>
              </w:rPr>
              <w:t>月至</w:t>
            </w:r>
            <w:r>
              <w:rPr>
                <w:rFonts w:hint="eastAsia" w:ascii="宋体" w:hAnsi="宋体" w:cs="宋体"/>
                <w:b/>
                <w:bCs/>
                <w:color w:val="000000" w:themeColor="text1"/>
                <w:szCs w:val="21"/>
                <w:highlight w:val="none"/>
                <w:u w:val="single"/>
                <w14:textFill>
                  <w14:solidFill>
                    <w14:schemeClr w14:val="tx1"/>
                  </w14:solidFill>
                </w14:textFill>
              </w:rPr>
              <w:t>202</w:t>
            </w:r>
            <w:r>
              <w:rPr>
                <w:rFonts w:hint="eastAsia" w:ascii="宋体" w:hAnsi="宋体" w:cs="宋体"/>
                <w:b/>
                <w:bCs/>
                <w:color w:val="000000" w:themeColor="text1"/>
                <w:szCs w:val="21"/>
                <w:highlight w:val="none"/>
                <w:u w:val="single"/>
                <w:lang w:val="en-US" w:eastAsia="zh-CN"/>
                <w14:textFill>
                  <w14:solidFill>
                    <w14:schemeClr w14:val="tx1"/>
                  </w14:solidFill>
                </w14:textFill>
              </w:rPr>
              <w:t>5</w:t>
            </w:r>
            <w:r>
              <w:rPr>
                <w:rFonts w:hint="eastAsia" w:ascii="宋体" w:hAnsi="宋体" w:cs="宋体"/>
                <w:b/>
                <w:bCs/>
                <w:color w:val="000000" w:themeColor="text1"/>
                <w:szCs w:val="21"/>
                <w:highlight w:val="none"/>
                <w14:textFill>
                  <w14:solidFill>
                    <w14:schemeClr w14:val="tx1"/>
                  </w14:solidFill>
                </w14:textFill>
              </w:rPr>
              <w:t>年</w:t>
            </w:r>
            <w:r>
              <w:rPr>
                <w:rFonts w:hint="eastAsia" w:ascii="宋体" w:hAnsi="宋体" w:cs="宋体"/>
                <w:b/>
                <w:bCs/>
                <w:color w:val="000000" w:themeColor="text1"/>
                <w:szCs w:val="21"/>
                <w:highlight w:val="none"/>
                <w:lang w:val="en-US" w:eastAsia="zh-CN"/>
                <w14:textFill>
                  <w14:solidFill>
                    <w14:schemeClr w14:val="tx1"/>
                  </w14:solidFill>
                </w14:textFill>
              </w:rPr>
              <w:t xml:space="preserve"> </w:t>
            </w:r>
            <w:r>
              <w:rPr>
                <w:rFonts w:hint="eastAsia" w:ascii="宋体" w:hAnsi="宋体" w:cs="宋体"/>
                <w:b/>
                <w:bCs/>
                <w:color w:val="000000" w:themeColor="text1"/>
                <w:szCs w:val="21"/>
                <w:highlight w:val="none"/>
                <w:u w:val="single"/>
                <w:lang w:val="en-US" w:eastAsia="zh-CN"/>
                <w14:textFill>
                  <w14:solidFill>
                    <w14:schemeClr w14:val="tx1"/>
                  </w14:solidFill>
                </w14:textFill>
              </w:rPr>
              <w:t xml:space="preserve">10 </w:t>
            </w:r>
            <w:r>
              <w:rPr>
                <w:rFonts w:hint="eastAsia" w:ascii="宋体" w:hAnsi="宋体" w:cs="宋体"/>
                <w:b/>
                <w:bCs/>
                <w:color w:val="000000" w:themeColor="text1"/>
                <w:szCs w:val="21"/>
                <w:highlight w:val="none"/>
                <w14:textFill>
                  <w14:solidFill>
                    <w14:schemeClr w14:val="tx1"/>
                  </w14:solidFill>
                </w14:textFill>
              </w:rPr>
              <w:t>月内连续3个月</w:t>
            </w:r>
            <w:r>
              <w:rPr>
                <w:rFonts w:hint="eastAsia" w:ascii="宋体" w:hAnsi="宋体" w:cs="宋体"/>
                <w:color w:val="000000" w:themeColor="text1"/>
                <w:szCs w:val="21"/>
                <w:highlight w:val="none"/>
                <w14:textFill>
                  <w14:solidFill>
                    <w14:schemeClr w14:val="tx1"/>
                  </w14:solidFill>
                </w14:textFill>
              </w:rPr>
              <w:t>的依法缴纳税收的凭据复印件；依法免税的供应商，必须提供相应文件证明其依法免税。从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之日起到投标文件提交截止时间止不足要求月数的，只需提供从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之日起的依法缴纳税收相应证明文件）；</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092F8F3F">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3、投标人依法缴纳社会保障资金的相关材料</w:t>
            </w:r>
            <w:r>
              <w:rPr>
                <w:rFonts w:hint="eastAsia" w:ascii="宋体" w:hAnsi="宋体" w:cs="宋体"/>
                <w:b/>
                <w:bCs/>
                <w:color w:val="000000" w:themeColor="text1"/>
                <w:szCs w:val="21"/>
                <w:highlight w:val="none"/>
                <w14:textFill>
                  <w14:solidFill>
                    <w14:schemeClr w14:val="tx1"/>
                  </w14:solidFill>
                </w14:textFill>
              </w:rPr>
              <w:t>[</w:t>
            </w:r>
            <w:r>
              <w:rPr>
                <w:rFonts w:hint="eastAsia" w:ascii="宋体" w:hAnsi="宋体" w:cs="宋体"/>
                <w:b/>
                <w:bCs/>
                <w:color w:val="000000" w:themeColor="text1"/>
                <w:szCs w:val="21"/>
                <w:highlight w:val="none"/>
                <w:u w:val="single"/>
                <w14:textFill>
                  <w14:solidFill>
                    <w14:schemeClr w14:val="tx1"/>
                  </w14:solidFill>
                </w14:textFill>
              </w:rPr>
              <w:t>20</w:t>
            </w:r>
            <w:r>
              <w:rPr>
                <w:rFonts w:hint="eastAsia" w:ascii="宋体" w:hAnsi="宋体" w:cs="宋体"/>
                <w:b/>
                <w:bCs/>
                <w:color w:val="000000" w:themeColor="text1"/>
                <w:sz w:val="21"/>
                <w:szCs w:val="21"/>
                <w:highlight w:val="none"/>
                <w:u w:val="single"/>
                <w14:textFill>
                  <w14:solidFill>
                    <w14:schemeClr w14:val="tx1"/>
                  </w14:solidFill>
                </w14:textFill>
              </w:rPr>
              <w:t>2</w:t>
            </w:r>
            <w:r>
              <w:rPr>
                <w:rFonts w:hint="eastAsia" w:ascii="宋体" w:hAnsi="宋体" w:cs="宋体"/>
                <w:b/>
                <w:bCs/>
                <w:color w:val="000000" w:themeColor="text1"/>
                <w:sz w:val="21"/>
                <w:szCs w:val="21"/>
                <w:highlight w:val="none"/>
                <w:u w:val="single"/>
                <w:lang w:val="en-US" w:eastAsia="zh-CN"/>
                <w14:textFill>
                  <w14:solidFill>
                    <w14:schemeClr w14:val="tx1"/>
                  </w14:solidFill>
                </w14:textFill>
              </w:rPr>
              <w:t>5</w:t>
            </w:r>
            <w:r>
              <w:rPr>
                <w:rFonts w:hint="eastAsia" w:ascii="宋体" w:hAnsi="宋体" w:cs="宋体"/>
                <w:b/>
                <w:bCs/>
                <w:color w:val="000000" w:themeColor="text1"/>
                <w:sz w:val="21"/>
                <w:szCs w:val="21"/>
                <w:highlight w:val="none"/>
                <w14:textFill>
                  <w14:solidFill>
                    <w14:schemeClr w14:val="tx1"/>
                  </w14:solidFill>
                </w14:textFill>
              </w:rPr>
              <w:t>年</w:t>
            </w:r>
            <w:r>
              <w:rPr>
                <w:rFonts w:hint="eastAsia" w:ascii="宋体" w:hAnsi="宋体" w:cs="宋体"/>
                <w:b/>
                <w:bCs/>
                <w:color w:val="000000" w:themeColor="text1"/>
                <w:sz w:val="21"/>
                <w:szCs w:val="21"/>
                <w:highlight w:val="none"/>
                <w:u w:val="single"/>
                <w:lang w:val="en-US" w:eastAsia="zh-CN"/>
                <w14:textFill>
                  <w14:solidFill>
                    <w14:schemeClr w14:val="tx1"/>
                  </w14:solidFill>
                </w14:textFill>
              </w:rPr>
              <w:t xml:space="preserve"> 5 </w:t>
            </w:r>
            <w:r>
              <w:rPr>
                <w:rFonts w:hint="eastAsia" w:ascii="宋体" w:hAnsi="宋体" w:cs="宋体"/>
                <w:b/>
                <w:bCs/>
                <w:color w:val="000000" w:themeColor="text1"/>
                <w:sz w:val="21"/>
                <w:szCs w:val="21"/>
                <w:highlight w:val="none"/>
                <w14:textFill>
                  <w14:solidFill>
                    <w14:schemeClr w14:val="tx1"/>
                  </w14:solidFill>
                </w14:textFill>
              </w:rPr>
              <w:t>月至</w:t>
            </w:r>
            <w:r>
              <w:rPr>
                <w:rFonts w:hint="eastAsia" w:ascii="宋体" w:hAnsi="宋体" w:cs="宋体"/>
                <w:b/>
                <w:bCs/>
                <w:color w:val="000000" w:themeColor="text1"/>
                <w:sz w:val="21"/>
                <w:szCs w:val="21"/>
                <w:highlight w:val="none"/>
                <w:u w:val="single"/>
                <w14:textFill>
                  <w14:solidFill>
                    <w14:schemeClr w14:val="tx1"/>
                  </w14:solidFill>
                </w14:textFill>
              </w:rPr>
              <w:t>202</w:t>
            </w:r>
            <w:r>
              <w:rPr>
                <w:rFonts w:hint="eastAsia" w:ascii="宋体" w:hAnsi="宋体" w:cs="宋体"/>
                <w:b/>
                <w:bCs/>
                <w:color w:val="000000" w:themeColor="text1"/>
                <w:sz w:val="21"/>
                <w:szCs w:val="21"/>
                <w:highlight w:val="none"/>
                <w:u w:val="single"/>
                <w:lang w:val="en-US" w:eastAsia="zh-CN"/>
                <w14:textFill>
                  <w14:solidFill>
                    <w14:schemeClr w14:val="tx1"/>
                  </w14:solidFill>
                </w14:textFill>
              </w:rPr>
              <w:t>5</w:t>
            </w:r>
            <w:r>
              <w:rPr>
                <w:rFonts w:hint="eastAsia" w:ascii="宋体" w:hAnsi="宋体" w:cs="宋体"/>
                <w:b/>
                <w:bCs/>
                <w:color w:val="000000" w:themeColor="text1"/>
                <w:sz w:val="21"/>
                <w:szCs w:val="21"/>
                <w:highlight w:val="none"/>
                <w14:textFill>
                  <w14:solidFill>
                    <w14:schemeClr w14:val="tx1"/>
                  </w14:solidFill>
                </w14:textFill>
              </w:rPr>
              <w:t>年</w:t>
            </w:r>
            <w:r>
              <w:rPr>
                <w:rFonts w:hint="eastAsia" w:ascii="宋体" w:hAnsi="宋体" w:cs="宋体"/>
                <w:b/>
                <w:bCs/>
                <w:color w:val="000000" w:themeColor="text1"/>
                <w:szCs w:val="21"/>
                <w:highlight w:val="none"/>
                <w:u w:val="single"/>
                <w:lang w:val="en-US" w:eastAsia="zh-CN"/>
                <w14:textFill>
                  <w14:solidFill>
                    <w14:schemeClr w14:val="tx1"/>
                  </w14:solidFill>
                </w14:textFill>
              </w:rPr>
              <w:t xml:space="preserve">10 </w:t>
            </w:r>
            <w:r>
              <w:rPr>
                <w:rFonts w:hint="eastAsia" w:ascii="宋体" w:hAnsi="宋体" w:cs="宋体"/>
                <w:b/>
                <w:bCs/>
                <w:color w:val="000000" w:themeColor="text1"/>
                <w:szCs w:val="21"/>
                <w:highlight w:val="none"/>
                <w14:textFill>
                  <w14:solidFill>
                    <w14:schemeClr w14:val="tx1"/>
                  </w14:solidFill>
                </w14:textFill>
              </w:rPr>
              <w:t>月内连续3个月</w:t>
            </w:r>
            <w:r>
              <w:rPr>
                <w:rFonts w:hint="eastAsia" w:ascii="宋体" w:hAnsi="宋体" w:cs="宋体"/>
                <w:color w:val="000000" w:themeColor="text1"/>
                <w:szCs w:val="21"/>
                <w:highlight w:val="none"/>
                <w14:textFill>
                  <w14:solidFill>
                    <w14:schemeClr w14:val="tx1"/>
                  </w14:solidFill>
                </w14:textFill>
              </w:rPr>
              <w:t>的依法缴纳社会保障资金的缴费凭证（专用收据或者社会保险缴纳清单）复印件；依法不需要缴纳社会保障资金的供应商，必须提供相应文件证明不需要缴纳社会保障资金。从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之日起到投标文件提交截止时间止不足要求月数的只需提供从</w:t>
            </w:r>
            <w:r>
              <w:rPr>
                <w:rFonts w:ascii="宋体" w:hAnsi="宋体" w:cs="宋体"/>
                <w:color w:val="000000" w:themeColor="text1"/>
                <w:szCs w:val="21"/>
                <w:highlight w:val="none"/>
                <w14:textFill>
                  <w14:solidFill>
                    <w14:schemeClr w14:val="tx1"/>
                  </w14:solidFill>
                </w14:textFill>
              </w:rPr>
              <w:t>成立</w:t>
            </w:r>
            <w:r>
              <w:rPr>
                <w:rFonts w:hint="eastAsia" w:ascii="宋体" w:hAnsi="宋体" w:cs="宋体"/>
                <w:color w:val="000000" w:themeColor="text1"/>
                <w:szCs w:val="21"/>
                <w:highlight w:val="none"/>
                <w14:textFill>
                  <w14:solidFill>
                    <w14:schemeClr w14:val="tx1"/>
                  </w14:solidFill>
                </w14:textFill>
              </w:rPr>
              <w:t>之日起的依法缴纳社会保障资金的相应证明文件]；</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69CA16EA">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4、投标人财务状况报告（</w:t>
            </w:r>
            <w:r>
              <w:rPr>
                <w:rFonts w:hint="eastAsia" w:ascii="宋体" w:hAnsi="宋体"/>
                <w:color w:val="000000" w:themeColor="text1"/>
                <w:szCs w:val="21"/>
                <w:highlight w:val="none"/>
                <w:u w:val="single"/>
                <w:lang w:bidi="ar"/>
                <w14:textFill>
                  <w14:solidFill>
                    <w14:schemeClr w14:val="tx1"/>
                  </w14:solidFill>
                </w14:textFill>
              </w:rPr>
              <w:t>2</w:t>
            </w:r>
            <w:r>
              <w:rPr>
                <w:rFonts w:ascii="宋体" w:hAnsi="宋体"/>
                <w:color w:val="000000" w:themeColor="text1"/>
                <w:szCs w:val="21"/>
                <w:highlight w:val="none"/>
                <w:u w:val="single"/>
                <w:lang w:bidi="ar"/>
                <w14:textFill>
                  <w14:solidFill>
                    <w14:schemeClr w14:val="tx1"/>
                  </w14:solidFill>
                </w14:textFill>
              </w:rPr>
              <w:t>02</w:t>
            </w:r>
            <w:r>
              <w:rPr>
                <w:rFonts w:hint="eastAsia" w:ascii="宋体" w:hAnsi="宋体"/>
                <w:color w:val="000000" w:themeColor="text1"/>
                <w:szCs w:val="21"/>
                <w:highlight w:val="none"/>
                <w:u w:val="single"/>
                <w:lang w:val="en-US" w:eastAsia="zh-CN" w:bidi="ar"/>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14:textFill>
                  <w14:solidFill>
                    <w14:schemeClr w14:val="tx1"/>
                  </w14:solidFill>
                </w14:textFill>
              </w:rPr>
              <w:t>度财务报表复印件或者银行出具的资信证明；投标人属于成立</w:t>
            </w:r>
            <w:r>
              <w:rPr>
                <w:rFonts w:ascii="宋体" w:hAnsi="宋体" w:cs="宋体"/>
                <w:color w:val="000000" w:themeColor="text1"/>
                <w:szCs w:val="21"/>
                <w:highlight w:val="none"/>
                <w14:textFill>
                  <w14:solidFill>
                    <w14:schemeClr w14:val="tx1"/>
                  </w14:solidFill>
                </w14:textFill>
              </w:rPr>
              <w:t>时间</w:t>
            </w:r>
            <w:r>
              <w:rPr>
                <w:rFonts w:hint="eastAsia" w:ascii="宋体" w:hAnsi="宋体" w:cs="宋体"/>
                <w:color w:val="000000" w:themeColor="text1"/>
                <w:szCs w:val="21"/>
                <w:highlight w:val="none"/>
                <w14:textFill>
                  <w14:solidFill>
                    <w14:schemeClr w14:val="tx1"/>
                  </w14:solidFill>
                </w14:textFill>
              </w:rPr>
              <w:t>在规定年度之后</w:t>
            </w:r>
            <w:r>
              <w:rPr>
                <w:rFonts w:ascii="宋体" w:hAnsi="宋体" w:cs="宋体"/>
                <w:color w:val="000000" w:themeColor="text1"/>
                <w:szCs w:val="21"/>
                <w:highlight w:val="none"/>
                <w14:textFill>
                  <w14:solidFill>
                    <w14:schemeClr w14:val="tx1"/>
                  </w14:solidFill>
                </w14:textFill>
              </w:rPr>
              <w:t>的</w:t>
            </w:r>
            <w:r>
              <w:rPr>
                <w:rFonts w:hint="eastAsia" w:ascii="宋体" w:hAnsi="宋体" w:cs="宋体"/>
                <w:color w:val="000000" w:themeColor="text1"/>
                <w:szCs w:val="21"/>
                <w:highlight w:val="none"/>
                <w14:textFill>
                  <w14:solidFill>
                    <w14:schemeClr w14:val="tx1"/>
                  </w14:solidFill>
                </w14:textFill>
              </w:rPr>
              <w:t>法人或其他组织</w:t>
            </w:r>
            <w:r>
              <w:rPr>
                <w:rFonts w:ascii="宋体" w:hAnsi="宋体" w:cs="宋体"/>
                <w:color w:val="000000" w:themeColor="text1"/>
                <w:szCs w:val="21"/>
                <w:highlight w:val="none"/>
                <w14:textFill>
                  <w14:solidFill>
                    <w14:schemeClr w14:val="tx1"/>
                  </w14:solidFill>
                </w14:textFill>
              </w:rPr>
              <w:t>，需提供成立</w:t>
            </w:r>
            <w:r>
              <w:rPr>
                <w:rFonts w:hint="eastAsia" w:ascii="宋体" w:hAnsi="宋体" w:cs="宋体"/>
                <w:color w:val="000000" w:themeColor="text1"/>
                <w:szCs w:val="21"/>
                <w:highlight w:val="none"/>
                <w14:textFill>
                  <w14:solidFill>
                    <w14:schemeClr w14:val="tx1"/>
                  </w14:solidFill>
                </w14:textFill>
              </w:rPr>
              <w:t>之日起至投标截止时间前</w:t>
            </w:r>
            <w:r>
              <w:rPr>
                <w:rFonts w:ascii="宋体" w:hAnsi="宋体" w:cs="宋体"/>
                <w:color w:val="000000" w:themeColor="text1"/>
                <w:szCs w:val="21"/>
                <w:highlight w:val="none"/>
                <w14:textFill>
                  <w14:solidFill>
                    <w14:schemeClr w14:val="tx1"/>
                  </w14:solidFill>
                </w14:textFill>
              </w:rPr>
              <w:t>的月报表</w:t>
            </w:r>
            <w:r>
              <w:rPr>
                <w:rFonts w:hint="eastAsia" w:ascii="宋体" w:hAnsi="宋体" w:cs="宋体"/>
                <w:color w:val="000000" w:themeColor="text1"/>
                <w:szCs w:val="21"/>
                <w:highlight w:val="none"/>
                <w14:textFill>
                  <w14:solidFill>
                    <w14:schemeClr w14:val="tx1"/>
                  </w14:solidFill>
                </w14:textFill>
              </w:rPr>
              <w:t>或银行出具的资信证明；资信证明应在有效期内，未注明有效期的，银行出具时间至投标截止时间不超过一年）；</w:t>
            </w:r>
            <w:r>
              <w:rPr>
                <w:rFonts w:hint="eastAsia" w:ascii="宋体" w:hAnsi="宋体" w:cs="宋体"/>
                <w:b/>
                <w:color w:val="000000" w:themeColor="text1"/>
                <w:szCs w:val="21"/>
                <w:highlight w:val="none"/>
                <w14:textFill>
                  <w14:solidFill>
                    <w14:schemeClr w14:val="tx1"/>
                  </w14:solidFill>
                </w14:textFill>
              </w:rPr>
              <w:t>（除自然人外必须提供，否则按无效投标处理）</w:t>
            </w:r>
          </w:p>
          <w:p w14:paraId="20B754EB">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5、投标人直接控股、管理关系信息表（格式后附）；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5AA6BD47">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ascii="宋体" w:hAnsi="宋体" w:cs="宋体"/>
                <w:b/>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6、投标声明（格式后附）；</w:t>
            </w:r>
            <w:r>
              <w:rPr>
                <w:rFonts w:hint="eastAsia" w:ascii="宋体" w:hAnsi="宋体" w:cs="宋体"/>
                <w:b/>
                <w:color w:val="000000" w:themeColor="text1"/>
                <w:szCs w:val="21"/>
                <w:highlight w:val="none"/>
                <w14:textFill>
                  <w14:solidFill>
                    <w14:schemeClr w14:val="tx1"/>
                  </w14:solidFill>
                </w14:textFill>
              </w:rPr>
              <w:t>（必须提供，否则按无效投标处理）</w:t>
            </w:r>
          </w:p>
          <w:p w14:paraId="59D731BF">
            <w:pPr>
              <w:pStyle w:val="9"/>
              <w:keepNext w:val="0"/>
              <w:keepLines w:val="0"/>
              <w:pageBreakBefore w:val="0"/>
              <w:widowControl w:val="0"/>
              <w:kinsoku/>
              <w:wordWrap/>
              <w:overflowPunct/>
              <w:topLinePunct w:val="0"/>
              <w:bidi w:val="0"/>
              <w:adjustRightInd/>
              <w:spacing w:line="360" w:lineRule="auto"/>
              <w:ind w:firstLine="0"/>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、联合体协议书（格式后附）；</w:t>
            </w:r>
            <w:r>
              <w:rPr>
                <w:rFonts w:hint="eastAsia" w:ascii="宋体" w:hAnsi="宋体" w:cs="宋体"/>
                <w:b/>
                <w:bCs/>
                <w:color w:val="000000" w:themeColor="text1"/>
                <w:szCs w:val="21"/>
                <w:highlight w:val="none"/>
                <w14:textFill>
                  <w14:solidFill>
                    <w14:schemeClr w14:val="tx1"/>
                  </w14:solidFill>
                </w14:textFill>
              </w:rPr>
              <w:t>（联合体投标时必须提供，否则按无效投标处理）</w:t>
            </w:r>
          </w:p>
          <w:p w14:paraId="4323DD33">
            <w:pPr>
              <w:keepNext w:val="0"/>
              <w:keepLines w:val="0"/>
              <w:pageBreakBefore w:val="0"/>
              <w:widowControl w:val="0"/>
              <w:kinsoku/>
              <w:wordWrap/>
              <w:overflowPunct/>
              <w:topLinePunct w:val="0"/>
              <w:autoSpaceDE w:val="0"/>
              <w:autoSpaceDN w:val="0"/>
              <w:bidi w:val="0"/>
              <w:adjustRightInd/>
              <w:snapToGrid w:val="0"/>
              <w:spacing w:line="360" w:lineRule="auto"/>
              <w:textAlignment w:val="bottom"/>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、除招标文件规定必须提供以外，投标人认为需要提供的其他证明材料。</w:t>
            </w:r>
          </w:p>
          <w:p w14:paraId="15B5BFD7">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w:t>
            </w:r>
          </w:p>
          <w:p w14:paraId="58DA7329">
            <w:pPr>
              <w:snapToGrid w:val="0"/>
              <w:spacing w:line="400" w:lineRule="exact"/>
              <w:ind w:firstLine="422" w:firstLineChars="200"/>
              <w:jc w:val="left"/>
              <w:rPr>
                <w:rFonts w:hint="eastAsia" w:ascii="宋体" w:hAnsi="宋体" w:cs="Courier New"/>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1、以上标明“必须提供”的材料属于复印件的，必须加盖投标人公章或电子签章，否则按无效投标</w:t>
            </w:r>
            <w:r>
              <w:rPr>
                <w:rFonts w:hint="eastAsia" w:ascii="宋体" w:hAnsi="宋体" w:cs="Courier New"/>
                <w:b/>
                <w:color w:val="000000" w:themeColor="text1"/>
                <w:szCs w:val="21"/>
                <w:highlight w:val="none"/>
                <w14:textFill>
                  <w14:solidFill>
                    <w14:schemeClr w14:val="tx1"/>
                  </w14:solidFill>
                </w14:textFill>
              </w:rPr>
              <w:t>处理。</w:t>
            </w:r>
          </w:p>
          <w:p w14:paraId="5A57159C">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投标声明必须由法定代表人（负责人）在规定签章处签字或盖章或电子签章，并加盖投标人公章或电子签章，否则按无效投标处理。</w:t>
            </w:r>
          </w:p>
          <w:p w14:paraId="6D581EF6">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3、投标人直接控股、管理关系信息表必须由法定代表人或者委托代理人在规定签章处签字或盖章或电子签章，并加盖投标人公章或电子签章，否则按无效投标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p w14:paraId="21FFA23C">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4、联合体投标时，第1-5项资格证明文件联合体各方均必须分别提供，否则按无效投标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p w14:paraId="045967B8">
            <w:pPr>
              <w:snapToGrid w:val="0"/>
              <w:spacing w:line="400" w:lineRule="exact"/>
              <w:ind w:firstLine="422" w:firstLineChars="200"/>
              <w:jc w:val="left"/>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5、分公司参加投标的，应当取得总公司授权，否则按无效投标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6AE06F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25A77BCF">
            <w:pPr>
              <w:spacing w:line="400" w:lineRule="exact"/>
              <w:rPr>
                <w:rFonts w:hint="eastAsia" w:ascii="宋体" w:hAnsi="宋体"/>
                <w:color w:val="000000" w:themeColor="text1"/>
                <w:szCs w:val="21"/>
                <w:highlight w:val="none"/>
                <w14:textFill>
                  <w14:solidFill>
                    <w14:schemeClr w14:val="tx1"/>
                  </w14:solidFill>
                </w14:textFill>
              </w:rPr>
            </w:pPr>
          </w:p>
        </w:tc>
        <w:tc>
          <w:tcPr>
            <w:tcW w:w="8708" w:type="dxa"/>
            <w:tcBorders>
              <w:top w:val="single" w:color="auto" w:sz="4" w:space="0"/>
              <w:left w:val="single" w:color="auto" w:sz="4" w:space="0"/>
              <w:bottom w:val="single" w:color="auto" w:sz="4" w:space="0"/>
              <w:right w:val="single" w:color="auto" w:sz="4" w:space="0"/>
            </w:tcBorders>
            <w:vAlign w:val="center"/>
          </w:tcPr>
          <w:p w14:paraId="2A669F3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cs="Courier New"/>
                <w:b/>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商务文件：</w:t>
            </w:r>
          </w:p>
          <w:p w14:paraId="0D08A25C">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1、无串通投标行为的承诺函（格式后附）；（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754AD0D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（负责人）</w:t>
            </w:r>
            <w:r>
              <w:rPr>
                <w:rFonts w:hint="eastAsia" w:ascii="宋体" w:hAnsi="宋体"/>
                <w:color w:val="000000" w:themeColor="text1"/>
                <w:szCs w:val="21"/>
                <w:highlight w:val="none"/>
                <w14:textFill>
                  <w14:solidFill>
                    <w14:schemeClr w14:val="tx1"/>
                  </w14:solidFill>
                </w14:textFill>
              </w:rPr>
              <w:t>身份证明及法定代表人</w:t>
            </w:r>
            <w:r>
              <w:rPr>
                <w:rFonts w:hint="eastAsia" w:ascii="宋体" w:hAnsi="宋体"/>
                <w:bCs/>
                <w:color w:val="000000" w:themeColor="text1"/>
                <w:szCs w:val="21"/>
                <w:highlight w:val="none"/>
                <w14:textFill>
                  <w14:solidFill>
                    <w14:schemeClr w14:val="tx1"/>
                  </w14:solidFill>
                </w14:textFill>
              </w:rPr>
              <w:t>（负责人）</w:t>
            </w:r>
            <w:r>
              <w:rPr>
                <w:rFonts w:hint="eastAsia" w:ascii="宋体" w:hAnsi="宋体"/>
                <w:color w:val="000000" w:themeColor="text1"/>
                <w:szCs w:val="21"/>
                <w:highlight w:val="none"/>
                <w14:textFill>
                  <w14:solidFill>
                    <w14:schemeClr w14:val="tx1"/>
                  </w14:solidFill>
                </w14:textFill>
              </w:rPr>
              <w:t>有效身份证正反面复印件（格式后附）；（</w:t>
            </w:r>
            <w:r>
              <w:rPr>
                <w:rFonts w:hint="eastAsia" w:ascii="宋体" w:hAnsi="宋体" w:cs="宋体"/>
                <w:b/>
                <w:bCs/>
                <w:color w:val="000000" w:themeColor="text1"/>
                <w:szCs w:val="21"/>
                <w:highlight w:val="none"/>
                <w14:textFill>
                  <w14:solidFill>
                    <w14:schemeClr w14:val="tx1"/>
                  </w14:solidFill>
                </w14:textFill>
              </w:rPr>
              <w:t>除自然人投标外</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5740CEE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、授权委托书及委托代理人有效身份证正反面复印件（格式后附）；（</w:t>
            </w:r>
            <w:r>
              <w:rPr>
                <w:rFonts w:hint="eastAsia" w:ascii="宋体" w:hAnsi="宋体"/>
                <w:b/>
                <w:color w:val="000000" w:themeColor="text1"/>
                <w:szCs w:val="21"/>
                <w:highlight w:val="none"/>
                <w14:textFill>
                  <w14:solidFill>
                    <w14:schemeClr w14:val="tx1"/>
                  </w14:solidFill>
                </w14:textFill>
              </w:rPr>
              <w:t>委托时必须提供，否则按无效投标处理</w:t>
            </w:r>
            <w:r>
              <w:rPr>
                <w:rFonts w:hint="eastAsia" w:ascii="宋体" w:hAnsi="宋体"/>
                <w:color w:val="000000" w:themeColor="text1"/>
                <w:szCs w:val="21"/>
                <w:highlight w:val="none"/>
                <w14:textFill>
                  <w14:solidFill>
                    <w14:schemeClr w14:val="tx1"/>
                  </w14:solidFill>
                </w14:textFill>
              </w:rPr>
              <w:t>）</w:t>
            </w:r>
          </w:p>
          <w:p w14:paraId="01DB37E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、商务要求偏离表（格式后附）；（</w:t>
            </w:r>
            <w:r>
              <w:rPr>
                <w:rFonts w:hint="eastAsia" w:ascii="宋体" w:hAnsi="宋体"/>
                <w:b/>
                <w:color w:val="000000" w:themeColor="text1"/>
                <w:szCs w:val="21"/>
                <w:highlight w:val="none"/>
                <w14:textFill>
                  <w14:solidFill>
                    <w14:schemeClr w14:val="tx1"/>
                  </w14:solidFill>
                </w14:textFill>
              </w:rPr>
              <w:t>必须提供，否则按无效投标处理</w:t>
            </w:r>
            <w:r>
              <w:rPr>
                <w:rFonts w:hint="eastAsia" w:ascii="宋体" w:hAnsi="宋体"/>
                <w:color w:val="000000" w:themeColor="text1"/>
                <w:szCs w:val="21"/>
                <w:highlight w:val="none"/>
                <w14:textFill>
                  <w14:solidFill>
                    <w14:schemeClr w14:val="tx1"/>
                  </w14:solidFill>
                </w14:textFill>
              </w:rPr>
              <w:t>）</w:t>
            </w:r>
          </w:p>
          <w:p w14:paraId="01A8F46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、投标人情况介绍（格式自拟）；</w:t>
            </w:r>
          </w:p>
          <w:p w14:paraId="4C702B38">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s="宋体"/>
                <w:color w:val="auto"/>
                <w:szCs w:val="21"/>
                <w:highlight w:val="none"/>
              </w:rPr>
              <w:t>投标人业绩情况一览表（格式仅供参考）</w:t>
            </w:r>
          </w:p>
          <w:p w14:paraId="63D76F1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7</w:t>
            </w:r>
            <w:bookmarkStart w:id="198" w:name="_GoBack"/>
            <w:bookmarkEnd w:id="198"/>
            <w:r>
              <w:rPr>
                <w:rFonts w:hint="eastAsia" w:ascii="宋体" w:hAnsi="宋体"/>
                <w:color w:val="000000" w:themeColor="text1"/>
                <w:szCs w:val="21"/>
                <w:highlight w:val="none"/>
                <w14:textFill>
                  <w14:solidFill>
                    <w14:schemeClr w14:val="tx1"/>
                  </w14:solidFill>
                </w14:textFill>
              </w:rPr>
              <w:t>、除招标文件规定必须提供以外，投标人认为需要提供的其他证明材料（格式自拟）。（投标人根据“第二章 采购需求”及“第四章 评标方法及评标标准”提供有关证明材料）。</w:t>
            </w:r>
          </w:p>
          <w:p w14:paraId="0D005BB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注：以上标明“必须提供”的材料属于复印件的，必须加盖投标人公章或电子签章，否则按无效投标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69975B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225A9F06">
            <w:pPr>
              <w:spacing w:line="400" w:lineRule="exact"/>
              <w:rPr>
                <w:rFonts w:hint="eastAsia" w:ascii="宋体" w:hAnsi="宋体"/>
                <w:color w:val="000000" w:themeColor="text1"/>
                <w:szCs w:val="21"/>
                <w:highlight w:val="none"/>
                <w14:textFill>
                  <w14:solidFill>
                    <w14:schemeClr w14:val="tx1"/>
                  </w14:solidFill>
                </w14:textFill>
              </w:rPr>
            </w:pPr>
          </w:p>
        </w:tc>
        <w:tc>
          <w:tcPr>
            <w:tcW w:w="8708" w:type="dxa"/>
            <w:tcBorders>
              <w:top w:val="single" w:color="auto" w:sz="4" w:space="0"/>
              <w:left w:val="single" w:color="auto" w:sz="4" w:space="0"/>
              <w:bottom w:val="single" w:color="auto" w:sz="4" w:space="0"/>
              <w:right w:val="single" w:color="auto" w:sz="4" w:space="0"/>
            </w:tcBorders>
            <w:vAlign w:val="center"/>
          </w:tcPr>
          <w:p w14:paraId="2963B15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Courier New"/>
                <w:b/>
                <w:i/>
                <w:color w:val="000000" w:themeColor="text1"/>
                <w:szCs w:val="21"/>
                <w:highlight w:val="none"/>
                <w14:textFill>
                  <w14:solidFill>
                    <w14:schemeClr w14:val="tx1"/>
                  </w14:solidFill>
                </w14:textFill>
              </w:rPr>
            </w:pPr>
            <w:r>
              <w:rPr>
                <w:rFonts w:hint="eastAsia" w:ascii="宋体" w:hAnsi="宋体" w:cs="Courier New"/>
                <w:b/>
                <w:color w:val="000000" w:themeColor="text1"/>
                <w:szCs w:val="21"/>
                <w:highlight w:val="none"/>
                <w14:textFill>
                  <w14:solidFill>
                    <w14:schemeClr w14:val="tx1"/>
                  </w14:solidFill>
                </w14:textFill>
              </w:rPr>
              <w:t>技术文件：</w:t>
            </w:r>
          </w:p>
          <w:p w14:paraId="32F18064">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、技术响应文件（格式后附）；</w:t>
            </w:r>
            <w:r>
              <w:rPr>
                <w:rFonts w:hint="eastAsia" w:ascii="宋体" w:hAnsi="宋体"/>
                <w:b/>
                <w:color w:val="000000" w:themeColor="text1"/>
                <w:szCs w:val="21"/>
                <w:highlight w:val="none"/>
                <w14:textFill>
                  <w14:solidFill>
                    <w14:schemeClr w14:val="tx1"/>
                  </w14:solidFill>
                </w14:textFill>
              </w:rPr>
              <w:t>（必须提供，否则按无效投标处理）</w:t>
            </w:r>
          </w:p>
          <w:p w14:paraId="6D6B9C2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、服务方案（格式自拟）；（投标人根据“第二章 采购需求”及“第四章 评标方法及评标标准”要求提供）</w:t>
            </w:r>
            <w:r>
              <w:rPr>
                <w:rFonts w:hint="eastAsia" w:ascii="宋体" w:hAnsi="宋体"/>
                <w:b/>
                <w:color w:val="000000" w:themeColor="text1"/>
                <w:szCs w:val="21"/>
                <w:highlight w:val="none"/>
                <w14:textFill>
                  <w14:solidFill>
                    <w14:schemeClr w14:val="tx1"/>
                  </w14:solidFill>
                </w14:textFill>
              </w:rPr>
              <w:t>（必须提供，否则按无效投标处理）</w:t>
            </w:r>
          </w:p>
          <w:p w14:paraId="0905AF6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b/>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、项目实施人员一览表（</w:t>
            </w:r>
            <w:r>
              <w:rPr>
                <w:rFonts w:hint="eastAsia" w:ascii="宋体" w:hAnsi="宋体" w:cs="宋体"/>
                <w:color w:val="000000" w:themeColor="text1"/>
                <w:szCs w:val="21"/>
                <w:highlight w:val="none"/>
                <w14:textFill>
                  <w14:solidFill>
                    <w14:schemeClr w14:val="tx1"/>
                  </w14:solidFill>
                </w14:textFill>
              </w:rPr>
              <w:t>格式仅供参考</w:t>
            </w:r>
            <w:r>
              <w:rPr>
                <w:rFonts w:hint="eastAsia" w:ascii="宋体" w:hAnsi="宋体"/>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（必须提供，否则按无效投标处理）</w:t>
            </w:r>
          </w:p>
          <w:p w14:paraId="140DD351">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、投标人对本项目的合理化建议和改进措施（格式自拟）；</w:t>
            </w:r>
          </w:p>
          <w:p w14:paraId="7F1EACEE">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、除招标文件规定必须提供以外，投标人需要说明的其他文件和说明（格式自拟）。</w:t>
            </w:r>
          </w:p>
          <w:p w14:paraId="605AB7AC">
            <w:pPr>
              <w:keepNext w:val="0"/>
              <w:keepLines w:val="0"/>
              <w:pageBreakBefore w:val="0"/>
              <w:widowControl w:val="0"/>
              <w:kinsoku/>
              <w:wordWrap/>
              <w:overflowPunct/>
              <w:topLinePunct w:val="0"/>
              <w:autoSpaceDE/>
              <w:autoSpaceDN/>
              <w:bidi w:val="0"/>
              <w:adjustRightInd/>
              <w:snapToGrid w:val="0"/>
              <w:spacing w:line="360" w:lineRule="auto"/>
              <w:ind w:firstLine="316" w:firstLineChars="150"/>
              <w:jc w:val="left"/>
              <w:textAlignment w:val="auto"/>
              <w:rPr>
                <w:rFonts w:hint="eastAsia"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注：以上标明“必须提供”的材料属于复印件的，必须加盖投标人公章，否则按无效投标</w:t>
            </w:r>
            <w:r>
              <w:rPr>
                <w:rFonts w:hint="eastAsia" w:ascii="宋体" w:hAnsi="宋体" w:cs="Courier New"/>
                <w:b/>
                <w:color w:val="000000" w:themeColor="text1"/>
                <w:szCs w:val="21"/>
                <w:highlight w:val="none"/>
                <w14:textFill>
                  <w14:solidFill>
                    <w14:schemeClr w14:val="tx1"/>
                  </w14:solidFill>
                </w14:textFill>
              </w:rPr>
              <w:t>处理</w:t>
            </w:r>
            <w:r>
              <w:rPr>
                <w:rFonts w:hint="eastAsia" w:ascii="宋体" w:hAnsi="宋体"/>
                <w:b/>
                <w:bCs/>
                <w:color w:val="000000" w:themeColor="text1"/>
                <w:szCs w:val="21"/>
                <w:highlight w:val="none"/>
                <w14:textFill>
                  <w14:solidFill>
                    <w14:schemeClr w14:val="tx1"/>
                  </w14:solidFill>
                </w14:textFill>
              </w:rPr>
              <w:t>。</w:t>
            </w:r>
          </w:p>
        </w:tc>
      </w:tr>
      <w:tr w14:paraId="78DFC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65A8FFB">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w:t>
            </w:r>
            <w:bookmarkStart w:id="86" w:name="_Hlt19693758"/>
            <w:bookmarkStart w:id="87" w:name="_Hlt19194066"/>
            <w:bookmarkStart w:id="88" w:name="_Hlt19194067"/>
            <w:bookmarkStart w:id="89" w:name="_Hlt19693759"/>
            <w:r>
              <w:rPr>
                <w:rFonts w:hint="eastAsia" w:ascii="宋体" w:hAnsi="宋体"/>
                <w:color w:val="000000" w:themeColor="text1"/>
                <w:szCs w:val="21"/>
                <w:highlight w:val="none"/>
                <w14:textFill>
                  <w14:solidFill>
                    <w14:schemeClr w14:val="tx1"/>
                  </w14:solidFill>
                </w14:textFill>
              </w:rPr>
              <w:t>.</w:t>
            </w:r>
            <w:bookmarkEnd w:id="86"/>
            <w:bookmarkEnd w:id="87"/>
            <w:bookmarkEnd w:id="88"/>
            <w:bookmarkEnd w:id="89"/>
            <w:r>
              <w:rPr>
                <w:rFonts w:hint="eastAsia" w:ascii="宋体" w:hAnsi="宋体"/>
                <w:color w:val="000000" w:themeColor="text1"/>
                <w:szCs w:val="21"/>
                <w:highlight w:val="none"/>
                <w14:textFill>
                  <w14:solidFill>
                    <w14:schemeClr w14:val="tx1"/>
                  </w14:solidFill>
                </w14:textFill>
              </w:rPr>
              <w:t>2</w:t>
            </w:r>
          </w:p>
        </w:tc>
        <w:tc>
          <w:tcPr>
            <w:tcW w:w="8708" w:type="dxa"/>
            <w:tcBorders>
              <w:top w:val="single" w:color="auto" w:sz="4" w:space="0"/>
              <w:left w:val="single" w:color="auto" w:sz="4" w:space="0"/>
              <w:bottom w:val="single" w:color="auto" w:sz="4" w:space="0"/>
              <w:right w:val="single" w:color="auto" w:sz="4" w:space="0"/>
            </w:tcBorders>
            <w:vAlign w:val="center"/>
          </w:tcPr>
          <w:p w14:paraId="0B4E8082">
            <w:pPr>
              <w:snapToGrid w:val="0"/>
              <w:spacing w:line="360" w:lineRule="auto"/>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投标报价是履行合同的最终价格，投标报价</w:t>
            </w:r>
            <w:r>
              <w:rPr>
                <w:rFonts w:hint="eastAsia" w:hAnsi="宋体"/>
                <w:color w:val="000000" w:themeColor="text1"/>
                <w:highlight w:val="none"/>
                <w14:textFill>
                  <w14:solidFill>
                    <w14:schemeClr w14:val="tx1"/>
                  </w14:solidFill>
                </w14:textFill>
              </w:rPr>
              <w:t>包括服务的价格、提供服务所需的备品备件、专用工具、劳务、管理、交通工具、交通费用、维护、保险、利润、税金、验收与政策性文件规定及合同包含的所有风险、责任等各项应有的费用。</w:t>
            </w:r>
            <w:r>
              <w:rPr>
                <w:rFonts w:hint="eastAsia" w:ascii="宋体" w:hAnsi="宋体"/>
                <w:color w:val="000000" w:themeColor="text1"/>
                <w:szCs w:val="21"/>
                <w:highlight w:val="none"/>
                <w14:textFill>
                  <w14:solidFill>
                    <w14:schemeClr w14:val="tx1"/>
                  </w14:solidFill>
                </w14:textFill>
              </w:rPr>
              <w:t>采购人不再支付任何费用。（采购需求另有约定的，从其约定）</w:t>
            </w:r>
          </w:p>
        </w:tc>
      </w:tr>
      <w:tr w14:paraId="7F76D7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E47228C">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17.</w:t>
            </w:r>
            <w:r>
              <w:rPr>
                <w:rFonts w:ascii="宋体" w:hAnsi="宋体"/>
                <w:color w:val="000000" w:themeColor="text1"/>
                <w:szCs w:val="21"/>
                <w:highlight w:val="none"/>
                <w14:textFill>
                  <w14:solidFill>
                    <w14:schemeClr w14:val="tx1"/>
                  </w14:solidFill>
                </w14:textFill>
              </w:rPr>
              <w:t>2</w:t>
            </w:r>
          </w:p>
        </w:tc>
        <w:tc>
          <w:tcPr>
            <w:tcW w:w="8708" w:type="dxa"/>
            <w:tcBorders>
              <w:top w:val="single" w:color="auto" w:sz="4" w:space="0"/>
              <w:left w:val="single" w:color="auto" w:sz="4" w:space="0"/>
              <w:bottom w:val="single" w:color="auto" w:sz="4" w:space="0"/>
              <w:right w:val="single" w:color="auto" w:sz="4" w:space="0"/>
            </w:tcBorders>
            <w:vAlign w:val="center"/>
          </w:tcPr>
          <w:p w14:paraId="57972F15">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投标有效期：投标截止之日起60天内。</w:t>
            </w:r>
          </w:p>
        </w:tc>
      </w:tr>
      <w:tr w14:paraId="7092F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54EAD5B">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18</w:t>
            </w:r>
            <w:r>
              <w:rPr>
                <w:rFonts w:ascii="宋体" w:hAnsi="宋体"/>
                <w:color w:val="000000" w:themeColor="text1"/>
                <w:szCs w:val="21"/>
                <w:highlight w:val="none"/>
                <w14:textFill>
                  <w14:solidFill>
                    <w14:schemeClr w14:val="tx1"/>
                  </w14:solidFill>
                </w14:textFill>
              </w:rPr>
              <w:t>.1</w:t>
            </w:r>
          </w:p>
        </w:tc>
        <w:tc>
          <w:tcPr>
            <w:tcW w:w="8708" w:type="dxa"/>
            <w:tcBorders>
              <w:top w:val="single" w:color="auto" w:sz="4" w:space="0"/>
              <w:left w:val="single" w:color="auto" w:sz="4" w:space="0"/>
              <w:bottom w:val="single" w:color="auto" w:sz="4" w:space="0"/>
              <w:right w:val="single" w:color="auto" w:sz="4" w:space="0"/>
            </w:tcBorders>
            <w:vAlign w:val="center"/>
          </w:tcPr>
          <w:p w14:paraId="4F71E432">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w:t>
            </w:r>
            <w:r>
              <w:rPr>
                <w:rFonts w:hint="eastAsia" w:ascii="宋体" w:hAnsi="宋体"/>
                <w:color w:val="000000" w:themeColor="text1"/>
                <w:szCs w:val="21"/>
                <w:highlight w:val="none"/>
                <w:lang w:eastAsia="zh-CN"/>
                <w14:textFill>
                  <w14:solidFill>
                    <w14:schemeClr w14:val="tx1"/>
                  </w14:solidFill>
                </w14:textFill>
              </w:rPr>
              <w:t>不</w:t>
            </w:r>
            <w:r>
              <w:rPr>
                <w:rFonts w:hint="eastAsia" w:ascii="宋体" w:hAnsi="宋体"/>
                <w:color w:val="000000" w:themeColor="text1"/>
                <w:szCs w:val="21"/>
                <w:highlight w:val="none"/>
                <w14:textFill>
                  <w14:solidFill>
                    <w14:schemeClr w14:val="tx1"/>
                  </w14:solidFill>
                </w14:textFill>
              </w:rPr>
              <w:t>收取投标保证金</w:t>
            </w:r>
          </w:p>
        </w:tc>
      </w:tr>
      <w:tr w14:paraId="166AA1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CC0A406">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6A868520">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投标文件应按报价文件、资格证明文件、商务文件、技术文件分别编制，</w:t>
            </w:r>
            <w:r>
              <w:rPr>
                <w:rFonts w:hint="eastAsia" w:ascii="宋体" w:hAnsi="宋体" w:cs="宋体"/>
                <w:color w:val="000000" w:themeColor="text1"/>
                <w:szCs w:val="21"/>
                <w:highlight w:val="none"/>
                <w:lang w:bidi="ar"/>
                <w14:textFill>
                  <w14:solidFill>
                    <w14:schemeClr w14:val="tx1"/>
                  </w14:solidFill>
                </w14:textFill>
              </w:rPr>
              <w:t>并按</w:t>
            </w:r>
            <w:r>
              <w:rPr>
                <w:color w:val="000000" w:themeColor="text1"/>
                <w:spacing w:val="12"/>
                <w:highlight w:val="none"/>
                <w14:textFill>
                  <w14:solidFill>
                    <w14:schemeClr w14:val="tx1"/>
                  </w14:solidFill>
                </w14:textFill>
              </w:rPr>
              <w:t>广西政府采购</w:t>
            </w:r>
            <w:r>
              <w:rPr>
                <w:color w:val="000000" w:themeColor="text1"/>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云平台</w:t>
            </w:r>
            <w:r>
              <w:rPr>
                <w:rFonts w:hint="eastAsia" w:ascii="宋体" w:hAnsi="宋体" w:cs="宋体"/>
                <w:color w:val="000000" w:themeColor="text1"/>
                <w:szCs w:val="21"/>
                <w:highlight w:val="none"/>
                <w:lang w:bidi="ar"/>
                <w14:textFill>
                  <w14:solidFill>
                    <w14:schemeClr w14:val="tx1"/>
                  </w14:solidFill>
                </w14:textFill>
              </w:rPr>
              <w:t>的要求编制、加密、上传。</w:t>
            </w:r>
          </w:p>
        </w:tc>
      </w:tr>
      <w:tr w14:paraId="0AB17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800860C">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58E369C4">
            <w:pPr>
              <w:autoSpaceDE w:val="0"/>
              <w:autoSpaceDN w:val="0"/>
              <w:snapToGrid w:val="0"/>
              <w:spacing w:line="400" w:lineRule="exact"/>
              <w:textAlignment w:val="bottom"/>
              <w:rPr>
                <w:rFonts w:hint="eastAsia"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电子投标文件应在制作完成后，投标人应按</w:t>
            </w:r>
            <w:r>
              <w:rPr>
                <w:rFonts w:hint="eastAsia" w:ascii="宋体" w:hAnsi="宋体"/>
                <w:color w:val="000000" w:themeColor="text1"/>
                <w:szCs w:val="21"/>
                <w:highlight w:val="none"/>
                <w:lang w:eastAsia="zh-CN"/>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的要求进行加密，并在规定时间内解密，否则，由此产生的后果由投标人自行负责。</w:t>
            </w:r>
          </w:p>
        </w:tc>
      </w:tr>
      <w:tr w14:paraId="4FA1E6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4A6AF64C">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0F8E931A">
            <w:pPr>
              <w:snapToGrid w:val="0"/>
              <w:spacing w:line="400" w:lineRule="exact"/>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1、投标截止时间：详见招标公告</w:t>
            </w:r>
          </w:p>
          <w:p w14:paraId="28249D28">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2、投标地点：详见招标公告</w:t>
            </w:r>
          </w:p>
        </w:tc>
      </w:tr>
      <w:tr w14:paraId="002B4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D905C7A">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w:t>
            </w:r>
          </w:p>
        </w:tc>
        <w:tc>
          <w:tcPr>
            <w:tcW w:w="8708" w:type="dxa"/>
            <w:tcBorders>
              <w:top w:val="single" w:color="auto" w:sz="4" w:space="0"/>
              <w:left w:val="single" w:color="auto" w:sz="4" w:space="0"/>
              <w:bottom w:val="single" w:color="auto" w:sz="4" w:space="0"/>
              <w:right w:val="single" w:color="auto" w:sz="4" w:space="0"/>
            </w:tcBorders>
            <w:vAlign w:val="center"/>
          </w:tcPr>
          <w:p w14:paraId="7095896D">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1、开标时间：详见招标公告</w:t>
            </w:r>
          </w:p>
          <w:p w14:paraId="26E5FB0C">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2、开标地点：详见招标公告</w:t>
            </w:r>
          </w:p>
        </w:tc>
      </w:tr>
      <w:tr w14:paraId="501FC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FBF2DCD">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77827C6C">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eastAsia="zh-CN"/>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按开标时间自动提取所有投标文件。采购代理机构依托</w:t>
            </w:r>
            <w:r>
              <w:rPr>
                <w:rFonts w:hint="eastAsia" w:ascii="宋体" w:hAnsi="宋体"/>
                <w:bCs/>
                <w:color w:val="000000" w:themeColor="text1"/>
                <w:szCs w:val="21"/>
                <w:highlight w:val="none"/>
                <w:lang w:eastAsia="zh-CN"/>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向各投标人发出电子加密投标文件【开始解密】通知，由投标人进行投标文件解密。</w:t>
            </w:r>
            <w:r>
              <w:rPr>
                <w:rFonts w:hint="eastAsia" w:ascii="宋体" w:hAnsi="宋体"/>
                <w:b/>
                <w:bCs/>
                <w:color w:val="000000" w:themeColor="text1"/>
                <w:szCs w:val="21"/>
                <w:highlight w:val="none"/>
                <w14:textFill>
                  <w14:solidFill>
                    <w14:schemeClr w14:val="tx1"/>
                  </w14:solidFill>
                </w14:textFill>
              </w:rPr>
              <w:t>投标人的法定代表人或其委托代理人须携带加密时所用的CA锁准时登录到</w:t>
            </w:r>
            <w:r>
              <w:rPr>
                <w:rFonts w:hint="eastAsia" w:ascii="宋体" w:hAnsi="宋体"/>
                <w:b/>
                <w:bCs/>
                <w:color w:val="000000" w:themeColor="text1"/>
                <w:szCs w:val="21"/>
                <w:highlight w:val="none"/>
                <w:lang w:eastAsia="zh-CN"/>
                <w14:textFill>
                  <w14:solidFill>
                    <w14:schemeClr w14:val="tx1"/>
                  </w14:solidFill>
                </w14:textFill>
              </w:rPr>
              <w:t>广西政府采购云平台</w:t>
            </w:r>
            <w:r>
              <w:rPr>
                <w:rFonts w:hint="eastAsia" w:ascii="宋体" w:hAnsi="宋体"/>
                <w:b/>
                <w:bCs/>
                <w:color w:val="000000" w:themeColor="text1"/>
                <w:szCs w:val="21"/>
                <w:highlight w:val="none"/>
                <w14:textFill>
                  <w14:solidFill>
                    <w14:schemeClr w14:val="tx1"/>
                  </w14:solidFill>
                </w14:textFill>
              </w:rPr>
              <w:t>电子开标大厅签到</w:t>
            </w:r>
            <w:r>
              <w:rPr>
                <w:rFonts w:hint="eastAsia" w:ascii="宋体" w:hAnsi="宋体" w:cs="宋体"/>
                <w:b/>
                <w:color w:val="000000" w:themeColor="text1"/>
                <w:szCs w:val="21"/>
                <w:highlight w:val="none"/>
                <w14:textFill>
                  <w14:solidFill>
                    <w14:schemeClr w14:val="tx1"/>
                  </w14:solidFill>
                </w14:textFill>
              </w:rPr>
              <w:t>并在发起解密</w:t>
            </w:r>
            <w:r>
              <w:rPr>
                <w:rFonts w:hint="eastAsia" w:ascii="宋体" w:hAnsi="宋体"/>
                <w:b/>
                <w:bCs/>
                <w:color w:val="000000" w:themeColor="text1"/>
                <w:szCs w:val="21"/>
                <w:highlight w:val="none"/>
                <w14:textFill>
                  <w14:solidFill>
                    <w14:schemeClr w14:val="tx1"/>
                  </w14:solidFill>
                </w14:textFill>
              </w:rPr>
              <w:t>通知</w:t>
            </w:r>
            <w:r>
              <w:rPr>
                <w:rFonts w:hint="eastAsia" w:ascii="宋体" w:hAnsi="宋体" w:cs="宋体"/>
                <w:b/>
                <w:color w:val="000000" w:themeColor="text1"/>
                <w:szCs w:val="21"/>
                <w:highlight w:val="none"/>
                <w14:textFill>
                  <w14:solidFill>
                    <w14:schemeClr w14:val="tx1"/>
                  </w14:solidFill>
                </w14:textFill>
              </w:rPr>
              <w:t>之时起30分钟内完成</w:t>
            </w:r>
            <w:r>
              <w:rPr>
                <w:rFonts w:hint="eastAsia" w:ascii="宋体" w:hAnsi="宋体"/>
                <w:b/>
                <w:bCs/>
                <w:color w:val="000000" w:themeColor="text1"/>
                <w:szCs w:val="21"/>
                <w:highlight w:val="none"/>
                <w14:textFill>
                  <w14:solidFill>
                    <w14:schemeClr w14:val="tx1"/>
                  </w14:solidFill>
                </w14:textFill>
              </w:rPr>
              <w:t>对电子投标文件解密。投标文件未按时解密的，视为无效投标。</w:t>
            </w:r>
          </w:p>
        </w:tc>
      </w:tr>
      <w:tr w14:paraId="56F07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2B3D7F0">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5EC3DBA9">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采购人或者采购代理机构在资格审查结束前，对投标人进行信用查询。</w:t>
            </w:r>
          </w:p>
          <w:p w14:paraId="6716695A">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查询渠道：</w:t>
            </w:r>
            <w:r>
              <w:rPr>
                <w:rFonts w:ascii="宋体" w:hAnsi="宋体"/>
                <w:color w:val="000000" w:themeColor="text1"/>
                <w:szCs w:val="21"/>
                <w:highlight w:val="none"/>
                <w14:textFill>
                  <w14:solidFill>
                    <w14:schemeClr w14:val="tx1"/>
                  </w14:solidFill>
                </w14:textFill>
              </w:rPr>
              <w:t>“信用中国”网站（www.creditchina.gov.cn）、中国政府采购网（</w:t>
            </w:r>
            <w:r>
              <w:rPr>
                <w:rFonts w:ascii="宋体" w:hAnsi="宋体"/>
                <w:color w:val="000000" w:themeColor="text1"/>
                <w:szCs w:val="21"/>
                <w:highlight w:val="none"/>
                <w14:textFill>
                  <w14:solidFill>
                    <w14:schemeClr w14:val="tx1"/>
                  </w14:solidFill>
                </w14:textFill>
              </w:rPr>
              <w:fldChar w:fldCharType="begin"/>
            </w:r>
            <w:r>
              <w:rPr>
                <w:rFonts w:ascii="宋体" w:hAnsi="宋体"/>
                <w:color w:val="000000" w:themeColor="text1"/>
                <w:szCs w:val="21"/>
                <w:highlight w:val="none"/>
                <w14:textFill>
                  <w14:solidFill>
                    <w14:schemeClr w14:val="tx1"/>
                  </w14:solidFill>
                </w14:textFill>
              </w:rPr>
              <w:instrText xml:space="preserve"> HYPERLINK "http://www.ccgp.gov.cn" </w:instrText>
            </w:r>
            <w:r>
              <w:rPr>
                <w:rFonts w:ascii="宋体" w:hAnsi="宋体"/>
                <w:color w:val="000000" w:themeColor="text1"/>
                <w:szCs w:val="21"/>
                <w:highlight w:val="none"/>
                <w14:textFill>
                  <w14:solidFill>
                    <w14:schemeClr w14:val="tx1"/>
                  </w14:solidFill>
                </w14:textFill>
              </w:rPr>
              <w:fldChar w:fldCharType="separate"/>
            </w:r>
            <w:r>
              <w:rPr>
                <w:rStyle w:val="61"/>
                <w:rFonts w:ascii="宋体" w:hAnsi="宋体"/>
                <w:color w:val="000000" w:themeColor="text1"/>
                <w:szCs w:val="21"/>
                <w:highlight w:val="none"/>
                <w14:textFill>
                  <w14:solidFill>
                    <w14:schemeClr w14:val="tx1"/>
                  </w14:solidFill>
                </w14:textFill>
              </w:rPr>
              <w:t>www.ccgp.gov.cn</w:t>
            </w:r>
            <w:r>
              <w:rPr>
                <w:rFonts w:ascii="宋体" w:hAnsi="宋体"/>
                <w:color w:val="000000" w:themeColor="text1"/>
                <w:szCs w:val="21"/>
                <w:highlight w:val="none"/>
                <w14:textFill>
                  <w14:solidFill>
                    <w14:schemeClr w14:val="tx1"/>
                  </w14:solidFill>
                </w14:textFill>
              </w:rPr>
              <w:fldChar w:fldCharType="end"/>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w:t>
            </w:r>
          </w:p>
          <w:p w14:paraId="23802115">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信用查询截止时点：</w:t>
            </w:r>
            <w:r>
              <w:rPr>
                <w:rFonts w:ascii="宋体" w:hAnsi="宋体" w:cs="宋体"/>
                <w:color w:val="000000" w:themeColor="text1"/>
                <w:szCs w:val="21"/>
                <w:highlight w:val="none"/>
                <w14:textFill>
                  <w14:solidFill>
                    <w14:schemeClr w14:val="tx1"/>
                  </w14:solidFill>
                </w14:textFill>
              </w:rPr>
              <w:t>资格审查结束前</w:t>
            </w:r>
            <w:r>
              <w:rPr>
                <w:rFonts w:hint="eastAsia" w:ascii="宋体" w:hAnsi="宋体" w:cs="宋体"/>
                <w:color w:val="000000" w:themeColor="text1"/>
                <w:szCs w:val="21"/>
                <w:highlight w:val="none"/>
                <w14:textFill>
                  <w14:solidFill>
                    <w14:schemeClr w14:val="tx1"/>
                  </w14:solidFill>
                </w14:textFill>
              </w:rPr>
              <w:t>。</w:t>
            </w:r>
          </w:p>
          <w:p w14:paraId="108366C7">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查询记录和证据留存方式：</w:t>
            </w:r>
            <w:r>
              <w:rPr>
                <w:rFonts w:hint="eastAsia" w:ascii="宋体" w:hAnsi="宋体" w:cs="宋体"/>
                <w:color w:val="000000" w:themeColor="text1"/>
                <w:szCs w:val="21"/>
                <w:highlight w:val="none"/>
                <w14:textFill>
                  <w14:solidFill>
                    <w14:schemeClr w14:val="tx1"/>
                  </w14:solidFill>
                </w14:textFill>
              </w:rPr>
              <w:t>通过</w:t>
            </w:r>
            <w:r>
              <w:rPr>
                <w:color w:val="000000" w:themeColor="text1"/>
                <w:spacing w:val="12"/>
                <w:highlight w:val="none"/>
                <w14:textFill>
                  <w14:solidFill>
                    <w14:schemeClr w14:val="tx1"/>
                  </w14:solidFill>
                </w14:textFill>
              </w:rPr>
              <w:t>广西政府采购</w:t>
            </w:r>
            <w:r>
              <w:rPr>
                <w:color w:val="000000" w:themeColor="text1"/>
                <w:spacing w:val="8"/>
                <w:highlight w:val="none"/>
                <w14:textFill>
                  <w14:solidFill>
                    <w14:schemeClr w14:val="tx1"/>
                  </w14:solidFill>
                </w14:textFill>
              </w:rPr>
              <w:t>云平台</w:t>
            </w:r>
            <w:r>
              <w:rPr>
                <w:rFonts w:hint="eastAsia" w:ascii="宋体" w:hAnsi="宋体" w:cs="宋体"/>
                <w:color w:val="000000" w:themeColor="text1"/>
                <w:szCs w:val="21"/>
                <w:highlight w:val="none"/>
                <w14:textFill>
                  <w14:solidFill>
                    <w14:schemeClr w14:val="tx1"/>
                  </w14:solidFill>
                </w14:textFill>
              </w:rPr>
              <w:t>链接到相关查询网站进行查询及记录。</w:t>
            </w:r>
          </w:p>
          <w:p w14:paraId="29475912">
            <w:pPr>
              <w:snapToGrid w:val="0"/>
              <w:spacing w:line="400" w:lineRule="exact"/>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信用信息使用规则：根据财政部《关于在政府采购活动中查询及使用信用记录有关问题的通知》（财库〔2016〕125号）的规定，</w:t>
            </w:r>
            <w:r>
              <w:rPr>
                <w:rFonts w:hint="eastAsia" w:ascii="宋体" w:hAnsi="宋体" w:cs="宋体"/>
                <w:color w:val="000000" w:themeColor="text1"/>
                <w:szCs w:val="21"/>
                <w:highlight w:val="none"/>
                <w:lang w:bidi="ar"/>
                <w14:textFill>
                  <w14:solidFill>
                    <w14:schemeClr w14:val="tx1"/>
                  </w14:solidFill>
                </w14:textFill>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7B2D9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FA32480">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w:t>
            </w:r>
          </w:p>
        </w:tc>
        <w:tc>
          <w:tcPr>
            <w:tcW w:w="8708" w:type="dxa"/>
            <w:tcBorders>
              <w:top w:val="single" w:color="auto" w:sz="4" w:space="0"/>
              <w:left w:val="single" w:color="auto" w:sz="4" w:space="0"/>
              <w:bottom w:val="single" w:color="auto" w:sz="4" w:space="0"/>
              <w:right w:val="single" w:color="auto" w:sz="4" w:space="0"/>
            </w:tcBorders>
            <w:vAlign w:val="center"/>
          </w:tcPr>
          <w:p w14:paraId="2854211C">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评标委员会的人数：</w:t>
            </w:r>
            <w:r>
              <w:rPr>
                <w:rFonts w:ascii="宋体" w:hAnsi="宋体"/>
                <w:color w:val="000000" w:themeColor="text1"/>
                <w:szCs w:val="21"/>
                <w:highlight w:val="none"/>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人</w:t>
            </w:r>
            <w:r>
              <w:rPr>
                <w:rFonts w:hint="eastAsia" w:hAnsi="宋体"/>
                <w:color w:val="000000" w:themeColor="text1"/>
                <w:highlight w:val="none"/>
                <w14:textFill>
                  <w14:solidFill>
                    <w14:schemeClr w14:val="tx1"/>
                  </w14:solidFill>
                </w14:textFill>
              </w:rPr>
              <w:t>。</w:t>
            </w:r>
          </w:p>
        </w:tc>
      </w:tr>
      <w:tr w14:paraId="39C00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C96AF49">
            <w:pPr>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05D1463E">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评标方法：综合评分法。</w:t>
            </w:r>
          </w:p>
        </w:tc>
      </w:tr>
      <w:tr w14:paraId="58D322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343B9747">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29</w:t>
            </w:r>
            <w:r>
              <w:rPr>
                <w:rFonts w:ascii="宋体" w:hAnsi="宋体"/>
                <w:color w:val="000000" w:themeColor="text1"/>
                <w:szCs w:val="21"/>
                <w:highlight w:val="none"/>
                <w14:textFill>
                  <w14:solidFill>
                    <w14:schemeClr w14:val="tx1"/>
                  </w14:solidFill>
                </w14:textFill>
              </w:rPr>
              <w:t>.2</w:t>
            </w:r>
          </w:p>
        </w:tc>
        <w:tc>
          <w:tcPr>
            <w:tcW w:w="8708" w:type="dxa"/>
            <w:tcBorders>
              <w:top w:val="single" w:color="auto" w:sz="4" w:space="0"/>
              <w:left w:val="single" w:color="auto" w:sz="4" w:space="0"/>
              <w:right w:val="single" w:color="auto" w:sz="4" w:space="0"/>
            </w:tcBorders>
            <w:vAlign w:val="center"/>
          </w:tcPr>
          <w:p w14:paraId="77CBA9F1">
            <w:pPr>
              <w:snapToGrid w:val="0"/>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商务要求</w:t>
            </w:r>
            <w:r>
              <w:rPr>
                <w:rFonts w:hint="eastAsia" w:ascii="宋体" w:hAnsi="宋体"/>
                <w:color w:val="000000" w:themeColor="text1"/>
                <w:szCs w:val="21"/>
                <w:highlight w:val="none"/>
                <w14:textFill>
                  <w14:solidFill>
                    <w14:schemeClr w14:val="tx1"/>
                  </w14:solidFill>
                </w14:textFill>
              </w:rPr>
              <w:t>评审中允许负偏离的条款数为</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0 </w:t>
            </w:r>
            <w:r>
              <w:rPr>
                <w:rFonts w:hint="eastAsia" w:ascii="宋体" w:hAnsi="宋体"/>
                <w:color w:val="000000" w:themeColor="text1"/>
                <w:szCs w:val="21"/>
                <w:highlight w:val="none"/>
                <w14:textFill>
                  <w14:solidFill>
                    <w14:schemeClr w14:val="tx1"/>
                  </w14:solidFill>
                </w14:textFill>
              </w:rPr>
              <w:t>项。</w:t>
            </w:r>
          </w:p>
          <w:p w14:paraId="4C947DCB">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技术要求</w:t>
            </w:r>
            <w:r>
              <w:rPr>
                <w:rFonts w:hint="eastAsia" w:ascii="宋体" w:hAnsi="宋体"/>
                <w:color w:val="000000" w:themeColor="text1"/>
                <w:szCs w:val="21"/>
                <w:highlight w:val="none"/>
                <w14:textFill>
                  <w14:solidFill>
                    <w14:schemeClr w14:val="tx1"/>
                  </w14:solidFill>
                </w14:textFill>
              </w:rPr>
              <w:t>评审中允许负偏离的条款数为</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项。</w:t>
            </w:r>
          </w:p>
        </w:tc>
      </w:tr>
      <w:tr w14:paraId="6BF03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3589EF23">
            <w:pPr>
              <w:spacing w:line="400" w:lineRule="exact"/>
              <w:jc w:val="center"/>
              <w:rPr>
                <w:rFonts w:hint="eastAsia" w:ascii="宋体" w:hAnsi="宋体"/>
                <w:color w:val="000000" w:themeColor="text1"/>
                <w:szCs w:val="21"/>
                <w:highlight w:val="none"/>
                <w14:textFill>
                  <w14:solidFill>
                    <w14:schemeClr w14:val="tx1"/>
                  </w14:solidFill>
                </w14:textFill>
              </w:rPr>
            </w:pPr>
          </w:p>
        </w:tc>
        <w:tc>
          <w:tcPr>
            <w:tcW w:w="8708" w:type="dxa"/>
            <w:tcBorders>
              <w:top w:val="single" w:color="auto" w:sz="4" w:space="0"/>
              <w:left w:val="single" w:color="auto" w:sz="4" w:space="0"/>
              <w:right w:val="single" w:color="auto" w:sz="4" w:space="0"/>
            </w:tcBorders>
            <w:vAlign w:val="center"/>
          </w:tcPr>
          <w:p w14:paraId="4EB68EC2">
            <w:pPr>
              <w:snapToGrid w:val="0"/>
              <w:spacing w:line="400" w:lineRule="exact"/>
              <w:rPr>
                <w:rFonts w:hint="eastAsia" w:ascii="宋体" w:hAnsi="宋体" w:cs="宋体"/>
                <w:color w:val="000000" w:themeColor="text1"/>
                <w:szCs w:val="21"/>
                <w:highlight w:val="none"/>
                <w:u w:val="single"/>
                <w14:textFill>
                  <w14:solidFill>
                    <w14:schemeClr w14:val="tx1"/>
                  </w14:solidFill>
                </w14:textFill>
              </w:rPr>
            </w:pPr>
            <w:r>
              <w:rPr>
                <w:rFonts w:hAnsi="宋体"/>
                <w:color w:val="000000" w:themeColor="text1"/>
                <w:highlight w:val="none"/>
                <w14:textFill>
                  <w14:solidFill>
                    <w14:schemeClr w14:val="tx1"/>
                  </w14:solidFill>
                </w14:textFill>
              </w:rPr>
              <w:t>中标候选人推荐数量</w:t>
            </w:r>
            <w:r>
              <w:rPr>
                <w:rFonts w:hint="eastAsia" w:hAnsi="宋体"/>
                <w:color w:val="000000" w:themeColor="text1"/>
                <w:highlight w:val="none"/>
                <w14:textFill>
                  <w14:solidFill>
                    <w14:schemeClr w14:val="tx1"/>
                  </w14:solidFill>
                </w14:textFill>
              </w:rPr>
              <w:t>：3家</w:t>
            </w:r>
          </w:p>
        </w:tc>
      </w:tr>
      <w:tr w14:paraId="444F5E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0A327F4">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w:t>
            </w:r>
            <w:r>
              <w:rPr>
                <w:rFonts w:ascii="宋体" w:hAnsi="宋体"/>
                <w:color w:val="000000" w:themeColor="text1"/>
                <w:szCs w:val="21"/>
                <w:highlight w:val="none"/>
                <w14:textFill>
                  <w14:solidFill>
                    <w14:schemeClr w14:val="tx1"/>
                  </w14:solidFill>
                </w14:textFill>
              </w:rPr>
              <w:t>.1</w:t>
            </w:r>
          </w:p>
        </w:tc>
        <w:tc>
          <w:tcPr>
            <w:tcW w:w="8708" w:type="dxa"/>
            <w:tcBorders>
              <w:top w:val="single" w:color="auto" w:sz="4" w:space="0"/>
              <w:left w:val="single" w:color="auto" w:sz="4" w:space="0"/>
              <w:bottom w:val="single" w:color="auto" w:sz="4" w:space="0"/>
              <w:right w:val="single" w:color="auto" w:sz="4" w:space="0"/>
            </w:tcBorders>
            <w:vAlign w:val="center"/>
          </w:tcPr>
          <w:p w14:paraId="4980D1DF">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采用综合评分法的采购项目，采购人确定中标人时，出现中标候选人并列的情形，采购人按以下的方式确定中标人：</w:t>
            </w:r>
            <w:r>
              <w:rPr>
                <w:rFonts w:hAnsi="宋体"/>
                <w:color w:val="000000" w:themeColor="text1"/>
                <w:highlight w:val="none"/>
                <w14:textFill>
                  <w14:solidFill>
                    <w14:schemeClr w14:val="tx1"/>
                  </w14:solidFill>
                </w14:textFill>
              </w:rPr>
              <w:t>得分相同的，按投标报价由低到高顺序排列</w:t>
            </w:r>
            <w:r>
              <w:rPr>
                <w:rFonts w:hint="eastAsia" w:hAnsi="宋体"/>
                <w:color w:val="000000" w:themeColor="text1"/>
                <w:highlight w:val="none"/>
                <w14:textFill>
                  <w14:solidFill>
                    <w14:schemeClr w14:val="tx1"/>
                  </w14:solidFill>
                </w14:textFill>
              </w:rPr>
              <w:t>，</w:t>
            </w:r>
            <w:r>
              <w:rPr>
                <w:rFonts w:hAnsi="宋体"/>
                <w:color w:val="000000" w:themeColor="text1"/>
                <w:highlight w:val="none"/>
                <w14:textFill>
                  <w14:solidFill>
                    <w14:schemeClr w14:val="tx1"/>
                  </w14:solidFill>
                </w14:textFill>
              </w:rPr>
              <w:t>得分且投标报价相同的并列</w:t>
            </w:r>
            <w:r>
              <w:rPr>
                <w:rFonts w:hint="eastAsia"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按综合评分中服务方案、</w:t>
            </w:r>
            <w:r>
              <w:rPr>
                <w:rFonts w:ascii="宋体" w:hAnsi="宋体"/>
                <w:color w:val="000000" w:themeColor="text1"/>
                <w:szCs w:val="21"/>
                <w:highlight w:val="none"/>
                <w14:textFill>
                  <w14:solidFill>
                    <w14:schemeClr w14:val="tx1"/>
                  </w14:solidFill>
                </w14:textFill>
              </w:rPr>
              <w:t>拟投入本项目人员情况</w:t>
            </w:r>
            <w:r>
              <w:rPr>
                <w:rFonts w:hint="eastAsia" w:ascii="宋体" w:hAnsi="宋体"/>
                <w:color w:val="000000" w:themeColor="text1"/>
                <w:szCs w:val="21"/>
                <w:highlight w:val="none"/>
                <w14:textFill>
                  <w14:solidFill>
                    <w14:schemeClr w14:val="tx1"/>
                  </w14:solidFill>
                </w14:textFill>
              </w:rPr>
              <w:t>、履约能力得分高低依次确定。</w:t>
            </w:r>
          </w:p>
        </w:tc>
      </w:tr>
      <w:tr w14:paraId="26227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20DF9C9">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35</w:t>
            </w:r>
            <w:r>
              <w:rPr>
                <w:rFonts w:ascii="宋体" w:hAnsi="宋体"/>
                <w:color w:val="000000" w:themeColor="text1"/>
                <w:szCs w:val="21"/>
                <w:highlight w:val="none"/>
                <w14:textFill>
                  <w14:solidFill>
                    <w14:schemeClr w14:val="tx1"/>
                  </w14:solidFill>
                </w14:textFill>
              </w:rPr>
              <w:t>.1</w:t>
            </w:r>
          </w:p>
        </w:tc>
        <w:tc>
          <w:tcPr>
            <w:tcW w:w="8708" w:type="dxa"/>
            <w:tcBorders>
              <w:top w:val="single" w:color="auto" w:sz="4" w:space="0"/>
              <w:left w:val="single" w:color="auto" w:sz="4" w:space="0"/>
              <w:bottom w:val="single" w:color="auto" w:sz="4" w:space="0"/>
              <w:right w:val="single" w:color="auto" w:sz="4" w:space="0"/>
            </w:tcBorders>
            <w:vAlign w:val="center"/>
          </w:tcPr>
          <w:p w14:paraId="63656D4F">
            <w:pPr>
              <w:autoSpaceDE w:val="0"/>
              <w:autoSpaceDN w:val="0"/>
              <w:snapToGrid w:val="0"/>
              <w:spacing w:line="400" w:lineRule="exact"/>
              <w:textAlignment w:val="bottom"/>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本项目收取履约保证金，具体规定如下：</w:t>
            </w:r>
          </w:p>
          <w:p w14:paraId="544D2405">
            <w:pPr>
              <w:pStyle w:val="17"/>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履约保证金金额：乙方为中小微企业的，履约保证金为合同金额的2%</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乙方为大型企业的</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履约保证金为合同金额的3%。</w:t>
            </w:r>
          </w:p>
          <w:p w14:paraId="0EBD61DE">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履约保证金递交方式：银行转账、支票、汇票、本票或者金融、担保机构出具的保函等非现金方式。</w:t>
            </w:r>
          </w:p>
          <w:p w14:paraId="6F72FCA9">
            <w:pPr>
              <w:autoSpaceDE w:val="0"/>
              <w:autoSpaceDN w:val="0"/>
              <w:snapToGrid w:val="0"/>
              <w:spacing w:line="400" w:lineRule="exact"/>
              <w:textAlignment w:val="bottom"/>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履约保证金退付方式、时间及条件：</w:t>
            </w:r>
            <w:r>
              <w:rPr>
                <w:rFonts w:hint="eastAsia" w:ascii="宋体" w:hAnsi="宋体"/>
                <w:color w:val="000000" w:themeColor="text1"/>
                <w:szCs w:val="21"/>
                <w:highlight w:val="none"/>
                <w:u w:val="single"/>
                <w14:textFill>
                  <w14:solidFill>
                    <w14:schemeClr w14:val="tx1"/>
                  </w14:solidFill>
                </w14:textFill>
              </w:rPr>
              <w:t>详见采购合同文本。</w:t>
            </w:r>
          </w:p>
          <w:p w14:paraId="48CB5BB8">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履约保证金指定账户：</w:t>
            </w:r>
          </w:p>
          <w:p w14:paraId="5BB31A5D">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r>
              <w:rPr>
                <w:rFonts w:hint="eastAsia" w:ascii="宋体" w:hAnsi="宋体"/>
                <w:color w:val="000000" w:themeColor="text1"/>
                <w:szCs w:val="21"/>
                <w:highlight w:val="none"/>
                <w:u w:val="single"/>
                <w14:textFill>
                  <w14:solidFill>
                    <w14:schemeClr w14:val="tx1"/>
                  </w14:solidFill>
                </w14:textFill>
              </w:rPr>
              <w:t>广西公安计算机通讯技术研究所</w:t>
            </w:r>
          </w:p>
          <w:p w14:paraId="0CD07E6C">
            <w:pPr>
              <w:autoSpaceDE w:val="0"/>
              <w:autoSpaceDN w:val="0"/>
              <w:snapToGrid w:val="0"/>
              <w:spacing w:line="400" w:lineRule="exact"/>
              <w:textAlignment w:val="bottom"/>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开户银行：</w:t>
            </w:r>
            <w:r>
              <w:rPr>
                <w:rFonts w:hint="eastAsia" w:ascii="宋体" w:hAnsi="宋体"/>
                <w:color w:val="000000" w:themeColor="text1"/>
                <w:szCs w:val="21"/>
                <w:highlight w:val="none"/>
                <w:u w:val="single"/>
                <w14:textFill>
                  <w14:solidFill>
                    <w14:schemeClr w14:val="tx1"/>
                  </w14:solidFill>
                </w14:textFill>
              </w:rPr>
              <w:t>建行南宁市盘龙路支行</w:t>
            </w:r>
          </w:p>
          <w:p w14:paraId="49EB3A52">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银行账号：</w:t>
            </w:r>
            <w:r>
              <w:rPr>
                <w:rFonts w:hint="eastAsia" w:ascii="宋体" w:hAnsi="宋体"/>
                <w:color w:val="000000" w:themeColor="text1"/>
                <w:szCs w:val="21"/>
                <w:highlight w:val="none"/>
                <w:u w:val="single"/>
                <w14:textFill>
                  <w14:solidFill>
                    <w14:schemeClr w14:val="tx1"/>
                  </w14:solidFill>
                </w14:textFill>
              </w:rPr>
              <w:t>45050160445000000160</w:t>
            </w:r>
          </w:p>
          <w:p w14:paraId="3374DE0B">
            <w:pPr>
              <w:spacing w:line="400" w:lineRule="exact"/>
              <w:jc w:val="left"/>
              <w:rPr>
                <w:rFonts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备注：</w:t>
            </w:r>
          </w:p>
          <w:p w14:paraId="0CDBF4CA">
            <w:pPr>
              <w:spacing w:line="400" w:lineRule="exact"/>
              <w:jc w:val="left"/>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bookmarkStart w:id="90" w:name="_Hlk54170335"/>
            <w:r>
              <w:rPr>
                <w:rFonts w:hint="eastAsia" w:ascii="宋体" w:hAnsi="宋体"/>
                <w:b/>
                <w:color w:val="000000" w:themeColor="text1"/>
                <w:szCs w:val="21"/>
                <w:highlight w:val="none"/>
                <w14:textFill>
                  <w14:solidFill>
                    <w14:schemeClr w14:val="tx1"/>
                  </w14:solidFill>
                </w14:textFill>
              </w:rPr>
              <w:t>、根据《广西壮族</w:t>
            </w:r>
            <w:r>
              <w:rPr>
                <w:rFonts w:hint="eastAsia" w:ascii="宋体" w:hAnsi="宋体"/>
                <w:b/>
                <w:color w:val="000000" w:themeColor="text1"/>
                <w:szCs w:val="21"/>
                <w:highlight w:val="none"/>
                <w:lang w:eastAsia="zh-CN"/>
                <w14:textFill>
                  <w14:solidFill>
                    <w14:schemeClr w14:val="tx1"/>
                  </w14:solidFill>
                </w14:textFill>
              </w:rPr>
              <w:t>自</w:t>
            </w:r>
            <w:r>
              <w:rPr>
                <w:rFonts w:hint="eastAsia" w:ascii="宋体" w:hAnsi="宋体"/>
                <w:b/>
                <w:color w:val="000000" w:themeColor="text1"/>
                <w:szCs w:val="21"/>
                <w:highlight w:val="none"/>
                <w14:textFill>
                  <w14:solidFill>
                    <w14:schemeClr w14:val="tx1"/>
                  </w14:solidFill>
                </w14:textFill>
              </w:rPr>
              <w:t>治区财政厅关于持续优化政府采购营商环境推动高质量发展的通知（桂财采〔2024〕55号）》第二条第（二）款，采购文件要求中标或者成交供应商提交履约保证金的，履约保证金数额不得超过政府采购合同金额的5%，对中小企业收取的履约保证金数额不得超过政府采购合同金额的2%。预算单位（采购人）可根据供应商的资信等情况减免履约保证金。政府采购工程以及与工程建设有关的货物、服务采用招标方式采购的，履约保证金减免从其规定。</w:t>
            </w:r>
            <w:bookmarkEnd w:id="90"/>
            <w:r>
              <w:rPr>
                <w:rFonts w:ascii="宋体" w:hAnsi="宋体" w:cs="Courier New"/>
                <w:color w:val="000000" w:themeColor="text1"/>
                <w:szCs w:val="21"/>
                <w:highlight w:val="none"/>
                <w14:textFill>
                  <w14:solidFill>
                    <w14:schemeClr w14:val="tx1"/>
                  </w14:solidFill>
                </w14:textFill>
              </w:rPr>
              <w:br w:type="textWrapping"/>
            </w:r>
            <w:r>
              <w:rPr>
                <w:rFonts w:ascii="宋体" w:hAnsi="宋体"/>
                <w:b/>
                <w:color w:val="000000" w:themeColor="text1"/>
                <w:szCs w:val="21"/>
                <w:highlight w:val="none"/>
                <w14:textFill>
                  <w14:solidFill>
                    <w14:schemeClr w14:val="tx1"/>
                  </w14:solidFill>
                </w14:textFill>
              </w:rPr>
              <w:t>2</w:t>
            </w:r>
            <w:r>
              <w:rPr>
                <w:rFonts w:hint="eastAsia" w:ascii="宋体" w:hAnsi="宋体"/>
                <w:b/>
                <w:color w:val="000000" w:themeColor="text1"/>
                <w:szCs w:val="21"/>
                <w:highlight w:val="none"/>
                <w14:textFill>
                  <w14:solidFill>
                    <w14:schemeClr w14:val="tx1"/>
                  </w14:solidFill>
                </w14:textFill>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ascii="宋体" w:hAnsi="宋体"/>
                <w:b/>
                <w:color w:val="000000" w:themeColor="text1"/>
                <w:szCs w:val="21"/>
                <w:highlight w:val="none"/>
                <w14:textFill>
                  <w14:solidFill>
                    <w14:schemeClr w14:val="tx1"/>
                  </w14:solidFill>
                </w14:textFill>
              </w:rPr>
              <w:br w:type="textWrapping"/>
            </w:r>
            <w:r>
              <w:rPr>
                <w:rFonts w:ascii="宋体" w:hAnsi="宋体"/>
                <w:b/>
                <w:color w:val="000000" w:themeColor="text1"/>
                <w:szCs w:val="21"/>
                <w:highlight w:val="none"/>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w:t>
            </w:r>
            <w:r>
              <w:rPr>
                <w:rFonts w:ascii="宋体" w:hAnsi="宋体"/>
                <w:b/>
                <w:color w:val="000000" w:themeColor="text1"/>
                <w:szCs w:val="21"/>
                <w:highlight w:val="none"/>
                <w14:textFill>
                  <w14:solidFill>
                    <w14:schemeClr w14:val="tx1"/>
                  </w14:solidFill>
                </w14:textFill>
              </w:rPr>
              <w:t>采用金融、担保机构出具的保函的，必须为无条件保函，否则不予签订合同。</w:t>
            </w:r>
          </w:p>
          <w:p w14:paraId="30CBC4BA">
            <w:pPr>
              <w:spacing w:line="400" w:lineRule="exact"/>
              <w:jc w:val="left"/>
              <w:rPr>
                <w:rFonts w:hint="eastAsia" w:ascii="宋体" w:hAnsi="宋体" w:cs="宋体"/>
                <w:color w:val="000000" w:themeColor="text1"/>
                <w:kern w:val="0"/>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、投标人为联合体的，由联合体其中一方按规定提交的履约保证金，视为有效履约保证金。</w:t>
            </w:r>
          </w:p>
        </w:tc>
      </w:tr>
      <w:tr w14:paraId="705534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EAB5F01">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2FF29339">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签订合同携带的证明材料： </w:t>
            </w:r>
          </w:p>
          <w:p w14:paraId="161BF365">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1、委托代理人负责签订合同的，须携带授权委托书及委托代理人身份证原件等其他资格证件。</w:t>
            </w:r>
          </w:p>
          <w:p w14:paraId="55D612FC">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2、法定代表人负责签订合同的，须携带法定代表人</w:t>
            </w:r>
            <w:r>
              <w:rPr>
                <w:rFonts w:ascii="宋体" w:hAnsi="宋体"/>
                <w:color w:val="000000" w:themeColor="text1"/>
                <w:szCs w:val="21"/>
                <w:highlight w:val="none"/>
                <w14:textFill>
                  <w14:solidFill>
                    <w14:schemeClr w14:val="tx1"/>
                  </w14:solidFill>
                </w14:textFill>
              </w:rPr>
              <w:t>身份证明原件</w:t>
            </w:r>
            <w:r>
              <w:rPr>
                <w:rFonts w:hint="eastAsia" w:ascii="宋体" w:hAnsi="宋体"/>
                <w:color w:val="000000" w:themeColor="text1"/>
                <w:szCs w:val="21"/>
                <w:highlight w:val="none"/>
                <w14:textFill>
                  <w14:solidFill>
                    <w14:schemeClr w14:val="tx1"/>
                  </w14:solidFill>
                </w14:textFill>
              </w:rPr>
              <w:t>及</w:t>
            </w:r>
            <w:r>
              <w:rPr>
                <w:rFonts w:ascii="宋体" w:hAnsi="宋体"/>
                <w:color w:val="000000" w:themeColor="text1"/>
                <w:szCs w:val="21"/>
                <w:highlight w:val="none"/>
                <w14:textFill>
                  <w14:solidFill>
                    <w14:schemeClr w14:val="tx1"/>
                  </w14:solidFill>
                </w14:textFill>
              </w:rPr>
              <w:t>身份证原件</w:t>
            </w:r>
            <w:r>
              <w:rPr>
                <w:rFonts w:hint="eastAsia" w:ascii="宋体" w:hAnsi="宋体"/>
                <w:color w:val="000000" w:themeColor="text1"/>
                <w:szCs w:val="21"/>
                <w:highlight w:val="none"/>
                <w14:textFill>
                  <w14:solidFill>
                    <w14:schemeClr w14:val="tx1"/>
                  </w14:solidFill>
                </w14:textFill>
              </w:rPr>
              <w:t>等其他证明材料。</w:t>
            </w:r>
          </w:p>
        </w:tc>
      </w:tr>
      <w:tr w14:paraId="56F105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994E2B2">
            <w:pPr>
              <w:spacing w:line="40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8.2</w:t>
            </w:r>
          </w:p>
        </w:tc>
        <w:tc>
          <w:tcPr>
            <w:tcW w:w="8708" w:type="dxa"/>
            <w:tcBorders>
              <w:top w:val="single" w:color="auto" w:sz="4" w:space="0"/>
              <w:left w:val="single" w:color="auto" w:sz="4" w:space="0"/>
              <w:bottom w:val="single" w:color="auto" w:sz="4" w:space="0"/>
              <w:right w:val="single" w:color="auto" w:sz="4" w:space="0"/>
            </w:tcBorders>
            <w:vAlign w:val="center"/>
          </w:tcPr>
          <w:p w14:paraId="51042FD5">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接收质疑函方式：以纸质书面形式</w:t>
            </w:r>
          </w:p>
          <w:p w14:paraId="62A7B0F3">
            <w:pPr>
              <w:snapToGrid w:val="0"/>
              <w:spacing w:line="400" w:lineRule="exac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质疑联系部门及联系方式：</w:t>
            </w:r>
            <w:r>
              <w:rPr>
                <w:rFonts w:hint="eastAsia" w:ascii="宋体" w:hAnsi="宋体"/>
                <w:color w:val="000000" w:themeColor="text1"/>
                <w:szCs w:val="21"/>
                <w:highlight w:val="none"/>
                <w:lang w:eastAsia="zh-CN"/>
                <w14:textFill>
                  <w14:solidFill>
                    <w14:schemeClr w14:val="tx1"/>
                  </w14:solidFill>
                </w14:textFill>
              </w:rPr>
              <w:t>广西翔正项目管理有限公司</w:t>
            </w:r>
            <w:r>
              <w:rPr>
                <w:rFonts w:hint="eastAsia" w:ascii="宋体" w:hAnsi="宋体"/>
                <w:color w:val="000000" w:themeColor="text1"/>
                <w:szCs w:val="21"/>
                <w:highlight w:val="none"/>
                <w14:textFill>
                  <w14:solidFill>
                    <w14:schemeClr w14:val="tx1"/>
                  </w14:solidFill>
                </w14:textFill>
              </w:rPr>
              <w:t>，质疑联系人：</w:t>
            </w:r>
            <w:r>
              <w:rPr>
                <w:rFonts w:hint="eastAsia" w:ascii="宋体" w:hAnsi="宋体"/>
                <w:color w:val="000000" w:themeColor="text1"/>
                <w:szCs w:val="21"/>
                <w:highlight w:val="none"/>
                <w:lang w:eastAsia="zh-CN"/>
                <w14:textFill>
                  <w14:solidFill>
                    <w14:schemeClr w14:val="tx1"/>
                  </w14:solidFill>
                </w14:textFill>
              </w:rPr>
              <w:t>蒋萍萍、黄翠丽</w:t>
            </w: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eastAsia="zh-CN"/>
                <w14:textFill>
                  <w14:solidFill>
                    <w14:schemeClr w14:val="tx1"/>
                  </w14:solidFill>
                </w14:textFill>
              </w:rPr>
              <w:t>0771-5660405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通讯地址</w:t>
            </w:r>
            <w:r>
              <w:rPr>
                <w:rFonts w:hint="eastAsia" w:ascii="宋体" w:hAnsi="宋体" w:cs="Helvetica"/>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南宁市秀厢大道199号金源城（建兴路）金源CBD东城25楼</w:t>
            </w:r>
          </w:p>
          <w:p w14:paraId="0B4C42B5">
            <w:pPr>
              <w:autoSpaceDE w:val="0"/>
              <w:autoSpaceDN w:val="0"/>
              <w:snapToGrid w:val="0"/>
              <w:spacing w:line="400" w:lineRule="exact"/>
              <w:textAlignment w:val="bottom"/>
              <w:rPr>
                <w:rFonts w:hint="eastAsia"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现场提交质疑办理业务时间：工作日，</w:t>
            </w:r>
            <w:r>
              <w:rPr>
                <w:rFonts w:hint="eastAsia" w:ascii="宋体" w:hAnsi="宋体" w:cs="Arial"/>
                <w:color w:val="000000" w:themeColor="text1"/>
                <w:szCs w:val="21"/>
                <w:highlight w:val="none"/>
                <w14:textFill>
                  <w14:solidFill>
                    <w14:schemeClr w14:val="tx1"/>
                  </w14:solidFill>
                </w14:textFill>
              </w:rPr>
              <w:t>上午8:00-12:00；下午1</w:t>
            </w:r>
            <w:r>
              <w:rPr>
                <w:rFonts w:hint="eastAsia" w:ascii="宋体" w:hAnsi="宋体" w:cs="Arial"/>
                <w:color w:val="000000" w:themeColor="text1"/>
                <w:highlight w:val="none"/>
                <w14:textFill>
                  <w14:solidFill>
                    <w14:schemeClr w14:val="tx1"/>
                  </w14:solidFill>
                </w14:textFill>
              </w:rPr>
              <w:t>5</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00</w:t>
            </w:r>
            <w:r>
              <w:rPr>
                <w:rFonts w:hint="eastAsia" w:ascii="宋体" w:hAnsi="宋体" w:cs="Arial"/>
                <w:color w:val="000000" w:themeColor="text1"/>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8</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0</w:t>
            </w:r>
            <w:r>
              <w:rPr>
                <w:rFonts w:hint="eastAsia" w:ascii="宋体" w:hAnsi="宋体" w:cs="Arial"/>
                <w:color w:val="000000" w:themeColor="text1"/>
                <w:szCs w:val="21"/>
                <w:highlight w:val="none"/>
                <w14:textFill>
                  <w14:solidFill>
                    <w14:schemeClr w14:val="tx1"/>
                  </w14:solidFill>
                </w14:textFill>
              </w:rPr>
              <w:t>0（北京时间）</w:t>
            </w:r>
          </w:p>
        </w:tc>
      </w:tr>
      <w:tr w14:paraId="1187BF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9EE4F52">
            <w:pPr>
              <w:spacing w:line="400" w:lineRule="exact"/>
              <w:jc w:val="center"/>
              <w:rPr>
                <w:rFonts w:hint="eastAsia" w:ascii="宋体" w:hAnsi="宋体"/>
                <w:color w:val="000000" w:themeColor="text1"/>
                <w:szCs w:val="21"/>
                <w:highlight w:val="none"/>
                <w14:textFill>
                  <w14:solidFill>
                    <w14:schemeClr w14:val="tx1"/>
                  </w14:solidFill>
                </w14:textFill>
              </w:rPr>
            </w:pPr>
            <w:bookmarkStart w:id="91" w:name="_Hlt17709148"/>
            <w:r>
              <w:rPr>
                <w:rFonts w:hint="eastAsia" w:ascii="宋体" w:hAnsi="宋体"/>
                <w:color w:val="000000" w:themeColor="text1"/>
                <w:szCs w:val="21"/>
                <w:highlight w:val="none"/>
                <w14:textFill>
                  <w14:solidFill>
                    <w14:schemeClr w14:val="tx1"/>
                  </w14:solidFill>
                </w14:textFill>
              </w:rPr>
              <w:t>3</w:t>
            </w:r>
            <w:bookmarkEnd w:id="91"/>
            <w:r>
              <w:rPr>
                <w:rFonts w:ascii="宋体" w:hAnsi="宋体"/>
                <w:color w:val="000000" w:themeColor="text1"/>
                <w:szCs w:val="21"/>
                <w:highlight w:val="none"/>
                <w14:textFill>
                  <w14:solidFill>
                    <w14:schemeClr w14:val="tx1"/>
                  </w14:solidFill>
                </w14:textFill>
              </w:rPr>
              <w:t>9.1</w:t>
            </w:r>
          </w:p>
        </w:tc>
        <w:tc>
          <w:tcPr>
            <w:tcW w:w="8708" w:type="dxa"/>
            <w:tcBorders>
              <w:top w:val="single" w:color="auto" w:sz="4" w:space="0"/>
              <w:left w:val="single" w:color="auto" w:sz="4" w:space="0"/>
              <w:bottom w:val="single" w:color="auto" w:sz="4" w:space="0"/>
              <w:right w:val="single" w:color="auto" w:sz="4" w:space="0"/>
            </w:tcBorders>
            <w:vAlign w:val="center"/>
          </w:tcPr>
          <w:p w14:paraId="6285199E">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1、采购代理服务费支付方式：本项目的招标代理服务费按以下收费标准向</w:t>
            </w:r>
            <w:r>
              <w:rPr>
                <w:rFonts w:hint="eastAsia" w:hAnsi="宋体" w:cs="宋体"/>
                <w:color w:val="000000" w:themeColor="text1"/>
                <w:sz w:val="21"/>
                <w:szCs w:val="21"/>
                <w:highlight w:val="none"/>
                <w:u w:val="single"/>
                <w14:textFill>
                  <w14:solidFill>
                    <w14:schemeClr w14:val="tx1"/>
                  </w14:solidFill>
                </w14:textFill>
              </w:rPr>
              <w:t>中标人</w:t>
            </w:r>
            <w:r>
              <w:rPr>
                <w:rFonts w:hint="eastAsia" w:hAnsi="宋体" w:cs="宋体"/>
                <w:color w:val="000000" w:themeColor="text1"/>
                <w:sz w:val="21"/>
                <w:szCs w:val="21"/>
                <w:highlight w:val="none"/>
                <w14:textFill>
                  <w14:solidFill>
                    <w14:schemeClr w14:val="tx1"/>
                  </w14:solidFill>
                </w14:textFill>
              </w:rPr>
              <w:t>收取，领取中标通知书前，</w:t>
            </w:r>
            <w:r>
              <w:rPr>
                <w:rFonts w:hint="eastAsia" w:hAnsi="宋体" w:cs="宋体"/>
                <w:color w:val="000000" w:themeColor="text1"/>
                <w:sz w:val="21"/>
                <w:szCs w:val="21"/>
                <w:highlight w:val="none"/>
                <w:u w:val="single"/>
                <w14:textFill>
                  <w14:solidFill>
                    <w14:schemeClr w14:val="tx1"/>
                  </w14:solidFill>
                </w14:textFill>
              </w:rPr>
              <w:t>中标人</w:t>
            </w:r>
            <w:r>
              <w:rPr>
                <w:rFonts w:hint="eastAsia" w:hAnsi="宋体" w:cs="宋体"/>
                <w:color w:val="000000" w:themeColor="text1"/>
                <w:sz w:val="21"/>
                <w:szCs w:val="21"/>
                <w:highlight w:val="none"/>
                <w14:textFill>
                  <w14:solidFill>
                    <w14:schemeClr w14:val="tx1"/>
                  </w14:solidFill>
                </w14:textFill>
              </w:rPr>
              <w:t>应向采购代理机构一次付清招标代理服务费，否则采购代理机构有权不予以办理。</w:t>
            </w:r>
          </w:p>
          <w:p w14:paraId="1CD35502">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2、采购代理服务费收取标准：</w:t>
            </w:r>
          </w:p>
          <w:p w14:paraId="2AF5DF87">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以中标金额为计费额，按本须知正文第</w:t>
            </w:r>
            <w:r>
              <w:rPr>
                <w:rFonts w:hAnsi="宋体" w:cs="宋体"/>
                <w:color w:val="000000" w:themeColor="text1"/>
                <w:sz w:val="21"/>
                <w:szCs w:val="21"/>
                <w:highlight w:val="none"/>
                <w14:textFill>
                  <w14:solidFill>
                    <w14:schemeClr w14:val="tx1"/>
                  </w14:solidFill>
                </w14:textFill>
              </w:rPr>
              <w:t>39</w:t>
            </w:r>
            <w:r>
              <w:rPr>
                <w:rFonts w:hint="eastAsia" w:hAnsi="宋体" w:cs="宋体"/>
                <w:color w:val="000000" w:themeColor="text1"/>
                <w:sz w:val="21"/>
                <w:szCs w:val="21"/>
                <w:highlight w:val="none"/>
                <w14:textFill>
                  <w14:solidFill>
                    <w14:schemeClr w14:val="tx1"/>
                  </w14:solidFill>
                </w14:textFill>
              </w:rPr>
              <w:t>.</w:t>
            </w:r>
            <w:r>
              <w:rPr>
                <w:rFonts w:hAnsi="宋体" w:cs="宋体"/>
                <w:color w:val="000000" w:themeColor="text1"/>
                <w:sz w:val="21"/>
                <w:szCs w:val="21"/>
                <w:highlight w:val="none"/>
                <w14:textFill>
                  <w14:solidFill>
                    <w14:schemeClr w14:val="tx1"/>
                  </w14:solidFill>
                </w14:textFill>
              </w:rPr>
              <w:t>2</w:t>
            </w:r>
            <w:r>
              <w:rPr>
                <w:rFonts w:hint="eastAsia" w:hAnsi="宋体" w:cs="宋体"/>
                <w:color w:val="000000" w:themeColor="text1"/>
                <w:sz w:val="21"/>
                <w:szCs w:val="21"/>
                <w:highlight w:val="none"/>
                <w14:textFill>
                  <w14:solidFill>
                    <w14:schemeClr w14:val="tx1"/>
                  </w14:solidFill>
                </w14:textFill>
              </w:rPr>
              <w:t>条规定的收费计算标准（服务招标）采用差额定率累进法计算出收费基准价格，采购代理服务费收费以（收费基准价格）收取。</w:t>
            </w:r>
          </w:p>
          <w:p w14:paraId="5C5AAA52">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3、采购代理服务费收取银行账户：</w:t>
            </w:r>
          </w:p>
          <w:p w14:paraId="7126FAA9">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cs="宋体"/>
                <w:b/>
                <w:bCs/>
                <w:color w:val="000000" w:themeColor="text1"/>
                <w:sz w:val="21"/>
                <w:szCs w:val="21"/>
                <w:highlight w:val="none"/>
                <w:u w:val="none"/>
                <w14:textFill>
                  <w14:solidFill>
                    <w14:schemeClr w14:val="tx1"/>
                  </w14:solidFill>
                </w14:textFill>
              </w:rPr>
            </w:pPr>
            <w:r>
              <w:rPr>
                <w:rFonts w:hint="eastAsia" w:hAnsi="宋体" w:cs="宋体"/>
                <w:b/>
                <w:bCs/>
                <w:color w:val="000000" w:themeColor="text1"/>
                <w:sz w:val="21"/>
                <w:szCs w:val="21"/>
                <w:highlight w:val="none"/>
                <w:u w:val="none"/>
                <w14:textFill>
                  <w14:solidFill>
                    <w14:schemeClr w14:val="tx1"/>
                  </w14:solidFill>
                </w14:textFill>
              </w:rPr>
              <w:t>开户名称：</w:t>
            </w:r>
            <w:r>
              <w:rPr>
                <w:rFonts w:hint="eastAsia" w:hAnsi="宋体" w:cs="宋体"/>
                <w:b/>
                <w:bCs/>
                <w:color w:val="000000" w:themeColor="text1"/>
                <w:sz w:val="21"/>
                <w:szCs w:val="21"/>
                <w:highlight w:val="none"/>
                <w:u w:val="none"/>
                <w:lang w:eastAsia="zh-CN"/>
                <w14:textFill>
                  <w14:solidFill>
                    <w14:schemeClr w14:val="tx1"/>
                  </w14:solidFill>
                </w14:textFill>
              </w:rPr>
              <w:t>广西翔正项目管理有限公司</w:t>
            </w:r>
          </w:p>
          <w:p w14:paraId="28607C5B">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hAnsi="宋体" w:cs="宋体"/>
                <w:b/>
                <w:bCs/>
                <w:color w:val="000000" w:themeColor="text1"/>
                <w:sz w:val="21"/>
                <w:szCs w:val="21"/>
                <w:highlight w:val="none"/>
                <w:u w:val="none"/>
                <w14:textFill>
                  <w14:solidFill>
                    <w14:schemeClr w14:val="tx1"/>
                  </w14:solidFill>
                </w14:textFill>
              </w:rPr>
            </w:pPr>
            <w:r>
              <w:rPr>
                <w:rFonts w:hint="eastAsia" w:hAnsi="宋体" w:cs="宋体"/>
                <w:b/>
                <w:bCs/>
                <w:color w:val="000000" w:themeColor="text1"/>
                <w:sz w:val="21"/>
                <w:szCs w:val="21"/>
                <w:highlight w:val="none"/>
                <w:u w:val="none"/>
                <w14:textFill>
                  <w14:solidFill>
                    <w14:schemeClr w14:val="tx1"/>
                  </w14:solidFill>
                </w14:textFill>
              </w:rPr>
              <w:t>开户银行：</w:t>
            </w:r>
            <w:r>
              <w:rPr>
                <w:rFonts w:hint="eastAsia" w:ascii="宋体" w:hAnsi="宋体" w:cs="Arial"/>
                <w:b/>
                <w:bCs/>
                <w:color w:val="000000" w:themeColor="text1"/>
                <w:sz w:val="21"/>
                <w:szCs w:val="21"/>
                <w:highlight w:val="none"/>
                <w:u w:val="none"/>
                <w:lang w:eastAsia="zh-CN"/>
                <w14:textFill>
                  <w14:solidFill>
                    <w14:schemeClr w14:val="tx1"/>
                  </w14:solidFill>
                </w14:textFill>
              </w:rPr>
              <w:t>中国工商银行南宁市建政支行</w:t>
            </w:r>
            <w:r>
              <w:rPr>
                <w:rFonts w:hint="eastAsia" w:hAnsi="宋体" w:cs="宋体"/>
                <w:b/>
                <w:bCs/>
                <w:color w:val="000000" w:themeColor="text1"/>
                <w:sz w:val="21"/>
                <w:szCs w:val="21"/>
                <w:highlight w:val="none"/>
                <w:u w:val="none"/>
                <w14:textFill>
                  <w14:solidFill>
                    <w14:schemeClr w14:val="tx1"/>
                  </w14:solidFill>
                </w14:textFill>
              </w:rPr>
              <w:t xml:space="preserve"> </w:t>
            </w:r>
          </w:p>
          <w:p w14:paraId="778F9410">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hAnsi="宋体" w:eastAsia="宋体" w:cs="宋体"/>
                <w:color w:val="000000" w:themeColor="text1"/>
                <w:sz w:val="21"/>
                <w:highlight w:val="none"/>
                <w:lang w:val="en-US" w:eastAsia="zh-CN"/>
                <w14:textFill>
                  <w14:solidFill>
                    <w14:schemeClr w14:val="tx1"/>
                  </w14:solidFill>
                </w14:textFill>
              </w:rPr>
            </w:pPr>
            <w:r>
              <w:rPr>
                <w:rFonts w:hint="eastAsia" w:hAnsi="宋体" w:cs="宋体"/>
                <w:b/>
                <w:bCs/>
                <w:color w:val="000000" w:themeColor="text1"/>
                <w:sz w:val="21"/>
                <w:szCs w:val="21"/>
                <w:highlight w:val="none"/>
                <w:u w:val="none"/>
                <w14:textFill>
                  <w14:solidFill>
                    <w14:schemeClr w14:val="tx1"/>
                  </w14:solidFill>
                </w14:textFill>
              </w:rPr>
              <w:t>银行账号：</w:t>
            </w:r>
            <w:r>
              <w:rPr>
                <w:rFonts w:hint="eastAsia" w:hAnsi="宋体" w:cs="宋体"/>
                <w:b/>
                <w:bCs/>
                <w:color w:val="000000" w:themeColor="text1"/>
                <w:sz w:val="21"/>
                <w:szCs w:val="21"/>
                <w:highlight w:val="none"/>
                <w:u w:val="none"/>
                <w:lang w:val="en-US" w:eastAsia="zh-CN"/>
                <w14:textFill>
                  <w14:solidFill>
                    <w14:schemeClr w14:val="tx1"/>
                  </w14:solidFill>
                </w14:textFill>
              </w:rPr>
              <w:t>2102107109300076992</w:t>
            </w:r>
          </w:p>
        </w:tc>
      </w:tr>
      <w:tr w14:paraId="489D1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BC3D297">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23C461B4">
            <w:pPr>
              <w:snapToGrid w:val="0"/>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解释：</w:t>
            </w:r>
            <w:r>
              <w:rPr>
                <w:rFonts w:ascii="宋体" w:hAnsi="宋体"/>
                <w:color w:val="000000" w:themeColor="text1"/>
                <w:szCs w:val="21"/>
                <w:highlight w:val="none"/>
                <w14:textFill>
                  <w14:solidFill>
                    <w14:schemeClr w14:val="tx1"/>
                  </w14:solidFill>
                </w14:textFill>
              </w:rPr>
              <w:t>构成本招标文件的各个组成文件应互为解释，互为说明；除招标文件中有特别规定外，仅适用于招标投标阶段的规定，按</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、招标公告、</w:t>
            </w:r>
            <w:r>
              <w:rPr>
                <w:rFonts w:hint="eastAsia" w:ascii="宋体" w:hAnsi="宋体"/>
                <w:color w:val="000000" w:themeColor="text1"/>
                <w:szCs w:val="21"/>
                <w:highlight w:val="none"/>
                <w14:textFill>
                  <w14:solidFill>
                    <w14:schemeClr w14:val="tx1"/>
                  </w14:solidFill>
                </w14:textFill>
              </w:rPr>
              <w:t>采购需求、</w:t>
            </w:r>
            <w:r>
              <w:rPr>
                <w:rFonts w:ascii="宋体" w:hAnsi="宋体"/>
                <w:color w:val="000000" w:themeColor="text1"/>
                <w:szCs w:val="21"/>
                <w:highlight w:val="none"/>
                <w14:textFill>
                  <w14:solidFill>
                    <w14:schemeClr w14:val="tx1"/>
                  </w14:solidFill>
                </w14:textFill>
              </w:rPr>
              <w:t>投标人须知、</w:t>
            </w:r>
            <w:r>
              <w:rPr>
                <w:rFonts w:hint="eastAsia" w:ascii="宋体" w:hAnsi="宋体"/>
                <w:color w:val="000000" w:themeColor="text1"/>
                <w:szCs w:val="21"/>
                <w:highlight w:val="none"/>
                <w14:textFill>
                  <w14:solidFill>
                    <w14:schemeClr w14:val="tx1"/>
                  </w14:solidFill>
                </w14:textFill>
              </w:rPr>
              <w:t>评标方法及评标标准</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拟签订的合同文本、</w:t>
            </w:r>
            <w:r>
              <w:rPr>
                <w:rFonts w:ascii="宋体" w:hAnsi="宋体"/>
                <w:color w:val="000000" w:themeColor="text1"/>
                <w:szCs w:val="21"/>
                <w:highlight w:val="none"/>
                <w14:textFill>
                  <w14:solidFill>
                    <w14:schemeClr w14:val="tx1"/>
                  </w14:solidFill>
                </w14:textFill>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与同步更新的招标文件不一致时以</w:t>
            </w:r>
            <w:r>
              <w:rPr>
                <w:rFonts w:hint="eastAsia" w:ascii="宋体" w:hAnsi="宋体"/>
                <w:color w:val="000000" w:themeColor="text1"/>
                <w:szCs w:val="21"/>
                <w:highlight w:val="none"/>
                <w14:textFill>
                  <w14:solidFill>
                    <w14:schemeClr w14:val="tx1"/>
                  </w14:solidFill>
                </w14:textFill>
              </w:rPr>
              <w:t>更正公告（澄清公告）</w:t>
            </w:r>
            <w:r>
              <w:rPr>
                <w:rFonts w:ascii="宋体" w:hAnsi="宋体"/>
                <w:color w:val="000000" w:themeColor="text1"/>
                <w:szCs w:val="21"/>
                <w:highlight w:val="none"/>
                <w14:textFill>
                  <w14:solidFill>
                    <w14:schemeClr w14:val="tx1"/>
                  </w14:solidFill>
                </w14:textFill>
              </w:rPr>
              <w:t>为准。按本款前述规定仍不能形成结论的，由</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w:t>
            </w:r>
            <w:r>
              <w:rPr>
                <w:rFonts w:hint="eastAsia" w:ascii="宋体" w:hAnsi="宋体"/>
                <w:color w:val="000000" w:themeColor="text1"/>
                <w:szCs w:val="21"/>
                <w:highlight w:val="none"/>
                <w14:textFill>
                  <w14:solidFill>
                    <w14:schemeClr w14:val="tx1"/>
                  </w14:solidFill>
                </w14:textFill>
              </w:rPr>
              <w:t>或者采购代理机构</w:t>
            </w:r>
            <w:r>
              <w:rPr>
                <w:rFonts w:ascii="宋体" w:hAnsi="宋体"/>
                <w:color w:val="000000" w:themeColor="text1"/>
                <w:szCs w:val="21"/>
                <w:highlight w:val="none"/>
                <w14:textFill>
                  <w14:solidFill>
                    <w14:schemeClr w14:val="tx1"/>
                  </w14:solidFill>
                </w14:textFill>
              </w:rPr>
              <w:t>负责解释。</w:t>
            </w:r>
          </w:p>
        </w:tc>
      </w:tr>
      <w:tr w14:paraId="29310B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B8BE097">
            <w:pPr>
              <w:snapToGrid w:val="0"/>
              <w:spacing w:line="400" w:lineRule="exact"/>
              <w:jc w:val="center"/>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6A4FD0DA">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1、本招标文件中描述投标人的“公章”是指根据我国对公章的管理规定，用投标人法定主体行为名称制作的印章</w:t>
            </w:r>
            <w:r>
              <w:rPr>
                <w:rFonts w:hint="eastAsia" w:hAnsi="宋体" w:cs="宋体"/>
                <w:color w:val="000000" w:themeColor="text1"/>
                <w:sz w:val="21"/>
                <w:highlight w:val="none"/>
                <w14:textFill>
                  <w14:solidFill>
                    <w14:schemeClr w14:val="tx1"/>
                  </w14:solidFill>
                </w14:textFill>
              </w:rPr>
              <w:t>（含电子印章）</w:t>
            </w:r>
            <w:r>
              <w:rPr>
                <w:rFonts w:hint="eastAsia" w:hAnsi="宋体" w:cs="宋体"/>
                <w:bCs/>
                <w:color w:val="000000" w:themeColor="text1"/>
                <w:sz w:val="21"/>
                <w:highlight w:val="none"/>
                <w14:textFill>
                  <w14:solidFill>
                    <w14:schemeClr w14:val="tx1"/>
                  </w14:solidFill>
                </w14:textFill>
              </w:rPr>
              <w:t>，除本招标文件有特殊规定外，投标人的财务章、部门章、分公司章、工会章、合同章、投标专用章、业务专用章及银行的转账章、现金收讫章、现金付讫章等其他形式印章均不能代替公章。</w:t>
            </w:r>
          </w:p>
          <w:p w14:paraId="780D988A">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2D02BA11">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3、本招标文件中描述投标人的“签字”是指投标人的法定代表人（负责人）或者委托代理人</w:t>
            </w:r>
            <w:r>
              <w:rPr>
                <w:rFonts w:hint="eastAsia" w:hAnsi="宋体" w:cs="宋体"/>
                <w:color w:val="000000" w:themeColor="text1"/>
                <w:sz w:val="21"/>
                <w:highlight w:val="none"/>
                <w14:textFill>
                  <w14:solidFill>
                    <w14:schemeClr w14:val="tx1"/>
                  </w14:solidFill>
                </w14:textFill>
              </w:rPr>
              <w:t>在文件规定签署处签名（含电子签名）的行为，私章、印鉴等其他形式均不能代替签字</w:t>
            </w:r>
            <w:r>
              <w:rPr>
                <w:rFonts w:hint="eastAsia" w:hAnsi="宋体" w:cs="宋体"/>
                <w:bCs/>
                <w:color w:val="000000" w:themeColor="text1"/>
                <w:sz w:val="21"/>
                <w:highlight w:val="none"/>
                <w14:textFill>
                  <w14:solidFill>
                    <w14:schemeClr w14:val="tx1"/>
                  </w14:solidFill>
                </w14:textFill>
              </w:rPr>
              <w:t>。</w:t>
            </w:r>
          </w:p>
          <w:p w14:paraId="03E79F8B">
            <w:pPr>
              <w:pStyle w:val="26"/>
              <w:snapToGrid w:val="0"/>
              <w:spacing w:line="400" w:lineRule="exact"/>
              <w:rPr>
                <w:rFonts w:hint="eastAsia" w:hAnsi="宋体" w:cs="宋体"/>
                <w:bCs/>
                <w:color w:val="000000" w:themeColor="text1"/>
                <w:sz w:val="21"/>
                <w:highlight w:val="none"/>
                <w14:textFill>
                  <w14:solidFill>
                    <w14:schemeClr w14:val="tx1"/>
                  </w14:solidFill>
                </w14:textFill>
              </w:rPr>
            </w:pPr>
            <w:r>
              <w:rPr>
                <w:rFonts w:hint="eastAsia" w:hAnsi="宋体" w:cs="宋体"/>
                <w:bCs/>
                <w:color w:val="000000" w:themeColor="text1"/>
                <w:sz w:val="21"/>
                <w:highlight w:val="none"/>
                <w14:textFill>
                  <w14:solidFill>
                    <w14:schemeClr w14:val="tx1"/>
                  </w14:solidFill>
                </w14:textFill>
              </w:rPr>
              <w:t>4、自然人投标的，招标文件规定盖公章处由自然人摁手指指印。</w:t>
            </w:r>
          </w:p>
          <w:p w14:paraId="6845411E">
            <w:pPr>
              <w:spacing w:line="4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5、本招标文件所称的“以上”“以下”“以内”“届满”，包括本数；所称的“不满”“超过”“以外”，不包括本数。</w:t>
            </w:r>
          </w:p>
          <w:p w14:paraId="2664EEE0">
            <w:pPr>
              <w:spacing w:line="400" w:lineRule="exact"/>
              <w:jc w:val="left"/>
              <w:rPr>
                <w:rFonts w:hint="eastAsia"/>
                <w:color w:val="000000" w:themeColor="text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6、本招标文件所称的“电子签名”，是指经</w:t>
            </w:r>
            <w:r>
              <w:rPr>
                <w:rFonts w:hint="eastAsia" w:ascii="宋体" w:hAnsi="宋体" w:cs="宋体"/>
                <w:bCs/>
                <w:color w:val="000000" w:themeColor="text1"/>
                <w:szCs w:val="21"/>
                <w:highlight w:val="none"/>
                <w:lang w:eastAsia="zh-CN"/>
                <w14:textFill>
                  <w14:solidFill>
                    <w14:schemeClr w14:val="tx1"/>
                  </w14:solidFill>
                </w14:textFill>
              </w:rPr>
              <w:t>广西政府采购 云平台</w:t>
            </w:r>
            <w:r>
              <w:rPr>
                <w:rFonts w:hint="eastAsia" w:ascii="宋体" w:hAnsi="宋体" w:cs="宋体"/>
                <w:bCs/>
                <w:color w:val="000000" w:themeColor="text1"/>
                <w:szCs w:val="21"/>
                <w:highlight w:val="none"/>
                <w14:textFill>
                  <w14:solidFill>
                    <w14:schemeClr w14:val="tx1"/>
                  </w14:solidFill>
                </w14:textFill>
              </w:rPr>
              <w:t>认可的CA认证的电子签名数据为表现形式的印章，可用于签署电子投标文件，电子印章与实物印章具有同等法律效力，不因其采用电子化表现形式而否定其法律效力。</w:t>
            </w:r>
          </w:p>
        </w:tc>
      </w:tr>
    </w:tbl>
    <w:p w14:paraId="64F76220">
      <w:pPr>
        <w:jc w:val="center"/>
        <w:rPr>
          <w:rFonts w:hint="eastAsia"/>
          <w:color w:val="000000" w:themeColor="text1"/>
          <w:sz w:val="36"/>
          <w:szCs w:val="36"/>
          <w:highlight w:val="none"/>
          <w14:textFill>
            <w14:solidFill>
              <w14:schemeClr w14:val="tx1"/>
            </w14:solidFill>
          </w14:textFill>
        </w:rPr>
      </w:pPr>
    </w:p>
    <w:p w14:paraId="23D4B9B8">
      <w:pPr>
        <w:keepNext w:val="0"/>
        <w:keepLines w:val="0"/>
        <w:pageBreakBefore w:val="0"/>
        <w:widowControl w:val="0"/>
        <w:kinsoku/>
        <w:wordWrap/>
        <w:overflowPunct/>
        <w:topLinePunct w:val="0"/>
        <w:autoSpaceDE/>
        <w:autoSpaceDN/>
        <w:bidi w:val="0"/>
        <w:adjustRightInd/>
        <w:snapToGrid/>
        <w:spacing w:line="416" w:lineRule="auto"/>
        <w:jc w:val="center"/>
        <w:textAlignment w:val="auto"/>
        <w:outlineLvl w:val="9"/>
        <w:rPr>
          <w:rFonts w:hint="eastAsia"/>
          <w:color w:val="000000" w:themeColor="text1"/>
          <w:highlight w:val="none"/>
          <w14:textFill>
            <w14:solidFill>
              <w14:schemeClr w14:val="tx1"/>
            </w14:solidFill>
          </w14:textFill>
        </w:rPr>
      </w:pPr>
      <w:bookmarkStart w:id="92" w:name="_13.1"/>
      <w:bookmarkEnd w:id="92"/>
      <w:bookmarkStart w:id="93" w:name="_17.1"/>
      <w:bookmarkEnd w:id="93"/>
      <w:bookmarkStart w:id="94" w:name="_8.1"/>
      <w:bookmarkEnd w:id="94"/>
      <w:bookmarkStart w:id="95" w:name="_9.2"/>
      <w:bookmarkEnd w:id="95"/>
      <w:bookmarkStart w:id="96" w:name="_13.2"/>
      <w:bookmarkEnd w:id="96"/>
      <w:bookmarkStart w:id="97" w:name="_25.3"/>
      <w:bookmarkEnd w:id="97"/>
      <w:bookmarkStart w:id="98" w:name="_29.2.2（2）"/>
      <w:bookmarkEnd w:id="98"/>
      <w:bookmarkStart w:id="99" w:name="_23"/>
      <w:bookmarkEnd w:id="99"/>
      <w:bookmarkStart w:id="100" w:name="_16.2"/>
      <w:bookmarkEnd w:id="100"/>
      <w:bookmarkStart w:id="101" w:name="_28.3"/>
      <w:bookmarkEnd w:id="101"/>
      <w:bookmarkStart w:id="102" w:name="_13.5"/>
      <w:bookmarkEnd w:id="102"/>
      <w:bookmarkStart w:id="103" w:name="_13.3"/>
      <w:bookmarkEnd w:id="103"/>
      <w:bookmarkStart w:id="104" w:name="_19.2"/>
      <w:bookmarkEnd w:id="104"/>
      <w:bookmarkStart w:id="105" w:name="_26"/>
      <w:bookmarkEnd w:id="105"/>
      <w:bookmarkStart w:id="106" w:name="_42"/>
      <w:bookmarkEnd w:id="106"/>
      <w:bookmarkStart w:id="107" w:name="_39.1"/>
      <w:bookmarkEnd w:id="107"/>
      <w:bookmarkStart w:id="108" w:name="_18"/>
      <w:bookmarkEnd w:id="108"/>
      <w:bookmarkStart w:id="109" w:name="_5"/>
      <w:bookmarkEnd w:id="109"/>
      <w:bookmarkStart w:id="110" w:name="_40.1"/>
      <w:bookmarkEnd w:id="110"/>
      <w:bookmarkStart w:id="111" w:name="_13.4"/>
      <w:bookmarkEnd w:id="111"/>
      <w:bookmarkStart w:id="112" w:name="_21.1"/>
      <w:bookmarkEnd w:id="112"/>
      <w:bookmarkStart w:id="113" w:name="_41"/>
      <w:bookmarkEnd w:id="113"/>
      <w:r>
        <w:rPr>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投标人须知正文</w:t>
      </w:r>
    </w:p>
    <w:p w14:paraId="4EED150A">
      <w:pPr>
        <w:keepNext w:val="0"/>
        <w:keepLines w:val="0"/>
        <w:pageBreakBefore w:val="0"/>
        <w:widowControl w:val="0"/>
        <w:kinsoku/>
        <w:wordWrap/>
        <w:overflowPunct/>
        <w:topLinePunct w:val="0"/>
        <w:autoSpaceDE/>
        <w:autoSpaceDN/>
        <w:bidi w:val="0"/>
        <w:adjustRightInd/>
        <w:snapToGrid/>
        <w:spacing w:line="416" w:lineRule="auto"/>
        <w:jc w:val="center"/>
        <w:textAlignment w:val="auto"/>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一、总  则</w:t>
      </w:r>
    </w:p>
    <w:p w14:paraId="6C10ACA6">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bookmarkStart w:id="114" w:name="_Toc254970668"/>
      <w:bookmarkStart w:id="115" w:name="_Toc254970527"/>
      <w:r>
        <w:rPr>
          <w:rFonts w:hint="eastAsia" w:ascii="黑体" w:hAnsi="黑体" w:eastAsia="黑体"/>
          <w:color w:val="000000" w:themeColor="text1"/>
          <w:sz w:val="24"/>
          <w:highlight w:val="none"/>
          <w14:textFill>
            <w14:solidFill>
              <w14:schemeClr w14:val="tx1"/>
            </w14:solidFill>
          </w14:textFill>
        </w:rPr>
        <w:t>1.适用范围</w:t>
      </w:r>
      <w:bookmarkEnd w:id="114"/>
      <w:bookmarkEnd w:id="115"/>
    </w:p>
    <w:p w14:paraId="5263B4B6">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0BC281F">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1.2本招标文件</w:t>
      </w:r>
      <w:r>
        <w:rPr>
          <w:rFonts w:hint="eastAsia" w:ascii="宋体" w:hAnsi="宋体" w:cs="宋体"/>
          <w:color w:val="000000" w:themeColor="text1"/>
          <w:spacing w:val="-6"/>
          <w:szCs w:val="21"/>
          <w:highlight w:val="none"/>
          <w14:textFill>
            <w14:solidFill>
              <w14:schemeClr w14:val="tx1"/>
            </w14:solidFill>
          </w14:textFill>
        </w:rPr>
        <w:t>适用于本项目的所有采购程序和环节（法律、法规另有规定的，从其规定）。</w:t>
      </w:r>
    </w:p>
    <w:p w14:paraId="6FBE8462">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黑体" w:hAnsi="黑体" w:eastAsia="黑体" w:cs="Times New Roman"/>
          <w:color w:val="000000" w:themeColor="text1"/>
          <w:sz w:val="24"/>
          <w:highlight w:val="none"/>
          <w14:textFill>
            <w14:solidFill>
              <w14:schemeClr w14:val="tx1"/>
            </w14:solidFill>
          </w14:textFill>
        </w:rPr>
      </w:pPr>
      <w:bookmarkStart w:id="116" w:name="_Toc254970669"/>
      <w:bookmarkStart w:id="117" w:name="_Toc254970528"/>
      <w:r>
        <w:rPr>
          <w:rFonts w:hint="eastAsia" w:ascii="黑体" w:hAnsi="黑体" w:eastAsia="黑体" w:cs="Times New Roman"/>
          <w:color w:val="000000" w:themeColor="text1"/>
          <w:sz w:val="24"/>
          <w:highlight w:val="none"/>
          <w14:textFill>
            <w14:solidFill>
              <w14:schemeClr w14:val="tx1"/>
            </w14:solidFill>
          </w14:textFill>
        </w:rPr>
        <w:t>2.定义</w:t>
      </w:r>
      <w:bookmarkEnd w:id="116"/>
      <w:bookmarkEnd w:id="117"/>
    </w:p>
    <w:p w14:paraId="7694723A">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2.1“采购人”是指依法进行政府采购的国家机关、事业单位、团体组织。</w:t>
      </w:r>
    </w:p>
    <w:p w14:paraId="748D0366">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2.2“采购代理机构”是指政府采购集中采购机构和集中采购机构以外的采购代理机构。</w:t>
      </w:r>
    </w:p>
    <w:p w14:paraId="42E0CEAE">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2.3“供应商”是指向采购人提供货物、工程或者服务的法人、其他组织或者自然人。</w:t>
      </w:r>
    </w:p>
    <w:p w14:paraId="57E886DB">
      <w:pPr>
        <w:pStyle w:val="9"/>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2.4“投标人”是指响应招标、参加投标竞争的法人、其他组织或者自然人。</w:t>
      </w:r>
    </w:p>
    <w:p w14:paraId="76968243">
      <w:pPr>
        <w:keepNext w:val="0"/>
        <w:keepLines w:val="0"/>
        <w:pageBreakBefore w:val="0"/>
        <w:widowControl w:val="0"/>
        <w:kinsoku/>
        <w:wordWrap/>
        <w:overflowPunct/>
        <w:topLinePunct w:val="0"/>
        <w:autoSpaceDE/>
        <w:autoSpaceDN/>
        <w:bidi w:val="0"/>
        <w:adjustRightInd/>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2.5“货物”是指各种形态和种类的物品，包括原材料、燃料、设备、产品等；“服务”是指除货物和工程以外的其他政府采购对象。</w:t>
      </w:r>
    </w:p>
    <w:p w14:paraId="61C144BD">
      <w:pPr>
        <w:keepNext w:val="0"/>
        <w:keepLines w:val="0"/>
        <w:pageBreakBefore w:val="0"/>
        <w:widowControl w:val="0"/>
        <w:kinsoku/>
        <w:wordWrap/>
        <w:overflowPunct/>
        <w:topLinePunct w:val="0"/>
        <w:autoSpaceDE/>
        <w:autoSpaceDN/>
        <w:bidi w:val="0"/>
        <w:adjustRightInd/>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2.6“售后服务” 是指商品出售以后所提供的各种服务，包含但不限于投标人须承担的备品备件、包装、运输、装卸、保险、货到就位以及安装、调试、培训、保修以及其他各种服务。</w:t>
      </w:r>
    </w:p>
    <w:p w14:paraId="61110BDE">
      <w:pPr>
        <w:keepNext w:val="0"/>
        <w:keepLines w:val="0"/>
        <w:pageBreakBefore w:val="0"/>
        <w:widowControl w:val="0"/>
        <w:kinsoku/>
        <w:wordWrap/>
        <w:overflowPunct/>
        <w:topLinePunct w:val="0"/>
        <w:autoSpaceDE/>
        <w:autoSpaceDN/>
        <w:bidi w:val="0"/>
        <w:adjustRightInd/>
        <w:spacing w:before="0" w:after="0" w:line="360" w:lineRule="auto"/>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2.7“书面形式”是指合同书、信件和数据电文（包括电报、电传、传真、电子数据交换和电子邮件）等可以有形地表现所载内容的形式。</w:t>
      </w:r>
    </w:p>
    <w:p w14:paraId="501342AE">
      <w:pPr>
        <w:keepNext w:val="0"/>
        <w:keepLines w:val="0"/>
        <w:pageBreakBefore w:val="0"/>
        <w:widowControl w:val="0"/>
        <w:kinsoku/>
        <w:wordWrap/>
        <w:overflowPunct/>
        <w:topLinePunct w:val="0"/>
        <w:autoSpaceDE/>
        <w:autoSpaceDN/>
        <w:bidi w:val="0"/>
        <w:adjustRightInd/>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2.8“实质性要求”是指招标文件中已经指明不满足则投标无效的条款，或者不能负偏离的条款，或者采购需求中带“▲”的条款。</w:t>
      </w:r>
    </w:p>
    <w:p w14:paraId="3DDDC78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2.9 </w:t>
      </w:r>
      <w:r>
        <w:rPr>
          <w:rFonts w:hint="eastAsia" w:ascii="宋体" w:hAnsi="宋体" w:cs="宋体"/>
          <w:color w:val="000000" w:themeColor="text1"/>
          <w:szCs w:val="21"/>
          <w:highlight w:val="none"/>
          <w14:textFill>
            <w14:solidFill>
              <w14:schemeClr w14:val="tx1"/>
            </w14:solidFill>
          </w14:textFill>
        </w:rPr>
        <w:t>“正偏离”，是指投标文件对招标文件“采购需求”中有关条款作出的响应优于条款要求并有利于采购人的情形。</w:t>
      </w:r>
    </w:p>
    <w:p w14:paraId="3C7B903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ascii="宋体" w:hAnsi="宋体" w:cs="宋体"/>
          <w:color w:val="000000" w:themeColor="text1"/>
          <w:szCs w:val="21"/>
          <w:highlight w:val="none"/>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2.10</w:t>
      </w:r>
      <w:r>
        <w:rPr>
          <w:rFonts w:hint="eastAsia" w:ascii="宋体" w:hAnsi="宋体" w:cs="宋体"/>
          <w:color w:val="000000" w:themeColor="text1"/>
          <w:szCs w:val="21"/>
          <w:highlight w:val="none"/>
          <w14:textFill>
            <w14:solidFill>
              <w14:schemeClr w14:val="tx1"/>
            </w14:solidFill>
          </w14:textFill>
        </w:rPr>
        <w:t>“负偏离”，是指投标文件对招标文件“采购需求”中有关条款作出的响应不满足条款要求，导致采购人要求不能得到满足的情形。</w:t>
      </w:r>
    </w:p>
    <w:p w14:paraId="15BA828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w:t>
      </w:r>
      <w:r>
        <w:rPr>
          <w:rFonts w:ascii="宋体" w:hAnsi="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“允许负偏离的条款”是指采购需求中的不属于“实质性要求”的条款。</w:t>
      </w:r>
      <w:bookmarkStart w:id="118" w:name="_Toc254970670"/>
      <w:bookmarkStart w:id="119" w:name="_Toc254970529"/>
    </w:p>
    <w:p w14:paraId="2A37D2ED">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3.</w:t>
      </w:r>
      <w:bookmarkEnd w:id="118"/>
      <w:bookmarkEnd w:id="119"/>
      <w:r>
        <w:rPr>
          <w:rFonts w:hint="eastAsia" w:ascii="黑体" w:hAnsi="黑体" w:eastAsia="黑体" w:cs="Times New Roman"/>
          <w:color w:val="000000" w:themeColor="text1"/>
          <w:sz w:val="24"/>
          <w:highlight w:val="none"/>
          <w14:textFill>
            <w14:solidFill>
              <w14:schemeClr w14:val="tx1"/>
            </w14:solidFill>
          </w14:textFill>
        </w:rPr>
        <w:t>投标人的资格要求</w:t>
      </w:r>
    </w:p>
    <w:p w14:paraId="5B63A59F">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投标人的资格要求详见“投标人须知前附表”。</w:t>
      </w:r>
    </w:p>
    <w:p w14:paraId="1F630721">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黑体" w:hAnsi="黑体" w:eastAsia="黑体" w:cs="Times New Roman"/>
          <w:color w:val="000000" w:themeColor="text1"/>
          <w:sz w:val="24"/>
          <w:highlight w:val="none"/>
          <w14:textFill>
            <w14:solidFill>
              <w14:schemeClr w14:val="tx1"/>
            </w14:solidFill>
          </w14:textFill>
        </w:rPr>
      </w:pPr>
      <w:bookmarkStart w:id="120" w:name="_Toc254970530"/>
      <w:bookmarkStart w:id="121" w:name="_Toc254970671"/>
      <w:r>
        <w:rPr>
          <w:rFonts w:hint="eastAsia" w:ascii="黑体" w:hAnsi="黑体" w:eastAsia="黑体" w:cs="Times New Roman"/>
          <w:color w:val="000000" w:themeColor="text1"/>
          <w:sz w:val="24"/>
          <w:highlight w:val="none"/>
          <w14:textFill>
            <w14:solidFill>
              <w14:schemeClr w14:val="tx1"/>
            </w14:solidFill>
          </w14:textFill>
        </w:rPr>
        <w:t>4.投标委托</w:t>
      </w:r>
      <w:bookmarkEnd w:id="120"/>
      <w:bookmarkEnd w:id="121"/>
    </w:p>
    <w:p w14:paraId="399A11F9">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投标人代表参加投标活动过程中必须携带个人有效身份证件。如投标人代表不是法定代表人，须持有授权委托书（按第六章要求格式填写）。</w:t>
      </w:r>
    </w:p>
    <w:p w14:paraId="565B7D0E">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黑体" w:hAnsi="黑体" w:eastAsia="黑体" w:cs="Times New Roman"/>
          <w:color w:val="000000" w:themeColor="text1"/>
          <w:sz w:val="24"/>
          <w:highlight w:val="none"/>
          <w14:textFill>
            <w14:solidFill>
              <w14:schemeClr w14:val="tx1"/>
            </w14:solidFill>
          </w14:textFill>
        </w:rPr>
      </w:pPr>
      <w:bookmarkStart w:id="122" w:name="_5.投标费用"/>
      <w:bookmarkEnd w:id="122"/>
      <w:bookmarkStart w:id="123" w:name="_Toc254970672"/>
      <w:bookmarkStart w:id="124" w:name="_Toc254970531"/>
      <w:r>
        <w:rPr>
          <w:rFonts w:hint="eastAsia" w:ascii="黑体" w:hAnsi="黑体" w:eastAsia="黑体" w:cs="Times New Roman"/>
          <w:color w:val="000000" w:themeColor="text1"/>
          <w:sz w:val="24"/>
          <w:highlight w:val="none"/>
          <w14:textFill>
            <w14:solidFill>
              <w14:schemeClr w14:val="tx1"/>
            </w14:solidFill>
          </w14:textFill>
        </w:rPr>
        <w:t>5.投标费用</w:t>
      </w:r>
      <w:bookmarkEnd w:id="123"/>
      <w:bookmarkEnd w:id="124"/>
    </w:p>
    <w:p w14:paraId="32337869">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投标费用：投标人应承担参与本次采购活动有关的所有费用，包括但不限于获取招标文件、勘查现场、编制和提交投标文件、参加澄清说明、签订合同等，不论投标结果如何，均应自行承担。</w:t>
      </w:r>
    </w:p>
    <w:p w14:paraId="4C9C9B10">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6.联合体投标</w:t>
      </w:r>
    </w:p>
    <w:p w14:paraId="59555775">
      <w:pPr>
        <w:snapToGrid w:val="0"/>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6.1本项目是否接受联合体投标，详见“投标人须知前附表”。</w:t>
      </w:r>
    </w:p>
    <w:p w14:paraId="0BDB5DF6">
      <w:pPr>
        <w:snapToGrid w:val="0"/>
        <w:spacing w:line="360" w:lineRule="auto"/>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6.2如接受联合体投标，联合体投标要求详见“投标人须知前附表”。</w:t>
      </w:r>
    </w:p>
    <w:p w14:paraId="0A0654B0">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7.转包与分包</w:t>
      </w:r>
    </w:p>
    <w:p w14:paraId="21A78A8A">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7.1本项目不允许转包。</w:t>
      </w:r>
    </w:p>
    <w:p w14:paraId="65AEA192">
      <w:pPr>
        <w:keepNext w:val="0"/>
        <w:keepLines w:val="0"/>
        <w:pageBreakBefore w:val="0"/>
        <w:widowControl w:val="0"/>
        <w:kinsoku/>
        <w:wordWrap/>
        <w:overflowPunct/>
        <w:topLinePunct w:val="0"/>
        <w:autoSpaceDE/>
        <w:autoSpaceDN/>
        <w:bidi w:val="0"/>
        <w:adjustRightInd/>
        <w:snapToGrid/>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EE794DE">
      <w:pPr>
        <w:keepNext w:val="0"/>
        <w:keepLines w:val="0"/>
        <w:pageBreakBefore w:val="0"/>
        <w:widowControl w:val="0"/>
        <w:kinsoku/>
        <w:wordWrap/>
        <w:overflowPunct/>
        <w:topLinePunct w:val="0"/>
        <w:autoSpaceDE/>
        <w:autoSpaceDN/>
        <w:bidi w:val="0"/>
        <w:adjustRightInd/>
        <w:snapToGrid/>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01D9A93">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黑体" w:hAnsi="黑体" w:eastAsia="黑体" w:cs="Times New Roman"/>
          <w:color w:val="000000" w:themeColor="text1"/>
          <w:sz w:val="24"/>
          <w:highlight w:val="none"/>
          <w14:textFill>
            <w14:solidFill>
              <w14:schemeClr w14:val="tx1"/>
            </w14:solidFill>
          </w14:textFill>
        </w:rPr>
      </w:pPr>
      <w:bookmarkStart w:id="125" w:name="_Toc254970532"/>
      <w:bookmarkStart w:id="126" w:name="_Toc254970673"/>
      <w:r>
        <w:rPr>
          <w:rFonts w:hint="eastAsia" w:ascii="黑体" w:hAnsi="黑体" w:eastAsia="黑体" w:cs="Times New Roman"/>
          <w:color w:val="000000" w:themeColor="text1"/>
          <w:sz w:val="24"/>
          <w:highlight w:val="none"/>
          <w14:textFill>
            <w14:solidFill>
              <w14:schemeClr w14:val="tx1"/>
            </w14:solidFill>
          </w14:textFill>
        </w:rPr>
        <w:t>8.特别说明</w:t>
      </w:r>
      <w:bookmarkEnd w:id="125"/>
      <w:bookmarkEnd w:id="126"/>
    </w:p>
    <w:p w14:paraId="759A55B6">
      <w:pPr>
        <w:keepNext w:val="0"/>
        <w:keepLines w:val="0"/>
        <w:pageBreakBefore w:val="0"/>
        <w:widowControl w:val="0"/>
        <w:kinsoku/>
        <w:wordWrap/>
        <w:overflowPunct/>
        <w:topLinePunct w:val="0"/>
        <w:autoSpaceDE/>
        <w:autoSpaceDN/>
        <w:bidi w:val="0"/>
        <w:adjustRightInd/>
        <w:snapToGrid/>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bookmarkStart w:id="127" w:name="_8.1提供相同品牌产品且通过资格审查、符合性审查的不同投标人参加同一合"/>
      <w:bookmarkEnd w:id="127"/>
      <w:r>
        <w:rPr>
          <w:rFonts w:hint="eastAsia" w:ascii="宋体" w:hAnsi="宋体"/>
          <w:b/>
          <w:color w:val="000000" w:themeColor="text1"/>
          <w:sz w:val="21"/>
          <w:szCs w:val="21"/>
          <w:highlight w:val="none"/>
          <w14:textFill>
            <w14:solidFill>
              <w14:schemeClr w14:val="tx1"/>
            </w14:solidFill>
          </w14:textFill>
        </w:rPr>
        <w:t>8.1如果本招标文件要求提供投标人或制造商的资格、信誉、荣誉、业绩与企业认证等材料的，资格、信誉、荣誉、业绩与企业认证等必须为投标人或者制造商所拥有或自身获得 。</w:t>
      </w:r>
    </w:p>
    <w:p w14:paraId="167A9B59">
      <w:pPr>
        <w:keepNext w:val="0"/>
        <w:keepLines w:val="0"/>
        <w:pageBreakBefore w:val="0"/>
        <w:widowControl w:val="0"/>
        <w:kinsoku/>
        <w:wordWrap/>
        <w:overflowPunct/>
        <w:topLinePunct w:val="0"/>
        <w:autoSpaceDE/>
        <w:autoSpaceDN/>
        <w:bidi w:val="0"/>
        <w:adjustRightInd/>
        <w:snapToGrid/>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3F49AB23">
      <w:pPr>
        <w:keepNext w:val="0"/>
        <w:keepLines w:val="0"/>
        <w:pageBreakBefore w:val="0"/>
        <w:widowControl w:val="0"/>
        <w:kinsoku/>
        <w:wordWrap/>
        <w:overflowPunct/>
        <w:topLinePunct w:val="0"/>
        <w:autoSpaceDE/>
        <w:autoSpaceDN/>
        <w:bidi w:val="0"/>
        <w:adjustRightInd/>
        <w:snapToGrid/>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8.3投标人在投标活动中提供任何虚假材料，将报监管部门查处；中标后发现的，中标人须依法赔偿采购人，且民事赔偿并不免除违法投标人的行政与刑事责任。</w:t>
      </w:r>
    </w:p>
    <w:p w14:paraId="686B6764">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黑体" w:hAnsi="黑体" w:eastAsia="黑体" w:cs="Times New Roman"/>
          <w:color w:val="000000" w:themeColor="text1"/>
          <w:sz w:val="24"/>
          <w:highlight w:val="none"/>
          <w14:textFill>
            <w14:solidFill>
              <w14:schemeClr w14:val="tx1"/>
            </w14:solidFill>
          </w14:textFill>
        </w:rPr>
      </w:pPr>
      <w:r>
        <w:rPr>
          <w:rFonts w:hint="eastAsia" w:ascii="黑体" w:hAnsi="黑体" w:eastAsia="黑体" w:cs="Times New Roman"/>
          <w:color w:val="000000" w:themeColor="text1"/>
          <w:sz w:val="24"/>
          <w:highlight w:val="none"/>
          <w14:textFill>
            <w14:solidFill>
              <w14:schemeClr w14:val="tx1"/>
            </w14:solidFill>
          </w14:textFill>
        </w:rPr>
        <w:t>9.回避与串通投标</w:t>
      </w:r>
    </w:p>
    <w:p w14:paraId="519819A3">
      <w:pPr>
        <w:keepNext w:val="0"/>
        <w:keepLines w:val="0"/>
        <w:pageBreakBefore w:val="0"/>
        <w:widowControl w:val="0"/>
        <w:kinsoku/>
        <w:wordWrap/>
        <w:overflowPunct/>
        <w:topLinePunct w:val="0"/>
        <w:autoSpaceDE/>
        <w:autoSpaceDN/>
        <w:bidi w:val="0"/>
        <w:adjustRightInd/>
        <w:spacing w:before="0" w:after="0" w:line="360" w:lineRule="auto"/>
        <w:ind w:firstLine="369" w:firstLineChars="175"/>
        <w:textAlignment w:val="auto"/>
        <w:outlineLvl w:val="9"/>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9</w:t>
      </w:r>
      <w:r>
        <w:rPr>
          <w:rFonts w:ascii="宋体" w:hAnsi="宋体"/>
          <w:b/>
          <w:color w:val="000000" w:themeColor="text1"/>
          <w:sz w:val="21"/>
          <w:szCs w:val="21"/>
          <w:highlight w:val="none"/>
          <w14:textFill>
            <w14:solidFill>
              <w14:schemeClr w14:val="tx1"/>
            </w14:solidFill>
          </w14:textFill>
        </w:rPr>
        <w:t>.1在政府采购活动中，采购人员及相关人员与</w:t>
      </w:r>
      <w:r>
        <w:rPr>
          <w:rFonts w:hint="eastAsia" w:ascii="宋体" w:hAnsi="宋体"/>
          <w:b/>
          <w:color w:val="000000" w:themeColor="text1"/>
          <w:sz w:val="21"/>
          <w:szCs w:val="21"/>
          <w:highlight w:val="none"/>
          <w14:textFill>
            <w14:solidFill>
              <w14:schemeClr w14:val="tx1"/>
            </w14:solidFill>
          </w14:textFill>
        </w:rPr>
        <w:t>供应商</w:t>
      </w:r>
      <w:r>
        <w:rPr>
          <w:rFonts w:ascii="宋体" w:hAnsi="宋体"/>
          <w:b/>
          <w:color w:val="000000" w:themeColor="text1"/>
          <w:sz w:val="21"/>
          <w:szCs w:val="21"/>
          <w:highlight w:val="none"/>
          <w14:textFill>
            <w14:solidFill>
              <w14:schemeClr w14:val="tx1"/>
            </w14:solidFill>
          </w14:textFill>
        </w:rPr>
        <w:t>有下列利害关系之一的，应当回避：</w:t>
      </w:r>
    </w:p>
    <w:p w14:paraId="1170FFA6">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1</w:t>
      </w:r>
      <w:r>
        <w:rPr>
          <w:rFonts w:hAnsi="宋体"/>
          <w:color w:val="000000" w:themeColor="text1"/>
          <w:kern w:val="2"/>
          <w:sz w:val="21"/>
          <w:highlight w:val="none"/>
          <w14:textFill>
            <w14:solidFill>
              <w14:schemeClr w14:val="tx1"/>
            </w14:solidFill>
          </w14:textFill>
        </w:rPr>
        <w:t>）参加采购活动前3年内与</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存在劳动关系；</w:t>
      </w:r>
    </w:p>
    <w:p w14:paraId="5E2B9C15">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2</w:t>
      </w:r>
      <w:r>
        <w:rPr>
          <w:rFonts w:hAnsi="宋体"/>
          <w:color w:val="000000" w:themeColor="text1"/>
          <w:kern w:val="2"/>
          <w:sz w:val="21"/>
          <w:highlight w:val="none"/>
          <w14:textFill>
            <w14:solidFill>
              <w14:schemeClr w14:val="tx1"/>
            </w14:solidFill>
          </w14:textFill>
        </w:rPr>
        <w:t>）参加采购活动前3年内担任</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的董事、监事；</w:t>
      </w:r>
    </w:p>
    <w:p w14:paraId="4904633A">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3</w:t>
      </w:r>
      <w:r>
        <w:rPr>
          <w:rFonts w:hAnsi="宋体"/>
          <w:color w:val="000000" w:themeColor="text1"/>
          <w:kern w:val="2"/>
          <w:sz w:val="21"/>
          <w:highlight w:val="none"/>
          <w14:textFill>
            <w14:solidFill>
              <w14:schemeClr w14:val="tx1"/>
            </w14:solidFill>
          </w14:textFill>
        </w:rPr>
        <w:t>）参加采购活动前3年内是</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的控股股东或者实际控制人；</w:t>
      </w:r>
    </w:p>
    <w:p w14:paraId="6C3F08D9">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4</w:t>
      </w:r>
      <w:r>
        <w:rPr>
          <w:rFonts w:hAnsi="宋体"/>
          <w:color w:val="000000" w:themeColor="text1"/>
          <w:kern w:val="2"/>
          <w:sz w:val="21"/>
          <w:highlight w:val="none"/>
          <w14:textFill>
            <w14:solidFill>
              <w14:schemeClr w14:val="tx1"/>
            </w14:solidFill>
          </w14:textFill>
        </w:rPr>
        <w:t>）与</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的法定代表人或者负责人有夫妻、直系血亲、三代以内旁系血亲或者近姻亲关系；</w:t>
      </w:r>
    </w:p>
    <w:p w14:paraId="156057C9">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Ansi="宋体"/>
          <w:color w:val="000000" w:themeColor="text1"/>
          <w:kern w:val="2"/>
          <w:sz w:val="21"/>
          <w:highlight w:val="none"/>
          <w14:textFill>
            <w14:solidFill>
              <w14:schemeClr w14:val="tx1"/>
            </w14:solidFill>
          </w14:textFill>
        </w:rPr>
      </w:pPr>
      <w:r>
        <w:rPr>
          <w:rFonts w:hAnsi="宋体"/>
          <w:color w:val="000000" w:themeColor="text1"/>
          <w:kern w:val="2"/>
          <w:sz w:val="21"/>
          <w:highlight w:val="none"/>
          <w14:textFill>
            <w14:solidFill>
              <w14:schemeClr w14:val="tx1"/>
            </w14:solidFill>
          </w14:textFill>
        </w:rPr>
        <w:t>（</w:t>
      </w:r>
      <w:r>
        <w:rPr>
          <w:rFonts w:hint="eastAsia" w:hAnsi="宋体"/>
          <w:color w:val="000000" w:themeColor="text1"/>
          <w:kern w:val="2"/>
          <w:sz w:val="21"/>
          <w:highlight w:val="none"/>
          <w14:textFill>
            <w14:solidFill>
              <w14:schemeClr w14:val="tx1"/>
            </w14:solidFill>
          </w14:textFill>
        </w:rPr>
        <w:t>5</w:t>
      </w:r>
      <w:r>
        <w:rPr>
          <w:rFonts w:hAnsi="宋体"/>
          <w:color w:val="000000" w:themeColor="text1"/>
          <w:kern w:val="2"/>
          <w:sz w:val="21"/>
          <w:highlight w:val="none"/>
          <w14:textFill>
            <w14:solidFill>
              <w14:schemeClr w14:val="tx1"/>
            </w14:solidFill>
          </w14:textFill>
        </w:rPr>
        <w:t>）与</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有其他可能影响政府采购活动公平、公正进行的关系。</w:t>
      </w:r>
    </w:p>
    <w:p w14:paraId="6ADFD47F">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认为采购人员及相关人员与其他</w:t>
      </w:r>
      <w:r>
        <w:rPr>
          <w:rFonts w:hint="eastAsia" w:hAnsi="宋体"/>
          <w:color w:val="000000" w:themeColor="text1"/>
          <w:kern w:val="2"/>
          <w:sz w:val="21"/>
          <w:highlight w:val="none"/>
          <w14:textFill>
            <w14:solidFill>
              <w14:schemeClr w14:val="tx1"/>
            </w14:solidFill>
          </w14:textFill>
        </w:rPr>
        <w:t>供应商</w:t>
      </w:r>
      <w:r>
        <w:rPr>
          <w:rFonts w:hAnsi="宋体"/>
          <w:color w:val="000000" w:themeColor="text1"/>
          <w:kern w:val="2"/>
          <w:sz w:val="21"/>
          <w:highlight w:val="none"/>
          <w14:textFill>
            <w14:solidFill>
              <w14:schemeClr w14:val="tx1"/>
            </w14:solidFill>
          </w14:textFill>
        </w:rPr>
        <w:t>有利害关系的，可以向采购人或者采购代理机构书面提出回避申请，并说明理由。采购人或者采购代理机构应当及时询问被申请回避人员，有利害关系的被申请回避人员应当回避。</w:t>
      </w:r>
    </w:p>
    <w:p w14:paraId="5AE51CCF">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9.2</w:t>
      </w:r>
      <w:r>
        <w:rPr>
          <w:rFonts w:hint="eastAsia" w:ascii="宋体" w:hAnsi="宋体"/>
          <w:color w:val="000000" w:themeColor="text1"/>
          <w:sz w:val="21"/>
          <w:szCs w:val="21"/>
          <w:highlight w:val="none"/>
          <w14:textFill>
            <w14:solidFill>
              <w14:schemeClr w14:val="tx1"/>
            </w14:solidFill>
          </w14:textFill>
        </w:rPr>
        <w:t>有下列情形之一的视为投标人相互串通投标，投标文件将被视为无效：</w:t>
      </w:r>
    </w:p>
    <w:p w14:paraId="7A46473C">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2" w:firstLineChars="200"/>
        <w:textAlignment w:val="auto"/>
        <w:outlineLvl w:val="9"/>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 xml:space="preserve">（1）不同投标人的投标文件由同一单位或者个人编制； </w:t>
      </w:r>
    </w:p>
    <w:p w14:paraId="3A597210">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2" w:firstLineChars="200"/>
        <w:textAlignment w:val="auto"/>
        <w:outlineLvl w:val="9"/>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（2）不同投标人委托同一单位或者个人办理投标事宜；</w:t>
      </w:r>
    </w:p>
    <w:p w14:paraId="495EF1BE">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2" w:firstLineChars="200"/>
        <w:textAlignment w:val="auto"/>
        <w:outlineLvl w:val="9"/>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（3）不同的投标人的投标文件载明的项目管理员为同一个人；</w:t>
      </w:r>
    </w:p>
    <w:p w14:paraId="5A143E5E">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2" w:firstLineChars="200"/>
        <w:textAlignment w:val="auto"/>
        <w:outlineLvl w:val="9"/>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（4）不同投标人的投标文件异常一致或者投标报价呈规律性差异；</w:t>
      </w:r>
    </w:p>
    <w:p w14:paraId="68610221">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2" w:firstLineChars="200"/>
        <w:textAlignment w:val="auto"/>
        <w:outlineLvl w:val="9"/>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（5）不同投标人的投标文件相互混装；</w:t>
      </w:r>
    </w:p>
    <w:p w14:paraId="11449253">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2" w:firstLineChars="200"/>
        <w:textAlignment w:val="auto"/>
        <w:outlineLvl w:val="9"/>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（6）不同投标人的投标保证金从同一单位或者个人账户转出。</w:t>
      </w:r>
    </w:p>
    <w:p w14:paraId="54152B33">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ascii="宋体" w:hAnsi="宋体"/>
          <w:b/>
          <w:color w:val="000000" w:themeColor="text1"/>
          <w:sz w:val="21"/>
          <w:szCs w:val="21"/>
          <w:highlight w:val="none"/>
          <w14:textFill>
            <w14:solidFill>
              <w14:schemeClr w14:val="tx1"/>
            </w14:solidFill>
          </w14:textFill>
        </w:rPr>
        <w:t>9.3</w:t>
      </w:r>
      <w:r>
        <w:rPr>
          <w:rFonts w:hint="eastAsia" w:ascii="宋体" w:hAnsi="宋体"/>
          <w:b/>
          <w:color w:val="000000" w:themeColor="text1"/>
          <w:sz w:val="21"/>
          <w:szCs w:val="21"/>
          <w:highlight w:val="none"/>
          <w14:textFill>
            <w14:solidFill>
              <w14:schemeClr w14:val="tx1"/>
            </w14:solidFill>
          </w14:textFill>
        </w:rPr>
        <w:t>供应商有下列情形之一的，属于恶意串通行为，将报同级监督管理部门：</w:t>
      </w:r>
    </w:p>
    <w:p w14:paraId="58B7A7AF">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（1）供应商直接或者间接从采购人或者采购代理机构处获得其他供应商的相关信息并修改其投标文件或者响应文件；</w:t>
      </w:r>
    </w:p>
    <w:p w14:paraId="67A50E72">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（2）供应商按照采购人或者采购代理机构的授意撤换、修改投标文件或者响应文件；</w:t>
      </w:r>
    </w:p>
    <w:p w14:paraId="4D9DFF6C">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（3）供应商之间协商报价、技术方案等投标文件或者响应文件的实质性内容；</w:t>
      </w:r>
    </w:p>
    <w:p w14:paraId="5E6FECC8">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（4）属于同一集团、协会、商会等组织成员的供应商按照该组织要求协同参加政府采购活动；</w:t>
      </w:r>
    </w:p>
    <w:p w14:paraId="591DE540">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p>
    <w:p w14:paraId="126F4737">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int="eastAsia"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（6）供应商之间商定部分供应商放弃参加政府采购活动或者放弃中标；</w:t>
      </w:r>
    </w:p>
    <w:p w14:paraId="6B2DEFD7">
      <w:pPr>
        <w:pStyle w:val="26"/>
        <w:keepNext w:val="0"/>
        <w:keepLines w:val="0"/>
        <w:pageBreakBefore w:val="0"/>
        <w:widowControl w:val="0"/>
        <w:kinsoku/>
        <w:wordWrap/>
        <w:overflowPunct/>
        <w:topLinePunct w:val="0"/>
        <w:autoSpaceDE/>
        <w:autoSpaceDN/>
        <w:bidi w:val="0"/>
        <w:adjustRightInd/>
        <w:snapToGrid w:val="0"/>
        <w:spacing w:line="360" w:lineRule="auto"/>
        <w:ind w:left="2" w:leftChars="1" w:firstLine="420" w:firstLineChars="200"/>
        <w:textAlignment w:val="auto"/>
        <w:outlineLvl w:val="9"/>
        <w:rPr>
          <w:rFonts w:hAnsi="宋体"/>
          <w:color w:val="000000" w:themeColor="text1"/>
          <w:kern w:val="2"/>
          <w:sz w:val="21"/>
          <w:highlight w:val="none"/>
          <w14:textFill>
            <w14:solidFill>
              <w14:schemeClr w14:val="tx1"/>
            </w14:solidFill>
          </w14:textFill>
        </w:rPr>
      </w:pPr>
      <w:r>
        <w:rPr>
          <w:rFonts w:hint="eastAsia" w:hAnsi="宋体"/>
          <w:color w:val="000000" w:themeColor="text1"/>
          <w:kern w:val="2"/>
          <w:sz w:val="21"/>
          <w:highlight w:val="none"/>
          <w14:textFill>
            <w14:solidFill>
              <w14:schemeClr w14:val="tx1"/>
            </w14:solidFill>
          </w14:textFill>
        </w:rPr>
        <w:t>（7）供应商与采购人或者采购代理机构之间、供应商相互之间，为谋求特定供应商中标或者排斥其他供应商的其他串通行为。</w:t>
      </w:r>
    </w:p>
    <w:p w14:paraId="6FA2E156">
      <w:pPr>
        <w:pStyle w:val="26"/>
        <w:snapToGrid w:val="0"/>
        <w:spacing w:line="360" w:lineRule="auto"/>
        <w:ind w:left="2" w:leftChars="1" w:firstLine="422" w:firstLineChars="200"/>
        <w:rPr>
          <w:rFonts w:hint="eastAsia" w:hAnsi="宋体"/>
          <w:b/>
          <w:color w:val="000000" w:themeColor="text1"/>
          <w:kern w:val="2"/>
          <w:sz w:val="21"/>
          <w:highlight w:val="none"/>
          <w14:textFill>
            <w14:solidFill>
              <w14:schemeClr w14:val="tx1"/>
            </w14:solidFill>
          </w14:textFill>
        </w:rPr>
      </w:pPr>
    </w:p>
    <w:p w14:paraId="0F7B1F6D">
      <w:pPr>
        <w:keepNext w:val="0"/>
        <w:keepLines w:val="0"/>
        <w:pageBreakBefore w:val="0"/>
        <w:widowControl w:val="0"/>
        <w:kinsoku/>
        <w:wordWrap/>
        <w:overflowPunct/>
        <w:topLinePunct w:val="0"/>
        <w:autoSpaceDE/>
        <w:autoSpaceDN/>
        <w:bidi w:val="0"/>
        <w:adjustRightInd/>
        <w:snapToGrid/>
        <w:spacing w:line="416" w:lineRule="auto"/>
        <w:jc w:val="center"/>
        <w:textAlignment w:val="auto"/>
        <w:outlineLvl w:val="9"/>
        <w:rPr>
          <w:rFonts w:hint="eastAsia"/>
          <w:b/>
          <w:bCs/>
          <w:color w:val="000000" w:themeColor="text1"/>
          <w:sz w:val="36"/>
          <w:szCs w:val="36"/>
          <w:highlight w:val="none"/>
          <w14:textFill>
            <w14:solidFill>
              <w14:schemeClr w14:val="tx1"/>
            </w14:solidFill>
          </w14:textFill>
        </w:rPr>
      </w:pPr>
      <w:bookmarkStart w:id="128" w:name="_Toc254970675"/>
      <w:bookmarkStart w:id="129" w:name="_Toc254970534"/>
      <w:r>
        <w:rPr>
          <w:rFonts w:hint="eastAsia"/>
          <w:b/>
          <w:bCs/>
          <w:color w:val="000000" w:themeColor="text1"/>
          <w:sz w:val="36"/>
          <w:szCs w:val="36"/>
          <w:highlight w:val="none"/>
          <w14:textFill>
            <w14:solidFill>
              <w14:schemeClr w14:val="tx1"/>
            </w14:solidFill>
          </w14:textFill>
        </w:rPr>
        <w:t>二、招标文件</w:t>
      </w:r>
      <w:bookmarkEnd w:id="128"/>
      <w:bookmarkEnd w:id="129"/>
    </w:p>
    <w:p w14:paraId="497D65D9">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10.招标文件的组成</w:t>
      </w:r>
    </w:p>
    <w:p w14:paraId="58CBFFA5">
      <w:pPr>
        <w:pageBreakBefore w:val="0"/>
        <w:widowControl w:val="0"/>
        <w:kinsoku/>
        <w:wordWrap/>
        <w:overflowPunct/>
        <w:topLinePunct w:val="0"/>
        <w:bidi w:val="0"/>
        <w:snapToGrid w:val="0"/>
        <w:spacing w:line="360" w:lineRule="auto"/>
        <w:ind w:firstLine="420"/>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（1）招标公告；</w:t>
      </w:r>
    </w:p>
    <w:p w14:paraId="054D172F">
      <w:pPr>
        <w:pageBreakBefore w:val="0"/>
        <w:widowControl w:val="0"/>
        <w:kinsoku/>
        <w:wordWrap/>
        <w:overflowPunct/>
        <w:topLinePunct w:val="0"/>
        <w:bidi w:val="0"/>
        <w:snapToGrid w:val="0"/>
        <w:spacing w:line="360" w:lineRule="auto"/>
        <w:ind w:firstLine="420"/>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（2）采购需求； </w:t>
      </w:r>
    </w:p>
    <w:p w14:paraId="2F0F0788">
      <w:pPr>
        <w:pageBreakBefore w:val="0"/>
        <w:widowControl w:val="0"/>
        <w:kinsoku/>
        <w:wordWrap/>
        <w:overflowPunct/>
        <w:topLinePunct w:val="0"/>
        <w:bidi w:val="0"/>
        <w:snapToGrid w:val="0"/>
        <w:spacing w:line="360" w:lineRule="auto"/>
        <w:ind w:firstLine="420"/>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（3）投标人须知；</w:t>
      </w:r>
    </w:p>
    <w:p w14:paraId="2D0BEFE2">
      <w:pPr>
        <w:pageBreakBefore w:val="0"/>
        <w:widowControl w:val="0"/>
        <w:kinsoku/>
        <w:wordWrap/>
        <w:overflowPunct/>
        <w:topLinePunct w:val="0"/>
        <w:bidi w:val="0"/>
        <w:snapToGrid w:val="0"/>
        <w:spacing w:line="360" w:lineRule="auto"/>
        <w:ind w:firstLine="420"/>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（4）评标方法及评标标准；</w:t>
      </w:r>
    </w:p>
    <w:p w14:paraId="0BFD6EAA">
      <w:pPr>
        <w:pageBreakBefore w:val="0"/>
        <w:widowControl w:val="0"/>
        <w:kinsoku/>
        <w:wordWrap/>
        <w:overflowPunct/>
        <w:topLinePunct w:val="0"/>
        <w:bidi w:val="0"/>
        <w:snapToGrid w:val="0"/>
        <w:spacing w:line="360" w:lineRule="auto"/>
        <w:ind w:firstLine="420"/>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（5）拟签订的合同文本；</w:t>
      </w:r>
    </w:p>
    <w:p w14:paraId="0476F11C">
      <w:pPr>
        <w:pageBreakBefore w:val="0"/>
        <w:widowControl w:val="0"/>
        <w:kinsoku/>
        <w:wordWrap/>
        <w:overflowPunct/>
        <w:topLinePunct w:val="0"/>
        <w:bidi w:val="0"/>
        <w:snapToGrid w:val="0"/>
        <w:spacing w:line="360" w:lineRule="auto"/>
        <w:ind w:firstLine="420"/>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（6）投标文件格式。</w:t>
      </w:r>
    </w:p>
    <w:p w14:paraId="54CA7DEC">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11.招标文件的澄清、修改 、现场考察和答疑会</w:t>
      </w:r>
    </w:p>
    <w:p w14:paraId="48F37C2E">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11.1投标人应认真审阅本招标文件，如有疑问，或发现其中有误或有要求不合理的，应在招标公告公告期限届满之日起7个工作日内以纸质书面形式要求采购人或采购代理机构对招标文件予以澄清；否则，由此产生的后果由投标人自行负责。</w:t>
      </w:r>
    </w:p>
    <w:p w14:paraId="3697663B">
      <w:pPr>
        <w:keepNext w:val="0"/>
        <w:keepLines w:val="0"/>
        <w:pageBreakBefore w:val="0"/>
        <w:widowControl w:val="0"/>
        <w:numPr>
          <w:ilvl w:val="0"/>
          <w:numId w:val="0"/>
        </w:numPr>
        <w:kinsoku/>
        <w:wordWrap/>
        <w:overflowPunct/>
        <w:topLinePunct w:val="0"/>
        <w:bidi w:val="0"/>
        <w:spacing w:before="0" w:after="0" w:line="360" w:lineRule="auto"/>
        <w:ind w:firstLine="422" w:firstLineChars="200"/>
        <w:textAlignment w:val="auto"/>
        <w:outlineLvl w:val="9"/>
        <w:rPr>
          <w:rFonts w:hint="eastAsia" w:ascii="宋体" w:hAnsi="宋体"/>
          <w:color w:val="000000" w:themeColor="text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w:t>
      </w:r>
    </w:p>
    <w:p w14:paraId="5448FDDF">
      <w:pPr>
        <w:pageBreakBefore w:val="0"/>
        <w:widowControl w:val="0"/>
        <w:kinsoku/>
        <w:wordWrap/>
        <w:overflowPunct/>
        <w:topLinePunct w:val="0"/>
        <w:bidi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11.3采购人和采购代理机构可以视采购具体情况，变更投标截止时间和开标时间，并</w:t>
      </w:r>
      <w:r>
        <w:rPr>
          <w:rFonts w:hint="eastAsia" w:ascii="宋体" w:hAnsi="宋体"/>
          <w:color w:val="000000" w:themeColor="text1"/>
          <w:szCs w:val="21"/>
          <w:highlight w:val="none"/>
          <w14:textFill>
            <w14:solidFill>
              <w14:schemeClr w14:val="tx1"/>
            </w14:solidFill>
          </w14:textFill>
        </w:rPr>
        <w:t>在原公告发布媒体上发布更正公告。</w:t>
      </w:r>
    </w:p>
    <w:p w14:paraId="1FC49CEE">
      <w:pPr>
        <w:pageBreakBefore w:val="0"/>
        <w:widowControl w:val="0"/>
        <w:kinsoku/>
        <w:wordWrap/>
        <w:overflowPunct/>
        <w:topLinePunct w:val="0"/>
        <w:bidi w:val="0"/>
        <w:spacing w:line="360" w:lineRule="auto"/>
        <w:ind w:firstLine="420" w:firstLineChars="200"/>
        <w:textAlignment w:val="auto"/>
        <w:outlineLvl w:val="9"/>
        <w:rPr>
          <w:rFonts w:hint="eastAsia"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11.4招标文件澄清、答复、修改、补充的内容为招标文件的组成部分。</w:t>
      </w:r>
      <w:r>
        <w:rPr>
          <w:rFonts w:hint="eastAsia" w:ascii="宋体" w:hAnsi="宋体"/>
          <w:b/>
          <w:color w:val="000000" w:themeColor="text1"/>
          <w:szCs w:val="21"/>
          <w:highlight w:val="none"/>
          <w14:textFill>
            <w14:solidFill>
              <w14:schemeClr w14:val="tx1"/>
            </w14:solidFill>
          </w14:textFill>
        </w:rPr>
        <w:t>当招标文件与招标文件的澄清、答复、修改、补充通知就同一内容的表述不一致时，以最后发出的文件为准。</w:t>
      </w:r>
    </w:p>
    <w:p w14:paraId="3DDE5573">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1.</w:t>
      </w:r>
      <w:bookmarkStart w:id="130" w:name="_Hlk53134511"/>
      <w:r>
        <w:rPr>
          <w:rFonts w:hint="eastAsia" w:hAnsi="宋体"/>
          <w:color w:val="000000" w:themeColor="text1"/>
          <w:sz w:val="21"/>
          <w:highlight w:val="none"/>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p w14:paraId="422AFF49">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p>
    <w:bookmarkEnd w:id="130"/>
    <w:p w14:paraId="26DD1520">
      <w:pPr>
        <w:keepNext w:val="0"/>
        <w:keepLines w:val="0"/>
        <w:pageBreakBefore w:val="0"/>
        <w:widowControl w:val="0"/>
        <w:kinsoku/>
        <w:wordWrap/>
        <w:overflowPunct/>
        <w:topLinePunct w:val="0"/>
        <w:bidi w:val="0"/>
        <w:jc w:val="center"/>
        <w:textAlignment w:val="auto"/>
        <w:outlineLvl w:val="9"/>
        <w:rPr>
          <w:rFonts w:hint="eastAsia"/>
          <w:color w:val="000000" w:themeColor="text1"/>
          <w:highlight w:val="none"/>
          <w14:textFill>
            <w14:solidFill>
              <w14:schemeClr w14:val="tx1"/>
            </w14:solidFill>
          </w14:textFill>
        </w:rPr>
      </w:pPr>
      <w:bookmarkStart w:id="131" w:name="_Toc254970535"/>
      <w:bookmarkStart w:id="132" w:name="_Toc254970676"/>
      <w:r>
        <w:rPr>
          <w:rFonts w:hint="eastAsia"/>
          <w:color w:val="000000" w:themeColor="text1"/>
          <w:highlight w:val="none"/>
          <w14:textFill>
            <w14:solidFill>
              <w14:schemeClr w14:val="tx1"/>
            </w14:solidFill>
          </w14:textFill>
        </w:rPr>
        <w:t>三、投标文件的编制</w:t>
      </w:r>
      <w:bookmarkEnd w:id="131"/>
      <w:bookmarkEnd w:id="132"/>
    </w:p>
    <w:p w14:paraId="5E66ECA8">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bookmarkStart w:id="133" w:name="_Toc254970536"/>
      <w:bookmarkStart w:id="134" w:name="_Toc254970677"/>
      <w:r>
        <w:rPr>
          <w:rFonts w:hint="eastAsia" w:ascii="黑体" w:hAnsi="黑体" w:eastAsia="黑体"/>
          <w:color w:val="000000" w:themeColor="text1"/>
          <w:sz w:val="24"/>
          <w:highlight w:val="none"/>
          <w14:textFill>
            <w14:solidFill>
              <w14:schemeClr w14:val="tx1"/>
            </w14:solidFill>
          </w14:textFill>
        </w:rPr>
        <w:t>12.投标文件的编制原则</w:t>
      </w:r>
    </w:p>
    <w:p w14:paraId="13CCB1BF">
      <w:pPr>
        <w:pageBreakBefore w:val="0"/>
        <w:widowControl w:val="0"/>
        <w:kinsoku/>
        <w:wordWrap/>
        <w:overflowPunct/>
        <w:topLinePunct w:val="0"/>
        <w:bidi w:val="0"/>
        <w:snapToGrid w:val="0"/>
        <w:spacing w:line="360" w:lineRule="auto"/>
        <w:ind w:firstLine="420"/>
        <w:jc w:val="left"/>
        <w:textAlignment w:val="auto"/>
        <w:outlineLvl w:val="9"/>
        <w:rPr>
          <w:rFonts w:hint="eastAsia" w:ascii="宋体" w:hAnsi="宋体" w:cs="Courier New"/>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4FED0028">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13.投标文件的组成</w:t>
      </w:r>
      <w:bookmarkEnd w:id="133"/>
      <w:bookmarkEnd w:id="134"/>
    </w:p>
    <w:p w14:paraId="42974BC0">
      <w:pPr>
        <w:pageBreakBefore w:val="0"/>
        <w:widowControl w:val="0"/>
        <w:kinsoku/>
        <w:wordWrap/>
        <w:overflowPunct/>
        <w:topLinePunct w:val="0"/>
        <w:bidi w:val="0"/>
        <w:snapToGrid w:val="0"/>
        <w:spacing w:line="360" w:lineRule="auto"/>
        <w:ind w:firstLine="420" w:firstLineChars="200"/>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3.1</w:t>
      </w:r>
      <w:r>
        <w:rPr>
          <w:rFonts w:hint="eastAsia" w:ascii="宋体" w:hAnsi="宋体"/>
          <w:color w:val="000000" w:themeColor="text1"/>
          <w:szCs w:val="21"/>
          <w:highlight w:val="none"/>
          <w14:textFill>
            <w14:solidFill>
              <w14:schemeClr w14:val="tx1"/>
            </w14:solidFill>
          </w14:textFill>
        </w:rPr>
        <w:t>投标文件由报价文件、资格证明文件、商务文件、技术文件四部分组成。</w:t>
      </w:r>
    </w:p>
    <w:p w14:paraId="1D2723B0">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bookmarkStart w:id="135" w:name="_13.1报价文件:_具体材料见“投标人须知前附表”。"/>
      <w:bookmarkEnd w:id="135"/>
      <w:r>
        <w:rPr>
          <w:rFonts w:hint="eastAsia" w:ascii="宋体" w:hAnsi="宋体"/>
          <w:b/>
          <w:color w:val="000000" w:themeColor="text1"/>
          <w:sz w:val="21"/>
          <w:szCs w:val="21"/>
          <w:highlight w:val="none"/>
          <w14:textFill>
            <w14:solidFill>
              <w14:schemeClr w14:val="tx1"/>
            </w14:solidFill>
          </w14:textFill>
        </w:rPr>
        <w:t>（1）报价文件：</w:t>
      </w:r>
      <w:r>
        <w:rPr>
          <w:rFonts w:ascii="宋体" w:hAnsi="宋体"/>
          <w:b/>
          <w:color w:val="000000" w:themeColor="text1"/>
          <w:sz w:val="21"/>
          <w:szCs w:val="21"/>
          <w:highlight w:val="none"/>
          <w14:textFill>
            <w14:solidFill>
              <w14:schemeClr w14:val="tx1"/>
            </w14:solidFill>
          </w14:textFill>
        </w:rPr>
        <w:t xml:space="preserve"> 具体材料见“投标人须知前附表”</w:t>
      </w:r>
      <w:r>
        <w:rPr>
          <w:rFonts w:hint="eastAsia" w:ascii="宋体" w:hAnsi="宋体"/>
          <w:b/>
          <w:color w:val="000000" w:themeColor="text1"/>
          <w:sz w:val="21"/>
          <w:szCs w:val="21"/>
          <w:highlight w:val="none"/>
          <w14:textFill>
            <w14:solidFill>
              <w14:schemeClr w14:val="tx1"/>
            </w14:solidFill>
          </w14:textFill>
        </w:rPr>
        <w:t>。</w:t>
      </w:r>
    </w:p>
    <w:p w14:paraId="073380CC">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bookmarkStart w:id="136" w:name="_13.2资格证明文件：具体材料见“投标人须知前附表”。"/>
      <w:bookmarkEnd w:id="136"/>
      <w:r>
        <w:rPr>
          <w:rFonts w:hint="eastAsia" w:ascii="宋体" w:hAnsi="宋体"/>
          <w:b/>
          <w:color w:val="000000" w:themeColor="text1"/>
          <w:sz w:val="21"/>
          <w:szCs w:val="21"/>
          <w:highlight w:val="none"/>
          <w14:textFill>
            <w14:solidFill>
              <w14:schemeClr w14:val="tx1"/>
            </w14:solidFill>
          </w14:textFill>
        </w:rPr>
        <w:t>（</w:t>
      </w:r>
      <w:r>
        <w:rPr>
          <w:rFonts w:ascii="宋体" w:hAnsi="宋体"/>
          <w:b/>
          <w:color w:val="000000" w:themeColor="text1"/>
          <w:sz w:val="21"/>
          <w:szCs w:val="21"/>
          <w:highlight w:val="none"/>
          <w14:textFill>
            <w14:solidFill>
              <w14:schemeClr w14:val="tx1"/>
            </w14:solidFill>
          </w14:textFill>
        </w:rPr>
        <w:t>2</w:t>
      </w:r>
      <w:r>
        <w:rPr>
          <w:rFonts w:hint="eastAsia" w:ascii="宋体" w:hAnsi="宋体"/>
          <w:b/>
          <w:color w:val="000000" w:themeColor="text1"/>
          <w:sz w:val="21"/>
          <w:szCs w:val="21"/>
          <w:highlight w:val="none"/>
          <w14:textFill>
            <w14:solidFill>
              <w14:schemeClr w14:val="tx1"/>
            </w14:solidFill>
          </w14:textFill>
        </w:rPr>
        <w:t>）资格证明文件：</w:t>
      </w:r>
      <w:r>
        <w:rPr>
          <w:rFonts w:ascii="宋体" w:hAnsi="宋体"/>
          <w:b/>
          <w:color w:val="000000" w:themeColor="text1"/>
          <w:sz w:val="21"/>
          <w:szCs w:val="21"/>
          <w:highlight w:val="none"/>
          <w14:textFill>
            <w14:solidFill>
              <w14:schemeClr w14:val="tx1"/>
            </w14:solidFill>
          </w14:textFill>
        </w:rPr>
        <w:t>具体材料见“投标人须知前附表”</w:t>
      </w:r>
      <w:r>
        <w:rPr>
          <w:rFonts w:hint="eastAsia" w:ascii="宋体" w:hAnsi="宋体"/>
          <w:b/>
          <w:color w:val="000000" w:themeColor="text1"/>
          <w:sz w:val="21"/>
          <w:szCs w:val="21"/>
          <w:highlight w:val="none"/>
          <w14:textFill>
            <w14:solidFill>
              <w14:schemeClr w14:val="tx1"/>
            </w14:solidFill>
          </w14:textFill>
        </w:rPr>
        <w:t>。</w:t>
      </w:r>
    </w:p>
    <w:p w14:paraId="3D0D5496">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bookmarkStart w:id="137" w:name="_13.3商务文件:_具体材料见“投标人须知前附表”。"/>
      <w:bookmarkEnd w:id="137"/>
      <w:r>
        <w:rPr>
          <w:rFonts w:hint="eastAsia" w:ascii="宋体" w:hAnsi="宋体"/>
          <w:b/>
          <w:color w:val="000000" w:themeColor="text1"/>
          <w:sz w:val="21"/>
          <w:szCs w:val="21"/>
          <w:highlight w:val="none"/>
          <w14:textFill>
            <w14:solidFill>
              <w14:schemeClr w14:val="tx1"/>
            </w14:solidFill>
          </w14:textFill>
        </w:rPr>
        <w:t>（</w:t>
      </w:r>
      <w:r>
        <w:rPr>
          <w:rFonts w:ascii="宋体" w:hAnsi="宋体"/>
          <w:b/>
          <w:color w:val="000000" w:themeColor="text1"/>
          <w:sz w:val="21"/>
          <w:szCs w:val="21"/>
          <w:highlight w:val="none"/>
          <w14:textFill>
            <w14:solidFill>
              <w14:schemeClr w14:val="tx1"/>
            </w14:solidFill>
          </w14:textFill>
        </w:rPr>
        <w:t>3</w:t>
      </w:r>
      <w:r>
        <w:rPr>
          <w:rFonts w:hint="eastAsia" w:ascii="宋体" w:hAnsi="宋体"/>
          <w:b/>
          <w:color w:val="000000" w:themeColor="text1"/>
          <w:sz w:val="21"/>
          <w:szCs w:val="21"/>
          <w:highlight w:val="none"/>
          <w14:textFill>
            <w14:solidFill>
              <w14:schemeClr w14:val="tx1"/>
            </w14:solidFill>
          </w14:textFill>
        </w:rPr>
        <w:t>）商务文件：</w:t>
      </w:r>
      <w:r>
        <w:rPr>
          <w:rFonts w:ascii="宋体" w:hAnsi="宋体"/>
          <w:b/>
          <w:color w:val="000000" w:themeColor="text1"/>
          <w:sz w:val="21"/>
          <w:szCs w:val="21"/>
          <w:highlight w:val="none"/>
          <w14:textFill>
            <w14:solidFill>
              <w14:schemeClr w14:val="tx1"/>
            </w14:solidFill>
          </w14:textFill>
        </w:rPr>
        <w:t>具体材料见“投标人须知前附表”</w:t>
      </w:r>
      <w:r>
        <w:rPr>
          <w:rFonts w:hint="eastAsia" w:ascii="宋体" w:hAnsi="宋体"/>
          <w:b/>
          <w:color w:val="000000" w:themeColor="text1"/>
          <w:sz w:val="21"/>
          <w:szCs w:val="21"/>
          <w:highlight w:val="none"/>
          <w14:textFill>
            <w14:solidFill>
              <w14:schemeClr w14:val="tx1"/>
            </w14:solidFill>
          </w14:textFill>
        </w:rPr>
        <w:t>。</w:t>
      </w:r>
    </w:p>
    <w:p w14:paraId="115683FE">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bookmarkStart w:id="138" w:name="_13.4技术文件：具体材料见“投标人须知前附表”。"/>
      <w:bookmarkEnd w:id="138"/>
      <w:r>
        <w:rPr>
          <w:rFonts w:hint="eastAsia" w:ascii="宋体" w:hAnsi="宋体"/>
          <w:b/>
          <w:color w:val="000000" w:themeColor="text1"/>
          <w:sz w:val="21"/>
          <w:szCs w:val="21"/>
          <w:highlight w:val="none"/>
          <w14:textFill>
            <w14:solidFill>
              <w14:schemeClr w14:val="tx1"/>
            </w14:solidFill>
          </w14:textFill>
        </w:rPr>
        <w:t>（</w:t>
      </w:r>
      <w:r>
        <w:rPr>
          <w:rFonts w:ascii="宋体" w:hAnsi="宋体"/>
          <w:b/>
          <w:color w:val="000000" w:themeColor="text1"/>
          <w:sz w:val="21"/>
          <w:szCs w:val="21"/>
          <w:highlight w:val="none"/>
          <w14:textFill>
            <w14:solidFill>
              <w14:schemeClr w14:val="tx1"/>
            </w14:solidFill>
          </w14:textFill>
        </w:rPr>
        <w:t>4</w:t>
      </w:r>
      <w:r>
        <w:rPr>
          <w:rFonts w:hint="eastAsia" w:ascii="宋体" w:hAnsi="宋体"/>
          <w:b/>
          <w:color w:val="000000" w:themeColor="text1"/>
          <w:sz w:val="21"/>
          <w:szCs w:val="21"/>
          <w:highlight w:val="none"/>
          <w14:textFill>
            <w14:solidFill>
              <w14:schemeClr w14:val="tx1"/>
            </w14:solidFill>
          </w14:textFill>
        </w:rPr>
        <w:t>）技术文件：</w:t>
      </w:r>
      <w:r>
        <w:rPr>
          <w:rFonts w:ascii="宋体" w:hAnsi="宋体"/>
          <w:b/>
          <w:color w:val="000000" w:themeColor="text1"/>
          <w:sz w:val="21"/>
          <w:szCs w:val="21"/>
          <w:highlight w:val="none"/>
          <w14:textFill>
            <w14:solidFill>
              <w14:schemeClr w14:val="tx1"/>
            </w14:solidFill>
          </w14:textFill>
        </w:rPr>
        <w:t>具体材料见“投标人须知前附表”</w:t>
      </w:r>
      <w:r>
        <w:rPr>
          <w:rFonts w:hint="eastAsia" w:ascii="宋体" w:hAnsi="宋体"/>
          <w:b/>
          <w:color w:val="000000" w:themeColor="text1"/>
          <w:sz w:val="21"/>
          <w:szCs w:val="21"/>
          <w:highlight w:val="none"/>
          <w14:textFill>
            <w14:solidFill>
              <w14:schemeClr w14:val="tx1"/>
            </w14:solidFill>
          </w14:textFill>
        </w:rPr>
        <w:t>。</w:t>
      </w:r>
      <w:bookmarkStart w:id="139" w:name="_13.5投标文件电子版：具体材料见“投标人须知前附表”。"/>
      <w:bookmarkEnd w:id="139"/>
    </w:p>
    <w:p w14:paraId="42373F40">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bookmarkStart w:id="140" w:name="_Toc254970678"/>
      <w:bookmarkStart w:id="141" w:name="_Toc254970537"/>
      <w:r>
        <w:rPr>
          <w:rFonts w:hint="eastAsia" w:ascii="黑体" w:hAnsi="黑体" w:eastAsia="黑体"/>
          <w:color w:val="000000" w:themeColor="text1"/>
          <w:sz w:val="24"/>
          <w:highlight w:val="none"/>
          <w14:textFill>
            <w14:solidFill>
              <w14:schemeClr w14:val="tx1"/>
            </w14:solidFill>
          </w14:textFill>
        </w:rPr>
        <w:t>14.投标文件的语言及计量</w:t>
      </w:r>
      <w:bookmarkEnd w:id="140"/>
      <w:bookmarkEnd w:id="141"/>
    </w:p>
    <w:p w14:paraId="6728E747">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14.1语言文字</w:t>
      </w:r>
    </w:p>
    <w:p w14:paraId="32F80EF2">
      <w:pPr>
        <w:keepNext w:val="0"/>
        <w:keepLines w:val="0"/>
        <w:pageBreakBefore w:val="0"/>
        <w:widowControl w:val="0"/>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0CBFDD5">
      <w:pPr>
        <w:keepNext w:val="0"/>
        <w:keepLines w:val="0"/>
        <w:pageBreakBefore w:val="0"/>
        <w:widowControl w:val="0"/>
        <w:kinsoku/>
        <w:wordWrap/>
        <w:overflowPunct/>
        <w:topLinePunct w:val="0"/>
        <w:bidi w:val="0"/>
        <w:spacing w:before="0" w:after="0" w:line="360" w:lineRule="auto"/>
        <w:ind w:firstLine="422" w:firstLineChars="200"/>
        <w:textAlignment w:val="auto"/>
        <w:outlineLvl w:val="9"/>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14.2投标计量单位</w:t>
      </w:r>
    </w:p>
    <w:p w14:paraId="6B175DD2">
      <w:pPr>
        <w:keepNext w:val="0"/>
        <w:keepLines w:val="0"/>
        <w:pageBreakBefore w:val="0"/>
        <w:widowControl w:val="0"/>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招标文件已有明确规定的，使用招标文件规定的计量单位；招标文件没有规定的，应采用中华人民共和国法定计量单位，货币种类为人民币，否则视同未响应。</w:t>
      </w:r>
    </w:p>
    <w:p w14:paraId="7F57AF48">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15.投标的风险</w:t>
      </w:r>
    </w:p>
    <w:p w14:paraId="134454F9">
      <w:pPr>
        <w:pStyle w:val="26"/>
        <w:pageBreakBefore w:val="0"/>
        <w:widowControl w:val="0"/>
        <w:kinsoku/>
        <w:wordWrap/>
        <w:overflowPunct/>
        <w:topLinePunct w:val="0"/>
        <w:bidi w:val="0"/>
        <w:snapToGrid w:val="0"/>
        <w:spacing w:line="360" w:lineRule="auto"/>
        <w:ind w:firstLine="420" w:firstLineChars="200"/>
        <w:jc w:val="left"/>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投标人没有按照招标文件要求提供全部资料，或者投标人没有对招标文件作出实质性响应是投标人的风险，并可能导致其投标被拒绝。</w:t>
      </w:r>
    </w:p>
    <w:p w14:paraId="6FEE3677">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bookmarkStart w:id="142" w:name="_Toc254970538"/>
      <w:bookmarkStart w:id="143" w:name="_Toc254970679"/>
      <w:r>
        <w:rPr>
          <w:rFonts w:hint="eastAsia" w:ascii="黑体" w:hAnsi="黑体" w:eastAsia="黑体"/>
          <w:color w:val="000000" w:themeColor="text1"/>
          <w:sz w:val="24"/>
          <w:highlight w:val="none"/>
          <w14:textFill>
            <w14:solidFill>
              <w14:schemeClr w14:val="tx1"/>
            </w14:solidFill>
          </w14:textFill>
        </w:rPr>
        <w:t>16.投标报价</w:t>
      </w:r>
      <w:bookmarkEnd w:id="142"/>
      <w:bookmarkEnd w:id="143"/>
    </w:p>
    <w:p w14:paraId="53FB2528">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16.1投标报价应按“第六章　投标文件格式”中“开标一览表”格式填写。</w:t>
      </w:r>
    </w:p>
    <w:p w14:paraId="243B86E4">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bookmarkStart w:id="144" w:name="_16.2投标报价具体定义见投标人须知前附表。"/>
      <w:bookmarkEnd w:id="144"/>
      <w:r>
        <w:rPr>
          <w:rFonts w:hint="eastAsia" w:ascii="宋体" w:hAnsi="宋体"/>
          <w:b/>
          <w:color w:val="000000" w:themeColor="text1"/>
          <w:sz w:val="21"/>
          <w:szCs w:val="21"/>
          <w:highlight w:val="none"/>
          <w14:textFill>
            <w14:solidFill>
              <w14:schemeClr w14:val="tx1"/>
            </w14:solidFill>
          </w14:textFill>
        </w:rPr>
        <w:t>16.2投标报价具体包括内容详见“投标人须知前附表”。</w:t>
      </w:r>
    </w:p>
    <w:p w14:paraId="5FBD293A">
      <w:pPr>
        <w:keepNext w:val="0"/>
        <w:keepLines w:val="0"/>
        <w:pageBreakBefore w:val="0"/>
        <w:widowControl w:val="0"/>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16.3投标人必须就所投每个分标的全部内容分别作完整唯一总价报价，不得存在漏项报价；投标人必须就所投分标的单项内容作唯一报价。</w:t>
      </w:r>
    </w:p>
    <w:p w14:paraId="3DD6ABFC">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17.投标有效期</w:t>
      </w:r>
    </w:p>
    <w:p w14:paraId="5259A8F3">
      <w:pPr>
        <w:keepNext w:val="0"/>
        <w:keepLines w:val="0"/>
        <w:pageBreakBefore w:val="0"/>
        <w:widowControl w:val="0"/>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bookmarkStart w:id="145" w:name="_17.1投标有效期应按“投标人须知中的前附表”规定的期限。"/>
      <w:bookmarkEnd w:id="145"/>
      <w:r>
        <w:rPr>
          <w:rFonts w:hint="eastAsia" w:ascii="宋体" w:hAnsi="宋体"/>
          <w:b/>
          <w:color w:val="000000" w:themeColor="text1"/>
          <w:sz w:val="2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2939A430">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17.2</w:t>
      </w:r>
      <w:bookmarkStart w:id="146" w:name="_Toc254970681"/>
      <w:bookmarkStart w:id="147" w:name="_Toc254970540"/>
      <w:r>
        <w:rPr>
          <w:rFonts w:hint="eastAsia" w:ascii="宋体" w:hAnsi="宋体"/>
          <w:b/>
          <w:color w:val="000000" w:themeColor="text1"/>
          <w:sz w:val="21"/>
          <w:szCs w:val="21"/>
          <w:highlight w:val="none"/>
          <w14:textFill>
            <w14:solidFill>
              <w14:schemeClr w14:val="tx1"/>
            </w14:solidFill>
          </w14:textFill>
        </w:rPr>
        <w:t xml:space="preserve"> 投标有效期应按规定的期限作出承诺，具体详见“投标人须知前附表”。</w:t>
      </w:r>
    </w:p>
    <w:p w14:paraId="340345D9">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17.3投标人的投标文件在投标有效期内均保持有效。</w:t>
      </w:r>
      <w:bookmarkEnd w:id="146"/>
      <w:bookmarkEnd w:id="147"/>
    </w:p>
    <w:p w14:paraId="11AA92DF">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bookmarkStart w:id="148" w:name="_18.投标保证金"/>
      <w:bookmarkEnd w:id="148"/>
      <w:bookmarkStart w:id="149" w:name="_Toc254970541"/>
      <w:bookmarkStart w:id="150" w:name="_Toc254970682"/>
      <w:r>
        <w:rPr>
          <w:rFonts w:hint="eastAsia" w:ascii="黑体" w:hAnsi="黑体" w:eastAsia="黑体"/>
          <w:color w:val="000000" w:themeColor="text1"/>
          <w:sz w:val="24"/>
          <w:highlight w:val="none"/>
          <w14:textFill>
            <w14:solidFill>
              <w14:schemeClr w14:val="tx1"/>
            </w14:solidFill>
          </w14:textFill>
        </w:rPr>
        <w:t>18.投标保证金</w:t>
      </w:r>
      <w:bookmarkEnd w:id="149"/>
      <w:bookmarkEnd w:id="150"/>
    </w:p>
    <w:p w14:paraId="740334E1">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18.1投标人须按“投标人须知前附表” 的规定提交投标保证金。</w:t>
      </w:r>
    </w:p>
    <w:p w14:paraId="3B401DB8">
      <w:pPr>
        <w:keepNext w:val="0"/>
        <w:keepLines w:val="0"/>
        <w:pageBreakBefore w:val="0"/>
        <w:widowControl w:val="0"/>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18.2投标保证金的退还</w:t>
      </w:r>
    </w:p>
    <w:p w14:paraId="53A99373">
      <w:pPr>
        <w:keepNext w:val="0"/>
        <w:keepLines w:val="0"/>
        <w:pageBreakBefore w:val="0"/>
        <w:widowControl w:val="0"/>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未中标人的投标保证金自中标通知书发出之日起</w:t>
      </w:r>
      <w:r>
        <w:rPr>
          <w:rFonts w:hint="eastAsia" w:ascii="宋体" w:hAnsi="宋体"/>
          <w:b/>
          <w:color w:val="000000" w:themeColor="text1"/>
          <w:sz w:val="21"/>
          <w:szCs w:val="21"/>
          <w:highlight w:val="none"/>
          <w:lang w:val="en-US" w:eastAsia="zh-CN"/>
          <w14:textFill>
            <w14:solidFill>
              <w14:schemeClr w14:val="tx1"/>
            </w14:solidFill>
          </w14:textFill>
        </w:rPr>
        <w:t>5</w:t>
      </w:r>
      <w:r>
        <w:rPr>
          <w:rFonts w:hint="eastAsia" w:ascii="宋体" w:hAnsi="宋体"/>
          <w:b/>
          <w:color w:val="000000" w:themeColor="text1"/>
          <w:sz w:val="21"/>
          <w:szCs w:val="21"/>
          <w:highlight w:val="none"/>
          <w14:textFill>
            <w14:solidFill>
              <w14:schemeClr w14:val="tx1"/>
            </w14:solidFill>
          </w14:textFill>
        </w:rPr>
        <w:t>个工作日内退还；中标人的投标保证金自政府采购合同签订之日起</w:t>
      </w:r>
      <w:r>
        <w:rPr>
          <w:rFonts w:hint="eastAsia" w:ascii="宋体" w:hAnsi="宋体"/>
          <w:b/>
          <w:color w:val="000000" w:themeColor="text1"/>
          <w:sz w:val="21"/>
          <w:szCs w:val="21"/>
          <w:highlight w:val="none"/>
          <w:lang w:val="en-US" w:eastAsia="zh-CN"/>
          <w14:textFill>
            <w14:solidFill>
              <w14:schemeClr w14:val="tx1"/>
            </w14:solidFill>
          </w14:textFill>
        </w:rPr>
        <w:t>5</w:t>
      </w:r>
      <w:r>
        <w:rPr>
          <w:rFonts w:hint="eastAsia" w:ascii="宋体" w:hAnsi="宋体"/>
          <w:b/>
          <w:color w:val="000000" w:themeColor="text1"/>
          <w:sz w:val="21"/>
          <w:szCs w:val="21"/>
          <w:highlight w:val="none"/>
          <w14:textFill>
            <w14:solidFill>
              <w14:schemeClr w14:val="tx1"/>
            </w14:solidFill>
          </w14:textFill>
        </w:rPr>
        <w:t xml:space="preserve">个工作日内退还。 </w:t>
      </w:r>
    </w:p>
    <w:p w14:paraId="03627E93">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18.3除逾期退还投标保证金和终止招标的情形以外，投标保证金不计息。</w:t>
      </w:r>
    </w:p>
    <w:p w14:paraId="1B4D7E92">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18.4投标人有下列情形之一的，投标保证金将不予退还： </w:t>
      </w:r>
    </w:p>
    <w:p w14:paraId="6A681CBB">
      <w:pPr>
        <w:pageBreakBefore w:val="0"/>
        <w:widowControl w:val="0"/>
        <w:kinsoku/>
        <w:wordWrap/>
        <w:overflowPunct/>
        <w:topLinePunct w:val="0"/>
        <w:bidi w:val="0"/>
        <w:snapToGrid w:val="0"/>
        <w:spacing w:line="360" w:lineRule="auto"/>
        <w:ind w:firstLine="411" w:firstLineChars="196"/>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（1）投标人在投标有效期内撤销投标文件的；</w:t>
      </w:r>
    </w:p>
    <w:p w14:paraId="527B7125">
      <w:pPr>
        <w:pageBreakBefore w:val="0"/>
        <w:widowControl w:val="0"/>
        <w:kinsoku/>
        <w:wordWrap/>
        <w:overflowPunct/>
        <w:topLinePunct w:val="0"/>
        <w:bidi w:val="0"/>
        <w:snapToGrid w:val="0"/>
        <w:spacing w:line="360" w:lineRule="auto"/>
        <w:ind w:firstLine="411" w:firstLineChars="196"/>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（2）未按规定提交履约保证金的；</w:t>
      </w:r>
    </w:p>
    <w:p w14:paraId="793B3CD5">
      <w:pPr>
        <w:pageBreakBefore w:val="0"/>
        <w:widowControl w:val="0"/>
        <w:kinsoku/>
        <w:wordWrap/>
        <w:overflowPunct/>
        <w:topLinePunct w:val="0"/>
        <w:bidi w:val="0"/>
        <w:snapToGrid w:val="0"/>
        <w:spacing w:line="360" w:lineRule="auto"/>
        <w:ind w:firstLine="411" w:firstLineChars="196"/>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（3）投标人在投标过程中弄虚作假，提供虚假材料的；</w:t>
      </w:r>
    </w:p>
    <w:p w14:paraId="138C55A6">
      <w:pPr>
        <w:pageBreakBefore w:val="0"/>
        <w:widowControl w:val="0"/>
        <w:kinsoku/>
        <w:wordWrap/>
        <w:overflowPunct/>
        <w:topLinePunct w:val="0"/>
        <w:bidi w:val="0"/>
        <w:snapToGrid w:val="0"/>
        <w:spacing w:line="360" w:lineRule="auto"/>
        <w:ind w:firstLine="411" w:firstLineChars="196"/>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（4）中标人无正当理由不与采购人签订合同的；</w:t>
      </w:r>
    </w:p>
    <w:p w14:paraId="35395FF5">
      <w:pPr>
        <w:pageBreakBefore w:val="0"/>
        <w:widowControl w:val="0"/>
        <w:kinsoku/>
        <w:wordWrap/>
        <w:overflowPunct/>
        <w:topLinePunct w:val="0"/>
        <w:bidi w:val="0"/>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（5）投标人出现本章第9.2、9.3情形的；</w:t>
      </w:r>
    </w:p>
    <w:p w14:paraId="1E023107">
      <w:pPr>
        <w:pageBreakBefore w:val="0"/>
        <w:widowControl w:val="0"/>
        <w:kinsoku/>
        <w:wordWrap/>
        <w:overflowPunct/>
        <w:topLinePunct w:val="0"/>
        <w:bidi w:val="0"/>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法律法规规定的其他情形</w:t>
      </w:r>
      <w:r>
        <w:rPr>
          <w:rFonts w:hint="eastAsia" w:ascii="宋体" w:hAnsi="宋体"/>
          <w:color w:val="000000" w:themeColor="text1"/>
          <w:szCs w:val="21"/>
          <w:highlight w:val="none"/>
          <w14:textFill>
            <w14:solidFill>
              <w14:schemeClr w14:val="tx1"/>
            </w14:solidFill>
          </w14:textFill>
        </w:rPr>
        <w:t>。</w:t>
      </w:r>
    </w:p>
    <w:p w14:paraId="3C10696D">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bookmarkStart w:id="151" w:name="_Toc254970542"/>
      <w:bookmarkStart w:id="152" w:name="_Toc254970683"/>
      <w:r>
        <w:rPr>
          <w:rFonts w:hint="eastAsia" w:ascii="黑体" w:hAnsi="黑体" w:eastAsia="黑体"/>
          <w:color w:val="000000" w:themeColor="text1"/>
          <w:sz w:val="24"/>
          <w:highlight w:val="none"/>
          <w14:textFill>
            <w14:solidFill>
              <w14:schemeClr w14:val="tx1"/>
            </w14:solidFill>
          </w14:textFill>
        </w:rPr>
        <w:t>19.投标文件的</w:t>
      </w:r>
      <w:bookmarkEnd w:id="151"/>
      <w:bookmarkEnd w:id="152"/>
      <w:r>
        <w:rPr>
          <w:rFonts w:hint="eastAsia" w:ascii="黑体" w:hAnsi="黑体" w:eastAsia="黑体"/>
          <w:color w:val="000000" w:themeColor="text1"/>
          <w:sz w:val="24"/>
          <w:highlight w:val="none"/>
          <w14:textFill>
            <w14:solidFill>
              <w14:schemeClr w14:val="tx1"/>
            </w14:solidFill>
          </w14:textFill>
        </w:rPr>
        <w:t>编制</w:t>
      </w:r>
    </w:p>
    <w:p w14:paraId="731DD76A">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19.1投标人应按本招标文件规定的格式和顺序编制投标文件并标注页码，投标文件内容不完整、编排混乱导致投标文件被误读、漏读或者查找不到相关内容的，由此引发的后果由投标人承担。</w:t>
      </w:r>
    </w:p>
    <w:p w14:paraId="5F8399D1">
      <w:pPr>
        <w:keepNext w:val="0"/>
        <w:keepLines w:val="0"/>
        <w:pageBreakBefore w:val="0"/>
        <w:widowControl w:val="0"/>
        <w:numPr>
          <w:ilvl w:val="0"/>
          <w:numId w:val="0"/>
        </w:numPr>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bookmarkStart w:id="153" w:name="_19.2投标文件应按报价文件、资格证明文件、商务文件、技术文件分别编制"/>
      <w:bookmarkEnd w:id="153"/>
      <w:r>
        <w:rPr>
          <w:rFonts w:hint="eastAsia" w:ascii="宋体" w:hAnsi="宋体"/>
          <w:b/>
          <w:color w:val="000000" w:themeColor="text1"/>
          <w:sz w:val="21"/>
          <w:szCs w:val="21"/>
          <w:highlight w:val="none"/>
          <w14:textFill>
            <w14:solidFill>
              <w14:schemeClr w14:val="tx1"/>
            </w14:solidFill>
          </w14:textFill>
        </w:rPr>
        <w:t>19.2投标文件应按报价文件、资格证明文件、商务文件、技术文件分别编制电子文件，并按</w:t>
      </w:r>
      <w:r>
        <w:rPr>
          <w:rFonts w:hint="eastAsia" w:ascii="宋体" w:hAnsi="宋体"/>
          <w:b/>
          <w:color w:val="000000" w:themeColor="text1"/>
          <w:sz w:val="21"/>
          <w:szCs w:val="21"/>
          <w:highlight w:val="none"/>
          <w:lang w:eastAsia="zh-CN"/>
          <w14:textFill>
            <w14:solidFill>
              <w14:schemeClr w14:val="tx1"/>
            </w14:solidFill>
          </w14:textFill>
        </w:rPr>
        <w:t>广西政府采购 云平台</w:t>
      </w:r>
      <w:r>
        <w:rPr>
          <w:rFonts w:hint="eastAsia" w:ascii="宋体" w:hAnsi="宋体"/>
          <w:b/>
          <w:color w:val="000000" w:themeColor="text1"/>
          <w:sz w:val="21"/>
          <w:szCs w:val="21"/>
          <w:highlight w:val="none"/>
          <w14:textFill>
            <w14:solidFill>
              <w14:schemeClr w14:val="tx1"/>
            </w14:solidFill>
          </w14:textFill>
        </w:rPr>
        <w:t>的要求编制、加密、上传。</w:t>
      </w:r>
    </w:p>
    <w:p w14:paraId="1C833547">
      <w:pPr>
        <w:keepNext w:val="0"/>
        <w:keepLines w:val="0"/>
        <w:pageBreakBefore w:val="0"/>
        <w:widowControl w:val="0"/>
        <w:numPr>
          <w:ilvl w:val="0"/>
          <w:numId w:val="0"/>
        </w:numPr>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19.</w:t>
      </w:r>
      <w:bookmarkStart w:id="154" w:name="_Hlk65832616"/>
      <w:r>
        <w:rPr>
          <w:rFonts w:hint="eastAsia" w:ascii="宋体" w:hAnsi="宋体"/>
          <w:b/>
          <w:color w:val="000000" w:themeColor="text1"/>
          <w:sz w:val="21"/>
          <w:szCs w:val="21"/>
          <w:highlight w:val="none"/>
          <w14:textFill>
            <w14:solidFill>
              <w14:schemeClr w14:val="tx1"/>
            </w14:solidFill>
          </w14:textFill>
        </w:rPr>
        <w:t>3投标文件须由投标人在规定位置盖公章并签字</w:t>
      </w:r>
      <w:bookmarkStart w:id="155" w:name="_Hlk65832569"/>
      <w:r>
        <w:rPr>
          <w:rFonts w:hint="eastAsia" w:ascii="宋体" w:hAnsi="宋体"/>
          <w:b/>
          <w:color w:val="000000" w:themeColor="text1"/>
          <w:sz w:val="21"/>
          <w:szCs w:val="21"/>
          <w:highlight w:val="none"/>
          <w14:textFill>
            <w14:solidFill>
              <w14:schemeClr w14:val="tx1"/>
            </w14:solidFill>
          </w14:textFill>
        </w:rPr>
        <w:t>（具体以投标人须知前附表或投标文件格式规定为准）</w:t>
      </w:r>
      <w:bookmarkEnd w:id="154"/>
      <w:bookmarkEnd w:id="155"/>
      <w:r>
        <w:rPr>
          <w:rFonts w:hint="eastAsia" w:ascii="宋体" w:hAnsi="宋体"/>
          <w:b/>
          <w:color w:val="000000" w:themeColor="text1"/>
          <w:sz w:val="21"/>
          <w:szCs w:val="21"/>
          <w:highlight w:val="none"/>
          <w14:textFill>
            <w14:solidFill>
              <w14:schemeClr w14:val="tx1"/>
            </w14:solidFill>
          </w14:textFill>
        </w:rPr>
        <w:t>，</w:t>
      </w:r>
      <w:r>
        <w:rPr>
          <w:rFonts w:hint="eastAsia" w:ascii="宋体" w:hAnsi="宋体"/>
          <w:bCs/>
          <w:color w:val="000000" w:themeColor="text1"/>
          <w:sz w:val="21"/>
          <w:szCs w:val="21"/>
          <w:highlight w:val="none"/>
          <w14:textFill>
            <w14:solidFill>
              <w14:schemeClr w14:val="tx1"/>
            </w14:solidFill>
          </w14:textFill>
        </w:rPr>
        <w:t>否则按无效投标处理</w:t>
      </w:r>
      <w:r>
        <w:rPr>
          <w:rFonts w:hint="eastAsia" w:ascii="宋体" w:hAnsi="宋体"/>
          <w:b/>
          <w:color w:val="000000" w:themeColor="text1"/>
          <w:sz w:val="21"/>
          <w:szCs w:val="21"/>
          <w:highlight w:val="none"/>
          <w14:textFill>
            <w14:solidFill>
              <w14:schemeClr w14:val="tx1"/>
            </w14:solidFill>
          </w14:textFill>
        </w:rPr>
        <w:t>。</w:t>
      </w:r>
    </w:p>
    <w:p w14:paraId="7CD8BE19">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19.4投标文件中标注的投标人名称应与主体资格证明（如营业执照、事业单位法人证书、执业许可证、自然人身份证等）及公章一致，</w:t>
      </w:r>
      <w:r>
        <w:rPr>
          <w:rFonts w:hint="eastAsia" w:ascii="宋体" w:hAnsi="宋体"/>
          <w:color w:val="000000" w:themeColor="text1"/>
          <w:sz w:val="21"/>
          <w:szCs w:val="21"/>
          <w:highlight w:val="none"/>
          <w14:textFill>
            <w14:solidFill>
              <w14:schemeClr w14:val="tx1"/>
            </w14:solidFill>
          </w14:textFill>
        </w:rPr>
        <w:t>否则按无效投标处理</w:t>
      </w:r>
      <w:r>
        <w:rPr>
          <w:rFonts w:hint="eastAsia" w:ascii="宋体" w:hAnsi="宋体"/>
          <w:b/>
          <w:color w:val="000000" w:themeColor="text1"/>
          <w:sz w:val="21"/>
          <w:szCs w:val="21"/>
          <w:highlight w:val="none"/>
          <w14:textFill>
            <w14:solidFill>
              <w14:schemeClr w14:val="tx1"/>
            </w14:solidFill>
          </w14:textFill>
        </w:rPr>
        <w:t>。</w:t>
      </w:r>
    </w:p>
    <w:p w14:paraId="4E8FCD5E">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70EDC507">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20.投标文件的加密、解密</w:t>
      </w:r>
    </w:p>
    <w:p w14:paraId="366EAE86">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20.1电子投标文件编制完成后，投标人应按</w:t>
      </w:r>
      <w:r>
        <w:rPr>
          <w:rFonts w:hint="eastAsia" w:ascii="宋体" w:hAnsi="宋体"/>
          <w:b/>
          <w:color w:val="000000" w:themeColor="text1"/>
          <w:sz w:val="21"/>
          <w:szCs w:val="21"/>
          <w:highlight w:val="none"/>
          <w:lang w:eastAsia="zh-CN"/>
          <w14:textFill>
            <w14:solidFill>
              <w14:schemeClr w14:val="tx1"/>
            </w14:solidFill>
          </w14:textFill>
        </w:rPr>
        <w:t>广西政府采购云平台</w:t>
      </w:r>
      <w:r>
        <w:rPr>
          <w:rFonts w:hint="eastAsia" w:ascii="宋体" w:hAnsi="宋体"/>
          <w:b/>
          <w:color w:val="000000" w:themeColor="text1"/>
          <w:sz w:val="21"/>
          <w:szCs w:val="21"/>
          <w:highlight w:val="none"/>
          <w14:textFill>
            <w14:solidFill>
              <w14:schemeClr w14:val="tx1"/>
            </w14:solidFill>
          </w14:textFill>
        </w:rPr>
        <w:t>的要求进行加密，并在规定时间内解密，否则，由此产生的后果由投标人自行负责。</w:t>
      </w:r>
    </w:p>
    <w:p w14:paraId="4A6BE047">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21.投标文件的提交</w:t>
      </w:r>
    </w:p>
    <w:p w14:paraId="576C4D9F">
      <w:pPr>
        <w:keepNext w:val="0"/>
        <w:keepLines w:val="0"/>
        <w:pageBreakBefore w:val="0"/>
        <w:widowControl w:val="0"/>
        <w:numPr>
          <w:ilvl w:val="0"/>
          <w:numId w:val="0"/>
        </w:numPr>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bookmarkStart w:id="156" w:name="_21.1投标人必须在“投标人须知中的前附表”规定的投标文件接收时间和投"/>
      <w:bookmarkEnd w:id="156"/>
      <w:r>
        <w:rPr>
          <w:rFonts w:hint="eastAsia" w:ascii="宋体" w:hAnsi="宋体"/>
          <w:b/>
          <w:color w:val="000000" w:themeColor="text1"/>
          <w:sz w:val="21"/>
          <w:szCs w:val="21"/>
          <w:highlight w:val="none"/>
          <w14:textFill>
            <w14:solidFill>
              <w14:schemeClr w14:val="tx1"/>
            </w14:solidFill>
          </w14:textFill>
        </w:rPr>
        <w:t>21.1投标人必须在“投标人须知前附表”规定的投标文件接收时间和投标地点提交投标文件。</w:t>
      </w:r>
    </w:p>
    <w:p w14:paraId="6E7D530B">
      <w:pPr>
        <w:keepNext w:val="0"/>
        <w:keepLines w:val="0"/>
        <w:pageBreakBefore w:val="0"/>
        <w:widowControl w:val="0"/>
        <w:numPr>
          <w:ilvl w:val="0"/>
          <w:numId w:val="0"/>
        </w:numPr>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21.2本项目为全流程电子化政府采购项目，通过</w:t>
      </w:r>
      <w:r>
        <w:rPr>
          <w:rFonts w:hint="eastAsia" w:ascii="宋体" w:hAnsi="宋体"/>
          <w:b/>
          <w:color w:val="000000" w:themeColor="text1"/>
          <w:sz w:val="21"/>
          <w:szCs w:val="21"/>
          <w:highlight w:val="none"/>
          <w:lang w:eastAsia="zh-CN"/>
          <w14:textFill>
            <w14:solidFill>
              <w14:schemeClr w14:val="tx1"/>
            </w14:solidFill>
          </w14:textFill>
        </w:rPr>
        <w:t>广西政府采购云平台（https://www.gcy.zfcg.gxzf.gov.cn/）</w:t>
      </w:r>
      <w:r>
        <w:rPr>
          <w:rFonts w:hint="eastAsia" w:ascii="宋体" w:hAnsi="宋体"/>
          <w:b/>
          <w:color w:val="000000" w:themeColor="text1"/>
          <w:sz w:val="21"/>
          <w:szCs w:val="21"/>
          <w:highlight w:val="none"/>
          <w14:textFill>
            <w14:solidFill>
              <w14:schemeClr w14:val="tx1"/>
            </w14:solidFill>
          </w14:textFill>
        </w:rPr>
        <w:t>实行在线电子投标。投标人必须在“投标人须知前附表”规定的投标文件接收时间内通过网络将电子投标文件上传至</w:t>
      </w:r>
      <w:r>
        <w:rPr>
          <w:rFonts w:hint="eastAsia" w:ascii="宋体" w:hAnsi="宋体"/>
          <w:b/>
          <w:color w:val="000000" w:themeColor="text1"/>
          <w:sz w:val="21"/>
          <w:szCs w:val="21"/>
          <w:highlight w:val="none"/>
          <w:lang w:eastAsia="zh-CN"/>
          <w14:textFill>
            <w14:solidFill>
              <w14:schemeClr w14:val="tx1"/>
            </w14:solidFill>
          </w14:textFill>
        </w:rPr>
        <w:t>广西政府采购云平台</w:t>
      </w:r>
      <w:r>
        <w:rPr>
          <w:rFonts w:hint="eastAsia" w:ascii="宋体" w:hAnsi="宋体"/>
          <w:b/>
          <w:color w:val="000000" w:themeColor="text1"/>
          <w:sz w:val="21"/>
          <w:szCs w:val="21"/>
          <w:highlight w:val="none"/>
          <w14:textFill>
            <w14:solidFill>
              <w14:schemeClr w14:val="tx1"/>
            </w14:solidFill>
          </w14:textFill>
        </w:rPr>
        <w:t>，供应商在</w:t>
      </w:r>
      <w:r>
        <w:rPr>
          <w:rFonts w:hint="eastAsia" w:ascii="宋体" w:hAnsi="宋体"/>
          <w:b/>
          <w:color w:val="000000" w:themeColor="text1"/>
          <w:sz w:val="21"/>
          <w:szCs w:val="21"/>
          <w:highlight w:val="none"/>
          <w:lang w:eastAsia="zh-CN"/>
          <w14:textFill>
            <w14:solidFill>
              <w14:schemeClr w14:val="tx1"/>
            </w14:solidFill>
          </w14:textFill>
        </w:rPr>
        <w:t>广西政府采购云平台</w:t>
      </w:r>
      <w:r>
        <w:rPr>
          <w:rFonts w:hint="eastAsia" w:ascii="宋体" w:hAnsi="宋体"/>
          <w:b/>
          <w:color w:val="000000" w:themeColor="text1"/>
          <w:sz w:val="21"/>
          <w:szCs w:val="21"/>
          <w:highlight w:val="none"/>
          <w14:textFill>
            <w14:solidFill>
              <w14:schemeClr w14:val="tx1"/>
            </w14:solidFill>
          </w14:textFill>
        </w:rPr>
        <w:t>提交电子版投标文件时，请填写参加远程开标活动经办人联系方式。</w:t>
      </w:r>
    </w:p>
    <w:p w14:paraId="7FCD1E60">
      <w:pPr>
        <w:keepNext w:val="0"/>
        <w:keepLines w:val="0"/>
        <w:pageBreakBefore w:val="0"/>
        <w:widowControl w:val="0"/>
        <w:numPr>
          <w:ilvl w:val="0"/>
          <w:numId w:val="0"/>
        </w:numPr>
        <w:kinsoku/>
        <w:wordWrap/>
        <w:overflowPunct/>
        <w:topLinePunct w:val="0"/>
        <w:bidi w:val="0"/>
        <w:spacing w:before="0" w:after="0" w:line="360" w:lineRule="auto"/>
        <w:ind w:firstLine="422" w:firstLineChars="200"/>
        <w:jc w:val="left"/>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21.3未在规定时间内上传或者未按</w:t>
      </w:r>
      <w:r>
        <w:rPr>
          <w:rFonts w:hint="eastAsia" w:ascii="宋体" w:hAnsi="宋体"/>
          <w:b/>
          <w:color w:val="000000" w:themeColor="text1"/>
          <w:sz w:val="21"/>
          <w:szCs w:val="21"/>
          <w:highlight w:val="none"/>
          <w:lang w:eastAsia="zh-CN"/>
          <w14:textFill>
            <w14:solidFill>
              <w14:schemeClr w14:val="tx1"/>
            </w14:solidFill>
          </w14:textFill>
        </w:rPr>
        <w:t>广西政府采购云平台</w:t>
      </w:r>
      <w:r>
        <w:rPr>
          <w:rFonts w:hint="eastAsia" w:ascii="宋体" w:hAnsi="宋体"/>
          <w:b/>
          <w:color w:val="000000" w:themeColor="text1"/>
          <w:sz w:val="21"/>
          <w:szCs w:val="21"/>
          <w:highlight w:val="none"/>
          <w14:textFill>
            <w14:solidFill>
              <w14:schemeClr w14:val="tx1"/>
            </w14:solidFill>
          </w14:textFill>
        </w:rPr>
        <w:t>的要求编制、加密的电子投标文件，</w:t>
      </w:r>
      <w:r>
        <w:rPr>
          <w:rFonts w:hint="eastAsia" w:ascii="宋体" w:hAnsi="宋体"/>
          <w:b/>
          <w:color w:val="000000" w:themeColor="text1"/>
          <w:sz w:val="21"/>
          <w:szCs w:val="21"/>
          <w:highlight w:val="none"/>
          <w:lang w:eastAsia="zh-CN"/>
          <w14:textFill>
            <w14:solidFill>
              <w14:schemeClr w14:val="tx1"/>
            </w14:solidFill>
          </w14:textFill>
        </w:rPr>
        <w:t>广西政府采购云平台</w:t>
      </w:r>
      <w:r>
        <w:rPr>
          <w:rFonts w:hint="eastAsia" w:ascii="宋体" w:hAnsi="宋体"/>
          <w:b/>
          <w:color w:val="000000" w:themeColor="text1"/>
          <w:sz w:val="21"/>
          <w:szCs w:val="21"/>
          <w:highlight w:val="none"/>
          <w14:textFill>
            <w14:solidFill>
              <w14:schemeClr w14:val="tx1"/>
            </w14:solidFill>
          </w14:textFill>
        </w:rPr>
        <w:t>将拒收。</w:t>
      </w:r>
    </w:p>
    <w:p w14:paraId="7AA8CB55">
      <w:pPr>
        <w:pStyle w:val="9"/>
        <w:pageBreakBefore w:val="0"/>
        <w:widowControl w:val="0"/>
        <w:kinsoku/>
        <w:wordWrap/>
        <w:overflowPunct/>
        <w:topLinePunct w:val="0"/>
        <w:bidi w:val="0"/>
        <w:textAlignment w:val="auto"/>
        <w:outlineLvl w:val="9"/>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21.4电子投标文件提交方式见“招标公告”中“四、提交投标文件截止时间、开标时间和地点”。</w:t>
      </w:r>
    </w:p>
    <w:p w14:paraId="70B25A7B">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22. 投标文件的补充、修改、撤回与退回</w:t>
      </w:r>
    </w:p>
    <w:p w14:paraId="6FAB160D">
      <w:pPr>
        <w:pageBreakBefore w:val="0"/>
        <w:widowControl w:val="0"/>
        <w:kinsoku/>
        <w:wordWrap/>
        <w:overflowPunct/>
        <w:topLinePunct w:val="0"/>
        <w:bidi w:val="0"/>
        <w:snapToGrid w:val="0"/>
        <w:spacing w:line="360" w:lineRule="auto"/>
        <w:ind w:firstLine="420"/>
        <w:jc w:val="left"/>
        <w:textAlignment w:val="auto"/>
        <w:outlineLvl w:val="9"/>
        <w:rPr>
          <w:rFonts w:hint="eastAsia" w:ascii="宋体" w:hAnsi="宋体"/>
          <w:color w:val="000000" w:themeColor="text1"/>
          <w:szCs w:val="21"/>
          <w:highlight w:val="none"/>
          <w14:textFill>
            <w14:solidFill>
              <w14:schemeClr w14:val="tx1"/>
            </w14:solidFill>
          </w14:textFill>
        </w:rPr>
      </w:pPr>
      <w:bookmarkStart w:id="157" w:name="_Toc254970543"/>
      <w:bookmarkStart w:id="158" w:name="_Toc254970684"/>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2.1</w:t>
      </w:r>
      <w:r>
        <w:rPr>
          <w:rFonts w:hint="eastAsia" w:ascii="宋体" w:hAnsi="宋体"/>
          <w:color w:val="000000" w:themeColor="text1"/>
          <w:szCs w:val="21"/>
          <w:highlight w:val="none"/>
          <w14:textFill>
            <w14:solidFill>
              <w14:schemeClr w14:val="tx1"/>
            </w14:solidFill>
          </w14:textFill>
        </w:rPr>
        <w:t>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olor w:val="000000" w:themeColor="text1"/>
          <w:szCs w:val="21"/>
          <w:highlight w:val="none"/>
          <w:lang w:eastAsia="zh-CN"/>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将予以拒收。</w:t>
      </w:r>
    </w:p>
    <w:bookmarkEnd w:id="157"/>
    <w:bookmarkEnd w:id="158"/>
    <w:p w14:paraId="27A177F4">
      <w:pPr>
        <w:pageBreakBefore w:val="0"/>
        <w:widowControl w:val="0"/>
        <w:kinsoku/>
        <w:wordWrap/>
        <w:overflowPunct/>
        <w:topLinePunct w:val="0"/>
        <w:bidi w:val="0"/>
        <w:snapToGrid w:val="0"/>
        <w:spacing w:line="360" w:lineRule="auto"/>
        <w:ind w:firstLine="420"/>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在投标截止时间止提交投标文件的投标人不足3家时，不得开标，采购代理机构将根据</w:t>
      </w:r>
      <w:r>
        <w:rPr>
          <w:rFonts w:hint="eastAsia" w:ascii="宋体" w:hAnsi="宋体"/>
          <w:color w:val="000000" w:themeColor="text1"/>
          <w:szCs w:val="21"/>
          <w:highlight w:val="none"/>
          <w:lang w:eastAsia="zh-CN"/>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的操作将电子版投标文件退回，除此之外采购人和采购代理机构对已提交的投标文件概不退回。</w:t>
      </w:r>
    </w:p>
    <w:p w14:paraId="69AFE47F">
      <w:pPr>
        <w:pageBreakBefore w:val="0"/>
        <w:widowControl w:val="0"/>
        <w:kinsoku/>
        <w:wordWrap/>
        <w:overflowPunct/>
        <w:topLinePunct w:val="0"/>
        <w:bidi w:val="0"/>
        <w:spacing w:line="360" w:lineRule="auto"/>
        <w:ind w:firstLine="420" w:firstLineChars="200"/>
        <w:textAlignment w:val="auto"/>
        <w:outlineLvl w:val="9"/>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ascii="宋体" w:hAnsi="宋体" w:cs="宋体"/>
          <w:color w:val="000000" w:themeColor="text1"/>
          <w:szCs w:val="21"/>
          <w:highlight w:val="none"/>
          <w14:textFill>
            <w14:solidFill>
              <w14:schemeClr w14:val="tx1"/>
            </w14:solidFill>
          </w14:textFill>
        </w:rPr>
        <w:t>2.3</w:t>
      </w:r>
      <w:r>
        <w:rPr>
          <w:rFonts w:hint="eastAsia" w:ascii="宋体" w:hAnsi="宋体" w:cs="宋体"/>
          <w:color w:val="000000" w:themeColor="text1"/>
          <w:szCs w:val="21"/>
          <w:highlight w:val="none"/>
          <w14:textFill>
            <w14:solidFill>
              <w14:schemeClr w14:val="tx1"/>
            </w14:solidFill>
          </w14:textFill>
        </w:rPr>
        <w:t xml:space="preserve"> 投标人在投标截止时间后书面通知采购人、采购代理机构撤销投标文件的，将根据本须知正文1</w:t>
      </w:r>
      <w:r>
        <w:rPr>
          <w:rFonts w:ascii="宋体" w:hAnsi="宋体" w:cs="宋体"/>
          <w:color w:val="000000" w:themeColor="text1"/>
          <w:szCs w:val="21"/>
          <w:highlight w:val="none"/>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.4的规定不予退还其投标保证金。</w:t>
      </w:r>
    </w:p>
    <w:p w14:paraId="2B921082">
      <w:pPr>
        <w:pStyle w:val="20"/>
        <w:pageBreakBefore w:val="0"/>
        <w:widowControl w:val="0"/>
        <w:kinsoku/>
        <w:wordWrap/>
        <w:overflowPunct/>
        <w:topLinePunct w:val="0"/>
        <w:bidi w:val="0"/>
        <w:snapToGrid w:val="0"/>
        <w:spacing w:line="360" w:lineRule="auto"/>
        <w:ind w:firstLine="739"/>
        <w:textAlignment w:val="auto"/>
        <w:outlineLvl w:val="9"/>
        <w:rPr>
          <w:rFonts w:hint="eastAsia" w:ascii="宋体" w:hAnsi="宋体" w:eastAsia="宋体"/>
          <w:snapToGrid w:val="0"/>
          <w:color w:val="000000" w:themeColor="text1"/>
          <w:sz w:val="21"/>
          <w:szCs w:val="21"/>
          <w:highlight w:val="none"/>
          <w14:textFill>
            <w14:solidFill>
              <w14:schemeClr w14:val="tx1"/>
            </w14:solidFill>
          </w14:textFill>
        </w:rPr>
      </w:pPr>
    </w:p>
    <w:p w14:paraId="54FB0678">
      <w:pPr>
        <w:keepNext w:val="0"/>
        <w:keepLines w:val="0"/>
        <w:pageBreakBefore w:val="0"/>
        <w:widowControl w:val="0"/>
        <w:kinsoku/>
        <w:wordWrap/>
        <w:overflowPunct/>
        <w:topLinePunct w:val="0"/>
        <w:bidi w:val="0"/>
        <w:jc w:val="center"/>
        <w:textAlignment w:val="auto"/>
        <w:outlineLvl w:val="9"/>
        <w:rPr>
          <w:rFonts w:hint="eastAsia"/>
          <w:color w:val="000000" w:themeColor="text1"/>
          <w:highlight w:val="none"/>
          <w14:textFill>
            <w14:solidFill>
              <w14:schemeClr w14:val="tx1"/>
            </w14:solidFill>
          </w14:textFill>
        </w:rPr>
      </w:pPr>
      <w:bookmarkStart w:id="159" w:name="_Toc254970685"/>
      <w:bookmarkStart w:id="160" w:name="_Toc254970544"/>
      <w:r>
        <w:rPr>
          <w:rFonts w:hint="eastAsia"/>
          <w:color w:val="000000" w:themeColor="text1"/>
          <w:highlight w:val="none"/>
          <w14:textFill>
            <w14:solidFill>
              <w14:schemeClr w14:val="tx1"/>
            </w14:solidFill>
          </w14:textFill>
        </w:rPr>
        <w:t>四、开标</w:t>
      </w:r>
      <w:bookmarkEnd w:id="159"/>
      <w:bookmarkEnd w:id="160"/>
    </w:p>
    <w:p w14:paraId="6D752E84">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bookmarkStart w:id="161" w:name="_23.开标时间和地点"/>
      <w:bookmarkEnd w:id="161"/>
      <w:r>
        <w:rPr>
          <w:rFonts w:hint="eastAsia" w:ascii="黑体" w:hAnsi="黑体" w:eastAsia="黑体"/>
          <w:color w:val="000000" w:themeColor="text1"/>
          <w:sz w:val="24"/>
          <w:highlight w:val="none"/>
          <w14:textFill>
            <w14:solidFill>
              <w14:schemeClr w14:val="tx1"/>
            </w14:solidFill>
          </w14:textFill>
        </w:rPr>
        <w:t>23.开标时间和地点</w:t>
      </w:r>
    </w:p>
    <w:p w14:paraId="4474F105">
      <w:pPr>
        <w:pageBreakBefore w:val="0"/>
        <w:widowControl w:val="0"/>
        <w:kinsoku/>
        <w:wordWrap/>
        <w:overflowPunct/>
        <w:topLinePunct w:val="0"/>
        <w:bidi w:val="0"/>
        <w:snapToGrid w:val="0"/>
        <w:spacing w:line="360" w:lineRule="auto"/>
        <w:ind w:firstLine="420"/>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23.1开标时间及地点详见“投标人须知前附表”</w:t>
      </w:r>
    </w:p>
    <w:p w14:paraId="56ED2577">
      <w:pPr>
        <w:pageBreakBefore w:val="0"/>
        <w:widowControl w:val="0"/>
        <w:kinsoku/>
        <w:wordWrap/>
        <w:overflowPunct/>
        <w:topLinePunct w:val="0"/>
        <w:bidi w:val="0"/>
        <w:snapToGrid w:val="0"/>
        <w:spacing w:line="360" w:lineRule="auto"/>
        <w:ind w:firstLine="420"/>
        <w:jc w:val="left"/>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23.2如投标人成功解密投标文件，但未在</w:t>
      </w:r>
      <w:r>
        <w:rPr>
          <w:rFonts w:hint="eastAsia" w:ascii="宋体" w:hAnsi="宋体"/>
          <w:color w:val="000000" w:themeColor="text1"/>
          <w:szCs w:val="21"/>
          <w:highlight w:val="none"/>
          <w:lang w:eastAsia="zh-CN"/>
          <w14:textFill>
            <w14:solidFill>
              <w14:schemeClr w14:val="tx1"/>
            </w14:solidFill>
          </w14:textFill>
        </w:rPr>
        <w:t>广西政府采购云平台</w:t>
      </w:r>
      <w:r>
        <w:rPr>
          <w:rFonts w:hint="eastAsia" w:ascii="宋体" w:hAnsi="宋体"/>
          <w:color w:val="000000" w:themeColor="text1"/>
          <w:szCs w:val="21"/>
          <w:highlight w:val="none"/>
          <w14:textFill>
            <w14:solidFill>
              <w14:schemeClr w14:val="tx1"/>
            </w14:solidFill>
          </w14:textFill>
        </w:rPr>
        <w:t>电子开标大厅参加开标的，视同认可开标过程和结果，由此产生的后果由投标人自行负责。成功解密投标文件的投标人不足3家的，不得开标。</w:t>
      </w:r>
    </w:p>
    <w:p w14:paraId="08C86A8B">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24.开标程序</w:t>
      </w:r>
    </w:p>
    <w:p w14:paraId="57669542">
      <w:pPr>
        <w:pageBreakBefore w:val="0"/>
        <w:widowControl w:val="0"/>
        <w:kinsoku/>
        <w:wordWrap/>
        <w:overflowPunct/>
        <w:topLinePunct w:val="0"/>
        <w:autoSpaceDE w:val="0"/>
        <w:autoSpaceDN w:val="0"/>
        <w:bidi w:val="0"/>
        <w:adjustRightInd w:val="0"/>
        <w:spacing w:line="440" w:lineRule="exact"/>
        <w:ind w:firstLine="420" w:firstLineChars="200"/>
        <w:textAlignment w:val="auto"/>
        <w:outlineLvl w:val="9"/>
        <w:rPr>
          <w:rFonts w:ascii="宋体" w:hAnsi="宋体"/>
          <w:color w:val="000000" w:themeColor="text1"/>
          <w:kern w:val="0"/>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24.1</w:t>
      </w:r>
      <w:r>
        <w:rPr>
          <w:rFonts w:hint="eastAsia" w:ascii="宋体" w:hAnsi="宋体"/>
          <w:color w:val="000000" w:themeColor="text1"/>
          <w:kern w:val="0"/>
          <w:szCs w:val="21"/>
          <w:highlight w:val="none"/>
          <w14:textFill>
            <w14:solidFill>
              <w14:schemeClr w14:val="tx1"/>
            </w14:solidFill>
          </w14:textFill>
        </w:rPr>
        <w:t>开标形式：</w:t>
      </w:r>
    </w:p>
    <w:p w14:paraId="0C1820FC">
      <w:pPr>
        <w:pageBreakBefore w:val="0"/>
        <w:widowControl w:val="0"/>
        <w:kinsoku/>
        <w:wordWrap/>
        <w:overflowPunct/>
        <w:topLinePunct w:val="0"/>
        <w:autoSpaceDE w:val="0"/>
        <w:autoSpaceDN w:val="0"/>
        <w:bidi w:val="0"/>
        <w:adjustRightInd w:val="0"/>
        <w:spacing w:line="440" w:lineRule="exact"/>
        <w:ind w:firstLine="420" w:firstLineChars="200"/>
        <w:textAlignment w:val="auto"/>
        <w:outlineLvl w:val="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采购代理机构将按照招标文件规定的时间通过</w:t>
      </w:r>
      <w:r>
        <w:rPr>
          <w:rFonts w:hint="eastAsia" w:ascii="宋体" w:hAnsi="宋体"/>
          <w:bCs/>
          <w:color w:val="000000" w:themeColor="text1"/>
          <w:szCs w:val="21"/>
          <w:highlight w:val="none"/>
          <w:lang w:eastAsia="zh-CN"/>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组织线上开标活动、开启投标文件，所有供应商均应当准时在线参加。投标人</w:t>
      </w:r>
      <w:r>
        <w:rPr>
          <w:rFonts w:ascii="宋体" w:hAnsi="宋体"/>
          <w:bCs/>
          <w:color w:val="000000" w:themeColor="text1"/>
          <w:szCs w:val="21"/>
          <w:highlight w:val="none"/>
          <w14:textFill>
            <w14:solidFill>
              <w14:schemeClr w14:val="tx1"/>
            </w14:solidFill>
          </w14:textFill>
        </w:rPr>
        <w:t>如不</w:t>
      </w:r>
      <w:r>
        <w:rPr>
          <w:rFonts w:hint="eastAsia" w:ascii="宋体" w:hAnsi="宋体"/>
          <w:bCs/>
          <w:color w:val="000000" w:themeColor="text1"/>
          <w:szCs w:val="21"/>
          <w:highlight w:val="none"/>
          <w14:textFill>
            <w14:solidFill>
              <w14:schemeClr w14:val="tx1"/>
            </w14:solidFill>
          </w14:textFill>
        </w:rPr>
        <w:t>参加</w:t>
      </w:r>
      <w:r>
        <w:rPr>
          <w:rFonts w:ascii="宋体" w:hAnsi="宋体"/>
          <w:bCs/>
          <w:color w:val="000000" w:themeColor="text1"/>
          <w:szCs w:val="21"/>
          <w:highlight w:val="none"/>
          <w14:textFill>
            <w14:solidFill>
              <w14:schemeClr w14:val="tx1"/>
            </w14:solidFill>
          </w14:textFill>
        </w:rPr>
        <w:t>开标大会的，</w:t>
      </w:r>
      <w:r>
        <w:rPr>
          <w:rFonts w:hint="eastAsia" w:ascii="宋体" w:hAnsi="宋体"/>
          <w:bCs/>
          <w:color w:val="000000" w:themeColor="text1"/>
          <w:szCs w:val="21"/>
          <w:highlight w:val="none"/>
          <w14:textFill>
            <w14:solidFill>
              <w14:schemeClr w14:val="tx1"/>
            </w14:solidFill>
          </w14:textFill>
        </w:rPr>
        <w:t>视同认可开标结果，</w:t>
      </w:r>
      <w:r>
        <w:rPr>
          <w:rFonts w:ascii="宋体" w:hAnsi="宋体"/>
          <w:bCs/>
          <w:color w:val="000000" w:themeColor="text1"/>
          <w:szCs w:val="21"/>
          <w:highlight w:val="none"/>
          <w14:textFill>
            <w14:solidFill>
              <w14:schemeClr w14:val="tx1"/>
            </w14:solidFill>
          </w14:textFill>
        </w:rPr>
        <w:t>事后不得对采购相关人员、开标过程和开标结果提出异议</w:t>
      </w:r>
      <w:r>
        <w:rPr>
          <w:rFonts w:hint="eastAsia" w:ascii="宋体" w:hAnsi="宋体"/>
          <w:bCs/>
          <w:color w:val="000000" w:themeColor="text1"/>
          <w:szCs w:val="21"/>
          <w:highlight w:val="none"/>
          <w14:textFill>
            <w14:solidFill>
              <w14:schemeClr w14:val="tx1"/>
            </w14:solidFill>
          </w14:textFill>
        </w:rPr>
        <w:t>，同时投标人因未在线参加开标而导致投标文件无法按时解密等一切后果由投标人自己承担。</w:t>
      </w:r>
    </w:p>
    <w:p w14:paraId="1D5C00A3">
      <w:pPr>
        <w:pageBreakBefore w:val="0"/>
        <w:widowControl w:val="0"/>
        <w:kinsoku/>
        <w:wordWrap/>
        <w:overflowPunct/>
        <w:topLinePunct w:val="0"/>
        <w:autoSpaceDE w:val="0"/>
        <w:autoSpaceDN w:val="0"/>
        <w:bidi w:val="0"/>
        <w:adjustRightInd w:val="0"/>
        <w:spacing w:line="440" w:lineRule="exact"/>
        <w:ind w:firstLine="420" w:firstLineChars="200"/>
        <w:textAlignment w:val="auto"/>
        <w:outlineLvl w:val="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24.2</w:t>
      </w:r>
      <w:r>
        <w:rPr>
          <w:rFonts w:ascii="宋体" w:hAnsi="宋体"/>
          <w:bCs/>
          <w:color w:val="000000" w:themeColor="text1"/>
          <w:szCs w:val="21"/>
          <w:highlight w:val="none"/>
          <w14:textFill>
            <w14:solidFill>
              <w14:schemeClr w14:val="tx1"/>
            </w14:solidFill>
          </w14:textFill>
        </w:rPr>
        <w:t>开</w:t>
      </w:r>
      <w:r>
        <w:rPr>
          <w:rFonts w:hint="eastAsia" w:ascii="宋体" w:hAnsi="宋体"/>
          <w:bCs/>
          <w:color w:val="000000" w:themeColor="text1"/>
          <w:szCs w:val="21"/>
          <w:highlight w:val="none"/>
          <w14:textFill>
            <w14:solidFill>
              <w14:schemeClr w14:val="tx1"/>
            </w14:solidFill>
          </w14:textFill>
        </w:rPr>
        <w:t>标</w:t>
      </w:r>
      <w:r>
        <w:rPr>
          <w:rFonts w:ascii="宋体" w:hAnsi="宋体"/>
          <w:bCs/>
          <w:color w:val="000000" w:themeColor="text1"/>
          <w:szCs w:val="21"/>
          <w:highlight w:val="none"/>
          <w14:textFill>
            <w14:solidFill>
              <w14:schemeClr w14:val="tx1"/>
            </w14:solidFill>
          </w14:textFill>
        </w:rPr>
        <w:t>程序：</w:t>
      </w:r>
    </w:p>
    <w:p w14:paraId="6D2403E4">
      <w:pPr>
        <w:pageBreakBefore w:val="0"/>
        <w:widowControl w:val="0"/>
        <w:kinsoku/>
        <w:wordWrap/>
        <w:overflowPunct/>
        <w:topLinePunct w:val="0"/>
        <w:autoSpaceDE w:val="0"/>
        <w:autoSpaceDN w:val="0"/>
        <w:bidi w:val="0"/>
        <w:adjustRightInd w:val="0"/>
        <w:spacing w:line="440" w:lineRule="exact"/>
        <w:ind w:firstLine="420" w:firstLineChars="200"/>
        <w:textAlignment w:val="auto"/>
        <w:outlineLvl w:val="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（1）解密电子投标文件。</w:t>
      </w:r>
      <w:r>
        <w:rPr>
          <w:rFonts w:hint="eastAsia" w:ascii="宋体" w:hAnsi="宋体"/>
          <w:bCs/>
          <w:color w:val="000000" w:themeColor="text1"/>
          <w:szCs w:val="21"/>
          <w:highlight w:val="none"/>
          <w:lang w:eastAsia="zh-CN"/>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按开标时间自动提取所有投标文件。采购代理机构依托</w:t>
      </w:r>
      <w:r>
        <w:rPr>
          <w:rFonts w:hint="eastAsia" w:ascii="宋体" w:hAnsi="宋体"/>
          <w:bCs/>
          <w:color w:val="000000" w:themeColor="text1"/>
          <w:szCs w:val="21"/>
          <w:highlight w:val="none"/>
          <w:lang w:eastAsia="zh-CN"/>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向各投标人发出电子加密投标文件【开始解密】通知，由投标人进行投标文件解密。</w:t>
      </w:r>
      <w:r>
        <w:rPr>
          <w:rFonts w:hint="eastAsia" w:ascii="宋体" w:hAnsi="宋体"/>
          <w:b/>
          <w:bCs/>
          <w:color w:val="000000" w:themeColor="text1"/>
          <w:szCs w:val="21"/>
          <w:highlight w:val="none"/>
          <w14:textFill>
            <w14:solidFill>
              <w14:schemeClr w14:val="tx1"/>
            </w14:solidFill>
          </w14:textFill>
        </w:rPr>
        <w:t>投标人的法定代表人或其委托代理人须携带加密时所用的CA锁准时登录到</w:t>
      </w:r>
      <w:r>
        <w:rPr>
          <w:rFonts w:hint="eastAsia" w:ascii="宋体" w:hAnsi="宋体"/>
          <w:b/>
          <w:bCs/>
          <w:color w:val="000000" w:themeColor="text1"/>
          <w:szCs w:val="21"/>
          <w:highlight w:val="none"/>
          <w:lang w:eastAsia="zh-CN"/>
          <w14:textFill>
            <w14:solidFill>
              <w14:schemeClr w14:val="tx1"/>
            </w14:solidFill>
          </w14:textFill>
        </w:rPr>
        <w:t>广西政府采购云平台</w:t>
      </w:r>
      <w:r>
        <w:rPr>
          <w:rFonts w:hint="eastAsia" w:ascii="宋体" w:hAnsi="宋体"/>
          <w:b/>
          <w:bCs/>
          <w:color w:val="000000" w:themeColor="text1"/>
          <w:szCs w:val="21"/>
          <w:highlight w:val="none"/>
          <w14:textFill>
            <w14:solidFill>
              <w14:schemeClr w14:val="tx1"/>
            </w14:solidFill>
          </w14:textFill>
        </w:rPr>
        <w:t>电子开标大厅签到</w:t>
      </w:r>
      <w:r>
        <w:rPr>
          <w:rFonts w:hint="eastAsia" w:ascii="宋体" w:hAnsi="宋体" w:cs="宋体"/>
          <w:b/>
          <w:color w:val="000000" w:themeColor="text1"/>
          <w:szCs w:val="21"/>
          <w:highlight w:val="none"/>
          <w14:textFill>
            <w14:solidFill>
              <w14:schemeClr w14:val="tx1"/>
            </w14:solidFill>
          </w14:textFill>
        </w:rPr>
        <w:t>并在发起解密</w:t>
      </w:r>
      <w:r>
        <w:rPr>
          <w:rFonts w:hint="eastAsia" w:ascii="宋体" w:hAnsi="宋体"/>
          <w:b/>
          <w:bCs/>
          <w:color w:val="000000" w:themeColor="text1"/>
          <w:szCs w:val="21"/>
          <w:highlight w:val="none"/>
          <w14:textFill>
            <w14:solidFill>
              <w14:schemeClr w14:val="tx1"/>
            </w14:solidFill>
          </w14:textFill>
        </w:rPr>
        <w:t>通知</w:t>
      </w:r>
      <w:r>
        <w:rPr>
          <w:rFonts w:hint="eastAsia" w:ascii="宋体" w:hAnsi="宋体" w:cs="宋体"/>
          <w:b/>
          <w:color w:val="000000" w:themeColor="text1"/>
          <w:szCs w:val="21"/>
          <w:highlight w:val="none"/>
          <w14:textFill>
            <w14:solidFill>
              <w14:schemeClr w14:val="tx1"/>
            </w14:solidFill>
          </w14:textFill>
        </w:rPr>
        <w:t>之时起30分钟内完成</w:t>
      </w:r>
      <w:r>
        <w:rPr>
          <w:rFonts w:hint="eastAsia" w:ascii="宋体" w:hAnsi="宋体"/>
          <w:b/>
          <w:bCs/>
          <w:color w:val="000000" w:themeColor="text1"/>
          <w:szCs w:val="21"/>
          <w:highlight w:val="none"/>
          <w14:textFill>
            <w14:solidFill>
              <w14:schemeClr w14:val="tx1"/>
            </w14:solidFill>
          </w14:textFill>
        </w:rPr>
        <w:t>对电子投标文件解密。投标文件未按时解密的，视为无效投标。</w:t>
      </w:r>
      <w:r>
        <w:rPr>
          <w:rFonts w:hint="eastAsia" w:ascii="宋体" w:hAnsi="宋体"/>
          <w:bCs/>
          <w:color w:val="000000" w:themeColor="text1"/>
          <w:szCs w:val="21"/>
          <w:highlight w:val="none"/>
          <w14:textFill>
            <w14:solidFill>
              <w14:schemeClr w14:val="tx1"/>
            </w14:solidFill>
          </w14:textFill>
        </w:rPr>
        <w:t>（解密异常情况处理：详见本章29.4 电子交易活动的中止）</w:t>
      </w:r>
    </w:p>
    <w:p w14:paraId="375FB9DA">
      <w:pPr>
        <w:pageBreakBefore w:val="0"/>
        <w:widowControl w:val="0"/>
        <w:kinsoku/>
        <w:wordWrap/>
        <w:overflowPunct/>
        <w:topLinePunct w:val="0"/>
        <w:autoSpaceDE w:val="0"/>
        <w:autoSpaceDN w:val="0"/>
        <w:bidi w:val="0"/>
        <w:adjustRightInd w:val="0"/>
        <w:spacing w:line="440" w:lineRule="exact"/>
        <w:ind w:firstLine="420" w:firstLineChars="200"/>
        <w:textAlignment w:val="auto"/>
        <w:outlineLvl w:val="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（2）电子唱标。投标文件解密结束，各投标供应商报价均在</w:t>
      </w:r>
      <w:r>
        <w:rPr>
          <w:rFonts w:hint="eastAsia" w:ascii="宋体" w:hAnsi="宋体"/>
          <w:bCs/>
          <w:color w:val="000000" w:themeColor="text1"/>
          <w:szCs w:val="21"/>
          <w:highlight w:val="none"/>
          <w:lang w:eastAsia="zh-CN"/>
          <w14:textFill>
            <w14:solidFill>
              <w14:schemeClr w14:val="tx1"/>
            </w14:solidFill>
          </w14:textFill>
        </w:rPr>
        <w:t>广西政府采购云平台</w:t>
      </w:r>
      <w:r>
        <w:rPr>
          <w:rFonts w:hint="eastAsia" w:ascii="宋体" w:hAnsi="宋体"/>
          <w:bCs/>
          <w:color w:val="000000" w:themeColor="text1"/>
          <w:szCs w:val="21"/>
          <w:highlight w:val="none"/>
          <w14:textFill>
            <w14:solidFill>
              <w14:schemeClr w14:val="tx1"/>
            </w14:solidFill>
          </w14:textFill>
        </w:rPr>
        <w:t>远程不见面开标大厅展示；</w:t>
      </w:r>
    </w:p>
    <w:p w14:paraId="5EC80B99">
      <w:pPr>
        <w:pageBreakBefore w:val="0"/>
        <w:widowControl w:val="0"/>
        <w:kinsoku/>
        <w:wordWrap/>
        <w:overflowPunct/>
        <w:topLinePunct w:val="0"/>
        <w:autoSpaceDE w:val="0"/>
        <w:autoSpaceDN w:val="0"/>
        <w:bidi w:val="0"/>
        <w:adjustRightInd w:val="0"/>
        <w:spacing w:line="440" w:lineRule="exact"/>
        <w:ind w:firstLine="420" w:firstLineChars="200"/>
        <w:textAlignment w:val="auto"/>
        <w:outlineLvl w:val="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（3）签署电子《政府采购活动现场确认声明书》。通过邮件形式在远程不见面开标大厅发送各投标人签署电子《政府采购活动现场确认声明书》。</w:t>
      </w:r>
    </w:p>
    <w:p w14:paraId="586CDDD1">
      <w:pPr>
        <w:pageBreakBefore w:val="0"/>
        <w:widowControl w:val="0"/>
        <w:kinsoku/>
        <w:wordWrap/>
        <w:overflowPunct/>
        <w:topLinePunct w:val="0"/>
        <w:autoSpaceDE w:val="0"/>
        <w:autoSpaceDN w:val="0"/>
        <w:bidi w:val="0"/>
        <w:adjustRightInd w:val="0"/>
        <w:spacing w:line="440" w:lineRule="exact"/>
        <w:ind w:firstLine="420" w:firstLineChars="200"/>
        <w:textAlignment w:val="auto"/>
        <w:outlineLvl w:val="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（4）开标过程由采购代理机构如实记录，并电子留痕，由参加电子开标的各投标人代表对电子开标记录在开标记录公布后15分钟内进行当场校核及勘误，并线上确认，未确认的视同认可开标结果。</w:t>
      </w:r>
    </w:p>
    <w:p w14:paraId="75F33FB6">
      <w:pPr>
        <w:pageBreakBefore w:val="0"/>
        <w:widowControl w:val="0"/>
        <w:kinsoku/>
        <w:wordWrap/>
        <w:overflowPunct/>
        <w:topLinePunct w:val="0"/>
        <w:autoSpaceDE w:val="0"/>
        <w:autoSpaceDN w:val="0"/>
        <w:bidi w:val="0"/>
        <w:adjustRightInd w:val="0"/>
        <w:spacing w:line="440" w:lineRule="exact"/>
        <w:ind w:firstLine="420" w:firstLineChars="200"/>
        <w:textAlignment w:val="auto"/>
        <w:outlineLvl w:val="9"/>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7D7FEBB">
      <w:pPr>
        <w:pageBreakBefore w:val="0"/>
        <w:widowControl w:val="0"/>
        <w:kinsoku/>
        <w:wordWrap/>
        <w:overflowPunct/>
        <w:topLinePunct w:val="0"/>
        <w:autoSpaceDE w:val="0"/>
        <w:autoSpaceDN w:val="0"/>
        <w:bidi w:val="0"/>
        <w:adjustRightInd w:val="0"/>
        <w:spacing w:line="440" w:lineRule="exact"/>
        <w:ind w:firstLine="420" w:firstLineChars="200"/>
        <w:textAlignment w:val="auto"/>
        <w:outlineLvl w:val="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（6）开标结束。</w:t>
      </w:r>
    </w:p>
    <w:p w14:paraId="029162AE">
      <w:pPr>
        <w:pageBreakBefore w:val="0"/>
        <w:widowControl w:val="0"/>
        <w:kinsoku/>
        <w:wordWrap/>
        <w:overflowPunct/>
        <w:topLinePunct w:val="0"/>
        <w:autoSpaceDE w:val="0"/>
        <w:autoSpaceDN w:val="0"/>
        <w:bidi w:val="0"/>
        <w:adjustRightInd w:val="0"/>
        <w:spacing w:line="440" w:lineRule="exact"/>
        <w:ind w:firstLine="422" w:firstLineChars="200"/>
        <w:textAlignment w:val="auto"/>
        <w:outlineLvl w:val="9"/>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特别说明：如遇</w:t>
      </w:r>
      <w:r>
        <w:rPr>
          <w:rFonts w:hint="eastAsia" w:ascii="宋体" w:hAnsi="宋体"/>
          <w:b/>
          <w:bCs/>
          <w:color w:val="000000" w:themeColor="text1"/>
          <w:szCs w:val="21"/>
          <w:highlight w:val="none"/>
          <w:lang w:eastAsia="zh-CN"/>
          <w14:textFill>
            <w14:solidFill>
              <w14:schemeClr w14:val="tx1"/>
            </w14:solidFill>
          </w14:textFill>
        </w:rPr>
        <w:t>广西政府采购云平台</w:t>
      </w:r>
      <w:r>
        <w:rPr>
          <w:rFonts w:hint="eastAsia" w:ascii="宋体" w:hAnsi="宋体"/>
          <w:b/>
          <w:bCs/>
          <w:color w:val="000000" w:themeColor="text1"/>
          <w:szCs w:val="21"/>
          <w:highlight w:val="none"/>
          <w14:textFill>
            <w14:solidFill>
              <w14:schemeClr w14:val="tx1"/>
            </w14:solidFill>
          </w14:textFill>
        </w:rPr>
        <w:t>电子化开标或评审程序调整的，按调整后执行。</w:t>
      </w:r>
    </w:p>
    <w:p w14:paraId="6498C7BB">
      <w:pPr>
        <w:pStyle w:val="26"/>
        <w:pageBreakBefore w:val="0"/>
        <w:widowControl w:val="0"/>
        <w:kinsoku/>
        <w:wordWrap/>
        <w:overflowPunct/>
        <w:topLinePunct w:val="0"/>
        <w:bidi w:val="0"/>
        <w:snapToGrid w:val="0"/>
        <w:spacing w:line="360" w:lineRule="auto"/>
        <w:ind w:left="689" w:leftChars="228" w:hanging="210" w:hangingChars="100"/>
        <w:textAlignment w:val="auto"/>
        <w:outlineLvl w:val="9"/>
        <w:rPr>
          <w:rFonts w:hint="eastAsia" w:hAnsi="宋体"/>
          <w:color w:val="000000" w:themeColor="text1"/>
          <w:sz w:val="21"/>
          <w:highlight w:val="none"/>
          <w14:textFill>
            <w14:solidFill>
              <w14:schemeClr w14:val="tx1"/>
            </w14:solidFill>
          </w14:textFill>
        </w:rPr>
      </w:pPr>
    </w:p>
    <w:p w14:paraId="601EC689">
      <w:pPr>
        <w:keepNext w:val="0"/>
        <w:keepLines w:val="0"/>
        <w:pageBreakBefore w:val="0"/>
        <w:widowControl w:val="0"/>
        <w:kinsoku/>
        <w:wordWrap/>
        <w:overflowPunct/>
        <w:topLinePunct w:val="0"/>
        <w:bidi w:val="0"/>
        <w:jc w:val="center"/>
        <w:textAlignment w:val="auto"/>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五、资格审查</w:t>
      </w:r>
    </w:p>
    <w:p w14:paraId="7A953170">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25.资格审查</w:t>
      </w:r>
    </w:p>
    <w:p w14:paraId="2DAB3590">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25.1</w:t>
      </w:r>
      <w:r>
        <w:rPr>
          <w:rFonts w:ascii="宋体" w:hAnsi="宋体"/>
          <w:b/>
          <w:color w:val="000000" w:themeColor="text1"/>
          <w:sz w:val="21"/>
          <w:szCs w:val="21"/>
          <w:highlight w:val="none"/>
          <w14:textFill>
            <w14:solidFill>
              <w14:schemeClr w14:val="tx1"/>
            </w14:solidFill>
          </w14:textFill>
        </w:rPr>
        <w:t>开标结束后，</w:t>
      </w:r>
      <w:r>
        <w:rPr>
          <w:rFonts w:hint="eastAsia" w:ascii="宋体" w:hAnsi="宋体"/>
          <w:b/>
          <w:color w:val="000000" w:themeColor="text1"/>
          <w:sz w:val="21"/>
          <w:szCs w:val="21"/>
          <w:highlight w:val="none"/>
          <w14:textFill>
            <w14:solidFill>
              <w14:schemeClr w14:val="tx1"/>
            </w14:solidFill>
          </w14:textFill>
        </w:rPr>
        <w:t>采购人或者采购代理机构</w:t>
      </w:r>
      <w:r>
        <w:rPr>
          <w:rFonts w:ascii="宋体" w:hAnsi="宋体"/>
          <w:b/>
          <w:color w:val="000000" w:themeColor="text1"/>
          <w:sz w:val="21"/>
          <w:szCs w:val="21"/>
          <w:highlight w:val="none"/>
          <w14:textFill>
            <w14:solidFill>
              <w14:schemeClr w14:val="tx1"/>
            </w14:solidFill>
          </w14:textFill>
        </w:rPr>
        <w:t>依法对投标人的资格进行审查。</w:t>
      </w:r>
    </w:p>
    <w:p w14:paraId="5D1BD578">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25.2资格审查标准为本招标文件中载明对投标人资格要求的条件。本项目资格审查采用合格制，凡符合招标文件规定的投标人资格要求的投标人均通过资格审查。</w:t>
      </w:r>
    </w:p>
    <w:p w14:paraId="56854183">
      <w:pPr>
        <w:keepNext w:val="0"/>
        <w:keepLines w:val="0"/>
        <w:pageBreakBefore w:val="0"/>
        <w:widowControl w:val="0"/>
        <w:numPr>
          <w:ilvl w:val="0"/>
          <w:numId w:val="0"/>
        </w:numPr>
        <w:kinsoku/>
        <w:wordWrap/>
        <w:overflowPunct/>
        <w:topLinePunct w:val="0"/>
        <w:bidi w:val="0"/>
        <w:spacing w:before="0" w:after="0" w:line="360" w:lineRule="auto"/>
        <w:ind w:firstLine="420" w:firstLineChars="200"/>
        <w:textAlignment w:val="auto"/>
        <w:outlineLvl w:val="9"/>
        <w:rPr>
          <w:rFonts w:hint="eastAsia" w:ascii="宋体" w:hAnsi="宋体"/>
          <w:color w:val="000000" w:themeColor="text1"/>
          <w:sz w:val="21"/>
          <w:szCs w:val="21"/>
          <w:highlight w:val="none"/>
          <w14:textFill>
            <w14:solidFill>
              <w14:schemeClr w14:val="tx1"/>
            </w14:solidFill>
          </w14:textFill>
        </w:rPr>
      </w:pPr>
      <w:bookmarkStart w:id="162" w:name="_25.3_投标人有下列情形之一的，资格审查不通过而导致其投标无效："/>
      <w:bookmarkEnd w:id="162"/>
      <w:r>
        <w:rPr>
          <w:rFonts w:hint="eastAsia" w:ascii="宋体" w:hAnsi="宋体"/>
          <w:color w:val="000000" w:themeColor="text1"/>
          <w:sz w:val="21"/>
          <w:szCs w:val="21"/>
          <w:highlight w:val="none"/>
          <w14:textFill>
            <w14:solidFill>
              <w14:schemeClr w14:val="tx1"/>
            </w14:solidFill>
          </w14:textFill>
        </w:rPr>
        <w:t>25.3 投标人有下列情形之一的，资格审查不通过，作无效投标处理：</w:t>
      </w:r>
    </w:p>
    <w:p w14:paraId="68CFDD9D">
      <w:pPr>
        <w:pStyle w:val="26"/>
        <w:pageBreakBefore w:val="0"/>
        <w:widowControl w:val="0"/>
        <w:kinsoku/>
        <w:wordWrap/>
        <w:overflowPunct/>
        <w:topLinePunct w:val="0"/>
        <w:bidi w:val="0"/>
        <w:snapToGrid w:val="0"/>
        <w:spacing w:line="360" w:lineRule="auto"/>
        <w:ind w:firstLine="422" w:firstLineChars="200"/>
        <w:textAlignment w:val="auto"/>
        <w:outlineLvl w:val="9"/>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（1）未按招标文件规定的方式获取本招标文件的投标人；</w:t>
      </w:r>
    </w:p>
    <w:p w14:paraId="43191ABB">
      <w:pPr>
        <w:pStyle w:val="26"/>
        <w:pageBreakBefore w:val="0"/>
        <w:widowControl w:val="0"/>
        <w:kinsoku/>
        <w:wordWrap/>
        <w:overflowPunct/>
        <w:topLinePunct w:val="0"/>
        <w:bidi w:val="0"/>
        <w:snapToGrid w:val="0"/>
        <w:spacing w:line="360" w:lineRule="auto"/>
        <w:ind w:firstLine="422" w:firstLineChars="200"/>
        <w:textAlignment w:val="auto"/>
        <w:outlineLvl w:val="9"/>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（2）不具备招标文件中规定的资格要求的；</w:t>
      </w:r>
    </w:p>
    <w:p w14:paraId="01CE02AB">
      <w:pPr>
        <w:pStyle w:val="26"/>
        <w:pageBreakBefore w:val="0"/>
        <w:widowControl w:val="0"/>
        <w:kinsoku/>
        <w:wordWrap/>
        <w:overflowPunct/>
        <w:topLinePunct w:val="0"/>
        <w:bidi w:val="0"/>
        <w:snapToGrid w:val="0"/>
        <w:spacing w:line="360" w:lineRule="auto"/>
        <w:ind w:firstLine="422" w:firstLineChars="200"/>
        <w:textAlignment w:val="auto"/>
        <w:outlineLvl w:val="9"/>
        <w:rPr>
          <w:rFonts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2CD21FC3">
      <w:pPr>
        <w:pStyle w:val="26"/>
        <w:pageBreakBefore w:val="0"/>
        <w:widowControl w:val="0"/>
        <w:kinsoku/>
        <w:wordWrap/>
        <w:overflowPunct/>
        <w:topLinePunct w:val="0"/>
        <w:bidi w:val="0"/>
        <w:snapToGrid w:val="0"/>
        <w:spacing w:line="360" w:lineRule="auto"/>
        <w:ind w:firstLine="422" w:firstLineChars="200"/>
        <w:textAlignment w:val="auto"/>
        <w:outlineLvl w:val="9"/>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（4）同一合同项下的不同投标人，单位负责人为同一人或者存在直接控股、管理关系的；为本项目提供过整体设计、规范编制或者项目管理、监理、检测等服务的供应商，再参加该采购项目的其他采购活动的；</w:t>
      </w:r>
    </w:p>
    <w:p w14:paraId="39F7E5E2">
      <w:pPr>
        <w:pStyle w:val="26"/>
        <w:pageBreakBefore w:val="0"/>
        <w:widowControl w:val="0"/>
        <w:kinsoku/>
        <w:wordWrap/>
        <w:overflowPunct/>
        <w:topLinePunct w:val="0"/>
        <w:bidi w:val="0"/>
        <w:snapToGrid w:val="0"/>
        <w:spacing w:line="360" w:lineRule="auto"/>
        <w:ind w:firstLine="422" w:firstLineChars="200"/>
        <w:textAlignment w:val="auto"/>
        <w:outlineLvl w:val="9"/>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w:t>
      </w:r>
      <w:r>
        <w:rPr>
          <w:rFonts w:hAnsi="宋体"/>
          <w:b/>
          <w:color w:val="000000" w:themeColor="text1"/>
          <w:sz w:val="21"/>
          <w:highlight w:val="none"/>
          <w14:textFill>
            <w14:solidFill>
              <w14:schemeClr w14:val="tx1"/>
            </w14:solidFill>
          </w14:textFill>
        </w:rPr>
        <w:t>5</w:t>
      </w:r>
      <w:r>
        <w:rPr>
          <w:rFonts w:hint="eastAsia" w:hAnsi="宋体"/>
          <w:b/>
          <w:color w:val="000000" w:themeColor="text1"/>
          <w:sz w:val="21"/>
          <w:highlight w:val="none"/>
          <w14:textFill>
            <w14:solidFill>
              <w14:schemeClr w14:val="tx1"/>
            </w14:solidFill>
          </w14:textFill>
        </w:rPr>
        <w:t>）投标文件中的资格证明文件缺少任一项“投标人须知前附表”资格证明文件规定“必须提供”的文件资料的；</w:t>
      </w:r>
    </w:p>
    <w:p w14:paraId="54E420D1">
      <w:pPr>
        <w:pStyle w:val="26"/>
        <w:pageBreakBefore w:val="0"/>
        <w:widowControl w:val="0"/>
        <w:kinsoku/>
        <w:wordWrap/>
        <w:overflowPunct/>
        <w:topLinePunct w:val="0"/>
        <w:bidi w:val="0"/>
        <w:snapToGrid w:val="0"/>
        <w:spacing w:line="360" w:lineRule="auto"/>
        <w:ind w:firstLine="422" w:firstLineChars="200"/>
        <w:textAlignment w:val="auto"/>
        <w:outlineLvl w:val="9"/>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w:t>
      </w:r>
      <w:r>
        <w:rPr>
          <w:rFonts w:hAnsi="宋体"/>
          <w:b/>
          <w:color w:val="000000" w:themeColor="text1"/>
          <w:sz w:val="21"/>
          <w:highlight w:val="none"/>
          <w14:textFill>
            <w14:solidFill>
              <w14:schemeClr w14:val="tx1"/>
            </w14:solidFill>
          </w14:textFill>
        </w:rPr>
        <w:t>6</w:t>
      </w:r>
      <w:r>
        <w:rPr>
          <w:rFonts w:hint="eastAsia" w:hAnsi="宋体"/>
          <w:b/>
          <w:color w:val="000000" w:themeColor="text1"/>
          <w:sz w:val="21"/>
          <w:highlight w:val="none"/>
          <w14:textFill>
            <w14:solidFill>
              <w14:schemeClr w14:val="tx1"/>
            </w14:solidFill>
          </w14:textFill>
        </w:rPr>
        <w:t>）投标文件中的资格证明文件出现任一项不符合“投标人须知前附表”资格证明文件规定“必须提供”的文件资料要求或者无效的。</w:t>
      </w:r>
    </w:p>
    <w:p w14:paraId="6E66491E">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25.4</w:t>
      </w:r>
      <w:r>
        <w:rPr>
          <w:rFonts w:ascii="宋体" w:hAnsi="宋体"/>
          <w:b/>
          <w:color w:val="000000" w:themeColor="text1"/>
          <w:sz w:val="21"/>
          <w:szCs w:val="21"/>
          <w:highlight w:val="none"/>
          <w14:textFill>
            <w14:solidFill>
              <w14:schemeClr w14:val="tx1"/>
            </w14:solidFill>
          </w14:textFill>
        </w:rPr>
        <w:t>合格投标人不足3家的，不得评标。</w:t>
      </w:r>
    </w:p>
    <w:p w14:paraId="153ACD8F">
      <w:pPr>
        <w:pStyle w:val="26"/>
        <w:pageBreakBefore w:val="0"/>
        <w:widowControl w:val="0"/>
        <w:kinsoku/>
        <w:wordWrap/>
        <w:overflowPunct/>
        <w:topLinePunct w:val="0"/>
        <w:bidi w:val="0"/>
        <w:snapToGrid w:val="0"/>
        <w:spacing w:line="360" w:lineRule="auto"/>
        <w:ind w:left="689" w:leftChars="228" w:hanging="210" w:hangingChars="100"/>
        <w:textAlignment w:val="auto"/>
        <w:outlineLvl w:val="9"/>
        <w:rPr>
          <w:rFonts w:hint="eastAsia" w:hAnsi="宋体"/>
          <w:color w:val="000000" w:themeColor="text1"/>
          <w:sz w:val="21"/>
          <w:highlight w:val="none"/>
          <w14:textFill>
            <w14:solidFill>
              <w14:schemeClr w14:val="tx1"/>
            </w14:solidFill>
          </w14:textFill>
        </w:rPr>
      </w:pPr>
    </w:p>
    <w:p w14:paraId="6F99BB08">
      <w:pPr>
        <w:keepNext w:val="0"/>
        <w:keepLines w:val="0"/>
        <w:pageBreakBefore w:val="0"/>
        <w:widowControl w:val="0"/>
        <w:kinsoku/>
        <w:wordWrap/>
        <w:overflowPunct/>
        <w:topLinePunct w:val="0"/>
        <w:bidi w:val="0"/>
        <w:jc w:val="center"/>
        <w:textAlignment w:val="auto"/>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六、评   标</w:t>
      </w:r>
    </w:p>
    <w:p w14:paraId="50451C42">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bookmarkStart w:id="163" w:name="_26.组建评标委员会"/>
      <w:bookmarkEnd w:id="163"/>
      <w:r>
        <w:rPr>
          <w:rFonts w:hint="eastAsia" w:ascii="黑体" w:hAnsi="黑体" w:eastAsia="黑体"/>
          <w:color w:val="000000" w:themeColor="text1"/>
          <w:sz w:val="24"/>
          <w:highlight w:val="none"/>
          <w14:textFill>
            <w14:solidFill>
              <w14:schemeClr w14:val="tx1"/>
            </w14:solidFill>
          </w14:textFill>
        </w:rPr>
        <w:t>26.组建评标委员会</w:t>
      </w:r>
    </w:p>
    <w:p w14:paraId="643A617A">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评标委员会由采购人代表和评审专家组成，具体人数详见“投标人须知前附表”，其中评审专家不得少于成员总数的三分之二。</w:t>
      </w:r>
    </w:p>
    <w:p w14:paraId="06951321">
      <w:pPr>
        <w:pStyle w:val="26"/>
        <w:pageBreakBefore w:val="0"/>
        <w:widowControl w:val="0"/>
        <w:kinsoku/>
        <w:wordWrap/>
        <w:overflowPunct/>
        <w:topLinePunct w:val="0"/>
        <w:bidi w:val="0"/>
        <w:snapToGrid w:val="0"/>
        <w:spacing w:line="360" w:lineRule="auto"/>
        <w:ind w:left="2" w:leftChars="1"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参加过采购项目前期咨询论证的专家，不得参加该采购项目的评审活动。</w:t>
      </w:r>
    </w:p>
    <w:p w14:paraId="5EDD1502">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27.评标的依据</w:t>
      </w:r>
    </w:p>
    <w:p w14:paraId="19249CA1">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评标委员会以</w:t>
      </w:r>
      <w:r>
        <w:rPr>
          <w:rFonts w:hint="eastAsia" w:hAnsi="宋体" w:cs="宋体"/>
          <w:color w:val="000000" w:themeColor="text1"/>
          <w:sz w:val="21"/>
          <w:highlight w:val="none"/>
          <w14:textFill>
            <w14:solidFill>
              <w14:schemeClr w14:val="tx1"/>
            </w14:solidFill>
          </w14:textFill>
        </w:rPr>
        <w:t>“第四章 评标方法和评标标准”</w:t>
      </w:r>
      <w:r>
        <w:rPr>
          <w:rFonts w:hint="eastAsia" w:hAnsi="宋体"/>
          <w:color w:val="000000" w:themeColor="text1"/>
          <w:sz w:val="21"/>
          <w:highlight w:val="none"/>
          <w14:textFill>
            <w14:solidFill>
              <w14:schemeClr w14:val="tx1"/>
            </w14:solidFill>
          </w14:textFill>
        </w:rPr>
        <w:t>为依据对投标文件进行评审，</w:t>
      </w:r>
      <w:r>
        <w:rPr>
          <w:rFonts w:hAnsi="宋体"/>
          <w:color w:val="000000" w:themeColor="text1"/>
          <w:sz w:val="21"/>
          <w:highlight w:val="none"/>
          <w14:textFill>
            <w14:solidFill>
              <w14:schemeClr w14:val="tx1"/>
            </w14:solidFill>
          </w14:textFill>
        </w:rPr>
        <w:t>没有规定的方法、评审因素和标准，不作为评标依据。</w:t>
      </w:r>
    </w:p>
    <w:p w14:paraId="4B308776">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28.评标原则</w:t>
      </w:r>
    </w:p>
    <w:p w14:paraId="452E13CD">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DF3D186">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28.2</w:t>
      </w:r>
      <w:bookmarkStart w:id="164" w:name="_28.3评标方法。本项目将按须知前附表规定的评标办法进行评标，具体评标"/>
      <w:bookmarkEnd w:id="164"/>
      <w:r>
        <w:rPr>
          <w:rFonts w:hint="eastAsia" w:hAnsi="宋体"/>
          <w:color w:val="000000" w:themeColor="text1"/>
          <w:sz w:val="21"/>
          <w:highlight w:val="none"/>
          <w14:textFill>
            <w14:solidFill>
              <w14:schemeClr w14:val="tx1"/>
            </w14:solidFill>
          </w14:textFill>
        </w:rPr>
        <w:t>评委表决。评标委员会成员对需要共同认定的事项存在争议的，应当按照少数服从多数的原则作出结论。</w:t>
      </w:r>
    </w:p>
    <w:p w14:paraId="01361D55">
      <w:pPr>
        <w:pStyle w:val="26"/>
        <w:pageBreakBefore w:val="0"/>
        <w:widowControl w:val="0"/>
        <w:kinsoku/>
        <w:wordWrap/>
        <w:overflowPunct/>
        <w:topLinePunct w:val="0"/>
        <w:bidi w:val="0"/>
        <w:snapToGrid w:val="0"/>
        <w:spacing w:line="360" w:lineRule="auto"/>
        <w:ind w:firstLine="420" w:firstLineChars="200"/>
        <w:textAlignment w:val="auto"/>
        <w:outlineLvl w:val="9"/>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28.</w:t>
      </w:r>
      <w:r>
        <w:rPr>
          <w:rFonts w:hAnsi="宋体"/>
          <w:color w:val="000000" w:themeColor="text1"/>
          <w:sz w:val="21"/>
          <w:highlight w:val="none"/>
          <w14:textFill>
            <w14:solidFill>
              <w14:schemeClr w14:val="tx1"/>
            </w14:solidFill>
          </w14:textFill>
        </w:rPr>
        <w:t>3</w:t>
      </w:r>
      <w:r>
        <w:rPr>
          <w:rFonts w:hint="eastAsia" w:hAnsi="宋体"/>
          <w:color w:val="000000" w:themeColor="text1"/>
          <w:sz w:val="21"/>
          <w:highlight w:val="none"/>
          <w14:textFill>
            <w14:solidFill>
              <w14:schemeClr w14:val="tx1"/>
            </w14:solidFill>
          </w14:textFill>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5BFFE7A0">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8.4</w:t>
      </w:r>
      <w:r>
        <w:rPr>
          <w:rFonts w:hint="eastAsia" w:hAnsi="宋体"/>
          <w:color w:val="000000" w:themeColor="text1"/>
          <w:sz w:val="21"/>
          <w:highlight w:val="none"/>
          <w14:textFill>
            <w14:solidFill>
              <w14:schemeClr w14:val="tx1"/>
            </w14:solidFill>
          </w14:textFill>
        </w:rPr>
        <w:t>评标过程的监控。本项目评标过程实行全程录音、录像监控，</w:t>
      </w:r>
      <w:r>
        <w:rPr>
          <w:rFonts w:hint="eastAsia" w:hAnsi="宋体"/>
          <w:b/>
          <w:bCs/>
          <w:color w:val="000000" w:themeColor="text1"/>
          <w:sz w:val="21"/>
          <w:highlight w:val="none"/>
          <w14:textFill>
            <w14:solidFill>
              <w14:schemeClr w14:val="tx1"/>
            </w14:solidFill>
          </w14:textFill>
        </w:rPr>
        <w:t>投标人在评标过程中所进行的试图影响评标结果的不公正活动，可能导致其投标无效</w:t>
      </w:r>
      <w:r>
        <w:rPr>
          <w:rFonts w:hint="eastAsia" w:hAnsi="宋体"/>
          <w:color w:val="000000" w:themeColor="text1"/>
          <w:sz w:val="21"/>
          <w:highlight w:val="none"/>
          <w14:textFill>
            <w14:solidFill>
              <w14:schemeClr w14:val="tx1"/>
            </w14:solidFill>
          </w14:textFill>
        </w:rPr>
        <w:t>。</w:t>
      </w:r>
    </w:p>
    <w:p w14:paraId="70EDD5D5">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29.评标方法及中标候选人推荐</w:t>
      </w:r>
    </w:p>
    <w:p w14:paraId="699730AE">
      <w:pPr>
        <w:pStyle w:val="26"/>
        <w:pageBreakBefore w:val="0"/>
        <w:widowControl w:val="0"/>
        <w:kinsoku/>
        <w:wordWrap/>
        <w:overflowPunct/>
        <w:topLinePunct w:val="0"/>
        <w:bidi w:val="0"/>
        <w:snapToGrid w:val="0"/>
        <w:spacing w:line="360" w:lineRule="auto"/>
        <w:ind w:firstLine="420" w:firstLineChars="200"/>
        <w:textAlignment w:val="auto"/>
        <w:outlineLvl w:val="9"/>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9.1</w:t>
      </w:r>
      <w:r>
        <w:rPr>
          <w:rFonts w:hint="eastAsia" w:hAnsi="宋体"/>
          <w:color w:val="000000" w:themeColor="text1"/>
          <w:sz w:val="21"/>
          <w:highlight w:val="none"/>
          <w14:textFill>
            <w14:solidFill>
              <w14:schemeClr w14:val="tx1"/>
            </w14:solidFill>
          </w14:textFill>
        </w:rPr>
        <w:t>本项目的评标方法详见“投标人须知前附表”。</w:t>
      </w:r>
    </w:p>
    <w:p w14:paraId="4BC71F48">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9.2</w:t>
      </w:r>
      <w:r>
        <w:rPr>
          <w:rFonts w:hAnsi="宋体" w:cs="宋体"/>
          <w:color w:val="000000" w:themeColor="text1"/>
          <w:sz w:val="21"/>
          <w:highlight w:val="none"/>
          <w14:textFill>
            <w14:solidFill>
              <w14:schemeClr w14:val="tx1"/>
            </w14:solidFill>
          </w14:textFill>
        </w:rPr>
        <w:t xml:space="preserve"> </w:t>
      </w:r>
      <w:r>
        <w:rPr>
          <w:rFonts w:hAnsi="宋体"/>
          <w:color w:val="000000" w:themeColor="text1"/>
          <w:sz w:val="21"/>
          <w:highlight w:val="none"/>
          <w14:textFill>
            <w14:solidFill>
              <w14:schemeClr w14:val="tx1"/>
            </w14:solidFill>
          </w14:textFill>
        </w:rPr>
        <w:t>中标候选人推荐数量详见</w:t>
      </w:r>
      <w:r>
        <w:rPr>
          <w:rFonts w:hint="eastAsia" w:hAnsi="宋体"/>
          <w:color w:val="000000" w:themeColor="text1"/>
          <w:sz w:val="21"/>
          <w:highlight w:val="none"/>
          <w14:textFill>
            <w14:solidFill>
              <w14:schemeClr w14:val="tx1"/>
            </w14:solidFill>
          </w14:textFill>
        </w:rPr>
        <w:t>“投标人须知前附表”。</w:t>
      </w:r>
    </w:p>
    <w:p w14:paraId="1A137AEE">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评标委员会</w:t>
      </w:r>
      <w:r>
        <w:rPr>
          <w:rFonts w:hint="eastAsia" w:hAnsi="宋体"/>
          <w:color w:val="000000" w:themeColor="text1"/>
          <w:sz w:val="21"/>
          <w:highlight w:val="none"/>
          <w14:textFill>
            <w14:solidFill>
              <w14:schemeClr w14:val="tx1"/>
            </w14:solidFill>
          </w14:textFill>
        </w:rPr>
        <w:t>将</w:t>
      </w:r>
      <w:r>
        <w:rPr>
          <w:rFonts w:hAnsi="宋体"/>
          <w:color w:val="000000" w:themeColor="text1"/>
          <w:sz w:val="21"/>
          <w:highlight w:val="none"/>
          <w14:textFill>
            <w14:solidFill>
              <w14:schemeClr w14:val="tx1"/>
            </w14:solidFill>
          </w14:textFill>
        </w:rPr>
        <w:t>按照</w:t>
      </w:r>
      <w:r>
        <w:rPr>
          <w:rFonts w:hint="eastAsia" w:hAnsi="宋体"/>
          <w:color w:val="000000" w:themeColor="text1"/>
          <w:sz w:val="21"/>
          <w:highlight w:val="none"/>
          <w14:textFill>
            <w14:solidFill>
              <w14:schemeClr w14:val="tx1"/>
            </w14:solidFill>
          </w14:textFill>
        </w:rPr>
        <w:t>“第四章 评标方法和评标标准”</w:t>
      </w:r>
      <w:r>
        <w:rPr>
          <w:rFonts w:hAnsi="宋体"/>
          <w:color w:val="000000" w:themeColor="text1"/>
          <w:sz w:val="21"/>
          <w:highlight w:val="none"/>
          <w14:textFill>
            <w14:solidFill>
              <w14:schemeClr w14:val="tx1"/>
            </w14:solidFill>
          </w14:textFill>
        </w:rPr>
        <w:t>规定的方法、评审因素、标准和程序对投标文件进行评审。</w:t>
      </w:r>
    </w:p>
    <w:p w14:paraId="11B645FB">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29.4电子交易活动的中止。采购过程中出现以下情形，导致电子交易平台无法正常运行，或者无法保证电子交易的公平、公正和安全时，采购代理机构可中止电子交易活动：</w:t>
      </w:r>
    </w:p>
    <w:p w14:paraId="75BAEF6D">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（1）电子交易平台发生故障而无法登录访问的； </w:t>
      </w:r>
    </w:p>
    <w:p w14:paraId="33730147">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（2）电子交易平台应用或数据库出现错误，不能进行正常操作的；</w:t>
      </w:r>
    </w:p>
    <w:p w14:paraId="70DB5A3B">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（3）电子交易平台发现严重安全漏洞，有潜在泄密危险的；</w:t>
      </w:r>
    </w:p>
    <w:p w14:paraId="6BD6B680">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 xml:space="preserve">（4）病毒发作导致不能进行正常操作的； </w:t>
      </w:r>
    </w:p>
    <w:p w14:paraId="35BE3E05">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（4）其他无法保证电子交易的公平、公正和安全的情况。</w:t>
      </w:r>
    </w:p>
    <w:p w14:paraId="1A0EDE75">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29.5出现以上情形，不影响采购公平、公正性的，采购代理机构可以待上述情形消除后继续组织电子交易活动；影响或可能影响采购公平、公正性的，经采购代理机构确认后，应当重新采购。</w:t>
      </w:r>
    </w:p>
    <w:p w14:paraId="10BEAA64">
      <w:pPr>
        <w:pStyle w:val="26"/>
        <w:pageBreakBefore w:val="0"/>
        <w:widowControl w:val="0"/>
        <w:kinsoku/>
        <w:wordWrap/>
        <w:overflowPunct/>
        <w:topLinePunct w:val="0"/>
        <w:bidi w:val="0"/>
        <w:snapToGrid w:val="0"/>
        <w:spacing w:line="360" w:lineRule="auto"/>
        <w:textAlignment w:val="auto"/>
        <w:outlineLvl w:val="9"/>
        <w:rPr>
          <w:rFonts w:hint="eastAsia" w:hAnsi="宋体"/>
          <w:color w:val="000000" w:themeColor="text1"/>
          <w:sz w:val="21"/>
          <w:highlight w:val="none"/>
          <w14:textFill>
            <w14:solidFill>
              <w14:schemeClr w14:val="tx1"/>
            </w14:solidFill>
          </w14:textFill>
        </w:rPr>
      </w:pPr>
    </w:p>
    <w:p w14:paraId="6937B58F">
      <w:pPr>
        <w:keepNext w:val="0"/>
        <w:keepLines w:val="0"/>
        <w:pageBreakBefore w:val="0"/>
        <w:widowControl w:val="0"/>
        <w:kinsoku/>
        <w:wordWrap/>
        <w:overflowPunct/>
        <w:topLinePunct w:val="0"/>
        <w:bidi w:val="0"/>
        <w:jc w:val="center"/>
        <w:textAlignment w:val="auto"/>
        <w:outlineLvl w:val="9"/>
        <w:rPr>
          <w:rFonts w:hint="eastAsia"/>
          <w:color w:val="000000" w:themeColor="text1"/>
          <w:highlight w:val="none"/>
          <w14:textFill>
            <w14:solidFill>
              <w14:schemeClr w14:val="tx1"/>
            </w14:solidFill>
          </w14:textFill>
        </w:rPr>
      </w:pPr>
      <w:bookmarkStart w:id="165" w:name="_Toc254970687"/>
      <w:bookmarkStart w:id="166" w:name="_Toc254970546"/>
      <w:r>
        <w:rPr>
          <w:rFonts w:hint="eastAsia"/>
          <w:color w:val="000000" w:themeColor="text1"/>
          <w:highlight w:val="none"/>
          <w14:textFill>
            <w14:solidFill>
              <w14:schemeClr w14:val="tx1"/>
            </w14:solidFill>
          </w14:textFill>
        </w:rPr>
        <w:t>七、</w:t>
      </w:r>
      <w:bookmarkEnd w:id="165"/>
      <w:bookmarkEnd w:id="166"/>
      <w:r>
        <w:rPr>
          <w:rFonts w:hint="eastAsia"/>
          <w:color w:val="000000" w:themeColor="text1"/>
          <w:highlight w:val="none"/>
          <w14:textFill>
            <w14:solidFill>
              <w14:schemeClr w14:val="tx1"/>
            </w14:solidFill>
          </w14:textFill>
        </w:rPr>
        <w:t>中标和合同</w:t>
      </w:r>
    </w:p>
    <w:p w14:paraId="315E6A37">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30</w:t>
      </w:r>
      <w:r>
        <w:rPr>
          <w:rFonts w:ascii="黑体" w:hAnsi="黑体" w:eastAsia="黑体"/>
          <w:color w:val="000000" w:themeColor="text1"/>
          <w:sz w:val="24"/>
          <w:highlight w:val="none"/>
          <w14:textFill>
            <w14:solidFill>
              <w14:schemeClr w14:val="tx1"/>
            </w14:solidFill>
          </w14:textFill>
        </w:rPr>
        <w:t xml:space="preserve"> </w:t>
      </w:r>
      <w:r>
        <w:rPr>
          <w:rFonts w:hint="eastAsia" w:ascii="黑体" w:hAnsi="黑体" w:eastAsia="黑体"/>
          <w:color w:val="000000" w:themeColor="text1"/>
          <w:sz w:val="24"/>
          <w:highlight w:val="none"/>
          <w14:textFill>
            <w14:solidFill>
              <w14:schemeClr w14:val="tx1"/>
            </w14:solidFill>
          </w14:textFill>
        </w:rPr>
        <w:t>确定中标人</w:t>
      </w:r>
    </w:p>
    <w:p w14:paraId="4D2A8EBD">
      <w:pPr>
        <w:keepNext w:val="0"/>
        <w:keepLines w:val="0"/>
        <w:pageBreakBefore w:val="0"/>
        <w:widowControl w:val="0"/>
        <w:kinsoku/>
        <w:wordWrap/>
        <w:overflowPunct/>
        <w:topLinePunct w:val="0"/>
        <w:autoSpaceDE/>
        <w:autoSpaceDN/>
        <w:bidi w:val="0"/>
        <w:adjustRightInd/>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ascii="宋体" w:hAnsi="宋体"/>
          <w:b/>
          <w:color w:val="000000" w:themeColor="text1"/>
          <w:sz w:val="21"/>
          <w:szCs w:val="21"/>
          <w:highlight w:val="none"/>
          <w14:textFill>
            <w14:solidFill>
              <w14:schemeClr w14:val="tx1"/>
            </w14:solidFill>
          </w14:textFill>
        </w:rPr>
        <w:t>30.1</w:t>
      </w:r>
      <w:r>
        <w:rPr>
          <w:rFonts w:hint="eastAsia" w:ascii="宋体" w:hAnsi="宋体"/>
          <w:b/>
          <w:color w:val="000000" w:themeColor="text1"/>
          <w:sz w:val="21"/>
          <w:szCs w:val="21"/>
          <w:highlight w:val="none"/>
          <w14:textFill>
            <w14:solidFill>
              <w14:schemeClr w14:val="tx1"/>
            </w14:solidFill>
          </w14:textFill>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1B109BF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30.2</w:t>
      </w:r>
      <w:r>
        <w:rPr>
          <w:rFonts w:hint="eastAsia" w:ascii="宋体" w:hAnsi="宋体" w:cs="Courier New"/>
          <w:color w:val="000000" w:themeColor="text1"/>
          <w:szCs w:val="21"/>
          <w:highlight w:val="none"/>
          <w14:textFill>
            <w14:solidFill>
              <w14:schemeClr w14:val="tx1"/>
            </w14:solidFill>
          </w14:textFill>
        </w:rPr>
        <w:t>采购人在收到评标报告5个工作日内未按评标报告推荐的中标候选人顺序确定中标人，又不能说明合法理由的，视同按评标报告推荐的顺序确定排名第一的中标候选人为中标人。</w:t>
      </w:r>
    </w:p>
    <w:p w14:paraId="3FB5DAC5">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30.3出现下列情形之一的，应予废标：</w:t>
      </w:r>
    </w:p>
    <w:p w14:paraId="2A2233F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（1）符合专业条件的供应商或者对招标文件作实质响应的供应商不足三家的；</w:t>
      </w:r>
    </w:p>
    <w:p w14:paraId="37DAE16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（2）出现影响采购公正的违法、违规行为的；</w:t>
      </w:r>
    </w:p>
    <w:p w14:paraId="606F56D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（3）投标人的报价均超过了采购预算，采购人不能支付的；</w:t>
      </w:r>
    </w:p>
    <w:p w14:paraId="4C445E4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（4）因重大变故，采购任务取消的。</w:t>
      </w:r>
    </w:p>
    <w:p w14:paraId="02D028E0">
      <w:pPr>
        <w:pageBreakBefore w:val="0"/>
        <w:widowControl w:val="0"/>
        <w:kinsoku/>
        <w:wordWrap/>
        <w:overflowPunct/>
        <w:topLinePunct w:val="0"/>
        <w:bidi w:val="0"/>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废标后，采购人应当将废标理由通知所有投标人。</w:t>
      </w:r>
    </w:p>
    <w:p w14:paraId="40A8900A">
      <w:pPr>
        <w:pageBreakBefore w:val="0"/>
        <w:widowControl w:val="0"/>
        <w:kinsoku/>
        <w:wordWrap/>
        <w:overflowPunct/>
        <w:topLinePunct w:val="0"/>
        <w:bidi w:val="0"/>
        <w:snapToGrid w:val="0"/>
        <w:spacing w:line="360" w:lineRule="auto"/>
        <w:ind w:firstLine="420" w:firstLineChars="200"/>
        <w:textAlignment w:val="auto"/>
        <w:outlineLvl w:val="9"/>
        <w:rPr>
          <w:rFonts w:hint="eastAsia" w:ascii="宋体" w:hAnsi="宋体" w:cs="Courier New"/>
          <w:color w:val="000000" w:themeColor="text1"/>
          <w:szCs w:val="21"/>
          <w:highlight w:val="none"/>
          <w14:textFill>
            <w14:solidFill>
              <w14:schemeClr w14:val="tx1"/>
            </w14:solidFill>
          </w14:textFill>
        </w:rPr>
      </w:pPr>
      <w:r>
        <w:rPr>
          <w:rFonts w:ascii="宋体" w:hAnsi="宋体" w:cs="Courier New"/>
          <w:color w:val="000000" w:themeColor="text1"/>
          <w:szCs w:val="21"/>
          <w:highlight w:val="none"/>
          <w14:textFill>
            <w14:solidFill>
              <w14:schemeClr w14:val="tx1"/>
            </w14:solidFill>
          </w14:textFill>
        </w:rPr>
        <w:t>30.</w:t>
      </w:r>
      <w:r>
        <w:rPr>
          <w:rFonts w:hint="eastAsia" w:ascii="宋体" w:hAnsi="宋体" w:cs="Courier New"/>
          <w:color w:val="000000" w:themeColor="text1"/>
          <w:szCs w:val="21"/>
          <w:highlight w:val="none"/>
          <w14:textFill>
            <w14:solidFill>
              <w14:schemeClr w14:val="tx1"/>
            </w14:solidFill>
          </w14:textFill>
        </w:rPr>
        <w:t>4 中标人拒绝签订政府采购合同（包括但不限于放弃中标、因不可抗力不能履行合同而放弃签订合同），采购人可以按照评审报告推荐的中标候选人名单排序，确定下一候选人为中标供应商，也可以重新开展政府采购活动。</w:t>
      </w:r>
      <w:r>
        <w:rPr>
          <w:rFonts w:ascii="宋体" w:hAnsi="宋体" w:cs="Courier New"/>
          <w:color w:val="000000" w:themeColor="text1"/>
          <w:szCs w:val="21"/>
          <w:highlight w:val="none"/>
          <w14:textFill>
            <w14:solidFill>
              <w14:schemeClr w14:val="tx1"/>
            </w14:solidFill>
          </w14:textFill>
        </w:rPr>
        <w:t>拒绝签订政府采购合同的</w:t>
      </w:r>
      <w:r>
        <w:rPr>
          <w:rFonts w:hint="eastAsia" w:ascii="宋体" w:hAnsi="宋体" w:cs="Courier New"/>
          <w:color w:val="000000" w:themeColor="text1"/>
          <w:szCs w:val="21"/>
          <w:highlight w:val="none"/>
          <w14:textFill>
            <w14:solidFill>
              <w14:schemeClr w14:val="tx1"/>
            </w14:solidFill>
          </w14:textFill>
        </w:rPr>
        <w:t>中标人</w:t>
      </w:r>
      <w:r>
        <w:rPr>
          <w:rFonts w:ascii="宋体" w:hAnsi="宋体" w:cs="Courier New"/>
          <w:color w:val="000000" w:themeColor="text1"/>
          <w:szCs w:val="21"/>
          <w:highlight w:val="none"/>
          <w14:textFill>
            <w14:solidFill>
              <w14:schemeClr w14:val="tx1"/>
            </w14:solidFill>
          </w14:textFill>
        </w:rPr>
        <w:t>不得参加对该项目重新开展的采购活动。</w:t>
      </w:r>
    </w:p>
    <w:p w14:paraId="1F8CEB1B">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31. 结果公告</w:t>
      </w:r>
    </w:p>
    <w:p w14:paraId="62369CDE">
      <w:pPr>
        <w:keepNext w:val="0"/>
        <w:keepLines w:val="0"/>
        <w:pageBreakBefore w:val="0"/>
        <w:widowControl w:val="0"/>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3</w:t>
      </w:r>
      <w:r>
        <w:rPr>
          <w:rFonts w:ascii="宋体" w:hAnsi="宋体"/>
          <w:b/>
          <w:color w:val="000000" w:themeColor="text1"/>
          <w:sz w:val="21"/>
          <w:szCs w:val="21"/>
          <w:highlight w:val="none"/>
          <w14:textFill>
            <w14:solidFill>
              <w14:schemeClr w14:val="tx1"/>
            </w14:solidFill>
          </w14:textFill>
        </w:rPr>
        <w:t>1.1</w:t>
      </w:r>
      <w:r>
        <w:rPr>
          <w:rFonts w:hint="eastAsia" w:ascii="宋体" w:hAnsi="宋体"/>
          <w:b/>
          <w:color w:val="000000" w:themeColor="text1"/>
          <w:sz w:val="21"/>
          <w:szCs w:val="21"/>
          <w:highlight w:val="none"/>
          <w14:textFill>
            <w14:solidFill>
              <w14:schemeClr w14:val="tx1"/>
            </w14:solidFill>
          </w14:textFill>
        </w:rPr>
        <w:t>采购人或者采购代理机构应当自中标人确定之日起2个工作日内，在省级以上财政部门指定的媒体上公告中标结果，招标文件应当随中标结果同时公告。</w:t>
      </w:r>
      <w:r>
        <w:rPr>
          <w:rFonts w:hint="eastAsia" w:ascii="宋体" w:hAnsi="宋体"/>
          <w:color w:val="000000" w:themeColor="text1"/>
          <w:sz w:val="21"/>
          <w:szCs w:val="21"/>
          <w:highlight w:val="none"/>
          <w14:textFill>
            <w14:solidFill>
              <w14:schemeClr w14:val="tx1"/>
            </w14:solidFill>
          </w14:textFill>
        </w:rPr>
        <w:t>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b/>
          <w:color w:val="000000" w:themeColor="text1"/>
          <w:sz w:val="21"/>
          <w:szCs w:val="21"/>
          <w:highlight w:val="none"/>
          <w14:textFill>
            <w14:solidFill>
              <w14:schemeClr w14:val="tx1"/>
            </w14:solidFill>
          </w14:textFill>
        </w:rPr>
        <w:t>排名第二的中标候选人因前款规定的同样原因被取消中标资格的，采购人可以确定排名第三的中标候选人为中标人，以此类推。以上信息查询记录及相关证据与采购文件一并保存。</w:t>
      </w:r>
    </w:p>
    <w:p w14:paraId="3B14AFFB">
      <w:pPr>
        <w:keepNext w:val="0"/>
        <w:keepLines w:val="0"/>
        <w:pageBreakBefore w:val="0"/>
        <w:widowControl w:val="0"/>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31.2中标供应商享受《政府采购促进中小企业发展管理办法》（财库〔2020〕46号）规定的中小企业扶持政策的，采购人、采购代理机构应当随中标结果公开中标供应商的《中小企业声明函》。</w:t>
      </w:r>
    </w:p>
    <w:p w14:paraId="45094E8C">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32.发出中标通知书</w:t>
      </w:r>
    </w:p>
    <w:p w14:paraId="05FE197F">
      <w:pPr>
        <w:keepNext w:val="0"/>
        <w:keepLines w:val="0"/>
        <w:pageBreakBefore w:val="0"/>
        <w:widowControl w:val="0"/>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在公告中标结果的同时，采购代理机构向中标人发出中标通知书。对未通过资格审查的投标人，应当告知其未通过的原因；采用综合评分办法评审的，还应当告知未中标人本人的评审得分与排序。</w:t>
      </w:r>
    </w:p>
    <w:p w14:paraId="2A6B005E">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33. 无义务解释未中标原因</w:t>
      </w:r>
    </w:p>
    <w:p w14:paraId="34DDB916">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采购代理机构无义务向未中标的投标人解释未中标原因和退还投标文件。</w:t>
      </w:r>
    </w:p>
    <w:p w14:paraId="71DBD62D">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34.合同授予标准</w:t>
      </w:r>
    </w:p>
    <w:p w14:paraId="4A0FCD26">
      <w:pPr>
        <w:pageBreakBefore w:val="0"/>
        <w:widowControl w:val="0"/>
        <w:kinsoku/>
        <w:wordWrap/>
        <w:overflowPunct/>
        <w:topLinePunct w:val="0"/>
        <w:bidi w:val="0"/>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合同将授予被确定实质上响应招标文件要求，具备履行合同能力的中标人。</w:t>
      </w:r>
    </w:p>
    <w:p w14:paraId="1A723ACD">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35.履约保证金</w:t>
      </w:r>
    </w:p>
    <w:p w14:paraId="76DE0E0C">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bookmarkStart w:id="167" w:name="_39.1中标人须于签订合同前按本须知前附表规定的金额转账或电汇到指定账"/>
      <w:bookmarkEnd w:id="167"/>
      <w:r>
        <w:rPr>
          <w:rFonts w:ascii="宋体" w:hAnsi="宋体"/>
          <w:b/>
          <w:color w:val="000000" w:themeColor="text1"/>
          <w:sz w:val="21"/>
          <w:szCs w:val="21"/>
          <w:highlight w:val="none"/>
          <w14:textFill>
            <w14:solidFill>
              <w14:schemeClr w14:val="tx1"/>
            </w14:solidFill>
          </w14:textFill>
        </w:rPr>
        <w:t xml:space="preserve"> </w:t>
      </w:r>
      <w:r>
        <w:rPr>
          <w:rFonts w:hint="eastAsia" w:ascii="宋体" w:hAnsi="宋体"/>
          <w:b/>
          <w:color w:val="000000" w:themeColor="text1"/>
          <w:sz w:val="21"/>
          <w:szCs w:val="21"/>
          <w:highlight w:val="none"/>
          <w14:textFill>
            <w14:solidFill>
              <w14:schemeClr w14:val="tx1"/>
            </w14:solidFill>
          </w14:textFill>
        </w:rPr>
        <w:t>3</w:t>
      </w:r>
      <w:r>
        <w:rPr>
          <w:rFonts w:ascii="宋体" w:hAnsi="宋体"/>
          <w:b/>
          <w:color w:val="000000" w:themeColor="text1"/>
          <w:sz w:val="21"/>
          <w:szCs w:val="21"/>
          <w:highlight w:val="none"/>
          <w14:textFill>
            <w14:solidFill>
              <w14:schemeClr w14:val="tx1"/>
            </w14:solidFill>
          </w14:textFill>
        </w:rPr>
        <w:t>5</w:t>
      </w:r>
      <w:r>
        <w:rPr>
          <w:rFonts w:hint="eastAsia" w:ascii="宋体" w:hAnsi="宋体"/>
          <w:b/>
          <w:color w:val="000000" w:themeColor="text1"/>
          <w:sz w:val="21"/>
          <w:szCs w:val="21"/>
          <w:highlight w:val="none"/>
          <w14:textFill>
            <w14:solidFill>
              <w14:schemeClr w14:val="tx1"/>
            </w14:solidFill>
          </w14:textFill>
        </w:rPr>
        <w:t>.1 履约保证金的金额、提交方式、退付的时间和条件详见 “投标人须知前附表”。中标人未按规定提交履约保证金的，视为拒绝与采购人签订合同。</w:t>
      </w:r>
    </w:p>
    <w:p w14:paraId="5C6D75C1">
      <w:pPr>
        <w:keepNext w:val="0"/>
        <w:keepLines w:val="0"/>
        <w:pageBreakBefore w:val="0"/>
        <w:widowControl w:val="0"/>
        <w:kinsoku/>
        <w:wordWrap/>
        <w:overflowPunct/>
        <w:topLinePunct w:val="0"/>
        <w:bidi w:val="0"/>
        <w:spacing w:before="0" w:after="0" w:line="360" w:lineRule="auto"/>
        <w:ind w:firstLine="315" w:firstLineChars="150"/>
        <w:textAlignment w:val="auto"/>
        <w:outlineLvl w:val="9"/>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 xml:space="preserve"> </w:t>
      </w:r>
      <w:r>
        <w:rPr>
          <w:rFonts w:hint="eastAsia" w:ascii="宋体" w:hAnsi="宋体"/>
          <w:b/>
          <w:bCs/>
          <w:color w:val="000000" w:themeColor="text1"/>
          <w:sz w:val="21"/>
          <w:szCs w:val="21"/>
          <w:highlight w:val="none"/>
          <w14:textFill>
            <w14:solidFill>
              <w14:schemeClr w14:val="tx1"/>
            </w14:solidFill>
          </w14:textFill>
        </w:rPr>
        <w:t>35.2在履约保证金退还日期前，若中标人的开户名称、开户银行、帐号有变动的，请以书面形式通知履约保证金收取单位，否则由此产生的后果由中标人自行承担。</w:t>
      </w:r>
    </w:p>
    <w:p w14:paraId="3AADC182">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36.签订合同</w:t>
      </w:r>
    </w:p>
    <w:p w14:paraId="4A9592F1">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hint="eastAsia" w:ascii="宋体" w:hAnsi="宋体"/>
          <w:b/>
          <w:bCs/>
          <w:color w:val="000000" w:themeColor="text1"/>
          <w:sz w:val="21"/>
          <w:szCs w:val="21"/>
          <w:highlight w:val="none"/>
          <w14:textFill>
            <w14:solidFill>
              <w14:schemeClr w14:val="tx1"/>
            </w14:solidFill>
          </w14:textFill>
        </w:rPr>
      </w:pPr>
      <w:bookmarkStart w:id="168" w:name="_40.1投标人接到中标通知书后，按须知前附表规定向采购人出示相关资格证"/>
      <w:bookmarkEnd w:id="168"/>
      <w:r>
        <w:rPr>
          <w:rFonts w:hint="eastAsia" w:ascii="宋体" w:hAnsi="宋体"/>
          <w:b/>
          <w:color w:val="000000" w:themeColor="text1"/>
          <w:sz w:val="21"/>
          <w:szCs w:val="21"/>
          <w:highlight w:val="none"/>
          <w14:textFill>
            <w14:solidFill>
              <w14:schemeClr w14:val="tx1"/>
            </w14:solidFill>
          </w14:textFill>
        </w:rPr>
        <w:t xml:space="preserve"> 36.1投标人领取中标通知书（书面或电子）后，按“投标人须知前附表”规定向采购人出示相关证明材料，经采购人核验合格后方可签订采购合同（书面或电子）。</w:t>
      </w:r>
      <w:r>
        <w:rPr>
          <w:rFonts w:hint="eastAsia" w:ascii="宋体" w:hAnsi="宋体"/>
          <w:b/>
          <w:bCs/>
          <w:color w:val="000000" w:themeColor="text1"/>
          <w:sz w:val="21"/>
          <w:szCs w:val="21"/>
          <w:highlight w:val="none"/>
          <w14:textFill>
            <w14:solidFill>
              <w14:schemeClr w14:val="tx1"/>
            </w14:solidFill>
          </w14:textFill>
        </w:rPr>
        <w:t>如中标人为联合体的，</w:t>
      </w:r>
      <w:r>
        <w:rPr>
          <w:rFonts w:ascii="宋体" w:hAnsi="宋体"/>
          <w:b/>
          <w:bCs/>
          <w:color w:val="000000" w:themeColor="text1"/>
          <w:sz w:val="21"/>
          <w:szCs w:val="21"/>
          <w:highlight w:val="none"/>
          <w14:textFill>
            <w14:solidFill>
              <w14:schemeClr w14:val="tx1"/>
            </w14:solidFill>
          </w14:textFill>
        </w:rPr>
        <w:t>联合体各方应当共同与采购人签订采购合同，就采购合同约定的事项对采购人承担连带责任。</w:t>
      </w:r>
    </w:p>
    <w:p w14:paraId="6B2ABE7D">
      <w:pPr>
        <w:keepNext w:val="0"/>
        <w:keepLines w:val="0"/>
        <w:pageBreakBefore w:val="0"/>
        <w:widowControl w:val="0"/>
        <w:numPr>
          <w:ilvl w:val="0"/>
          <w:numId w:val="0"/>
        </w:numPr>
        <w:kinsoku/>
        <w:wordWrap/>
        <w:overflowPunct/>
        <w:topLinePunct w:val="0"/>
        <w:bidi w:val="0"/>
        <w:spacing w:before="0" w:after="0" w:line="360" w:lineRule="auto"/>
        <w:ind w:firstLine="422" w:firstLine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36.2签订合同时间：按中标通知书规定的时间与采购人签订合同（最长不能超过25日）。</w:t>
      </w:r>
    </w:p>
    <w:p w14:paraId="6E7A1435">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36.</w:t>
      </w:r>
      <w:r>
        <w:rPr>
          <w:rFonts w:ascii="宋体" w:hAnsi="宋体"/>
          <w:b/>
          <w:color w:val="000000" w:themeColor="text1"/>
          <w:sz w:val="21"/>
          <w:szCs w:val="21"/>
          <w:highlight w:val="none"/>
          <w14:textFill>
            <w14:solidFill>
              <w14:schemeClr w14:val="tx1"/>
            </w14:solidFill>
          </w14:textFill>
        </w:rPr>
        <w:t>3</w:t>
      </w:r>
      <w:r>
        <w:rPr>
          <w:rFonts w:hint="eastAsia" w:ascii="宋体" w:hAnsi="宋体"/>
          <w:b/>
          <w:color w:val="000000" w:themeColor="text1"/>
          <w:sz w:val="21"/>
          <w:szCs w:val="21"/>
          <w:highlight w:val="none"/>
          <w14:textFill>
            <w14:solidFill>
              <w14:schemeClr w14:val="tx1"/>
            </w14:solidFill>
          </w14:textFill>
        </w:rPr>
        <w:t>中标人拒绝与采购人签订合同的，按照本须知正文第3</w:t>
      </w:r>
      <w:r>
        <w:rPr>
          <w:rFonts w:ascii="宋体" w:hAnsi="宋体"/>
          <w:b/>
          <w:color w:val="000000" w:themeColor="text1"/>
          <w:sz w:val="21"/>
          <w:szCs w:val="21"/>
          <w:highlight w:val="none"/>
          <w14:textFill>
            <w14:solidFill>
              <w14:schemeClr w14:val="tx1"/>
            </w14:solidFill>
          </w14:textFill>
        </w:rPr>
        <w:t>0.4条</w:t>
      </w:r>
      <w:r>
        <w:rPr>
          <w:rFonts w:hint="eastAsia" w:ascii="宋体" w:hAnsi="宋体"/>
          <w:b/>
          <w:color w:val="000000" w:themeColor="text1"/>
          <w:sz w:val="21"/>
          <w:szCs w:val="21"/>
          <w:highlight w:val="none"/>
          <w14:textFill>
            <w14:solidFill>
              <w14:schemeClr w14:val="tx1"/>
            </w14:solidFill>
          </w14:textFill>
        </w:rPr>
        <w:t>的规定执行。</w:t>
      </w:r>
    </w:p>
    <w:p w14:paraId="6AC5658A">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bookmarkStart w:id="169" w:name="_41.政府采购合同公告"/>
      <w:bookmarkEnd w:id="169"/>
      <w:r>
        <w:rPr>
          <w:rFonts w:hint="eastAsia" w:ascii="黑体" w:hAnsi="黑体" w:eastAsia="黑体"/>
          <w:color w:val="000000" w:themeColor="text1"/>
          <w:sz w:val="24"/>
          <w:highlight w:val="none"/>
          <w14:textFill>
            <w14:solidFill>
              <w14:schemeClr w14:val="tx1"/>
            </w14:solidFill>
          </w14:textFill>
        </w:rPr>
        <w:t>37.政府采购合同公告</w:t>
      </w:r>
    </w:p>
    <w:p w14:paraId="4DB00353">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采购人或者受托采购代理机构应当自政府采购合同签订之日起2个工作日内，将政府采购合同在省级以上人民政府财政部门指定的媒体上公告，</w:t>
      </w:r>
      <w:r>
        <w:rPr>
          <w:rFonts w:hAnsi="宋体"/>
          <w:color w:val="000000" w:themeColor="text1"/>
          <w:sz w:val="21"/>
          <w:highlight w:val="none"/>
          <w14:textFill>
            <w14:solidFill>
              <w14:schemeClr w14:val="tx1"/>
            </w14:solidFill>
          </w14:textFill>
        </w:rPr>
        <w:t>但政府采购合同中涉及国家秘密、商业秘密的内容除外。</w:t>
      </w:r>
    </w:p>
    <w:p w14:paraId="0DD1A31E">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ascii="黑体" w:hAnsi="黑体" w:eastAsia="黑体"/>
          <w:color w:val="000000" w:themeColor="text1"/>
          <w:sz w:val="24"/>
          <w:highlight w:val="none"/>
          <w14:textFill>
            <w14:solidFill>
              <w14:schemeClr w14:val="tx1"/>
            </w14:solidFill>
          </w14:textFill>
        </w:rPr>
      </w:pPr>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8.</w:t>
      </w:r>
      <w:r>
        <w:rPr>
          <w:rFonts w:hint="eastAsia" w:ascii="黑体" w:hAnsi="黑体" w:eastAsia="黑体"/>
          <w:color w:val="000000" w:themeColor="text1"/>
          <w:sz w:val="24"/>
          <w:highlight w:val="none"/>
          <w14:textFill>
            <w14:solidFill>
              <w14:schemeClr w14:val="tx1"/>
            </w14:solidFill>
          </w14:textFill>
        </w:rPr>
        <w:t xml:space="preserve"> 询问、质疑和投诉</w:t>
      </w:r>
    </w:p>
    <w:p w14:paraId="7ADA9EDF">
      <w:pPr>
        <w:pStyle w:val="9"/>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38.1</w:t>
      </w:r>
      <w:r>
        <w:rPr>
          <w:rFonts w:hint="eastAsia" w:ascii="宋体" w:hAnsi="宋体"/>
          <w:color w:val="000000" w:themeColor="text1"/>
          <w:szCs w:val="21"/>
          <w:highlight w:val="none"/>
          <w14:textFill>
            <w14:solidFill>
              <w14:schemeClr w14:val="tx1"/>
            </w14:solidFill>
          </w14:textFill>
        </w:rPr>
        <w:t>供应商对政府采购活动事项有疑问的，可以向采购人提出询问，采购人或者采购代理机构应当在3个工作日内对供应商依法提出的询问作出答复，但答复的内容不得涉及商业秘密。</w:t>
      </w:r>
    </w:p>
    <w:p w14:paraId="69D48240">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hint="eastAsia"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 xml:space="preserve"> </w:t>
      </w:r>
      <w:r>
        <w:rPr>
          <w:rFonts w:ascii="宋体" w:hAnsi="宋体"/>
          <w:b/>
          <w:color w:val="000000" w:themeColor="text1"/>
          <w:sz w:val="21"/>
          <w:szCs w:val="21"/>
          <w:highlight w:val="none"/>
          <w14:textFill>
            <w14:solidFill>
              <w14:schemeClr w14:val="tx1"/>
            </w14:solidFill>
          </w14:textFill>
        </w:rPr>
        <w:t>38</w:t>
      </w:r>
      <w:r>
        <w:rPr>
          <w:rFonts w:hint="eastAsia" w:ascii="宋体" w:hAnsi="宋体"/>
          <w:b/>
          <w:color w:val="000000" w:themeColor="text1"/>
          <w:sz w:val="21"/>
          <w:szCs w:val="21"/>
          <w:highlight w:val="none"/>
          <w14:textFill>
            <w14:solidFill>
              <w14:schemeClr w14:val="tx1"/>
            </w14:solidFill>
          </w14:textFill>
        </w:rPr>
        <w:t>.</w:t>
      </w:r>
      <w:r>
        <w:rPr>
          <w:rFonts w:ascii="宋体" w:hAnsi="宋体"/>
          <w:b/>
          <w:color w:val="000000" w:themeColor="text1"/>
          <w:sz w:val="21"/>
          <w:szCs w:val="21"/>
          <w:highlight w:val="none"/>
          <w14:textFill>
            <w14:solidFill>
              <w14:schemeClr w14:val="tx1"/>
            </w14:solidFill>
          </w14:textFill>
        </w:rPr>
        <w:t>2</w:t>
      </w:r>
      <w:r>
        <w:rPr>
          <w:rFonts w:hint="eastAsia" w:ascii="宋体" w:hAnsi="宋体"/>
          <w:b/>
          <w:color w:val="000000" w:themeColor="text1"/>
          <w:sz w:val="21"/>
          <w:szCs w:val="21"/>
          <w:highlight w:val="none"/>
          <w14:textFill>
            <w14:solidFill>
              <w14:schemeClr w14:val="tx1"/>
            </w14:solidFill>
          </w14:textFill>
        </w:rPr>
        <w:t xml:space="preserve">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15EF5A2A">
      <w:pPr>
        <w:pStyle w:val="26"/>
        <w:pageBreakBefore w:val="0"/>
        <w:widowControl w:val="0"/>
        <w:kinsoku/>
        <w:wordWrap/>
        <w:overflowPunct/>
        <w:topLinePunct w:val="0"/>
        <w:bidi w:val="0"/>
        <w:snapToGrid w:val="0"/>
        <w:spacing w:line="360" w:lineRule="auto"/>
        <w:ind w:firstLine="420" w:firstLineChars="200"/>
        <w:textAlignment w:val="auto"/>
        <w:outlineLvl w:val="9"/>
        <w:rPr>
          <w:rFonts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1</w:t>
      </w:r>
      <w:r>
        <w:rPr>
          <w:rFonts w:hAnsi="宋体"/>
          <w:color w:val="000000" w:themeColor="text1"/>
          <w:sz w:val="21"/>
          <w:highlight w:val="none"/>
          <w14:textFill>
            <w14:solidFill>
              <w14:schemeClr w14:val="tx1"/>
            </w14:solidFill>
          </w14:textFill>
        </w:rPr>
        <w:t>）对可以质疑的</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文件提出质疑的，为收到</w:t>
      </w:r>
      <w:r>
        <w:rPr>
          <w:rFonts w:hint="eastAsia" w:hAnsi="宋体"/>
          <w:color w:val="000000" w:themeColor="text1"/>
          <w:sz w:val="21"/>
          <w:highlight w:val="none"/>
          <w14:textFill>
            <w14:solidFill>
              <w14:schemeClr w14:val="tx1"/>
            </w14:solidFill>
          </w14:textFill>
        </w:rPr>
        <w:t>招标</w:t>
      </w:r>
      <w:r>
        <w:rPr>
          <w:rFonts w:hAnsi="宋体"/>
          <w:color w:val="000000" w:themeColor="text1"/>
          <w:sz w:val="21"/>
          <w:highlight w:val="none"/>
          <w14:textFill>
            <w14:solidFill>
              <w14:schemeClr w14:val="tx1"/>
            </w14:solidFill>
          </w14:textFill>
        </w:rPr>
        <w:t>文件之日</w:t>
      </w:r>
      <w:r>
        <w:rPr>
          <w:rFonts w:hint="eastAsia" w:hAnsi="宋体"/>
          <w:color w:val="000000" w:themeColor="text1"/>
          <w:sz w:val="21"/>
          <w:highlight w:val="none"/>
          <w14:textFill>
            <w14:solidFill>
              <w14:schemeClr w14:val="tx1"/>
            </w14:solidFill>
          </w14:textFill>
        </w:rPr>
        <w:t>或者招标文件公告期限届满之日</w:t>
      </w:r>
      <w:r>
        <w:rPr>
          <w:rFonts w:hAnsi="宋体"/>
          <w:color w:val="000000" w:themeColor="text1"/>
          <w:sz w:val="21"/>
          <w:highlight w:val="none"/>
          <w14:textFill>
            <w14:solidFill>
              <w14:schemeClr w14:val="tx1"/>
            </w14:solidFill>
          </w14:textFill>
        </w:rPr>
        <w:t>；</w:t>
      </w:r>
    </w:p>
    <w:p w14:paraId="46080D89">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2</w:t>
      </w:r>
      <w:r>
        <w:rPr>
          <w:rFonts w:hAnsi="宋体"/>
          <w:color w:val="000000" w:themeColor="text1"/>
          <w:sz w:val="21"/>
          <w:highlight w:val="none"/>
          <w14:textFill>
            <w14:solidFill>
              <w14:schemeClr w14:val="tx1"/>
            </w14:solidFill>
          </w14:textFill>
        </w:rPr>
        <w:t>）对</w:t>
      </w:r>
      <w:r>
        <w:rPr>
          <w:rFonts w:hint="eastAsia" w:hAnsi="宋体"/>
          <w:color w:val="000000" w:themeColor="text1"/>
          <w:sz w:val="21"/>
          <w:highlight w:val="none"/>
          <w14:textFill>
            <w14:solidFill>
              <w14:schemeClr w14:val="tx1"/>
            </w14:solidFill>
          </w14:textFill>
        </w:rPr>
        <w:t>采购</w:t>
      </w:r>
      <w:r>
        <w:rPr>
          <w:rFonts w:hAnsi="宋体"/>
          <w:color w:val="000000" w:themeColor="text1"/>
          <w:sz w:val="21"/>
          <w:highlight w:val="none"/>
          <w14:textFill>
            <w14:solidFill>
              <w14:schemeClr w14:val="tx1"/>
            </w14:solidFill>
          </w14:textFill>
        </w:rPr>
        <w:t>过程提出质疑的，为各采购程序环节结束之日；</w:t>
      </w:r>
    </w:p>
    <w:p w14:paraId="1F767953">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bCs/>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w:t>
      </w: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）对中标结果提出质疑的，为中标结果公告期限届满之日。</w:t>
      </w:r>
    </w:p>
    <w:p w14:paraId="12A7034A">
      <w:pPr>
        <w:keepNext w:val="0"/>
        <w:keepLines w:val="0"/>
        <w:pageBreakBefore w:val="0"/>
        <w:widowControl w:val="0"/>
        <w:kinsoku/>
        <w:wordWrap/>
        <w:overflowPunct/>
        <w:topLinePunct w:val="0"/>
        <w:bidi w:val="0"/>
        <w:spacing w:before="0" w:after="0" w:line="360" w:lineRule="auto"/>
        <w:ind w:firstLine="316" w:firstLineChars="150"/>
        <w:textAlignment w:val="auto"/>
        <w:outlineLvl w:val="9"/>
        <w:rPr>
          <w:rFonts w:ascii="宋体" w:hAnsi="宋体"/>
          <w:b/>
          <w:color w:val="000000" w:themeColor="text1"/>
          <w:sz w:val="21"/>
          <w:szCs w:val="21"/>
          <w:highlight w:val="none"/>
          <w14:textFill>
            <w14:solidFill>
              <w14:schemeClr w14:val="tx1"/>
            </w14:solidFill>
          </w14:textFill>
        </w:rPr>
      </w:pPr>
      <w:r>
        <w:rPr>
          <w:rFonts w:ascii="宋体" w:hAnsi="宋体"/>
          <w:b/>
          <w:color w:val="000000" w:themeColor="text1"/>
          <w:sz w:val="21"/>
          <w:szCs w:val="21"/>
          <w:highlight w:val="none"/>
          <w14:textFill>
            <w14:solidFill>
              <w14:schemeClr w14:val="tx1"/>
            </w14:solidFill>
          </w14:textFill>
        </w:rPr>
        <w:t>38</w:t>
      </w:r>
      <w:r>
        <w:rPr>
          <w:rFonts w:hint="eastAsia" w:ascii="宋体" w:hAnsi="宋体"/>
          <w:b/>
          <w:color w:val="000000" w:themeColor="text1"/>
          <w:sz w:val="21"/>
          <w:szCs w:val="21"/>
          <w:highlight w:val="none"/>
          <w14:textFill>
            <w14:solidFill>
              <w14:schemeClr w14:val="tx1"/>
            </w14:solidFill>
          </w14:textFill>
        </w:rPr>
        <w:t>.</w:t>
      </w:r>
      <w:r>
        <w:rPr>
          <w:rFonts w:ascii="宋体" w:hAnsi="宋体"/>
          <w:b/>
          <w:color w:val="000000" w:themeColor="text1"/>
          <w:sz w:val="21"/>
          <w:szCs w:val="21"/>
          <w:highlight w:val="none"/>
          <w14:textFill>
            <w14:solidFill>
              <w14:schemeClr w14:val="tx1"/>
            </w14:solidFill>
          </w14:textFill>
        </w:rPr>
        <w:t>3</w:t>
      </w:r>
      <w:r>
        <w:rPr>
          <w:rFonts w:hint="eastAsia" w:ascii="宋体" w:hAnsi="宋体"/>
          <w:b/>
          <w:color w:val="000000" w:themeColor="text1"/>
          <w:sz w:val="21"/>
          <w:szCs w:val="21"/>
          <w:highlight w:val="non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供应商提出质疑应当提交质疑函和必要的证明材料</w:t>
      </w:r>
      <w:r>
        <w:rPr>
          <w:rFonts w:hint="eastAsia" w:hAnsi="宋体"/>
          <w:bCs/>
          <w:color w:val="000000" w:themeColor="text1"/>
          <w:sz w:val="21"/>
          <w:highlight w:val="none"/>
          <w14:textFill>
            <w14:solidFill>
              <w14:schemeClr w14:val="tx1"/>
            </w14:solidFill>
          </w14:textFill>
        </w:rPr>
        <w:t>，</w:t>
      </w:r>
      <w:r>
        <w:rPr>
          <w:rFonts w:hAnsi="宋体"/>
          <w:bCs/>
          <w:color w:val="000000" w:themeColor="text1"/>
          <w:sz w:val="21"/>
          <w:highlight w:val="none"/>
          <w14:textFill>
            <w14:solidFill>
              <w14:schemeClr w14:val="tx1"/>
            </w14:solidFill>
          </w14:textFill>
        </w:rPr>
        <w:t>针对同一采购程序环节的质疑</w:t>
      </w:r>
      <w:r>
        <w:rPr>
          <w:rFonts w:hint="eastAsia" w:hAnsi="宋体"/>
          <w:bCs/>
          <w:color w:val="000000" w:themeColor="text1"/>
          <w:sz w:val="21"/>
          <w:highlight w:val="none"/>
          <w14:textFill>
            <w14:solidFill>
              <w14:schemeClr w14:val="tx1"/>
            </w14:solidFill>
          </w14:textFill>
        </w:rPr>
        <w:t>必须</w:t>
      </w:r>
      <w:r>
        <w:rPr>
          <w:rFonts w:hAnsi="宋体"/>
          <w:bCs/>
          <w:color w:val="000000" w:themeColor="text1"/>
          <w:sz w:val="21"/>
          <w:highlight w:val="none"/>
          <w14:textFill>
            <w14:solidFill>
              <w14:schemeClr w14:val="tx1"/>
            </w14:solidFill>
          </w14:textFill>
        </w:rPr>
        <w:t>在法定质疑期内一次性提出。质疑函应当包括下列内容</w:t>
      </w:r>
      <w:r>
        <w:rPr>
          <w:rFonts w:hint="eastAsia" w:hAnsi="宋体"/>
          <w:bCs/>
          <w:color w:val="000000" w:themeColor="text1"/>
          <w:sz w:val="21"/>
          <w:highlight w:val="none"/>
          <w14:textFill>
            <w14:solidFill>
              <w14:schemeClr w14:val="tx1"/>
            </w14:solidFill>
          </w14:textFill>
        </w:rPr>
        <w:t>（质疑函格式后附）</w:t>
      </w:r>
      <w:r>
        <w:rPr>
          <w:rFonts w:hAnsi="宋体"/>
          <w:bCs/>
          <w:color w:val="000000" w:themeColor="text1"/>
          <w:sz w:val="21"/>
          <w:highlight w:val="none"/>
          <w14:textFill>
            <w14:solidFill>
              <w14:schemeClr w14:val="tx1"/>
            </w14:solidFill>
          </w14:textFill>
        </w:rPr>
        <w:t>：</w:t>
      </w:r>
    </w:p>
    <w:p w14:paraId="1F6F09F7">
      <w:pPr>
        <w:pStyle w:val="26"/>
        <w:pageBreakBefore w:val="0"/>
        <w:widowControl w:val="0"/>
        <w:kinsoku/>
        <w:wordWrap/>
        <w:overflowPunct/>
        <w:topLinePunct w:val="0"/>
        <w:bidi w:val="0"/>
        <w:snapToGrid w:val="0"/>
        <w:spacing w:line="360" w:lineRule="auto"/>
        <w:ind w:firstLine="420" w:firstLineChars="200"/>
        <w:textAlignment w:val="auto"/>
        <w:outlineLvl w:val="9"/>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1</w:t>
      </w:r>
      <w:r>
        <w:rPr>
          <w:rFonts w:hAnsi="宋体"/>
          <w:bCs/>
          <w:color w:val="000000" w:themeColor="text1"/>
          <w:sz w:val="21"/>
          <w:highlight w:val="none"/>
          <w14:textFill>
            <w14:solidFill>
              <w14:schemeClr w14:val="tx1"/>
            </w14:solidFill>
          </w14:textFill>
        </w:rPr>
        <w:t>）供应商的姓名或者名称、地址、邮编、联系人及联系电话；</w:t>
      </w:r>
    </w:p>
    <w:p w14:paraId="72FBD0DA">
      <w:pPr>
        <w:pStyle w:val="26"/>
        <w:pageBreakBefore w:val="0"/>
        <w:widowControl w:val="0"/>
        <w:kinsoku/>
        <w:wordWrap/>
        <w:overflowPunct/>
        <w:topLinePunct w:val="0"/>
        <w:bidi w:val="0"/>
        <w:snapToGrid w:val="0"/>
        <w:spacing w:line="360" w:lineRule="auto"/>
        <w:ind w:firstLine="420" w:firstLineChars="200"/>
        <w:textAlignment w:val="auto"/>
        <w:outlineLvl w:val="9"/>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2</w:t>
      </w:r>
      <w:r>
        <w:rPr>
          <w:rFonts w:hAnsi="宋体"/>
          <w:bCs/>
          <w:color w:val="000000" w:themeColor="text1"/>
          <w:sz w:val="21"/>
          <w:highlight w:val="none"/>
          <w14:textFill>
            <w14:solidFill>
              <w14:schemeClr w14:val="tx1"/>
            </w14:solidFill>
          </w14:textFill>
        </w:rPr>
        <w:t>）质疑项目的名称、编号；</w:t>
      </w:r>
    </w:p>
    <w:p w14:paraId="5FD90D2F">
      <w:pPr>
        <w:pStyle w:val="26"/>
        <w:pageBreakBefore w:val="0"/>
        <w:widowControl w:val="0"/>
        <w:kinsoku/>
        <w:wordWrap/>
        <w:overflowPunct/>
        <w:topLinePunct w:val="0"/>
        <w:bidi w:val="0"/>
        <w:snapToGrid w:val="0"/>
        <w:spacing w:line="360" w:lineRule="auto"/>
        <w:ind w:firstLine="420" w:firstLineChars="200"/>
        <w:textAlignment w:val="auto"/>
        <w:outlineLvl w:val="9"/>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3</w:t>
      </w:r>
      <w:r>
        <w:rPr>
          <w:rFonts w:hAnsi="宋体"/>
          <w:bCs/>
          <w:color w:val="000000" w:themeColor="text1"/>
          <w:sz w:val="21"/>
          <w:highlight w:val="none"/>
          <w14:textFill>
            <w14:solidFill>
              <w14:schemeClr w14:val="tx1"/>
            </w14:solidFill>
          </w14:textFill>
        </w:rPr>
        <w:t>）具体、明确的质疑事项和与质疑事项相关的请求；</w:t>
      </w:r>
    </w:p>
    <w:p w14:paraId="32BDA0F5">
      <w:pPr>
        <w:pStyle w:val="26"/>
        <w:pageBreakBefore w:val="0"/>
        <w:widowControl w:val="0"/>
        <w:kinsoku/>
        <w:wordWrap/>
        <w:overflowPunct/>
        <w:topLinePunct w:val="0"/>
        <w:bidi w:val="0"/>
        <w:snapToGrid w:val="0"/>
        <w:spacing w:line="360" w:lineRule="auto"/>
        <w:ind w:firstLine="420" w:firstLineChars="200"/>
        <w:textAlignment w:val="auto"/>
        <w:outlineLvl w:val="9"/>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4</w:t>
      </w:r>
      <w:r>
        <w:rPr>
          <w:rFonts w:hAnsi="宋体"/>
          <w:bCs/>
          <w:color w:val="000000" w:themeColor="text1"/>
          <w:sz w:val="21"/>
          <w:highlight w:val="none"/>
          <w14:textFill>
            <w14:solidFill>
              <w14:schemeClr w14:val="tx1"/>
            </w14:solidFill>
          </w14:textFill>
        </w:rPr>
        <w:t>）事实依据；</w:t>
      </w:r>
    </w:p>
    <w:p w14:paraId="0BD8B66C">
      <w:pPr>
        <w:pStyle w:val="26"/>
        <w:pageBreakBefore w:val="0"/>
        <w:widowControl w:val="0"/>
        <w:kinsoku/>
        <w:wordWrap/>
        <w:overflowPunct/>
        <w:topLinePunct w:val="0"/>
        <w:bidi w:val="0"/>
        <w:snapToGrid w:val="0"/>
        <w:spacing w:line="360" w:lineRule="auto"/>
        <w:ind w:firstLine="420" w:firstLineChars="200"/>
        <w:textAlignment w:val="auto"/>
        <w:outlineLvl w:val="9"/>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5</w:t>
      </w:r>
      <w:r>
        <w:rPr>
          <w:rFonts w:hAnsi="宋体"/>
          <w:bCs/>
          <w:color w:val="000000" w:themeColor="text1"/>
          <w:sz w:val="21"/>
          <w:highlight w:val="none"/>
          <w14:textFill>
            <w14:solidFill>
              <w14:schemeClr w14:val="tx1"/>
            </w14:solidFill>
          </w14:textFill>
        </w:rPr>
        <w:t>）必要的法律依据；</w:t>
      </w:r>
    </w:p>
    <w:p w14:paraId="21BFB714">
      <w:pPr>
        <w:pStyle w:val="26"/>
        <w:pageBreakBefore w:val="0"/>
        <w:widowControl w:val="0"/>
        <w:kinsoku/>
        <w:wordWrap/>
        <w:overflowPunct/>
        <w:topLinePunct w:val="0"/>
        <w:bidi w:val="0"/>
        <w:snapToGrid w:val="0"/>
        <w:spacing w:line="360" w:lineRule="auto"/>
        <w:ind w:firstLine="420" w:firstLineChars="200"/>
        <w:textAlignment w:val="auto"/>
        <w:outlineLvl w:val="9"/>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14:textFill>
            <w14:solidFill>
              <w14:schemeClr w14:val="tx1"/>
            </w14:solidFill>
          </w14:textFill>
        </w:rPr>
        <w:t>6</w:t>
      </w:r>
      <w:r>
        <w:rPr>
          <w:rFonts w:hAnsi="宋体"/>
          <w:bCs/>
          <w:color w:val="000000" w:themeColor="text1"/>
          <w:sz w:val="21"/>
          <w:highlight w:val="none"/>
          <w14:textFill>
            <w14:solidFill>
              <w14:schemeClr w14:val="tx1"/>
            </w14:solidFill>
          </w14:textFill>
        </w:rPr>
        <w:t>）提出质疑的日期。</w:t>
      </w:r>
    </w:p>
    <w:p w14:paraId="40659663">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供应商为自然人的，应当由本人签字；供应商为法人或者其他组织的，应当由法定代表人、主要负责人，或者其委托代理人签字或者盖章，并加盖公章</w:t>
      </w:r>
      <w:r>
        <w:rPr>
          <w:rFonts w:hint="eastAsia" w:hAnsi="宋体"/>
          <w:bCs/>
          <w:color w:val="000000" w:themeColor="text1"/>
          <w:sz w:val="21"/>
          <w:highlight w:val="none"/>
          <w14:textFill>
            <w14:solidFill>
              <w14:schemeClr w14:val="tx1"/>
            </w14:solidFill>
          </w14:textFill>
        </w:rPr>
        <w:t>。</w:t>
      </w:r>
    </w:p>
    <w:p w14:paraId="23542237">
      <w:pPr>
        <w:keepNext w:val="0"/>
        <w:keepLines w:val="0"/>
        <w:pageBreakBefore w:val="0"/>
        <w:widowControl w:val="0"/>
        <w:kinsoku/>
        <w:wordWrap/>
        <w:overflowPunct/>
        <w:topLinePunct w:val="0"/>
        <w:bidi w:val="0"/>
        <w:snapToGrid w:val="0"/>
        <w:spacing w:before="0" w:after="0" w:line="360" w:lineRule="auto"/>
        <w:ind w:firstLine="422" w:firstLineChars="200"/>
        <w:textAlignment w:val="auto"/>
        <w:outlineLvl w:val="9"/>
        <w:rPr>
          <w:rFonts w:hint="eastAsia" w:ascii="宋体" w:hAnsi="宋体"/>
          <w:b/>
          <w:bCs/>
          <w:color w:val="000000" w:themeColor="text1"/>
          <w:sz w:val="21"/>
          <w:szCs w:val="21"/>
          <w:highlight w:val="none"/>
          <w14:textFill>
            <w14:solidFill>
              <w14:schemeClr w14:val="tx1"/>
            </w14:solidFill>
          </w14:textFill>
        </w:rPr>
      </w:pPr>
      <w:r>
        <w:rPr>
          <w:rFonts w:ascii="宋体" w:hAnsi="宋体"/>
          <w:b/>
          <w:color w:val="000000" w:themeColor="text1"/>
          <w:sz w:val="21"/>
          <w:szCs w:val="21"/>
          <w:highlight w:val="none"/>
          <w14:textFill>
            <w14:solidFill>
              <w14:schemeClr w14:val="tx1"/>
            </w14:solidFill>
          </w14:textFill>
        </w:rPr>
        <w:t>3</w:t>
      </w:r>
      <w:r>
        <w:rPr>
          <w:rFonts w:ascii="宋体" w:hAnsi="宋体"/>
          <w:b/>
          <w:bCs/>
          <w:color w:val="000000" w:themeColor="text1"/>
          <w:sz w:val="21"/>
          <w:szCs w:val="21"/>
          <w:highlight w:val="none"/>
          <w14:textFill>
            <w14:solidFill>
              <w14:schemeClr w14:val="tx1"/>
            </w14:solidFill>
          </w14:textFill>
        </w:rPr>
        <w:t>8.4</w:t>
      </w:r>
      <w:r>
        <w:rPr>
          <w:rFonts w:hint="eastAsia" w:ascii="宋体" w:hAnsi="宋体"/>
          <w:b/>
          <w:bCs/>
          <w:color w:val="000000" w:themeColor="text1"/>
          <w:sz w:val="21"/>
          <w:szCs w:val="21"/>
          <w:highlight w:val="none"/>
          <w14:textFill>
            <w14:solidFill>
              <w14:schemeClr w14:val="tx1"/>
            </w14:solidFill>
          </w14:textFill>
        </w:rPr>
        <w:t>采购人、采购代理机构认为供应商质疑不成立，或者成立但未对中标结果构成影响的，继续开展采购活动；认为供应商质疑成立且影响或者可能影响中标结果的，按照下列情况处理：</w:t>
      </w:r>
    </w:p>
    <w:p w14:paraId="7CD8CD2D">
      <w:pPr>
        <w:pStyle w:val="26"/>
        <w:pageBreakBefore w:val="0"/>
        <w:widowControl w:val="0"/>
        <w:kinsoku/>
        <w:wordWrap/>
        <w:overflowPunct/>
        <w:topLinePunct w:val="0"/>
        <w:bidi w:val="0"/>
        <w:snapToGrid w:val="0"/>
        <w:spacing w:line="360" w:lineRule="auto"/>
        <w:textAlignment w:val="auto"/>
        <w:outlineLvl w:val="9"/>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（1）对招标文件提出的质疑，依法通过澄清或者修改可以继续开展采购活动的，澄清或者修改招标文件后继续开展采购活动；否则应当修改招标文件后重新开展采购活动。</w:t>
      </w:r>
    </w:p>
    <w:p w14:paraId="5B389005">
      <w:pPr>
        <w:pStyle w:val="26"/>
        <w:pageBreakBefore w:val="0"/>
        <w:widowControl w:val="0"/>
        <w:kinsoku/>
        <w:wordWrap/>
        <w:overflowPunct/>
        <w:topLinePunct w:val="0"/>
        <w:bidi w:val="0"/>
        <w:snapToGrid w:val="0"/>
        <w:spacing w:line="360" w:lineRule="auto"/>
        <w:textAlignment w:val="auto"/>
        <w:outlineLvl w:val="9"/>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（2）对采购过程、中标结果提出的质疑，合格供应商符合法定数量时，可以从合格的中标候选人中另行确定中标供应商的，应当依法另行确定中标供应商；否则应当重新开展采购活动。</w:t>
      </w:r>
    </w:p>
    <w:p w14:paraId="6D1FD7BE">
      <w:pPr>
        <w:pStyle w:val="26"/>
        <w:pageBreakBefore w:val="0"/>
        <w:widowControl w:val="0"/>
        <w:kinsoku/>
        <w:wordWrap/>
        <w:overflowPunct/>
        <w:topLinePunct w:val="0"/>
        <w:bidi w:val="0"/>
        <w:snapToGrid w:val="0"/>
        <w:spacing w:line="360" w:lineRule="auto"/>
        <w:ind w:firstLine="420"/>
        <w:textAlignment w:val="auto"/>
        <w:outlineLvl w:val="9"/>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质疑答复导致中标结果改变的，采购人或者采购代理机构应当将有关情况书面报告本级财政部门。</w:t>
      </w:r>
    </w:p>
    <w:p w14:paraId="29D692B3">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Ansi="宋体"/>
          <w:color w:val="000000" w:themeColor="text1"/>
          <w:sz w:val="21"/>
          <w:highlight w:val="none"/>
          <w14:textFill>
            <w14:solidFill>
              <w14:schemeClr w14:val="tx1"/>
            </w14:solidFill>
          </w14:textFill>
        </w:rPr>
        <w:t>38</w:t>
      </w:r>
      <w:r>
        <w:rPr>
          <w:rFonts w:hint="eastAsia" w:hAnsi="宋体"/>
          <w:color w:val="000000" w:themeColor="text1"/>
          <w:sz w:val="21"/>
          <w:highlight w:val="none"/>
          <w14:textFill>
            <w14:solidFill>
              <w14:schemeClr w14:val="tx1"/>
            </w14:solidFill>
          </w14:textFill>
        </w:rPr>
        <w:t>.</w:t>
      </w:r>
      <w:r>
        <w:rPr>
          <w:rFonts w:hAnsi="宋体"/>
          <w:color w:val="000000" w:themeColor="text1"/>
          <w:sz w:val="21"/>
          <w:highlight w:val="none"/>
          <w14:textFill>
            <w14:solidFill>
              <w14:schemeClr w14:val="tx1"/>
            </w14:solidFill>
          </w14:textFill>
        </w:rPr>
        <w:t>5</w:t>
      </w:r>
      <w:r>
        <w:rPr>
          <w:rFonts w:hint="eastAsia" w:hAnsi="宋体"/>
          <w:color w:val="000000" w:themeColor="text1"/>
          <w:sz w:val="21"/>
          <w:highlight w:val="none"/>
          <w14:textFill>
            <w14:solidFill>
              <w14:schemeClr w14:val="tx1"/>
            </w14:solidFill>
          </w14:textFill>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70" w:name="_八、其他事项"/>
      <w:bookmarkEnd w:id="170"/>
    </w:p>
    <w:p w14:paraId="55B7011A">
      <w:pPr>
        <w:keepNext w:val="0"/>
        <w:keepLines w:val="0"/>
        <w:pageBreakBefore w:val="0"/>
        <w:widowControl w:val="0"/>
        <w:kinsoku/>
        <w:wordWrap/>
        <w:overflowPunct/>
        <w:topLinePunct w:val="0"/>
        <w:bidi w:val="0"/>
        <w:jc w:val="center"/>
        <w:textAlignment w:val="auto"/>
        <w:outlineLvl w:val="9"/>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八、其他事项</w:t>
      </w:r>
    </w:p>
    <w:p w14:paraId="0759EE0A">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hint="eastAsia" w:ascii="黑体" w:hAnsi="黑体" w:eastAsia="黑体"/>
          <w:color w:val="000000" w:themeColor="text1"/>
          <w:sz w:val="24"/>
          <w:highlight w:val="none"/>
          <w14:textFill>
            <w14:solidFill>
              <w14:schemeClr w14:val="tx1"/>
            </w14:solidFill>
          </w14:textFill>
        </w:rPr>
      </w:pPr>
      <w:bookmarkStart w:id="171" w:name="_42.代理服务费"/>
      <w:bookmarkEnd w:id="171"/>
      <w:r>
        <w:rPr>
          <w:rFonts w:hint="eastAsia" w:ascii="黑体" w:hAnsi="黑体" w:eastAsia="黑体"/>
          <w:color w:val="000000" w:themeColor="text1"/>
          <w:sz w:val="24"/>
          <w:highlight w:val="none"/>
          <w14:textFill>
            <w14:solidFill>
              <w14:schemeClr w14:val="tx1"/>
            </w14:solidFill>
          </w14:textFill>
        </w:rPr>
        <w:t>3</w:t>
      </w:r>
      <w:r>
        <w:rPr>
          <w:rFonts w:ascii="黑体" w:hAnsi="黑体" w:eastAsia="黑体"/>
          <w:color w:val="000000" w:themeColor="text1"/>
          <w:sz w:val="24"/>
          <w:highlight w:val="none"/>
          <w14:textFill>
            <w14:solidFill>
              <w14:schemeClr w14:val="tx1"/>
            </w14:solidFill>
          </w14:textFill>
        </w:rPr>
        <w:t>9</w:t>
      </w:r>
      <w:r>
        <w:rPr>
          <w:rFonts w:hint="eastAsia" w:ascii="黑体" w:hAnsi="黑体" w:eastAsia="黑体"/>
          <w:color w:val="000000" w:themeColor="text1"/>
          <w:sz w:val="24"/>
          <w:highlight w:val="none"/>
          <w14:textFill>
            <w14:solidFill>
              <w14:schemeClr w14:val="tx1"/>
            </w14:solidFill>
          </w14:textFill>
        </w:rPr>
        <w:t>.代理服务费</w:t>
      </w:r>
    </w:p>
    <w:p w14:paraId="195277F6">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.1代理服务收取标准及缴费账户详见“投标人须知前附表”，投标人为联合体的，可以由联合体中的一方或者多方共同交纳代理服务费。</w:t>
      </w:r>
    </w:p>
    <w:p w14:paraId="30935005">
      <w:pPr>
        <w:pStyle w:val="26"/>
        <w:pageBreakBefore w:val="0"/>
        <w:widowControl w:val="0"/>
        <w:kinsoku/>
        <w:wordWrap/>
        <w:overflowPunct/>
        <w:topLinePunct w:val="0"/>
        <w:bidi w:val="0"/>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w:t>
      </w:r>
      <w:r>
        <w:rPr>
          <w:rFonts w:hAnsi="宋体"/>
          <w:color w:val="000000" w:themeColor="text1"/>
          <w:sz w:val="21"/>
          <w:highlight w:val="none"/>
          <w14:textFill>
            <w14:solidFill>
              <w14:schemeClr w14:val="tx1"/>
            </w14:solidFill>
          </w14:textFill>
        </w:rPr>
        <w:t>9</w:t>
      </w:r>
      <w:r>
        <w:rPr>
          <w:rFonts w:hint="eastAsia" w:hAnsi="宋体"/>
          <w:color w:val="000000" w:themeColor="text1"/>
          <w:sz w:val="21"/>
          <w:highlight w:val="none"/>
          <w14:textFill>
            <w14:solidFill>
              <w14:schemeClr w14:val="tx1"/>
            </w14:solidFill>
          </w14:textFill>
        </w:rPr>
        <w:t>.2代理服务收费标准：</w:t>
      </w:r>
    </w:p>
    <w:tbl>
      <w:tblPr>
        <w:tblStyle w:val="53"/>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546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vAlign w:val="top"/>
          </w:tcPr>
          <w:p w14:paraId="69002947">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费率</w:t>
            </w:r>
          </w:p>
          <w:p w14:paraId="34B261BA">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中标金额</w:t>
            </w:r>
          </w:p>
        </w:tc>
        <w:tc>
          <w:tcPr>
            <w:tcW w:w="1659" w:type="dxa"/>
            <w:vAlign w:val="center"/>
          </w:tcPr>
          <w:p w14:paraId="279E5D69">
            <w:pPr>
              <w:pageBreakBefore w:val="0"/>
              <w:widowControl w:val="0"/>
              <w:kinsoku/>
              <w:wordWrap/>
              <w:overflowPunct/>
              <w:topLinePunct w:val="0"/>
              <w:bidi w:val="0"/>
              <w:spacing w:line="360" w:lineRule="auto"/>
              <w:ind w:firstLine="105" w:firstLineChars="50"/>
              <w:jc w:val="center"/>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货物招标</w:t>
            </w:r>
          </w:p>
        </w:tc>
        <w:tc>
          <w:tcPr>
            <w:tcW w:w="1687" w:type="dxa"/>
            <w:vAlign w:val="center"/>
          </w:tcPr>
          <w:p w14:paraId="202A6015">
            <w:pPr>
              <w:pageBreakBefore w:val="0"/>
              <w:widowControl w:val="0"/>
              <w:kinsoku/>
              <w:wordWrap/>
              <w:overflowPunct/>
              <w:topLinePunct w:val="0"/>
              <w:bidi w:val="0"/>
              <w:spacing w:line="360" w:lineRule="auto"/>
              <w:jc w:val="center"/>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服务招标</w:t>
            </w:r>
          </w:p>
        </w:tc>
        <w:tc>
          <w:tcPr>
            <w:tcW w:w="1659" w:type="dxa"/>
            <w:vAlign w:val="center"/>
          </w:tcPr>
          <w:p w14:paraId="6FFA29B9">
            <w:pPr>
              <w:pageBreakBefore w:val="0"/>
              <w:widowControl w:val="0"/>
              <w:kinsoku/>
              <w:wordWrap/>
              <w:overflowPunct/>
              <w:topLinePunct w:val="0"/>
              <w:bidi w:val="0"/>
              <w:spacing w:line="360" w:lineRule="auto"/>
              <w:jc w:val="center"/>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工程招标</w:t>
            </w:r>
          </w:p>
        </w:tc>
      </w:tr>
      <w:tr w14:paraId="01DD0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0052306A">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100万元以下</w:t>
            </w:r>
          </w:p>
        </w:tc>
        <w:tc>
          <w:tcPr>
            <w:tcW w:w="1659" w:type="dxa"/>
            <w:vAlign w:val="top"/>
          </w:tcPr>
          <w:p w14:paraId="7A51EE87">
            <w:pPr>
              <w:pageBreakBefore w:val="0"/>
              <w:widowControl w:val="0"/>
              <w:kinsoku/>
              <w:wordWrap/>
              <w:overflowPunct/>
              <w:topLinePunct w:val="0"/>
              <w:bidi w:val="0"/>
              <w:spacing w:line="360" w:lineRule="auto"/>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1.5% </w:t>
            </w: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1687" w:type="dxa"/>
            <w:vAlign w:val="top"/>
          </w:tcPr>
          <w:p w14:paraId="7E84DF5C">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1.5%</w:t>
            </w:r>
          </w:p>
        </w:tc>
        <w:tc>
          <w:tcPr>
            <w:tcW w:w="1659" w:type="dxa"/>
            <w:vAlign w:val="top"/>
          </w:tcPr>
          <w:p w14:paraId="2415F9CE">
            <w:pPr>
              <w:pageBreakBefore w:val="0"/>
              <w:widowControl w:val="0"/>
              <w:kinsoku/>
              <w:wordWrap/>
              <w:overflowPunct/>
              <w:topLinePunct w:val="0"/>
              <w:bidi w:val="0"/>
              <w:spacing w:line="360" w:lineRule="auto"/>
              <w:ind w:firstLine="210" w:firstLineChars="100"/>
              <w:textAlignment w:val="auto"/>
              <w:outlineLvl w:val="9"/>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1.0% </w:t>
            </w:r>
          </w:p>
        </w:tc>
      </w:tr>
      <w:tr w14:paraId="5CF67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0AB5F12E">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100～500万元</w:t>
            </w:r>
          </w:p>
        </w:tc>
        <w:tc>
          <w:tcPr>
            <w:tcW w:w="1659" w:type="dxa"/>
            <w:vAlign w:val="top"/>
          </w:tcPr>
          <w:p w14:paraId="7970B067">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1.1% </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1687" w:type="dxa"/>
            <w:vAlign w:val="top"/>
          </w:tcPr>
          <w:p w14:paraId="19C921B7">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0.8%</w:t>
            </w:r>
          </w:p>
        </w:tc>
        <w:tc>
          <w:tcPr>
            <w:tcW w:w="1659" w:type="dxa"/>
            <w:vAlign w:val="top"/>
          </w:tcPr>
          <w:p w14:paraId="1A7BE48A">
            <w:pPr>
              <w:pageBreakBefore w:val="0"/>
              <w:widowControl w:val="0"/>
              <w:kinsoku/>
              <w:wordWrap/>
              <w:overflowPunct/>
              <w:topLinePunct w:val="0"/>
              <w:bidi w:val="0"/>
              <w:spacing w:line="360" w:lineRule="auto"/>
              <w:ind w:firstLine="210" w:firstLineChars="100"/>
              <w:textAlignment w:val="auto"/>
              <w:outlineLvl w:val="9"/>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0.7% </w:t>
            </w:r>
          </w:p>
        </w:tc>
      </w:tr>
      <w:tr w14:paraId="3478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3821D654">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500～1000万元</w:t>
            </w:r>
          </w:p>
        </w:tc>
        <w:tc>
          <w:tcPr>
            <w:tcW w:w="1659" w:type="dxa"/>
            <w:vAlign w:val="top"/>
          </w:tcPr>
          <w:p w14:paraId="0FC2389B">
            <w:pPr>
              <w:pageBreakBefore w:val="0"/>
              <w:widowControl w:val="0"/>
              <w:kinsoku/>
              <w:wordWrap/>
              <w:overflowPunct/>
              <w:topLinePunct w:val="0"/>
              <w:bidi w:val="0"/>
              <w:spacing w:line="360" w:lineRule="auto"/>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0.8% </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1687" w:type="dxa"/>
            <w:vAlign w:val="top"/>
          </w:tcPr>
          <w:p w14:paraId="37E43532">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0.45%</w:t>
            </w:r>
          </w:p>
        </w:tc>
        <w:tc>
          <w:tcPr>
            <w:tcW w:w="1659" w:type="dxa"/>
            <w:vAlign w:val="top"/>
          </w:tcPr>
          <w:p w14:paraId="2BC616BB">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0.55%</w:t>
            </w:r>
          </w:p>
        </w:tc>
      </w:tr>
      <w:tr w14:paraId="79753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5DB8AF2">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1000～5000万元</w:t>
            </w:r>
          </w:p>
        </w:tc>
        <w:tc>
          <w:tcPr>
            <w:tcW w:w="1659" w:type="dxa"/>
            <w:vAlign w:val="top"/>
          </w:tcPr>
          <w:p w14:paraId="35C3080C">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0.5% </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1687" w:type="dxa"/>
            <w:vAlign w:val="top"/>
          </w:tcPr>
          <w:p w14:paraId="2FFA1950">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0.25%</w:t>
            </w:r>
          </w:p>
        </w:tc>
        <w:tc>
          <w:tcPr>
            <w:tcW w:w="1659" w:type="dxa"/>
            <w:vAlign w:val="top"/>
          </w:tcPr>
          <w:p w14:paraId="2D162DAD">
            <w:pPr>
              <w:pageBreakBefore w:val="0"/>
              <w:widowControl w:val="0"/>
              <w:kinsoku/>
              <w:wordWrap/>
              <w:overflowPunct/>
              <w:topLinePunct w:val="0"/>
              <w:bidi w:val="0"/>
              <w:spacing w:line="360" w:lineRule="auto"/>
              <w:ind w:firstLine="210" w:firstLineChars="100"/>
              <w:textAlignment w:val="auto"/>
              <w:outlineLvl w:val="9"/>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0.35% </w:t>
            </w:r>
          </w:p>
        </w:tc>
      </w:tr>
      <w:tr w14:paraId="0024D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D768AE5">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5000万元～1亿元</w:t>
            </w:r>
          </w:p>
        </w:tc>
        <w:tc>
          <w:tcPr>
            <w:tcW w:w="1659" w:type="dxa"/>
            <w:vAlign w:val="top"/>
          </w:tcPr>
          <w:p w14:paraId="58B0B307">
            <w:pPr>
              <w:pageBreakBefore w:val="0"/>
              <w:widowControl w:val="0"/>
              <w:kinsoku/>
              <w:wordWrap/>
              <w:overflowPunct/>
              <w:topLinePunct w:val="0"/>
              <w:bidi w:val="0"/>
              <w:spacing w:line="360" w:lineRule="auto"/>
              <w:ind w:firstLine="210" w:firstLineChars="100"/>
              <w:textAlignment w:val="auto"/>
              <w:outlineLvl w:val="9"/>
              <w:rPr>
                <w:rFonts w:hint="eastAsia"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 xml:space="preserve">0.25% </w:t>
            </w:r>
            <w:r>
              <w:rPr>
                <w:rFonts w:hint="eastAsia" w:ascii="宋体" w:hAnsi="宋体" w:cs="宋体"/>
                <w:color w:val="000000" w:themeColor="text1"/>
                <w:kern w:val="0"/>
                <w:szCs w:val="21"/>
                <w:highlight w:val="none"/>
                <w14:textFill>
                  <w14:solidFill>
                    <w14:schemeClr w14:val="tx1"/>
                  </w14:solidFill>
                </w14:textFill>
              </w:rPr>
              <w:t xml:space="preserve">      </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w:t>
            </w:r>
          </w:p>
        </w:tc>
        <w:tc>
          <w:tcPr>
            <w:tcW w:w="1687" w:type="dxa"/>
            <w:vAlign w:val="top"/>
          </w:tcPr>
          <w:p w14:paraId="45F079C5">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0.1%</w:t>
            </w:r>
          </w:p>
        </w:tc>
        <w:tc>
          <w:tcPr>
            <w:tcW w:w="1659" w:type="dxa"/>
            <w:vAlign w:val="top"/>
          </w:tcPr>
          <w:p w14:paraId="21952EFB">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0.2%</w:t>
            </w:r>
          </w:p>
        </w:tc>
      </w:tr>
      <w:tr w14:paraId="501A7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795502CF">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1～5亿元</w:t>
            </w:r>
          </w:p>
        </w:tc>
        <w:tc>
          <w:tcPr>
            <w:tcW w:w="1659" w:type="dxa"/>
            <w:vAlign w:val="top"/>
          </w:tcPr>
          <w:p w14:paraId="6806857D">
            <w:pPr>
              <w:pageBreakBefore w:val="0"/>
              <w:widowControl w:val="0"/>
              <w:kinsoku/>
              <w:wordWrap/>
              <w:overflowPunct/>
              <w:topLinePunct w:val="0"/>
              <w:bidi w:val="0"/>
              <w:spacing w:line="360" w:lineRule="auto"/>
              <w:ind w:firstLine="210" w:firstLineChars="1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0.05%</w:t>
            </w:r>
          </w:p>
        </w:tc>
        <w:tc>
          <w:tcPr>
            <w:tcW w:w="1687" w:type="dxa"/>
            <w:vAlign w:val="top"/>
          </w:tcPr>
          <w:p w14:paraId="68CA2621">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0.05%</w:t>
            </w:r>
          </w:p>
        </w:tc>
        <w:tc>
          <w:tcPr>
            <w:tcW w:w="1659" w:type="dxa"/>
            <w:vAlign w:val="top"/>
          </w:tcPr>
          <w:p w14:paraId="2D45DC57">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0.05%</w:t>
            </w:r>
          </w:p>
        </w:tc>
      </w:tr>
      <w:tr w14:paraId="60B4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08E61B68">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5～10亿元</w:t>
            </w:r>
          </w:p>
        </w:tc>
        <w:tc>
          <w:tcPr>
            <w:tcW w:w="1659" w:type="dxa"/>
            <w:vAlign w:val="top"/>
          </w:tcPr>
          <w:p w14:paraId="4B6B0B25">
            <w:pPr>
              <w:pageBreakBefore w:val="0"/>
              <w:widowControl w:val="0"/>
              <w:kinsoku/>
              <w:wordWrap/>
              <w:overflowPunct/>
              <w:topLinePunct w:val="0"/>
              <w:bidi w:val="0"/>
              <w:spacing w:line="360" w:lineRule="auto"/>
              <w:ind w:firstLine="105" w:firstLineChars="5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0.035%</w:t>
            </w:r>
          </w:p>
        </w:tc>
        <w:tc>
          <w:tcPr>
            <w:tcW w:w="1687" w:type="dxa"/>
            <w:vAlign w:val="top"/>
          </w:tcPr>
          <w:p w14:paraId="3BBFFA5B">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0.035%</w:t>
            </w:r>
          </w:p>
        </w:tc>
        <w:tc>
          <w:tcPr>
            <w:tcW w:w="1659" w:type="dxa"/>
            <w:vAlign w:val="top"/>
          </w:tcPr>
          <w:p w14:paraId="609CA12A">
            <w:pPr>
              <w:pageBreakBefore w:val="0"/>
              <w:widowControl w:val="0"/>
              <w:kinsoku/>
              <w:wordWrap/>
              <w:overflowPunct/>
              <w:topLinePunct w:val="0"/>
              <w:bidi w:val="0"/>
              <w:spacing w:line="360" w:lineRule="auto"/>
              <w:ind w:firstLine="105" w:firstLineChars="50"/>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0.035%</w:t>
            </w:r>
          </w:p>
        </w:tc>
      </w:tr>
      <w:tr w14:paraId="10BC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2099AA4">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10～50亿元</w:t>
            </w:r>
          </w:p>
        </w:tc>
        <w:tc>
          <w:tcPr>
            <w:tcW w:w="1659" w:type="dxa"/>
            <w:vAlign w:val="top"/>
          </w:tcPr>
          <w:p w14:paraId="7EE48148">
            <w:pPr>
              <w:pageBreakBefore w:val="0"/>
              <w:widowControl w:val="0"/>
              <w:kinsoku/>
              <w:wordWrap/>
              <w:overflowPunct/>
              <w:topLinePunct w:val="0"/>
              <w:bidi w:val="0"/>
              <w:spacing w:line="360" w:lineRule="auto"/>
              <w:ind w:firstLine="105" w:firstLineChars="5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c>
          <w:tcPr>
            <w:tcW w:w="1687" w:type="dxa"/>
            <w:vAlign w:val="top"/>
          </w:tcPr>
          <w:p w14:paraId="459B0EBC">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c>
          <w:tcPr>
            <w:tcW w:w="1659" w:type="dxa"/>
            <w:vAlign w:val="top"/>
          </w:tcPr>
          <w:p w14:paraId="76FD993C">
            <w:pPr>
              <w:pageBreakBefore w:val="0"/>
              <w:widowControl w:val="0"/>
              <w:kinsoku/>
              <w:wordWrap/>
              <w:overflowPunct/>
              <w:topLinePunct w:val="0"/>
              <w:bidi w:val="0"/>
              <w:spacing w:line="360" w:lineRule="auto"/>
              <w:ind w:firstLine="105" w:firstLineChars="50"/>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0.008%</w:t>
            </w:r>
          </w:p>
        </w:tc>
      </w:tr>
      <w:tr w14:paraId="5256B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6CD8C90E">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50～100亿元</w:t>
            </w:r>
          </w:p>
        </w:tc>
        <w:tc>
          <w:tcPr>
            <w:tcW w:w="1659" w:type="dxa"/>
            <w:vAlign w:val="top"/>
          </w:tcPr>
          <w:p w14:paraId="74F0886F">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0.006%</w:t>
            </w:r>
          </w:p>
        </w:tc>
        <w:tc>
          <w:tcPr>
            <w:tcW w:w="1687" w:type="dxa"/>
            <w:vAlign w:val="top"/>
          </w:tcPr>
          <w:p w14:paraId="6D91030E">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0.006%</w:t>
            </w:r>
          </w:p>
        </w:tc>
        <w:tc>
          <w:tcPr>
            <w:tcW w:w="1659" w:type="dxa"/>
            <w:vAlign w:val="top"/>
          </w:tcPr>
          <w:p w14:paraId="4332419B">
            <w:pPr>
              <w:pageBreakBefore w:val="0"/>
              <w:widowControl w:val="0"/>
              <w:kinsoku/>
              <w:wordWrap/>
              <w:overflowPunct/>
              <w:topLinePunct w:val="0"/>
              <w:bidi w:val="0"/>
              <w:spacing w:line="360" w:lineRule="auto"/>
              <w:ind w:firstLine="105" w:firstLineChars="50"/>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0.006%</w:t>
            </w:r>
          </w:p>
        </w:tc>
      </w:tr>
      <w:tr w14:paraId="4689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218D554">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100亿以上</w:t>
            </w:r>
          </w:p>
        </w:tc>
        <w:tc>
          <w:tcPr>
            <w:tcW w:w="1659" w:type="dxa"/>
            <w:vAlign w:val="top"/>
          </w:tcPr>
          <w:p w14:paraId="64B4B16E">
            <w:pPr>
              <w:pageBreakBefore w:val="0"/>
              <w:widowControl w:val="0"/>
              <w:kinsoku/>
              <w:wordWrap/>
              <w:overflowPunct/>
              <w:topLinePunct w:val="0"/>
              <w:bidi w:val="0"/>
              <w:spacing w:line="360" w:lineRule="auto"/>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0.004%</w:t>
            </w:r>
          </w:p>
        </w:tc>
        <w:tc>
          <w:tcPr>
            <w:tcW w:w="1687" w:type="dxa"/>
            <w:vAlign w:val="top"/>
          </w:tcPr>
          <w:p w14:paraId="4960D557">
            <w:pPr>
              <w:pageBreakBefore w:val="0"/>
              <w:widowControl w:val="0"/>
              <w:kinsoku/>
              <w:wordWrap/>
              <w:overflowPunct/>
              <w:topLinePunct w:val="0"/>
              <w:bidi w:val="0"/>
              <w:spacing w:line="360" w:lineRule="auto"/>
              <w:ind w:firstLine="210" w:firstLineChars="100"/>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0.004%</w:t>
            </w:r>
          </w:p>
        </w:tc>
        <w:tc>
          <w:tcPr>
            <w:tcW w:w="1659" w:type="dxa"/>
            <w:vAlign w:val="top"/>
          </w:tcPr>
          <w:p w14:paraId="705C582A">
            <w:pPr>
              <w:pageBreakBefore w:val="0"/>
              <w:widowControl w:val="0"/>
              <w:kinsoku/>
              <w:wordWrap/>
              <w:overflowPunct/>
              <w:topLinePunct w:val="0"/>
              <w:bidi w:val="0"/>
              <w:spacing w:line="360" w:lineRule="auto"/>
              <w:ind w:firstLine="105" w:firstLineChars="50"/>
              <w:textAlignment w:val="auto"/>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0.004%</w:t>
            </w:r>
          </w:p>
        </w:tc>
      </w:tr>
    </w:tbl>
    <w:p w14:paraId="7EFE0125">
      <w:pPr>
        <w:pageBreakBefore w:val="0"/>
        <w:widowControl w:val="0"/>
        <w:kinsoku/>
        <w:wordWrap/>
        <w:overflowPunct/>
        <w:topLinePunct w:val="0"/>
        <w:bidi w:val="0"/>
        <w:spacing w:line="360" w:lineRule="auto"/>
        <w:ind w:firstLine="420" w:firstLineChars="200"/>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ascii="宋体" w:hAnsi="宋体" w:cs="宋体"/>
          <w:color w:val="000000" w:themeColor="text1"/>
          <w:szCs w:val="21"/>
          <w:highlight w:val="none"/>
          <w14:textFill>
            <w14:solidFill>
              <w14:schemeClr w14:val="tx1"/>
            </w14:solidFill>
          </w14:textFill>
        </w:rPr>
        <w:t xml:space="preserve"> </w:t>
      </w:r>
    </w:p>
    <w:p w14:paraId="0788C5F2">
      <w:pPr>
        <w:pageBreakBefore w:val="0"/>
        <w:widowControl w:val="0"/>
        <w:kinsoku/>
        <w:wordWrap/>
        <w:overflowPunct/>
        <w:topLinePunct w:val="0"/>
        <w:bidi w:val="0"/>
        <w:spacing w:line="360" w:lineRule="auto"/>
        <w:ind w:firstLine="420" w:firstLineChars="200"/>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ascii="宋体" w:hAnsi="宋体" w:cs="宋体"/>
          <w:color w:val="000000" w:themeColor="text1"/>
          <w:szCs w:val="21"/>
          <w:highlight w:val="none"/>
          <w14:textFill>
            <w14:solidFill>
              <w14:schemeClr w14:val="tx1"/>
            </w14:solidFill>
          </w14:textFill>
        </w:rPr>
        <w:t>按本表费率计算的收费为</w:t>
      </w:r>
      <w:r>
        <w:rPr>
          <w:rFonts w:hint="eastAsia" w:ascii="宋体" w:hAnsi="宋体" w:cs="宋体"/>
          <w:color w:val="000000" w:themeColor="text1"/>
          <w:szCs w:val="21"/>
          <w:highlight w:val="none"/>
          <w14:textFill>
            <w14:solidFill>
              <w14:schemeClr w14:val="tx1"/>
            </w14:solidFill>
          </w14:textFill>
        </w:rPr>
        <w:t>采购</w:t>
      </w:r>
      <w:r>
        <w:rPr>
          <w:rFonts w:ascii="宋体" w:hAnsi="宋体" w:cs="宋体"/>
          <w:color w:val="000000" w:themeColor="text1"/>
          <w:szCs w:val="21"/>
          <w:highlight w:val="none"/>
          <w14:textFill>
            <w14:solidFill>
              <w14:schemeClr w14:val="tx1"/>
            </w14:solidFill>
          </w14:textFill>
        </w:rPr>
        <w:t>代理的收费基准价格</w:t>
      </w:r>
      <w:r>
        <w:rPr>
          <w:rFonts w:hint="eastAsia" w:ascii="宋体" w:hAnsi="宋体" w:cs="宋体"/>
          <w:color w:val="000000" w:themeColor="text1"/>
          <w:szCs w:val="21"/>
          <w:highlight w:val="none"/>
          <w14:textFill>
            <w14:solidFill>
              <w14:schemeClr w14:val="tx1"/>
            </w14:solidFill>
          </w14:textFill>
        </w:rPr>
        <w:t>；</w:t>
      </w:r>
    </w:p>
    <w:p w14:paraId="272DBB19">
      <w:pPr>
        <w:pageBreakBefore w:val="0"/>
        <w:widowControl w:val="0"/>
        <w:kinsoku/>
        <w:wordWrap/>
        <w:overflowPunct/>
        <w:topLinePunct w:val="0"/>
        <w:bidi w:val="0"/>
        <w:spacing w:line="360" w:lineRule="auto"/>
        <w:ind w:firstLine="420" w:firstLineChars="200"/>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w:t>
      </w:r>
      <w:r>
        <w:rPr>
          <w:rFonts w:ascii="宋体" w:hAnsi="宋体" w:cs="宋体"/>
          <w:color w:val="000000" w:themeColor="text1"/>
          <w:szCs w:val="21"/>
          <w:highlight w:val="none"/>
          <w14:textFill>
            <w14:solidFill>
              <w14:schemeClr w14:val="tx1"/>
            </w14:solidFill>
          </w14:textFill>
        </w:rPr>
        <w:t>代理收费按差额定率累进法计算。</w:t>
      </w:r>
    </w:p>
    <w:p w14:paraId="7D402412">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ascii="宋体" w:hAnsi="宋体" w:cs="宋体"/>
          <w:color w:val="000000" w:themeColor="text1"/>
          <w:szCs w:val="21"/>
          <w:highlight w:val="none"/>
          <w14:textFill>
            <w14:solidFill>
              <w14:schemeClr w14:val="tx1"/>
            </w14:solidFill>
          </w14:textFill>
        </w:rPr>
        <w:t xml:space="preserve">32.9 </w:t>
      </w:r>
      <w:r>
        <w:rPr>
          <w:rFonts w:hint="eastAsia" w:ascii="宋体" w:hAnsi="宋体" w:cs="宋体"/>
          <w:color w:val="000000" w:themeColor="text1"/>
          <w:szCs w:val="21"/>
          <w:highlight w:val="none"/>
          <w14:textFill>
            <w14:solidFill>
              <w14:schemeClr w14:val="tx1"/>
            </w14:solidFill>
          </w14:textFill>
        </w:rPr>
        <w:t>代理服务费交纳</w:t>
      </w:r>
      <w:r>
        <w:rPr>
          <w:rFonts w:ascii="宋体" w:hAnsi="宋体" w:cs="宋体"/>
          <w:color w:val="000000" w:themeColor="text1"/>
          <w:szCs w:val="21"/>
          <w:highlight w:val="none"/>
          <w14:textFill>
            <w14:solidFill>
              <w14:schemeClr w14:val="tx1"/>
            </w14:solidFill>
          </w14:textFill>
        </w:rPr>
        <w:t>银行帐号信息</w:t>
      </w:r>
    </w:p>
    <w:p w14:paraId="6944B1C7">
      <w:pPr>
        <w:pStyle w:val="26"/>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outlineLvl w:val="9"/>
        <w:rPr>
          <w:rFonts w:hint="eastAsia" w:hAnsi="宋体" w:cs="宋体"/>
          <w:b/>
          <w:bCs/>
          <w:color w:val="000000" w:themeColor="text1"/>
          <w:sz w:val="21"/>
          <w:highlight w:val="none"/>
          <w:u w:val="none"/>
          <w14:textFill>
            <w14:solidFill>
              <w14:schemeClr w14:val="tx1"/>
            </w14:solidFill>
          </w14:textFill>
        </w:rPr>
      </w:pPr>
      <w:r>
        <w:rPr>
          <w:rFonts w:hint="eastAsia" w:hAnsi="宋体" w:cs="宋体"/>
          <w:b/>
          <w:bCs/>
          <w:color w:val="000000" w:themeColor="text1"/>
          <w:sz w:val="21"/>
          <w:highlight w:val="none"/>
          <w:u w:val="none"/>
          <w14:textFill>
            <w14:solidFill>
              <w14:schemeClr w14:val="tx1"/>
            </w14:solidFill>
          </w14:textFill>
        </w:rPr>
        <w:t>开户名称：</w:t>
      </w:r>
      <w:r>
        <w:rPr>
          <w:rFonts w:hint="eastAsia" w:hAnsi="宋体" w:cs="宋体"/>
          <w:b/>
          <w:bCs/>
          <w:color w:val="000000" w:themeColor="text1"/>
          <w:sz w:val="21"/>
          <w:highlight w:val="none"/>
          <w:u w:val="none"/>
          <w:lang w:eastAsia="zh-CN"/>
          <w14:textFill>
            <w14:solidFill>
              <w14:schemeClr w14:val="tx1"/>
            </w14:solidFill>
          </w14:textFill>
        </w:rPr>
        <w:t>广西翔正项目管理有限公司</w:t>
      </w:r>
    </w:p>
    <w:p w14:paraId="140D65E5">
      <w:pPr>
        <w:pStyle w:val="26"/>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left"/>
        <w:textAlignment w:val="auto"/>
        <w:outlineLvl w:val="9"/>
        <w:rPr>
          <w:rFonts w:hint="eastAsia" w:hAnsi="宋体" w:cs="宋体"/>
          <w:b/>
          <w:bCs/>
          <w:color w:val="000000" w:themeColor="text1"/>
          <w:sz w:val="21"/>
          <w:highlight w:val="none"/>
          <w:u w:val="none"/>
          <w14:textFill>
            <w14:solidFill>
              <w14:schemeClr w14:val="tx1"/>
            </w14:solidFill>
          </w14:textFill>
        </w:rPr>
      </w:pPr>
      <w:r>
        <w:rPr>
          <w:rFonts w:hint="eastAsia" w:hAnsi="宋体" w:cs="宋体"/>
          <w:b/>
          <w:bCs/>
          <w:color w:val="000000" w:themeColor="text1"/>
          <w:sz w:val="21"/>
          <w:highlight w:val="none"/>
          <w:u w:val="none"/>
          <w14:textFill>
            <w14:solidFill>
              <w14:schemeClr w14:val="tx1"/>
            </w14:solidFill>
          </w14:textFill>
        </w:rPr>
        <w:t>开户银行：</w:t>
      </w:r>
      <w:r>
        <w:rPr>
          <w:rFonts w:hint="eastAsia" w:ascii="宋体" w:hAnsi="宋体" w:cs="Arial"/>
          <w:b/>
          <w:bCs/>
          <w:color w:val="000000" w:themeColor="text1"/>
          <w:szCs w:val="21"/>
          <w:highlight w:val="none"/>
          <w:u w:val="none"/>
          <w:lang w:eastAsia="zh-CN"/>
          <w14:textFill>
            <w14:solidFill>
              <w14:schemeClr w14:val="tx1"/>
            </w14:solidFill>
          </w14:textFill>
        </w:rPr>
        <w:t>中国工商银行南宁市建政支行</w:t>
      </w:r>
      <w:r>
        <w:rPr>
          <w:rFonts w:hint="eastAsia" w:hAnsi="宋体" w:cs="宋体"/>
          <w:b/>
          <w:bCs/>
          <w:color w:val="000000" w:themeColor="text1"/>
          <w:sz w:val="21"/>
          <w:highlight w:val="none"/>
          <w:u w:val="none"/>
          <w14:textFill>
            <w14:solidFill>
              <w14:schemeClr w14:val="tx1"/>
            </w14:solidFill>
          </w14:textFill>
        </w:rPr>
        <w:t xml:space="preserve"> </w:t>
      </w:r>
    </w:p>
    <w:p w14:paraId="5B94AB78">
      <w:pPr>
        <w:keepNext w:val="0"/>
        <w:keepLines w:val="0"/>
        <w:pageBreakBefore w:val="0"/>
        <w:widowControl w:val="0"/>
        <w:kinsoku/>
        <w:wordWrap/>
        <w:overflowPunct/>
        <w:topLinePunct w:val="0"/>
        <w:autoSpaceDE/>
        <w:autoSpaceDN/>
        <w:bidi w:val="0"/>
        <w:adjustRightInd/>
        <w:spacing w:before="0" w:after="0" w:line="360" w:lineRule="auto"/>
        <w:ind w:left="420" w:leftChars="200"/>
        <w:jc w:val="left"/>
        <w:textAlignment w:val="auto"/>
        <w:outlineLvl w:val="9"/>
        <w:rPr>
          <w:rFonts w:ascii="黑体" w:hAnsi="黑体" w:eastAsia="黑体"/>
          <w:color w:val="000000" w:themeColor="text1"/>
          <w:sz w:val="24"/>
          <w:highlight w:val="none"/>
          <w14:textFill>
            <w14:solidFill>
              <w14:schemeClr w14:val="tx1"/>
            </w14:solidFill>
          </w14:textFill>
        </w:rPr>
      </w:pPr>
      <w:r>
        <w:rPr>
          <w:rFonts w:hint="eastAsia" w:hAnsi="宋体" w:cs="宋体"/>
          <w:b/>
          <w:bCs/>
          <w:color w:val="000000" w:themeColor="text1"/>
          <w:sz w:val="21"/>
          <w:highlight w:val="none"/>
          <w:u w:val="none"/>
          <w14:textFill>
            <w14:solidFill>
              <w14:schemeClr w14:val="tx1"/>
            </w14:solidFill>
          </w14:textFill>
        </w:rPr>
        <w:t>银行账号：</w:t>
      </w:r>
      <w:r>
        <w:rPr>
          <w:rFonts w:hint="eastAsia" w:hAnsi="宋体" w:cs="宋体"/>
          <w:b/>
          <w:bCs/>
          <w:color w:val="000000" w:themeColor="text1"/>
          <w:sz w:val="21"/>
          <w:highlight w:val="none"/>
          <w:u w:val="none"/>
          <w:lang w:val="en-US" w:eastAsia="zh-CN"/>
          <w14:textFill>
            <w14:solidFill>
              <w14:schemeClr w14:val="tx1"/>
            </w14:solidFill>
          </w14:textFill>
        </w:rPr>
        <w:t>2102107109300076992</w:t>
      </w:r>
    </w:p>
    <w:p w14:paraId="26361D6B">
      <w:pPr>
        <w:keepNext w:val="0"/>
        <w:keepLines w:val="0"/>
        <w:pageBreakBefore w:val="0"/>
        <w:widowControl w:val="0"/>
        <w:kinsoku/>
        <w:wordWrap/>
        <w:overflowPunct/>
        <w:topLinePunct w:val="0"/>
        <w:bidi w:val="0"/>
        <w:spacing w:before="0" w:after="0" w:line="360" w:lineRule="auto"/>
        <w:ind w:left="420" w:leftChars="200"/>
        <w:textAlignment w:val="auto"/>
        <w:outlineLvl w:val="9"/>
        <w:rPr>
          <w:rFonts w:ascii="黑体" w:hAnsi="黑体" w:eastAsia="黑体"/>
          <w:color w:val="000000" w:themeColor="text1"/>
          <w:sz w:val="24"/>
          <w:highlight w:val="none"/>
          <w14:textFill>
            <w14:solidFill>
              <w14:schemeClr w14:val="tx1"/>
            </w14:solidFill>
          </w14:textFill>
        </w:rPr>
      </w:pPr>
      <w:r>
        <w:rPr>
          <w:rFonts w:ascii="黑体" w:hAnsi="黑体" w:eastAsia="黑体"/>
          <w:color w:val="000000" w:themeColor="text1"/>
          <w:sz w:val="24"/>
          <w:highlight w:val="none"/>
          <w14:textFill>
            <w14:solidFill>
              <w14:schemeClr w14:val="tx1"/>
            </w14:solidFill>
          </w14:textFill>
        </w:rPr>
        <w:t>40. 需要补充的其他内容</w:t>
      </w:r>
    </w:p>
    <w:p w14:paraId="653880AE">
      <w:pPr>
        <w:pStyle w:val="26"/>
        <w:pageBreakBefore w:val="0"/>
        <w:widowControl w:val="0"/>
        <w:kinsoku/>
        <w:wordWrap/>
        <w:overflowPunct/>
        <w:topLinePunct w:val="0"/>
        <w:bidi w:val="0"/>
        <w:spacing w:before="120" w:after="120" w:line="360" w:lineRule="auto"/>
        <w:ind w:firstLine="420" w:firstLineChars="200"/>
        <w:contextualSpacing/>
        <w:textAlignment w:val="auto"/>
        <w:outlineLvl w:val="9"/>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40.1本招标文件解释规则详见“投标人须知前附表”。</w:t>
      </w:r>
    </w:p>
    <w:p w14:paraId="17E64909">
      <w:pPr>
        <w:pStyle w:val="26"/>
        <w:pageBreakBefore w:val="0"/>
        <w:widowControl w:val="0"/>
        <w:kinsoku/>
        <w:wordWrap/>
        <w:overflowPunct/>
        <w:topLinePunct w:val="0"/>
        <w:bidi w:val="0"/>
        <w:spacing w:before="120" w:after="120" w:line="360" w:lineRule="auto"/>
        <w:ind w:firstLine="420" w:firstLineChars="200"/>
        <w:contextualSpacing/>
        <w:textAlignment w:val="auto"/>
        <w:outlineLvl w:val="9"/>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40.2 其他事项详见“投标人须知前附表”。</w:t>
      </w:r>
    </w:p>
    <w:p w14:paraId="0398906B">
      <w:pPr>
        <w:pStyle w:val="26"/>
        <w:pageBreakBefore w:val="0"/>
        <w:widowControl w:val="0"/>
        <w:kinsoku/>
        <w:wordWrap/>
        <w:overflowPunct/>
        <w:topLinePunct w:val="0"/>
        <w:bidi w:val="0"/>
        <w:spacing w:before="120" w:after="120" w:line="360" w:lineRule="auto"/>
        <w:ind w:firstLine="420" w:firstLineChars="200"/>
        <w:contextualSpacing/>
        <w:textAlignment w:val="auto"/>
        <w:outlineLvl w:val="9"/>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40.3</w:t>
      </w:r>
      <w:bookmarkStart w:id="172" w:name="_Hlk65857140"/>
      <w:r>
        <w:rPr>
          <w:rFonts w:hint="eastAsia" w:hAnsi="宋体" w:cs="宋体"/>
          <w:color w:val="000000" w:themeColor="text1"/>
          <w:sz w:val="21"/>
          <w:highlight w:val="none"/>
          <w14:textFill>
            <w14:solidFill>
              <w14:schemeClr w14:val="tx1"/>
            </w14:solidFill>
          </w14:textFill>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DC5284D">
      <w:pPr>
        <w:pStyle w:val="26"/>
        <w:pageBreakBefore w:val="0"/>
        <w:widowControl w:val="0"/>
        <w:kinsoku/>
        <w:wordWrap/>
        <w:overflowPunct/>
        <w:topLinePunct w:val="0"/>
        <w:bidi w:val="0"/>
        <w:spacing w:before="120" w:after="120" w:line="360" w:lineRule="auto"/>
        <w:ind w:firstLine="420" w:firstLineChars="200"/>
        <w:contextualSpacing/>
        <w:textAlignment w:val="auto"/>
        <w:outlineLvl w:val="9"/>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（1）在货物采购项目中，货物由中小企业制造，即货物由中小企业生产且使用该中小企业商号或者注册商标，不对其中涉及的工程承建商和服务的承接商作出要求；</w:t>
      </w:r>
    </w:p>
    <w:p w14:paraId="0BF05CDA">
      <w:pPr>
        <w:pStyle w:val="26"/>
        <w:pageBreakBefore w:val="0"/>
        <w:widowControl w:val="0"/>
        <w:kinsoku/>
        <w:wordWrap/>
        <w:overflowPunct/>
        <w:topLinePunct w:val="0"/>
        <w:bidi w:val="0"/>
        <w:spacing w:before="120" w:after="120" w:line="360" w:lineRule="auto"/>
        <w:ind w:firstLine="420" w:firstLineChars="200"/>
        <w:contextualSpacing/>
        <w:textAlignment w:val="auto"/>
        <w:outlineLvl w:val="9"/>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（2）在工程采购项目中，工程由中小企业承建，即工程施工单位为中小企业，不对其中涉及的货物的制造商和服务的承接商作出要求；</w:t>
      </w:r>
    </w:p>
    <w:p w14:paraId="0A96CE8E">
      <w:pPr>
        <w:pStyle w:val="26"/>
        <w:pageBreakBefore w:val="0"/>
        <w:widowControl w:val="0"/>
        <w:kinsoku/>
        <w:wordWrap/>
        <w:overflowPunct/>
        <w:topLinePunct w:val="0"/>
        <w:bidi w:val="0"/>
        <w:spacing w:before="120" w:after="120" w:line="360" w:lineRule="auto"/>
        <w:ind w:firstLine="420" w:firstLineChars="200"/>
        <w:contextualSpacing/>
        <w:textAlignment w:val="auto"/>
        <w:outlineLvl w:val="9"/>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（3）在服务采购项目中，服务由中小企业承接，即提供服务的人员为中小企业依照《中华人民共和国劳动合同法》订立劳动合同的从业人员，不对其中涉及的货物的制造商和工程承建商作出要求。</w:t>
      </w:r>
    </w:p>
    <w:p w14:paraId="7FBB81C6">
      <w:pPr>
        <w:pStyle w:val="26"/>
        <w:pageBreakBefore w:val="0"/>
        <w:widowControl w:val="0"/>
        <w:kinsoku/>
        <w:wordWrap/>
        <w:overflowPunct/>
        <w:topLinePunct w:val="0"/>
        <w:bidi w:val="0"/>
        <w:spacing w:before="120" w:after="120" w:line="360" w:lineRule="auto"/>
        <w:ind w:firstLine="420" w:firstLineChars="200"/>
        <w:contextualSpacing/>
        <w:textAlignment w:val="auto"/>
        <w:outlineLvl w:val="9"/>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A8148CA">
      <w:pPr>
        <w:pStyle w:val="26"/>
        <w:pageBreakBefore w:val="0"/>
        <w:widowControl w:val="0"/>
        <w:kinsoku/>
        <w:wordWrap/>
        <w:overflowPunct/>
        <w:topLinePunct w:val="0"/>
        <w:bidi w:val="0"/>
        <w:spacing w:before="120" w:after="120" w:line="360" w:lineRule="auto"/>
        <w:ind w:firstLine="420" w:firstLineChars="200"/>
        <w:contextualSpacing/>
        <w:textAlignment w:val="auto"/>
        <w:outlineLvl w:val="9"/>
        <w:rPr>
          <w:rFonts w:hint="eastAsia" w:hAnsi="宋体" w:cs="宋体"/>
          <w:color w:val="000000" w:themeColor="text1"/>
          <w:sz w:val="21"/>
          <w:highlight w:val="none"/>
          <w14:textFill>
            <w14:solidFill>
              <w14:schemeClr w14:val="tx1"/>
            </w14:solidFill>
          </w14:textFill>
        </w:rPr>
      </w:pPr>
      <w:r>
        <w:rPr>
          <w:rFonts w:hint="eastAsia" w:hAnsi="宋体" w:cs="宋体"/>
          <w:color w:val="000000" w:themeColor="text1"/>
          <w:sz w:val="21"/>
          <w:highlight w:val="none"/>
          <w14:textFill>
            <w14:solidFill>
              <w14:schemeClr w14:val="tx1"/>
            </w14:solidFill>
          </w14:textFill>
        </w:rPr>
        <w:t>依据本招标文件规定享受扶持政策获得政府采购合同的，小微企业不得将合同分包给大中型企业，中型企业不得将合同分包给大型企业。</w:t>
      </w:r>
      <w:bookmarkEnd w:id="172"/>
    </w:p>
    <w:p w14:paraId="0867AAC7">
      <w:pPr>
        <w:pStyle w:val="26"/>
        <w:pageBreakBefore w:val="0"/>
        <w:widowControl w:val="0"/>
        <w:kinsoku/>
        <w:wordWrap/>
        <w:overflowPunct/>
        <w:topLinePunct w:val="0"/>
        <w:bidi w:val="0"/>
        <w:snapToGrid w:val="0"/>
        <w:spacing w:before="120" w:after="120"/>
        <w:textAlignment w:val="auto"/>
        <w:outlineLvl w:val="9"/>
        <w:rPr>
          <w:rFonts w:hint="eastAsia" w:hAnsi="宋体"/>
          <w:color w:val="000000" w:themeColor="text1"/>
          <w:highlight w:val="none"/>
          <w14:textFill>
            <w14:solidFill>
              <w14:schemeClr w14:val="tx1"/>
            </w14:solidFill>
          </w14:textFill>
        </w:rPr>
      </w:pPr>
    </w:p>
    <w:p w14:paraId="7FFB1D57">
      <w:pPr>
        <w:pStyle w:val="26"/>
        <w:pageBreakBefore w:val="0"/>
        <w:widowControl w:val="0"/>
        <w:kinsoku/>
        <w:wordWrap/>
        <w:overflowPunct/>
        <w:topLinePunct w:val="0"/>
        <w:bidi w:val="0"/>
        <w:snapToGrid w:val="0"/>
        <w:spacing w:before="120" w:after="120"/>
        <w:textAlignment w:val="auto"/>
        <w:outlineLvl w:val="9"/>
        <w:rPr>
          <w:rFonts w:hint="eastAsia" w:hAnsi="宋体"/>
          <w:color w:val="000000" w:themeColor="text1"/>
          <w:highlight w:val="none"/>
          <w14:textFill>
            <w14:solidFill>
              <w14:schemeClr w14:val="tx1"/>
            </w14:solidFill>
          </w14:textFill>
        </w:rPr>
      </w:pPr>
    </w:p>
    <w:p w14:paraId="6D3AD94D">
      <w:pPr>
        <w:pStyle w:val="2"/>
        <w:bidi w:val="0"/>
        <w:spacing w:line="240" w:lineRule="auto"/>
        <w:jc w:val="center"/>
        <w:rPr>
          <w:rFonts w:hint="eastAsia"/>
          <w:color w:val="000000" w:themeColor="text1"/>
          <w:sz w:val="36"/>
          <w:szCs w:val="36"/>
          <w:highlight w:val="none"/>
          <w14:textFill>
            <w14:solidFill>
              <w14:schemeClr w14:val="tx1"/>
            </w14:solidFill>
          </w14:textFill>
        </w:rPr>
      </w:pPr>
      <w:bookmarkStart w:id="173" w:name="_Toc254970548"/>
      <w:bookmarkStart w:id="174" w:name="_Toc254970689"/>
      <w:bookmarkStart w:id="175" w:name="_Toc330456896"/>
      <w:r>
        <w:rPr>
          <w:color w:val="000000" w:themeColor="text1"/>
          <w:highlight w:val="none"/>
          <w14:textFill>
            <w14:solidFill>
              <w14:schemeClr w14:val="tx1"/>
            </w14:solidFill>
          </w14:textFill>
        </w:rPr>
        <w:br w:type="page"/>
      </w:r>
      <w:bookmarkStart w:id="176" w:name="_Toc2992"/>
      <w:r>
        <w:rPr>
          <w:rFonts w:hint="eastAsia"/>
          <w:color w:val="000000" w:themeColor="text1"/>
          <w:sz w:val="36"/>
          <w:szCs w:val="36"/>
          <w:highlight w:val="none"/>
          <w14:textFill>
            <w14:solidFill>
              <w14:schemeClr w14:val="tx1"/>
            </w14:solidFill>
          </w14:textFill>
        </w:rPr>
        <w:t>第四章  评标方法及评标标准</w:t>
      </w:r>
      <w:bookmarkEnd w:id="173"/>
      <w:bookmarkEnd w:id="174"/>
      <w:bookmarkEnd w:id="175"/>
      <w:bookmarkEnd w:id="176"/>
    </w:p>
    <w:p w14:paraId="1442CCD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color w:val="000000" w:themeColor="text1"/>
          <w:sz w:val="30"/>
          <w:szCs w:val="30"/>
          <w:highlight w:val="none"/>
          <w14:textFill>
            <w14:solidFill>
              <w14:schemeClr w14:val="tx1"/>
            </w14:solidFill>
          </w14:textFill>
        </w:rPr>
      </w:pPr>
      <w:r>
        <w:rPr>
          <w:rFonts w:hint="eastAsia"/>
          <w:color w:val="000000" w:themeColor="text1"/>
          <w:sz w:val="30"/>
          <w:szCs w:val="30"/>
          <w:highlight w:val="none"/>
          <w14:textFill>
            <w14:solidFill>
              <w14:schemeClr w14:val="tx1"/>
            </w14:solidFill>
          </w14:textFill>
        </w:rPr>
        <w:t>一、评标方法</w:t>
      </w:r>
    </w:p>
    <w:p w14:paraId="4281016E">
      <w:pPr>
        <w:pStyle w:val="26"/>
        <w:spacing w:line="360" w:lineRule="auto"/>
        <w:ind w:firstLine="42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综合评分法，是指投标文件满足招标文件全部实质性要求，且按照评审因素的量化指标评审得分最高的投标人为中标候选人的评标方法。</w:t>
      </w:r>
    </w:p>
    <w:p w14:paraId="65BDBF6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Times New Roman" w:hAnsi="Times New Roman" w:eastAsia="宋体" w:cs="Times New Roman"/>
          <w:color w:val="000000" w:themeColor="text1"/>
          <w:sz w:val="30"/>
          <w:szCs w:val="30"/>
          <w:highlight w:val="none"/>
          <w14:textFill>
            <w14:solidFill>
              <w14:schemeClr w14:val="tx1"/>
            </w14:solidFill>
          </w14:textFill>
        </w:rPr>
      </w:pPr>
      <w:r>
        <w:rPr>
          <w:rFonts w:hint="eastAsia" w:ascii="Times New Roman" w:hAnsi="Times New Roman" w:eastAsia="宋体" w:cs="Times New Roman"/>
          <w:color w:val="000000" w:themeColor="text1"/>
          <w:sz w:val="30"/>
          <w:szCs w:val="30"/>
          <w:highlight w:val="none"/>
          <w14:textFill>
            <w14:solidFill>
              <w14:schemeClr w14:val="tx1"/>
            </w14:solidFill>
          </w14:textFill>
        </w:rPr>
        <w:t>二、评标程序</w:t>
      </w:r>
    </w:p>
    <w:p w14:paraId="0768664E">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1.符合性审查</w:t>
      </w:r>
    </w:p>
    <w:p w14:paraId="6E97A15D">
      <w:pPr>
        <w:pStyle w:val="26"/>
        <w:keepNext w:val="0"/>
        <w:keepLines w:val="0"/>
        <w:pageBreakBefore w:val="0"/>
        <w:widowControl w:val="0"/>
        <w:kinsoku/>
        <w:wordWrap/>
        <w:overflowPunct/>
        <w:topLinePunct w:val="0"/>
        <w:autoSpaceDE/>
        <w:autoSpaceDN/>
        <w:bidi w:val="0"/>
        <w:adjustRightInd/>
        <w:snapToGrid w:val="0"/>
        <w:spacing w:line="360" w:lineRule="auto"/>
        <w:ind w:left="1" w:firstLine="420"/>
        <w:textAlignment w:val="auto"/>
        <w:outlineLvl w:val="9"/>
        <w:rPr>
          <w:rFonts w:hint="eastAsia" w:hAnsi="宋体"/>
          <w:b/>
          <w:color w:val="000000" w:themeColor="text1"/>
          <w:kern w:val="2"/>
          <w:sz w:val="21"/>
          <w:highlight w:val="none"/>
          <w14:textFill>
            <w14:solidFill>
              <w14:schemeClr w14:val="tx1"/>
            </w14:solidFill>
          </w14:textFill>
        </w:rPr>
      </w:pPr>
      <w:r>
        <w:rPr>
          <w:rFonts w:hint="eastAsia" w:hAnsi="宋体"/>
          <w:b/>
          <w:color w:val="000000" w:themeColor="text1"/>
          <w:kern w:val="2"/>
          <w:sz w:val="2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593F6750">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符合性审查不通过而导致投标无效的情形</w:t>
      </w:r>
    </w:p>
    <w:p w14:paraId="63C60C21">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328AB5B8">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2.1在报价评审时，如发现下列情形之一的，将被视为投标无效：</w:t>
      </w:r>
    </w:p>
    <w:p w14:paraId="2D49ED0B">
      <w:pPr>
        <w:pStyle w:val="9"/>
        <w:keepNext w:val="0"/>
        <w:keepLines w:val="0"/>
        <w:pageBreakBefore w:val="0"/>
        <w:widowControl w:val="0"/>
        <w:numPr>
          <w:ilvl w:val="0"/>
          <w:numId w:val="18"/>
        </w:numPr>
        <w:kinsoku/>
        <w:wordWrap/>
        <w:overflowPunct/>
        <w:topLinePunct w:val="0"/>
        <w:autoSpaceDE/>
        <w:autoSpaceDN/>
        <w:bidi w:val="0"/>
        <w:adjustRightInd/>
        <w:spacing w:line="360" w:lineRule="auto"/>
        <w:ind w:firstLine="422"/>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未提供“投标人须知前附表”第13.1条规定中“必须提供”的文件资料的；</w:t>
      </w:r>
    </w:p>
    <w:p w14:paraId="395D434D">
      <w:pPr>
        <w:pStyle w:val="9"/>
        <w:keepNext w:val="0"/>
        <w:keepLines w:val="0"/>
        <w:pageBreakBefore w:val="0"/>
        <w:widowControl w:val="0"/>
        <w:numPr>
          <w:ilvl w:val="0"/>
          <w:numId w:val="18"/>
        </w:numPr>
        <w:kinsoku/>
        <w:wordWrap/>
        <w:overflowPunct/>
        <w:topLinePunct w:val="0"/>
        <w:autoSpaceDE/>
        <w:autoSpaceDN/>
        <w:bidi w:val="0"/>
        <w:adjustRightInd/>
        <w:spacing w:line="360" w:lineRule="auto"/>
        <w:ind w:firstLine="422"/>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未采用人民币报价或者未按照招标文件标明的币种报价的；</w:t>
      </w:r>
    </w:p>
    <w:p w14:paraId="69E48105">
      <w:pPr>
        <w:pStyle w:val="9"/>
        <w:keepNext w:val="0"/>
        <w:keepLines w:val="0"/>
        <w:pageBreakBefore w:val="0"/>
        <w:widowControl w:val="0"/>
        <w:numPr>
          <w:ilvl w:val="0"/>
          <w:numId w:val="18"/>
        </w:numPr>
        <w:kinsoku/>
        <w:wordWrap/>
        <w:overflowPunct/>
        <w:topLinePunct w:val="0"/>
        <w:autoSpaceDE/>
        <w:autoSpaceDN/>
        <w:bidi w:val="0"/>
        <w:adjustRightInd/>
        <w:spacing w:line="360" w:lineRule="auto"/>
        <w:ind w:firstLine="422"/>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各分标报价超出招标文件相应分标规定最高限价，或者超出相应分标采购预算金额的；</w:t>
      </w:r>
    </w:p>
    <w:p w14:paraId="502F50D1">
      <w:pPr>
        <w:pStyle w:val="9"/>
        <w:keepNext w:val="0"/>
        <w:keepLines w:val="0"/>
        <w:pageBreakBefore w:val="0"/>
        <w:widowControl w:val="0"/>
        <w:numPr>
          <w:ilvl w:val="0"/>
          <w:numId w:val="18"/>
        </w:numPr>
        <w:kinsoku/>
        <w:wordWrap/>
        <w:overflowPunct/>
        <w:topLinePunct w:val="0"/>
        <w:autoSpaceDE/>
        <w:autoSpaceDN/>
        <w:bidi w:val="0"/>
        <w:adjustRightInd/>
        <w:spacing w:line="360" w:lineRule="auto"/>
        <w:ind w:firstLine="422"/>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76772B5C">
      <w:pPr>
        <w:pStyle w:val="9"/>
        <w:keepNext w:val="0"/>
        <w:keepLines w:val="0"/>
        <w:pageBreakBefore w:val="0"/>
        <w:widowControl w:val="0"/>
        <w:numPr>
          <w:ilvl w:val="0"/>
          <w:numId w:val="18"/>
        </w:numPr>
        <w:kinsoku/>
        <w:wordWrap/>
        <w:overflowPunct/>
        <w:topLinePunct w:val="0"/>
        <w:autoSpaceDE/>
        <w:autoSpaceDN/>
        <w:bidi w:val="0"/>
        <w:adjustRightInd/>
        <w:spacing w:line="360" w:lineRule="auto"/>
        <w:ind w:firstLine="422"/>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修正后的报价，投标人不确认的；</w:t>
      </w:r>
    </w:p>
    <w:p w14:paraId="7427E0DA">
      <w:pPr>
        <w:pStyle w:val="9"/>
        <w:keepNext w:val="0"/>
        <w:keepLines w:val="0"/>
        <w:pageBreakBefore w:val="0"/>
        <w:widowControl w:val="0"/>
        <w:numPr>
          <w:ilvl w:val="0"/>
          <w:numId w:val="18"/>
        </w:numPr>
        <w:kinsoku/>
        <w:wordWrap/>
        <w:overflowPunct/>
        <w:topLinePunct w:val="0"/>
        <w:autoSpaceDE/>
        <w:autoSpaceDN/>
        <w:bidi w:val="0"/>
        <w:adjustRightInd/>
        <w:spacing w:line="360" w:lineRule="auto"/>
        <w:ind w:firstLine="422"/>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投标人属于本章第</w:t>
      </w:r>
      <w:r>
        <w:rPr>
          <w:rFonts w:ascii="宋体" w:hAnsi="宋体"/>
          <w:b/>
          <w:color w:val="000000" w:themeColor="text1"/>
          <w:szCs w:val="21"/>
          <w:highlight w:val="none"/>
          <w14:textFill>
            <w14:solidFill>
              <w14:schemeClr w14:val="tx1"/>
            </w14:solidFill>
          </w14:textFill>
        </w:rPr>
        <w:t>5</w:t>
      </w:r>
      <w:r>
        <w:rPr>
          <w:rFonts w:hint="eastAsia" w:ascii="宋体" w:hAnsi="宋体"/>
          <w:b/>
          <w:color w:val="000000" w:themeColor="text1"/>
          <w:szCs w:val="21"/>
          <w:highlight w:val="none"/>
          <w14:textFill>
            <w14:solidFill>
              <w14:schemeClr w14:val="tx1"/>
            </w14:solidFill>
          </w14:textFill>
        </w:rPr>
        <w:t>条（2）项情形的；</w:t>
      </w:r>
    </w:p>
    <w:p w14:paraId="27B3C44A">
      <w:pPr>
        <w:pStyle w:val="9"/>
        <w:keepNext w:val="0"/>
        <w:keepLines w:val="0"/>
        <w:pageBreakBefore w:val="0"/>
        <w:widowControl w:val="0"/>
        <w:numPr>
          <w:ilvl w:val="0"/>
          <w:numId w:val="18"/>
        </w:numPr>
        <w:kinsoku/>
        <w:wordWrap/>
        <w:overflowPunct/>
        <w:topLinePunct w:val="0"/>
        <w:autoSpaceDE/>
        <w:autoSpaceDN/>
        <w:bidi w:val="0"/>
        <w:adjustRightInd/>
        <w:spacing w:line="360" w:lineRule="auto"/>
        <w:ind w:firstLine="422"/>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pacing w:val="-6"/>
          <w:szCs w:val="21"/>
          <w:highlight w:val="none"/>
          <w14:textFill>
            <w14:solidFill>
              <w14:schemeClr w14:val="tx1"/>
            </w14:solidFill>
          </w14:textFill>
        </w:rPr>
        <w:t>报价文件</w:t>
      </w:r>
      <w:r>
        <w:rPr>
          <w:rFonts w:hint="eastAsia" w:ascii="宋体" w:hAnsi="宋体"/>
          <w:b/>
          <w:color w:val="000000" w:themeColor="text1"/>
          <w:szCs w:val="21"/>
          <w:highlight w:val="none"/>
          <w14:textFill>
            <w14:solidFill>
              <w14:schemeClr w14:val="tx1"/>
            </w14:solidFill>
          </w14:textFill>
        </w:rPr>
        <w:t>响应的标的数量及单位与招标文件要求实质性不一致的。</w:t>
      </w:r>
    </w:p>
    <w:p w14:paraId="043DB24F">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2.2在商务评审时，如发现下列情形之一的，将被视为投标无效：</w:t>
      </w:r>
    </w:p>
    <w:p w14:paraId="6112C304">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投标文件未按招标文件要求签署、盖章的；</w:t>
      </w:r>
    </w:p>
    <w:p w14:paraId="2426210B">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委托代理人未能出具有效身份证或者出具的身份证与授权委托书中的信息不符的；</w:t>
      </w:r>
    </w:p>
    <w:p w14:paraId="60758347">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为无效投标保证金的或者未按照招标文件的规定提交投标保证金的；</w:t>
      </w:r>
    </w:p>
    <w:p w14:paraId="3D2D5235">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投标文件未提供“投标人须知前附表”第13.</w:t>
      </w:r>
      <w:r>
        <w:rPr>
          <w:rFonts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14:textFill>
            <w14:solidFill>
              <w14:schemeClr w14:val="tx1"/>
            </w14:solidFill>
          </w14:textFill>
        </w:rPr>
        <w:t>条规定中“必须提供”或者“委托时必须提供”的文件资料的；</w:t>
      </w:r>
    </w:p>
    <w:p w14:paraId="245E50D3">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商务要求评审允许负偏离的条款数超过“投标人须知前附表”规定项数的；</w:t>
      </w:r>
    </w:p>
    <w:p w14:paraId="78BA8E72">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投标文件的实质性内容未使用中文表述、使用计量单位不符合招标文件要求的；</w:t>
      </w:r>
    </w:p>
    <w:p w14:paraId="0A81BA4B">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p>
    <w:p w14:paraId="14E751CB">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投标文件含有采购人不能接受的附加条件的；</w:t>
      </w:r>
    </w:p>
    <w:p w14:paraId="17D7771C">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属于投标人须知正文第</w:t>
      </w:r>
      <w:r>
        <w:rPr>
          <w:rFonts w:ascii="宋体" w:hAnsi="宋体"/>
          <w:b/>
          <w:color w:val="000000" w:themeColor="text1"/>
          <w:szCs w:val="21"/>
          <w:highlight w:val="none"/>
          <w14:textFill>
            <w14:solidFill>
              <w14:schemeClr w14:val="tx1"/>
            </w14:solidFill>
          </w14:textFill>
        </w:rPr>
        <w:t>9.2</w:t>
      </w:r>
      <w:r>
        <w:rPr>
          <w:rFonts w:hint="eastAsia" w:ascii="宋体" w:hAnsi="宋体"/>
          <w:b/>
          <w:color w:val="000000" w:themeColor="text1"/>
          <w:szCs w:val="21"/>
          <w:highlight w:val="none"/>
          <w14:textFill>
            <w14:solidFill>
              <w14:schemeClr w14:val="tx1"/>
            </w14:solidFill>
          </w14:textFill>
        </w:rPr>
        <w:t>条情形的；</w:t>
      </w:r>
    </w:p>
    <w:p w14:paraId="69D6D510">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投标文件标注的项目名称或者项目编号与招标文件标注的项目名称或者项目编号不一致的；</w:t>
      </w:r>
    </w:p>
    <w:p w14:paraId="76182C4B">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招标文件明确不允许分包，投标文件拟分包的；</w:t>
      </w:r>
    </w:p>
    <w:p w14:paraId="341DC59F">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未响应招标文件实质性要求的；</w:t>
      </w:r>
    </w:p>
    <w:p w14:paraId="080DA5EB">
      <w:pPr>
        <w:keepNext w:val="0"/>
        <w:keepLines w:val="0"/>
        <w:pageBreakBefore w:val="0"/>
        <w:widowControl w:val="0"/>
        <w:numPr>
          <w:ilvl w:val="0"/>
          <w:numId w:val="19"/>
        </w:numPr>
        <w:kinsoku/>
        <w:wordWrap/>
        <w:overflowPunct/>
        <w:topLinePunct w:val="0"/>
        <w:autoSpaceDE/>
        <w:autoSpaceDN/>
        <w:bidi w:val="0"/>
        <w:adjustRightInd/>
        <w:snapToGrid w:val="0"/>
        <w:spacing w:line="360" w:lineRule="auto"/>
        <w:ind w:firstLine="422" w:firstLineChars="200"/>
        <w:textAlignment w:val="auto"/>
        <w:outlineLvl w:val="9"/>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法律、法规和招标文件规定的其他无效情形。</w:t>
      </w:r>
    </w:p>
    <w:p w14:paraId="6DB176CE">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2.3在技术评审时，如发现下列情形之一的，将被视为投标无效：</w:t>
      </w:r>
    </w:p>
    <w:p w14:paraId="21617222">
      <w:pPr>
        <w:pStyle w:val="20"/>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9"/>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（1）技术要求评审允许负偏离的条款数超过“投标人须知前附表”规定项数的；</w:t>
      </w:r>
    </w:p>
    <w:p w14:paraId="211BC922">
      <w:pPr>
        <w:pStyle w:val="20"/>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9"/>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（2）投标文件未提供“投标人须知前附表”第13.</w:t>
      </w:r>
      <w:r>
        <w:rPr>
          <w:rFonts w:ascii="宋体" w:hAnsi="宋体" w:eastAsia="宋体"/>
          <w:b/>
          <w:color w:val="000000" w:themeColor="text1"/>
          <w:kern w:val="2"/>
          <w:sz w:val="21"/>
          <w:szCs w:val="21"/>
          <w:highlight w:val="none"/>
          <w14:textFill>
            <w14:solidFill>
              <w14:schemeClr w14:val="tx1"/>
            </w14:solidFill>
          </w14:textFill>
        </w:rPr>
        <w:t>1</w:t>
      </w:r>
      <w:r>
        <w:rPr>
          <w:rFonts w:hint="eastAsia" w:ascii="宋体" w:hAnsi="宋体" w:eastAsia="宋体"/>
          <w:b/>
          <w:color w:val="000000" w:themeColor="text1"/>
          <w:kern w:val="2"/>
          <w:sz w:val="21"/>
          <w:szCs w:val="21"/>
          <w:highlight w:val="none"/>
          <w14:textFill>
            <w14:solidFill>
              <w14:schemeClr w14:val="tx1"/>
            </w14:solidFill>
          </w14:textFill>
        </w:rPr>
        <w:t>条规定中“必须提供”的文件资料的；</w:t>
      </w:r>
    </w:p>
    <w:p w14:paraId="0578695E">
      <w:pPr>
        <w:pStyle w:val="20"/>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9"/>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（3）虚假投标，或者出现其他情形而导致被评标委员会认定无效的；</w:t>
      </w:r>
    </w:p>
    <w:p w14:paraId="1AF2B71C">
      <w:pPr>
        <w:pStyle w:val="20"/>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9"/>
        <w:rPr>
          <w:rFonts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（4）</w:t>
      </w:r>
      <w:bookmarkStart w:id="177" w:name="_Hlk71706244"/>
      <w:r>
        <w:rPr>
          <w:rFonts w:hint="eastAsia" w:ascii="宋体" w:hAnsi="宋体" w:eastAsia="宋体"/>
          <w:b/>
          <w:color w:val="000000" w:themeColor="text1"/>
          <w:kern w:val="2"/>
          <w:sz w:val="21"/>
          <w:szCs w:val="21"/>
          <w:highlight w:val="none"/>
          <w14:textFill>
            <w14:solidFill>
              <w14:schemeClr w14:val="tx1"/>
            </w14:solidFill>
          </w14:textFill>
        </w:rPr>
        <w:t>招标文件未载明允许提供备选（替代）投标方案或明确不允许提供备选（替代）投标方案时，投标人提供了备选（替代）投标方案的；</w:t>
      </w:r>
      <w:bookmarkEnd w:id="177"/>
    </w:p>
    <w:p w14:paraId="57F7B6C1">
      <w:pPr>
        <w:pStyle w:val="20"/>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9"/>
        <w:rPr>
          <w:rFonts w:hint="eastAsia"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（5）未响应招标文件实质性要求的。</w:t>
      </w:r>
    </w:p>
    <w:p w14:paraId="24BC998A">
      <w:pPr>
        <w:pStyle w:val="20"/>
        <w:keepNext w:val="0"/>
        <w:keepLines w:val="0"/>
        <w:pageBreakBefore w:val="0"/>
        <w:widowControl w:val="0"/>
        <w:kinsoku/>
        <w:wordWrap/>
        <w:overflowPunct/>
        <w:topLinePunct w:val="0"/>
        <w:autoSpaceDE/>
        <w:autoSpaceDN/>
        <w:bidi w:val="0"/>
        <w:adjustRightInd/>
        <w:snapToGrid w:val="0"/>
        <w:spacing w:line="360" w:lineRule="auto"/>
        <w:ind w:firstLine="413" w:firstLineChars="196"/>
        <w:textAlignment w:val="auto"/>
        <w:outlineLvl w:val="9"/>
        <w:rPr>
          <w:rFonts w:ascii="宋体" w:hAnsi="宋体" w:eastAsia="宋体"/>
          <w:b/>
          <w:color w:val="000000" w:themeColor="text1"/>
          <w:kern w:val="2"/>
          <w:sz w:val="21"/>
          <w:szCs w:val="21"/>
          <w:highlight w:val="none"/>
          <w14:textFill>
            <w14:solidFill>
              <w14:schemeClr w14:val="tx1"/>
            </w14:solidFill>
          </w14:textFill>
        </w:rPr>
      </w:pPr>
      <w:r>
        <w:rPr>
          <w:rFonts w:hint="eastAsia" w:ascii="宋体" w:hAnsi="宋体" w:eastAsia="宋体"/>
          <w:b/>
          <w:color w:val="000000" w:themeColor="text1"/>
          <w:kern w:val="2"/>
          <w:sz w:val="21"/>
          <w:szCs w:val="21"/>
          <w:highlight w:val="none"/>
          <w14:textFill>
            <w14:solidFill>
              <w14:schemeClr w14:val="tx1"/>
            </w14:solidFill>
          </w14:textFill>
        </w:rPr>
        <w:t>2.4通过符合性审查的投标人不足3家，评标委员会不得继续评标，并出具评标报告。</w:t>
      </w:r>
    </w:p>
    <w:p w14:paraId="630BDD09">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w:t>
      </w:r>
      <w:r>
        <w:rPr>
          <w:rFonts w:ascii="宋体" w:hAnsi="宋体"/>
          <w:color w:val="000000" w:themeColor="text1"/>
          <w:sz w:val="21"/>
          <w:szCs w:val="21"/>
          <w:highlight w:val="none"/>
          <w14:textFill>
            <w14:solidFill>
              <w14:schemeClr w14:val="tx1"/>
            </w14:solidFill>
          </w14:textFill>
        </w:rPr>
        <w:t>.</w:t>
      </w:r>
      <w:r>
        <w:rPr>
          <w:rFonts w:hint="eastAsia" w:ascii="宋体" w:hAnsi="宋体"/>
          <w:color w:val="000000" w:themeColor="text1"/>
          <w:sz w:val="21"/>
          <w:szCs w:val="21"/>
          <w:highlight w:val="none"/>
          <w14:textFill>
            <w14:solidFill>
              <w14:schemeClr w14:val="tx1"/>
            </w14:solidFill>
          </w14:textFill>
        </w:rPr>
        <w:t>澄清补正</w:t>
      </w:r>
    </w:p>
    <w:p w14:paraId="58EE0926">
      <w:pPr>
        <w:snapToGrid w:val="0"/>
        <w:spacing w:line="360" w:lineRule="auto"/>
        <w:ind w:firstLine="420" w:firstLineChars="200"/>
        <w:rPr>
          <w:rFonts w:ascii="宋体" w:hAnsi="宋体" w:cs="Courier New"/>
          <w:color w:val="000000" w:themeColor="text1"/>
          <w:szCs w:val="21"/>
          <w:highlight w:val="none"/>
          <w14:textFill>
            <w14:solidFill>
              <w14:schemeClr w14:val="tx1"/>
            </w14:solidFill>
          </w14:textFill>
        </w:rPr>
      </w:pPr>
      <w:r>
        <w:rPr>
          <w:rFonts w:hint="eastAsia" w:ascii="宋体" w:hAnsi="宋体" w:cs="Courier New"/>
          <w:color w:val="000000" w:themeColor="text1"/>
          <w:szCs w:val="21"/>
          <w:highlight w:val="none"/>
          <w14:textFill>
            <w14:solidFill>
              <w14:schemeClr w14:val="tx1"/>
            </w14:solidFill>
          </w14:textFill>
        </w:rPr>
        <w:t>对投标文件中含义不明确、同类问题表述不一致或者有明显文字和计算错误的内容，评标委员会以</w:t>
      </w:r>
      <w:r>
        <w:rPr>
          <w:rFonts w:hint="eastAsia" w:ascii="宋体" w:hAnsi="宋体" w:cs="宋体"/>
          <w:color w:val="000000" w:themeColor="text1"/>
          <w:szCs w:val="21"/>
          <w:highlight w:val="none"/>
          <w14:textFill>
            <w14:solidFill>
              <w14:schemeClr w14:val="tx1"/>
            </w14:solidFill>
          </w14:textFill>
        </w:rPr>
        <w:t>电子澄清函形式</w:t>
      </w:r>
      <w:r>
        <w:rPr>
          <w:rFonts w:hint="eastAsia" w:ascii="宋体" w:hAnsi="宋体" w:cs="Courier New"/>
          <w:color w:val="000000" w:themeColor="text1"/>
          <w:szCs w:val="21"/>
          <w:highlight w:val="none"/>
          <w14:textFill>
            <w14:solidFill>
              <w14:schemeClr w14:val="tx1"/>
            </w14:solidFill>
          </w14:textFill>
        </w:rPr>
        <w:t>要求投标人在规定时间内作出必要的澄清、说明或者纠正。投标人的澄清、说明或者补正必须采用</w:t>
      </w:r>
      <w:r>
        <w:rPr>
          <w:rFonts w:hint="eastAsia" w:ascii="宋体" w:hAnsi="宋体" w:cs="宋体"/>
          <w:color w:val="000000" w:themeColor="text1"/>
          <w:szCs w:val="21"/>
          <w:highlight w:val="none"/>
          <w14:textFill>
            <w14:solidFill>
              <w14:schemeClr w14:val="tx1"/>
            </w14:solidFill>
          </w14:textFill>
        </w:rPr>
        <w:t>电子回函形式</w:t>
      </w:r>
      <w:r>
        <w:rPr>
          <w:rFonts w:hint="eastAsia" w:ascii="宋体" w:hAnsi="宋体" w:cs="Courier New"/>
          <w:color w:val="000000" w:themeColor="text1"/>
          <w:szCs w:val="21"/>
          <w:highlight w:val="none"/>
          <w14:textFill>
            <w14:solidFill>
              <w14:schemeClr w14:val="tx1"/>
            </w14:solidFill>
          </w14:textFill>
        </w:rPr>
        <w:t>，并加盖投标人公章，或者由法定代表人或者其授权的代表签字。投标人的澄清、说明或者补正不得超出投标文件的范围或者改变投标文件的实质性内容。</w:t>
      </w:r>
    </w:p>
    <w:p w14:paraId="1E2CFAF8">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4.</w:t>
      </w:r>
      <w:r>
        <w:rPr>
          <w:rFonts w:hint="eastAsia" w:ascii="宋体" w:hAnsi="宋体"/>
          <w:color w:val="000000" w:themeColor="text1"/>
          <w:sz w:val="21"/>
          <w:szCs w:val="21"/>
          <w:highlight w:val="none"/>
          <w14:textFill>
            <w14:solidFill>
              <w14:schemeClr w14:val="tx1"/>
            </w14:solidFill>
          </w14:textFill>
        </w:rPr>
        <w:t>投标文件修正</w:t>
      </w:r>
    </w:p>
    <w:p w14:paraId="25B44EAB">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b/>
          <w:color w:val="000000" w:themeColor="text1"/>
          <w:sz w:val="21"/>
          <w:szCs w:val="21"/>
          <w:highlight w:val="none"/>
          <w14:textFill>
            <w14:solidFill>
              <w14:schemeClr w14:val="tx1"/>
            </w14:solidFill>
          </w14:textFill>
        </w:rPr>
      </w:pPr>
      <w:r>
        <w:rPr>
          <w:rFonts w:ascii="宋体" w:hAnsi="宋体"/>
          <w:b/>
          <w:color w:val="000000" w:themeColor="text1"/>
          <w:sz w:val="21"/>
          <w:szCs w:val="21"/>
          <w:highlight w:val="none"/>
          <w14:textFill>
            <w14:solidFill>
              <w14:schemeClr w14:val="tx1"/>
            </w14:solidFill>
          </w14:textFill>
        </w:rPr>
        <w:t>4</w:t>
      </w:r>
      <w:r>
        <w:rPr>
          <w:rFonts w:hint="eastAsia" w:ascii="宋体" w:hAnsi="宋体"/>
          <w:b/>
          <w:color w:val="000000" w:themeColor="text1"/>
          <w:sz w:val="21"/>
          <w:szCs w:val="21"/>
          <w:highlight w:val="none"/>
          <w14:textFill>
            <w14:solidFill>
              <w14:schemeClr w14:val="tx1"/>
            </w14:solidFill>
          </w14:textFill>
        </w:rPr>
        <w:t xml:space="preserve">.1投标文件报价出现前后不一致的，按照下列规定修正： </w:t>
      </w:r>
    </w:p>
    <w:p w14:paraId="696C5C77">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（1）投标文件中开标一览表（报价表）内容与投标文件中相应内容不一致的，以开标一览表（报价表）为准；</w:t>
      </w:r>
    </w:p>
    <w:p w14:paraId="083BE85D">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（2）大写金额和小写金额不一致的，以大写金额为准；</w:t>
      </w:r>
    </w:p>
    <w:p w14:paraId="3BAE7569">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（3）单价金额小数点或者百分比有明显错位的，以开标一览表的总价为准，并修改单价；</w:t>
      </w:r>
    </w:p>
    <w:p w14:paraId="742C727E">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（4）总价金额与按单价汇总金额不一致的，以单价金额计算结果为准。</w:t>
      </w:r>
    </w:p>
    <w:p w14:paraId="7F3C3A12">
      <w:pPr>
        <w:pStyle w:val="26"/>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同时出现两种以上不一致的，按照以上（1）-（4）规定的顺序修正。修正后的报价经投标人确认后产生约束力，投标人不确认的，</w:t>
      </w:r>
      <w:r>
        <w:rPr>
          <w:rFonts w:hint="eastAsia" w:hAnsi="宋体"/>
          <w:b/>
          <w:color w:val="000000" w:themeColor="text1"/>
          <w:kern w:val="2"/>
          <w:sz w:val="21"/>
          <w:highlight w:val="none"/>
          <w14:textFill>
            <w14:solidFill>
              <w14:schemeClr w14:val="tx1"/>
            </w14:solidFill>
          </w14:textFill>
        </w:rPr>
        <w:t>其投标无效</w:t>
      </w:r>
      <w:r>
        <w:rPr>
          <w:rFonts w:hint="eastAsia" w:hAnsi="宋体"/>
          <w:color w:val="000000" w:themeColor="text1"/>
          <w:sz w:val="21"/>
          <w:highlight w:val="none"/>
          <w14:textFill>
            <w14:solidFill>
              <w14:schemeClr w14:val="tx1"/>
            </w14:solidFill>
          </w14:textFill>
        </w:rPr>
        <w:t>。</w:t>
      </w:r>
    </w:p>
    <w:p w14:paraId="0B43FF56">
      <w:pPr>
        <w:keepNext w:val="0"/>
        <w:keepLines w:val="0"/>
        <w:pageBreakBefore w:val="0"/>
        <w:widowControl w:val="0"/>
        <w:kinsoku/>
        <w:wordWrap/>
        <w:overflowPunct/>
        <w:topLinePunct w:val="0"/>
        <w:autoSpaceDE/>
        <w:autoSpaceDN/>
        <w:bidi w:val="0"/>
        <w:adjustRightInd/>
        <w:spacing w:before="0" w:after="0" w:line="360" w:lineRule="auto"/>
        <w:textAlignment w:val="auto"/>
        <w:outlineLvl w:val="9"/>
        <w:rPr>
          <w:rFonts w:hint="eastAsia" w:ascii="宋体" w:hAnsi="宋体"/>
          <w:b/>
          <w:color w:val="000000" w:themeColor="text1"/>
          <w:sz w:val="21"/>
          <w:szCs w:val="21"/>
          <w:highlight w:val="none"/>
          <w14:textFill>
            <w14:solidFill>
              <w14:schemeClr w14:val="tx1"/>
            </w14:solidFill>
          </w14:textFill>
        </w:rPr>
      </w:pPr>
      <w:r>
        <w:rPr>
          <w:rFonts w:ascii="宋体" w:hAnsi="宋体"/>
          <w:b/>
          <w:color w:val="000000" w:themeColor="text1"/>
          <w:sz w:val="21"/>
          <w:szCs w:val="21"/>
          <w:highlight w:val="none"/>
          <w14:textFill>
            <w14:solidFill>
              <w14:schemeClr w14:val="tx1"/>
            </w14:solidFill>
          </w14:textFill>
        </w:rPr>
        <w:t xml:space="preserve">    4</w:t>
      </w:r>
      <w:r>
        <w:rPr>
          <w:rFonts w:hint="eastAsia" w:ascii="宋体" w:hAnsi="宋体"/>
          <w:b/>
          <w:color w:val="000000" w:themeColor="text1"/>
          <w:sz w:val="21"/>
          <w:szCs w:val="21"/>
          <w:highlight w:val="none"/>
          <w14:textFill>
            <w14:solidFill>
              <w14:schemeClr w14:val="tx1"/>
            </w14:solidFill>
          </w14:textFill>
        </w:rPr>
        <w:t>.2经投标人确认修正后的报价若超过采购预算金额或者最高限价，</w:t>
      </w:r>
      <w:r>
        <w:rPr>
          <w:rFonts w:hint="eastAsia" w:ascii="宋体" w:hAnsi="宋体"/>
          <w:color w:val="000000" w:themeColor="text1"/>
          <w:sz w:val="21"/>
          <w:szCs w:val="21"/>
          <w:highlight w:val="none"/>
          <w14:textFill>
            <w14:solidFill>
              <w14:schemeClr w14:val="tx1"/>
            </w14:solidFill>
          </w14:textFill>
        </w:rPr>
        <w:t>投标人的投标文件作无效投标处理</w:t>
      </w:r>
      <w:r>
        <w:rPr>
          <w:rFonts w:hint="eastAsia" w:ascii="宋体" w:hAnsi="宋体"/>
          <w:b/>
          <w:color w:val="000000" w:themeColor="text1"/>
          <w:sz w:val="21"/>
          <w:szCs w:val="21"/>
          <w:highlight w:val="none"/>
          <w14:textFill>
            <w14:solidFill>
              <w14:schemeClr w14:val="tx1"/>
            </w14:solidFill>
          </w14:textFill>
        </w:rPr>
        <w:t>。</w:t>
      </w:r>
    </w:p>
    <w:p w14:paraId="7D44BE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.3经投标人确认修正后的报价作为签订合同的依据，并以此报价计算价格分。</w:t>
      </w:r>
    </w:p>
    <w:p w14:paraId="4C00EC59">
      <w:pPr>
        <w:keepNext w:val="0"/>
        <w:keepLines w:val="0"/>
        <w:pageBreakBefore w:val="0"/>
        <w:widowControl w:val="0"/>
        <w:kinsoku/>
        <w:wordWrap/>
        <w:overflowPunct/>
        <w:topLinePunct w:val="0"/>
        <w:autoSpaceDE/>
        <w:autoSpaceDN/>
        <w:bidi w:val="0"/>
        <w:adjustRightInd/>
        <w:spacing w:before="0" w:after="0" w:line="360" w:lineRule="auto"/>
        <w:ind w:left="420" w:leftChars="200"/>
        <w:textAlignment w:val="auto"/>
        <w:outlineLvl w:val="9"/>
        <w:rPr>
          <w:rFonts w:hint="eastAsia" w:ascii="宋体" w:hAnsi="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5.</w:t>
      </w:r>
      <w:r>
        <w:rPr>
          <w:rFonts w:hint="eastAsia" w:ascii="宋体" w:hAnsi="宋体"/>
          <w:color w:val="000000" w:themeColor="text1"/>
          <w:sz w:val="21"/>
          <w:szCs w:val="21"/>
          <w:highlight w:val="none"/>
          <w14:textFill>
            <w14:solidFill>
              <w14:schemeClr w14:val="tx1"/>
            </w14:solidFill>
          </w14:textFill>
        </w:rPr>
        <w:t>比较与评价</w:t>
      </w:r>
    </w:p>
    <w:p w14:paraId="3A06715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（1）评标委员会按照招标文件中规定的评标方法及评标标准，对符合性审查合格的投标文件进行商务和技术评估，综合比较与评价。</w:t>
      </w:r>
    </w:p>
    <w:p w14:paraId="28602A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（2）评标委员会独立对每个投标人的投标文件进行评价，并汇总每个投标人的得分。</w:t>
      </w:r>
    </w:p>
    <w:p w14:paraId="6CE635B8">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outlineLvl w:val="9"/>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000000" w:themeColor="text1"/>
          <w:szCs w:val="21"/>
          <w:highlight w:val="none"/>
          <w14:textFill>
            <w14:solidFill>
              <w14:schemeClr w14:val="tx1"/>
            </w14:solidFill>
          </w14:textFill>
        </w:rPr>
        <w:t>投标人不能证明其报价合理性的，评标委员会将其作为无效投标处理</w:t>
      </w:r>
      <w:r>
        <w:rPr>
          <w:rFonts w:hint="eastAsia" w:ascii="宋体" w:hAnsi="宋体"/>
          <w:color w:val="000000" w:themeColor="text1"/>
          <w:szCs w:val="21"/>
          <w:highlight w:val="none"/>
          <w14:textFill>
            <w14:solidFill>
              <w14:schemeClr w14:val="tx1"/>
            </w14:solidFill>
          </w14:textFill>
        </w:rPr>
        <w:t>。</w:t>
      </w:r>
    </w:p>
    <w:p w14:paraId="28918259">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（3）评标委员会按照招标文件中规定的评标方法和标准计算各投标人的报价得分。在计算过程中，不得去掉最高报价或者最低报价。</w:t>
      </w:r>
    </w:p>
    <w:p w14:paraId="6D433065">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（4）各投标人的得分为所有评委的有效评分的算术平均数。</w:t>
      </w:r>
    </w:p>
    <w:p w14:paraId="704B49D3">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（5）评标委员会按照招标文件中的规定推荐中标候选人。</w:t>
      </w:r>
    </w:p>
    <w:p w14:paraId="0F599A2F">
      <w:pPr>
        <w:snapToGrid w:val="0"/>
        <w:spacing w:line="360" w:lineRule="auto"/>
        <w:ind w:firstLine="420" w:firstLineChars="2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5999A8A0">
      <w:pPr>
        <w:keepNext w:val="0"/>
        <w:keepLines w:val="0"/>
        <w:pageBreakBefore w:val="0"/>
        <w:widowControl w:val="0"/>
        <w:kinsoku/>
        <w:wordWrap/>
        <w:overflowPunct/>
        <w:topLinePunct w:val="0"/>
        <w:autoSpaceDE/>
        <w:autoSpaceDN/>
        <w:bidi w:val="0"/>
        <w:adjustRightInd/>
        <w:snapToGrid/>
        <w:spacing w:line="416" w:lineRule="auto"/>
        <w:jc w:val="center"/>
        <w:textAlignment w:val="auto"/>
        <w:outlineLvl w:val="9"/>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color w:val="000000" w:themeColor="text1"/>
          <w:sz w:val="30"/>
          <w:szCs w:val="30"/>
          <w:highlight w:val="none"/>
          <w14:textFill>
            <w14:solidFill>
              <w14:schemeClr w14:val="tx1"/>
            </w14:solidFill>
          </w14:textFill>
        </w:rPr>
        <w:t>三、评标标准</w:t>
      </w:r>
    </w:p>
    <w:p w14:paraId="1DB0886B">
      <w:pPr>
        <w:keepNext w:val="0"/>
        <w:keepLines w:val="0"/>
        <w:pageBreakBefore w:val="0"/>
        <w:widowControl w:val="0"/>
        <w:kinsoku/>
        <w:wordWrap/>
        <w:overflowPunct/>
        <w:topLinePunct w:val="0"/>
        <w:autoSpaceDE/>
        <w:autoSpaceDN/>
        <w:bidi w:val="0"/>
        <w:adjustRightInd/>
        <w:snapToGrid/>
        <w:spacing w:before="0" w:after="0" w:line="360" w:lineRule="auto"/>
        <w:ind w:left="420" w:leftChars="200"/>
        <w:textAlignment w:val="auto"/>
        <w:outlineLvl w:val="9"/>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1、综合评分法</w:t>
      </w:r>
    </w:p>
    <w:p w14:paraId="08E61672">
      <w:pPr>
        <w:rPr>
          <w:rFonts w:hint="eastAsia"/>
          <w:color w:val="000000" w:themeColor="text1"/>
          <w:highlight w:val="none"/>
          <w14:textFill>
            <w14:solidFill>
              <w14:schemeClr w14:val="tx1"/>
            </w14:solidFill>
          </w14:textFill>
        </w:rPr>
      </w:pPr>
    </w:p>
    <w:tbl>
      <w:tblPr>
        <w:tblStyle w:val="53"/>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067"/>
        <w:gridCol w:w="695"/>
        <w:gridCol w:w="1786"/>
        <w:gridCol w:w="5619"/>
      </w:tblGrid>
      <w:tr w14:paraId="26F3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35E56052">
            <w:pPr>
              <w:adjustRightInd w:val="0"/>
              <w:spacing w:line="400" w:lineRule="exact"/>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1067" w:type="dxa"/>
            <w:vAlign w:val="center"/>
          </w:tcPr>
          <w:p w14:paraId="35C45CF2">
            <w:pPr>
              <w:adjustRightInd w:val="0"/>
              <w:spacing w:line="400" w:lineRule="exact"/>
              <w:jc w:val="center"/>
              <w:textAlignment w:val="baseline"/>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评审因素</w:t>
            </w:r>
          </w:p>
        </w:tc>
        <w:tc>
          <w:tcPr>
            <w:tcW w:w="695" w:type="dxa"/>
            <w:vAlign w:val="center"/>
          </w:tcPr>
          <w:p w14:paraId="025A18C6">
            <w:pPr>
              <w:adjustRightInd w:val="0"/>
              <w:spacing w:line="400" w:lineRule="exact"/>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分值</w:t>
            </w:r>
          </w:p>
        </w:tc>
        <w:tc>
          <w:tcPr>
            <w:tcW w:w="7405" w:type="dxa"/>
            <w:gridSpan w:val="2"/>
            <w:vAlign w:val="center"/>
          </w:tcPr>
          <w:p w14:paraId="5DF5F0D7">
            <w:pPr>
              <w:adjustRightInd w:val="0"/>
              <w:spacing w:line="400" w:lineRule="exact"/>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评标标准</w:t>
            </w:r>
          </w:p>
        </w:tc>
      </w:tr>
      <w:tr w14:paraId="4CC41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74775DCA">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1067" w:type="dxa"/>
            <w:vAlign w:val="center"/>
          </w:tcPr>
          <w:p w14:paraId="6DB5F2E3">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投标报价</w:t>
            </w:r>
          </w:p>
        </w:tc>
        <w:tc>
          <w:tcPr>
            <w:tcW w:w="695" w:type="dxa"/>
            <w:vAlign w:val="center"/>
          </w:tcPr>
          <w:p w14:paraId="65284602">
            <w:pPr>
              <w:spacing w:line="400" w:lineRule="exact"/>
              <w:rPr>
                <w:rFonts w:hint="eastAsia" w:ascii="宋体" w:hAnsi="宋体" w:cs="仿宋"/>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30</w:t>
            </w:r>
            <w:r>
              <w:rPr>
                <w:rFonts w:hint="eastAsia" w:ascii="宋体" w:hAnsi="宋体"/>
                <w:b/>
                <w:bCs/>
                <w:color w:val="000000" w:themeColor="text1"/>
                <w:szCs w:val="21"/>
                <w:highlight w:val="none"/>
                <w14:textFill>
                  <w14:solidFill>
                    <w14:schemeClr w14:val="tx1"/>
                  </w14:solidFill>
                </w14:textFill>
              </w:rPr>
              <w:t>分</w:t>
            </w:r>
          </w:p>
        </w:tc>
        <w:tc>
          <w:tcPr>
            <w:tcW w:w="7405" w:type="dxa"/>
            <w:gridSpan w:val="2"/>
            <w:vAlign w:val="center"/>
          </w:tcPr>
          <w:p w14:paraId="579231E5">
            <w:pPr>
              <w:pStyle w:val="26"/>
              <w:spacing w:line="400" w:lineRule="exact"/>
              <w:rPr>
                <w:rFonts w:hint="eastAsia" w:hAnsi="宋体"/>
                <w:b/>
                <w:color w:val="000000" w:themeColor="text1"/>
                <w:sz w:val="21"/>
                <w:highlight w:val="none"/>
                <w14:textFill>
                  <w14:solidFill>
                    <w14:schemeClr w14:val="tx1"/>
                  </w14:solidFill>
                </w14:textFill>
              </w:rPr>
            </w:pPr>
            <w:r>
              <w:rPr>
                <w:rFonts w:hint="eastAsia" w:hAnsi="宋体"/>
                <w:b/>
                <w:color w:val="000000" w:themeColor="text1"/>
                <w:sz w:val="21"/>
                <w:highlight w:val="none"/>
                <w14:textFill>
                  <w14:solidFill>
                    <w14:schemeClr w14:val="tx1"/>
                  </w14:solidFill>
                </w14:textFill>
              </w:rPr>
              <w:t>投标报价分（满分</w:t>
            </w:r>
            <w:r>
              <w:rPr>
                <w:rFonts w:hint="eastAsia" w:hAnsi="宋体"/>
                <w:b/>
                <w:color w:val="000000" w:themeColor="text1"/>
                <w:sz w:val="21"/>
                <w:highlight w:val="none"/>
                <w:lang w:val="en-US" w:eastAsia="zh-CN"/>
                <w14:textFill>
                  <w14:solidFill>
                    <w14:schemeClr w14:val="tx1"/>
                  </w14:solidFill>
                </w14:textFill>
              </w:rPr>
              <w:t>30</w:t>
            </w:r>
            <w:r>
              <w:rPr>
                <w:rFonts w:hint="eastAsia" w:hAnsi="宋体"/>
                <w:b/>
                <w:color w:val="000000" w:themeColor="text1"/>
                <w:sz w:val="21"/>
                <w:highlight w:val="none"/>
                <w14:textFill>
                  <w14:solidFill>
                    <w14:schemeClr w14:val="tx1"/>
                  </w14:solidFill>
                </w14:textFill>
              </w:rPr>
              <w:t>分）</w:t>
            </w:r>
          </w:p>
          <w:p w14:paraId="10A0A5ED">
            <w:pPr>
              <w:pStyle w:val="26"/>
              <w:spacing w:line="400" w:lineRule="exact"/>
              <w:ind w:firstLine="420"/>
              <w:rPr>
                <w:rFonts w:hint="eastAsia" w:hAnsi="宋体"/>
                <w:bCs/>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投标报价</w:t>
            </w:r>
            <w:r>
              <w:rPr>
                <w:rFonts w:hAnsi="宋体"/>
                <w:bCs/>
                <w:color w:val="000000" w:themeColor="text1"/>
                <w:sz w:val="21"/>
                <w:highlight w:val="none"/>
                <w14:textFill>
                  <w14:solidFill>
                    <w14:schemeClr w14:val="tx1"/>
                  </w14:solidFill>
                </w14:textFill>
              </w:rPr>
              <w:t>分采用低价优先法计算，满足招标文件要求且</w:t>
            </w:r>
            <w:r>
              <w:rPr>
                <w:rFonts w:hint="eastAsia" w:hAnsi="宋体"/>
                <w:bCs/>
                <w:color w:val="000000" w:themeColor="text1"/>
                <w:sz w:val="21"/>
                <w:highlight w:val="none"/>
                <w14:textFill>
                  <w14:solidFill>
                    <w14:schemeClr w14:val="tx1"/>
                  </w14:solidFill>
                </w14:textFill>
              </w:rPr>
              <w:t>投标报价</w:t>
            </w:r>
            <w:r>
              <w:rPr>
                <w:rFonts w:hAnsi="宋体"/>
                <w:bCs/>
                <w:color w:val="000000" w:themeColor="text1"/>
                <w:sz w:val="21"/>
                <w:highlight w:val="none"/>
                <w14:textFill>
                  <w14:solidFill>
                    <w14:schemeClr w14:val="tx1"/>
                  </w14:solidFill>
                </w14:textFill>
              </w:rPr>
              <w:t>最低的</w:t>
            </w:r>
            <w:r>
              <w:rPr>
                <w:rFonts w:hint="eastAsia" w:hAnsi="宋体"/>
                <w:bCs/>
                <w:color w:val="000000" w:themeColor="text1"/>
                <w:sz w:val="21"/>
                <w:highlight w:val="none"/>
                <w14:textFill>
                  <w14:solidFill>
                    <w14:schemeClr w14:val="tx1"/>
                  </w14:solidFill>
                </w14:textFill>
              </w:rPr>
              <w:t>有效投标人的投标报价</w:t>
            </w:r>
            <w:r>
              <w:rPr>
                <w:rFonts w:hAnsi="宋体"/>
                <w:bCs/>
                <w:color w:val="000000" w:themeColor="text1"/>
                <w:sz w:val="21"/>
                <w:highlight w:val="none"/>
                <w14:textFill>
                  <w14:solidFill>
                    <w14:schemeClr w14:val="tx1"/>
                  </w14:solidFill>
                </w14:textFill>
              </w:rPr>
              <w:t>为评标基准价，其</w:t>
            </w:r>
            <w:r>
              <w:rPr>
                <w:rFonts w:hint="eastAsia" w:hAnsi="宋体"/>
                <w:bCs/>
                <w:color w:val="000000" w:themeColor="text1"/>
                <w:sz w:val="21"/>
                <w:highlight w:val="none"/>
                <w14:textFill>
                  <w14:solidFill>
                    <w14:schemeClr w14:val="tx1"/>
                  </w14:solidFill>
                </w14:textFill>
              </w:rPr>
              <w:t>投标报价</w:t>
            </w:r>
            <w:r>
              <w:rPr>
                <w:rFonts w:hAnsi="宋体"/>
                <w:bCs/>
                <w:color w:val="000000" w:themeColor="text1"/>
                <w:sz w:val="21"/>
                <w:highlight w:val="none"/>
                <w14:textFill>
                  <w14:solidFill>
                    <w14:schemeClr w14:val="tx1"/>
                  </w14:solidFill>
                </w14:textFill>
              </w:rPr>
              <w:t>分为满分。</w:t>
            </w:r>
          </w:p>
          <w:p w14:paraId="35311D8D">
            <w:pPr>
              <w:pStyle w:val="26"/>
              <w:spacing w:line="400" w:lineRule="exact"/>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2、</w:t>
            </w:r>
            <w:r>
              <w:rPr>
                <w:rFonts w:hAnsi="宋体"/>
                <w:bCs/>
                <w:color w:val="000000" w:themeColor="text1"/>
                <w:sz w:val="21"/>
                <w:highlight w:val="none"/>
                <w14:textFill>
                  <w14:solidFill>
                    <w14:schemeClr w14:val="tx1"/>
                  </w14:solidFill>
                </w14:textFill>
              </w:rPr>
              <w:t>其他投标人的价格分统一按照下列公式计算：</w:t>
            </w:r>
          </w:p>
          <w:p w14:paraId="2AD589A3">
            <w:pPr>
              <w:pStyle w:val="26"/>
              <w:spacing w:line="400" w:lineRule="exact"/>
              <w:rPr>
                <w:rFonts w:hint="eastAsia" w:hAnsi="宋体" w:cs="Courier New"/>
                <w:bCs/>
                <w:color w:val="000000" w:themeColor="text1"/>
                <w:kern w:val="2"/>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某有效投标人的投标报价</w:t>
            </w:r>
            <w:r>
              <w:rPr>
                <w:rFonts w:hAnsi="宋体"/>
                <w:bCs/>
                <w:color w:val="000000" w:themeColor="text1"/>
                <w:sz w:val="21"/>
                <w:highlight w:val="none"/>
                <w14:textFill>
                  <w14:solidFill>
                    <w14:schemeClr w14:val="tx1"/>
                  </w14:solidFill>
                </w14:textFill>
              </w:rPr>
              <w:t>分=</w:t>
            </w:r>
            <w:r>
              <w:rPr>
                <w:rFonts w:hint="eastAsia" w:hAnsi="宋体"/>
                <w:bCs/>
                <w:color w:val="000000" w:themeColor="text1"/>
                <w:sz w:val="21"/>
                <w:highlight w:val="none"/>
                <w14:textFill>
                  <w14:solidFill>
                    <w14:schemeClr w14:val="tx1"/>
                  </w14:solidFill>
                </w14:textFill>
              </w:rPr>
              <w:t>（</w:t>
            </w:r>
            <w:r>
              <w:rPr>
                <w:rFonts w:hAnsi="宋体"/>
                <w:bCs/>
                <w:color w:val="000000" w:themeColor="text1"/>
                <w:sz w:val="21"/>
                <w:highlight w:val="none"/>
                <w14:textFill>
                  <w14:solidFill>
                    <w14:schemeClr w14:val="tx1"/>
                  </w14:solidFill>
                </w14:textFill>
              </w:rPr>
              <w:t>评标基准价／</w:t>
            </w:r>
            <w:r>
              <w:rPr>
                <w:rFonts w:hint="eastAsia" w:hAnsi="宋体"/>
                <w:bCs/>
                <w:color w:val="000000" w:themeColor="text1"/>
                <w:sz w:val="21"/>
                <w:highlight w:val="none"/>
                <w14:textFill>
                  <w14:solidFill>
                    <w14:schemeClr w14:val="tx1"/>
                  </w14:solidFill>
                </w14:textFill>
              </w:rPr>
              <w:t>某有效投标人投标报价）</w:t>
            </w:r>
            <w:r>
              <w:rPr>
                <w:rFonts w:hAnsi="宋体"/>
                <w:bCs/>
                <w:color w:val="000000" w:themeColor="text1"/>
                <w:sz w:val="21"/>
                <w:highlight w:val="none"/>
                <w14:textFill>
                  <w14:solidFill>
                    <w14:schemeClr w14:val="tx1"/>
                  </w14:solidFill>
                </w14:textFill>
              </w:rPr>
              <w:t>×</w:t>
            </w:r>
            <w:r>
              <w:rPr>
                <w:rFonts w:hint="eastAsia" w:hAnsi="宋体"/>
                <w:bCs/>
                <w:color w:val="000000" w:themeColor="text1"/>
                <w:sz w:val="21"/>
                <w:highlight w:val="none"/>
                <w:lang w:val="en-US" w:eastAsia="zh-CN"/>
                <w14:textFill>
                  <w14:solidFill>
                    <w14:schemeClr w14:val="tx1"/>
                  </w14:solidFill>
                </w14:textFill>
              </w:rPr>
              <w:t>3</w:t>
            </w:r>
            <w:r>
              <w:rPr>
                <w:rFonts w:hint="eastAsia" w:hAnsi="宋体"/>
                <w:bCs/>
                <w:color w:val="000000" w:themeColor="text1"/>
                <w:sz w:val="21"/>
                <w:highlight w:val="none"/>
                <w14:textFill>
                  <w14:solidFill>
                    <w14:schemeClr w14:val="tx1"/>
                  </w14:solidFill>
                </w14:textFill>
              </w:rPr>
              <w:t>0分</w:t>
            </w:r>
          </w:p>
        </w:tc>
      </w:tr>
      <w:tr w14:paraId="77677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1" w:hRule="atLeast"/>
          <w:jc w:val="center"/>
        </w:trPr>
        <w:tc>
          <w:tcPr>
            <w:tcW w:w="730" w:type="dxa"/>
            <w:vMerge w:val="restart"/>
            <w:vAlign w:val="center"/>
          </w:tcPr>
          <w:p w14:paraId="4CDA63D2">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1067" w:type="dxa"/>
            <w:vMerge w:val="restart"/>
            <w:vAlign w:val="center"/>
          </w:tcPr>
          <w:p w14:paraId="5247E7C5">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服务方案</w:t>
            </w:r>
          </w:p>
        </w:tc>
        <w:tc>
          <w:tcPr>
            <w:tcW w:w="695" w:type="dxa"/>
            <w:vMerge w:val="restart"/>
            <w:vAlign w:val="center"/>
          </w:tcPr>
          <w:p w14:paraId="764E96C4">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40</w:t>
            </w:r>
            <w:r>
              <w:rPr>
                <w:rFonts w:hint="eastAsia" w:ascii="宋体" w:hAnsi="宋体"/>
                <w:b/>
                <w:color w:val="000000" w:themeColor="text1"/>
                <w:szCs w:val="21"/>
                <w:highlight w:val="none"/>
                <w14:textFill>
                  <w14:solidFill>
                    <w14:schemeClr w14:val="tx1"/>
                  </w14:solidFill>
                </w14:textFill>
              </w:rPr>
              <w:t>分</w:t>
            </w:r>
          </w:p>
        </w:tc>
        <w:tc>
          <w:tcPr>
            <w:tcW w:w="1786" w:type="dxa"/>
            <w:vAlign w:val="center"/>
          </w:tcPr>
          <w:p w14:paraId="32B6B2B8">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技术实施方案分（满分</w:t>
            </w:r>
            <w:r>
              <w:rPr>
                <w:rFonts w:hint="eastAsia" w:ascii="宋体" w:hAnsi="宋体"/>
                <w:b/>
                <w:color w:val="000000" w:themeColor="text1"/>
                <w:szCs w:val="21"/>
                <w:highlight w:val="none"/>
                <w:lang w:val="en-US" w:eastAsia="zh-CN"/>
                <w14:textFill>
                  <w14:solidFill>
                    <w14:schemeClr w14:val="tx1"/>
                  </w14:solidFill>
                </w14:textFill>
              </w:rPr>
              <w:t>16</w:t>
            </w:r>
            <w:r>
              <w:rPr>
                <w:rFonts w:hint="eastAsia" w:ascii="宋体" w:hAnsi="宋体"/>
                <w:b/>
                <w:color w:val="000000" w:themeColor="text1"/>
                <w:szCs w:val="21"/>
                <w:highlight w:val="none"/>
                <w14:textFill>
                  <w14:solidFill>
                    <w14:schemeClr w14:val="tx1"/>
                  </w14:solidFill>
                </w14:textFill>
              </w:rPr>
              <w:t>分）</w:t>
            </w:r>
          </w:p>
        </w:tc>
        <w:tc>
          <w:tcPr>
            <w:tcW w:w="5619" w:type="dxa"/>
            <w:vAlign w:val="center"/>
          </w:tcPr>
          <w:p w14:paraId="7A1F34A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一档（</w:t>
            </w:r>
            <w:r>
              <w:rPr>
                <w:rFonts w:hint="eastAsia" w:hAnsi="宋体" w:cs="Courier New"/>
                <w:color w:val="000000" w:themeColor="text1"/>
                <w:kern w:val="2"/>
                <w:sz w:val="21"/>
                <w:highlight w:val="none"/>
                <w:lang w:val="en-US" w:eastAsia="zh-CN"/>
                <w14:textFill>
                  <w14:solidFill>
                    <w14:schemeClr w14:val="tx1"/>
                  </w14:solidFill>
                </w14:textFill>
              </w:rPr>
              <w:t>4</w:t>
            </w:r>
            <w:r>
              <w:rPr>
                <w:rFonts w:hint="eastAsia" w:hAnsi="宋体" w:cs="Courier New"/>
                <w:color w:val="000000" w:themeColor="text1"/>
                <w:kern w:val="2"/>
                <w:sz w:val="21"/>
                <w:highlight w:val="none"/>
                <w14:textFill>
                  <w14:solidFill>
                    <w14:schemeClr w14:val="tx1"/>
                  </w14:solidFill>
                </w14:textFill>
              </w:rPr>
              <w:t>分）：提供了维护技术实施方案，但基本照搬招标文件采购需求内容。</w:t>
            </w:r>
          </w:p>
          <w:p w14:paraId="635C3B4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二档（</w:t>
            </w:r>
            <w:r>
              <w:rPr>
                <w:rFonts w:hint="eastAsia" w:hAnsi="宋体" w:cs="Courier New"/>
                <w:color w:val="000000" w:themeColor="text1"/>
                <w:kern w:val="2"/>
                <w:sz w:val="21"/>
                <w:highlight w:val="none"/>
                <w:lang w:val="en-US" w:eastAsia="zh-CN"/>
                <w14:textFill>
                  <w14:solidFill>
                    <w14:schemeClr w14:val="tx1"/>
                  </w14:solidFill>
                </w14:textFill>
              </w:rPr>
              <w:t>8</w:t>
            </w:r>
            <w:r>
              <w:rPr>
                <w:rFonts w:hint="eastAsia" w:hAnsi="宋体" w:cs="Courier New"/>
                <w:color w:val="000000" w:themeColor="text1"/>
                <w:kern w:val="2"/>
                <w:sz w:val="21"/>
                <w:highlight w:val="none"/>
                <w14:textFill>
                  <w14:solidFill>
                    <w14:schemeClr w14:val="tx1"/>
                  </w14:solidFill>
                </w14:textFill>
              </w:rPr>
              <w:t>分）：在满足一档的基础上，针对本项目实际情况，制定了维护技术实施方案；制定了维护管理制度，具有维护服务流程</w:t>
            </w:r>
            <w:r>
              <w:rPr>
                <w:rFonts w:hint="eastAsia" w:hAnsi="宋体" w:cs="Courier New"/>
                <w:color w:val="000000" w:themeColor="text1"/>
                <w:kern w:val="2"/>
                <w:sz w:val="21"/>
                <w:highlight w:val="none"/>
                <w:lang w:eastAsia="zh-CN"/>
                <w14:textFill>
                  <w14:solidFill>
                    <w14:schemeClr w14:val="tx1"/>
                  </w14:solidFill>
                </w14:textFill>
              </w:rPr>
              <w:t>规范</w:t>
            </w:r>
            <w:r>
              <w:rPr>
                <w:rFonts w:hint="eastAsia" w:hAnsi="宋体" w:cs="Courier New"/>
                <w:color w:val="000000" w:themeColor="text1"/>
                <w:kern w:val="2"/>
                <w:sz w:val="21"/>
                <w:highlight w:val="none"/>
                <w14:textFill>
                  <w14:solidFill>
                    <w14:schemeClr w14:val="tx1"/>
                  </w14:solidFill>
                </w14:textFill>
              </w:rPr>
              <w:t>、服务内容规范、故障处理规范</w:t>
            </w:r>
            <w:r>
              <w:rPr>
                <w:rFonts w:hint="eastAsia" w:hAnsi="宋体" w:cs="Courier New"/>
                <w:color w:val="000000" w:themeColor="text1"/>
                <w:kern w:val="2"/>
                <w:sz w:val="21"/>
                <w:highlight w:val="none"/>
                <w:lang w:eastAsia="zh-CN"/>
                <w14:textFill>
                  <w14:solidFill>
                    <w14:schemeClr w14:val="tx1"/>
                  </w14:solidFill>
                </w14:textFill>
              </w:rPr>
              <w:t>、应急处突规范</w:t>
            </w:r>
            <w:r>
              <w:rPr>
                <w:rFonts w:hint="eastAsia" w:hAnsi="宋体" w:cs="Courier New"/>
                <w:color w:val="000000" w:themeColor="text1"/>
                <w:kern w:val="2"/>
                <w:sz w:val="21"/>
                <w:highlight w:val="none"/>
                <w14:textFill>
                  <w14:solidFill>
                    <w14:schemeClr w14:val="tx1"/>
                  </w14:solidFill>
                </w14:textFill>
              </w:rPr>
              <w:t>。</w:t>
            </w:r>
          </w:p>
          <w:p w14:paraId="43A8798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三档（</w:t>
            </w:r>
            <w:r>
              <w:rPr>
                <w:rFonts w:hAnsi="宋体" w:cs="Courier New"/>
                <w:color w:val="000000" w:themeColor="text1"/>
                <w:kern w:val="2"/>
                <w:sz w:val="21"/>
                <w:highlight w:val="none"/>
                <w14:textFill>
                  <w14:solidFill>
                    <w14:schemeClr w14:val="tx1"/>
                  </w14:solidFill>
                </w14:textFill>
              </w:rPr>
              <w:t>1</w:t>
            </w:r>
            <w:r>
              <w:rPr>
                <w:rFonts w:hint="eastAsia" w:hAnsi="宋体" w:cs="Courier New"/>
                <w:color w:val="000000" w:themeColor="text1"/>
                <w:kern w:val="2"/>
                <w:sz w:val="21"/>
                <w:highlight w:val="none"/>
                <w:lang w:val="en-US" w:eastAsia="zh-CN"/>
                <w14:textFill>
                  <w14:solidFill>
                    <w14:schemeClr w14:val="tx1"/>
                  </w14:solidFill>
                </w14:textFill>
              </w:rPr>
              <w:t>2</w:t>
            </w:r>
            <w:r>
              <w:rPr>
                <w:rFonts w:hint="eastAsia" w:hAnsi="宋体" w:cs="Courier New"/>
                <w:color w:val="000000" w:themeColor="text1"/>
                <w:kern w:val="2"/>
                <w:sz w:val="21"/>
                <w:highlight w:val="none"/>
                <w14:textFill>
                  <w14:solidFill>
                    <w14:schemeClr w14:val="tx1"/>
                  </w14:solidFill>
                </w14:textFill>
              </w:rPr>
              <w:t>分）：在满足二档的基础上，针对本项目实际情况，对管理制度、服务流程进行了细化，明确了不同岗位的维护人员在维护过程中的职责，且符合本项目服务要求；维护服务流程</w:t>
            </w:r>
            <w:r>
              <w:rPr>
                <w:rFonts w:hint="eastAsia" w:hAnsi="宋体" w:cs="Courier New"/>
                <w:color w:val="000000" w:themeColor="text1"/>
                <w:kern w:val="2"/>
                <w:sz w:val="21"/>
                <w:highlight w:val="none"/>
                <w:lang w:eastAsia="zh-CN"/>
                <w14:textFill>
                  <w14:solidFill>
                    <w14:schemeClr w14:val="tx1"/>
                  </w14:solidFill>
                </w14:textFill>
              </w:rPr>
              <w:t>规范</w:t>
            </w:r>
            <w:r>
              <w:rPr>
                <w:rFonts w:hint="eastAsia" w:hAnsi="宋体" w:cs="Courier New"/>
                <w:color w:val="000000" w:themeColor="text1"/>
                <w:kern w:val="2"/>
                <w:sz w:val="21"/>
                <w:highlight w:val="none"/>
                <w14:textFill>
                  <w14:solidFill>
                    <w14:schemeClr w14:val="tx1"/>
                  </w14:solidFill>
                </w14:textFill>
              </w:rPr>
              <w:t>、服务内容规范、故障处理规范、应急处突规范详细，且具有服务质量评估方法。</w:t>
            </w:r>
          </w:p>
          <w:p w14:paraId="5DF566B9">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四档（</w:t>
            </w:r>
            <w:r>
              <w:rPr>
                <w:rFonts w:hint="eastAsia" w:hAnsi="宋体" w:cs="Courier New"/>
                <w:color w:val="000000" w:themeColor="text1"/>
                <w:kern w:val="2"/>
                <w:sz w:val="21"/>
                <w:highlight w:val="none"/>
                <w:lang w:val="en-US" w:eastAsia="zh-CN"/>
                <w14:textFill>
                  <w14:solidFill>
                    <w14:schemeClr w14:val="tx1"/>
                  </w14:solidFill>
                </w14:textFill>
              </w:rPr>
              <w:t>16</w:t>
            </w:r>
            <w:r>
              <w:rPr>
                <w:rFonts w:hint="eastAsia" w:hAnsi="宋体" w:cs="Courier New"/>
                <w:color w:val="000000" w:themeColor="text1"/>
                <w:kern w:val="2"/>
                <w:sz w:val="21"/>
                <w:highlight w:val="none"/>
                <w14:textFill>
                  <w14:solidFill>
                    <w14:schemeClr w14:val="tx1"/>
                  </w14:solidFill>
                </w14:textFill>
              </w:rPr>
              <w:t>分）：在满足三档的基础上，针对本项目实际情况，建立了维护服务管理体系，包括组织架构、岗位设置、管理制度、服务流程</w:t>
            </w:r>
            <w:r>
              <w:rPr>
                <w:rFonts w:hint="eastAsia" w:hAnsi="宋体" w:cs="Courier New"/>
                <w:color w:val="000000" w:themeColor="text1"/>
                <w:kern w:val="2"/>
                <w:sz w:val="21"/>
                <w:highlight w:val="none"/>
                <w:lang w:eastAsia="zh-CN"/>
                <w14:textFill>
                  <w14:solidFill>
                    <w14:schemeClr w14:val="tx1"/>
                  </w14:solidFill>
                </w14:textFill>
              </w:rPr>
              <w:t>规范</w:t>
            </w:r>
            <w:r>
              <w:rPr>
                <w:rFonts w:hint="eastAsia" w:hAnsi="宋体" w:cs="Courier New"/>
                <w:color w:val="000000" w:themeColor="text1"/>
                <w:kern w:val="2"/>
                <w:sz w:val="21"/>
                <w:highlight w:val="none"/>
                <w14:textFill>
                  <w14:solidFill>
                    <w14:schemeClr w14:val="tx1"/>
                  </w14:solidFill>
                </w14:textFill>
              </w:rPr>
              <w:t>、服务内容规范、故障处理规范、应急处突规范、运维团队与采购人间沟通协作机制等，且符合本项目运维服务要求，并详细明确地描述了如何配合采购人目前的管理模式及运维管理工具运作模式提供服务。</w:t>
            </w:r>
          </w:p>
          <w:p w14:paraId="035EB235">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ascii="宋体" w:hAnsi="宋体" w:eastAsia="宋体" w:cs="宋体"/>
                <w:bCs/>
                <w:color w:val="auto"/>
                <w:kern w:val="2"/>
                <w:sz w:val="21"/>
                <w:highlight w:val="none"/>
                <w:lang w:val="en-US" w:eastAsia="zh-CN"/>
              </w:rPr>
              <w:t>不满足一档或未提供本项内容的计0分</w:t>
            </w:r>
          </w:p>
        </w:tc>
      </w:tr>
      <w:tr w14:paraId="392BD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Merge w:val="continue"/>
            <w:vAlign w:val="center"/>
          </w:tcPr>
          <w:p w14:paraId="3A60372C">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1067" w:type="dxa"/>
            <w:vMerge w:val="continue"/>
            <w:vAlign w:val="center"/>
          </w:tcPr>
          <w:p w14:paraId="5ED45A9E">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695" w:type="dxa"/>
            <w:vMerge w:val="continue"/>
            <w:vAlign w:val="center"/>
          </w:tcPr>
          <w:p w14:paraId="4D53D718">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1786" w:type="dxa"/>
            <w:vAlign w:val="center"/>
          </w:tcPr>
          <w:p w14:paraId="67E0A7BC">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进度及风险管控方案分（满分</w:t>
            </w:r>
            <w:r>
              <w:rPr>
                <w:rFonts w:hint="eastAsia" w:ascii="宋体" w:hAnsi="宋体"/>
                <w:b/>
                <w:color w:val="000000" w:themeColor="text1"/>
                <w:szCs w:val="21"/>
                <w:highlight w:val="none"/>
                <w:lang w:val="en-US" w:eastAsia="zh-CN"/>
                <w14:textFill>
                  <w14:solidFill>
                    <w14:schemeClr w14:val="tx1"/>
                  </w14:solidFill>
                </w14:textFill>
              </w:rPr>
              <w:t>9</w:t>
            </w:r>
            <w:r>
              <w:rPr>
                <w:rFonts w:hint="eastAsia" w:ascii="宋体" w:hAnsi="宋体"/>
                <w:b/>
                <w:color w:val="000000" w:themeColor="text1"/>
                <w:szCs w:val="21"/>
                <w:highlight w:val="none"/>
                <w14:textFill>
                  <w14:solidFill>
                    <w14:schemeClr w14:val="tx1"/>
                  </w14:solidFill>
                </w14:textFill>
              </w:rPr>
              <w:t>分）</w:t>
            </w:r>
          </w:p>
        </w:tc>
        <w:tc>
          <w:tcPr>
            <w:tcW w:w="5619" w:type="dxa"/>
            <w:vAlign w:val="center"/>
          </w:tcPr>
          <w:p w14:paraId="29291623">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一档（</w:t>
            </w:r>
            <w:r>
              <w:rPr>
                <w:rFonts w:hint="eastAsia" w:hAnsi="宋体" w:cs="Courier New"/>
                <w:color w:val="000000" w:themeColor="text1"/>
                <w:kern w:val="2"/>
                <w:sz w:val="21"/>
                <w:highlight w:val="none"/>
                <w:lang w:val="en-US" w:eastAsia="zh-CN"/>
                <w14:textFill>
                  <w14:solidFill>
                    <w14:schemeClr w14:val="tx1"/>
                  </w14:solidFill>
                </w14:textFill>
              </w:rPr>
              <w:t>3</w:t>
            </w:r>
            <w:r>
              <w:rPr>
                <w:rFonts w:hint="eastAsia" w:hAnsi="宋体" w:cs="Courier New"/>
                <w:color w:val="000000" w:themeColor="text1"/>
                <w:kern w:val="2"/>
                <w:sz w:val="21"/>
                <w:highlight w:val="none"/>
                <w14:textFill>
                  <w14:solidFill>
                    <w14:schemeClr w14:val="tx1"/>
                  </w14:solidFill>
                </w14:textFill>
              </w:rPr>
              <w:t>分）：制定了项目进度计划和里程碑清单，识别了风险，提供了风险应对措施。</w:t>
            </w:r>
          </w:p>
          <w:p w14:paraId="69A1D33B">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lang w:eastAsia="zh-CN"/>
                <w14:textFill>
                  <w14:solidFill>
                    <w14:schemeClr w14:val="tx1"/>
                  </w14:solidFill>
                </w14:textFill>
              </w:rPr>
              <w:t>二</w:t>
            </w:r>
            <w:r>
              <w:rPr>
                <w:rFonts w:hint="eastAsia" w:hAnsi="宋体" w:cs="Courier New"/>
                <w:color w:val="000000" w:themeColor="text1"/>
                <w:kern w:val="2"/>
                <w:sz w:val="21"/>
                <w:highlight w:val="none"/>
                <w14:textFill>
                  <w14:solidFill>
                    <w14:schemeClr w14:val="tx1"/>
                  </w14:solidFill>
                </w14:textFill>
              </w:rPr>
              <w:t>档（</w:t>
            </w:r>
            <w:r>
              <w:rPr>
                <w:rFonts w:hint="eastAsia" w:hAnsi="宋体" w:cs="Courier New"/>
                <w:color w:val="000000" w:themeColor="text1"/>
                <w:kern w:val="2"/>
                <w:sz w:val="21"/>
                <w:highlight w:val="none"/>
                <w:lang w:val="en-US" w:eastAsia="zh-CN"/>
                <w14:textFill>
                  <w14:solidFill>
                    <w14:schemeClr w14:val="tx1"/>
                  </w14:solidFill>
                </w14:textFill>
              </w:rPr>
              <w:t>6</w:t>
            </w:r>
            <w:r>
              <w:rPr>
                <w:rFonts w:hint="eastAsia" w:hAnsi="宋体" w:cs="Courier New"/>
                <w:color w:val="000000" w:themeColor="text1"/>
                <w:kern w:val="2"/>
                <w:sz w:val="21"/>
                <w:highlight w:val="none"/>
                <w14:textFill>
                  <w14:solidFill>
                    <w14:schemeClr w14:val="tx1"/>
                  </w14:solidFill>
                </w14:textFill>
              </w:rPr>
              <w:t>分）：在满足</w:t>
            </w:r>
            <w:r>
              <w:rPr>
                <w:rFonts w:hint="eastAsia" w:hAnsi="宋体" w:cs="Courier New"/>
                <w:color w:val="000000" w:themeColor="text1"/>
                <w:kern w:val="2"/>
                <w:sz w:val="21"/>
                <w:highlight w:val="none"/>
                <w:lang w:eastAsia="zh-CN"/>
                <w14:textFill>
                  <w14:solidFill>
                    <w14:schemeClr w14:val="tx1"/>
                  </w14:solidFill>
                </w14:textFill>
              </w:rPr>
              <w:t>一</w:t>
            </w:r>
            <w:r>
              <w:rPr>
                <w:rFonts w:hint="eastAsia" w:hAnsi="宋体" w:cs="Courier New"/>
                <w:color w:val="000000" w:themeColor="text1"/>
                <w:kern w:val="2"/>
                <w:sz w:val="21"/>
                <w:highlight w:val="none"/>
                <w14:textFill>
                  <w14:solidFill>
                    <w14:schemeClr w14:val="tx1"/>
                  </w14:solidFill>
                </w14:textFill>
              </w:rPr>
              <w:t>档的基础上，针对本项目实际情况，对项目进度计划和里程碑清单进行了细化，进度计划各个阶段划分清晰，里程碑设置了目标、责任人、测量方式；对风险清单进行了细化，进行了风险定性和定量分析，规划了风险应对措施。</w:t>
            </w:r>
          </w:p>
          <w:p w14:paraId="6066A6E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lang w:eastAsia="zh-CN"/>
                <w14:textFill>
                  <w14:solidFill>
                    <w14:schemeClr w14:val="tx1"/>
                  </w14:solidFill>
                </w14:textFill>
              </w:rPr>
              <w:t>三</w:t>
            </w:r>
            <w:r>
              <w:rPr>
                <w:rFonts w:hint="eastAsia" w:hAnsi="宋体" w:cs="Courier New"/>
                <w:color w:val="000000" w:themeColor="text1"/>
                <w:kern w:val="2"/>
                <w:sz w:val="21"/>
                <w:highlight w:val="none"/>
                <w14:textFill>
                  <w14:solidFill>
                    <w14:schemeClr w14:val="tx1"/>
                  </w14:solidFill>
                </w14:textFill>
              </w:rPr>
              <w:t>档（</w:t>
            </w:r>
            <w:r>
              <w:rPr>
                <w:rFonts w:hint="eastAsia" w:hAnsi="宋体" w:cs="Courier New"/>
                <w:color w:val="000000" w:themeColor="text1"/>
                <w:kern w:val="2"/>
                <w:sz w:val="21"/>
                <w:highlight w:val="none"/>
                <w:lang w:val="en-US" w:eastAsia="zh-CN"/>
                <w14:textFill>
                  <w14:solidFill>
                    <w14:schemeClr w14:val="tx1"/>
                  </w14:solidFill>
                </w14:textFill>
              </w:rPr>
              <w:t>9</w:t>
            </w:r>
            <w:r>
              <w:rPr>
                <w:rFonts w:hint="eastAsia" w:hAnsi="宋体" w:cs="Courier New"/>
                <w:color w:val="000000" w:themeColor="text1"/>
                <w:kern w:val="2"/>
                <w:sz w:val="21"/>
                <w:highlight w:val="none"/>
                <w14:textFill>
                  <w14:solidFill>
                    <w14:schemeClr w14:val="tx1"/>
                  </w14:solidFill>
                </w14:textFill>
              </w:rPr>
              <w:t>分）：在满足</w:t>
            </w:r>
            <w:r>
              <w:rPr>
                <w:rFonts w:hint="eastAsia" w:hAnsi="宋体" w:cs="Courier New"/>
                <w:color w:val="000000" w:themeColor="text1"/>
                <w:kern w:val="2"/>
                <w:sz w:val="21"/>
                <w:highlight w:val="none"/>
                <w:lang w:eastAsia="zh-CN"/>
                <w14:textFill>
                  <w14:solidFill>
                    <w14:schemeClr w14:val="tx1"/>
                  </w14:solidFill>
                </w14:textFill>
              </w:rPr>
              <w:t>二</w:t>
            </w:r>
            <w:r>
              <w:rPr>
                <w:rFonts w:hint="eastAsia" w:hAnsi="宋体" w:cs="Courier New"/>
                <w:color w:val="000000" w:themeColor="text1"/>
                <w:kern w:val="2"/>
                <w:sz w:val="21"/>
                <w:highlight w:val="none"/>
                <w14:textFill>
                  <w14:solidFill>
                    <w14:schemeClr w14:val="tx1"/>
                  </w14:solidFill>
                </w14:textFill>
              </w:rPr>
              <w:t>档的基础上，针对本项目实际情况，对项目进度计划和里程碑清单进行了详细分解，明确了进度计划各阶段具体工作事项，里程碑目标清晰具体、可测量，并配以图形的方式进行直观展现，建立了计划实施保障机制，包括设置责任人、监督人，各责任人间分工明确且具备协作机制，监督人职责明确，具备计划实施保障措施；对风险清单进行了详细的风险定性和定量分析，依据合理清晰，提供了风险管理计划，包括角色与职责、风险类别、风险分解结构、风险概率和影响定义、跟踪措施、应对及权变措施等。</w:t>
            </w:r>
          </w:p>
          <w:p w14:paraId="2A13CF1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ascii="宋体" w:hAnsi="宋体" w:eastAsia="宋体" w:cs="宋体"/>
                <w:bCs/>
                <w:color w:val="auto"/>
                <w:kern w:val="2"/>
                <w:sz w:val="21"/>
                <w:highlight w:val="none"/>
                <w:lang w:val="en-US" w:eastAsia="zh-CN"/>
              </w:rPr>
              <w:t>不满足一档或未提供本项内容的计0分</w:t>
            </w:r>
          </w:p>
        </w:tc>
      </w:tr>
      <w:tr w14:paraId="21CB1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725EC6AA">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1067" w:type="dxa"/>
            <w:vMerge w:val="continue"/>
            <w:vAlign w:val="center"/>
          </w:tcPr>
          <w:p w14:paraId="67A8DF41">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695" w:type="dxa"/>
            <w:vMerge w:val="continue"/>
            <w:vAlign w:val="center"/>
          </w:tcPr>
          <w:p w14:paraId="08FC7B3C">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1786" w:type="dxa"/>
            <w:vAlign w:val="center"/>
          </w:tcPr>
          <w:p w14:paraId="429598D4">
            <w:pPr>
              <w:widowControl/>
              <w:spacing w:line="400" w:lineRule="exact"/>
              <w:jc w:val="center"/>
              <w:rPr>
                <w:rFonts w:ascii="宋体" w:hAnsi="宋体"/>
                <w:b/>
                <w:color w:val="000000" w:themeColor="text1"/>
                <w:kern w:val="0"/>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培训方案分</w:t>
            </w:r>
            <w:r>
              <w:rPr>
                <w:rFonts w:hint="eastAsia" w:ascii="宋体" w:hAnsi="宋体"/>
                <w:b/>
                <w:color w:val="000000" w:themeColor="text1"/>
                <w:szCs w:val="21"/>
                <w:highlight w:val="none"/>
                <w14:textFill>
                  <w14:solidFill>
                    <w14:schemeClr w14:val="tx1"/>
                  </w14:solidFill>
                </w14:textFill>
              </w:rPr>
              <w:t>（满分</w:t>
            </w:r>
            <w:r>
              <w:rPr>
                <w:rFonts w:hint="eastAsia" w:ascii="宋体" w:hAnsi="宋体"/>
                <w:b/>
                <w:color w:val="000000" w:themeColor="text1"/>
                <w:szCs w:val="21"/>
                <w:highlight w:val="none"/>
                <w:lang w:val="en-US" w:eastAsia="zh-CN"/>
                <w14:textFill>
                  <w14:solidFill>
                    <w14:schemeClr w14:val="tx1"/>
                  </w14:solidFill>
                </w14:textFill>
              </w:rPr>
              <w:t>3</w:t>
            </w:r>
            <w:r>
              <w:rPr>
                <w:rFonts w:hint="eastAsia" w:ascii="宋体" w:hAnsi="宋体"/>
                <w:b/>
                <w:color w:val="000000" w:themeColor="text1"/>
                <w:szCs w:val="21"/>
                <w:highlight w:val="none"/>
                <w14:textFill>
                  <w14:solidFill>
                    <w14:schemeClr w14:val="tx1"/>
                  </w14:solidFill>
                </w14:textFill>
              </w:rPr>
              <w:t>）</w:t>
            </w:r>
          </w:p>
        </w:tc>
        <w:tc>
          <w:tcPr>
            <w:tcW w:w="5619" w:type="dxa"/>
            <w:vAlign w:val="center"/>
          </w:tcPr>
          <w:p w14:paraId="2967D88B">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一档（</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提供了</w:t>
            </w:r>
            <w:r>
              <w:rPr>
                <w:color w:val="000000" w:themeColor="text1"/>
                <w:highlight w:val="none"/>
                <w14:textFill>
                  <w14:solidFill>
                    <w14:schemeClr w14:val="tx1"/>
                  </w14:solidFill>
                </w14:textFill>
              </w:rPr>
              <w:t>培训方案。</w:t>
            </w:r>
          </w:p>
          <w:p w14:paraId="065CADAE">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二档（</w:t>
            </w: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分）：在满足一档的基础上，针对本项目</w:t>
            </w:r>
            <w:r>
              <w:rPr>
                <w:rFonts w:hint="eastAsia"/>
                <w:color w:val="000000" w:themeColor="text1"/>
                <w:highlight w:val="none"/>
                <w14:textFill>
                  <w14:solidFill>
                    <w14:schemeClr w14:val="tx1"/>
                  </w14:solidFill>
                </w14:textFill>
              </w:rPr>
              <w:t>实际情况，</w:t>
            </w:r>
            <w:r>
              <w:rPr>
                <w:color w:val="000000" w:themeColor="text1"/>
                <w:highlight w:val="none"/>
                <w14:textFill>
                  <w14:solidFill>
                    <w14:schemeClr w14:val="tx1"/>
                  </w14:solidFill>
                </w14:textFill>
              </w:rPr>
              <w:t>提供</w:t>
            </w:r>
            <w:r>
              <w:rPr>
                <w:rFonts w:hint="eastAsia"/>
                <w:color w:val="000000" w:themeColor="text1"/>
                <w:highlight w:val="none"/>
                <w14:textFill>
                  <w14:solidFill>
                    <w14:schemeClr w14:val="tx1"/>
                  </w14:solidFill>
                </w14:textFill>
              </w:rPr>
              <w:t>了</w:t>
            </w:r>
            <w:r>
              <w:rPr>
                <w:color w:val="000000" w:themeColor="text1"/>
                <w:highlight w:val="none"/>
                <w14:textFill>
                  <w14:solidFill>
                    <w14:schemeClr w14:val="tx1"/>
                  </w14:solidFill>
                </w14:textFill>
              </w:rPr>
              <w:t>详细的培训方案，明确</w:t>
            </w:r>
            <w:r>
              <w:rPr>
                <w:rFonts w:hint="eastAsia"/>
                <w:color w:val="000000" w:themeColor="text1"/>
                <w:highlight w:val="none"/>
                <w14:textFill>
                  <w14:solidFill>
                    <w14:schemeClr w14:val="tx1"/>
                  </w14:solidFill>
                </w14:textFill>
              </w:rPr>
              <w:t>了</w:t>
            </w:r>
            <w:r>
              <w:rPr>
                <w:color w:val="000000" w:themeColor="text1"/>
                <w:highlight w:val="none"/>
                <w14:textFill>
                  <w14:solidFill>
                    <w14:schemeClr w14:val="tx1"/>
                  </w14:solidFill>
                </w14:textFill>
              </w:rPr>
              <w:t>培训目的、培训内容</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培训方式</w:t>
            </w:r>
            <w:r>
              <w:rPr>
                <w:rFonts w:hint="eastAsia"/>
                <w:color w:val="000000" w:themeColor="text1"/>
                <w:highlight w:val="none"/>
                <w14:textFill>
                  <w14:solidFill>
                    <w14:schemeClr w14:val="tx1"/>
                  </w14:solidFill>
                </w14:textFill>
              </w:rPr>
              <w:t>、培训师资、课程设置、培训意见反馈及效果跟踪等</w:t>
            </w:r>
            <w:r>
              <w:rPr>
                <w:color w:val="000000" w:themeColor="text1"/>
                <w:highlight w:val="none"/>
                <w14:textFill>
                  <w14:solidFill>
                    <w14:schemeClr w14:val="tx1"/>
                  </w14:solidFill>
                </w14:textFill>
              </w:rPr>
              <w:t>，并提供</w:t>
            </w:r>
            <w:r>
              <w:rPr>
                <w:rFonts w:hint="eastAsia"/>
                <w:color w:val="000000" w:themeColor="text1"/>
                <w:highlight w:val="none"/>
                <w14:textFill>
                  <w14:solidFill>
                    <w14:schemeClr w14:val="tx1"/>
                  </w14:solidFill>
                </w14:textFill>
              </w:rPr>
              <w:t>了</w:t>
            </w:r>
            <w:r>
              <w:rPr>
                <w:color w:val="000000" w:themeColor="text1"/>
                <w:highlight w:val="none"/>
                <w14:textFill>
                  <w14:solidFill>
                    <w14:schemeClr w14:val="tx1"/>
                  </w14:solidFill>
                </w14:textFill>
              </w:rPr>
              <w:t>培训保障</w:t>
            </w:r>
            <w:r>
              <w:rPr>
                <w:rFonts w:hint="eastAsia"/>
                <w:color w:val="000000" w:themeColor="text1"/>
                <w:highlight w:val="none"/>
                <w14:textFill>
                  <w14:solidFill>
                    <w14:schemeClr w14:val="tx1"/>
                  </w14:solidFill>
                </w14:textFill>
              </w:rPr>
              <w:t>措施</w:t>
            </w:r>
            <w:r>
              <w:rPr>
                <w:color w:val="000000" w:themeColor="text1"/>
                <w:highlight w:val="none"/>
                <w14:textFill>
                  <w14:solidFill>
                    <w14:schemeClr w14:val="tx1"/>
                  </w14:solidFill>
                </w14:textFill>
              </w:rPr>
              <w:t>。</w:t>
            </w:r>
          </w:p>
          <w:p w14:paraId="675B3623">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color w:val="000000" w:themeColor="text1"/>
                <w:highlight w:val="none"/>
                <w14:textFill>
                  <w14:solidFill>
                    <w14:schemeClr w14:val="tx1"/>
                  </w14:solidFill>
                </w14:textFill>
              </w:rPr>
            </w:pPr>
            <w:r>
              <w:rPr>
                <w:rFonts w:hint="eastAsia" w:ascii="宋体" w:hAnsi="宋体" w:eastAsia="宋体" w:cs="宋体"/>
                <w:bCs/>
                <w:color w:val="auto"/>
                <w:kern w:val="2"/>
                <w:sz w:val="21"/>
                <w:highlight w:val="none"/>
                <w:lang w:val="en-US" w:eastAsia="zh-CN"/>
              </w:rPr>
              <w:t>不满足一档或未提供本项内容的计0分</w:t>
            </w:r>
          </w:p>
        </w:tc>
      </w:tr>
      <w:tr w14:paraId="4AC5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0500C662">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1067" w:type="dxa"/>
            <w:vMerge w:val="continue"/>
            <w:vAlign w:val="center"/>
          </w:tcPr>
          <w:p w14:paraId="466B6E02">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695" w:type="dxa"/>
            <w:vMerge w:val="continue"/>
            <w:vAlign w:val="center"/>
          </w:tcPr>
          <w:p w14:paraId="6EBD5F01">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1786" w:type="dxa"/>
            <w:vAlign w:val="center"/>
          </w:tcPr>
          <w:p w14:paraId="5C8C61FD">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服务承诺及服务质量保障分（满分</w:t>
            </w:r>
            <w:r>
              <w:rPr>
                <w:rFonts w:hint="eastAsia" w:ascii="宋体" w:hAnsi="宋体"/>
                <w:b/>
                <w:color w:val="000000" w:themeColor="text1"/>
                <w:szCs w:val="21"/>
                <w:highlight w:val="none"/>
                <w:lang w:val="en-US" w:eastAsia="zh-CN"/>
                <w14:textFill>
                  <w14:solidFill>
                    <w14:schemeClr w14:val="tx1"/>
                  </w14:solidFill>
                </w14:textFill>
              </w:rPr>
              <w:t>12</w:t>
            </w:r>
            <w:r>
              <w:rPr>
                <w:rFonts w:hint="eastAsia" w:ascii="宋体" w:hAnsi="宋体"/>
                <w:b/>
                <w:color w:val="000000" w:themeColor="text1"/>
                <w:szCs w:val="21"/>
                <w:highlight w:val="none"/>
                <w14:textFill>
                  <w14:solidFill>
                    <w14:schemeClr w14:val="tx1"/>
                  </w14:solidFill>
                </w14:textFill>
              </w:rPr>
              <w:t>分）</w:t>
            </w:r>
          </w:p>
        </w:tc>
        <w:tc>
          <w:tcPr>
            <w:tcW w:w="5619" w:type="dxa"/>
            <w:vAlign w:val="center"/>
          </w:tcPr>
          <w:p w14:paraId="7D350D28">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一档（</w:t>
            </w:r>
            <w:r>
              <w:rPr>
                <w:rFonts w:hint="eastAsia"/>
                <w:color w:val="000000" w:themeColor="text1"/>
                <w:highlight w:val="none"/>
                <w:lang w:val="en-US" w:eastAsia="zh-CN"/>
                <w14:textFill>
                  <w14:solidFill>
                    <w14:schemeClr w14:val="tx1"/>
                  </w14:solidFill>
                </w14:textFill>
              </w:rPr>
              <w:t>4</w:t>
            </w:r>
            <w:r>
              <w:rPr>
                <w:color w:val="000000" w:themeColor="text1"/>
                <w:highlight w:val="none"/>
                <w14:textFill>
                  <w14:solidFill>
                    <w14:schemeClr w14:val="tx1"/>
                  </w14:solidFill>
                </w14:textFill>
              </w:rPr>
              <w:t>分）：投标文件做出了服务承诺</w:t>
            </w:r>
            <w:r>
              <w:rPr>
                <w:rFonts w:hint="eastAsia"/>
                <w:color w:val="000000" w:themeColor="text1"/>
                <w:highlight w:val="none"/>
                <w:lang w:eastAsia="zh-CN"/>
                <w14:textFill>
                  <w14:solidFill>
                    <w14:schemeClr w14:val="tx1"/>
                  </w14:solidFill>
                </w14:textFill>
              </w:rPr>
              <w:t>（投标文件中提供承诺函，格式自拟）</w:t>
            </w:r>
            <w:r>
              <w:rPr>
                <w:color w:val="000000" w:themeColor="text1"/>
                <w:highlight w:val="none"/>
                <w14:textFill>
                  <w14:solidFill>
                    <w14:schemeClr w14:val="tx1"/>
                  </w14:solidFill>
                </w14:textFill>
              </w:rPr>
              <w:t>。</w:t>
            </w:r>
          </w:p>
          <w:p w14:paraId="3FD11C4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二</w:t>
            </w:r>
            <w:r>
              <w:rPr>
                <w:color w:val="000000" w:themeColor="text1"/>
                <w:highlight w:val="none"/>
                <w14:textFill>
                  <w14:solidFill>
                    <w14:schemeClr w14:val="tx1"/>
                  </w14:solidFill>
                </w14:textFill>
              </w:rPr>
              <w:t>档（</w:t>
            </w:r>
            <w:r>
              <w:rPr>
                <w:rFonts w:hint="eastAsia"/>
                <w:color w:val="000000" w:themeColor="text1"/>
                <w:highlight w:val="none"/>
                <w:lang w:val="en-US" w:eastAsia="zh-CN"/>
                <w14:textFill>
                  <w14:solidFill>
                    <w14:schemeClr w14:val="tx1"/>
                  </w14:solidFill>
                </w14:textFill>
              </w:rPr>
              <w:t>8</w:t>
            </w:r>
            <w:r>
              <w:rPr>
                <w:color w:val="000000" w:themeColor="text1"/>
                <w:highlight w:val="none"/>
                <w14:textFill>
                  <w14:solidFill>
                    <w14:schemeClr w14:val="tx1"/>
                  </w14:solidFill>
                </w14:textFill>
              </w:rPr>
              <w:t>分）：</w:t>
            </w:r>
            <w:r>
              <w:rPr>
                <w:rFonts w:hint="eastAsia"/>
                <w:color w:val="000000" w:themeColor="text1"/>
                <w:highlight w:val="none"/>
                <w:lang w:eastAsia="zh-CN"/>
                <w14:textFill>
                  <w14:solidFill>
                    <w14:schemeClr w14:val="tx1"/>
                  </w14:solidFill>
                </w14:textFill>
              </w:rPr>
              <w:t>在满足一档的基础上</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制定</w:t>
            </w:r>
            <w:r>
              <w:rPr>
                <w:rFonts w:hint="eastAsia"/>
                <w:color w:val="000000" w:themeColor="text1"/>
                <w:highlight w:val="none"/>
                <w14:textFill>
                  <w14:solidFill>
                    <w14:schemeClr w14:val="tx1"/>
                  </w14:solidFill>
                </w14:textFill>
              </w:rPr>
              <w:t>了</w:t>
            </w:r>
            <w:r>
              <w:rPr>
                <w:color w:val="000000" w:themeColor="text1"/>
                <w:highlight w:val="none"/>
                <w14:textFill>
                  <w14:solidFill>
                    <w14:schemeClr w14:val="tx1"/>
                  </w14:solidFill>
                </w14:textFill>
              </w:rPr>
              <w:t>服务质量保证的措施和计划。</w:t>
            </w:r>
          </w:p>
          <w:p w14:paraId="15AAA842">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三</w:t>
            </w:r>
            <w:r>
              <w:rPr>
                <w:color w:val="000000" w:themeColor="text1"/>
                <w:highlight w:val="none"/>
                <w14:textFill>
                  <w14:solidFill>
                    <w14:schemeClr w14:val="tx1"/>
                  </w14:solidFill>
                </w14:textFill>
              </w:rPr>
              <w:t>档（</w:t>
            </w:r>
            <w:r>
              <w:rPr>
                <w:rFonts w:hint="eastAsia" w:ascii="宋体" w:hAnsi="宋体" w:cs="宋体"/>
                <w:color w:val="000000" w:themeColor="text1"/>
                <w:highlight w:val="none"/>
                <w:lang w:val="en-US" w:eastAsia="zh-CN"/>
                <w14:textFill>
                  <w14:solidFill>
                    <w14:schemeClr w14:val="tx1"/>
                  </w14:solidFill>
                </w14:textFill>
              </w:rPr>
              <w:t>12</w:t>
            </w:r>
            <w:r>
              <w:rPr>
                <w:color w:val="000000" w:themeColor="text1"/>
                <w:highlight w:val="none"/>
                <w14:textFill>
                  <w14:solidFill>
                    <w14:schemeClr w14:val="tx1"/>
                  </w14:solidFill>
                </w14:textFill>
              </w:rPr>
              <w:t>分）：</w:t>
            </w:r>
            <w:r>
              <w:rPr>
                <w:rFonts w:hint="eastAsia" w:hAnsi="宋体" w:cs="Courier New"/>
                <w:color w:val="000000" w:themeColor="text1"/>
                <w:highlight w:val="none"/>
                <w14:textFill>
                  <w14:solidFill>
                    <w14:schemeClr w14:val="tx1"/>
                  </w14:solidFill>
                </w14:textFill>
              </w:rPr>
              <w:t>在满足</w:t>
            </w:r>
            <w:r>
              <w:rPr>
                <w:rFonts w:hint="eastAsia" w:hAnsi="宋体" w:cs="Courier New"/>
                <w:color w:val="000000" w:themeColor="text1"/>
                <w:highlight w:val="none"/>
                <w:lang w:eastAsia="zh-CN"/>
                <w14:textFill>
                  <w14:solidFill>
                    <w14:schemeClr w14:val="tx1"/>
                  </w14:solidFill>
                </w14:textFill>
              </w:rPr>
              <w:t>二</w:t>
            </w:r>
            <w:r>
              <w:rPr>
                <w:rFonts w:hint="eastAsia" w:hAnsi="宋体" w:cs="Courier New"/>
                <w:color w:val="000000" w:themeColor="text1"/>
                <w:highlight w:val="none"/>
                <w14:textFill>
                  <w14:solidFill>
                    <w14:schemeClr w14:val="tx1"/>
                  </w14:solidFill>
                </w14:textFill>
              </w:rPr>
              <w:t>档的基础上，针对本项目实际情况，投标文件做出了服务承诺，在保证日常服务的基础上，</w:t>
            </w:r>
            <w:r>
              <w:rPr>
                <w:rFonts w:hint="eastAsia"/>
                <w:color w:val="000000" w:themeColor="text1"/>
                <w:highlight w:val="none"/>
                <w14:textFill>
                  <w14:solidFill>
                    <w14:schemeClr w14:val="tx1"/>
                  </w14:solidFill>
                </w14:textFill>
              </w:rPr>
              <w:t>特别针对</w:t>
            </w:r>
            <w:r>
              <w:rPr>
                <w:rFonts w:hint="eastAsia"/>
                <w:color w:val="000000" w:themeColor="text1"/>
                <w:highlight w:val="none"/>
                <w:lang w:eastAsia="zh-CN"/>
                <w14:textFill>
                  <w14:solidFill>
                    <w14:schemeClr w14:val="tx1"/>
                  </w14:solidFill>
                </w14:textFill>
              </w:rPr>
              <w:t>疑难故障处置、</w:t>
            </w:r>
            <w:r>
              <w:rPr>
                <w:rFonts w:hint="eastAsia"/>
                <w:color w:val="000000" w:themeColor="text1"/>
                <w:highlight w:val="none"/>
                <w14:textFill>
                  <w14:solidFill>
                    <w14:schemeClr w14:val="tx1"/>
                  </w14:solidFill>
                </w14:textFill>
              </w:rPr>
              <w:t>特殊时期、突发状况做出了服务承诺；</w:t>
            </w:r>
            <w:r>
              <w:rPr>
                <w:color w:val="000000" w:themeColor="text1"/>
                <w:highlight w:val="none"/>
                <w14:textFill>
                  <w14:solidFill>
                    <w14:schemeClr w14:val="tx1"/>
                  </w14:solidFill>
                </w14:textFill>
              </w:rPr>
              <w:t>为保障服务承诺的达成，</w:t>
            </w:r>
            <w:r>
              <w:rPr>
                <w:rFonts w:hint="eastAsia"/>
                <w:color w:val="000000" w:themeColor="text1"/>
                <w:highlight w:val="none"/>
                <w14:textFill>
                  <w14:solidFill>
                    <w14:schemeClr w14:val="tx1"/>
                  </w14:solidFill>
                </w14:textFill>
              </w:rPr>
              <w:t>制定了服务质量保证措施和计划，明确了有关责任人及其职责，提供了除本项目采购需求以外的投标人资源</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备件配备情况和人才专家储备情况，并明确了资源</w:t>
            </w:r>
            <w:r>
              <w:rPr>
                <w:rFonts w:hint="eastAsia"/>
                <w:color w:val="000000" w:themeColor="text1"/>
                <w:highlight w:val="none"/>
                <w:lang w:eastAsia="zh-CN"/>
                <w14:textFill>
                  <w14:solidFill>
                    <w14:schemeClr w14:val="tx1"/>
                  </w14:solidFill>
                </w14:textFill>
              </w:rPr>
              <w:t>、备件</w:t>
            </w:r>
            <w:r>
              <w:rPr>
                <w:rFonts w:hint="eastAsia"/>
                <w:color w:val="000000" w:themeColor="text1"/>
                <w:highlight w:val="none"/>
                <w14:textFill>
                  <w14:solidFill>
                    <w14:schemeClr w14:val="tx1"/>
                  </w14:solidFill>
                </w14:textFill>
              </w:rPr>
              <w:t>及人才专家的调用支撑流程，明确了响应时限</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响应机制、联络机制</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服务时间</w:t>
            </w:r>
            <w:r>
              <w:rPr>
                <w:rFonts w:hint="eastAsia"/>
                <w:color w:val="000000" w:themeColor="text1"/>
                <w:highlight w:val="none"/>
                <w:lang w:eastAsia="zh-CN"/>
                <w14:textFill>
                  <w14:solidFill>
                    <w14:schemeClr w14:val="tx1"/>
                  </w14:solidFill>
                </w14:textFill>
              </w:rPr>
              <w:t>及</w:t>
            </w:r>
            <w:r>
              <w:rPr>
                <w:rFonts w:hint="eastAsia"/>
                <w:color w:val="000000" w:themeColor="text1"/>
                <w:highlight w:val="none"/>
                <w14:textFill>
                  <w14:solidFill>
                    <w14:schemeClr w14:val="tx1"/>
                  </w14:solidFill>
                </w14:textFill>
              </w:rPr>
              <w:t>应急预案等。</w:t>
            </w:r>
          </w:p>
          <w:p w14:paraId="1F015CAC">
            <w:pPr>
              <w:keepNext w:val="0"/>
              <w:keepLines w:val="0"/>
              <w:pageBreakBefore w:val="0"/>
              <w:widowControl w:val="0"/>
              <w:kinsoku/>
              <w:wordWrap/>
              <w:overflowPunct/>
              <w:topLinePunct w:val="0"/>
              <w:autoSpaceDE/>
              <w:autoSpaceDN/>
              <w:bidi w:val="0"/>
              <w:adjustRightInd/>
              <w:snapToGrid/>
              <w:spacing w:line="360" w:lineRule="auto"/>
              <w:ind w:firstLine="420" w:firstLineChars="0"/>
              <w:textAlignment w:val="auto"/>
              <w:rPr>
                <w:rFonts w:hint="eastAsia"/>
                <w:color w:val="000000" w:themeColor="text1"/>
                <w:highlight w:val="none"/>
                <w14:textFill>
                  <w14:solidFill>
                    <w14:schemeClr w14:val="tx1"/>
                  </w14:solidFill>
                </w14:textFill>
              </w:rPr>
            </w:pPr>
            <w:r>
              <w:rPr>
                <w:rFonts w:hint="eastAsia" w:ascii="宋体" w:hAnsi="宋体" w:eastAsia="宋体" w:cs="宋体"/>
                <w:bCs/>
                <w:color w:val="auto"/>
                <w:kern w:val="2"/>
                <w:sz w:val="21"/>
                <w:highlight w:val="none"/>
                <w:lang w:val="en-US" w:eastAsia="zh-CN"/>
              </w:rPr>
              <w:t>不满足一档或未提供本项内容的计0分</w:t>
            </w:r>
          </w:p>
        </w:tc>
      </w:tr>
      <w:tr w14:paraId="4875B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0" w:type="dxa"/>
            <w:vMerge w:val="restart"/>
            <w:vAlign w:val="center"/>
          </w:tcPr>
          <w:p w14:paraId="65D73EBB">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067" w:type="dxa"/>
            <w:vMerge w:val="restart"/>
            <w:vAlign w:val="center"/>
          </w:tcPr>
          <w:p w14:paraId="002EAF48">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拟投入本项目人员情况分</w:t>
            </w:r>
          </w:p>
        </w:tc>
        <w:tc>
          <w:tcPr>
            <w:tcW w:w="695" w:type="dxa"/>
            <w:vMerge w:val="restart"/>
            <w:vAlign w:val="center"/>
          </w:tcPr>
          <w:p w14:paraId="14F77AA5">
            <w:pPr>
              <w:adjustRightInd w:val="0"/>
              <w:spacing w:line="400" w:lineRule="exact"/>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16</w:t>
            </w:r>
            <w:r>
              <w:rPr>
                <w:rFonts w:hint="eastAsia" w:ascii="宋体" w:hAnsi="宋体"/>
                <w:b/>
                <w:color w:val="000000" w:themeColor="text1"/>
                <w:szCs w:val="21"/>
                <w:highlight w:val="none"/>
                <w14:textFill>
                  <w14:solidFill>
                    <w14:schemeClr w14:val="tx1"/>
                  </w14:solidFill>
                </w14:textFill>
              </w:rPr>
              <w:t>分</w:t>
            </w:r>
          </w:p>
        </w:tc>
        <w:tc>
          <w:tcPr>
            <w:tcW w:w="1786" w:type="dxa"/>
            <w:vAlign w:val="center"/>
          </w:tcPr>
          <w:p w14:paraId="11291861">
            <w:pPr>
              <w:spacing w:line="400" w:lineRule="exact"/>
              <w:jc w:val="center"/>
              <w:rPr>
                <w:rFonts w:hint="eastAsia" w:ascii="宋体" w:hAnsi="宋体"/>
                <w:b/>
                <w:color w:val="000000" w:themeColor="text1"/>
                <w:szCs w:val="21"/>
                <w:highlight w:val="none"/>
                <w14:textFill>
                  <w14:solidFill>
                    <w14:schemeClr w14:val="tx1"/>
                  </w14:solidFill>
                </w14:textFill>
              </w:rPr>
            </w:pPr>
            <w:r>
              <w:rPr>
                <w:rFonts w:ascii="宋体" w:hAnsi="宋体"/>
                <w:b/>
                <w:bCs/>
                <w:color w:val="000000" w:themeColor="text1"/>
                <w:kern w:val="0"/>
                <w:szCs w:val="21"/>
                <w:highlight w:val="none"/>
                <w14:textFill>
                  <w14:solidFill>
                    <w14:schemeClr w14:val="tx1"/>
                  </w14:solidFill>
                </w14:textFill>
              </w:rPr>
              <w:t>人员配置</w:t>
            </w:r>
            <w:r>
              <w:rPr>
                <w:rFonts w:hint="eastAsia" w:ascii="宋体" w:hAnsi="宋体"/>
                <w:b/>
                <w:bCs/>
                <w:color w:val="000000" w:themeColor="text1"/>
                <w:kern w:val="0"/>
                <w:szCs w:val="21"/>
                <w:highlight w:val="none"/>
                <w14:textFill>
                  <w14:solidFill>
                    <w14:schemeClr w14:val="tx1"/>
                  </w14:solidFill>
                </w14:textFill>
              </w:rPr>
              <w:t>分</w:t>
            </w:r>
            <w:r>
              <w:rPr>
                <w:rFonts w:hint="eastAsia" w:ascii="宋体" w:hAnsi="宋体" w:cs="Courier New"/>
                <w:b/>
                <w:bCs/>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满分</w:t>
            </w:r>
            <w:r>
              <w:rPr>
                <w:rFonts w:hint="eastAsia" w:ascii="宋体" w:hAnsi="宋体" w:cs="Courier New"/>
                <w:b/>
                <w:bCs/>
                <w:color w:val="000000" w:themeColor="text1"/>
                <w:szCs w:val="21"/>
                <w:highlight w:val="none"/>
                <w:lang w:val="en-US" w:eastAsia="zh-CN"/>
                <w14:textFill>
                  <w14:solidFill>
                    <w14:schemeClr w14:val="tx1"/>
                  </w14:solidFill>
                </w14:textFill>
              </w:rPr>
              <w:t>8</w:t>
            </w:r>
            <w:r>
              <w:rPr>
                <w:rFonts w:hint="eastAsia" w:ascii="宋体" w:hAnsi="宋体" w:cs="Courier New"/>
                <w:b/>
                <w:bCs/>
                <w:color w:val="000000" w:themeColor="text1"/>
                <w:szCs w:val="21"/>
                <w:highlight w:val="none"/>
                <w14:textFill>
                  <w14:solidFill>
                    <w14:schemeClr w14:val="tx1"/>
                  </w14:solidFill>
                </w14:textFill>
              </w:rPr>
              <w:t>分）</w:t>
            </w:r>
          </w:p>
        </w:tc>
        <w:tc>
          <w:tcPr>
            <w:tcW w:w="5619" w:type="dxa"/>
            <w:vAlign w:val="center"/>
          </w:tcPr>
          <w:p w14:paraId="3C37872D">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一档（</w:t>
            </w:r>
            <w:r>
              <w:rPr>
                <w:rFonts w:hint="eastAsia" w:hAnsi="宋体" w:cs="Courier New"/>
                <w:color w:val="000000" w:themeColor="text1"/>
                <w:kern w:val="2"/>
                <w:sz w:val="21"/>
                <w:highlight w:val="none"/>
                <w:lang w:val="en-US" w:eastAsia="zh-CN"/>
                <w14:textFill>
                  <w14:solidFill>
                    <w14:schemeClr w14:val="tx1"/>
                  </w14:solidFill>
                </w14:textFill>
              </w:rPr>
              <w:t>4</w:t>
            </w:r>
            <w:r>
              <w:rPr>
                <w:rFonts w:hint="eastAsia" w:hAnsi="宋体" w:cs="Courier New"/>
                <w:color w:val="000000" w:themeColor="text1"/>
                <w:kern w:val="2"/>
                <w:sz w:val="21"/>
                <w:highlight w:val="none"/>
                <w14:textFill>
                  <w14:solidFill>
                    <w14:schemeClr w14:val="tx1"/>
                  </w14:solidFill>
                </w14:textFill>
              </w:rPr>
              <w:t>分）：投标人技术响应文件中承诺拟投入人员完全满足招标文件人员要求</w:t>
            </w:r>
            <w:r>
              <w:rPr>
                <w:rFonts w:hint="eastAsia"/>
                <w:color w:val="000000" w:themeColor="text1"/>
                <w:sz w:val="21"/>
                <w:highlight w:val="none"/>
                <w:lang w:eastAsia="zh-CN"/>
                <w14:textFill>
                  <w14:solidFill>
                    <w14:schemeClr w14:val="tx1"/>
                  </w14:solidFill>
                </w14:textFill>
              </w:rPr>
              <w:t>（投标文件中提供承诺函，格式自拟）</w:t>
            </w:r>
            <w:r>
              <w:rPr>
                <w:rFonts w:hint="eastAsia" w:hAnsi="宋体" w:cs="Courier New"/>
                <w:color w:val="000000" w:themeColor="text1"/>
                <w:kern w:val="2"/>
                <w:sz w:val="21"/>
                <w:highlight w:val="none"/>
                <w14:textFill>
                  <w14:solidFill>
                    <w14:schemeClr w14:val="tx1"/>
                  </w14:solidFill>
                </w14:textFill>
              </w:rPr>
              <w:t>。</w:t>
            </w:r>
          </w:p>
          <w:p w14:paraId="3FC465B7">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二档（</w:t>
            </w:r>
            <w:r>
              <w:rPr>
                <w:rFonts w:hint="eastAsia" w:hAnsi="宋体" w:cs="Courier New"/>
                <w:color w:val="000000" w:themeColor="text1"/>
                <w:kern w:val="2"/>
                <w:sz w:val="21"/>
                <w:highlight w:val="none"/>
                <w:lang w:val="en-US" w:eastAsia="zh-CN"/>
                <w14:textFill>
                  <w14:solidFill>
                    <w14:schemeClr w14:val="tx1"/>
                  </w14:solidFill>
                </w14:textFill>
              </w:rPr>
              <w:t>6</w:t>
            </w:r>
            <w:r>
              <w:rPr>
                <w:rFonts w:hint="eastAsia" w:hAnsi="宋体" w:cs="Courier New"/>
                <w:color w:val="000000" w:themeColor="text1"/>
                <w:kern w:val="2"/>
                <w:sz w:val="21"/>
                <w:highlight w:val="none"/>
                <w14:textFill>
                  <w14:solidFill>
                    <w14:schemeClr w14:val="tx1"/>
                  </w14:solidFill>
                </w14:textFill>
              </w:rPr>
              <w:t>分）：在</w:t>
            </w:r>
            <w:r>
              <w:rPr>
                <w:rFonts w:hint="eastAsia" w:hAnsi="宋体" w:cs="Courier New"/>
                <w:color w:val="000000" w:themeColor="text1"/>
                <w:kern w:val="2"/>
                <w:sz w:val="21"/>
                <w:highlight w:val="none"/>
                <w:lang w:eastAsia="zh-CN"/>
                <w14:textFill>
                  <w14:solidFill>
                    <w14:schemeClr w14:val="tx1"/>
                  </w14:solidFill>
                </w14:textFill>
              </w:rPr>
              <w:t>满足</w:t>
            </w:r>
            <w:r>
              <w:rPr>
                <w:rFonts w:hint="eastAsia" w:hAnsi="宋体" w:cs="Courier New"/>
                <w:color w:val="000000" w:themeColor="text1"/>
                <w:kern w:val="2"/>
                <w:sz w:val="21"/>
                <w:highlight w:val="none"/>
                <w14:textFill>
                  <w14:solidFill>
                    <w14:schemeClr w14:val="tx1"/>
                  </w14:solidFill>
                </w14:textFill>
              </w:rPr>
              <w:t>一档的基础上，提供优于招标文件人员要求中的5项（含）到</w:t>
            </w:r>
            <w:r>
              <w:rPr>
                <w:rFonts w:hint="eastAsia" w:hAnsi="宋体" w:cs="Courier New"/>
                <w:color w:val="000000" w:themeColor="text1"/>
                <w:kern w:val="2"/>
                <w:sz w:val="21"/>
                <w:highlight w:val="none"/>
                <w:lang w:val="en-US" w:eastAsia="zh-CN"/>
                <w14:textFill>
                  <w14:solidFill>
                    <w14:schemeClr w14:val="tx1"/>
                  </w14:solidFill>
                </w14:textFill>
              </w:rPr>
              <w:t>10</w:t>
            </w:r>
            <w:r>
              <w:rPr>
                <w:rFonts w:hint="eastAsia" w:hAnsi="宋体" w:cs="Courier New"/>
                <w:color w:val="000000" w:themeColor="text1"/>
                <w:kern w:val="2"/>
                <w:sz w:val="21"/>
                <w:highlight w:val="none"/>
                <w14:textFill>
                  <w14:solidFill>
                    <w14:schemeClr w14:val="tx1"/>
                  </w14:solidFill>
                </w14:textFill>
              </w:rPr>
              <w:t>项（含），并逐一在技术响应文件中偏离栏注明。</w:t>
            </w:r>
          </w:p>
          <w:p w14:paraId="7262714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三档（</w:t>
            </w:r>
            <w:r>
              <w:rPr>
                <w:rFonts w:hint="eastAsia" w:hAnsi="宋体" w:cs="Courier New"/>
                <w:color w:val="000000" w:themeColor="text1"/>
                <w:kern w:val="2"/>
                <w:sz w:val="21"/>
                <w:highlight w:val="none"/>
                <w:lang w:val="en-US" w:eastAsia="zh-CN"/>
                <w14:textFill>
                  <w14:solidFill>
                    <w14:schemeClr w14:val="tx1"/>
                  </w14:solidFill>
                </w14:textFill>
              </w:rPr>
              <w:t>8</w:t>
            </w:r>
            <w:r>
              <w:rPr>
                <w:rFonts w:hint="eastAsia" w:hAnsi="宋体" w:cs="Courier New"/>
                <w:color w:val="000000" w:themeColor="text1"/>
                <w:kern w:val="2"/>
                <w:sz w:val="21"/>
                <w:highlight w:val="none"/>
                <w14:textFill>
                  <w14:solidFill>
                    <w14:schemeClr w14:val="tx1"/>
                  </w14:solidFill>
                </w14:textFill>
              </w:rPr>
              <w:t>分）：在</w:t>
            </w:r>
            <w:r>
              <w:rPr>
                <w:rFonts w:hint="eastAsia" w:hAnsi="宋体" w:cs="Courier New"/>
                <w:color w:val="000000" w:themeColor="text1"/>
                <w:kern w:val="2"/>
                <w:sz w:val="21"/>
                <w:highlight w:val="none"/>
                <w:lang w:eastAsia="zh-CN"/>
                <w14:textFill>
                  <w14:solidFill>
                    <w14:schemeClr w14:val="tx1"/>
                  </w14:solidFill>
                </w14:textFill>
              </w:rPr>
              <w:t>满足</w:t>
            </w:r>
            <w:r>
              <w:rPr>
                <w:rFonts w:hint="eastAsia" w:hAnsi="宋体" w:cs="Courier New"/>
                <w:color w:val="000000" w:themeColor="text1"/>
                <w:kern w:val="2"/>
                <w:sz w:val="21"/>
                <w:highlight w:val="none"/>
                <w14:textFill>
                  <w14:solidFill>
                    <w14:schemeClr w14:val="tx1"/>
                  </w14:solidFill>
                </w14:textFill>
              </w:rPr>
              <w:t>二档的基础上，提供优于招标文件人员要求中的1</w:t>
            </w:r>
            <w:r>
              <w:rPr>
                <w:rFonts w:hint="eastAsia" w:hAnsi="宋体" w:cs="Courier New"/>
                <w:color w:val="000000" w:themeColor="text1"/>
                <w:kern w:val="2"/>
                <w:sz w:val="21"/>
                <w:highlight w:val="none"/>
                <w:lang w:val="en-US" w:eastAsia="zh-CN"/>
                <w14:textFill>
                  <w14:solidFill>
                    <w14:schemeClr w14:val="tx1"/>
                  </w14:solidFill>
                </w14:textFill>
              </w:rPr>
              <w:t>1</w:t>
            </w:r>
            <w:r>
              <w:rPr>
                <w:rFonts w:hint="eastAsia" w:hAnsi="宋体" w:cs="Courier New"/>
                <w:color w:val="000000" w:themeColor="text1"/>
                <w:kern w:val="2"/>
                <w:sz w:val="21"/>
                <w:highlight w:val="none"/>
                <w14:textFill>
                  <w14:solidFill>
                    <w14:schemeClr w14:val="tx1"/>
                  </w14:solidFill>
                </w14:textFill>
              </w:rPr>
              <w:t>项（含）以上，并逐一在技术响应文件中偏离栏注明。</w:t>
            </w:r>
          </w:p>
          <w:p w14:paraId="53F5FDBF">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注：按项目</w:t>
            </w:r>
            <w:r>
              <w:rPr>
                <w:rFonts w:hAnsi="宋体" w:cs="Courier New"/>
                <w:color w:val="000000" w:themeColor="text1"/>
                <w:kern w:val="2"/>
                <w:sz w:val="21"/>
                <w:highlight w:val="none"/>
                <w14:textFill>
                  <w14:solidFill>
                    <w14:schemeClr w14:val="tx1"/>
                  </w14:solidFill>
                </w14:textFill>
              </w:rPr>
              <w:t>人员要求</w:t>
            </w:r>
            <w:r>
              <w:rPr>
                <w:rFonts w:hint="eastAsia" w:hAnsi="宋体" w:cs="Courier New"/>
                <w:color w:val="000000" w:themeColor="text1"/>
                <w:kern w:val="2"/>
                <w:sz w:val="21"/>
                <w:highlight w:val="none"/>
                <w14:textFill>
                  <w14:solidFill>
                    <w14:schemeClr w14:val="tx1"/>
                  </w14:solidFill>
                </w14:textFill>
              </w:rPr>
              <w:t>对应内容A</w:t>
            </w:r>
            <w:r>
              <w:rPr>
                <w:rFonts w:hAnsi="宋体" w:cs="Courier New"/>
                <w:color w:val="000000" w:themeColor="text1"/>
                <w:kern w:val="2"/>
                <w:sz w:val="21"/>
                <w:highlight w:val="none"/>
                <w14:textFill>
                  <w14:solidFill>
                    <w14:schemeClr w14:val="tx1"/>
                  </w14:solidFill>
                </w14:textFill>
              </w:rPr>
              <w:t>、B、C、D、E、F、G、H、J、K、L、M、N、O、P、</w:t>
            </w:r>
            <w:r>
              <w:rPr>
                <w:rFonts w:hint="eastAsia" w:hAnsi="宋体" w:cs="Courier New"/>
                <w:color w:val="000000" w:themeColor="text1"/>
                <w:kern w:val="2"/>
                <w:sz w:val="21"/>
                <w:highlight w:val="none"/>
                <w14:textFill>
                  <w14:solidFill>
                    <w14:schemeClr w14:val="tx1"/>
                  </w14:solidFill>
                </w14:textFill>
              </w:rPr>
              <w:t>Q</w:t>
            </w:r>
            <w:r>
              <w:rPr>
                <w:rFonts w:hint="eastAsia" w:hAnsi="宋体" w:cs="Courier New"/>
                <w:color w:val="000000" w:themeColor="text1"/>
                <w:kern w:val="2"/>
                <w:sz w:val="21"/>
                <w:highlight w:val="none"/>
                <w:lang w:eastAsia="zh-CN"/>
                <w14:textFill>
                  <w14:solidFill>
                    <w14:schemeClr w14:val="tx1"/>
                  </w14:solidFill>
                </w14:textFill>
              </w:rPr>
              <w:t>、</w:t>
            </w:r>
            <w:r>
              <w:rPr>
                <w:rFonts w:hint="eastAsia" w:hAnsi="宋体" w:cs="Courier New"/>
                <w:color w:val="000000" w:themeColor="text1"/>
                <w:kern w:val="2"/>
                <w:sz w:val="21"/>
                <w:highlight w:val="none"/>
                <w:lang w:val="en-US" w:eastAsia="zh-CN"/>
                <w14:textFill>
                  <w14:solidFill>
                    <w14:schemeClr w14:val="tx1"/>
                  </w14:solidFill>
                </w14:textFill>
              </w:rPr>
              <w:t>R、S</w:t>
            </w:r>
            <w:r>
              <w:rPr>
                <w:rFonts w:hint="eastAsia" w:hAnsi="宋体" w:cs="Courier New"/>
                <w:color w:val="000000" w:themeColor="text1"/>
                <w:kern w:val="2"/>
                <w:sz w:val="21"/>
                <w:highlight w:val="none"/>
                <w14:textFill>
                  <w14:solidFill>
                    <w14:schemeClr w14:val="tx1"/>
                  </w14:solidFill>
                </w14:textFill>
              </w:rPr>
              <w:t>项</w:t>
            </w:r>
            <w:r>
              <w:rPr>
                <w:rFonts w:hAnsi="宋体" w:cs="Courier New"/>
                <w:color w:val="000000" w:themeColor="text1"/>
                <w:kern w:val="2"/>
                <w:sz w:val="21"/>
                <w:highlight w:val="none"/>
                <w14:textFill>
                  <w14:solidFill>
                    <w14:schemeClr w14:val="tx1"/>
                  </w14:solidFill>
                </w14:textFill>
              </w:rPr>
              <w:t>共计</w:t>
            </w:r>
            <w:r>
              <w:rPr>
                <w:rFonts w:hint="eastAsia" w:hAnsi="宋体" w:cs="Courier New"/>
                <w:color w:val="000000" w:themeColor="text1"/>
                <w:kern w:val="2"/>
                <w:sz w:val="21"/>
                <w:highlight w:val="none"/>
                <w:lang w:val="en-US" w:eastAsia="zh-CN"/>
                <w14:textFill>
                  <w14:solidFill>
                    <w14:schemeClr w14:val="tx1"/>
                  </w14:solidFill>
                </w14:textFill>
              </w:rPr>
              <w:t>18</w:t>
            </w:r>
            <w:r>
              <w:rPr>
                <w:rFonts w:hAnsi="宋体" w:cs="Courier New"/>
                <w:color w:val="000000" w:themeColor="text1"/>
                <w:kern w:val="2"/>
                <w:sz w:val="21"/>
                <w:highlight w:val="none"/>
                <w14:textFill>
                  <w14:solidFill>
                    <w14:schemeClr w14:val="tx1"/>
                  </w14:solidFill>
                </w14:textFill>
              </w:rPr>
              <w:t>项</w:t>
            </w:r>
            <w:r>
              <w:rPr>
                <w:rFonts w:hint="eastAsia" w:hAnsi="宋体" w:cs="Courier New"/>
                <w:color w:val="000000" w:themeColor="text1"/>
                <w:kern w:val="2"/>
                <w:sz w:val="21"/>
                <w:highlight w:val="none"/>
                <w14:textFill>
                  <w14:solidFill>
                    <w14:schemeClr w14:val="tx1"/>
                  </w14:solidFill>
                </w14:textFill>
              </w:rPr>
              <w:t>计算，每1项中人员资质</w:t>
            </w:r>
            <w:r>
              <w:rPr>
                <w:rFonts w:hint="eastAsia" w:hAnsi="宋体" w:cs="Courier New"/>
                <w:color w:val="000000" w:themeColor="text1"/>
                <w:kern w:val="2"/>
                <w:sz w:val="21"/>
                <w:highlight w:val="none"/>
                <w:lang w:eastAsia="zh-CN"/>
                <w14:textFill>
                  <w14:solidFill>
                    <w14:schemeClr w14:val="tx1"/>
                  </w14:solidFill>
                </w14:textFill>
              </w:rPr>
              <w:t>（学历或认证）</w:t>
            </w:r>
            <w:r>
              <w:rPr>
                <w:rFonts w:hint="eastAsia" w:hAnsi="宋体" w:cs="Courier New"/>
                <w:color w:val="000000" w:themeColor="text1"/>
                <w:kern w:val="2"/>
                <w:sz w:val="21"/>
                <w:highlight w:val="none"/>
                <w14:textFill>
                  <w14:solidFill>
                    <w14:schemeClr w14:val="tx1"/>
                  </w14:solidFill>
                </w14:textFill>
              </w:rPr>
              <w:t>的1个或多个优于招标文件人员要求的，算1项优于招标文件人员要求</w:t>
            </w:r>
            <w:r>
              <w:rPr>
                <w:rFonts w:hint="eastAsia" w:hAnsi="宋体" w:cs="Courier New"/>
                <w:color w:val="000000" w:themeColor="text1"/>
                <w:kern w:val="2"/>
                <w:sz w:val="21"/>
                <w:highlight w:val="none"/>
                <w:lang w:eastAsia="zh-CN"/>
                <w14:textFill>
                  <w14:solidFill>
                    <w14:schemeClr w14:val="tx1"/>
                  </w14:solidFill>
                </w14:textFill>
              </w:rPr>
              <w:t>；拟投入人员数量、服务形式（是否驻场）、工作时间优于招标文件人员要求的，不算</w:t>
            </w:r>
            <w:r>
              <w:rPr>
                <w:rFonts w:hint="eastAsia" w:hAnsi="宋体" w:cs="Courier New"/>
                <w:color w:val="000000" w:themeColor="text1"/>
                <w:kern w:val="2"/>
                <w:sz w:val="21"/>
                <w:highlight w:val="none"/>
                <w14:textFill>
                  <w14:solidFill>
                    <w14:schemeClr w14:val="tx1"/>
                  </w14:solidFill>
                </w14:textFill>
              </w:rPr>
              <w:t>优于招标文件人员要求</w:t>
            </w:r>
            <w:r>
              <w:rPr>
                <w:rFonts w:hint="eastAsia" w:hAnsi="宋体" w:cs="Courier New"/>
                <w:color w:val="000000" w:themeColor="text1"/>
                <w:kern w:val="2"/>
                <w:sz w:val="21"/>
                <w:highlight w:val="none"/>
                <w:lang w:eastAsia="zh-CN"/>
                <w14:textFill>
                  <w14:solidFill>
                    <w14:schemeClr w14:val="tx1"/>
                  </w14:solidFill>
                </w14:textFill>
              </w:rPr>
              <w:t>；</w:t>
            </w:r>
            <w:r>
              <w:rPr>
                <w:rFonts w:hint="eastAsia" w:hAnsi="宋体" w:cs="Courier New"/>
                <w:color w:val="000000" w:themeColor="text1"/>
                <w:kern w:val="2"/>
                <w:sz w:val="21"/>
                <w:highlight w:val="none"/>
                <w14:textFill>
                  <w14:solidFill>
                    <w14:schemeClr w14:val="tx1"/>
                  </w14:solidFill>
                </w14:textFill>
              </w:rPr>
              <w:t>同一个人员不重复计分。在投标文件中提供相关证书复印件。</w:t>
            </w:r>
          </w:p>
          <w:p w14:paraId="5DA2FA6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lang w:eastAsia="zh-CN"/>
                <w14:textFill>
                  <w14:solidFill>
                    <w14:schemeClr w14:val="tx1"/>
                  </w14:solidFill>
                </w14:textFill>
              </w:rPr>
            </w:pPr>
            <w:r>
              <w:rPr>
                <w:rFonts w:hint="eastAsia" w:ascii="宋体" w:hAnsi="宋体" w:eastAsia="宋体" w:cs="宋体"/>
                <w:bCs/>
                <w:color w:val="auto"/>
                <w:kern w:val="2"/>
                <w:sz w:val="21"/>
                <w:highlight w:val="none"/>
                <w:lang w:val="en-US" w:eastAsia="zh-CN"/>
              </w:rPr>
              <w:t>不满足一档或未提供本项内容的计0分</w:t>
            </w:r>
          </w:p>
        </w:tc>
      </w:tr>
      <w:tr w14:paraId="59E4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0" w:type="dxa"/>
            <w:vMerge w:val="continue"/>
            <w:vAlign w:val="center"/>
          </w:tcPr>
          <w:p w14:paraId="6B28E295">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p>
        </w:tc>
        <w:tc>
          <w:tcPr>
            <w:tcW w:w="1067" w:type="dxa"/>
            <w:vMerge w:val="continue"/>
            <w:vAlign w:val="center"/>
          </w:tcPr>
          <w:p w14:paraId="5A72716C">
            <w:pPr>
              <w:adjustRightInd w:val="0"/>
              <w:spacing w:line="400" w:lineRule="exact"/>
              <w:jc w:val="center"/>
              <w:textAlignment w:val="baseline"/>
              <w:rPr>
                <w:rFonts w:ascii="宋体" w:hAnsi="宋体"/>
                <w:b/>
                <w:color w:val="000000" w:themeColor="text1"/>
                <w:szCs w:val="21"/>
                <w:highlight w:val="none"/>
                <w14:textFill>
                  <w14:solidFill>
                    <w14:schemeClr w14:val="tx1"/>
                  </w14:solidFill>
                </w14:textFill>
              </w:rPr>
            </w:pPr>
          </w:p>
        </w:tc>
        <w:tc>
          <w:tcPr>
            <w:tcW w:w="695" w:type="dxa"/>
            <w:vMerge w:val="continue"/>
            <w:vAlign w:val="center"/>
          </w:tcPr>
          <w:p w14:paraId="3AECEAE6">
            <w:pPr>
              <w:adjustRightInd w:val="0"/>
              <w:spacing w:line="400" w:lineRule="exact"/>
              <w:jc w:val="center"/>
              <w:textAlignment w:val="baseline"/>
              <w:rPr>
                <w:rFonts w:ascii="宋体" w:hAnsi="宋体"/>
                <w:b/>
                <w:color w:val="000000" w:themeColor="text1"/>
                <w:szCs w:val="21"/>
                <w:highlight w:val="none"/>
                <w14:textFill>
                  <w14:solidFill>
                    <w14:schemeClr w14:val="tx1"/>
                  </w14:solidFill>
                </w14:textFill>
              </w:rPr>
            </w:pPr>
          </w:p>
        </w:tc>
        <w:tc>
          <w:tcPr>
            <w:tcW w:w="1786" w:type="dxa"/>
            <w:vAlign w:val="center"/>
          </w:tcPr>
          <w:p w14:paraId="7E8F366F">
            <w:pPr>
              <w:spacing w:line="400" w:lineRule="exact"/>
              <w:jc w:val="center"/>
              <w:rPr>
                <w:rFonts w:ascii="宋体" w:hAnsi="宋体"/>
                <w:b/>
                <w:bCs/>
                <w:color w:val="000000" w:themeColor="text1"/>
                <w:kern w:val="0"/>
                <w:szCs w:val="21"/>
                <w:highlight w:val="none"/>
                <w14:textFill>
                  <w14:solidFill>
                    <w14:schemeClr w14:val="tx1"/>
                  </w14:solidFill>
                </w14:textFill>
              </w:rPr>
            </w:pPr>
            <w:r>
              <w:rPr>
                <w:rFonts w:hint="eastAsia" w:ascii="宋体" w:hAnsi="宋体"/>
                <w:b/>
                <w:bCs/>
                <w:color w:val="000000" w:themeColor="text1"/>
                <w:kern w:val="0"/>
                <w:szCs w:val="21"/>
                <w:highlight w:val="none"/>
                <w14:textFill>
                  <w14:solidFill>
                    <w14:schemeClr w14:val="tx1"/>
                  </w14:solidFill>
                </w14:textFill>
              </w:rPr>
              <w:t>人员能力分（满分</w:t>
            </w:r>
            <w:r>
              <w:rPr>
                <w:rFonts w:hint="eastAsia" w:ascii="宋体" w:hAnsi="宋体"/>
                <w:b/>
                <w:bCs/>
                <w:color w:val="000000" w:themeColor="text1"/>
                <w:kern w:val="0"/>
                <w:szCs w:val="21"/>
                <w:highlight w:val="none"/>
                <w:lang w:val="en-US" w:eastAsia="zh-CN"/>
                <w14:textFill>
                  <w14:solidFill>
                    <w14:schemeClr w14:val="tx1"/>
                  </w14:solidFill>
                </w14:textFill>
              </w:rPr>
              <w:t>8</w:t>
            </w:r>
            <w:r>
              <w:rPr>
                <w:rFonts w:hint="eastAsia" w:ascii="宋体" w:hAnsi="宋体"/>
                <w:b/>
                <w:bCs/>
                <w:color w:val="000000" w:themeColor="text1"/>
                <w:kern w:val="0"/>
                <w:szCs w:val="21"/>
                <w:highlight w:val="none"/>
                <w14:textFill>
                  <w14:solidFill>
                    <w14:schemeClr w14:val="tx1"/>
                  </w14:solidFill>
                </w14:textFill>
              </w:rPr>
              <w:t>分）</w:t>
            </w:r>
          </w:p>
        </w:tc>
        <w:tc>
          <w:tcPr>
            <w:tcW w:w="5619" w:type="dxa"/>
            <w:vAlign w:val="center"/>
          </w:tcPr>
          <w:p w14:paraId="1BD78E14">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（1）拟投入本项目1名项目负责人具有以下证书，每有一项得1分，满分</w:t>
            </w:r>
            <w:r>
              <w:rPr>
                <w:rFonts w:hint="eastAsia" w:hAnsi="宋体" w:cs="Courier New"/>
                <w:color w:val="000000" w:themeColor="text1"/>
                <w:kern w:val="2"/>
                <w:sz w:val="21"/>
                <w:highlight w:val="none"/>
                <w:lang w:val="en-US" w:eastAsia="zh-CN"/>
                <w14:textFill>
                  <w14:solidFill>
                    <w14:schemeClr w14:val="tx1"/>
                  </w14:solidFill>
                </w14:textFill>
              </w:rPr>
              <w:t>4</w:t>
            </w:r>
            <w:r>
              <w:rPr>
                <w:rFonts w:hint="eastAsia" w:hAnsi="宋体" w:cs="Courier New"/>
                <w:color w:val="000000" w:themeColor="text1"/>
                <w:kern w:val="2"/>
                <w:sz w:val="21"/>
                <w:highlight w:val="none"/>
                <w14:textFill>
                  <w14:solidFill>
                    <w14:schemeClr w14:val="tx1"/>
                  </w14:solidFill>
                </w14:textFill>
              </w:rPr>
              <w:t>分：</w:t>
            </w:r>
          </w:p>
          <w:p w14:paraId="0521C5D0">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①具有信息系统项目管理师证书</w:t>
            </w:r>
            <w:r>
              <w:rPr>
                <w:rFonts w:hint="eastAsia" w:hAnsi="宋体" w:cs="Courier New"/>
                <w:color w:val="000000" w:themeColor="text1"/>
                <w:kern w:val="2"/>
                <w:sz w:val="21"/>
                <w:highlight w:val="none"/>
                <w:lang w:eastAsia="zh-CN"/>
                <w14:textFill>
                  <w14:solidFill>
                    <w14:schemeClr w14:val="tx1"/>
                  </w14:solidFill>
                </w14:textFill>
              </w:rPr>
              <w:t>或</w:t>
            </w:r>
            <w:r>
              <w:rPr>
                <w:rFonts w:hint="eastAsia" w:hAnsi="宋体" w:cs="Courier New"/>
                <w:color w:val="000000" w:themeColor="text1"/>
                <w:kern w:val="2"/>
                <w:sz w:val="21"/>
                <w:highlight w:val="none"/>
                <w14:textFill>
                  <w14:solidFill>
                    <w14:schemeClr w14:val="tx1"/>
                  </w14:solidFill>
                </w14:textFill>
              </w:rPr>
              <w:t>其他权威机构颁发的</w:t>
            </w:r>
            <w:r>
              <w:rPr>
                <w:rFonts w:hint="eastAsia" w:hAnsi="宋体" w:cs="Courier New"/>
                <w:color w:val="000000" w:themeColor="text1"/>
                <w:kern w:val="2"/>
                <w:sz w:val="21"/>
                <w:highlight w:val="none"/>
                <w:lang w:eastAsia="zh-CN"/>
                <w14:textFill>
                  <w14:solidFill>
                    <w14:schemeClr w14:val="tx1"/>
                  </w14:solidFill>
                </w14:textFill>
              </w:rPr>
              <w:t>同类型同级别</w:t>
            </w:r>
            <w:r>
              <w:rPr>
                <w:rFonts w:hint="eastAsia" w:hAnsi="宋体" w:cs="Courier New"/>
                <w:color w:val="000000" w:themeColor="text1"/>
                <w:kern w:val="2"/>
                <w:sz w:val="21"/>
                <w:highlight w:val="none"/>
                <w14:textFill>
                  <w14:solidFill>
                    <w14:schemeClr w14:val="tx1"/>
                  </w14:solidFill>
                </w14:textFill>
              </w:rPr>
              <w:t>或以上级别的认证；</w:t>
            </w:r>
          </w:p>
          <w:p w14:paraId="07691102">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②具有系统规划与管理师证书</w:t>
            </w:r>
            <w:r>
              <w:rPr>
                <w:rFonts w:hint="eastAsia" w:hAnsi="宋体" w:cs="Courier New"/>
                <w:color w:val="000000" w:themeColor="text1"/>
                <w:kern w:val="2"/>
                <w:sz w:val="21"/>
                <w:highlight w:val="none"/>
                <w:lang w:eastAsia="zh-CN"/>
                <w14:textFill>
                  <w14:solidFill>
                    <w14:schemeClr w14:val="tx1"/>
                  </w14:solidFill>
                </w14:textFill>
              </w:rPr>
              <w:t>或</w:t>
            </w:r>
            <w:r>
              <w:rPr>
                <w:rFonts w:hint="eastAsia" w:hAnsi="宋体" w:cs="Courier New"/>
                <w:color w:val="000000" w:themeColor="text1"/>
                <w:kern w:val="2"/>
                <w:sz w:val="21"/>
                <w:highlight w:val="none"/>
                <w14:textFill>
                  <w14:solidFill>
                    <w14:schemeClr w14:val="tx1"/>
                  </w14:solidFill>
                </w14:textFill>
              </w:rPr>
              <w:t>其他权威机构颁发的</w:t>
            </w:r>
            <w:r>
              <w:rPr>
                <w:rFonts w:hint="eastAsia" w:hAnsi="宋体" w:cs="Courier New"/>
                <w:color w:val="000000" w:themeColor="text1"/>
                <w:kern w:val="2"/>
                <w:sz w:val="21"/>
                <w:highlight w:val="none"/>
                <w:lang w:eastAsia="zh-CN"/>
                <w14:textFill>
                  <w14:solidFill>
                    <w14:schemeClr w14:val="tx1"/>
                  </w14:solidFill>
                </w14:textFill>
              </w:rPr>
              <w:t>同类型同级别</w:t>
            </w:r>
            <w:r>
              <w:rPr>
                <w:rFonts w:hint="eastAsia" w:hAnsi="宋体" w:cs="Courier New"/>
                <w:color w:val="000000" w:themeColor="text1"/>
                <w:kern w:val="2"/>
                <w:sz w:val="21"/>
                <w:highlight w:val="none"/>
                <w14:textFill>
                  <w14:solidFill>
                    <w14:schemeClr w14:val="tx1"/>
                  </w14:solidFill>
                </w14:textFill>
              </w:rPr>
              <w:t>或以上级别的认证；</w:t>
            </w:r>
          </w:p>
          <w:p w14:paraId="3DFB533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③具有系统架构设计师证书</w:t>
            </w:r>
            <w:r>
              <w:rPr>
                <w:rFonts w:hint="eastAsia" w:hAnsi="宋体" w:cs="Courier New"/>
                <w:color w:val="000000" w:themeColor="text1"/>
                <w:kern w:val="2"/>
                <w:sz w:val="21"/>
                <w:highlight w:val="none"/>
                <w:lang w:eastAsia="zh-CN"/>
                <w14:textFill>
                  <w14:solidFill>
                    <w14:schemeClr w14:val="tx1"/>
                  </w14:solidFill>
                </w14:textFill>
              </w:rPr>
              <w:t>或</w:t>
            </w:r>
            <w:r>
              <w:rPr>
                <w:rFonts w:hint="eastAsia" w:hAnsi="宋体" w:cs="Courier New"/>
                <w:color w:val="000000" w:themeColor="text1"/>
                <w:kern w:val="2"/>
                <w:sz w:val="21"/>
                <w:highlight w:val="none"/>
                <w14:textFill>
                  <w14:solidFill>
                    <w14:schemeClr w14:val="tx1"/>
                  </w14:solidFill>
                </w14:textFill>
              </w:rPr>
              <w:t>其他权威机构颁发的</w:t>
            </w:r>
            <w:r>
              <w:rPr>
                <w:rFonts w:hint="eastAsia" w:hAnsi="宋体" w:cs="Courier New"/>
                <w:color w:val="000000" w:themeColor="text1"/>
                <w:kern w:val="2"/>
                <w:sz w:val="21"/>
                <w:highlight w:val="none"/>
                <w:lang w:eastAsia="zh-CN"/>
                <w14:textFill>
                  <w14:solidFill>
                    <w14:schemeClr w14:val="tx1"/>
                  </w14:solidFill>
                </w14:textFill>
              </w:rPr>
              <w:t>同类型同级别</w:t>
            </w:r>
            <w:r>
              <w:rPr>
                <w:rFonts w:hint="eastAsia" w:hAnsi="宋体" w:cs="Courier New"/>
                <w:color w:val="000000" w:themeColor="text1"/>
                <w:kern w:val="2"/>
                <w:sz w:val="21"/>
                <w:highlight w:val="none"/>
                <w14:textFill>
                  <w14:solidFill>
                    <w14:schemeClr w14:val="tx1"/>
                  </w14:solidFill>
                </w14:textFill>
              </w:rPr>
              <w:t>或以上级别的认证；</w:t>
            </w:r>
          </w:p>
          <w:p w14:paraId="6B97AC91">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④具有信息安全工程师证书</w:t>
            </w:r>
            <w:r>
              <w:rPr>
                <w:rFonts w:hint="eastAsia" w:hAnsi="宋体" w:cs="Courier New"/>
                <w:color w:val="000000" w:themeColor="text1"/>
                <w:kern w:val="2"/>
                <w:sz w:val="21"/>
                <w:highlight w:val="none"/>
                <w:lang w:eastAsia="zh-CN"/>
                <w14:textFill>
                  <w14:solidFill>
                    <w14:schemeClr w14:val="tx1"/>
                  </w14:solidFill>
                </w14:textFill>
              </w:rPr>
              <w:t>或</w:t>
            </w:r>
            <w:r>
              <w:rPr>
                <w:rFonts w:hint="eastAsia" w:hAnsi="宋体" w:cs="Courier New"/>
                <w:color w:val="000000" w:themeColor="text1"/>
                <w:kern w:val="2"/>
                <w:sz w:val="21"/>
                <w:highlight w:val="none"/>
                <w14:textFill>
                  <w14:solidFill>
                    <w14:schemeClr w14:val="tx1"/>
                  </w14:solidFill>
                </w14:textFill>
              </w:rPr>
              <w:t>其他权威机构颁发的</w:t>
            </w:r>
            <w:r>
              <w:rPr>
                <w:rFonts w:hint="eastAsia" w:hAnsi="宋体" w:cs="Courier New"/>
                <w:color w:val="000000" w:themeColor="text1"/>
                <w:kern w:val="2"/>
                <w:sz w:val="21"/>
                <w:highlight w:val="none"/>
                <w:lang w:eastAsia="zh-CN"/>
                <w14:textFill>
                  <w14:solidFill>
                    <w14:schemeClr w14:val="tx1"/>
                  </w14:solidFill>
                </w14:textFill>
              </w:rPr>
              <w:t>同类型同级别</w:t>
            </w:r>
            <w:r>
              <w:rPr>
                <w:rFonts w:hint="eastAsia" w:hAnsi="宋体" w:cs="Courier New"/>
                <w:color w:val="000000" w:themeColor="text1"/>
                <w:kern w:val="2"/>
                <w:sz w:val="21"/>
                <w:highlight w:val="none"/>
                <w14:textFill>
                  <w14:solidFill>
                    <w14:schemeClr w14:val="tx1"/>
                  </w14:solidFill>
                </w14:textFill>
              </w:rPr>
              <w:t>或以上级别的认证。</w:t>
            </w:r>
          </w:p>
          <w:p w14:paraId="6FF70586">
            <w:pPr>
              <w:pStyle w:val="26"/>
              <w:keepNext w:val="0"/>
              <w:keepLines w:val="0"/>
              <w:pageBreakBefore w:val="0"/>
              <w:widowControl w:val="0"/>
              <w:kinsoku/>
              <w:wordWrap/>
              <w:overflowPunct/>
              <w:topLinePunct w:val="0"/>
              <w:autoSpaceDE/>
              <w:autoSpaceDN/>
              <w:bidi w:val="0"/>
              <w:adjustRightInd/>
              <w:snapToGrid/>
              <w:spacing w:line="360" w:lineRule="auto"/>
              <w:textAlignment w:val="auto"/>
              <w:rPr>
                <w:rFonts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（2）拟投入本项目1名技术负责人具有以下证书，满分</w:t>
            </w:r>
            <w:r>
              <w:rPr>
                <w:rFonts w:hint="eastAsia" w:hAnsi="宋体" w:cs="Courier New"/>
                <w:color w:val="000000" w:themeColor="text1"/>
                <w:kern w:val="2"/>
                <w:sz w:val="21"/>
                <w:highlight w:val="none"/>
                <w:lang w:val="en-US" w:eastAsia="zh-CN"/>
                <w14:textFill>
                  <w14:solidFill>
                    <w14:schemeClr w14:val="tx1"/>
                  </w14:solidFill>
                </w14:textFill>
              </w:rPr>
              <w:t>4</w:t>
            </w:r>
            <w:r>
              <w:rPr>
                <w:rFonts w:hint="eastAsia" w:hAnsi="宋体" w:cs="Courier New"/>
                <w:color w:val="000000" w:themeColor="text1"/>
                <w:kern w:val="2"/>
                <w:sz w:val="21"/>
                <w:highlight w:val="none"/>
                <w14:textFill>
                  <w14:solidFill>
                    <w14:schemeClr w14:val="tx1"/>
                  </w14:solidFill>
                </w14:textFill>
              </w:rPr>
              <w:t>分：</w:t>
            </w:r>
          </w:p>
          <w:p w14:paraId="4159C28E">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①具有信息系统项目管理师证书</w:t>
            </w:r>
            <w:r>
              <w:rPr>
                <w:rFonts w:hint="eastAsia" w:hAnsi="宋体" w:cs="Courier New"/>
                <w:color w:val="000000" w:themeColor="text1"/>
                <w:kern w:val="2"/>
                <w:sz w:val="21"/>
                <w:highlight w:val="none"/>
                <w:lang w:eastAsia="zh-CN"/>
                <w14:textFill>
                  <w14:solidFill>
                    <w14:schemeClr w14:val="tx1"/>
                  </w14:solidFill>
                </w14:textFill>
              </w:rPr>
              <w:t>或</w:t>
            </w:r>
            <w:r>
              <w:rPr>
                <w:rFonts w:hint="eastAsia" w:hAnsi="宋体" w:cs="Courier New"/>
                <w:color w:val="000000" w:themeColor="text1"/>
                <w:kern w:val="2"/>
                <w:sz w:val="21"/>
                <w:highlight w:val="none"/>
                <w14:textFill>
                  <w14:solidFill>
                    <w14:schemeClr w14:val="tx1"/>
                  </w14:solidFill>
                </w14:textFill>
              </w:rPr>
              <w:t>其他权威机构颁发的</w:t>
            </w:r>
            <w:r>
              <w:rPr>
                <w:rFonts w:hint="eastAsia" w:hAnsi="宋体" w:cs="Courier New"/>
                <w:color w:val="000000" w:themeColor="text1"/>
                <w:kern w:val="2"/>
                <w:sz w:val="21"/>
                <w:highlight w:val="none"/>
                <w:lang w:eastAsia="zh-CN"/>
                <w14:textFill>
                  <w14:solidFill>
                    <w14:schemeClr w14:val="tx1"/>
                  </w14:solidFill>
                </w14:textFill>
              </w:rPr>
              <w:t>同类型同级别</w:t>
            </w:r>
            <w:r>
              <w:rPr>
                <w:rFonts w:hint="eastAsia" w:hAnsi="宋体" w:cs="Courier New"/>
                <w:color w:val="000000" w:themeColor="text1"/>
                <w:kern w:val="2"/>
                <w:sz w:val="21"/>
                <w:highlight w:val="none"/>
                <w14:textFill>
                  <w14:solidFill>
                    <w14:schemeClr w14:val="tx1"/>
                  </w14:solidFill>
                </w14:textFill>
              </w:rPr>
              <w:t>或以上级别的认证</w:t>
            </w:r>
            <w:r>
              <w:rPr>
                <w:rFonts w:hint="eastAsia" w:hAnsi="宋体" w:cs="Courier New"/>
                <w:color w:val="000000" w:themeColor="text1"/>
                <w:kern w:val="2"/>
                <w:sz w:val="21"/>
                <w:highlight w:val="none"/>
                <w:lang w:eastAsia="zh-CN"/>
                <w14:textFill>
                  <w14:solidFill>
                    <w14:schemeClr w14:val="tx1"/>
                  </w14:solidFill>
                </w14:textFill>
              </w:rPr>
              <w:t>，得</w:t>
            </w:r>
            <w:r>
              <w:rPr>
                <w:rFonts w:hint="eastAsia" w:hAnsi="宋体" w:cs="Courier New"/>
                <w:color w:val="000000" w:themeColor="text1"/>
                <w:kern w:val="2"/>
                <w:sz w:val="21"/>
                <w:highlight w:val="none"/>
                <w:lang w:val="en-US" w:eastAsia="zh-CN"/>
                <w14:textFill>
                  <w14:solidFill>
                    <w14:schemeClr w14:val="tx1"/>
                  </w14:solidFill>
                </w14:textFill>
              </w:rPr>
              <w:t>1分</w:t>
            </w:r>
            <w:r>
              <w:rPr>
                <w:rFonts w:hint="eastAsia" w:hAnsi="宋体" w:cs="Courier New"/>
                <w:color w:val="000000" w:themeColor="text1"/>
                <w:kern w:val="2"/>
                <w:sz w:val="21"/>
                <w:highlight w:val="none"/>
                <w14:textFill>
                  <w14:solidFill>
                    <w14:schemeClr w14:val="tx1"/>
                  </w14:solidFill>
                </w14:textFill>
              </w:rPr>
              <w:t>；</w:t>
            </w:r>
          </w:p>
          <w:p w14:paraId="20963DB8">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cs="Courier New"/>
                <w:color w:val="000000" w:themeColor="text1"/>
                <w:kern w:val="2"/>
                <w:sz w:val="21"/>
                <w:highlight w:val="none"/>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②具备服务器操作系统</w:t>
            </w:r>
            <w:r>
              <w:rPr>
                <w:rFonts w:hint="eastAsia" w:hAnsi="宋体" w:cs="Courier New"/>
                <w:color w:val="000000" w:themeColor="text1"/>
                <w:kern w:val="2"/>
                <w:sz w:val="21"/>
                <w:highlight w:val="none"/>
                <w:lang w:eastAsia="zh-CN"/>
                <w14:textFill>
                  <w14:solidFill>
                    <w14:schemeClr w14:val="tx1"/>
                  </w14:solidFill>
                </w14:textFill>
              </w:rPr>
              <w:t>、</w:t>
            </w:r>
            <w:r>
              <w:rPr>
                <w:rFonts w:hint="eastAsia" w:hAnsi="宋体" w:cs="Courier New"/>
                <w:color w:val="000000" w:themeColor="text1"/>
                <w:kern w:val="2"/>
                <w:sz w:val="21"/>
                <w:highlight w:val="none"/>
                <w14:textFill>
                  <w14:solidFill>
                    <w14:schemeClr w14:val="tx1"/>
                  </w14:solidFill>
                </w14:textFill>
              </w:rPr>
              <w:t>网络</w:t>
            </w:r>
            <w:r>
              <w:rPr>
                <w:rFonts w:hint="eastAsia" w:hAnsi="宋体" w:cs="Courier New"/>
                <w:color w:val="000000" w:themeColor="text1"/>
                <w:kern w:val="2"/>
                <w:sz w:val="21"/>
                <w:highlight w:val="none"/>
                <w:lang w:eastAsia="zh-CN"/>
                <w14:textFill>
                  <w14:solidFill>
                    <w14:schemeClr w14:val="tx1"/>
                  </w14:solidFill>
                </w14:textFill>
              </w:rPr>
              <w:t>、</w:t>
            </w:r>
            <w:r>
              <w:rPr>
                <w:rFonts w:hint="eastAsia" w:hAnsi="宋体" w:cs="Courier New"/>
                <w:color w:val="000000" w:themeColor="text1"/>
                <w:kern w:val="2"/>
                <w:sz w:val="21"/>
                <w:highlight w:val="none"/>
                <w14:textFill>
                  <w14:solidFill>
                    <w14:schemeClr w14:val="tx1"/>
                  </w14:solidFill>
                </w14:textFill>
              </w:rPr>
              <w:t>虚拟化或云技术</w:t>
            </w:r>
            <w:r>
              <w:rPr>
                <w:rFonts w:hint="eastAsia" w:hAnsi="宋体" w:cs="Courier New"/>
                <w:color w:val="000000" w:themeColor="text1"/>
                <w:kern w:val="2"/>
                <w:sz w:val="21"/>
                <w:highlight w:val="none"/>
                <w:lang w:eastAsia="zh-CN"/>
                <w14:textFill>
                  <w14:solidFill>
                    <w14:schemeClr w14:val="tx1"/>
                  </w14:solidFill>
                </w14:textFill>
              </w:rPr>
              <w:t>、</w:t>
            </w:r>
            <w:r>
              <w:rPr>
                <w:rFonts w:hint="eastAsia" w:hAnsi="宋体" w:cs="Courier New"/>
                <w:color w:val="000000" w:themeColor="text1"/>
                <w:kern w:val="2"/>
                <w:sz w:val="21"/>
                <w:highlight w:val="none"/>
                <w14:textFill>
                  <w14:solidFill>
                    <w14:schemeClr w14:val="tx1"/>
                  </w14:solidFill>
                </w14:textFill>
              </w:rPr>
              <w:t>数据库</w:t>
            </w:r>
            <w:r>
              <w:rPr>
                <w:rFonts w:hint="eastAsia" w:hAnsi="宋体" w:cs="Courier New"/>
                <w:color w:val="000000" w:themeColor="text1"/>
                <w:kern w:val="2"/>
                <w:sz w:val="21"/>
                <w:highlight w:val="none"/>
                <w:lang w:eastAsia="zh-CN"/>
                <w14:textFill>
                  <w14:solidFill>
                    <w14:schemeClr w14:val="tx1"/>
                  </w14:solidFill>
                </w14:textFill>
              </w:rPr>
              <w:t>等</w:t>
            </w:r>
            <w:r>
              <w:rPr>
                <w:rFonts w:hint="eastAsia" w:hAnsi="宋体" w:cs="Courier New"/>
                <w:color w:val="000000" w:themeColor="text1"/>
                <w:kern w:val="2"/>
                <w:sz w:val="21"/>
                <w:highlight w:val="none"/>
                <w:lang w:val="en-US" w:eastAsia="zh-CN"/>
                <w14:textFill>
                  <w14:solidFill>
                    <w14:schemeClr w14:val="tx1"/>
                  </w14:solidFill>
                </w14:textFill>
              </w:rPr>
              <w:t>4个技术</w:t>
            </w:r>
            <w:r>
              <w:rPr>
                <w:rFonts w:hint="eastAsia" w:hAnsi="宋体" w:cs="Courier New"/>
                <w:color w:val="000000" w:themeColor="text1"/>
                <w:kern w:val="2"/>
                <w:sz w:val="21"/>
                <w:highlight w:val="none"/>
                <w14:textFill>
                  <w14:solidFill>
                    <w14:schemeClr w14:val="tx1"/>
                  </w14:solidFill>
                </w14:textFill>
              </w:rPr>
              <w:t>方向</w:t>
            </w:r>
            <w:r>
              <w:rPr>
                <w:rFonts w:hint="eastAsia" w:hAnsi="宋体" w:cs="Courier New"/>
                <w:color w:val="000000" w:themeColor="text1"/>
                <w:kern w:val="2"/>
                <w:sz w:val="21"/>
                <w:highlight w:val="none"/>
                <w:lang w:eastAsia="zh-CN"/>
                <w14:textFill>
                  <w14:solidFill>
                    <w14:schemeClr w14:val="tx1"/>
                  </w14:solidFill>
                </w14:textFill>
              </w:rPr>
              <w:t>中任意一个</w:t>
            </w:r>
            <w:r>
              <w:rPr>
                <w:rFonts w:hint="eastAsia" w:hAnsi="宋体" w:cs="Courier New"/>
                <w:color w:val="000000" w:themeColor="text1"/>
                <w:kern w:val="2"/>
                <w:sz w:val="21"/>
                <w:highlight w:val="none"/>
                <w14:textFill>
                  <w14:solidFill>
                    <w14:schemeClr w14:val="tx1"/>
                  </w14:solidFill>
                </w14:textFill>
              </w:rPr>
              <w:t>技术方向的</w:t>
            </w:r>
            <w:r>
              <w:rPr>
                <w:rFonts w:hint="eastAsia" w:hAnsi="宋体" w:cs="Courier New"/>
                <w:color w:val="000000" w:themeColor="text1"/>
                <w:kern w:val="2"/>
                <w:sz w:val="21"/>
                <w:highlight w:val="none"/>
                <w:lang w:eastAsia="zh-CN"/>
                <w14:textFill>
                  <w14:solidFill>
                    <w14:schemeClr w14:val="tx1"/>
                  </w14:solidFill>
                </w14:textFill>
              </w:rPr>
              <w:t>权威机构颁发的中级或以上</w:t>
            </w:r>
            <w:r>
              <w:rPr>
                <w:rFonts w:hint="eastAsia" w:hAnsi="宋体" w:cs="Courier New"/>
                <w:color w:val="000000" w:themeColor="text1"/>
                <w:kern w:val="2"/>
                <w:sz w:val="21"/>
                <w:highlight w:val="none"/>
                <w14:textFill>
                  <w14:solidFill>
                    <w14:schemeClr w14:val="tx1"/>
                  </w14:solidFill>
                </w14:textFill>
              </w:rPr>
              <w:t>认证</w:t>
            </w:r>
            <w:r>
              <w:rPr>
                <w:rFonts w:hint="eastAsia" w:hAnsi="宋体" w:cs="Courier New"/>
                <w:color w:val="000000" w:themeColor="text1"/>
                <w:kern w:val="2"/>
                <w:sz w:val="21"/>
                <w:highlight w:val="none"/>
                <w:lang w:eastAsia="zh-CN"/>
                <w14:textFill>
                  <w14:solidFill>
                    <w14:schemeClr w14:val="tx1"/>
                  </w14:solidFill>
                </w14:textFill>
              </w:rPr>
              <w:t>，每一个技术方向认证得</w:t>
            </w:r>
            <w:r>
              <w:rPr>
                <w:rFonts w:hint="eastAsia" w:hAnsi="宋体" w:cs="Courier New"/>
                <w:color w:val="000000" w:themeColor="text1"/>
                <w:kern w:val="2"/>
                <w:sz w:val="21"/>
                <w:highlight w:val="none"/>
                <w:lang w:val="en-US" w:eastAsia="zh-CN"/>
                <w14:textFill>
                  <w14:solidFill>
                    <w14:schemeClr w14:val="tx1"/>
                  </w14:solidFill>
                </w14:textFill>
              </w:rPr>
              <w:t>1分，满分3分，同一个技术方向不重复计分。</w:t>
            </w:r>
          </w:p>
          <w:p w14:paraId="5D48983C">
            <w:pPr>
              <w:pStyle w:val="2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hAnsi="宋体" w:eastAsia="宋体" w:cs="Courier New"/>
                <w:color w:val="000000" w:themeColor="text1"/>
                <w:kern w:val="2"/>
                <w:sz w:val="21"/>
                <w:highlight w:val="none"/>
                <w:lang w:eastAsia="zh-CN"/>
                <w14:textFill>
                  <w14:solidFill>
                    <w14:schemeClr w14:val="tx1"/>
                  </w14:solidFill>
                </w14:textFill>
              </w:rPr>
            </w:pPr>
            <w:r>
              <w:rPr>
                <w:rFonts w:hint="eastAsia" w:hAnsi="宋体" w:cs="Courier New"/>
                <w:color w:val="000000" w:themeColor="text1"/>
                <w:kern w:val="2"/>
                <w:sz w:val="21"/>
                <w:highlight w:val="none"/>
                <w14:textFill>
                  <w14:solidFill>
                    <w14:schemeClr w14:val="tx1"/>
                  </w14:solidFill>
                </w14:textFill>
              </w:rPr>
              <w:t>注：</w:t>
            </w:r>
            <w:r>
              <w:rPr>
                <w:rFonts w:hint="eastAsia" w:hAnsi="宋体" w:cs="Courier New"/>
                <w:color w:val="000000" w:themeColor="text1"/>
                <w:kern w:val="2"/>
                <w:sz w:val="21"/>
                <w:highlight w:val="none"/>
                <w:lang w:val="en-US" w:eastAsia="zh-CN"/>
                <w14:textFill>
                  <w14:solidFill>
                    <w14:schemeClr w14:val="tx1"/>
                  </w14:solidFill>
                </w14:textFill>
              </w:rPr>
              <w:t>1、</w:t>
            </w:r>
            <w:r>
              <w:rPr>
                <w:rFonts w:hint="eastAsia" w:hAnsi="宋体" w:cs="Courier New"/>
                <w:color w:val="000000" w:themeColor="text1"/>
                <w:kern w:val="2"/>
                <w:sz w:val="21"/>
                <w:highlight w:val="none"/>
                <w14:textFill>
                  <w14:solidFill>
                    <w14:schemeClr w14:val="tx1"/>
                  </w14:solidFill>
                </w14:textFill>
              </w:rPr>
              <w:t>项目负责人、技术负责人须提供人员相关证书复印件并加盖投标人公章及距投标截止之日</w:t>
            </w:r>
            <w:r>
              <w:rPr>
                <w:rFonts w:hint="eastAsia" w:hAnsi="宋体" w:cs="Courier New"/>
                <w:color w:val="000000" w:themeColor="text1"/>
                <w:kern w:val="2"/>
                <w:sz w:val="21"/>
                <w:highlight w:val="none"/>
                <w:lang w:val="en-US" w:eastAsia="zh-CN"/>
                <w14:textFill>
                  <w14:solidFill>
                    <w14:schemeClr w14:val="tx1"/>
                  </w14:solidFill>
                </w14:textFill>
              </w:rPr>
              <w:t>6</w:t>
            </w:r>
            <w:r>
              <w:rPr>
                <w:rFonts w:hint="eastAsia" w:hAnsi="宋体" w:cs="Courier New"/>
                <w:color w:val="000000" w:themeColor="text1"/>
                <w:kern w:val="2"/>
                <w:sz w:val="21"/>
                <w:highlight w:val="none"/>
                <w14:textFill>
                  <w14:solidFill>
                    <w14:schemeClr w14:val="tx1"/>
                  </w14:solidFill>
                </w14:textFill>
              </w:rPr>
              <w:t>个月内投标人连续三个月为其缴纳社保的证明复印件，从成立之日起到投标文件提交截止时间不足要求月数的只需提供成立之日起的依法缴纳社会保险资金的相应证明文件，依法不需要缴纳社保的需提供相关证明材料，并加盖投标人投标单位公章，否则不计分。</w:t>
            </w:r>
            <w:r>
              <w:rPr>
                <w:rFonts w:hint="eastAsia" w:hAnsi="宋体" w:cs="Courier New"/>
                <w:color w:val="000000" w:themeColor="text1"/>
                <w:kern w:val="2"/>
                <w:sz w:val="21"/>
                <w:highlight w:val="none"/>
                <w:lang w:val="en-US" w:eastAsia="zh-CN"/>
                <w14:textFill>
                  <w14:solidFill>
                    <w14:schemeClr w14:val="tx1"/>
                  </w14:solidFill>
                </w14:textFill>
              </w:rPr>
              <w:t>2、</w:t>
            </w:r>
            <w:r>
              <w:rPr>
                <w:rFonts w:hint="eastAsia" w:hAnsi="宋体" w:cs="Courier New"/>
                <w:color w:val="000000" w:themeColor="text1"/>
                <w:kern w:val="2"/>
                <w:sz w:val="21"/>
                <w:highlight w:val="none"/>
                <w:lang w:eastAsia="zh-CN"/>
                <w14:textFill>
                  <w14:solidFill>
                    <w14:schemeClr w14:val="tx1"/>
                  </w14:solidFill>
                </w14:textFill>
              </w:rPr>
              <w:t>投标文件中须承诺项目负责人、技术负责人每月至少参加一次采购人组织的例会，就项目履约有关情况进行总结汇报，指出存在问题，提出处理建议；按采购人要求参加疑难、重大故障处置、应急处突有关会议并配合开展工作</w:t>
            </w:r>
            <w:r>
              <w:rPr>
                <w:rFonts w:hint="eastAsia"/>
                <w:color w:val="000000" w:themeColor="text1"/>
                <w:sz w:val="21"/>
                <w:highlight w:val="none"/>
                <w:lang w:eastAsia="zh-CN"/>
                <w14:textFill>
                  <w14:solidFill>
                    <w14:schemeClr w14:val="tx1"/>
                  </w14:solidFill>
                </w14:textFill>
              </w:rPr>
              <w:t>（投标文件中提供承诺函，格式自拟）。</w:t>
            </w:r>
          </w:p>
        </w:tc>
      </w:tr>
      <w:tr w14:paraId="5AE2B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30" w:type="dxa"/>
            <w:vAlign w:val="center"/>
          </w:tcPr>
          <w:p w14:paraId="1CB65A27">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4</w:t>
            </w:r>
          </w:p>
        </w:tc>
        <w:tc>
          <w:tcPr>
            <w:tcW w:w="1067" w:type="dxa"/>
            <w:vAlign w:val="center"/>
          </w:tcPr>
          <w:p w14:paraId="02C98EE3">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履约能力</w:t>
            </w:r>
          </w:p>
        </w:tc>
        <w:tc>
          <w:tcPr>
            <w:tcW w:w="695" w:type="dxa"/>
            <w:vAlign w:val="center"/>
          </w:tcPr>
          <w:p w14:paraId="3FC406D6">
            <w:pPr>
              <w:adjustRightInd w:val="0"/>
              <w:spacing w:line="400" w:lineRule="exact"/>
              <w:jc w:val="center"/>
              <w:textAlignment w:val="baseline"/>
              <w:rPr>
                <w:rFonts w:hint="eastAsia"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分</w:t>
            </w:r>
          </w:p>
        </w:tc>
        <w:tc>
          <w:tcPr>
            <w:tcW w:w="1786" w:type="dxa"/>
            <w:vAlign w:val="center"/>
          </w:tcPr>
          <w:p w14:paraId="1F6AB5CE">
            <w:pPr>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信誉实力</w:t>
            </w:r>
            <w:r>
              <w:rPr>
                <w:rFonts w:hint="eastAsia" w:ascii="宋体" w:hAnsi="宋体"/>
                <w:b/>
                <w:color w:val="000000" w:themeColor="text1"/>
                <w:szCs w:val="21"/>
                <w:highlight w:val="none"/>
                <w14:textFill>
                  <w14:solidFill>
                    <w14:schemeClr w14:val="tx1"/>
                  </w14:solidFill>
                </w14:textFill>
              </w:rPr>
              <w:t>分（满分</w:t>
            </w:r>
            <w:r>
              <w:rPr>
                <w:rFonts w:ascii="宋体" w:hAnsi="宋体"/>
                <w:b/>
                <w:color w:val="000000" w:themeColor="text1"/>
                <w:szCs w:val="21"/>
                <w:highlight w:val="none"/>
                <w14:textFill>
                  <w14:solidFill>
                    <w14:schemeClr w14:val="tx1"/>
                  </w14:solidFill>
                </w14:textFill>
              </w:rPr>
              <w:t>1</w:t>
            </w:r>
            <w:r>
              <w:rPr>
                <w:rFonts w:hint="eastAsia" w:ascii="宋体" w:hAnsi="宋体"/>
                <w:b/>
                <w:color w:val="000000" w:themeColor="text1"/>
                <w:szCs w:val="21"/>
                <w:highlight w:val="none"/>
                <w:lang w:val="en-US" w:eastAsia="zh-CN"/>
                <w14:textFill>
                  <w14:solidFill>
                    <w14:schemeClr w14:val="tx1"/>
                  </w14:solidFill>
                </w14:textFill>
              </w:rPr>
              <w:t>4</w:t>
            </w:r>
            <w:r>
              <w:rPr>
                <w:rFonts w:hint="eastAsia" w:ascii="宋体" w:hAnsi="宋体"/>
                <w:b/>
                <w:color w:val="000000" w:themeColor="text1"/>
                <w:szCs w:val="21"/>
                <w:highlight w:val="none"/>
                <w14:textFill>
                  <w14:solidFill>
                    <w14:schemeClr w14:val="tx1"/>
                  </w14:solidFill>
                </w14:textFill>
              </w:rPr>
              <w:t>分）</w:t>
            </w:r>
          </w:p>
        </w:tc>
        <w:tc>
          <w:tcPr>
            <w:tcW w:w="5619" w:type="dxa"/>
            <w:vAlign w:val="top"/>
          </w:tcPr>
          <w:p w14:paraId="2D43B3A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1、投标人具有ISO9001质量管理体系认证证书、ISO14001环境管理体系认证、ISO45001职业健康安全管理体系认证的，每提供一个证书得</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分，满分3分（投标文件中提供有效的证书复印件加盖投标单位公章）；</w:t>
            </w:r>
          </w:p>
          <w:p w14:paraId="4E0A061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2、投标人具有ITSS（信息技术服务</w:t>
            </w:r>
            <w:r>
              <w:rPr>
                <w:rFonts w:hint="eastAsia"/>
                <w:color w:val="000000" w:themeColor="text1"/>
                <w:highlight w:val="none"/>
                <w:lang w:eastAsia="zh-CN"/>
                <w14:textFill>
                  <w14:solidFill>
                    <w14:schemeClr w14:val="tx1"/>
                  </w14:solidFill>
                </w14:textFill>
              </w:rPr>
              <w:t>标准</w:t>
            </w:r>
            <w:r>
              <w:rPr>
                <w:color w:val="000000" w:themeColor="text1"/>
                <w:highlight w:val="none"/>
                <w14:textFill>
                  <w14:solidFill>
                    <w14:schemeClr w14:val="tx1"/>
                  </w14:solidFill>
                </w14:textFill>
              </w:rPr>
              <w:t>符合性证书</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运行维护</w:t>
            </w:r>
            <w:r>
              <w:rPr>
                <w:rFonts w:hint="eastAsia"/>
                <w:color w:val="000000" w:themeColor="text1"/>
                <w:highlight w:val="none"/>
                <w:lang w:eastAsia="zh-CN"/>
                <w14:textFill>
                  <w14:solidFill>
                    <w14:schemeClr w14:val="tx1"/>
                  </w14:solidFill>
                </w14:textFill>
              </w:rPr>
              <w:t>）</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一</w:t>
            </w:r>
            <w:r>
              <w:rPr>
                <w:color w:val="000000" w:themeColor="text1"/>
                <w:highlight w:val="none"/>
                <w14:textFill>
                  <w14:solidFill>
                    <w14:schemeClr w14:val="tx1"/>
                  </w14:solidFill>
                </w14:textFill>
              </w:rPr>
              <w:t>级得</w:t>
            </w: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二</w:t>
            </w:r>
            <w:r>
              <w:rPr>
                <w:color w:val="000000" w:themeColor="text1"/>
                <w:highlight w:val="none"/>
                <w14:textFill>
                  <w14:solidFill>
                    <w14:schemeClr w14:val="tx1"/>
                  </w14:solidFill>
                </w14:textFill>
              </w:rPr>
              <w:t>级得</w:t>
            </w: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三至四级得0.5分，</w:t>
            </w:r>
            <w:r>
              <w:rPr>
                <w:color w:val="000000" w:themeColor="text1"/>
                <w:highlight w:val="none"/>
                <w14:textFill>
                  <w14:solidFill>
                    <w14:schemeClr w14:val="tx1"/>
                  </w14:solidFill>
                </w14:textFill>
              </w:rPr>
              <w:t>满分</w:t>
            </w: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分（投标文件中提供有效的证书复印件加盖投标单位公章）；</w:t>
            </w:r>
          </w:p>
          <w:p w14:paraId="46570A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color w:val="000000" w:themeColor="text1"/>
                <w:highlight w:val="none"/>
                <w14:textFill>
                  <w14:solidFill>
                    <w14:schemeClr w14:val="tx1"/>
                  </w14:solidFill>
                </w14:textFill>
              </w:rPr>
              <w:t>投标人具有中国网络安全审查技术与认证中心颁发的信息安全服务资质认证证书（信息系统安全运维服务），一级得2分，二级得1分，</w:t>
            </w:r>
            <w:r>
              <w:rPr>
                <w:rFonts w:hint="eastAsia"/>
                <w:color w:val="000000" w:themeColor="text1"/>
                <w:highlight w:val="none"/>
                <w14:textFill>
                  <w14:solidFill>
                    <w14:schemeClr w14:val="tx1"/>
                  </w14:solidFill>
                </w14:textFill>
              </w:rPr>
              <w:t>三级得0.5分，</w:t>
            </w:r>
            <w:r>
              <w:rPr>
                <w:color w:val="000000" w:themeColor="text1"/>
                <w:highlight w:val="none"/>
                <w14:textFill>
                  <w14:solidFill>
                    <w14:schemeClr w14:val="tx1"/>
                  </w14:solidFill>
                </w14:textFill>
              </w:rPr>
              <w:t>满分2分（投标文件中提供有效的证书复印件加盖投标单位公章）；</w:t>
            </w:r>
          </w:p>
          <w:p w14:paraId="04A487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4、投标人具有ISO27001信息安全管理体系认证证书、ISO27040数据存储安全管理体系</w:t>
            </w:r>
            <w:r>
              <w:rPr>
                <w:rFonts w:hint="eastAsia"/>
                <w:color w:val="000000" w:themeColor="text1"/>
                <w:highlight w:val="none"/>
                <w14:textFill>
                  <w14:solidFill>
                    <w14:schemeClr w14:val="tx1"/>
                  </w14:solidFill>
                </w14:textFill>
              </w:rPr>
              <w:t>认证</w:t>
            </w:r>
            <w:r>
              <w:rPr>
                <w:color w:val="000000" w:themeColor="text1"/>
                <w:highlight w:val="none"/>
                <w14:textFill>
                  <w14:solidFill>
                    <w14:schemeClr w14:val="tx1"/>
                  </w14:solidFill>
                </w14:textFill>
              </w:rPr>
              <w:t>证书，每提供一个证书得</w:t>
            </w:r>
            <w:r>
              <w:rPr>
                <w:rFonts w:hint="eastAsia"/>
                <w:color w:val="000000" w:themeColor="text1"/>
                <w:highlight w:val="none"/>
                <w:lang w:val="en-US" w:eastAsia="zh-CN"/>
                <w14:textFill>
                  <w14:solidFill>
                    <w14:schemeClr w14:val="tx1"/>
                  </w14:solidFill>
                </w14:textFill>
              </w:rPr>
              <w:t>1</w:t>
            </w:r>
            <w:r>
              <w:rPr>
                <w:color w:val="000000" w:themeColor="text1"/>
                <w:highlight w:val="none"/>
                <w14:textFill>
                  <w14:solidFill>
                    <w14:schemeClr w14:val="tx1"/>
                  </w14:solidFill>
                </w14:textFill>
              </w:rPr>
              <w:t>分，满分</w:t>
            </w:r>
            <w:r>
              <w:rPr>
                <w:rFonts w:hint="eastAsia"/>
                <w:color w:val="000000" w:themeColor="text1"/>
                <w:highlight w:val="none"/>
                <w:lang w:val="en-US" w:eastAsia="zh-CN"/>
                <w14:textFill>
                  <w14:solidFill>
                    <w14:schemeClr w14:val="tx1"/>
                  </w14:solidFill>
                </w14:textFill>
              </w:rPr>
              <w:t>2</w:t>
            </w:r>
            <w:r>
              <w:rPr>
                <w:color w:val="000000" w:themeColor="text1"/>
                <w:highlight w:val="none"/>
                <w14:textFill>
                  <w14:solidFill>
                    <w14:schemeClr w14:val="tx1"/>
                  </w14:solidFill>
                </w14:textFill>
              </w:rPr>
              <w:t>分（投标文件中提供有效的证书复印件加盖投标单位公章）；</w:t>
            </w:r>
          </w:p>
          <w:p w14:paraId="71067A5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5</w:t>
            </w:r>
            <w:r>
              <w:rPr>
                <w:rFonts w:ascii="Times New Roman" w:hAnsi="Times New Roman" w:eastAsia="宋体" w:cs="Times New Roman"/>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2022年1月1日至投标截止时间</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完成过</w:t>
            </w:r>
            <w:r>
              <w:rPr>
                <w:rFonts w:hint="eastAsia" w:ascii="Times New Roman" w:hAnsi="Times New Roman" w:eastAsia="宋体" w:cs="Times New Roman"/>
                <w:color w:val="000000" w:themeColor="text1"/>
                <w:highlight w:val="none"/>
                <w:lang w:eastAsia="zh-CN"/>
                <w14:textFill>
                  <w14:solidFill>
                    <w14:schemeClr w14:val="tx1"/>
                  </w14:solidFill>
                </w14:textFill>
              </w:rPr>
              <w:t>类似业绩</w:t>
            </w:r>
            <w:r>
              <w:rPr>
                <w:rFonts w:hint="eastAsia" w:ascii="Times New Roman" w:hAnsi="Times New Roman" w:eastAsia="宋体" w:cs="Times New Roman"/>
                <w:color w:val="000000" w:themeColor="text1"/>
                <w:highlight w:val="none"/>
                <w:lang w:val="en-US" w:eastAsia="zh-CN"/>
                <w14:textFill>
                  <w14:solidFill>
                    <w14:schemeClr w14:val="tx1"/>
                  </w14:solidFill>
                </w14:textFill>
              </w:rPr>
              <w:t>，每提供一个得</w:t>
            </w:r>
            <w:r>
              <w:rPr>
                <w:rFonts w:hint="eastAsia" w:cs="Times New Roman"/>
                <w:color w:val="000000" w:themeColor="text1"/>
                <w:highlight w:val="none"/>
                <w:lang w:val="en-US" w:eastAsia="zh-CN"/>
                <w14:textFill>
                  <w14:solidFill>
                    <w14:schemeClr w14:val="tx1"/>
                  </w14:solidFill>
                </w14:textFill>
              </w:rPr>
              <w:t>0.5</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分。此项最高得分</w:t>
            </w:r>
            <w:r>
              <w:rPr>
                <w:rFonts w:hint="eastAsia" w:cs="Times New Roman"/>
                <w:color w:val="000000" w:themeColor="text1"/>
                <w:highlight w:val="none"/>
                <w:lang w:val="en-US" w:eastAsia="zh-CN"/>
                <w14:textFill>
                  <w14:solidFill>
                    <w14:schemeClr w14:val="tx1"/>
                  </w14:solidFill>
                </w14:textFill>
              </w:rPr>
              <w:t>5</w:t>
            </w:r>
            <w:r>
              <w:rPr>
                <w:rFonts w:hint="eastAsia" w:ascii="Times New Roman" w:hAnsi="Times New Roman" w:eastAsia="宋体" w:cs="Times New Roman"/>
                <w:color w:val="000000" w:themeColor="text1"/>
                <w:highlight w:val="none"/>
                <w:lang w:val="en-US" w:eastAsia="zh-CN"/>
                <w14:textFill>
                  <w14:solidFill>
                    <w14:schemeClr w14:val="tx1"/>
                  </w14:solidFill>
                </w14:textFill>
              </w:rPr>
              <w:t>分。</w:t>
            </w:r>
          </w:p>
          <w:p w14:paraId="33E17D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Times New Roman" w:hAnsi="Times New Roman" w:eastAsia="宋体" w:cs="Times New Roman"/>
                <w:color w:val="000000" w:themeColor="text1"/>
                <w:highlight w:val="none"/>
                <w:lang w:val="en-US" w:eastAsia="zh-Hans"/>
                <w14:textFill>
                  <w14:solidFill>
                    <w14:schemeClr w14:val="tx1"/>
                  </w14:solidFill>
                </w14:textFill>
              </w:rPr>
              <w:t>注：</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供应商</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须提供项目合同关键页复印件或扫描件，否则</w:t>
            </w:r>
            <w:r>
              <w:rPr>
                <w:rFonts w:hint="eastAsia" w:ascii="Times New Roman" w:hAnsi="Times New Roman" w:eastAsia="宋体" w:cs="Times New Roman"/>
                <w:color w:val="000000" w:themeColor="text1"/>
                <w:highlight w:val="none"/>
                <w:lang w:val="en-US" w:eastAsia="zh-CN"/>
                <w14:textFill>
                  <w14:solidFill>
                    <w14:schemeClr w14:val="tx1"/>
                  </w14:solidFill>
                </w14:textFill>
              </w:rPr>
              <w:t>不得分</w:t>
            </w:r>
            <w:r>
              <w:rPr>
                <w:rFonts w:hint="eastAsia" w:ascii="Times New Roman" w:hAnsi="Times New Roman" w:eastAsia="宋体" w:cs="Times New Roman"/>
                <w:color w:val="000000" w:themeColor="text1"/>
                <w:highlight w:val="none"/>
                <w:lang w:val="en-US" w:eastAsia="zh-Hans"/>
                <w14:textFill>
                  <w14:solidFill>
                    <w14:schemeClr w14:val="tx1"/>
                  </w14:solidFill>
                </w14:textFill>
              </w:rPr>
              <w:t>。</w:t>
            </w:r>
            <w:r>
              <w:rPr>
                <w:rFonts w:ascii="Times New Roman" w:hAnsi="Times New Roman" w:eastAsia="宋体" w:cs="Times New Roman"/>
                <w:color w:val="000000" w:themeColor="text1"/>
                <w:highlight w:val="none"/>
                <w14:textFill>
                  <w14:solidFill>
                    <w14:schemeClr w14:val="tx1"/>
                  </w14:solidFill>
                </w14:textFill>
              </w:rPr>
              <w:t>（投</w:t>
            </w:r>
            <w:r>
              <w:rPr>
                <w:color w:val="000000" w:themeColor="text1"/>
                <w:highlight w:val="none"/>
                <w14:textFill>
                  <w14:solidFill>
                    <w14:schemeClr w14:val="tx1"/>
                  </w14:solidFill>
                </w14:textFill>
              </w:rPr>
              <w:t>标文件中提供有效的证书复印件加盖投标单位公章）。</w:t>
            </w:r>
          </w:p>
        </w:tc>
      </w:tr>
      <w:tr w14:paraId="0DDA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97" w:type="dxa"/>
            <w:gridSpan w:val="5"/>
            <w:vAlign w:val="center"/>
          </w:tcPr>
          <w:p w14:paraId="111E2277">
            <w:pPr>
              <w:pStyle w:val="26"/>
              <w:spacing w:line="400" w:lineRule="exact"/>
              <w:rPr>
                <w:rFonts w:hint="eastAsia" w:hAnsi="宋体" w:cs="Courier New"/>
                <w:bCs/>
                <w:color w:val="000000" w:themeColor="text1"/>
                <w:kern w:val="2"/>
                <w:sz w:val="21"/>
                <w:highlight w:val="none"/>
                <w14:textFill>
                  <w14:solidFill>
                    <w14:schemeClr w14:val="tx1"/>
                  </w14:solidFill>
                </w14:textFill>
              </w:rPr>
            </w:pPr>
            <w:r>
              <w:rPr>
                <w:rFonts w:hint="eastAsia" w:hAnsi="宋体" w:cs="Courier New"/>
                <w:b/>
                <w:bCs/>
                <w:color w:val="000000" w:themeColor="text1"/>
                <w:kern w:val="2"/>
                <w:sz w:val="21"/>
                <w:highlight w:val="none"/>
                <w14:textFill>
                  <w14:solidFill>
                    <w14:schemeClr w14:val="tx1"/>
                  </w14:solidFill>
                </w14:textFill>
              </w:rPr>
              <w:t>总得分=1+2+3+4。</w:t>
            </w:r>
          </w:p>
        </w:tc>
      </w:tr>
    </w:tbl>
    <w:p w14:paraId="668BED6F">
      <w:pPr>
        <w:rPr>
          <w:color w:val="000000" w:themeColor="text1"/>
          <w:highlight w:val="none"/>
          <w14:textFill>
            <w14:solidFill>
              <w14:schemeClr w14:val="tx1"/>
            </w14:solidFill>
          </w14:textFill>
        </w:rPr>
      </w:pPr>
    </w:p>
    <w:p w14:paraId="09B332AC">
      <w:pPr>
        <w:pStyle w:val="26"/>
        <w:spacing w:line="360" w:lineRule="auto"/>
        <w:ind w:firstLine="420"/>
        <w:rPr>
          <w:rFonts w:hint="eastAsia"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注：1.计分方法按四舍五入取至百分位；</w:t>
      </w:r>
    </w:p>
    <w:p w14:paraId="31D9695A">
      <w:pPr>
        <w:pStyle w:val="26"/>
        <w:spacing w:line="360" w:lineRule="auto"/>
        <w:ind w:firstLine="42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    2.因落实政府采购政策进行价格调整的，以调整后的价格计算评标基准价和投标报价。</w:t>
      </w:r>
    </w:p>
    <w:p w14:paraId="675C3AD4">
      <w:pPr>
        <w:spacing w:line="360" w:lineRule="auto"/>
        <w:ind w:firstLine="420" w:firstLineChars="200"/>
        <w:rPr>
          <w:rFonts w:hint="eastAsia" w:ascii="宋体" w:hAnsi="宋体" w:cs="宋体"/>
          <w:color w:val="000000" w:themeColor="text1"/>
          <w:szCs w:val="21"/>
          <w:highlight w:val="none"/>
          <w14:textFill>
            <w14:solidFill>
              <w14:schemeClr w14:val="tx1"/>
            </w14:solidFill>
          </w14:textFill>
        </w:rPr>
      </w:pPr>
    </w:p>
    <w:p w14:paraId="02D15A11">
      <w:pPr>
        <w:pStyle w:val="4"/>
        <w:keepNext w:val="0"/>
        <w:keepLines w:val="0"/>
        <w:jc w:val="center"/>
        <w:rPr>
          <w:color w:val="000000" w:themeColor="text1"/>
          <w:sz w:val="30"/>
          <w:szCs w:val="30"/>
          <w:highlight w:val="none"/>
          <w14:textFill>
            <w14:solidFill>
              <w14:schemeClr w14:val="tx1"/>
            </w14:solidFill>
          </w14:textFill>
        </w:rPr>
      </w:pPr>
      <w:r>
        <w:rPr>
          <w:color w:val="000000" w:themeColor="text1"/>
          <w:sz w:val="30"/>
          <w:szCs w:val="30"/>
          <w:highlight w:val="none"/>
          <w14:textFill>
            <w14:solidFill>
              <w14:schemeClr w14:val="tx1"/>
            </w14:solidFill>
          </w14:textFill>
        </w:rPr>
        <w:br w:type="page"/>
      </w:r>
      <w:r>
        <w:rPr>
          <w:rFonts w:hint="eastAsia"/>
          <w:color w:val="000000" w:themeColor="text1"/>
          <w:sz w:val="30"/>
          <w:szCs w:val="30"/>
          <w:highlight w:val="none"/>
          <w14:textFill>
            <w14:solidFill>
              <w14:schemeClr w14:val="tx1"/>
            </w14:solidFill>
          </w14:textFill>
        </w:rPr>
        <w:t>四、中标候选人推荐原则</w:t>
      </w:r>
    </w:p>
    <w:p w14:paraId="59CD05C3">
      <w:pPr>
        <w:pStyle w:val="26"/>
        <w:spacing w:line="360" w:lineRule="auto"/>
        <w:contextualSpacing/>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（一）综合评分法</w:t>
      </w:r>
    </w:p>
    <w:p w14:paraId="32AB33AB">
      <w:pPr>
        <w:pStyle w:val="26"/>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评标委员会将根据总得分由高到低排列次序并推荐中标候选人。</w:t>
      </w:r>
      <w:r>
        <w:rPr>
          <w:rFonts w:hAnsi="宋体"/>
          <w:color w:val="000000" w:themeColor="text1"/>
          <w:sz w:val="21"/>
          <w:highlight w:val="none"/>
          <w14:textFill>
            <w14:solidFill>
              <w14:schemeClr w14:val="tx1"/>
            </w14:solidFill>
          </w14:textFill>
        </w:rPr>
        <w:t>得分相同的，按投标报价由低到高顺序排列。得分且投标报价相同的并列。投标文件满足招标文件全部实质性要求，且按照评审因素的量化指标评审得分最高的投标人为排名第一的中标候选人。</w:t>
      </w:r>
    </w:p>
    <w:p w14:paraId="317E9A93">
      <w:pPr>
        <w:pStyle w:val="26"/>
        <w:spacing w:line="360" w:lineRule="auto"/>
        <w:ind w:firstLine="420" w:firstLineChars="200"/>
        <w:contextualSpacing/>
        <w:rPr>
          <w:rFonts w:hint="eastAsia" w:hAnsi="宋体"/>
          <w:color w:val="000000" w:themeColor="text1"/>
          <w:sz w:val="21"/>
          <w:highlight w:val="none"/>
          <w14:textFill>
            <w14:solidFill>
              <w14:schemeClr w14:val="tx1"/>
            </w14:solidFill>
          </w14:textFill>
        </w:rPr>
      </w:pPr>
    </w:p>
    <w:p w14:paraId="1A4E0A2E">
      <w:pPr>
        <w:spacing w:before="120" w:beforeLines="50" w:after="120" w:afterLines="50" w:line="400" w:lineRule="exact"/>
        <w:rPr>
          <w:rFonts w:hint="eastAsia" w:ascii="宋体" w:hAnsi="宋体"/>
          <w:b/>
          <w:color w:val="000000" w:themeColor="text1"/>
          <w:sz w:val="24"/>
          <w:highlight w:val="none"/>
          <w14:textFill>
            <w14:solidFill>
              <w14:schemeClr w14:val="tx1"/>
            </w14:solidFill>
          </w14:textFill>
        </w:rPr>
      </w:pPr>
    </w:p>
    <w:p w14:paraId="1617732D">
      <w:pPr>
        <w:pStyle w:val="2"/>
        <w:keepNext w:val="0"/>
        <w:keepLines w:val="0"/>
        <w:pageBreakBefore w:val="0"/>
        <w:widowControl w:val="0"/>
        <w:kinsoku/>
        <w:wordWrap/>
        <w:overflowPunct/>
        <w:topLinePunct w:val="0"/>
        <w:autoSpaceDE/>
        <w:autoSpaceDN/>
        <w:bidi w:val="0"/>
        <w:adjustRightInd/>
        <w:snapToGrid/>
        <w:spacing w:line="416" w:lineRule="auto"/>
        <w:jc w:val="center"/>
        <w:textAlignment w:val="auto"/>
        <w:outlineLvl w:val="0"/>
        <w:rPr>
          <w:rFonts w:hint="eastAsia" w:ascii="仿宋_GB2312" w:hAnsi="华文中宋" w:eastAsia="仿宋_GB2312"/>
          <w:b w:val="0"/>
          <w:bCs w:val="0"/>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bookmarkStart w:id="178" w:name="_Toc18418"/>
      <w:r>
        <w:rPr>
          <w:rFonts w:hint="eastAsia" w:ascii="Times New Roman" w:hAnsi="Times New Roman" w:eastAsia="宋体"/>
          <w:color w:val="000000" w:themeColor="text1"/>
          <w:kern w:val="44"/>
          <w:sz w:val="44"/>
          <w:szCs w:val="44"/>
          <w:highlight w:val="none"/>
          <w14:textFill>
            <w14:solidFill>
              <w14:schemeClr w14:val="tx1"/>
            </w14:solidFill>
          </w14:textFill>
        </w:rPr>
        <w:t>第五章  拟签订的合同文本</w:t>
      </w:r>
      <w:bookmarkEnd w:id="178"/>
      <w:bookmarkStart w:id="179" w:name="_Hlk55381736"/>
    </w:p>
    <w:p w14:paraId="163A5D8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《广西壮族自治区政府采购合同》</w:t>
      </w:r>
    </w:p>
    <w:p w14:paraId="1908976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9"/>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文本</w:t>
      </w:r>
    </w:p>
    <w:p w14:paraId="011F0C6B">
      <w:pPr>
        <w:keepNext w:val="0"/>
        <w:keepLines w:val="0"/>
        <w:pageBreakBefore w:val="0"/>
        <w:widowControl w:val="0"/>
        <w:kinsoku/>
        <w:wordWrap/>
        <w:overflowPunct/>
        <w:topLinePunct w:val="0"/>
        <w:autoSpaceDE/>
        <w:autoSpaceDN/>
        <w:bidi w:val="0"/>
        <w:adjustRightInd/>
        <w:snapToGrid w:val="0"/>
        <w:spacing w:line="400" w:lineRule="exact"/>
        <w:ind w:right="480" w:firstLine="5250" w:firstLineChars="2500"/>
        <w:textAlignment w:val="auto"/>
        <w:outlineLvl w:val="9"/>
        <w:rPr>
          <w:rFonts w:hint="eastAsia"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合同编号：</w:t>
      </w:r>
    </w:p>
    <w:p w14:paraId="6C293972">
      <w:pPr>
        <w:keepNext w:val="0"/>
        <w:keepLines w:val="0"/>
        <w:pageBreakBefore w:val="0"/>
        <w:widowControl w:val="0"/>
        <w:kinsoku/>
        <w:wordWrap/>
        <w:overflowPunct/>
        <w:topLinePunct w:val="0"/>
        <w:autoSpaceDE/>
        <w:autoSpaceDN/>
        <w:bidi w:val="0"/>
        <w:adjustRightInd/>
        <w:snapToGrid w:val="0"/>
        <w:spacing w:line="360" w:lineRule="exact"/>
        <w:textAlignment w:val="auto"/>
        <w:outlineLvl w:val="9"/>
        <w:rPr>
          <w:rFonts w:hint="eastAsia" w:ascii="宋体" w:hAnsi="宋体"/>
          <w:color w:val="000000" w:themeColor="text1"/>
          <w:szCs w:val="21"/>
          <w:highlight w:val="none"/>
          <w14:textFill>
            <w14:solidFill>
              <w14:schemeClr w14:val="tx1"/>
            </w14:solidFill>
          </w14:textFill>
        </w:rPr>
      </w:pPr>
    </w:p>
    <w:p w14:paraId="7BA49BE9">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采购人（甲方）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pacing w:val="-20"/>
          <w:szCs w:val="21"/>
          <w:highlight w:val="none"/>
          <w14:textFill>
            <w14:solidFill>
              <w14:schemeClr w14:val="tx1"/>
            </w14:solidFill>
          </w14:textFill>
        </w:rPr>
        <w:t>采 购 计 划 号</w:t>
      </w:r>
      <w:r>
        <w:rPr>
          <w:rFonts w:hint="eastAsia" w:ascii="宋体" w:hAnsi="宋体"/>
          <w:color w:val="000000" w:themeColor="text1"/>
          <w:szCs w:val="21"/>
          <w:highlight w:val="none"/>
          <w:u w:val="single"/>
          <w14:textFill>
            <w14:solidFill>
              <w14:schemeClr w14:val="tx1"/>
            </w14:solidFill>
          </w14:textFill>
        </w:rPr>
        <w:t xml:space="preserve">             </w:t>
      </w:r>
    </w:p>
    <w:p w14:paraId="7B88BC7A">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 应 商（乙方）</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pacing w:val="-20"/>
          <w:szCs w:val="21"/>
          <w:highlight w:val="none"/>
          <w14:textFill>
            <w14:solidFill>
              <w14:schemeClr w14:val="tx1"/>
            </w14:solidFill>
          </w14:textFill>
        </w:rPr>
        <w:t>招  标  编  号</w:t>
      </w:r>
      <w:r>
        <w:rPr>
          <w:rFonts w:hint="eastAsia" w:ascii="宋体" w:hAnsi="宋体"/>
          <w:color w:val="000000" w:themeColor="text1"/>
          <w:szCs w:val="21"/>
          <w:highlight w:val="none"/>
          <w:u w:val="single"/>
          <w14:textFill>
            <w14:solidFill>
              <w14:schemeClr w14:val="tx1"/>
            </w14:solidFill>
          </w14:textFill>
        </w:rPr>
        <w:t xml:space="preserve">             </w:t>
      </w:r>
    </w:p>
    <w:p w14:paraId="0F60E2F2">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  订  地  点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签 订 时 间</w:t>
      </w:r>
      <w:r>
        <w:rPr>
          <w:rFonts w:hint="eastAsia" w:ascii="宋体" w:hAnsi="宋体"/>
          <w:color w:val="000000" w:themeColor="text1"/>
          <w:szCs w:val="21"/>
          <w:highlight w:val="none"/>
          <w:u w:val="single"/>
          <w14:textFill>
            <w14:solidFill>
              <w14:schemeClr w14:val="tx1"/>
            </w14:solidFill>
          </w14:textFill>
        </w:rPr>
        <w:t xml:space="preserve">             </w:t>
      </w:r>
    </w:p>
    <w:p w14:paraId="75F80E09">
      <w:pPr>
        <w:keepNext w:val="0"/>
        <w:keepLines w:val="0"/>
        <w:pageBreakBefore w:val="0"/>
        <w:widowControl w:val="0"/>
        <w:kinsoku/>
        <w:wordWrap/>
        <w:overflowPunct/>
        <w:topLinePunct w:val="0"/>
        <w:autoSpaceDE/>
        <w:autoSpaceDN/>
        <w:bidi w:val="0"/>
        <w:adjustRightInd/>
        <w:spacing w:line="36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本合同为中小企业预留合同：</w:t>
      </w:r>
      <w:r>
        <w:rPr>
          <w:rFonts w:hint="eastAsia" w:ascii="宋体" w:hAnsi="宋体" w:cs="宋体"/>
          <w:color w:val="000000" w:themeColor="text1"/>
          <w:szCs w:val="21"/>
          <w:highlight w:val="none"/>
          <w:u w:val="single"/>
          <w14:textFill>
            <w14:solidFill>
              <w14:schemeClr w14:val="tx1"/>
            </w14:solidFill>
          </w14:textFill>
        </w:rPr>
        <w:t xml:space="preserve"> （是/否）</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p>
    <w:p w14:paraId="2A3A77E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根据《中华人民共和国政府采购法》、《中华人民共和国民法典》等法律、法规规定，按照采购文件及投标文件规定条款和中标人承诺，甲乙双方签订本合同。</w:t>
      </w:r>
    </w:p>
    <w:p w14:paraId="327B2D70">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第一条　合同标的</w:t>
      </w:r>
    </w:p>
    <w:p w14:paraId="44190B2C">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1、服务项目</w:t>
      </w:r>
    </w:p>
    <w:p w14:paraId="60740207">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乙方接受甲方委托，承担</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项目实施工作，并为甲方提供技术服务，以满足甲方对本合同项目服务需求及要求。合同金额（大写）人民币</w:t>
      </w:r>
      <w:r>
        <w:rPr>
          <w:rFonts w:hint="eastAsia" w:ascii="宋体" w:hAnsi="宋体" w:eastAsia="宋体" w:cs="宋体"/>
          <w:color w:val="000000" w:themeColor="text1"/>
          <w:szCs w:val="21"/>
          <w:highlight w:val="none"/>
          <w:u w:val="single"/>
          <w14:textFill>
            <w14:solidFill>
              <w14:schemeClr w14:val="tx1"/>
            </w14:solidFill>
          </w14:textFill>
        </w:rPr>
        <w:t xml:space="preserve">            （¥       ）</w:t>
      </w:r>
      <w:r>
        <w:rPr>
          <w:rFonts w:hint="eastAsia" w:ascii="宋体" w:hAnsi="宋体" w:eastAsia="宋体" w:cs="宋体"/>
          <w:color w:val="000000" w:themeColor="text1"/>
          <w:szCs w:val="21"/>
          <w:highlight w:val="none"/>
          <w14:textFill>
            <w14:solidFill>
              <w14:schemeClr w14:val="tx1"/>
            </w14:solidFill>
          </w14:textFill>
        </w:rPr>
        <w:t>（详见开标一览表）。</w:t>
      </w:r>
    </w:p>
    <w:p w14:paraId="3FF38041">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2、合同合计金额包括服务成果价款[（详见报价表），以及为实现服务成果所包括的备件、专用工具、安装、调试、检验、技术培训及技术资料等全部费用]。如招标文件、投标文件对其另有规定的，从其规定。</w:t>
      </w:r>
    </w:p>
    <w:p w14:paraId="0493BBF0">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第二条　质量保证</w:t>
      </w:r>
    </w:p>
    <w:p w14:paraId="4C06CD6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1、乙方所提供的货物及服务内容、技术规格、技术参数等质量必须与招投标文件和承诺相一致。</w:t>
      </w:r>
    </w:p>
    <w:p w14:paraId="34663F1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2、乙方所提供的服务各项指标均达到质量要求。</w:t>
      </w:r>
    </w:p>
    <w:p w14:paraId="7A8F4417">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第三条　权利保证</w:t>
      </w:r>
    </w:p>
    <w:p w14:paraId="27A7F1F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bookmarkStart w:id="180" w:name="_Hlk70536215"/>
      <w:r>
        <w:rPr>
          <w:rFonts w:hint="eastAsia" w:ascii="宋体" w:hAnsi="宋体" w:eastAsia="宋体" w:cs="宋体"/>
          <w:color w:val="000000" w:themeColor="text1"/>
          <w:szCs w:val="21"/>
          <w:highlight w:val="none"/>
          <w14:textFill>
            <w14:solidFill>
              <w14:schemeClr w14:val="tx1"/>
            </w14:solidFill>
          </w14:textFill>
        </w:rPr>
        <w:t>1、乙方应保证所提供服务内容不会侵犯任何第三方的专利权、商标权、工业设计权或其他权利，且所交付的服务成果在最终验收合格并转移所有权至甲方前的所有权完全属于乙方，无任何抵押、质押、查封等产权瑕疵。如乙方所交付服务成果有产权瑕疵的或侵犯第三方权利的，视为乙方违约，按照本合同第十条第</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点约定处理。</w:t>
      </w:r>
    </w:p>
    <w:bookmarkEnd w:id="180"/>
    <w:p w14:paraId="47899DA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2、乙方应按招标文件规定的时间向甲方提供有关技术资料。</w:t>
      </w:r>
    </w:p>
    <w:p w14:paraId="30B76A24">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bookmarkStart w:id="181" w:name="_Hlk70536329"/>
      <w:r>
        <w:rPr>
          <w:rFonts w:hint="eastAsia" w:ascii="宋体" w:hAnsi="宋体" w:eastAsia="宋体" w:cs="宋体"/>
          <w:color w:val="000000" w:themeColor="text1"/>
          <w:szCs w:val="21"/>
          <w:highlight w:val="none"/>
          <w14:textFill>
            <w14:solidFill>
              <w14:schemeClr w14:val="tx1"/>
            </w14:solidFill>
          </w14:textFill>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乙方的保密义务持续有效，不因为本合同履行终止、解除或无效而解除。</w:t>
      </w:r>
      <w:bookmarkEnd w:id="181"/>
    </w:p>
    <w:p w14:paraId="7666607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甲方提供给乙方的相关资料的知识产权及其相关权利永久归属甲方所有，并且乙方制作出来的作品内容的知识产权及其相关权利也永久归属甲方所有；未经甲方书面同意，乙方不得随意使用或许可第三人使用制作内容。</w:t>
      </w:r>
    </w:p>
    <w:p w14:paraId="208ABB0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5、乙方须无条件配合甲方开展运维人员岗前审查、保密教育、保密检查等工作，若发生失泄密事件，甲方有权单方面终止合同，乙方不得参与后续广西壮族自治区公安厅信息化建设项目投标活动。</w:t>
      </w:r>
    </w:p>
    <w:p w14:paraId="45669342">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第四条　交付和验收</w:t>
      </w:r>
    </w:p>
    <w:p w14:paraId="1EB33C2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1、维护时间：</w:t>
      </w:r>
      <w:r>
        <w:rPr>
          <w:rFonts w:hint="eastAsia" w:ascii="宋体" w:hAnsi="宋体" w:eastAsia="宋体" w:cs="宋体"/>
          <w:color w:val="000000" w:themeColor="text1"/>
          <w:szCs w:val="21"/>
          <w:highlight w:val="none"/>
          <w:u w:val="none"/>
          <w14:textFill>
            <w14:solidFill>
              <w14:schemeClr w14:val="tx1"/>
            </w14:solidFill>
          </w14:textFill>
        </w:rPr>
        <w:t>本项目服务时限除以下特别注明外，服务期为两年，</w:t>
      </w:r>
      <w:r>
        <w:rPr>
          <w:rFonts w:hint="eastAsia" w:ascii="宋体" w:hAnsi="宋体" w:eastAsia="宋体" w:cs="宋体"/>
          <w:color w:val="000000" w:themeColor="text1"/>
          <w:szCs w:val="21"/>
          <w:highlight w:val="none"/>
          <w:u w:val="none"/>
          <w:lang w:eastAsia="zh-CN"/>
          <w14:textFill>
            <w14:solidFill>
              <w14:schemeClr w14:val="tx1"/>
            </w14:solidFill>
          </w14:textFill>
        </w:rPr>
        <w:t>自</w:t>
      </w:r>
      <w:r>
        <w:rPr>
          <w:rFonts w:hint="eastAsia" w:ascii="宋体" w:hAnsi="宋体" w:eastAsia="宋体" w:cs="宋体"/>
          <w:color w:val="000000" w:themeColor="text1"/>
          <w:szCs w:val="21"/>
          <w:highlight w:val="none"/>
          <w14:textFill>
            <w14:solidFill>
              <w14:schemeClr w14:val="tx1"/>
            </w14:solidFill>
          </w14:textFill>
        </w:rPr>
        <w:t>乙方提交项目入场材料，经甲方审核通过后起算。若入场审核通过时间早于</w:t>
      </w:r>
      <w:r>
        <w:rPr>
          <w:rFonts w:hint="eastAsia" w:ascii="宋体" w:hAnsi="宋体" w:eastAsia="宋体" w:cs="宋体"/>
          <w:color w:val="000000" w:themeColor="text1"/>
          <w:szCs w:val="21"/>
          <w:highlight w:val="none"/>
          <w:u w:val="none"/>
          <w14:textFill>
            <w14:solidFill>
              <w14:schemeClr w14:val="tx1"/>
            </w14:solidFill>
          </w14:textFill>
        </w:rPr>
        <w:t>2026年2月8日</w:t>
      </w:r>
      <w:r>
        <w:rPr>
          <w:rFonts w:hint="eastAsia" w:ascii="宋体" w:hAnsi="宋体" w:eastAsia="宋体" w:cs="宋体"/>
          <w:color w:val="000000" w:themeColor="text1"/>
          <w:szCs w:val="21"/>
          <w:highlight w:val="none"/>
          <w:u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则自</w:t>
      </w:r>
      <w:r>
        <w:rPr>
          <w:rFonts w:hint="eastAsia" w:ascii="宋体" w:hAnsi="宋体" w:eastAsia="宋体" w:cs="宋体"/>
          <w:color w:val="000000" w:themeColor="text1"/>
          <w:szCs w:val="21"/>
          <w:highlight w:val="none"/>
          <w:u w:val="none"/>
          <w14:textFill>
            <w14:solidFill>
              <w14:schemeClr w14:val="tx1"/>
            </w14:solidFill>
          </w14:textFill>
        </w:rPr>
        <w:t>2026年2月8日</w:t>
      </w:r>
      <w:r>
        <w:rPr>
          <w:rFonts w:hint="eastAsia" w:ascii="宋体" w:hAnsi="宋体" w:eastAsia="宋体" w:cs="宋体"/>
          <w:color w:val="000000" w:themeColor="text1"/>
          <w:szCs w:val="21"/>
          <w:highlight w:val="none"/>
          <w14:textFill>
            <w14:solidFill>
              <w14:schemeClr w14:val="tx1"/>
            </w14:solidFill>
          </w14:textFill>
        </w:rPr>
        <w:t>起算</w:t>
      </w:r>
      <w:r>
        <w:rPr>
          <w:rFonts w:hint="eastAsia" w:ascii="宋体" w:hAnsi="宋体" w:eastAsia="宋体" w:cs="宋体"/>
          <w:color w:val="000000" w:themeColor="text1"/>
          <w:szCs w:val="21"/>
          <w:highlight w:val="none"/>
          <w:lang w:eastAsia="zh-CN"/>
          <w14:textFill>
            <w14:solidFill>
              <w14:schemeClr w14:val="tx1"/>
            </w14:solidFill>
          </w14:textFill>
        </w:rPr>
        <w:t>，即</w:t>
      </w:r>
      <w:r>
        <w:rPr>
          <w:rFonts w:hint="eastAsia" w:ascii="宋体" w:hAnsi="宋体" w:eastAsia="宋体" w:cs="宋体"/>
          <w:color w:val="000000" w:themeColor="text1"/>
          <w:szCs w:val="21"/>
          <w:highlight w:val="none"/>
          <w:lang w:val="en-US" w:eastAsia="zh-CN"/>
          <w14:textFill>
            <w14:solidFill>
              <w14:schemeClr w14:val="tx1"/>
            </w14:solidFill>
          </w14:textFill>
        </w:rPr>
        <w:t>2026年2月8日至2028年2月7日</w:t>
      </w:r>
      <w:r>
        <w:rPr>
          <w:rFonts w:hint="eastAsia" w:ascii="宋体" w:hAnsi="宋体" w:eastAsia="宋体" w:cs="宋体"/>
          <w:color w:val="000000" w:themeColor="text1"/>
          <w:szCs w:val="21"/>
          <w:highlight w:val="none"/>
          <w14:textFill>
            <w14:solidFill>
              <w14:schemeClr w14:val="tx1"/>
            </w14:solidFill>
          </w14:textFill>
        </w:rPr>
        <w:t>。</w:t>
      </w:r>
    </w:p>
    <w:p w14:paraId="2B4FDC1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u w:val="none"/>
          <w:lang w:eastAsia="zh-CN"/>
          <w14:textFill>
            <w14:solidFill>
              <w14:schemeClr w14:val="tx1"/>
            </w14:solidFill>
          </w14:textFill>
        </w:rPr>
      </w:pPr>
      <w:r>
        <w:rPr>
          <w:rFonts w:hint="eastAsia" w:ascii="宋体" w:hAnsi="宋体" w:eastAsia="宋体" w:cs="宋体"/>
          <w:color w:val="000000" w:themeColor="text1"/>
          <w:szCs w:val="21"/>
          <w:highlight w:val="none"/>
          <w:u w:val="none"/>
          <w14:textFill>
            <w14:solidFill>
              <w14:schemeClr w14:val="tx1"/>
            </w14:solidFill>
          </w14:textFill>
        </w:rPr>
        <w:t>特别注明如下</w:t>
      </w:r>
      <w:r>
        <w:rPr>
          <w:rFonts w:hint="eastAsia" w:ascii="宋体" w:hAnsi="宋体" w:eastAsia="宋体" w:cs="宋体"/>
          <w:color w:val="000000" w:themeColor="text1"/>
          <w:szCs w:val="21"/>
          <w:highlight w:val="none"/>
          <w:u w:val="none"/>
          <w:lang w:eastAsia="zh-CN"/>
          <w14:textFill>
            <w14:solidFill>
              <w14:schemeClr w14:val="tx1"/>
            </w14:solidFill>
          </w14:textFill>
        </w:rPr>
        <w:t>（若</w:t>
      </w:r>
      <w:r>
        <w:rPr>
          <w:rFonts w:hint="eastAsia" w:ascii="宋体" w:hAnsi="宋体" w:eastAsia="宋体" w:cs="宋体"/>
          <w:color w:val="000000" w:themeColor="text1"/>
          <w:szCs w:val="21"/>
          <w:highlight w:val="none"/>
          <w14:textFill>
            <w14:solidFill>
              <w14:schemeClr w14:val="tx1"/>
            </w14:solidFill>
          </w14:textFill>
        </w:rPr>
        <w:t>入场审核通过时间</w:t>
      </w:r>
      <w:r>
        <w:rPr>
          <w:rFonts w:hint="eastAsia" w:ascii="宋体" w:hAnsi="宋体" w:eastAsia="宋体" w:cs="宋体"/>
          <w:color w:val="000000" w:themeColor="text1"/>
          <w:szCs w:val="21"/>
          <w:highlight w:val="none"/>
          <w:lang w:eastAsia="zh-CN"/>
          <w14:textFill>
            <w14:solidFill>
              <w14:schemeClr w14:val="tx1"/>
            </w14:solidFill>
          </w14:textFill>
        </w:rPr>
        <w:t>晚于以下服务起算时间，则对应的服务期自动顺延</w:t>
      </w:r>
      <w:r>
        <w:rPr>
          <w:rFonts w:hint="eastAsia" w:ascii="宋体" w:hAnsi="宋体" w:eastAsia="宋体" w:cs="宋体"/>
          <w:color w:val="000000" w:themeColor="text1"/>
          <w:szCs w:val="21"/>
          <w:highlight w:val="none"/>
          <w:u w:val="none"/>
          <w:lang w:eastAsia="zh-CN"/>
          <w14:textFill>
            <w14:solidFill>
              <w14:schemeClr w14:val="tx1"/>
            </w14:solidFill>
          </w14:textFill>
        </w:rPr>
        <w:t>）</w:t>
      </w:r>
      <w:r>
        <w:rPr>
          <w:rFonts w:hint="eastAsia" w:ascii="宋体" w:hAnsi="宋体" w:eastAsia="宋体" w:cs="宋体"/>
          <w:color w:val="000000" w:themeColor="text1"/>
          <w:szCs w:val="21"/>
          <w:highlight w:val="none"/>
          <w:u w:val="none"/>
          <w14:textFill>
            <w14:solidFill>
              <w14:schemeClr w14:val="tx1"/>
            </w14:solidFill>
          </w14:textFill>
        </w:rPr>
        <w:t>：</w:t>
      </w:r>
    </w:p>
    <w:p w14:paraId="6B06314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H-11系统</w:t>
      </w:r>
      <w:r>
        <w:rPr>
          <w:rFonts w:hint="eastAsia" w:ascii="宋体" w:hAnsi="宋体" w:eastAsia="宋体" w:cs="宋体"/>
          <w:color w:val="000000" w:themeColor="text1"/>
          <w:szCs w:val="21"/>
          <w:highlight w:val="none"/>
          <w:u w:val="single"/>
          <w:lang w:eastAsia="zh-CN"/>
          <w14:textFill>
            <w14:solidFill>
              <w14:schemeClr w14:val="tx1"/>
            </w14:solidFill>
          </w14:textFill>
        </w:rPr>
        <w:t>，服务期为23个月，即自2026年3月4日起至2028年2月7日。</w:t>
      </w:r>
    </w:p>
    <w:p w14:paraId="3DE3435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P-2</w:t>
      </w:r>
      <w:r>
        <w:rPr>
          <w:rFonts w:hint="eastAsia" w:ascii="宋体" w:hAnsi="宋体" w:eastAsia="宋体" w:cs="宋体"/>
          <w:color w:val="000000" w:themeColor="text1"/>
          <w:szCs w:val="21"/>
          <w:highlight w:val="none"/>
          <w:u w:val="single"/>
          <w:lang w:eastAsia="zh-CN"/>
          <w14:textFill>
            <w14:solidFill>
              <w14:schemeClr w14:val="tx1"/>
            </w14:solidFill>
          </w14:textFill>
        </w:rPr>
        <w:t>系统，服务期为2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Cs w:val="21"/>
          <w:highlight w:val="none"/>
          <w:u w:val="single"/>
          <w:lang w:eastAsia="zh-CN"/>
          <w14:textFill>
            <w14:solidFill>
              <w14:schemeClr w14:val="tx1"/>
            </w14:solidFill>
          </w14:textFill>
        </w:rPr>
        <w:t>个月，即自2026年6月4日起至2028年2月7日。</w:t>
      </w:r>
    </w:p>
    <w:p w14:paraId="7603479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K-15</w:t>
      </w:r>
      <w:r>
        <w:rPr>
          <w:rFonts w:hint="eastAsia" w:ascii="宋体" w:hAnsi="宋体" w:eastAsia="宋体" w:cs="宋体"/>
          <w:color w:val="000000" w:themeColor="text1"/>
          <w:szCs w:val="21"/>
          <w:highlight w:val="none"/>
          <w:u w:val="single"/>
          <w:lang w:eastAsia="zh-CN"/>
          <w14:textFill>
            <w14:solidFill>
              <w14:schemeClr w14:val="tx1"/>
            </w14:solidFill>
          </w14:textFill>
        </w:rPr>
        <w:t>平台，服务期为22个月，即自2026年4月4日起至2028年2月7日。</w:t>
      </w:r>
    </w:p>
    <w:p w14:paraId="5281CD5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O-4</w:t>
      </w:r>
      <w:r>
        <w:rPr>
          <w:rFonts w:hint="eastAsia" w:ascii="宋体" w:hAnsi="宋体" w:eastAsia="宋体" w:cs="宋体"/>
          <w:color w:val="000000" w:themeColor="text1"/>
          <w:szCs w:val="21"/>
          <w:highlight w:val="none"/>
          <w:u w:val="single"/>
          <w:lang w:eastAsia="zh-CN"/>
          <w14:textFill>
            <w14:solidFill>
              <w14:schemeClr w14:val="tx1"/>
            </w14:solidFill>
          </w14:textFill>
        </w:rPr>
        <w:t>平台、</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O-5</w:t>
      </w:r>
      <w:r>
        <w:rPr>
          <w:rFonts w:hint="eastAsia" w:ascii="宋体" w:hAnsi="宋体" w:eastAsia="宋体" w:cs="宋体"/>
          <w:color w:val="000000" w:themeColor="text1"/>
          <w:szCs w:val="21"/>
          <w:highlight w:val="none"/>
          <w:u w:val="single"/>
          <w:lang w:eastAsia="zh-CN"/>
          <w14:textFill>
            <w14:solidFill>
              <w14:schemeClr w14:val="tx1"/>
            </w14:solidFill>
          </w14:textFill>
        </w:rPr>
        <w:t>平台、</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O-6</w:t>
      </w:r>
      <w:r>
        <w:rPr>
          <w:rFonts w:hint="eastAsia" w:ascii="宋体" w:hAnsi="宋体" w:eastAsia="宋体" w:cs="宋体"/>
          <w:color w:val="000000" w:themeColor="text1"/>
          <w:szCs w:val="21"/>
          <w:highlight w:val="none"/>
          <w:u w:val="single"/>
          <w:lang w:eastAsia="zh-CN"/>
          <w14:textFill>
            <w14:solidFill>
              <w14:schemeClr w14:val="tx1"/>
            </w14:solidFill>
          </w14:textFill>
        </w:rPr>
        <w:t>平台、</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O-7</w:t>
      </w:r>
      <w:r>
        <w:rPr>
          <w:rFonts w:hint="eastAsia" w:ascii="宋体" w:hAnsi="宋体" w:eastAsia="宋体" w:cs="宋体"/>
          <w:color w:val="000000" w:themeColor="text1"/>
          <w:szCs w:val="21"/>
          <w:highlight w:val="none"/>
          <w:u w:val="single"/>
          <w:lang w:eastAsia="zh-CN"/>
          <w14:textFill>
            <w14:solidFill>
              <w14:schemeClr w14:val="tx1"/>
            </w14:solidFill>
          </w14:textFill>
        </w:rPr>
        <w:t>平台、</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O-8</w:t>
      </w:r>
      <w:r>
        <w:rPr>
          <w:rFonts w:hint="eastAsia" w:ascii="宋体" w:hAnsi="宋体" w:eastAsia="宋体" w:cs="宋体"/>
          <w:color w:val="000000" w:themeColor="text1"/>
          <w:szCs w:val="21"/>
          <w:highlight w:val="none"/>
          <w:u w:val="single"/>
          <w:lang w:eastAsia="zh-CN"/>
          <w14:textFill>
            <w14:solidFill>
              <w14:schemeClr w14:val="tx1"/>
            </w14:solidFill>
          </w14:textFill>
        </w:rPr>
        <w:t>系统和</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O-9</w:t>
      </w:r>
      <w:r>
        <w:rPr>
          <w:rFonts w:hint="eastAsia" w:ascii="宋体" w:hAnsi="宋体" w:eastAsia="宋体" w:cs="宋体"/>
          <w:color w:val="000000" w:themeColor="text1"/>
          <w:szCs w:val="21"/>
          <w:highlight w:val="none"/>
          <w:u w:val="single"/>
          <w:lang w:eastAsia="zh-CN"/>
          <w14:textFill>
            <w14:solidFill>
              <w14:schemeClr w14:val="tx1"/>
            </w14:solidFill>
          </w14:textFill>
        </w:rPr>
        <w:t>系统等6项，服务期为19个月，即自2026年7月10日起至2028年2月7日。</w:t>
      </w:r>
    </w:p>
    <w:p w14:paraId="72C0E29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u w:val="single"/>
          <w:lang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H-9</w:t>
      </w:r>
      <w:r>
        <w:rPr>
          <w:rFonts w:hint="eastAsia" w:ascii="宋体" w:hAnsi="宋体" w:eastAsia="宋体" w:cs="宋体"/>
          <w:color w:val="000000" w:themeColor="text1"/>
          <w:szCs w:val="21"/>
          <w:highlight w:val="none"/>
          <w:u w:val="single"/>
          <w:lang w:eastAsia="zh-CN"/>
          <w14:textFill>
            <w14:solidFill>
              <w14:schemeClr w14:val="tx1"/>
            </w14:solidFill>
          </w14:textFill>
        </w:rPr>
        <w:t>系统，服务期为19个月，即自2026年7月3日起至2028年2月7日。</w:t>
      </w:r>
    </w:p>
    <w:p w14:paraId="04BD27A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G-10服务</w:t>
      </w:r>
      <w:r>
        <w:rPr>
          <w:rFonts w:hint="eastAsia" w:ascii="宋体" w:hAnsi="宋体" w:eastAsia="宋体" w:cs="宋体"/>
          <w:color w:val="000000" w:themeColor="text1"/>
          <w:szCs w:val="21"/>
          <w:highlight w:val="none"/>
          <w:u w:val="single"/>
          <w:lang w:eastAsia="zh-CN"/>
          <w14:textFill>
            <w14:solidFill>
              <w14:schemeClr w14:val="tx1"/>
            </w14:solidFill>
          </w14:textFill>
        </w:rPr>
        <w:t>、</w:t>
      </w:r>
      <w:r>
        <w:rPr>
          <w:rFonts w:hint="eastAsia" w:ascii="宋体" w:hAnsi="宋体" w:eastAsia="宋体" w:cs="宋体"/>
          <w:color w:val="000000" w:themeColor="text1"/>
          <w:szCs w:val="21"/>
          <w:highlight w:val="none"/>
          <w:u w:val="single"/>
          <w:lang w:val="en-US" w:eastAsia="zh-CN"/>
          <w14:textFill>
            <w14:solidFill>
              <w14:schemeClr w14:val="tx1"/>
            </w14:solidFill>
          </w14:textFill>
        </w:rPr>
        <w:t>G-11</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G-12</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G-13</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G-14</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G-15</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G-16</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color w:val="000000" w:themeColor="text1"/>
          <w:szCs w:val="21"/>
          <w:highlight w:val="none"/>
          <w:u w:val="single"/>
          <w:lang w:val="en-US" w:eastAsia="zh-CN"/>
          <w14:textFill>
            <w14:solidFill>
              <w14:schemeClr w14:val="tx1"/>
            </w14:solidFill>
          </w14:textFill>
        </w:rPr>
        <w:t>H-12</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J-2</w:t>
      </w:r>
      <w:r>
        <w:rPr>
          <w:rFonts w:hint="eastAsia" w:ascii="宋体" w:hAnsi="宋体" w:eastAsia="宋体" w:cs="宋体"/>
          <w:color w:val="000000" w:themeColor="text1"/>
          <w:szCs w:val="21"/>
          <w:highlight w:val="none"/>
          <w:u w:val="single"/>
          <w:lang w:eastAsia="zh-CN"/>
          <w14:textFill>
            <w14:solidFill>
              <w14:schemeClr w14:val="tx1"/>
            </w14:solidFill>
          </w14:textFill>
        </w:rPr>
        <w:t>平台、</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K-10</w:t>
      </w:r>
      <w:r>
        <w:rPr>
          <w:rFonts w:hint="eastAsia" w:ascii="宋体" w:hAnsi="宋体" w:eastAsia="宋体" w:cs="宋体"/>
          <w:color w:val="000000" w:themeColor="text1"/>
          <w:szCs w:val="21"/>
          <w:highlight w:val="none"/>
          <w:u w:val="single"/>
          <w:lang w:eastAsia="zh-CN"/>
          <w14:textFill>
            <w14:solidFill>
              <w14:schemeClr w14:val="tx1"/>
            </w14:solidFill>
          </w14:textFill>
        </w:rPr>
        <w:t>平台、</w:t>
      </w:r>
      <w:r>
        <w:rPr>
          <w:rFonts w:hint="eastAsia" w:ascii="宋体" w:hAnsi="宋体" w:eastAsia="宋体" w:cs="宋体"/>
          <w:color w:val="000000" w:themeColor="text1"/>
          <w:szCs w:val="21"/>
          <w:highlight w:val="none"/>
          <w:u w:val="single"/>
          <w:lang w:val="en-US" w:eastAsia="zh-CN"/>
          <w14:textFill>
            <w14:solidFill>
              <w14:schemeClr w14:val="tx1"/>
            </w14:solidFill>
          </w14:textFill>
        </w:rPr>
        <w:t>Q-1</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color w:val="000000" w:themeColor="text1"/>
          <w:szCs w:val="21"/>
          <w:highlight w:val="none"/>
          <w:u w:val="single"/>
          <w:lang w:val="en-US" w:eastAsia="zh-CN"/>
          <w14:textFill>
            <w14:solidFill>
              <w14:schemeClr w14:val="tx1"/>
            </w14:solidFill>
          </w14:textFill>
        </w:rPr>
        <w:t>Q-2</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color w:val="000000" w:themeColor="text1"/>
          <w:szCs w:val="21"/>
          <w:highlight w:val="none"/>
          <w:u w:val="single"/>
          <w:lang w:val="en-US" w:eastAsia="zh-CN"/>
          <w14:textFill>
            <w14:solidFill>
              <w14:schemeClr w14:val="tx1"/>
            </w14:solidFill>
          </w14:textFill>
        </w:rPr>
        <w:t>D-2</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O-11</w:t>
      </w:r>
      <w:r>
        <w:rPr>
          <w:rFonts w:hint="eastAsia" w:ascii="宋体" w:hAnsi="宋体" w:eastAsia="宋体" w:cs="宋体"/>
          <w:color w:val="000000" w:themeColor="text1"/>
          <w:szCs w:val="21"/>
          <w:highlight w:val="none"/>
          <w:u w:val="single"/>
          <w:lang w:eastAsia="zh-CN"/>
          <w14:textFill>
            <w14:solidFill>
              <w14:schemeClr w14:val="tx1"/>
            </w14:solidFill>
          </w14:textFill>
        </w:rPr>
        <w:t>平台、</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O-12</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O-13</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O-14</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O-15</w:t>
      </w:r>
      <w:r>
        <w:rPr>
          <w:rFonts w:hint="eastAsia" w:ascii="宋体" w:hAnsi="宋体" w:eastAsia="宋体" w:cs="宋体"/>
          <w:color w:val="000000" w:themeColor="text1"/>
          <w:szCs w:val="21"/>
          <w:highlight w:val="none"/>
          <w:u w:val="single"/>
          <w:lang w:eastAsia="zh-CN"/>
          <w14:textFill>
            <w14:solidFill>
              <w14:schemeClr w14:val="tx1"/>
            </w14:solidFill>
          </w14:textFill>
        </w:rPr>
        <w:t>系统、</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O-16</w:t>
      </w:r>
      <w:r>
        <w:rPr>
          <w:rFonts w:hint="eastAsia" w:ascii="宋体" w:hAnsi="宋体" w:eastAsia="宋体" w:cs="宋体"/>
          <w:color w:val="000000" w:themeColor="text1"/>
          <w:szCs w:val="21"/>
          <w:highlight w:val="none"/>
          <w:u w:val="single"/>
          <w:lang w:eastAsia="zh-CN"/>
          <w14:textFill>
            <w14:solidFill>
              <w14:schemeClr w14:val="tx1"/>
            </w14:solidFill>
          </w14:textFill>
        </w:rPr>
        <w:t>平台、</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O-17</w:t>
      </w:r>
      <w:r>
        <w:rPr>
          <w:rFonts w:hint="eastAsia" w:ascii="宋体" w:hAnsi="宋体" w:eastAsia="宋体" w:cs="宋体"/>
          <w:color w:val="000000" w:themeColor="text1"/>
          <w:szCs w:val="21"/>
          <w:highlight w:val="none"/>
          <w:u w:val="single"/>
          <w:lang w:eastAsia="zh-CN"/>
          <w14:textFill>
            <w14:solidFill>
              <w14:schemeClr w14:val="tx1"/>
            </w14:solidFill>
          </w14:textFill>
        </w:rPr>
        <w:t>平台和</w:t>
      </w:r>
      <w:r>
        <w:rPr>
          <w:rFonts w:hint="eastAsia" w:ascii="宋体" w:hAnsi="宋体" w:eastAsia="宋体" w:cs="宋体"/>
          <w:color w:val="000000" w:themeColor="text1"/>
          <w:szCs w:val="21"/>
          <w:highlight w:val="none"/>
          <w:u w:val="single"/>
          <w:lang w:val="en-US" w:eastAsia="zh-CN"/>
          <w14:textFill>
            <w14:solidFill>
              <w14:schemeClr w14:val="tx1"/>
            </w14:solidFill>
          </w14:textFill>
        </w:rPr>
        <w:t>O-10服务</w:t>
      </w:r>
      <w:r>
        <w:rPr>
          <w:rFonts w:hint="eastAsia" w:ascii="宋体" w:hAnsi="宋体" w:eastAsia="宋体" w:cs="宋体"/>
          <w:color w:val="000000" w:themeColor="text1"/>
          <w:szCs w:val="21"/>
          <w:highlight w:val="none"/>
          <w:u w:val="single"/>
          <w:lang w:eastAsia="zh-CN"/>
          <w14:textFill>
            <w14:solidFill>
              <w14:schemeClr w14:val="tx1"/>
            </w14:solidFill>
          </w14:textFill>
        </w:rPr>
        <w:t>等21项，服务期为17个月，即自202</w:t>
      </w:r>
      <w:r>
        <w:rPr>
          <w:rFonts w:hint="eastAsia" w:ascii="宋体" w:hAnsi="宋体" w:eastAsia="宋体" w:cs="宋体"/>
          <w:color w:val="000000" w:themeColor="text1"/>
          <w:szCs w:val="21"/>
          <w:highlight w:val="none"/>
          <w:u w:val="single"/>
          <w:lang w:val="en-US" w:eastAsia="zh-CN"/>
          <w14:textFill>
            <w14:solidFill>
              <w14:schemeClr w14:val="tx1"/>
            </w14:solidFill>
          </w14:textFill>
        </w:rPr>
        <w:t>6</w:t>
      </w:r>
      <w:r>
        <w:rPr>
          <w:rFonts w:hint="eastAsia" w:ascii="宋体" w:hAnsi="宋体" w:eastAsia="宋体" w:cs="宋体"/>
          <w:color w:val="000000" w:themeColor="text1"/>
          <w:szCs w:val="21"/>
          <w:highlight w:val="none"/>
          <w:u w:val="single"/>
          <w:lang w:eastAsia="zh-CN"/>
          <w14:textFill>
            <w14:solidFill>
              <w14:schemeClr w14:val="tx1"/>
            </w14:solidFill>
          </w14:textFill>
        </w:rPr>
        <w:t>年9月4日起至2028年2月7日。</w:t>
      </w:r>
    </w:p>
    <w:p w14:paraId="0140337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维护地点：</w:t>
      </w:r>
      <w:r>
        <w:rPr>
          <w:rFonts w:hint="eastAsia" w:ascii="宋体" w:hAnsi="宋体" w:eastAsia="宋体" w:cs="宋体"/>
          <w:color w:val="000000" w:themeColor="text1"/>
          <w:szCs w:val="21"/>
          <w:highlight w:val="none"/>
          <w:u w:val="single"/>
          <w14:textFill>
            <w14:solidFill>
              <w14:schemeClr w14:val="tx1"/>
            </w14:solidFill>
          </w14:textFill>
        </w:rPr>
        <w:t>广西区内采购人指定地点</w:t>
      </w:r>
      <w:r>
        <w:rPr>
          <w:rFonts w:hint="eastAsia" w:ascii="宋体" w:hAnsi="宋体" w:eastAsia="宋体" w:cs="宋体"/>
          <w:color w:val="000000" w:themeColor="text1"/>
          <w:szCs w:val="21"/>
          <w:highlight w:val="none"/>
          <w14:textFill>
            <w14:solidFill>
              <w14:schemeClr w14:val="tx1"/>
            </w14:solidFill>
          </w14:textFill>
        </w:rPr>
        <w:t>。</w:t>
      </w:r>
    </w:p>
    <w:p w14:paraId="52DFD2E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2、乙方应按招标文件、投标文件的规定向甲方提供相应的服务，并按投标承诺向甲方提供所服务内容的相关技术资料。</w:t>
      </w:r>
    </w:p>
    <w:p w14:paraId="2635D0B9">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3、乙方应对提交的服务成果作出全面检查和整理，并列出清单，作为甲方验收和使用的技术条件依据，清单应随提交的服务成果交给甲方。</w:t>
      </w:r>
    </w:p>
    <w:p w14:paraId="095ED1B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4、乙方提供不符合招标文件、投标文件和本合同规定的服务成果，甲方有权拒绝接受。</w:t>
      </w:r>
    </w:p>
    <w:p w14:paraId="10238FA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5、乙方完成服务后应及时书面通知甲方进行验收，验收合格后由甲乙双方签署验收单并加盖采购单位公章，甲乙双方各执一份。</w:t>
      </w:r>
    </w:p>
    <w:p w14:paraId="4314BAA7">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6、甲乙双方应按照《</w:t>
      </w:r>
      <w:r>
        <w:rPr>
          <w:rFonts w:hint="eastAsia" w:ascii="宋体" w:hAnsi="宋体" w:eastAsia="宋体" w:cs="宋体"/>
          <w:color w:val="000000" w:themeColor="text1"/>
          <w:spacing w:val="-6"/>
          <w:highlight w:val="none"/>
          <w14:textFill>
            <w14:solidFill>
              <w14:schemeClr w14:val="tx1"/>
            </w14:solidFill>
          </w14:textFill>
        </w:rPr>
        <w:t>广西壮族自治区政府采购项目</w:t>
      </w:r>
      <w:r>
        <w:rPr>
          <w:rFonts w:hint="eastAsia" w:ascii="宋体" w:hAnsi="宋体" w:eastAsia="宋体" w:cs="宋体"/>
          <w:color w:val="000000" w:themeColor="text1"/>
          <w:szCs w:val="21"/>
          <w:highlight w:val="none"/>
          <w14:textFill>
            <w14:solidFill>
              <w14:schemeClr w14:val="tx1"/>
            </w14:solidFill>
          </w14:textFill>
        </w:rPr>
        <w:t>履约验收管理办法》</w:t>
      </w:r>
      <w:r>
        <w:rPr>
          <w:rFonts w:hint="eastAsia" w:ascii="宋体" w:hAnsi="宋体" w:eastAsia="宋体" w:cs="宋体"/>
          <w:color w:val="000000" w:themeColor="text1"/>
          <w:highlight w:val="none"/>
          <w14:textFill>
            <w14:solidFill>
              <w14:schemeClr w14:val="tx1"/>
            </w14:solidFill>
          </w14:textFill>
        </w:rPr>
        <w:t>《广西壮族自治区公安厅厅机关政府采购项目履约验收管理办法》</w:t>
      </w:r>
      <w:r>
        <w:rPr>
          <w:rFonts w:hint="eastAsia" w:ascii="宋体" w:hAnsi="宋体" w:eastAsia="宋体" w:cs="宋体"/>
          <w:color w:val="000000" w:themeColor="text1"/>
          <w:szCs w:val="21"/>
          <w:highlight w:val="none"/>
          <w14:textFill>
            <w14:solidFill>
              <w14:schemeClr w14:val="tx1"/>
            </w14:solidFill>
          </w14:textFill>
        </w:rPr>
        <w:t>、双方合同、投标文件验收。</w:t>
      </w:r>
    </w:p>
    <w:p w14:paraId="24B06F6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7、甲方在初步验收或最终验收过程中如发现乙方提供的服务成果不满足招标文件、投标文件、本合同规定的，可暂缓向乙方付款，</w:t>
      </w:r>
      <w:r>
        <w:rPr>
          <w:rFonts w:hint="eastAsia" w:ascii="宋体" w:hAnsi="宋体" w:eastAsia="宋体" w:cs="宋体"/>
          <w:bCs/>
          <w:color w:val="000000" w:themeColor="text1"/>
          <w:szCs w:val="21"/>
          <w:highlight w:val="none"/>
          <w14:textFill>
            <w14:solidFill>
              <w14:schemeClr w14:val="tx1"/>
            </w14:solidFill>
          </w14:textFill>
        </w:rPr>
        <w:t>乙方应在甲方规定的时间内及时予以解决，不得拒绝和延误；</w:t>
      </w:r>
      <w:r>
        <w:rPr>
          <w:rFonts w:hint="eastAsia" w:ascii="宋体" w:hAnsi="宋体" w:eastAsia="宋体" w:cs="宋体"/>
          <w:color w:val="000000" w:themeColor="text1"/>
          <w:szCs w:val="21"/>
          <w:highlight w:val="none"/>
          <w14:textFill>
            <w14:solidFill>
              <w14:schemeClr w14:val="tx1"/>
            </w14:solidFill>
          </w14:textFill>
        </w:rPr>
        <w:t>直到乙方应及时完善并提交相应的服务成果并经甲方验收合格后，方可办理付款。</w:t>
      </w:r>
    </w:p>
    <w:p w14:paraId="1CDAE59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8、甲方验收时提出异议的，乙方应自收到甲方书面异议后五个工作日内及时予以解决，否则视为验收不合格。</w:t>
      </w:r>
    </w:p>
    <w:p w14:paraId="17A6E0C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9、一切验收费用均由乙方负责。</w:t>
      </w:r>
    </w:p>
    <w:p w14:paraId="60A2D56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在签署最终验收文件后12周内，乙方仍负有完善履约手续、保障项目达到招标文件规定的技术及服务要求的义务。若由于乙方的原因，该项目有一条及以上达不到本项目招标文件规定的技术及服务要求时，乙方应在4周内采取有效措施，使该项目完全达到规定的技术及服务要求，在此期间的一切费用由乙方承担，如在此期间内仍达不到规定的技术性及服务要求时，甲方有权要求乙方返还合同金额的5%。如该金额不足以弥补甲方损失的，乙方须承担赔偿责任。</w:t>
      </w:r>
    </w:p>
    <w:p w14:paraId="4E156C29">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第五条　安装和培训</w:t>
      </w:r>
    </w:p>
    <w:p w14:paraId="5E0CEE8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1、甲方应提供必要安装条件（如场地、电源、水源等）。</w:t>
      </w:r>
    </w:p>
    <w:p w14:paraId="61562D6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2、乙方负责甲方有关人员的培训。培训时间、地点：根据甲方指定。</w:t>
      </w:r>
    </w:p>
    <w:p w14:paraId="22F06CBC">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第六条  售后服务期</w:t>
      </w:r>
    </w:p>
    <w:p w14:paraId="2E6A021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1、乙方应按照国家有关法律法规以及招投标文件提供的服务承诺，为甲方提供售后服务。</w:t>
      </w:r>
    </w:p>
    <w:p w14:paraId="587CAF9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2、乙方提供的服务承诺和售后服务及保修期责任等其它具体约定事项。（见合同附件）</w:t>
      </w:r>
    </w:p>
    <w:p w14:paraId="1A11F83B">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第七条　付款方式</w:t>
      </w:r>
    </w:p>
    <w:p w14:paraId="2AD256B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资金性质：财政资金。</w:t>
      </w:r>
    </w:p>
    <w:p w14:paraId="6BC2DCFA">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u w:val="single"/>
          <w14:textFill>
            <w14:solidFill>
              <w14:schemeClr w14:val="tx1"/>
            </w14:solidFill>
          </w14:textFill>
        </w:rPr>
      </w:pPr>
      <w:bookmarkStart w:id="182" w:name="_Hlk70536664"/>
      <w:r>
        <w:rPr>
          <w:rFonts w:hint="eastAsia" w:ascii="宋体" w:hAnsi="宋体" w:eastAsia="宋体" w:cs="宋体"/>
          <w:color w:val="000000" w:themeColor="text1"/>
          <w:szCs w:val="21"/>
          <w:highlight w:val="none"/>
          <w14:textFill>
            <w14:solidFill>
              <w14:schemeClr w14:val="tx1"/>
            </w14:solidFill>
          </w14:textFill>
        </w:rPr>
        <w:t>2、付款方式：</w:t>
      </w:r>
      <w:bookmarkEnd w:id="182"/>
      <w:r>
        <w:rPr>
          <w:rFonts w:hint="eastAsia" w:ascii="宋体" w:hAnsi="宋体" w:eastAsia="宋体" w:cs="宋体"/>
          <w:color w:val="000000" w:themeColor="text1"/>
          <w:szCs w:val="21"/>
          <w:highlight w:val="none"/>
          <w:u w:val="single"/>
          <w:lang w:eastAsia="zh-CN"/>
          <w14:textFill>
            <w14:solidFill>
              <w14:schemeClr w14:val="tx1"/>
            </w14:solidFill>
          </w14:textFill>
        </w:rPr>
        <w:t>合同签订后5个工作日内，乙方须向甲方指定账户交纳履约保证金</w:t>
      </w:r>
      <w:r>
        <w:rPr>
          <w:rFonts w:hint="eastAsia" w:ascii="宋体" w:hAnsi="宋体" w:eastAsia="宋体" w:cs="宋体"/>
          <w:color w:val="000000" w:themeColor="text1"/>
          <w:szCs w:val="21"/>
          <w:highlight w:val="none"/>
          <w:u w:val="single"/>
          <w14:textFill>
            <w14:solidFill>
              <w14:schemeClr w14:val="tx1"/>
            </w14:solidFill>
          </w14:textFill>
        </w:rPr>
        <w:t>（乙方为中小微企业的，履约保证金为合同金额的2%，具体为人民币</w:t>
      </w:r>
      <w:r>
        <w:rPr>
          <w:rFonts w:hint="eastAsia" w:ascii="宋体" w:hAnsi="宋体" w:eastAsia="宋体" w:cs="宋体"/>
          <w:color w:val="000000" w:themeColor="text1"/>
          <w:szCs w:val="21"/>
          <w:highlight w:val="none"/>
          <w:u w:val="single"/>
          <w:lang w:val="en-US" w:eastAsia="zh-CN"/>
          <w14:textFill>
            <w14:solidFill>
              <w14:schemeClr w14:val="tx1"/>
            </w14:solidFill>
          </w14:textFill>
        </w:rPr>
        <w:t>XXXXXX</w:t>
      </w:r>
      <w:r>
        <w:rPr>
          <w:rFonts w:hint="eastAsia" w:ascii="宋体" w:hAnsi="宋体" w:eastAsia="宋体" w:cs="宋体"/>
          <w:color w:val="000000" w:themeColor="text1"/>
          <w:szCs w:val="21"/>
          <w:highlight w:val="none"/>
          <w:u w:val="single"/>
          <w14:textFill>
            <w14:solidFill>
              <w14:schemeClr w14:val="tx1"/>
            </w14:solidFill>
          </w14:textFill>
        </w:rPr>
        <w:t>元整（¥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XXXXXX</w:t>
      </w:r>
      <w:r>
        <w:rPr>
          <w:rFonts w:hint="eastAsia" w:ascii="宋体" w:hAnsi="宋体" w:eastAsia="宋体" w:cs="宋体"/>
          <w:color w:val="000000" w:themeColor="text1"/>
          <w:szCs w:val="21"/>
          <w:highlight w:val="none"/>
          <w:u w:val="single"/>
          <w14:textFill>
            <w14:solidFill>
              <w14:schemeClr w14:val="tx1"/>
            </w14:solidFill>
          </w14:textFill>
        </w:rPr>
        <w:t>），乙方为大型企业的履约保证金为合同金额的3%，具体为人民币</w:t>
      </w:r>
      <w:r>
        <w:rPr>
          <w:rFonts w:hint="eastAsia" w:ascii="宋体" w:hAnsi="宋体" w:eastAsia="宋体" w:cs="宋体"/>
          <w:color w:val="000000" w:themeColor="text1"/>
          <w:szCs w:val="21"/>
          <w:highlight w:val="none"/>
          <w:u w:val="single"/>
          <w:lang w:val="en-US" w:eastAsia="zh-CN"/>
          <w14:textFill>
            <w14:solidFill>
              <w14:schemeClr w14:val="tx1"/>
            </w14:solidFill>
          </w14:textFill>
        </w:rPr>
        <w:t>XXXXXX</w:t>
      </w:r>
      <w:r>
        <w:rPr>
          <w:rFonts w:hint="eastAsia" w:ascii="宋体" w:hAnsi="宋体" w:eastAsia="宋体" w:cs="宋体"/>
          <w:color w:val="000000" w:themeColor="text1"/>
          <w:szCs w:val="21"/>
          <w:highlight w:val="none"/>
          <w:u w:val="single"/>
          <w14:textFill>
            <w14:solidFill>
              <w14:schemeClr w14:val="tx1"/>
            </w14:solidFill>
          </w14:textFill>
        </w:rPr>
        <w:t>元整（¥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XXXXXX</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eastAsia="zh-CN"/>
          <w14:textFill>
            <w14:solidFill>
              <w14:schemeClr w14:val="tx1"/>
            </w14:solidFill>
          </w14:textFill>
        </w:rPr>
        <w:t>。甲方收到乙方交来的履约保证金并对乙方提供的项目材料、备品备件（如有）、运维人员核对确认，项目通过采购人科信办组织的阶段验收后，支付合同金额的20%；根据项目进展情况及项目运维服务考核情况，乙方维护过程中无重大事故发生，2026年12月31日前支付合同金额的</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Cs w:val="21"/>
          <w:highlight w:val="none"/>
          <w:u w:val="single"/>
          <w:lang w:eastAsia="zh-CN"/>
          <w14:textFill>
            <w14:solidFill>
              <w14:schemeClr w14:val="tx1"/>
            </w14:solidFill>
          </w14:textFill>
        </w:rPr>
        <w:t>0%</w:t>
      </w:r>
      <w:r>
        <w:rPr>
          <w:rFonts w:hint="eastAsia" w:ascii="宋体" w:hAnsi="宋体" w:eastAsia="宋体" w:cs="宋体"/>
          <w:color w:val="000000" w:themeColor="text1"/>
          <w:szCs w:val="21"/>
          <w:highlight w:val="none"/>
          <w:u w:val="single"/>
          <w14:textFill>
            <w14:solidFill>
              <w14:schemeClr w14:val="tx1"/>
            </w14:solidFill>
          </w14:textFill>
        </w:rPr>
        <w:t>，具体为人民币</w:t>
      </w:r>
      <w:r>
        <w:rPr>
          <w:rFonts w:hint="eastAsia" w:ascii="宋体" w:hAnsi="宋体" w:eastAsia="宋体" w:cs="宋体"/>
          <w:color w:val="000000" w:themeColor="text1"/>
          <w:szCs w:val="21"/>
          <w:highlight w:val="none"/>
          <w:u w:val="single"/>
          <w:lang w:val="en-US" w:eastAsia="zh-CN"/>
          <w14:textFill>
            <w14:solidFill>
              <w14:schemeClr w14:val="tx1"/>
            </w14:solidFill>
          </w14:textFill>
        </w:rPr>
        <w:t>XXXXXX</w:t>
      </w:r>
      <w:r>
        <w:rPr>
          <w:rFonts w:hint="eastAsia" w:ascii="宋体" w:hAnsi="宋体" w:eastAsia="宋体" w:cs="宋体"/>
          <w:color w:val="000000" w:themeColor="text1"/>
          <w:szCs w:val="21"/>
          <w:highlight w:val="none"/>
          <w:u w:val="single"/>
          <w14:textFill>
            <w14:solidFill>
              <w14:schemeClr w14:val="tx1"/>
            </w14:solidFill>
          </w14:textFill>
        </w:rPr>
        <w:t>元整（¥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XXXXXX</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eastAsia="zh-CN"/>
          <w14:textFill>
            <w14:solidFill>
              <w14:schemeClr w14:val="tx1"/>
            </w14:solidFill>
          </w14:textFill>
        </w:rPr>
        <w:t>；2027年12月31日前分批或一次性支付合同金额的</w:t>
      </w:r>
      <w:r>
        <w:rPr>
          <w:rFonts w:hint="eastAsia" w:ascii="宋体" w:hAnsi="宋体" w:eastAsia="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lang w:eastAsia="zh-CN"/>
          <w14:textFill>
            <w14:solidFill>
              <w14:schemeClr w14:val="tx1"/>
            </w14:solidFill>
          </w14:textFill>
        </w:rPr>
        <w:t>0%</w:t>
      </w:r>
      <w:r>
        <w:rPr>
          <w:rFonts w:hint="eastAsia" w:ascii="宋体" w:hAnsi="宋体" w:eastAsia="宋体" w:cs="宋体"/>
          <w:color w:val="000000" w:themeColor="text1"/>
          <w:szCs w:val="21"/>
          <w:highlight w:val="none"/>
          <w:u w:val="single"/>
          <w14:textFill>
            <w14:solidFill>
              <w14:schemeClr w14:val="tx1"/>
            </w14:solidFill>
          </w14:textFill>
        </w:rPr>
        <w:t>，具体为人民币</w:t>
      </w:r>
      <w:r>
        <w:rPr>
          <w:rFonts w:hint="eastAsia" w:ascii="宋体" w:hAnsi="宋体" w:eastAsia="宋体" w:cs="宋体"/>
          <w:color w:val="000000" w:themeColor="text1"/>
          <w:szCs w:val="21"/>
          <w:highlight w:val="none"/>
          <w:u w:val="single"/>
          <w:lang w:val="en-US" w:eastAsia="zh-CN"/>
          <w14:textFill>
            <w14:solidFill>
              <w14:schemeClr w14:val="tx1"/>
            </w14:solidFill>
          </w14:textFill>
        </w:rPr>
        <w:t>XXXXXX</w:t>
      </w:r>
      <w:r>
        <w:rPr>
          <w:rFonts w:hint="eastAsia" w:ascii="宋体" w:hAnsi="宋体" w:eastAsia="宋体" w:cs="宋体"/>
          <w:color w:val="000000" w:themeColor="text1"/>
          <w:szCs w:val="21"/>
          <w:highlight w:val="none"/>
          <w:u w:val="single"/>
          <w14:textFill>
            <w14:solidFill>
              <w14:schemeClr w14:val="tx1"/>
            </w14:solidFill>
          </w14:textFill>
        </w:rPr>
        <w:t>元整（¥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XXXXXX</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eastAsia="zh-CN"/>
          <w14:textFill>
            <w14:solidFill>
              <w14:schemeClr w14:val="tx1"/>
            </w14:solidFill>
          </w14:textFill>
        </w:rPr>
        <w:t>；乙方按照合同要求做好维护工作至维护期满并经验收合格后10个工作日内，支付合同金额的</w:t>
      </w:r>
      <w:r>
        <w:rPr>
          <w:rFonts w:hint="eastAsia" w:ascii="宋体" w:hAnsi="宋体" w:eastAsia="宋体" w:cs="宋体"/>
          <w:color w:val="000000" w:themeColor="text1"/>
          <w:szCs w:val="21"/>
          <w:highlight w:val="none"/>
          <w:u w:val="single"/>
          <w:lang w:val="en-US" w:eastAsia="zh-CN"/>
          <w14:textFill>
            <w14:solidFill>
              <w14:schemeClr w14:val="tx1"/>
            </w14:solidFill>
          </w14:textFill>
        </w:rPr>
        <w:t>2</w:t>
      </w:r>
      <w:r>
        <w:rPr>
          <w:rFonts w:hint="eastAsia" w:ascii="宋体" w:hAnsi="宋体" w:eastAsia="宋体" w:cs="宋体"/>
          <w:color w:val="000000" w:themeColor="text1"/>
          <w:szCs w:val="21"/>
          <w:highlight w:val="none"/>
          <w:u w:val="single"/>
          <w:lang w:eastAsia="zh-CN"/>
          <w14:textFill>
            <w14:solidFill>
              <w14:schemeClr w14:val="tx1"/>
            </w14:solidFill>
          </w14:textFill>
        </w:rPr>
        <w:t>0%</w:t>
      </w:r>
      <w:r>
        <w:rPr>
          <w:rFonts w:hint="eastAsia" w:ascii="宋体" w:hAnsi="宋体" w:eastAsia="宋体" w:cs="宋体"/>
          <w:color w:val="000000" w:themeColor="text1"/>
          <w:szCs w:val="21"/>
          <w:highlight w:val="none"/>
          <w:u w:val="single"/>
          <w14:textFill>
            <w14:solidFill>
              <w14:schemeClr w14:val="tx1"/>
            </w14:solidFill>
          </w14:textFill>
        </w:rPr>
        <w:t>，具体为人民币</w:t>
      </w:r>
      <w:r>
        <w:rPr>
          <w:rFonts w:hint="eastAsia" w:ascii="宋体" w:hAnsi="宋体" w:eastAsia="宋体" w:cs="宋体"/>
          <w:color w:val="000000" w:themeColor="text1"/>
          <w:szCs w:val="21"/>
          <w:highlight w:val="none"/>
          <w:u w:val="single"/>
          <w:lang w:val="en-US" w:eastAsia="zh-CN"/>
          <w14:textFill>
            <w14:solidFill>
              <w14:schemeClr w14:val="tx1"/>
            </w14:solidFill>
          </w14:textFill>
        </w:rPr>
        <w:t>XXXXXX</w:t>
      </w:r>
      <w:r>
        <w:rPr>
          <w:rFonts w:hint="eastAsia" w:ascii="宋体" w:hAnsi="宋体" w:eastAsia="宋体" w:cs="宋体"/>
          <w:color w:val="000000" w:themeColor="text1"/>
          <w:szCs w:val="21"/>
          <w:highlight w:val="none"/>
          <w:u w:val="single"/>
          <w14:textFill>
            <w14:solidFill>
              <w14:schemeClr w14:val="tx1"/>
            </w14:solidFill>
          </w14:textFill>
        </w:rPr>
        <w:t>元整（¥</w:t>
      </w:r>
      <w:r>
        <w:rPr>
          <w:rFonts w:hint="eastAsia" w:ascii="宋体" w:hAnsi="宋体" w:eastAsia="宋体" w:cs="宋体"/>
          <w:color w:val="000000" w:themeColor="text1"/>
          <w:szCs w:val="21"/>
          <w:highlight w:val="none"/>
          <w:u w:val="single"/>
          <w:lang w:val="en-US" w:eastAsia="zh-CN"/>
          <w14:textFill>
            <w14:solidFill>
              <w14:schemeClr w14:val="tx1"/>
            </w14:solidFill>
          </w14:textFill>
        </w:rPr>
        <w:t>XXXXXX</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u w:val="single"/>
          <w:lang w:eastAsia="zh-CN"/>
          <w14:textFill>
            <w14:solidFill>
              <w14:schemeClr w14:val="tx1"/>
            </w14:solidFill>
          </w14:textFill>
        </w:rPr>
        <w:t>，并将履约保证金全额退回（不计利息）。</w:t>
      </w:r>
      <w:r>
        <w:rPr>
          <w:rFonts w:hint="eastAsia" w:ascii="宋体" w:hAnsi="宋体" w:eastAsia="宋体" w:cs="宋体"/>
          <w:color w:val="000000" w:themeColor="text1"/>
          <w:szCs w:val="21"/>
          <w:highlight w:val="none"/>
          <w:u w:val="single"/>
          <w14:textFill>
            <w14:solidFill>
              <w14:schemeClr w14:val="tx1"/>
            </w14:solidFill>
          </w14:textFill>
        </w:rPr>
        <w:t>在甲方支付相关费用前，乙方应当开具</w:t>
      </w:r>
      <w:r>
        <w:rPr>
          <w:rFonts w:hint="eastAsia" w:ascii="宋体" w:hAnsi="宋体" w:eastAsia="宋体" w:cs="宋体"/>
          <w:color w:val="000000" w:themeColor="text1"/>
          <w:szCs w:val="21"/>
          <w:highlight w:val="none"/>
          <w:u w:val="single"/>
          <w:lang w:eastAsia="zh-CN"/>
          <w14:textFill>
            <w14:solidFill>
              <w14:schemeClr w14:val="tx1"/>
            </w14:solidFill>
          </w14:textFill>
        </w:rPr>
        <w:t>等额有效的增值税专用（或普通）发票给</w:t>
      </w:r>
      <w:r>
        <w:rPr>
          <w:rFonts w:hint="eastAsia" w:ascii="宋体" w:hAnsi="宋体" w:eastAsia="宋体" w:cs="宋体"/>
          <w:color w:val="000000" w:themeColor="text1"/>
          <w:szCs w:val="21"/>
          <w:highlight w:val="none"/>
          <w:u w:val="single"/>
          <w14:textFill>
            <w14:solidFill>
              <w14:schemeClr w14:val="tx1"/>
            </w14:solidFill>
          </w14:textFill>
        </w:rPr>
        <w:t>甲方，否则甲方有权延迟支付相应款项，且无需承担逾期责任</w:t>
      </w:r>
      <w:r>
        <w:rPr>
          <w:rFonts w:hint="eastAsia" w:ascii="宋体" w:hAnsi="宋体" w:eastAsia="宋体" w:cs="宋体"/>
          <w:color w:val="000000" w:themeColor="text1"/>
          <w:szCs w:val="21"/>
          <w:highlight w:val="none"/>
          <w:u w:val="single"/>
          <w:lang w:eastAsia="zh-CN"/>
          <w14:textFill>
            <w14:solidFill>
              <w14:schemeClr w14:val="tx1"/>
            </w14:solidFill>
          </w14:textFill>
        </w:rPr>
        <w:t>。项目阶段实施服务情况由监理负责监督与评定。如出现处罚条款所列事故，则按处罚条款要求扣除履约保证金（履约保证金不足以支付处罚款项时，甲方有权向乙方追回已支付的合同款或直接从应付合同款中相应扣减）。</w:t>
      </w:r>
    </w:p>
    <w:p w14:paraId="65DFC1BC">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第八条　履约保证金</w:t>
      </w:r>
    </w:p>
    <w:p w14:paraId="0AD7609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1、履约保证金金额：乙方为中小微企业的，履约保证金为合同金额的2%</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乙方为大型企业的</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履约保证金为合同金额的3%，具体为人民币XXXXXX元（￥XXXXXX.XXXXXXXX元</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p w14:paraId="4483568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2、履约保证金递交方式：银行转账、支票、汇票、本票或者金融、担保机构出具的保函等非现金方式，乙方应在签订合同后5个工作日内向甲方递交。</w:t>
      </w:r>
    </w:p>
    <w:p w14:paraId="40CAA2B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3、履约保证金作为违约金的一部分及用于补偿甲方因乙方不能完成其合同义务而蒙受的损失。如履约保证金不足以赔偿损失的，乙方应按实际损失赔偿。</w:t>
      </w:r>
    </w:p>
    <w:p w14:paraId="0E7456B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履约保证金退付方式、时间及条件：在本项目履行完毕后，由乙方向甲方提供项目合同验收书、项目履约保证金退付申请函，乙方应当向甲方递交履行合格的书面材料，甲方在收到合格书面材料并核实无误后10个工作日内办理退还手续（不计利息），但出现合同约定的履约保证金应抵作违约金情形除外。履约保证金不足以弥补违约金及甲方损失的，甲方有权从合同金额中扣除，不足另补。</w:t>
      </w:r>
    </w:p>
    <w:p w14:paraId="51F25811">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第九条  税费</w:t>
      </w:r>
    </w:p>
    <w:p w14:paraId="2E097F1B">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本合同执行中相关的一切税费均由乙方负担。</w:t>
      </w:r>
    </w:p>
    <w:p w14:paraId="5C265E95">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第十条　违约责任</w:t>
      </w:r>
    </w:p>
    <w:p w14:paraId="264EC41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bookmarkStart w:id="183" w:name="_Hlk70536888"/>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合同签订后</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w:t>
      </w:r>
      <w:r>
        <w:rPr>
          <w:rFonts w:hint="eastAsia" w:ascii="宋体" w:hAnsi="宋体" w:eastAsia="宋体" w:cs="宋体"/>
          <w:color w:val="000000" w:themeColor="text1"/>
          <w:szCs w:val="21"/>
          <w:highlight w:val="none"/>
          <w:lang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个</w:t>
      </w:r>
      <w:r>
        <w:rPr>
          <w:rFonts w:hint="eastAsia" w:ascii="宋体" w:hAnsi="宋体" w:eastAsia="宋体" w:cs="宋体"/>
          <w:color w:val="000000" w:themeColor="text1"/>
          <w:szCs w:val="21"/>
          <w:highlight w:val="none"/>
          <w:lang w:eastAsia="zh-CN"/>
          <w14:textFill>
            <w14:solidFill>
              <w14:schemeClr w14:val="tx1"/>
            </w14:solidFill>
          </w14:textFill>
        </w:rPr>
        <w:t>工作日</w:t>
      </w:r>
      <w:r>
        <w:rPr>
          <w:rFonts w:hint="eastAsia" w:ascii="宋体" w:hAnsi="宋体" w:eastAsia="宋体" w:cs="宋体"/>
          <w:color w:val="000000" w:themeColor="text1"/>
          <w:szCs w:val="21"/>
          <w:highlight w:val="none"/>
          <w14:textFill>
            <w14:solidFill>
              <w14:schemeClr w14:val="tx1"/>
            </w14:solidFill>
          </w14:textFill>
        </w:rPr>
        <w:t>内提交项目材料、备品备件（如有）、</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人员等入场材料，甲方在3个</w:t>
      </w:r>
      <w:r>
        <w:rPr>
          <w:rFonts w:hint="eastAsia" w:ascii="宋体" w:hAnsi="宋体" w:eastAsia="宋体" w:cs="宋体"/>
          <w:color w:val="000000" w:themeColor="text1"/>
          <w:szCs w:val="21"/>
          <w:highlight w:val="none"/>
          <w:lang w:eastAsia="zh-CN"/>
          <w14:textFill>
            <w14:solidFill>
              <w14:schemeClr w14:val="tx1"/>
            </w14:solidFill>
          </w14:textFill>
        </w:rPr>
        <w:t>工作</w:t>
      </w:r>
      <w:r>
        <w:rPr>
          <w:rFonts w:hint="eastAsia" w:ascii="宋体" w:hAnsi="宋体" w:eastAsia="宋体" w:cs="宋体"/>
          <w:color w:val="000000" w:themeColor="text1"/>
          <w:szCs w:val="21"/>
          <w:highlight w:val="none"/>
          <w14:textFill>
            <w14:solidFill>
              <w14:schemeClr w14:val="tx1"/>
            </w14:solidFill>
          </w14:textFill>
        </w:rPr>
        <w:t>日内就乙方入场</w:t>
      </w:r>
      <w:r>
        <w:rPr>
          <w:rFonts w:hint="eastAsia" w:ascii="宋体" w:hAnsi="宋体" w:eastAsia="宋体" w:cs="宋体"/>
          <w:color w:val="000000" w:themeColor="text1"/>
          <w:szCs w:val="21"/>
          <w:highlight w:val="none"/>
          <w:lang w:eastAsia="zh-CN"/>
          <w14:textFill>
            <w14:solidFill>
              <w14:schemeClr w14:val="tx1"/>
            </w14:solidFill>
          </w14:textFill>
        </w:rPr>
        <w:t>材料</w:t>
      </w:r>
      <w:r>
        <w:rPr>
          <w:rFonts w:hint="eastAsia" w:ascii="宋体" w:hAnsi="宋体" w:eastAsia="宋体" w:cs="宋体"/>
          <w:color w:val="000000" w:themeColor="text1"/>
          <w:szCs w:val="21"/>
          <w:highlight w:val="none"/>
          <w14:textFill>
            <w14:solidFill>
              <w14:schemeClr w14:val="tx1"/>
            </w14:solidFill>
          </w14:textFill>
        </w:rPr>
        <w:t>审核情况出具意见</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若未通过，乙方须在</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个</w:t>
      </w:r>
      <w:r>
        <w:rPr>
          <w:rFonts w:hint="eastAsia" w:ascii="宋体" w:hAnsi="宋体" w:eastAsia="宋体" w:cs="宋体"/>
          <w:color w:val="000000" w:themeColor="text1"/>
          <w:szCs w:val="21"/>
          <w:highlight w:val="none"/>
          <w:lang w:eastAsia="zh-CN"/>
          <w14:textFill>
            <w14:solidFill>
              <w14:schemeClr w14:val="tx1"/>
            </w14:solidFill>
          </w14:textFill>
        </w:rPr>
        <w:t>工作日</w:t>
      </w:r>
      <w:r>
        <w:rPr>
          <w:rFonts w:hint="eastAsia" w:ascii="宋体" w:hAnsi="宋体" w:eastAsia="宋体" w:cs="宋体"/>
          <w:color w:val="000000" w:themeColor="text1"/>
          <w:szCs w:val="21"/>
          <w:highlight w:val="none"/>
          <w14:textFill>
            <w14:solidFill>
              <w14:schemeClr w14:val="tx1"/>
            </w14:solidFill>
          </w14:textFill>
        </w:rPr>
        <w:t>内完成整改，甲方在3个</w:t>
      </w:r>
      <w:r>
        <w:rPr>
          <w:rFonts w:hint="eastAsia" w:ascii="宋体" w:hAnsi="宋体" w:eastAsia="宋体" w:cs="宋体"/>
          <w:color w:val="000000" w:themeColor="text1"/>
          <w:szCs w:val="21"/>
          <w:highlight w:val="none"/>
          <w:lang w:eastAsia="zh-CN"/>
          <w14:textFill>
            <w14:solidFill>
              <w14:schemeClr w14:val="tx1"/>
            </w14:solidFill>
          </w14:textFill>
        </w:rPr>
        <w:t>工作日</w:t>
      </w:r>
      <w:r>
        <w:rPr>
          <w:rFonts w:hint="eastAsia" w:ascii="宋体" w:hAnsi="宋体" w:eastAsia="宋体" w:cs="宋体"/>
          <w:color w:val="000000" w:themeColor="text1"/>
          <w:szCs w:val="21"/>
          <w:highlight w:val="none"/>
          <w14:textFill>
            <w14:solidFill>
              <w14:schemeClr w14:val="tx1"/>
            </w14:solidFill>
          </w14:textFill>
        </w:rPr>
        <w:t>内就乙方整改情况出具意见</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若仍未通过，视为乙方违约</w:t>
      </w:r>
      <w:r>
        <w:rPr>
          <w:rFonts w:hint="eastAsia" w:ascii="宋体" w:hAnsi="宋体" w:eastAsia="宋体" w:cs="宋体"/>
          <w:color w:val="000000" w:themeColor="text1"/>
          <w:szCs w:val="21"/>
          <w:highlight w:val="none"/>
          <w:lang w:eastAsia="zh-CN"/>
          <w14:textFill>
            <w14:solidFill>
              <w14:schemeClr w14:val="tx1"/>
            </w14:solidFill>
          </w14:textFill>
        </w:rPr>
        <w:t>。每违约</w:t>
      </w:r>
      <w:r>
        <w:rPr>
          <w:rFonts w:hint="eastAsia" w:ascii="宋体" w:hAnsi="宋体" w:eastAsia="宋体" w:cs="宋体"/>
          <w:color w:val="000000" w:themeColor="text1"/>
          <w:szCs w:val="21"/>
          <w:highlight w:val="none"/>
          <w:lang w:val="en-US" w:eastAsia="zh-CN"/>
          <w14:textFill>
            <w14:solidFill>
              <w14:schemeClr w14:val="tx1"/>
            </w14:solidFill>
          </w14:textFill>
        </w:rPr>
        <w:t>1天</w:t>
      </w:r>
      <w:r>
        <w:rPr>
          <w:rFonts w:hint="eastAsia" w:ascii="宋体" w:hAnsi="宋体" w:eastAsia="宋体" w:cs="宋体"/>
          <w:color w:val="000000" w:themeColor="text1"/>
          <w:szCs w:val="21"/>
          <w:highlight w:val="none"/>
          <w14:textFill>
            <w14:solidFill>
              <w14:schemeClr w14:val="tx1"/>
            </w14:solidFill>
          </w14:textFill>
        </w:rPr>
        <w:t>（不足</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天的按</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天计算），乙方应按合同金额</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支付违约金</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该违约金累计不超过合同金额</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0%。达到</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天时甲方有权单方面解除本合同</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并追究</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法律责任</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乙方应按合同金额</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0%承担违约金；如因此造成甲方损失的，乙方还应赔偿甲方损失。</w:t>
      </w:r>
    </w:p>
    <w:p w14:paraId="5E7246BC">
      <w:pPr>
        <w:keepNext w:val="0"/>
        <w:keepLines w:val="0"/>
        <w:pageBreakBefore w:val="0"/>
        <w:widowControl w:val="0"/>
        <w:kinsoku/>
        <w:wordWrap/>
        <w:overflowPunct/>
        <w:topLinePunct w:val="0"/>
        <w:autoSpaceDE/>
        <w:autoSpaceDN/>
        <w:bidi w:val="0"/>
        <w:adjustRightInd/>
        <w:snapToGrid w:val="0"/>
        <w:spacing w:line="440" w:lineRule="exact"/>
        <w:ind w:firstLineChars="200"/>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2、在合同服务期内，</w:t>
      </w:r>
      <w:r>
        <w:rPr>
          <w:rFonts w:hint="eastAsia" w:ascii="宋体" w:hAnsi="宋体" w:eastAsia="宋体" w:cs="宋体"/>
          <w:color w:val="000000" w:themeColor="text1"/>
          <w:szCs w:val="21"/>
          <w:highlight w:val="none"/>
          <w14:textFill>
            <w14:solidFill>
              <w14:schemeClr w14:val="tx1"/>
            </w14:solidFill>
          </w14:textFill>
        </w:rPr>
        <w:t>除不可抗力原因外，</w:t>
      </w:r>
      <w:r>
        <w:rPr>
          <w:rFonts w:hint="eastAsia" w:ascii="宋体" w:hAnsi="宋体" w:eastAsia="宋体" w:cs="宋体"/>
          <w:color w:val="000000" w:themeColor="text1"/>
          <w:szCs w:val="21"/>
          <w:highlight w:val="none"/>
          <w:lang w:eastAsia="zh-CN"/>
          <w14:textFill>
            <w14:solidFill>
              <w14:schemeClr w14:val="tx1"/>
            </w14:solidFill>
          </w14:textFill>
        </w:rPr>
        <w:t>乙方未能按投标承诺提供服务的，视为乙方违约。每违约</w:t>
      </w:r>
      <w:r>
        <w:rPr>
          <w:rFonts w:hint="eastAsia" w:ascii="宋体" w:hAnsi="宋体" w:eastAsia="宋体" w:cs="宋体"/>
          <w:color w:val="000000" w:themeColor="text1"/>
          <w:szCs w:val="21"/>
          <w:highlight w:val="none"/>
          <w:lang w:val="en-US" w:eastAsia="zh-CN"/>
          <w14:textFill>
            <w14:solidFill>
              <w14:schemeClr w14:val="tx1"/>
            </w14:solidFill>
          </w14:textFill>
        </w:rPr>
        <w:t>1次，视违约影响，乙方应按合同金额1</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1%支付违约金。</w:t>
      </w:r>
      <w:r>
        <w:rPr>
          <w:rFonts w:hint="eastAsia" w:ascii="宋体" w:hAnsi="宋体" w:eastAsia="宋体" w:cs="宋体"/>
          <w:color w:val="000000" w:themeColor="text1"/>
          <w:szCs w:val="21"/>
          <w:highlight w:val="none"/>
          <w14:textFill>
            <w14:solidFill>
              <w14:schemeClr w14:val="tx1"/>
            </w14:solidFill>
          </w14:textFill>
        </w:rPr>
        <w:t>该违约金累计不超过合同金额</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%。达到</w:t>
      </w:r>
      <w:r>
        <w:rPr>
          <w:rFonts w:hint="eastAsia" w:ascii="宋体" w:hAnsi="宋体" w:eastAsia="宋体" w:cs="宋体"/>
          <w:color w:val="000000" w:themeColor="text1"/>
          <w:szCs w:val="21"/>
          <w:highlight w:val="none"/>
          <w:lang w:val="en-US" w:eastAsia="zh-CN"/>
          <w14:textFill>
            <w14:solidFill>
              <w14:schemeClr w14:val="tx1"/>
            </w14:solidFill>
          </w14:textFill>
        </w:rPr>
        <w:t>3次</w:t>
      </w:r>
      <w:r>
        <w:rPr>
          <w:rFonts w:hint="eastAsia" w:ascii="宋体" w:hAnsi="宋体" w:eastAsia="宋体" w:cs="宋体"/>
          <w:color w:val="000000" w:themeColor="text1"/>
          <w:szCs w:val="21"/>
          <w:highlight w:val="none"/>
          <w14:textFill>
            <w14:solidFill>
              <w14:schemeClr w14:val="tx1"/>
            </w14:solidFill>
          </w14:textFill>
        </w:rPr>
        <w:t>时甲方有权单方面解除本合同，合同金额没有支付的，不再支付；已经支付的，甲方有权追回，且乙方应按合同金额30%承担违约金；如因此造成甲方损失的，还应赔偿甲方损失。</w:t>
      </w:r>
    </w:p>
    <w:p w14:paraId="6ED1E058">
      <w:pPr>
        <w:keepNext w:val="0"/>
        <w:keepLines w:val="0"/>
        <w:pageBreakBefore w:val="0"/>
        <w:widowControl w:val="0"/>
        <w:kinsoku/>
        <w:wordWrap/>
        <w:overflowPunct/>
        <w:topLinePunct w:val="0"/>
        <w:autoSpaceDE/>
        <w:autoSpaceDN/>
        <w:bidi w:val="0"/>
        <w:adjustRightInd/>
        <w:snapToGrid w:val="0"/>
        <w:spacing w:line="440" w:lineRule="exact"/>
        <w:ind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3、在</w:t>
      </w:r>
      <w:r>
        <w:rPr>
          <w:rFonts w:hint="eastAsia" w:ascii="宋体" w:hAnsi="宋体" w:eastAsia="宋体" w:cs="宋体"/>
          <w:color w:val="000000" w:themeColor="text1"/>
          <w:szCs w:val="21"/>
          <w:highlight w:val="none"/>
          <w14:textFill>
            <w14:solidFill>
              <w14:schemeClr w14:val="tx1"/>
            </w14:solidFill>
          </w14:textFill>
        </w:rPr>
        <w:t>合同</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期</w:t>
      </w:r>
      <w:r>
        <w:rPr>
          <w:rFonts w:hint="eastAsia" w:ascii="宋体" w:hAnsi="宋体" w:eastAsia="宋体" w:cs="宋体"/>
          <w:color w:val="000000" w:themeColor="text1"/>
          <w:szCs w:val="21"/>
          <w:highlight w:val="none"/>
          <w:lang w:eastAsia="zh-CN"/>
          <w14:textFill>
            <w14:solidFill>
              <w14:schemeClr w14:val="tx1"/>
            </w14:solidFill>
          </w14:textFill>
        </w:rPr>
        <w:t>内</w:t>
      </w:r>
      <w:r>
        <w:rPr>
          <w:rFonts w:hint="eastAsia" w:ascii="宋体" w:hAnsi="宋体" w:eastAsia="宋体" w:cs="宋体"/>
          <w:color w:val="000000" w:themeColor="text1"/>
          <w:szCs w:val="21"/>
          <w:highlight w:val="none"/>
          <w14:textFill>
            <w14:solidFill>
              <w14:schemeClr w14:val="tx1"/>
            </w14:solidFill>
          </w14:textFill>
        </w:rPr>
        <w:t>，除不可抗力原因外，乙方更换</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人员的，须提前一周向甲方提出申请，甲方审核同意后，乙方须</w:t>
      </w:r>
      <w:r>
        <w:rPr>
          <w:rFonts w:hint="eastAsia" w:ascii="宋体" w:hAnsi="宋体" w:eastAsia="宋体" w:cs="宋体"/>
          <w:color w:val="000000" w:themeColor="text1"/>
          <w:szCs w:val="21"/>
          <w:highlight w:val="none"/>
          <w:lang w:eastAsia="zh-CN"/>
          <w14:textFill>
            <w14:solidFill>
              <w14:schemeClr w14:val="tx1"/>
            </w14:solidFill>
          </w14:textFill>
        </w:rPr>
        <w:t>在2</w:t>
      </w:r>
      <w:r>
        <w:rPr>
          <w:rFonts w:hint="eastAsia" w:ascii="宋体" w:hAnsi="宋体" w:eastAsia="宋体" w:cs="宋体"/>
          <w:color w:val="000000" w:themeColor="text1"/>
          <w:szCs w:val="21"/>
          <w:highlight w:val="none"/>
          <w14:textFill>
            <w14:solidFill>
              <w14:schemeClr w14:val="tx1"/>
            </w14:solidFill>
          </w14:textFill>
        </w:rPr>
        <w:t>个</w:t>
      </w:r>
      <w:r>
        <w:rPr>
          <w:rFonts w:hint="eastAsia" w:ascii="宋体" w:hAnsi="宋体" w:eastAsia="宋体" w:cs="宋体"/>
          <w:color w:val="000000" w:themeColor="text1"/>
          <w:szCs w:val="21"/>
          <w:highlight w:val="none"/>
          <w:lang w:eastAsia="zh-CN"/>
          <w14:textFill>
            <w14:solidFill>
              <w14:schemeClr w14:val="tx1"/>
            </w14:solidFill>
          </w14:textFill>
        </w:rPr>
        <w:t>工作</w:t>
      </w:r>
      <w:r>
        <w:rPr>
          <w:rFonts w:hint="eastAsia" w:ascii="宋体" w:hAnsi="宋体" w:eastAsia="宋体" w:cs="宋体"/>
          <w:color w:val="000000" w:themeColor="text1"/>
          <w:szCs w:val="21"/>
          <w:highlight w:val="none"/>
          <w14:textFill>
            <w14:solidFill>
              <w14:schemeClr w14:val="tx1"/>
            </w14:solidFill>
          </w14:textFill>
        </w:rPr>
        <w:t>日内安排</w:t>
      </w:r>
      <w:r>
        <w:rPr>
          <w:rFonts w:hint="eastAsia" w:ascii="宋体" w:hAnsi="宋体" w:eastAsia="宋体" w:cs="宋体"/>
          <w:color w:val="000000" w:themeColor="text1"/>
          <w:szCs w:val="21"/>
          <w:highlight w:val="none"/>
          <w:lang w:eastAsia="zh-CN"/>
          <w14:textFill>
            <w14:solidFill>
              <w14:schemeClr w14:val="tx1"/>
            </w14:solidFill>
          </w14:textFill>
        </w:rPr>
        <w:t>符合合同要求的</w:t>
      </w:r>
      <w:r>
        <w:rPr>
          <w:rFonts w:hint="eastAsia" w:ascii="宋体" w:hAnsi="宋体" w:eastAsia="宋体" w:cs="宋体"/>
          <w:color w:val="000000" w:themeColor="text1"/>
          <w:szCs w:val="21"/>
          <w:highlight w:val="none"/>
          <w14:textFill>
            <w14:solidFill>
              <w14:schemeClr w14:val="tx1"/>
            </w14:solidFill>
          </w14:textFill>
        </w:rPr>
        <w:t>替换人员到岗并完成工作交接，甲方确认无误后，乙方</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人员方可离场。</w:t>
      </w:r>
      <w:r>
        <w:rPr>
          <w:rFonts w:hint="eastAsia" w:ascii="宋体" w:hAnsi="宋体" w:eastAsia="宋体" w:cs="宋体"/>
          <w:color w:val="000000" w:themeColor="text1"/>
          <w:szCs w:val="21"/>
          <w:highlight w:val="none"/>
          <w:lang w:eastAsia="zh-CN"/>
          <w14:textFill>
            <w14:solidFill>
              <w14:schemeClr w14:val="tx1"/>
            </w14:solidFill>
          </w14:textFill>
        </w:rPr>
        <w:t>否则，</w:t>
      </w:r>
      <w:r>
        <w:rPr>
          <w:rFonts w:hint="eastAsia" w:ascii="宋体" w:hAnsi="宋体" w:eastAsia="宋体" w:cs="宋体"/>
          <w:color w:val="000000" w:themeColor="text1"/>
          <w:szCs w:val="21"/>
          <w:highlight w:val="none"/>
          <w14:textFill>
            <w14:solidFill>
              <w14:schemeClr w14:val="tx1"/>
            </w14:solidFill>
          </w14:textFill>
        </w:rPr>
        <w:t>视为乙方违约</w:t>
      </w:r>
      <w:r>
        <w:rPr>
          <w:rFonts w:hint="eastAsia" w:ascii="宋体" w:hAnsi="宋体" w:eastAsia="宋体" w:cs="宋体"/>
          <w:color w:val="000000" w:themeColor="text1"/>
          <w:szCs w:val="21"/>
          <w:highlight w:val="none"/>
          <w:lang w:eastAsia="zh-CN"/>
          <w14:textFill>
            <w14:solidFill>
              <w14:schemeClr w14:val="tx1"/>
            </w14:solidFill>
          </w14:textFill>
        </w:rPr>
        <w:t>。每违约</w:t>
      </w:r>
      <w:r>
        <w:rPr>
          <w:rFonts w:hint="eastAsia" w:ascii="宋体" w:hAnsi="宋体" w:eastAsia="宋体" w:cs="宋体"/>
          <w:color w:val="000000" w:themeColor="text1"/>
          <w:szCs w:val="21"/>
          <w:highlight w:val="none"/>
          <w:lang w:val="en-US" w:eastAsia="zh-CN"/>
          <w14:textFill>
            <w14:solidFill>
              <w14:schemeClr w14:val="tx1"/>
            </w14:solidFill>
          </w14:textFill>
        </w:rPr>
        <w:t>1天</w:t>
      </w:r>
      <w:r>
        <w:rPr>
          <w:rFonts w:hint="eastAsia" w:ascii="宋体" w:hAnsi="宋体" w:eastAsia="宋体" w:cs="宋体"/>
          <w:color w:val="000000" w:themeColor="text1"/>
          <w:szCs w:val="21"/>
          <w:highlight w:val="none"/>
          <w14:textFill>
            <w14:solidFill>
              <w14:schemeClr w14:val="tx1"/>
            </w14:solidFill>
          </w14:textFill>
        </w:rPr>
        <w:t>（不足</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天的按</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天计算），乙方应按合同金额</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*未按合同要求更换人员数量</w:t>
      </w:r>
      <w:r>
        <w:rPr>
          <w:rFonts w:hint="eastAsia" w:ascii="宋体" w:hAnsi="宋体" w:eastAsia="宋体" w:cs="宋体"/>
          <w:color w:val="000000" w:themeColor="text1"/>
          <w:szCs w:val="21"/>
          <w:highlight w:val="none"/>
          <w14:textFill>
            <w14:solidFill>
              <w14:schemeClr w14:val="tx1"/>
            </w14:solidFill>
          </w14:textFill>
        </w:rPr>
        <w:t>支付违约金</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该违约金累计不超过合同金额</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%。达到</w:t>
      </w:r>
      <w:r>
        <w:rPr>
          <w:rFonts w:hint="eastAsia" w:ascii="宋体" w:hAnsi="宋体" w:eastAsia="宋体" w:cs="宋体"/>
          <w:color w:val="000000" w:themeColor="text1"/>
          <w:szCs w:val="21"/>
          <w:highlight w:val="none"/>
          <w:lang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0天时甲方有权单方面解除本合同，合同金额没有支付的，不再支付；已经支付的，甲方有权追回，且乙方应按合同金额30%承担违约金；如因此造成甲方损失的，还应赔偿甲方损失。</w:t>
      </w:r>
    </w:p>
    <w:p w14:paraId="09D5DC0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4、甲方有权依据招标文件、投标文件及乙方的投标承诺对乙方的服务人员进行管理或要求更换，对于甲方要求更换服务人员的，乙方应无条件及时更换</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在2</w:t>
      </w:r>
      <w:r>
        <w:rPr>
          <w:rFonts w:hint="eastAsia" w:ascii="宋体" w:hAnsi="宋体" w:eastAsia="宋体" w:cs="宋体"/>
          <w:color w:val="000000" w:themeColor="text1"/>
          <w:szCs w:val="21"/>
          <w:highlight w:val="none"/>
          <w14:textFill>
            <w14:solidFill>
              <w14:schemeClr w14:val="tx1"/>
            </w14:solidFill>
          </w14:textFill>
        </w:rPr>
        <w:t>个</w:t>
      </w:r>
      <w:r>
        <w:rPr>
          <w:rFonts w:hint="eastAsia" w:ascii="宋体" w:hAnsi="宋体" w:eastAsia="宋体" w:cs="宋体"/>
          <w:color w:val="000000" w:themeColor="text1"/>
          <w:szCs w:val="21"/>
          <w:highlight w:val="none"/>
          <w:lang w:eastAsia="zh-CN"/>
          <w14:textFill>
            <w14:solidFill>
              <w14:schemeClr w14:val="tx1"/>
            </w14:solidFill>
          </w14:textFill>
        </w:rPr>
        <w:t>工作</w:t>
      </w:r>
      <w:r>
        <w:rPr>
          <w:rFonts w:hint="eastAsia" w:ascii="宋体" w:hAnsi="宋体" w:eastAsia="宋体" w:cs="宋体"/>
          <w:color w:val="000000" w:themeColor="text1"/>
          <w:szCs w:val="21"/>
          <w:highlight w:val="none"/>
          <w14:textFill>
            <w14:solidFill>
              <w14:schemeClr w14:val="tx1"/>
            </w14:solidFill>
          </w14:textFill>
        </w:rPr>
        <w:t>日内安排</w:t>
      </w:r>
      <w:r>
        <w:rPr>
          <w:rFonts w:hint="eastAsia" w:ascii="宋体" w:hAnsi="宋体" w:eastAsia="宋体" w:cs="宋体"/>
          <w:color w:val="000000" w:themeColor="text1"/>
          <w:szCs w:val="21"/>
          <w:highlight w:val="none"/>
          <w:lang w:eastAsia="zh-CN"/>
          <w14:textFill>
            <w14:solidFill>
              <w14:schemeClr w14:val="tx1"/>
            </w14:solidFill>
          </w14:textFill>
        </w:rPr>
        <w:t>符合合同要求的</w:t>
      </w:r>
      <w:r>
        <w:rPr>
          <w:rFonts w:hint="eastAsia" w:ascii="宋体" w:hAnsi="宋体" w:eastAsia="宋体" w:cs="宋体"/>
          <w:color w:val="000000" w:themeColor="text1"/>
          <w:szCs w:val="21"/>
          <w:highlight w:val="none"/>
          <w14:textFill>
            <w14:solidFill>
              <w14:schemeClr w14:val="tx1"/>
            </w14:solidFill>
          </w14:textFill>
        </w:rPr>
        <w:t>替换人员到岗并完成工作交接，甲方确认无误后，乙方</w:t>
      </w:r>
      <w:r>
        <w:rPr>
          <w:rFonts w:hint="eastAsia" w:ascii="宋体" w:hAnsi="宋体" w:eastAsia="宋体" w:cs="宋体"/>
          <w:color w:val="000000" w:themeColor="text1"/>
          <w:szCs w:val="21"/>
          <w:highlight w:val="none"/>
          <w:lang w:eastAsia="zh-CN"/>
          <w14:textFill>
            <w14:solidFill>
              <w14:schemeClr w14:val="tx1"/>
            </w14:solidFill>
          </w14:textFill>
        </w:rPr>
        <w:t>服务</w:t>
      </w:r>
      <w:r>
        <w:rPr>
          <w:rFonts w:hint="eastAsia" w:ascii="宋体" w:hAnsi="宋体" w:eastAsia="宋体" w:cs="宋体"/>
          <w:color w:val="000000" w:themeColor="text1"/>
          <w:szCs w:val="21"/>
          <w:highlight w:val="none"/>
          <w14:textFill>
            <w14:solidFill>
              <w14:schemeClr w14:val="tx1"/>
            </w14:solidFill>
          </w14:textFill>
        </w:rPr>
        <w:t>人员方可离场</w:t>
      </w:r>
      <w:r>
        <w:rPr>
          <w:rFonts w:hint="eastAsia" w:ascii="宋体" w:hAnsi="宋体" w:eastAsia="宋体" w:cs="宋体"/>
          <w:color w:val="000000" w:themeColor="text1"/>
          <w:szCs w:val="21"/>
          <w:highlight w:val="none"/>
          <w:lang w:eastAsia="zh-CN"/>
          <w14:textFill>
            <w14:solidFill>
              <w14:schemeClr w14:val="tx1"/>
            </w14:solidFill>
          </w14:textFill>
        </w:rPr>
        <w:t>。否则</w:t>
      </w:r>
      <w:r>
        <w:rPr>
          <w:rFonts w:hint="eastAsia" w:ascii="宋体" w:hAnsi="宋体" w:eastAsia="宋体" w:cs="宋体"/>
          <w:color w:val="000000" w:themeColor="text1"/>
          <w:szCs w:val="21"/>
          <w:highlight w:val="none"/>
          <w14:textFill>
            <w14:solidFill>
              <w14:schemeClr w14:val="tx1"/>
            </w14:solidFill>
          </w14:textFill>
        </w:rPr>
        <w:t>，视为乙方违约。每违约1天（不足1天的按1天计算），乙方应按合同金额1‰*未按</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要求更换人员数量支付违约金，该违约金累计不超过合同金额10%。达到</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天时甲方有权单方面解除本合同，合同金额没有支付的，不再支付；已经支付的，甲方有权追回，且乙方应按合同金额30%承担违约金；如因此造成甲方损失的，还应赔偿甲方损失。</w:t>
      </w:r>
    </w:p>
    <w:p w14:paraId="307725DF">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乙方提供的服务如侵犯了第三方合法权益而引发的任何纠纷或诉讼，均由乙方负责交涉并承担全部责任。甲方有权解除合同，合同金额没有支付的，不再支付；已经支付的，甲方有权追回，且乙方应按合同金额30</w:t>
      </w:r>
      <w:r>
        <w:rPr>
          <w:rFonts w:hint="eastAsia" w:ascii="宋体" w:hAnsi="宋体" w:eastAsia="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承担违约金</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造成甲方损失的，还应赔偿甲方损失。</w:t>
      </w:r>
    </w:p>
    <w:bookmarkEnd w:id="183"/>
    <w:p w14:paraId="62347050">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6、在合同服务期内，除不可抗力原因或甲方原因外，乙方违反本合同和招投标文件约定的有关质量保证及售后服务等的，每发生一次按当期合同金额的</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‰向甲方支付违约金。同时，甲方有权委托第三方进行保修，所产生的费用由乙方承担。若因货物缺陷或乙方服务质量等问题造成甲方或任何人员人身、财产损害的，乙方应承担有关责任并作出相应赔偿。</w:t>
      </w:r>
    </w:p>
    <w:p w14:paraId="750449A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7、乙方提供的服务在服务期内，因服务质量原因造成的问题，由乙方负责，费用从未付合同价款中扣除，不足另补。</w:t>
      </w:r>
    </w:p>
    <w:p w14:paraId="07CE0C8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8、如乙方违反合同约定的信息安全及保密要求，每违反一次按合同金额的</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%向甲方支付违约金，累计不超过合同金额的30%</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违约金不足以弥补甲方实际损失的，还应支付赔偿金。</w:t>
      </w:r>
    </w:p>
    <w:p w14:paraId="2709C346">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9、乙方不能就所中标的项目进行违法分包、转包，如发现乙方有违法分包、转包现象，甲方有权终止合同，由此造成的损失由乙方负责，同时乙方应按合同金额的30%向甲方支付违约金。</w:t>
      </w:r>
    </w:p>
    <w:p w14:paraId="2367B18E">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10、乙方其它违约行为按合同</w:t>
      </w:r>
      <w:r>
        <w:rPr>
          <w:rFonts w:hint="eastAsia" w:ascii="宋体" w:hAnsi="宋体" w:eastAsia="宋体" w:cs="宋体"/>
          <w:color w:val="000000" w:themeColor="text1"/>
          <w:szCs w:val="21"/>
          <w:highlight w:val="none"/>
          <w:lang w:eastAsia="zh-CN"/>
          <w14:textFill>
            <w14:solidFill>
              <w14:schemeClr w14:val="tx1"/>
            </w14:solidFill>
          </w14:textFill>
        </w:rPr>
        <w:t>金额的</w:t>
      </w:r>
      <w:r>
        <w:rPr>
          <w:rFonts w:hint="eastAsia" w:ascii="宋体" w:hAnsi="宋体" w:eastAsia="宋体" w:cs="宋体"/>
          <w:color w:val="000000" w:themeColor="text1"/>
          <w:szCs w:val="21"/>
          <w:highlight w:val="none"/>
          <w14:textFill>
            <w14:solidFill>
              <w14:schemeClr w14:val="tx1"/>
            </w14:solidFill>
          </w14:textFill>
        </w:rPr>
        <w:t>5%收取违约金并赔偿</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经济损失。乙方按合同约定应当向甲方支付的违约金，甲方有权从待支付的服务费用中相应扣除。</w:t>
      </w:r>
    </w:p>
    <w:p w14:paraId="7FF76F05">
      <w:pPr>
        <w:keepNext w:val="0"/>
        <w:keepLines w:val="0"/>
        <w:pageBreakBefore w:val="0"/>
        <w:widowControl w:val="0"/>
        <w:kinsoku/>
        <w:wordWrap/>
        <w:overflowPunct/>
        <w:topLinePunct w:val="0"/>
        <w:autoSpaceDE/>
        <w:autoSpaceDN/>
        <w:bidi w:val="0"/>
        <w:adjustRightInd/>
        <w:snapToGrid w:val="0"/>
        <w:spacing w:line="440" w:lineRule="exact"/>
        <w:ind w:firstLineChars="200"/>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11、在合同服务期内，</w:t>
      </w:r>
      <w:r>
        <w:rPr>
          <w:rFonts w:hint="eastAsia" w:ascii="宋体" w:hAnsi="宋体" w:eastAsia="宋体" w:cs="宋体"/>
          <w:color w:val="000000" w:themeColor="text1"/>
          <w:szCs w:val="21"/>
          <w:highlight w:val="none"/>
          <w14:textFill>
            <w14:solidFill>
              <w14:schemeClr w14:val="tx1"/>
            </w14:solidFill>
          </w14:textFill>
        </w:rPr>
        <w:t>除不可抗力原因外，</w:t>
      </w:r>
      <w:r>
        <w:rPr>
          <w:rFonts w:hint="eastAsia" w:ascii="宋体" w:hAnsi="宋体" w:eastAsia="宋体" w:cs="宋体"/>
          <w:color w:val="000000" w:themeColor="text1"/>
          <w:szCs w:val="21"/>
          <w:highlight w:val="none"/>
          <w:lang w:eastAsia="zh-CN"/>
          <w14:textFill>
            <w14:solidFill>
              <w14:schemeClr w14:val="tx1"/>
            </w14:solidFill>
          </w14:textFill>
        </w:rPr>
        <w:t>分包供应商不按合同履约影响本项目进度、服务质量等的，</w:t>
      </w:r>
      <w:r>
        <w:rPr>
          <w:rFonts w:hint="eastAsia" w:ascii="宋体" w:hAnsi="宋体" w:eastAsia="宋体" w:cs="宋体"/>
          <w:color w:val="000000" w:themeColor="text1"/>
          <w:szCs w:val="21"/>
          <w:highlight w:val="none"/>
          <w14:textFill>
            <w14:solidFill>
              <w14:schemeClr w14:val="tx1"/>
            </w14:solidFill>
          </w14:textFill>
        </w:rPr>
        <w:t>每发生一次</w:t>
      </w:r>
      <w:r>
        <w:rPr>
          <w:rFonts w:hint="eastAsia" w:ascii="宋体" w:hAnsi="宋体" w:eastAsia="宋体" w:cs="宋体"/>
          <w:color w:val="000000" w:themeColor="text1"/>
          <w:szCs w:val="21"/>
          <w:highlight w:val="none"/>
          <w:lang w:eastAsia="zh-CN"/>
          <w14:textFill>
            <w14:solidFill>
              <w14:schemeClr w14:val="tx1"/>
            </w14:solidFill>
          </w14:textFill>
        </w:rPr>
        <w:t>，乙方应</w:t>
      </w:r>
      <w:r>
        <w:rPr>
          <w:rFonts w:hint="eastAsia" w:ascii="宋体" w:hAnsi="宋体" w:eastAsia="宋体" w:cs="宋体"/>
          <w:color w:val="000000" w:themeColor="text1"/>
          <w:szCs w:val="21"/>
          <w:highlight w:val="none"/>
          <w14:textFill>
            <w14:solidFill>
              <w14:schemeClr w14:val="tx1"/>
            </w14:solidFill>
          </w14:textFill>
        </w:rPr>
        <w:t>按合同金额的</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10</w:t>
      </w:r>
      <w:r>
        <w:rPr>
          <w:rFonts w:hint="eastAsia" w:ascii="宋体" w:hAnsi="宋体" w:eastAsia="宋体" w:cs="宋体"/>
          <w:color w:val="000000" w:themeColor="text1"/>
          <w:szCs w:val="21"/>
          <w:highlight w:val="none"/>
          <w14:textFill>
            <w14:solidFill>
              <w14:schemeClr w14:val="tx1"/>
            </w14:solidFill>
          </w14:textFill>
        </w:rPr>
        <w:t>%向甲方支付违约金</w:t>
      </w:r>
      <w:r>
        <w:rPr>
          <w:rFonts w:hint="eastAsia" w:ascii="宋体" w:hAnsi="宋体" w:eastAsia="宋体" w:cs="宋体"/>
          <w:color w:val="000000" w:themeColor="text1"/>
          <w:szCs w:val="21"/>
          <w:highlight w:val="none"/>
          <w:lang w:eastAsia="zh-CN"/>
          <w14:textFill>
            <w14:solidFill>
              <w14:schemeClr w14:val="tx1"/>
            </w14:solidFill>
          </w14:textFill>
        </w:rPr>
        <w:t>，该违约金</w:t>
      </w:r>
      <w:r>
        <w:rPr>
          <w:rFonts w:hint="eastAsia" w:ascii="宋体" w:hAnsi="宋体" w:eastAsia="宋体" w:cs="宋体"/>
          <w:color w:val="000000" w:themeColor="text1"/>
          <w:szCs w:val="21"/>
          <w:highlight w:val="none"/>
          <w14:textFill>
            <w14:solidFill>
              <w14:schemeClr w14:val="tx1"/>
            </w14:solidFill>
          </w14:textFill>
        </w:rPr>
        <w:t>累计不超过合同金额的30%</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违约金不足以弥补甲方实际损失的，还应支付赔偿金。</w:t>
      </w:r>
      <w:r>
        <w:rPr>
          <w:rFonts w:hint="eastAsia" w:ascii="宋体" w:hAnsi="宋体" w:eastAsia="宋体" w:cs="宋体"/>
          <w:color w:val="000000" w:themeColor="text1"/>
          <w:szCs w:val="21"/>
          <w:highlight w:val="none"/>
          <w:lang w:eastAsia="zh-CN"/>
          <w14:textFill>
            <w14:solidFill>
              <w14:schemeClr w14:val="tx1"/>
            </w14:solidFill>
          </w14:textFill>
        </w:rPr>
        <w:t>甲方有权要求乙方立即终止与该分包供应商的合同，并在</w:t>
      </w:r>
      <w:r>
        <w:rPr>
          <w:rFonts w:hint="eastAsia" w:ascii="宋体" w:hAnsi="宋体" w:eastAsia="宋体" w:cs="宋体"/>
          <w:color w:val="000000" w:themeColor="text1"/>
          <w:szCs w:val="21"/>
          <w:highlight w:val="none"/>
          <w:lang w:val="en-US" w:eastAsia="zh-CN"/>
          <w14:textFill>
            <w14:solidFill>
              <w14:schemeClr w14:val="tx1"/>
            </w14:solidFill>
          </w14:textFill>
        </w:rPr>
        <w:t>30天内</w:t>
      </w:r>
      <w:r>
        <w:rPr>
          <w:rFonts w:hint="eastAsia" w:ascii="宋体" w:hAnsi="宋体" w:eastAsia="宋体" w:cs="宋体"/>
          <w:color w:val="000000" w:themeColor="text1"/>
          <w:szCs w:val="21"/>
          <w:highlight w:val="none"/>
          <w:lang w:eastAsia="zh-CN"/>
          <w14:textFill>
            <w14:solidFill>
              <w14:schemeClr w14:val="tx1"/>
            </w14:solidFill>
          </w14:textFill>
        </w:rPr>
        <w:t>与新分包供应商签订合同。分包合同终止至新分包合同签订期间，乙方须按合同保证甲方服务；乙方超出</w:t>
      </w:r>
      <w:r>
        <w:rPr>
          <w:rFonts w:hint="eastAsia" w:ascii="宋体" w:hAnsi="宋体" w:eastAsia="宋体" w:cs="宋体"/>
          <w:color w:val="000000" w:themeColor="text1"/>
          <w:szCs w:val="21"/>
          <w:highlight w:val="none"/>
          <w:lang w:val="en-US" w:eastAsia="zh-CN"/>
          <w14:textFill>
            <w14:solidFill>
              <w14:schemeClr w14:val="tx1"/>
            </w14:solidFill>
          </w14:textFill>
        </w:rPr>
        <w:t>30天还未</w:t>
      </w:r>
      <w:r>
        <w:rPr>
          <w:rFonts w:hint="eastAsia" w:ascii="宋体" w:hAnsi="宋体" w:eastAsia="宋体" w:cs="宋体"/>
          <w:color w:val="000000" w:themeColor="text1"/>
          <w:szCs w:val="21"/>
          <w:highlight w:val="none"/>
          <w:lang w:eastAsia="zh-CN"/>
          <w14:textFill>
            <w14:solidFill>
              <w14:schemeClr w14:val="tx1"/>
            </w14:solidFill>
          </w14:textFill>
        </w:rPr>
        <w:t>与新分包供应商签订合同的，甲方不再支付相应服务费用，期间费用由乙方自行承担，直至新分包合同签订。</w:t>
      </w:r>
    </w:p>
    <w:p w14:paraId="077E63E1">
      <w:pPr>
        <w:keepNext w:val="0"/>
        <w:keepLines w:val="0"/>
        <w:pageBreakBefore w:val="0"/>
        <w:widowControl w:val="0"/>
        <w:kinsoku/>
        <w:wordWrap/>
        <w:overflowPunct/>
        <w:topLinePunct w:val="0"/>
        <w:autoSpaceDE/>
        <w:autoSpaceDN/>
        <w:bidi w:val="0"/>
        <w:adjustRightInd/>
        <w:snapToGrid w:val="0"/>
        <w:spacing w:line="440" w:lineRule="exact"/>
        <w:ind w:firstLineChars="200"/>
        <w:textAlignment w:val="auto"/>
        <w:outlineLvl w:val="9"/>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12、在合同服务期内，乙方</w:t>
      </w:r>
      <w:r>
        <w:rPr>
          <w:rFonts w:hint="eastAsia" w:ascii="宋体" w:hAnsi="宋体" w:eastAsia="宋体" w:cs="宋体"/>
          <w:color w:val="000000" w:themeColor="text1"/>
          <w:szCs w:val="21"/>
          <w:highlight w:val="none"/>
          <w14:textFill>
            <w14:solidFill>
              <w14:schemeClr w14:val="tx1"/>
            </w14:solidFill>
          </w14:textFill>
        </w:rPr>
        <w:t>驻场服务人员作为本项目的专职服务人员，不能再作为其它项目的服务人员复用。一经发现人员复用情况，</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须</w:t>
      </w:r>
      <w:r>
        <w:rPr>
          <w:rFonts w:hint="eastAsia" w:ascii="宋体" w:hAnsi="宋体" w:eastAsia="宋体" w:cs="宋体"/>
          <w:color w:val="000000" w:themeColor="text1"/>
          <w:szCs w:val="21"/>
          <w:highlight w:val="none"/>
          <w:lang w:eastAsia="zh-CN"/>
          <w14:textFill>
            <w14:solidFill>
              <w14:schemeClr w14:val="tx1"/>
            </w14:solidFill>
          </w14:textFill>
        </w:rPr>
        <w:t>无条件</w:t>
      </w:r>
      <w:r>
        <w:rPr>
          <w:rFonts w:hint="eastAsia" w:ascii="宋体" w:hAnsi="宋体" w:eastAsia="宋体" w:cs="宋体"/>
          <w:color w:val="000000" w:themeColor="text1"/>
          <w:szCs w:val="21"/>
          <w:highlight w:val="none"/>
          <w14:textFill>
            <w14:solidFill>
              <w14:schemeClr w14:val="tx1"/>
            </w14:solidFill>
          </w14:textFill>
        </w:rPr>
        <w:t>在</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14:textFill>
            <w14:solidFill>
              <w14:schemeClr w14:val="tx1"/>
            </w14:solidFill>
          </w14:textFill>
        </w:rPr>
        <w:t>个工作日内完成整改并经</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确认无误。否则，视为</w:t>
      </w:r>
      <w:r>
        <w:rPr>
          <w:rFonts w:hint="eastAsia" w:ascii="宋体" w:hAnsi="宋体" w:eastAsia="宋体" w:cs="宋体"/>
          <w:color w:val="000000" w:themeColor="text1"/>
          <w:szCs w:val="21"/>
          <w:highlight w:val="none"/>
          <w:lang w:eastAsia="zh-CN"/>
          <w14:textFill>
            <w14:solidFill>
              <w14:schemeClr w14:val="tx1"/>
            </w14:solidFill>
          </w14:textFill>
        </w:rPr>
        <w:t>乙方</w:t>
      </w:r>
      <w:r>
        <w:rPr>
          <w:rFonts w:hint="eastAsia" w:ascii="宋体" w:hAnsi="宋体" w:eastAsia="宋体" w:cs="宋体"/>
          <w:color w:val="000000" w:themeColor="text1"/>
          <w:szCs w:val="21"/>
          <w:highlight w:val="none"/>
          <w14:textFill>
            <w14:solidFill>
              <w14:schemeClr w14:val="tx1"/>
            </w14:solidFill>
          </w14:textFill>
        </w:rPr>
        <w:t>违约。每</w:t>
      </w:r>
      <w:r>
        <w:rPr>
          <w:rFonts w:hint="eastAsia" w:ascii="宋体" w:hAnsi="宋体" w:eastAsia="宋体" w:cs="宋体"/>
          <w:color w:val="000000" w:themeColor="text1"/>
          <w:szCs w:val="21"/>
          <w:highlight w:val="none"/>
          <w:lang w:eastAsia="zh-CN"/>
          <w14:textFill>
            <w14:solidFill>
              <w14:schemeClr w14:val="tx1"/>
            </w14:solidFill>
          </w14:textFill>
        </w:rPr>
        <w:t>复用</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人</w:t>
      </w:r>
      <w:r>
        <w:rPr>
          <w:rFonts w:hint="eastAsia" w:ascii="宋体" w:hAnsi="宋体" w:eastAsia="宋体" w:cs="宋体"/>
          <w:color w:val="000000" w:themeColor="text1"/>
          <w:szCs w:val="21"/>
          <w:highlight w:val="none"/>
          <w:lang w:val="en-US" w:eastAsia="zh-CN"/>
          <w14:textFill>
            <w14:solidFill>
              <w14:schemeClr w14:val="tx1"/>
            </w14:solidFill>
          </w14:textFill>
        </w:rPr>
        <w:t>/次，</w:t>
      </w:r>
      <w:r>
        <w:rPr>
          <w:rFonts w:hint="eastAsia" w:ascii="宋体" w:hAnsi="宋体" w:eastAsia="宋体" w:cs="宋体"/>
          <w:color w:val="000000" w:themeColor="text1"/>
          <w:szCs w:val="21"/>
          <w:highlight w:val="none"/>
          <w14:textFill>
            <w14:solidFill>
              <w14:schemeClr w14:val="tx1"/>
            </w14:solidFill>
          </w14:textFill>
        </w:rPr>
        <w:t>按合同金额的</w:t>
      </w: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‰向甲方支付违约金，累计不超过合同金额的30%；违约金不足以弥补甲方实际损失的，还应支付赔偿金。</w:t>
      </w:r>
    </w:p>
    <w:p w14:paraId="241500E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、本条所称损失是指一方因另一方违约而遭受的全部经济损失（包括但不限于直接损失、间接损失及实现债权的费用，如诉讼费、律师费、差旅费、调查费、财产保全责任险保险费等）。</w:t>
      </w:r>
    </w:p>
    <w:p w14:paraId="498028E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、甲方有权从未付价款中先行扣除乙方应支付的违约金、赔偿金，不足另补。</w:t>
      </w:r>
    </w:p>
    <w:p w14:paraId="29120531">
      <w:pPr>
        <w:keepNext w:val="0"/>
        <w:keepLines w:val="0"/>
        <w:pageBreakBefore w:val="0"/>
        <w:widowControl w:val="0"/>
        <w:kinsoku/>
        <w:wordWrap/>
        <w:overflowPunct/>
        <w:topLinePunct w:val="0"/>
        <w:autoSpaceDE/>
        <w:autoSpaceDN/>
        <w:bidi w:val="0"/>
        <w:adjustRightInd/>
        <w:snapToGrid w:val="0"/>
        <w:spacing w:line="440" w:lineRule="exact"/>
        <w:ind w:firstLine="413" w:firstLineChars="196"/>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第十一条 通知和送达</w:t>
      </w:r>
    </w:p>
    <w:p w14:paraId="7559A6F5">
      <w:pPr>
        <w:keepNext w:val="0"/>
        <w:keepLines w:val="0"/>
        <w:pageBreakBefore w:val="0"/>
        <w:widowControl w:val="0"/>
        <w:kinsoku/>
        <w:wordWrap/>
        <w:overflowPunct/>
        <w:topLinePunct w:val="0"/>
        <w:autoSpaceDE/>
        <w:autoSpaceDN/>
        <w:bidi w:val="0"/>
        <w:adjustRightInd/>
        <w:snapToGrid w:val="0"/>
        <w:spacing w:line="440" w:lineRule="exact"/>
        <w:ind w:firstLine="411" w:firstLineChars="196"/>
        <w:textAlignment w:val="auto"/>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各方确认，本合同载明的各方地址为各方真实有效通讯地址，一方向对方发出的任何通知、信函和文件，以挂号信函或快递信函方式向对方地址邮寄有关通知、信函和文件的，自发出之日起第三日视为送达对方，挂号信函或快递信函的邮寄凭证即视为成功送达的有效凭证。一方地址变更的，应在变更后10日内书面通知对方，否则本合同载明的地址仍为真实有效通讯地址。若为专人提交的，自对方法定代表人、授权代表、委托代理人签收时或单位盖章时视为送达对方。因提供或者确认的通讯地址不准确、通讯地址变更后未及时依程序告知对方或受送达方拒绝签收等原因，导致文书未能被实际接收的，邮寄送达的，以文书退回之日视为送达之日。</w:t>
      </w:r>
    </w:p>
    <w:p w14:paraId="59EA7EE4">
      <w:pPr>
        <w:keepNext w:val="0"/>
        <w:keepLines w:val="0"/>
        <w:pageBreakBefore w:val="0"/>
        <w:widowControl w:val="0"/>
        <w:kinsoku/>
        <w:wordWrap/>
        <w:overflowPunct/>
        <w:topLinePunct w:val="0"/>
        <w:autoSpaceDE/>
        <w:autoSpaceDN/>
        <w:bidi w:val="0"/>
        <w:adjustRightInd/>
        <w:snapToGrid w:val="0"/>
        <w:spacing w:line="440" w:lineRule="exact"/>
        <w:ind w:firstLine="411" w:firstLineChars="196"/>
        <w:textAlignment w:val="auto"/>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2、本合同载明的各方电子邮箱、微信号是各方真实有效的通讯联系方式，一方向对方发出的任何通知、信函和文件，若以邮件方式发送的，自邮件发送成功视为送达对方，若以微信方式发送的，自微信发送成功视为送达对方。一方电子邮箱或微信变更的，应在变更后10日内书面通知对方，否则本合同载明的电子邮箱或微信仍为真实有效的通讯联系方式。</w:t>
      </w:r>
    </w:p>
    <w:p w14:paraId="37B83A82">
      <w:pPr>
        <w:keepNext w:val="0"/>
        <w:keepLines w:val="0"/>
        <w:pageBreakBefore w:val="0"/>
        <w:widowControl w:val="0"/>
        <w:kinsoku/>
        <w:wordWrap/>
        <w:overflowPunct/>
        <w:topLinePunct w:val="0"/>
        <w:autoSpaceDE/>
        <w:autoSpaceDN/>
        <w:bidi w:val="0"/>
        <w:adjustRightInd/>
        <w:snapToGrid w:val="0"/>
        <w:spacing w:line="440" w:lineRule="exact"/>
        <w:ind w:firstLine="411" w:firstLineChars="196"/>
        <w:textAlignment w:val="auto"/>
        <w:outlineLvl w:val="9"/>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3、上述送达地址和联系方式适用范围包括双方非诉时各类通知、合同等文件以及就合同发生纠纷时相关文件和法律文书的送达，同时包括在争议进入民事诉讼程序后的一审、二审、再审和执行程序。</w:t>
      </w:r>
    </w:p>
    <w:p w14:paraId="6AE1409E">
      <w:pPr>
        <w:keepNext w:val="0"/>
        <w:keepLines w:val="0"/>
        <w:pageBreakBefore w:val="0"/>
        <w:widowControl w:val="0"/>
        <w:kinsoku/>
        <w:wordWrap/>
        <w:overflowPunct/>
        <w:topLinePunct w:val="0"/>
        <w:autoSpaceDE/>
        <w:autoSpaceDN/>
        <w:bidi w:val="0"/>
        <w:adjustRightInd/>
        <w:snapToGrid w:val="0"/>
        <w:spacing w:line="440" w:lineRule="exact"/>
        <w:ind w:firstLine="413" w:firstLineChars="196"/>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第十二条  不可抗力事件处理</w:t>
      </w:r>
    </w:p>
    <w:p w14:paraId="23C0B07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1、在合同有效期内，任何一方因不可抗力事件导致不能履行合同，则合同履行期可延长，其延长期与不可抗力影响期相同。</w:t>
      </w:r>
    </w:p>
    <w:p w14:paraId="00F5107D">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2、不可抗力事件发生后，应立即通知对方，并寄送有关权威机构出具的证明。</w:t>
      </w:r>
    </w:p>
    <w:p w14:paraId="7C5B1A9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3、不可抗力事件延续120天以上，双方应通过友好协商，确定是否继续履行合同。</w:t>
      </w:r>
    </w:p>
    <w:p w14:paraId="04B6751C">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第十三条  合同争议解决</w:t>
      </w:r>
    </w:p>
    <w:p w14:paraId="769D37F8">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1、因服务质量问题发生争议的，应邀请国家认可的机构对服务质量进行鉴定，鉴定费由乙方承担。质量鉴定应当由双方共同委托，乙方单独委托质量检测机构进行鉴定的，甲方对鉴定结果不予认可。</w:t>
      </w:r>
    </w:p>
    <w:p w14:paraId="768CF5E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2、因履行本合同引起的或与本合同有关的争议，甲乙双方应首先通过友好协商解决，如果协商不能解决，应向甲方住所地人民法院诉讼解决。</w:t>
      </w:r>
    </w:p>
    <w:p w14:paraId="60C70EDC">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3、诉讼期间，如甲方未主张解除合同的，本合同继续履行。</w:t>
      </w:r>
    </w:p>
    <w:p w14:paraId="291BF317">
      <w:pPr>
        <w:keepNext w:val="0"/>
        <w:keepLines w:val="0"/>
        <w:pageBreakBefore w:val="0"/>
        <w:widowControl w:val="0"/>
        <w:kinsoku/>
        <w:wordWrap/>
        <w:overflowPunct/>
        <w:topLinePunct w:val="0"/>
        <w:autoSpaceDE/>
        <w:autoSpaceDN/>
        <w:bidi w:val="0"/>
        <w:adjustRightInd/>
        <w:snapToGrid w:val="0"/>
        <w:spacing w:line="440" w:lineRule="exact"/>
        <w:ind w:firstLine="413" w:firstLineChars="196"/>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第十四条  合同生效及其它</w:t>
      </w:r>
    </w:p>
    <w:p w14:paraId="1FE1FE75">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1、合同经双方法定代表人或授权代表签字并加盖双方单位公章后生效（委托代理人签字的需后附法定代表人授权委托书，格式自拟）。</w:t>
      </w:r>
    </w:p>
    <w:p w14:paraId="74FEB1C9">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2、合同执行中涉及采购资金和采购内容修改或补充的，在法规范围内，须签书面补充协议方可作为主合同不可分割的一部分。</w:t>
      </w:r>
    </w:p>
    <w:p w14:paraId="47162FF3">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3、本合同未尽事宜，遵照《中华人民共和国民法典》有关条文执行。</w:t>
      </w:r>
    </w:p>
    <w:p w14:paraId="2F1DCD63">
      <w:pPr>
        <w:keepNext w:val="0"/>
        <w:keepLines w:val="0"/>
        <w:pageBreakBefore w:val="0"/>
        <w:widowControl w:val="0"/>
        <w:kinsoku/>
        <w:wordWrap/>
        <w:overflowPunct/>
        <w:topLinePunct w:val="0"/>
        <w:autoSpaceDE/>
        <w:autoSpaceDN/>
        <w:bidi w:val="0"/>
        <w:adjustRightInd/>
        <w:snapToGrid w:val="0"/>
        <w:spacing w:line="440" w:lineRule="exact"/>
        <w:ind w:firstLine="413" w:firstLineChars="196"/>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第十五条　合同的变更、终止与转让</w:t>
      </w:r>
    </w:p>
    <w:p w14:paraId="076973B1">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1、除《中华人民共和国政府采购法》第50条规定的情形外，本合同一经签订，甲乙双方不得擅自变更、中止或终止。</w:t>
      </w:r>
    </w:p>
    <w:p w14:paraId="5ADA6E6E">
      <w:pPr>
        <w:keepNext w:val="0"/>
        <w:keepLines w:val="0"/>
        <w:pageBreakBefore w:val="0"/>
        <w:widowControl w:val="0"/>
        <w:kinsoku/>
        <w:wordWrap/>
        <w:overflowPunct/>
        <w:topLinePunct w:val="0"/>
        <w:autoSpaceDE/>
        <w:autoSpaceDN/>
        <w:bidi w:val="0"/>
        <w:adjustRightInd/>
        <w:snapToGrid w:val="0"/>
        <w:spacing w:line="440" w:lineRule="exact"/>
        <w:ind w:firstLine="411" w:firstLineChars="196"/>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2、乙方不得擅自转让（无进口资格的供应商委托进口货物除外）其应履行的合同义务。</w:t>
      </w:r>
    </w:p>
    <w:p w14:paraId="1FB9074B">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第十六条　签订本合同依据</w:t>
      </w:r>
    </w:p>
    <w:p w14:paraId="422FC615">
      <w:pPr>
        <w:keepNext w:val="0"/>
        <w:keepLines w:val="0"/>
        <w:pageBreakBefore w:val="0"/>
        <w:widowControl w:val="0"/>
        <w:numPr>
          <w:ilvl w:val="0"/>
          <w:numId w:val="20"/>
        </w:numPr>
        <w:kinsoku/>
        <w:wordWrap/>
        <w:overflowPunct/>
        <w:topLinePunct w:val="0"/>
        <w:autoSpaceDE/>
        <w:autoSpaceDN/>
        <w:bidi w:val="0"/>
        <w:adjustRightInd/>
        <w:snapToGrid w:val="0"/>
        <w:spacing w:line="440" w:lineRule="exact"/>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政府采购招标文件；2、乙方提供的投标文件；3、投标承诺书；4、中标或成交通知书。</w:t>
      </w:r>
    </w:p>
    <w:p w14:paraId="10B3BECE">
      <w:pPr>
        <w:pStyle w:val="9"/>
        <w:keepNext w:val="0"/>
        <w:keepLines w:val="0"/>
        <w:pageBreakBefore w:val="0"/>
        <w:widowControl w:val="0"/>
        <w:kinsoku/>
        <w:wordWrap/>
        <w:overflowPunct/>
        <w:topLinePunct w:val="0"/>
        <w:autoSpaceDE/>
        <w:autoSpaceDN/>
        <w:bidi w:val="0"/>
        <w:adjustRightInd/>
        <w:spacing w:line="440" w:lineRule="exact"/>
        <w:textAlignment w:val="auto"/>
        <w:outlineLvl w:val="9"/>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第十七条</w:t>
      </w:r>
      <w:r>
        <w:rPr>
          <w:rFonts w:hint="eastAsia" w:ascii="宋体" w:hAnsi="宋体" w:eastAsia="宋体" w:cs="宋体"/>
          <w:color w:val="000000" w:themeColor="text1"/>
          <w:highlight w:val="none"/>
          <w14:textFill>
            <w14:solidFill>
              <w14:schemeClr w14:val="tx1"/>
            </w14:solidFill>
          </w14:textFill>
        </w:rPr>
        <w:t>　本合同的实质性条款凡与招标文件有冲突的，一律以招标文件的约定为准。</w:t>
      </w:r>
    </w:p>
    <w:p w14:paraId="1BF3A132">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textAlignment w:val="auto"/>
        <w:outlineLvl w:val="9"/>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第十八条　</w:t>
      </w:r>
      <w:r>
        <w:rPr>
          <w:rFonts w:hint="eastAsia" w:ascii="宋体" w:hAnsi="宋体" w:eastAsia="宋体" w:cs="宋体"/>
          <w:color w:val="000000" w:themeColor="text1"/>
          <w:szCs w:val="21"/>
          <w:highlight w:val="none"/>
          <w14:textFill>
            <w14:solidFill>
              <w14:schemeClr w14:val="tx1"/>
            </w14:solidFill>
          </w14:textFill>
        </w:rPr>
        <w:t>本合同一式捌份，具有同等法律效力，财政部门（政府采购监管部门）、采购代理机构各</w:t>
      </w:r>
      <w:r>
        <w:rPr>
          <w:rFonts w:hint="eastAsia" w:ascii="宋体" w:hAnsi="宋体" w:eastAsia="宋体" w:cs="宋体"/>
          <w:color w:val="000000" w:themeColor="text1"/>
          <w:szCs w:val="21"/>
          <w:highlight w:val="none"/>
          <w:lang w:eastAsia="zh-CN"/>
          <w14:textFill>
            <w14:solidFill>
              <w14:schemeClr w14:val="tx1"/>
            </w14:solidFill>
          </w14:textFill>
        </w:rPr>
        <w:t>壹</w:t>
      </w:r>
      <w:r>
        <w:rPr>
          <w:rFonts w:hint="eastAsia" w:ascii="宋体" w:hAnsi="宋体" w:eastAsia="宋体" w:cs="宋体"/>
          <w:color w:val="000000" w:themeColor="text1"/>
          <w:szCs w:val="21"/>
          <w:highlight w:val="none"/>
          <w14:textFill>
            <w14:solidFill>
              <w14:schemeClr w14:val="tx1"/>
            </w14:solidFill>
          </w14:textFill>
        </w:rPr>
        <w:t>份，甲方伍份，乙方壹份（可根据需要另增加）。</w:t>
      </w:r>
    </w:p>
    <w:p w14:paraId="2B658C42">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outlineLvl w:val="9"/>
        <w:rPr>
          <w:rFonts w:hint="eastAsia" w:ascii="宋体" w:hAnsi="宋体" w:cs="仿宋"/>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本合同自签订之日起2个工作日内，甲方</w:t>
      </w:r>
      <w:r>
        <w:rPr>
          <w:rFonts w:hint="eastAsia" w:ascii="宋体" w:hAnsi="宋体" w:cs="Courier New"/>
          <w:color w:val="000000" w:themeColor="text1"/>
          <w:szCs w:val="21"/>
          <w:highlight w:val="none"/>
          <w14:textFill>
            <w14:solidFill>
              <w14:schemeClr w14:val="tx1"/>
            </w14:solidFill>
          </w14:textFill>
        </w:rPr>
        <w:t>应当将政府采购合同在广西壮族自治区政府采购网上公告（涉密除外）。</w:t>
      </w:r>
    </w:p>
    <w:tbl>
      <w:tblPr>
        <w:tblStyle w:val="53"/>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8"/>
        <w:gridCol w:w="4680"/>
      </w:tblGrid>
      <w:tr w14:paraId="44998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788" w:type="dxa"/>
            <w:vAlign w:val="center"/>
          </w:tcPr>
          <w:p w14:paraId="56416411">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甲方（采购单位）（章） </w:t>
            </w:r>
          </w:p>
          <w:p w14:paraId="596855E9">
            <w:pPr>
              <w:rPr>
                <w:rFonts w:hint="eastAsia" w:ascii="宋体" w:hAnsi="宋体" w:cs="仿宋"/>
                <w:color w:val="000000" w:themeColor="text1"/>
                <w:szCs w:val="21"/>
                <w:highlight w:val="none"/>
                <w14:textFill>
                  <w14:solidFill>
                    <w14:schemeClr w14:val="tx1"/>
                  </w14:solidFill>
                </w14:textFill>
              </w:rPr>
            </w:pPr>
          </w:p>
          <w:p w14:paraId="0B71B761">
            <w:pPr>
              <w:rPr>
                <w:rFonts w:hint="eastAsia" w:ascii="宋体" w:hAnsi="宋体" w:cs="仿宋"/>
                <w:color w:val="000000" w:themeColor="text1"/>
                <w:szCs w:val="21"/>
                <w:highlight w:val="none"/>
                <w14:textFill>
                  <w14:solidFill>
                    <w14:schemeClr w14:val="tx1"/>
                  </w14:solidFill>
                </w14:textFill>
              </w:rPr>
            </w:pPr>
          </w:p>
          <w:p w14:paraId="43C63B5D">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年   月   日</w:t>
            </w:r>
          </w:p>
        </w:tc>
        <w:tc>
          <w:tcPr>
            <w:tcW w:w="4680" w:type="dxa"/>
            <w:vAlign w:val="center"/>
          </w:tcPr>
          <w:p w14:paraId="4E15C25C">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乙方（供应商）（章）</w:t>
            </w:r>
          </w:p>
          <w:p w14:paraId="661234C2">
            <w:pPr>
              <w:rPr>
                <w:rFonts w:hint="eastAsia" w:ascii="宋体" w:hAnsi="宋体" w:cs="仿宋"/>
                <w:color w:val="000000" w:themeColor="text1"/>
                <w:szCs w:val="21"/>
                <w:highlight w:val="none"/>
                <w14:textFill>
                  <w14:solidFill>
                    <w14:schemeClr w14:val="tx1"/>
                  </w14:solidFill>
                </w14:textFill>
              </w:rPr>
            </w:pPr>
          </w:p>
          <w:p w14:paraId="6F0278D3">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 xml:space="preserve"> 年   月   日</w:t>
            </w:r>
          </w:p>
        </w:tc>
      </w:tr>
      <w:tr w14:paraId="3DE5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4788" w:type="dxa"/>
            <w:vAlign w:val="center"/>
          </w:tcPr>
          <w:p w14:paraId="347AABCB">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单位地址：南宁市佛子岭路1号</w:t>
            </w:r>
          </w:p>
        </w:tc>
        <w:tc>
          <w:tcPr>
            <w:tcW w:w="4680" w:type="dxa"/>
            <w:vAlign w:val="center"/>
          </w:tcPr>
          <w:p w14:paraId="74B22631">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单位地址：</w:t>
            </w:r>
          </w:p>
        </w:tc>
      </w:tr>
      <w:tr w14:paraId="3D6B9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4788" w:type="dxa"/>
            <w:vAlign w:val="center"/>
          </w:tcPr>
          <w:p w14:paraId="00C63933">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法定代表人：</w:t>
            </w:r>
          </w:p>
        </w:tc>
        <w:tc>
          <w:tcPr>
            <w:tcW w:w="4680" w:type="dxa"/>
            <w:vAlign w:val="center"/>
          </w:tcPr>
          <w:p w14:paraId="193C1DAF">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法定代表人：</w:t>
            </w:r>
          </w:p>
        </w:tc>
      </w:tr>
      <w:tr w14:paraId="5CDE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4788" w:type="dxa"/>
            <w:vAlign w:val="center"/>
          </w:tcPr>
          <w:p w14:paraId="729BE1F7">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委托代理人：</w:t>
            </w:r>
          </w:p>
        </w:tc>
        <w:tc>
          <w:tcPr>
            <w:tcW w:w="4680" w:type="dxa"/>
            <w:vAlign w:val="center"/>
          </w:tcPr>
          <w:p w14:paraId="7BFD2597">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委托代理人</w:t>
            </w:r>
          </w:p>
        </w:tc>
      </w:tr>
      <w:tr w14:paraId="0F6A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4788" w:type="dxa"/>
            <w:vAlign w:val="center"/>
          </w:tcPr>
          <w:p w14:paraId="0293F71A">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电话：</w:t>
            </w:r>
          </w:p>
        </w:tc>
        <w:tc>
          <w:tcPr>
            <w:tcW w:w="4680" w:type="dxa"/>
            <w:vAlign w:val="center"/>
          </w:tcPr>
          <w:p w14:paraId="098736A4">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电话：</w:t>
            </w:r>
          </w:p>
        </w:tc>
      </w:tr>
      <w:tr w14:paraId="3FE1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4788" w:type="dxa"/>
            <w:vAlign w:val="center"/>
          </w:tcPr>
          <w:p w14:paraId="68444808">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电子邮箱：</w:t>
            </w:r>
          </w:p>
        </w:tc>
        <w:tc>
          <w:tcPr>
            <w:tcW w:w="4680" w:type="dxa"/>
            <w:vAlign w:val="center"/>
          </w:tcPr>
          <w:p w14:paraId="06E85D46">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电子邮箱：</w:t>
            </w:r>
          </w:p>
        </w:tc>
      </w:tr>
      <w:tr w14:paraId="4D512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788" w:type="dxa"/>
            <w:vAlign w:val="center"/>
          </w:tcPr>
          <w:p w14:paraId="7BDFE03E">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开户银行：</w:t>
            </w:r>
          </w:p>
        </w:tc>
        <w:tc>
          <w:tcPr>
            <w:tcW w:w="4680" w:type="dxa"/>
            <w:vAlign w:val="center"/>
          </w:tcPr>
          <w:p w14:paraId="16D9BB4E">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开户银行：</w:t>
            </w:r>
          </w:p>
        </w:tc>
      </w:tr>
      <w:tr w14:paraId="4F87D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center"/>
        </w:trPr>
        <w:tc>
          <w:tcPr>
            <w:tcW w:w="4788" w:type="dxa"/>
            <w:vAlign w:val="center"/>
          </w:tcPr>
          <w:p w14:paraId="71849B67">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账号：</w:t>
            </w:r>
          </w:p>
        </w:tc>
        <w:tc>
          <w:tcPr>
            <w:tcW w:w="4680" w:type="dxa"/>
            <w:vAlign w:val="center"/>
          </w:tcPr>
          <w:p w14:paraId="493F857F">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账号：</w:t>
            </w:r>
          </w:p>
        </w:tc>
      </w:tr>
      <w:tr w14:paraId="4DC00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788" w:type="dxa"/>
            <w:vAlign w:val="center"/>
          </w:tcPr>
          <w:p w14:paraId="0453C045">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邮政编码：</w:t>
            </w:r>
          </w:p>
        </w:tc>
        <w:tc>
          <w:tcPr>
            <w:tcW w:w="4680" w:type="dxa"/>
            <w:vAlign w:val="center"/>
          </w:tcPr>
          <w:p w14:paraId="7CF794AB">
            <w:pPr>
              <w:rPr>
                <w:rFonts w:hint="eastAsia" w:ascii="宋体" w:hAnsi="宋体" w:cs="仿宋"/>
                <w:color w:val="000000" w:themeColor="text1"/>
                <w:szCs w:val="21"/>
                <w:highlight w:val="none"/>
                <w14:textFill>
                  <w14:solidFill>
                    <w14:schemeClr w14:val="tx1"/>
                  </w14:solidFill>
                </w14:textFill>
              </w:rPr>
            </w:pPr>
            <w:r>
              <w:rPr>
                <w:rFonts w:hint="eastAsia" w:ascii="宋体" w:hAnsi="宋体" w:cs="仿宋"/>
                <w:color w:val="000000" w:themeColor="text1"/>
                <w:szCs w:val="21"/>
                <w:highlight w:val="none"/>
                <w14:textFill>
                  <w14:solidFill>
                    <w14:schemeClr w14:val="tx1"/>
                  </w14:solidFill>
                </w14:textFill>
              </w:rPr>
              <w:t>邮政编码：</w:t>
            </w:r>
          </w:p>
        </w:tc>
      </w:tr>
    </w:tbl>
    <w:p w14:paraId="1C307FF9">
      <w:pPr>
        <w:rPr>
          <w:rFonts w:hint="eastAsia" w:ascii="仿宋" w:hAnsi="仿宋" w:eastAsia="仿宋" w:cs="仿宋"/>
          <w:color w:val="000000" w:themeColor="text1"/>
          <w:highlight w:val="none"/>
          <w14:textFill>
            <w14:solidFill>
              <w14:schemeClr w14:val="tx1"/>
            </w14:solidFill>
          </w14:textFill>
        </w:rPr>
      </w:pPr>
    </w:p>
    <w:p w14:paraId="3DA7F1FA">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outlineLvl w:val="9"/>
        <w:rPr>
          <w:rFonts w:hint="eastAsia" w:ascii="宋体" w:hAnsi="宋体"/>
          <w:b/>
          <w:color w:val="000000" w:themeColor="text1"/>
          <w:sz w:val="36"/>
          <w:szCs w:val="36"/>
          <w:highlight w:val="none"/>
          <w14:textFill>
            <w14:solidFill>
              <w14:schemeClr w14:val="tx1"/>
            </w14:solidFill>
          </w14:textFill>
        </w:rPr>
      </w:pPr>
      <w:r>
        <w:rPr>
          <w:rFonts w:ascii="宋体" w:hAnsi="宋体"/>
          <w:bCs/>
          <w:color w:val="000000" w:themeColor="text1"/>
          <w:sz w:val="32"/>
          <w:szCs w:val="32"/>
          <w:highlight w:val="none"/>
          <w14:textFill>
            <w14:solidFill>
              <w14:schemeClr w14:val="tx1"/>
            </w14:solidFill>
          </w14:textFill>
        </w:rPr>
        <w:br w:type="page"/>
      </w:r>
      <w:r>
        <w:rPr>
          <w:rFonts w:hint="eastAsia" w:ascii="宋体" w:hAnsi="宋体"/>
          <w:b/>
          <w:color w:val="000000" w:themeColor="text1"/>
          <w:sz w:val="36"/>
          <w:szCs w:val="36"/>
          <w:highlight w:val="none"/>
          <w14:textFill>
            <w14:solidFill>
              <w14:schemeClr w14:val="tx1"/>
            </w14:solidFill>
          </w14:textFill>
        </w:rPr>
        <w:t>合 同 附 件</w:t>
      </w:r>
    </w:p>
    <w:p w14:paraId="1B21A46B">
      <w:pPr>
        <w:snapToGrid w:val="0"/>
        <w:rPr>
          <w:rFonts w:hint="eastAsia" w:ascii="宋体" w:hAnsi="宋体"/>
          <w:color w:val="000000" w:themeColor="text1"/>
          <w:szCs w:val="21"/>
          <w:highlight w:val="none"/>
          <w14:textFill>
            <w14:solidFill>
              <w14:schemeClr w14:val="tx1"/>
            </w14:solidFill>
          </w14:textFill>
        </w:rPr>
      </w:pPr>
    </w:p>
    <w:tbl>
      <w:tblPr>
        <w:tblStyle w:val="53"/>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4725"/>
      </w:tblGrid>
      <w:tr w14:paraId="66AE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vAlign w:val="top"/>
          </w:tcPr>
          <w:p w14:paraId="38ED83AE">
            <w:pPr>
              <w:snapToGrid w:val="0"/>
              <w:rPr>
                <w:rFonts w:hint="eastAsia" w:ascii="宋体" w:hAnsi="宋体"/>
                <w:snapToGrid w:val="0"/>
                <w:color w:val="000000" w:themeColor="text1"/>
                <w:kern w:val="0"/>
                <w:szCs w:val="21"/>
                <w:highlight w:val="none"/>
                <w14:textFill>
                  <w14:solidFill>
                    <w14:schemeClr w14:val="tx1"/>
                  </w14:solidFill>
                </w14:textFill>
              </w:rPr>
            </w:pPr>
          </w:p>
          <w:p w14:paraId="572542DC">
            <w:pPr>
              <w:snapToGrid w:val="0"/>
              <w:rPr>
                <w:rFonts w:hint="eastAsia"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1、供应商承诺具体事项：</w:t>
            </w:r>
          </w:p>
        </w:tc>
      </w:tr>
      <w:tr w14:paraId="3B78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vAlign w:val="top"/>
          </w:tcPr>
          <w:p w14:paraId="09B32064">
            <w:pPr>
              <w:snapToGrid w:val="0"/>
              <w:rPr>
                <w:rFonts w:hint="eastAsia" w:ascii="宋体" w:hAnsi="宋体"/>
                <w:snapToGrid w:val="0"/>
                <w:color w:val="000000" w:themeColor="text1"/>
                <w:kern w:val="0"/>
                <w:szCs w:val="21"/>
                <w:highlight w:val="none"/>
                <w14:textFill>
                  <w14:solidFill>
                    <w14:schemeClr w14:val="tx1"/>
                  </w14:solidFill>
                </w14:textFill>
              </w:rPr>
            </w:pPr>
          </w:p>
          <w:p w14:paraId="3C7BD7BD">
            <w:pPr>
              <w:snapToGrid w:val="0"/>
              <w:rPr>
                <w:rFonts w:hint="eastAsia"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2、售后服务具体事项：</w:t>
            </w:r>
          </w:p>
        </w:tc>
      </w:tr>
      <w:tr w14:paraId="63075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vAlign w:val="top"/>
          </w:tcPr>
          <w:p w14:paraId="04BCC26C">
            <w:pPr>
              <w:snapToGrid w:val="0"/>
              <w:rPr>
                <w:rFonts w:hint="eastAsia" w:ascii="宋体" w:hAnsi="宋体"/>
                <w:snapToGrid w:val="0"/>
                <w:color w:val="000000" w:themeColor="text1"/>
                <w:kern w:val="0"/>
                <w:szCs w:val="21"/>
                <w:highlight w:val="none"/>
                <w14:textFill>
                  <w14:solidFill>
                    <w14:schemeClr w14:val="tx1"/>
                  </w14:solidFill>
                </w14:textFill>
              </w:rPr>
            </w:pPr>
          </w:p>
          <w:p w14:paraId="29579479">
            <w:pPr>
              <w:snapToGrid w:val="0"/>
              <w:rPr>
                <w:rFonts w:hint="eastAsia"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3、质保期责任：</w:t>
            </w:r>
          </w:p>
        </w:tc>
      </w:tr>
      <w:tr w14:paraId="6BD46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0" w:hRule="atLeast"/>
          <w:jc w:val="center"/>
        </w:trPr>
        <w:tc>
          <w:tcPr>
            <w:tcW w:w="9540" w:type="dxa"/>
            <w:gridSpan w:val="2"/>
            <w:vAlign w:val="top"/>
          </w:tcPr>
          <w:p w14:paraId="48D53D20">
            <w:pPr>
              <w:snapToGrid w:val="0"/>
              <w:rPr>
                <w:rFonts w:hint="eastAsia" w:ascii="宋体" w:hAnsi="宋体"/>
                <w:snapToGrid w:val="0"/>
                <w:color w:val="000000" w:themeColor="text1"/>
                <w:kern w:val="0"/>
                <w:szCs w:val="21"/>
                <w:highlight w:val="none"/>
                <w14:textFill>
                  <w14:solidFill>
                    <w14:schemeClr w14:val="tx1"/>
                  </w14:solidFill>
                </w14:textFill>
              </w:rPr>
            </w:pPr>
          </w:p>
          <w:p w14:paraId="3DAE12DA">
            <w:pPr>
              <w:snapToGrid w:val="0"/>
              <w:rPr>
                <w:rFonts w:hint="eastAsia" w:ascii="宋体" w:hAnsi="宋体"/>
                <w:color w:val="000000" w:themeColor="text1"/>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4、其他具体事项：</w:t>
            </w:r>
          </w:p>
        </w:tc>
      </w:tr>
      <w:tr w14:paraId="576E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4" w:hRule="atLeast"/>
          <w:jc w:val="center"/>
        </w:trPr>
        <w:tc>
          <w:tcPr>
            <w:tcW w:w="4815" w:type="dxa"/>
            <w:vAlign w:val="center"/>
          </w:tcPr>
          <w:p w14:paraId="3FAFAFBF">
            <w:pPr>
              <w:ind w:firstLine="48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甲方（章）</w:t>
            </w:r>
          </w:p>
          <w:p w14:paraId="400D3A14">
            <w:pPr>
              <w:ind w:firstLine="482"/>
              <w:rPr>
                <w:rFonts w:hint="eastAsia" w:ascii="宋体" w:hAnsi="宋体"/>
                <w:color w:val="000000" w:themeColor="text1"/>
                <w:szCs w:val="21"/>
                <w:highlight w:val="none"/>
                <w14:textFill>
                  <w14:solidFill>
                    <w14:schemeClr w14:val="tx1"/>
                  </w14:solidFill>
                </w14:textFill>
              </w:rPr>
            </w:pPr>
          </w:p>
          <w:p w14:paraId="08C5FDC3">
            <w:pPr>
              <w:ind w:firstLine="482"/>
              <w:rPr>
                <w:rFonts w:hint="eastAsia" w:ascii="宋体" w:hAnsi="宋体"/>
                <w:color w:val="000000" w:themeColor="text1"/>
                <w:szCs w:val="21"/>
                <w:highlight w:val="none"/>
                <w14:textFill>
                  <w14:solidFill>
                    <w14:schemeClr w14:val="tx1"/>
                  </w14:solidFill>
                </w14:textFill>
              </w:rPr>
            </w:pPr>
          </w:p>
          <w:p w14:paraId="6CE296EB">
            <w:pPr>
              <w:ind w:firstLine="482"/>
              <w:rPr>
                <w:rFonts w:hint="eastAsia" w:ascii="宋体" w:hAnsi="宋体"/>
                <w:color w:val="000000" w:themeColor="text1"/>
                <w:szCs w:val="21"/>
                <w:highlight w:val="none"/>
                <w14:textFill>
                  <w14:solidFill>
                    <w14:schemeClr w14:val="tx1"/>
                  </w14:solidFill>
                </w14:textFill>
              </w:rPr>
            </w:pPr>
          </w:p>
          <w:p w14:paraId="3C8CDF65">
            <w:pPr>
              <w:ind w:firstLine="482"/>
              <w:rPr>
                <w:rFonts w:hint="eastAsia" w:ascii="宋体" w:hAnsi="宋体"/>
                <w:color w:val="000000" w:themeColor="text1"/>
                <w:szCs w:val="21"/>
                <w:highlight w:val="none"/>
                <w14:textFill>
                  <w14:solidFill>
                    <w14:schemeClr w14:val="tx1"/>
                  </w14:solidFill>
                </w14:textFill>
              </w:rPr>
            </w:pPr>
          </w:p>
          <w:p w14:paraId="4BA4E3F7">
            <w:pPr>
              <w:ind w:firstLine="482"/>
              <w:rPr>
                <w:rFonts w:hint="eastAsia" w:ascii="宋体" w:hAnsi="宋体"/>
                <w:color w:val="000000" w:themeColor="text1"/>
                <w:szCs w:val="21"/>
                <w:highlight w:val="none"/>
                <w14:textFill>
                  <w14:solidFill>
                    <w14:schemeClr w14:val="tx1"/>
                  </w14:solidFill>
                </w14:textFill>
              </w:rPr>
            </w:pPr>
          </w:p>
          <w:p w14:paraId="6A2B4750">
            <w:pPr>
              <w:ind w:firstLine="482"/>
              <w:rPr>
                <w:rFonts w:hint="eastAsia" w:ascii="宋体" w:hAnsi="宋体"/>
                <w:color w:val="000000" w:themeColor="text1"/>
                <w:szCs w:val="21"/>
                <w:highlight w:val="none"/>
                <w14:textFill>
                  <w14:solidFill>
                    <w14:schemeClr w14:val="tx1"/>
                  </w14:solidFill>
                </w14:textFill>
              </w:rPr>
            </w:pPr>
          </w:p>
          <w:p w14:paraId="5B960FCE">
            <w:pPr>
              <w:ind w:firstLine="48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 </w:t>
            </w:r>
          </w:p>
        </w:tc>
        <w:tc>
          <w:tcPr>
            <w:tcW w:w="4725" w:type="dxa"/>
            <w:vAlign w:val="center"/>
          </w:tcPr>
          <w:p w14:paraId="107776B1">
            <w:pPr>
              <w:ind w:firstLine="48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乙方（章）</w:t>
            </w:r>
          </w:p>
          <w:p w14:paraId="4DFCFDC0">
            <w:pPr>
              <w:ind w:firstLine="482"/>
              <w:rPr>
                <w:rFonts w:hint="eastAsia" w:ascii="宋体" w:hAnsi="宋体"/>
                <w:color w:val="000000" w:themeColor="text1"/>
                <w:szCs w:val="21"/>
                <w:highlight w:val="none"/>
                <w14:textFill>
                  <w14:solidFill>
                    <w14:schemeClr w14:val="tx1"/>
                  </w14:solidFill>
                </w14:textFill>
              </w:rPr>
            </w:pPr>
          </w:p>
          <w:p w14:paraId="4F612678">
            <w:pPr>
              <w:ind w:firstLine="482"/>
              <w:rPr>
                <w:rFonts w:hint="eastAsia" w:ascii="宋体" w:hAnsi="宋体"/>
                <w:color w:val="000000" w:themeColor="text1"/>
                <w:szCs w:val="21"/>
                <w:highlight w:val="none"/>
                <w14:textFill>
                  <w14:solidFill>
                    <w14:schemeClr w14:val="tx1"/>
                  </w14:solidFill>
                </w14:textFill>
              </w:rPr>
            </w:pPr>
          </w:p>
          <w:p w14:paraId="3C0E7AB5">
            <w:pPr>
              <w:ind w:firstLine="482"/>
              <w:rPr>
                <w:rFonts w:hint="eastAsia" w:ascii="宋体" w:hAnsi="宋体"/>
                <w:color w:val="000000" w:themeColor="text1"/>
                <w:szCs w:val="21"/>
                <w:highlight w:val="none"/>
                <w14:textFill>
                  <w14:solidFill>
                    <w14:schemeClr w14:val="tx1"/>
                  </w14:solidFill>
                </w14:textFill>
              </w:rPr>
            </w:pPr>
          </w:p>
          <w:p w14:paraId="6C149D68">
            <w:pPr>
              <w:ind w:firstLine="482"/>
              <w:rPr>
                <w:rFonts w:hint="eastAsia" w:ascii="宋体" w:hAnsi="宋体"/>
                <w:color w:val="000000" w:themeColor="text1"/>
                <w:szCs w:val="21"/>
                <w:highlight w:val="none"/>
                <w14:textFill>
                  <w14:solidFill>
                    <w14:schemeClr w14:val="tx1"/>
                  </w14:solidFill>
                </w14:textFill>
              </w:rPr>
            </w:pPr>
          </w:p>
          <w:p w14:paraId="25BA08EE">
            <w:pPr>
              <w:ind w:firstLine="482"/>
              <w:rPr>
                <w:rFonts w:hint="eastAsia" w:ascii="宋体" w:hAnsi="宋体"/>
                <w:color w:val="000000" w:themeColor="text1"/>
                <w:szCs w:val="21"/>
                <w:highlight w:val="none"/>
                <w14:textFill>
                  <w14:solidFill>
                    <w14:schemeClr w14:val="tx1"/>
                  </w14:solidFill>
                </w14:textFill>
              </w:rPr>
            </w:pPr>
          </w:p>
          <w:p w14:paraId="383384D6">
            <w:pPr>
              <w:ind w:firstLine="482"/>
              <w:rPr>
                <w:rFonts w:hint="eastAsia" w:ascii="宋体" w:hAnsi="宋体"/>
                <w:color w:val="000000" w:themeColor="text1"/>
                <w:szCs w:val="21"/>
                <w:highlight w:val="none"/>
                <w14:textFill>
                  <w14:solidFill>
                    <w14:schemeClr w14:val="tx1"/>
                  </w14:solidFill>
                </w14:textFill>
              </w:rPr>
            </w:pPr>
          </w:p>
          <w:p w14:paraId="5A4ACED3">
            <w:pPr>
              <w:ind w:firstLine="48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年   月   日</w:t>
            </w:r>
          </w:p>
        </w:tc>
      </w:tr>
    </w:tbl>
    <w:p w14:paraId="341CFC18">
      <w:pPr>
        <w:snapToGrid w:val="0"/>
        <w:rPr>
          <w:rFonts w:hint="eastAsia" w:ascii="宋体" w:hAnsi="宋体"/>
          <w:color w:val="000000" w:themeColor="text1"/>
          <w:szCs w:val="21"/>
          <w:highlight w:val="none"/>
          <w14:textFill>
            <w14:solidFill>
              <w14:schemeClr w14:val="tx1"/>
            </w14:solidFill>
          </w14:textFill>
        </w:rPr>
      </w:pPr>
    </w:p>
    <w:p w14:paraId="0C0E09EF">
      <w:pPr>
        <w:snapToGrid w:val="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注：售后服务事项填不下时可另加附页</w:t>
      </w:r>
    </w:p>
    <w:p w14:paraId="0A9F04BB">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color w:val="000000" w:themeColor="text1"/>
          <w:kern w:val="0"/>
          <w:sz w:val="36"/>
          <w:szCs w:val="36"/>
          <w:highlight w:val="none"/>
          <w14:textFill>
            <w14:solidFill>
              <w14:schemeClr w14:val="tx1"/>
            </w14:solidFill>
          </w14:textFill>
        </w:rPr>
      </w:pPr>
      <w:r>
        <w:rPr>
          <w:color w:val="000000" w:themeColor="text1"/>
          <w:highlight w:val="none"/>
          <w14:textFill>
            <w14:solidFill>
              <w14:schemeClr w14:val="tx1"/>
            </w14:solidFill>
          </w14:textFill>
        </w:rPr>
        <w:br w:type="page"/>
      </w:r>
      <w:r>
        <w:rPr>
          <w:rFonts w:hint="eastAsia" w:ascii="仿宋" w:hAnsi="仿宋" w:eastAsia="仿宋" w:cs="仿宋"/>
          <w:b/>
          <w:bCs/>
          <w:color w:val="000000" w:themeColor="text1"/>
          <w:kern w:val="0"/>
          <w:sz w:val="36"/>
          <w:szCs w:val="36"/>
          <w:highlight w:val="none"/>
          <w14:textFill>
            <w14:solidFill>
              <w14:schemeClr w14:val="tx1"/>
            </w14:solidFill>
          </w14:textFill>
        </w:rPr>
        <w:t>政府采购项目</w:t>
      </w:r>
      <w:r>
        <w:rPr>
          <w:rFonts w:hint="eastAsia" w:ascii="仿宋" w:hAnsi="仿宋" w:eastAsia="仿宋" w:cs="仿宋"/>
          <w:color w:val="000000" w:themeColor="text1"/>
          <w:kern w:val="0"/>
          <w:sz w:val="36"/>
          <w:szCs w:val="36"/>
          <w:highlight w:val="none"/>
          <w14:textFill>
            <w14:solidFill>
              <w14:schemeClr w14:val="tx1"/>
            </w14:solidFill>
          </w14:textFill>
        </w:rPr>
        <w:t>合同验收报告（格式）</w:t>
      </w:r>
    </w:p>
    <w:p w14:paraId="392697BD">
      <w:pPr>
        <w:widowControl/>
        <w:snapToGrid w:val="0"/>
        <w:spacing w:before="100" w:beforeAutospacing="1" w:after="100" w:afterAutospacing="1" w:line="440" w:lineRule="exact"/>
        <w:ind w:firstLine="480" w:firstLineChars="20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根据政府采购合同（采购合同编号：　　）的约定，我单位对</w:t>
      </w:r>
      <w:r>
        <w:rPr>
          <w:rFonts w:hint="eastAsia" w:ascii="仿宋" w:hAnsi="仿宋" w:eastAsia="仿宋" w:cs="仿宋"/>
          <w:color w:val="000000" w:themeColor="text1"/>
          <w:kern w:val="0"/>
          <w:sz w:val="24"/>
          <w:highlight w:val="none"/>
          <w:u w:val="single"/>
          <w14:textFill>
            <w14:solidFill>
              <w14:schemeClr w14:val="tx1"/>
            </w14:solidFill>
          </w14:textFill>
        </w:rPr>
        <w:t>（项目名称）　　　　</w:t>
      </w:r>
      <w:r>
        <w:rPr>
          <w:rFonts w:hint="eastAsia" w:ascii="仿宋" w:hAnsi="仿宋" w:eastAsia="仿宋" w:cs="仿宋"/>
          <w:color w:val="000000" w:themeColor="text1"/>
          <w:kern w:val="0"/>
          <w:sz w:val="24"/>
          <w:highlight w:val="none"/>
          <w14:textFill>
            <w14:solidFill>
              <w14:schemeClr w14:val="tx1"/>
            </w14:solidFill>
          </w14:textFill>
        </w:rPr>
        <w:t>政府采购项目中标（或成交）供应商</w:t>
      </w:r>
      <w:r>
        <w:rPr>
          <w:rFonts w:hint="eastAsia" w:ascii="仿宋" w:hAnsi="仿宋" w:eastAsia="仿宋" w:cs="仿宋"/>
          <w:color w:val="000000" w:themeColor="text1"/>
          <w:kern w:val="0"/>
          <w:sz w:val="24"/>
          <w:highlight w:val="none"/>
          <w:u w:val="single"/>
          <w14:textFill>
            <w14:solidFill>
              <w14:schemeClr w14:val="tx1"/>
            </w14:solidFill>
          </w14:textFill>
        </w:rPr>
        <w:t>（公司名称）　　　　</w:t>
      </w:r>
      <w:r>
        <w:rPr>
          <w:rFonts w:hint="eastAsia" w:ascii="仿宋" w:hAnsi="仿宋" w:eastAsia="仿宋" w:cs="仿宋"/>
          <w:color w:val="000000" w:themeColor="text1"/>
          <w:kern w:val="0"/>
          <w:sz w:val="24"/>
          <w:highlight w:val="none"/>
          <w14:textFill>
            <w14:solidFill>
              <w14:schemeClr w14:val="tx1"/>
            </w14:solidFill>
          </w14:textFill>
        </w:rPr>
        <w:t>提供的货物（或服务）进行了验收，验收情况如下：</w:t>
      </w:r>
    </w:p>
    <w:tbl>
      <w:tblPr>
        <w:tblStyle w:val="53"/>
        <w:tblW w:w="970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519"/>
        <w:gridCol w:w="1963"/>
        <w:gridCol w:w="1579"/>
        <w:gridCol w:w="1862"/>
        <w:gridCol w:w="660"/>
        <w:gridCol w:w="338"/>
        <w:gridCol w:w="1779"/>
      </w:tblGrid>
      <w:tr w14:paraId="5FCBFB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97" w:hRule="atLeast"/>
          <w:jc w:val="center"/>
        </w:trPr>
        <w:tc>
          <w:tcPr>
            <w:tcW w:w="3482" w:type="dxa"/>
            <w:gridSpan w:val="2"/>
            <w:tcBorders>
              <w:top w:val="single" w:color="auto" w:sz="8" w:space="0"/>
              <w:left w:val="single" w:color="auto" w:sz="8" w:space="0"/>
              <w:bottom w:val="single" w:color="auto" w:sz="8" w:space="0"/>
              <w:right w:val="single" w:color="auto" w:sz="8" w:space="0"/>
            </w:tcBorders>
            <w:vAlign w:val="center"/>
          </w:tcPr>
          <w:p w14:paraId="3366199C">
            <w:pPr>
              <w:widowControl/>
              <w:snapToGrid w:val="0"/>
              <w:ind w:left="-3"/>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验收方式：</w:t>
            </w:r>
          </w:p>
        </w:tc>
        <w:tc>
          <w:tcPr>
            <w:tcW w:w="6218" w:type="dxa"/>
            <w:gridSpan w:val="5"/>
            <w:tcBorders>
              <w:top w:val="single" w:color="auto" w:sz="8" w:space="0"/>
              <w:left w:val="single" w:color="auto" w:sz="8" w:space="0"/>
              <w:bottom w:val="single" w:color="auto" w:sz="8" w:space="0"/>
              <w:right w:val="single" w:color="auto" w:sz="8" w:space="0"/>
            </w:tcBorders>
            <w:vAlign w:val="center"/>
          </w:tcPr>
          <w:p w14:paraId="3E8117F7">
            <w:pPr>
              <w:widowControl/>
              <w:snapToGrid w:val="0"/>
              <w:ind w:left="-3"/>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□自行验收         □联合验收</w:t>
            </w:r>
          </w:p>
        </w:tc>
      </w:tr>
      <w:tr w14:paraId="679DB3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2"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53A145C2">
            <w:pPr>
              <w:widowControl/>
              <w:snapToGrid w:val="0"/>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序号</w:t>
            </w:r>
          </w:p>
        </w:tc>
        <w:tc>
          <w:tcPr>
            <w:tcW w:w="1963" w:type="dxa"/>
            <w:tcBorders>
              <w:top w:val="single" w:color="auto" w:sz="8" w:space="0"/>
              <w:left w:val="single" w:color="auto" w:sz="8" w:space="0"/>
              <w:bottom w:val="single" w:color="auto" w:sz="8" w:space="0"/>
              <w:right w:val="single" w:color="auto" w:sz="8" w:space="0"/>
            </w:tcBorders>
            <w:vAlign w:val="center"/>
          </w:tcPr>
          <w:p w14:paraId="5733C85F">
            <w:pPr>
              <w:widowControl/>
              <w:snapToGrid w:val="0"/>
              <w:ind w:left="-3"/>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名  称</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06D589EF">
            <w:pPr>
              <w:widowControl/>
              <w:snapToGrid w:val="0"/>
              <w:ind w:left="-3"/>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货物型号规格、标准及配置</w:t>
            </w:r>
          </w:p>
          <w:p w14:paraId="26C08FCB">
            <w:pPr>
              <w:widowControl/>
              <w:snapToGrid w:val="0"/>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（或服务内容、标准）</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CFB8899">
            <w:pPr>
              <w:widowControl/>
              <w:snapToGrid w:val="0"/>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数量</w:t>
            </w:r>
          </w:p>
        </w:tc>
        <w:tc>
          <w:tcPr>
            <w:tcW w:w="1779" w:type="dxa"/>
            <w:tcBorders>
              <w:top w:val="single" w:color="auto" w:sz="8" w:space="0"/>
              <w:left w:val="single" w:color="auto" w:sz="8" w:space="0"/>
              <w:bottom w:val="single" w:color="auto" w:sz="8" w:space="0"/>
              <w:right w:val="single" w:color="auto" w:sz="8" w:space="0"/>
            </w:tcBorders>
            <w:vAlign w:val="center"/>
          </w:tcPr>
          <w:p w14:paraId="79916FE8">
            <w:pPr>
              <w:widowControl/>
              <w:snapToGrid w:val="0"/>
              <w:ind w:left="-3"/>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与合同约定</w:t>
            </w:r>
          </w:p>
          <w:p w14:paraId="320864E8">
            <w:pPr>
              <w:widowControl/>
              <w:snapToGrid w:val="0"/>
              <w:ind w:left="-3"/>
              <w:jc w:val="center"/>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是否一致</w:t>
            </w:r>
          </w:p>
        </w:tc>
      </w:tr>
      <w:tr w14:paraId="46624D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648FEA89">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1963" w:type="dxa"/>
            <w:tcBorders>
              <w:top w:val="single" w:color="auto" w:sz="8" w:space="0"/>
              <w:left w:val="single" w:color="auto" w:sz="8" w:space="0"/>
              <w:bottom w:val="single" w:color="auto" w:sz="8" w:space="0"/>
              <w:right w:val="single" w:color="auto" w:sz="8" w:space="0"/>
            </w:tcBorders>
            <w:vAlign w:val="center"/>
          </w:tcPr>
          <w:p w14:paraId="7D6F4CDD">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29D71531">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27A777E">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1779" w:type="dxa"/>
            <w:tcBorders>
              <w:top w:val="single" w:color="auto" w:sz="8" w:space="0"/>
              <w:left w:val="single" w:color="auto" w:sz="8" w:space="0"/>
              <w:bottom w:val="single" w:color="auto" w:sz="8" w:space="0"/>
              <w:right w:val="single" w:color="auto" w:sz="8" w:space="0"/>
            </w:tcBorders>
            <w:vAlign w:val="center"/>
          </w:tcPr>
          <w:p w14:paraId="2C7BF772">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r>
      <w:tr w14:paraId="3609E89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30C233E3">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1963" w:type="dxa"/>
            <w:tcBorders>
              <w:top w:val="single" w:color="auto" w:sz="8" w:space="0"/>
              <w:left w:val="single" w:color="auto" w:sz="8" w:space="0"/>
              <w:bottom w:val="single" w:color="auto" w:sz="8" w:space="0"/>
              <w:right w:val="single" w:color="auto" w:sz="8" w:space="0"/>
            </w:tcBorders>
            <w:vAlign w:val="center"/>
          </w:tcPr>
          <w:p w14:paraId="57F6E3D0">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507A4B17">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61F9586">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1779" w:type="dxa"/>
            <w:tcBorders>
              <w:top w:val="single" w:color="auto" w:sz="8" w:space="0"/>
              <w:left w:val="single" w:color="auto" w:sz="8" w:space="0"/>
              <w:bottom w:val="single" w:color="auto" w:sz="8" w:space="0"/>
              <w:right w:val="single" w:color="auto" w:sz="8" w:space="0"/>
            </w:tcBorders>
            <w:vAlign w:val="center"/>
          </w:tcPr>
          <w:p w14:paraId="7C351F95">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r>
      <w:tr w14:paraId="07C309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39CC1240">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1963" w:type="dxa"/>
            <w:tcBorders>
              <w:top w:val="single" w:color="auto" w:sz="8" w:space="0"/>
              <w:left w:val="single" w:color="auto" w:sz="8" w:space="0"/>
              <w:bottom w:val="single" w:color="auto" w:sz="8" w:space="0"/>
              <w:right w:val="single" w:color="auto" w:sz="8" w:space="0"/>
            </w:tcBorders>
            <w:vAlign w:val="center"/>
          </w:tcPr>
          <w:p w14:paraId="2E4F4E23">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77428C9D">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38E18EB6">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1779" w:type="dxa"/>
            <w:tcBorders>
              <w:top w:val="single" w:color="auto" w:sz="8" w:space="0"/>
              <w:left w:val="single" w:color="auto" w:sz="8" w:space="0"/>
              <w:bottom w:val="single" w:color="auto" w:sz="8" w:space="0"/>
              <w:right w:val="single" w:color="auto" w:sz="8" w:space="0"/>
            </w:tcBorders>
            <w:vAlign w:val="center"/>
          </w:tcPr>
          <w:p w14:paraId="382EDC83">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r>
      <w:tr w14:paraId="7B023B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56506BDB">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1963" w:type="dxa"/>
            <w:tcBorders>
              <w:top w:val="single" w:color="auto" w:sz="8" w:space="0"/>
              <w:left w:val="single" w:color="auto" w:sz="8" w:space="0"/>
              <w:bottom w:val="single" w:color="auto" w:sz="8" w:space="0"/>
              <w:right w:val="single" w:color="auto" w:sz="8" w:space="0"/>
            </w:tcBorders>
            <w:vAlign w:val="center"/>
          </w:tcPr>
          <w:p w14:paraId="4BFFAF4F">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3F7419AE">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053E4E9A">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c>
          <w:tcPr>
            <w:tcW w:w="1779" w:type="dxa"/>
            <w:tcBorders>
              <w:top w:val="single" w:color="auto" w:sz="8" w:space="0"/>
              <w:left w:val="single" w:color="auto" w:sz="8" w:space="0"/>
              <w:bottom w:val="single" w:color="auto" w:sz="8" w:space="0"/>
              <w:right w:val="single" w:color="auto" w:sz="8" w:space="0"/>
            </w:tcBorders>
            <w:vAlign w:val="center"/>
          </w:tcPr>
          <w:p w14:paraId="7237EC1E">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r>
      <w:tr w14:paraId="554F7E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717638AF">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1963" w:type="dxa"/>
            <w:tcBorders>
              <w:top w:val="single" w:color="auto" w:sz="8" w:space="0"/>
              <w:left w:val="single" w:color="auto" w:sz="8" w:space="0"/>
              <w:bottom w:val="single" w:color="auto" w:sz="8" w:space="0"/>
              <w:right w:val="single" w:color="auto" w:sz="8" w:space="0"/>
            </w:tcBorders>
            <w:vAlign w:val="center"/>
          </w:tcPr>
          <w:p w14:paraId="221B17F5">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7A2F2E7B">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6DDF01CE">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p>
        </w:tc>
        <w:tc>
          <w:tcPr>
            <w:tcW w:w="1779" w:type="dxa"/>
            <w:tcBorders>
              <w:top w:val="single" w:color="auto" w:sz="8" w:space="0"/>
              <w:left w:val="single" w:color="auto" w:sz="8" w:space="0"/>
              <w:bottom w:val="single" w:color="auto" w:sz="8" w:space="0"/>
              <w:right w:val="single" w:color="auto" w:sz="8" w:space="0"/>
            </w:tcBorders>
            <w:vAlign w:val="center"/>
          </w:tcPr>
          <w:p w14:paraId="2E7D763F">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p>
        </w:tc>
      </w:tr>
      <w:tr w14:paraId="40A84F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02E345D7">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1963" w:type="dxa"/>
            <w:tcBorders>
              <w:top w:val="single" w:color="auto" w:sz="8" w:space="0"/>
              <w:left w:val="single" w:color="auto" w:sz="8" w:space="0"/>
              <w:bottom w:val="single" w:color="auto" w:sz="8" w:space="0"/>
              <w:right w:val="single" w:color="auto" w:sz="8" w:space="0"/>
            </w:tcBorders>
            <w:vAlign w:val="center"/>
          </w:tcPr>
          <w:p w14:paraId="6B9566C6">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029D7645">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F0B6CC3">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p>
        </w:tc>
        <w:tc>
          <w:tcPr>
            <w:tcW w:w="1779" w:type="dxa"/>
            <w:tcBorders>
              <w:top w:val="single" w:color="auto" w:sz="8" w:space="0"/>
              <w:left w:val="single" w:color="auto" w:sz="8" w:space="0"/>
              <w:bottom w:val="single" w:color="auto" w:sz="8" w:space="0"/>
              <w:right w:val="single" w:color="auto" w:sz="8" w:space="0"/>
            </w:tcBorders>
            <w:vAlign w:val="center"/>
          </w:tcPr>
          <w:p w14:paraId="5A739496">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p>
        </w:tc>
      </w:tr>
      <w:tr w14:paraId="013727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47E02621">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1963" w:type="dxa"/>
            <w:tcBorders>
              <w:top w:val="single" w:color="auto" w:sz="8" w:space="0"/>
              <w:left w:val="single" w:color="auto" w:sz="8" w:space="0"/>
              <w:bottom w:val="single" w:color="auto" w:sz="8" w:space="0"/>
              <w:right w:val="single" w:color="auto" w:sz="8" w:space="0"/>
            </w:tcBorders>
            <w:vAlign w:val="center"/>
          </w:tcPr>
          <w:p w14:paraId="4D18680B">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1EC301FC">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51B4F4CD">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p>
        </w:tc>
        <w:tc>
          <w:tcPr>
            <w:tcW w:w="1779" w:type="dxa"/>
            <w:tcBorders>
              <w:top w:val="single" w:color="auto" w:sz="8" w:space="0"/>
              <w:left w:val="single" w:color="auto" w:sz="8" w:space="0"/>
              <w:bottom w:val="single" w:color="auto" w:sz="8" w:space="0"/>
              <w:right w:val="single" w:color="auto" w:sz="8" w:space="0"/>
            </w:tcBorders>
            <w:vAlign w:val="center"/>
          </w:tcPr>
          <w:p w14:paraId="20808280">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p>
        </w:tc>
      </w:tr>
      <w:tr w14:paraId="36C275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2D9FB885">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1963" w:type="dxa"/>
            <w:tcBorders>
              <w:top w:val="single" w:color="auto" w:sz="8" w:space="0"/>
              <w:left w:val="single" w:color="auto" w:sz="8" w:space="0"/>
              <w:bottom w:val="single" w:color="auto" w:sz="8" w:space="0"/>
              <w:right w:val="single" w:color="auto" w:sz="8" w:space="0"/>
            </w:tcBorders>
            <w:vAlign w:val="center"/>
          </w:tcPr>
          <w:p w14:paraId="7FC00FDE">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3441" w:type="dxa"/>
            <w:gridSpan w:val="2"/>
            <w:tcBorders>
              <w:top w:val="single" w:color="auto" w:sz="8" w:space="0"/>
              <w:left w:val="single" w:color="auto" w:sz="8" w:space="0"/>
              <w:bottom w:val="single" w:color="auto" w:sz="8" w:space="0"/>
              <w:right w:val="single" w:color="auto" w:sz="8" w:space="0"/>
            </w:tcBorders>
            <w:vAlign w:val="center"/>
          </w:tcPr>
          <w:p w14:paraId="70931FE5">
            <w:pPr>
              <w:widowControl/>
              <w:snapToGrid w:val="0"/>
              <w:ind w:left="-3" w:firstLine="576"/>
              <w:jc w:val="left"/>
              <w:rPr>
                <w:rFonts w:hint="eastAsia" w:ascii="仿宋" w:hAnsi="仿宋" w:eastAsia="仿宋" w:cs="仿宋"/>
                <w:color w:val="000000" w:themeColor="text1"/>
                <w:kern w:val="0"/>
                <w:sz w:val="24"/>
                <w:highlight w:val="none"/>
                <w14:textFill>
                  <w14:solidFill>
                    <w14:schemeClr w14:val="tx1"/>
                  </w14:solidFill>
                </w14:textFill>
              </w:rPr>
            </w:pPr>
          </w:p>
        </w:tc>
        <w:tc>
          <w:tcPr>
            <w:tcW w:w="998" w:type="dxa"/>
            <w:gridSpan w:val="2"/>
            <w:tcBorders>
              <w:top w:val="single" w:color="auto" w:sz="8" w:space="0"/>
              <w:left w:val="single" w:color="auto" w:sz="8" w:space="0"/>
              <w:bottom w:val="single" w:color="auto" w:sz="8" w:space="0"/>
              <w:right w:val="single" w:color="auto" w:sz="8" w:space="0"/>
            </w:tcBorders>
            <w:vAlign w:val="center"/>
          </w:tcPr>
          <w:p w14:paraId="77D86695">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p>
        </w:tc>
        <w:tc>
          <w:tcPr>
            <w:tcW w:w="1779" w:type="dxa"/>
            <w:tcBorders>
              <w:top w:val="single" w:color="auto" w:sz="8" w:space="0"/>
              <w:left w:val="single" w:color="auto" w:sz="8" w:space="0"/>
              <w:bottom w:val="single" w:color="auto" w:sz="8" w:space="0"/>
              <w:right w:val="single" w:color="auto" w:sz="8" w:space="0"/>
            </w:tcBorders>
            <w:vAlign w:val="center"/>
          </w:tcPr>
          <w:p w14:paraId="1B8A10C6">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p>
        </w:tc>
      </w:tr>
      <w:tr w14:paraId="167BC0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jc w:val="center"/>
        </w:trPr>
        <w:tc>
          <w:tcPr>
            <w:tcW w:w="1519" w:type="dxa"/>
            <w:tcBorders>
              <w:top w:val="single" w:color="auto" w:sz="8" w:space="0"/>
              <w:left w:val="single" w:color="auto" w:sz="8" w:space="0"/>
              <w:bottom w:val="single" w:color="auto" w:sz="8" w:space="0"/>
              <w:right w:val="single" w:color="auto" w:sz="8" w:space="0"/>
            </w:tcBorders>
            <w:vAlign w:val="center"/>
          </w:tcPr>
          <w:p w14:paraId="7B4BD5C1">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实际供货日期</w:t>
            </w:r>
          </w:p>
        </w:tc>
        <w:tc>
          <w:tcPr>
            <w:tcW w:w="3542" w:type="dxa"/>
            <w:gridSpan w:val="2"/>
            <w:tcBorders>
              <w:top w:val="single" w:color="auto" w:sz="8" w:space="0"/>
              <w:left w:val="single" w:color="auto" w:sz="8" w:space="0"/>
              <w:bottom w:val="single" w:color="auto" w:sz="8" w:space="0"/>
              <w:right w:val="single" w:color="auto" w:sz="8" w:space="0"/>
            </w:tcBorders>
            <w:vAlign w:val="center"/>
          </w:tcPr>
          <w:p w14:paraId="43A25A35">
            <w:pPr>
              <w:snapToGrid w:val="0"/>
              <w:jc w:val="left"/>
              <w:rPr>
                <w:rFonts w:hint="eastAsia" w:ascii="仿宋" w:hAnsi="仿宋" w:eastAsia="仿宋" w:cs="仿宋"/>
                <w:color w:val="000000" w:themeColor="text1"/>
                <w:kern w:val="0"/>
                <w:sz w:val="24"/>
                <w:highlight w:val="none"/>
                <w14:textFill>
                  <w14:solidFill>
                    <w14:schemeClr w14:val="tx1"/>
                  </w14:solidFill>
                </w14:textFill>
              </w:rPr>
            </w:pPr>
          </w:p>
        </w:tc>
        <w:tc>
          <w:tcPr>
            <w:tcW w:w="2522" w:type="dxa"/>
            <w:gridSpan w:val="2"/>
            <w:tcBorders>
              <w:top w:val="single" w:color="auto" w:sz="8" w:space="0"/>
              <w:left w:val="single" w:color="auto" w:sz="8" w:space="0"/>
              <w:bottom w:val="single" w:color="auto" w:sz="8" w:space="0"/>
              <w:right w:val="single" w:color="auto" w:sz="8" w:space="0"/>
            </w:tcBorders>
            <w:vAlign w:val="center"/>
          </w:tcPr>
          <w:p w14:paraId="19166E06">
            <w:pPr>
              <w:snapToGrid w:val="0"/>
              <w:ind w:left="215"/>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合同交货验收日期</w:t>
            </w:r>
          </w:p>
        </w:tc>
        <w:tc>
          <w:tcPr>
            <w:tcW w:w="2117" w:type="dxa"/>
            <w:gridSpan w:val="2"/>
            <w:tcBorders>
              <w:top w:val="single" w:color="auto" w:sz="8" w:space="0"/>
              <w:left w:val="single" w:color="auto" w:sz="8" w:space="0"/>
              <w:bottom w:val="single" w:color="auto" w:sz="8" w:space="0"/>
              <w:right w:val="single" w:color="auto" w:sz="8" w:space="0"/>
            </w:tcBorders>
            <w:vAlign w:val="center"/>
          </w:tcPr>
          <w:p w14:paraId="1447BDA6">
            <w:pPr>
              <w:snapToGrid w:val="0"/>
              <w:jc w:val="left"/>
              <w:rPr>
                <w:rFonts w:hint="eastAsia" w:ascii="仿宋" w:hAnsi="仿宋" w:eastAsia="仿宋" w:cs="仿宋"/>
                <w:color w:val="000000" w:themeColor="text1"/>
                <w:kern w:val="0"/>
                <w:sz w:val="24"/>
                <w:highlight w:val="none"/>
                <w14:textFill>
                  <w14:solidFill>
                    <w14:schemeClr w14:val="tx1"/>
                  </w14:solidFill>
                </w14:textFill>
              </w:rPr>
            </w:pPr>
          </w:p>
        </w:tc>
      </w:tr>
      <w:tr w14:paraId="5B6660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A161C3">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验收具体内容</w:t>
            </w:r>
          </w:p>
        </w:tc>
        <w:tc>
          <w:tcPr>
            <w:tcW w:w="8181"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1255FF">
            <w:pPr>
              <w:widowControl/>
              <w:snapToGrid w:val="0"/>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(按招标采购文件、投标文件及验收方案等。可附件)</w:t>
            </w:r>
          </w:p>
        </w:tc>
      </w:tr>
      <w:tr w14:paraId="0BB6E6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49" w:hRule="atLeast"/>
          <w:jc w:val="center"/>
        </w:trPr>
        <w:tc>
          <w:tcPr>
            <w:tcW w:w="151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30BAF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验收小组意见</w:t>
            </w:r>
          </w:p>
        </w:tc>
        <w:tc>
          <w:tcPr>
            <w:tcW w:w="8181" w:type="dxa"/>
            <w:gridSpan w:val="6"/>
            <w:tcBorders>
              <w:top w:val="single" w:color="auto" w:sz="8" w:space="0"/>
              <w:left w:val="single" w:color="auto" w:sz="8" w:space="0"/>
              <w:bottom w:val="single" w:color="auto" w:sz="8" w:space="0"/>
              <w:right w:val="single" w:color="auto" w:sz="8" w:space="0"/>
            </w:tcBorders>
            <w:vAlign w:val="center"/>
          </w:tcPr>
          <w:p w14:paraId="3A3C3FDF">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p w14:paraId="4D094E9A">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w:t>
            </w:r>
          </w:p>
        </w:tc>
      </w:tr>
      <w:tr w14:paraId="3011B7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D061BC">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验收小组成员签字：</w:t>
            </w:r>
          </w:p>
        </w:tc>
      </w:tr>
      <w:tr w14:paraId="5F8EA3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11" w:hRule="atLeast"/>
          <w:jc w:val="center"/>
        </w:trPr>
        <w:tc>
          <w:tcPr>
            <w:tcW w:w="9700" w:type="dxa"/>
            <w:gridSpan w:val="7"/>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952CAB">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参与验收其他或监督人员签字：</w:t>
            </w:r>
          </w:p>
        </w:tc>
      </w:tr>
      <w:tr w14:paraId="470286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3" w:hRule="atLeast"/>
          <w:jc w:val="center"/>
        </w:trPr>
        <w:tc>
          <w:tcPr>
            <w:tcW w:w="5061"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C437B1">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供应商签字或盖章：</w:t>
            </w:r>
          </w:p>
          <w:p w14:paraId="3C50EACA">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联系方式：         年 月 日</w:t>
            </w:r>
          </w:p>
        </w:tc>
        <w:tc>
          <w:tcPr>
            <w:tcW w:w="4639" w:type="dxa"/>
            <w:gridSpan w:val="4"/>
            <w:tcBorders>
              <w:top w:val="single" w:color="auto" w:sz="8" w:space="0"/>
              <w:left w:val="single" w:color="auto" w:sz="8" w:space="0"/>
              <w:bottom w:val="single" w:color="auto" w:sz="8" w:space="0"/>
              <w:right w:val="single" w:color="auto" w:sz="8" w:space="0"/>
            </w:tcBorders>
            <w:vAlign w:val="center"/>
          </w:tcPr>
          <w:p w14:paraId="7578AD34">
            <w:pPr>
              <w:widowControl/>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 采购单位盖章：</w:t>
            </w:r>
          </w:p>
          <w:p w14:paraId="2AE7BDE0">
            <w:pPr>
              <w:widowControl/>
              <w:ind w:firstLine="2119"/>
              <w:jc w:val="left"/>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kern w:val="0"/>
                <w:sz w:val="24"/>
                <w:highlight w:val="none"/>
                <w14:textFill>
                  <w14:solidFill>
                    <w14:schemeClr w14:val="tx1"/>
                  </w14:solidFill>
                </w14:textFill>
              </w:rPr>
              <w:t>年 月 日</w:t>
            </w:r>
          </w:p>
        </w:tc>
      </w:tr>
    </w:tbl>
    <w:p w14:paraId="06B521C1">
      <w:pPr>
        <w:pStyle w:val="9"/>
        <w:rPr>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18"/>
          <w:szCs w:val="18"/>
          <w:highlight w:val="none"/>
          <w14:textFill>
            <w14:solidFill>
              <w14:schemeClr w14:val="tx1"/>
            </w14:solidFill>
          </w14:textFill>
        </w:rPr>
        <w:t>备注：本报告单一式4份（采购单位1份、供应商1份、采购监督部门备案1份、采购代理机构1份）。</w:t>
      </w:r>
    </w:p>
    <w:bookmarkEnd w:id="179"/>
    <w:p w14:paraId="3A454F20">
      <w:pPr>
        <w:snapToGrid w:val="0"/>
        <w:spacing w:line="480" w:lineRule="auto"/>
        <w:rPr>
          <w:rFonts w:hint="eastAsia" w:ascii="宋体" w:hAnsi="宋体"/>
          <w:bCs/>
          <w:color w:val="000000" w:themeColor="text1"/>
          <w:sz w:val="32"/>
          <w:szCs w:val="32"/>
          <w:highlight w:val="none"/>
          <w14:textFill>
            <w14:solidFill>
              <w14:schemeClr w14:val="tx1"/>
            </w14:solidFill>
          </w14:textFill>
        </w:rPr>
      </w:pPr>
    </w:p>
    <w:p w14:paraId="5097B8F3">
      <w:pPr>
        <w:pStyle w:val="2"/>
        <w:jc w:val="center"/>
        <w:rPr>
          <w:rFonts w:hint="eastAsia"/>
          <w:color w:val="000000" w:themeColor="text1"/>
          <w:highlight w:val="none"/>
          <w14:textFill>
            <w14:solidFill>
              <w14:schemeClr w14:val="tx1"/>
            </w14:solidFill>
          </w14:textFill>
        </w:rPr>
      </w:pPr>
      <w:bookmarkStart w:id="184" w:name="_Toc22279"/>
      <w:r>
        <w:rPr>
          <w:rFonts w:hint="eastAsia"/>
          <w:color w:val="000000" w:themeColor="text1"/>
          <w:highlight w:val="none"/>
          <w14:textFill>
            <w14:solidFill>
              <w14:schemeClr w14:val="tx1"/>
            </w14:solidFill>
          </w14:textFill>
        </w:rPr>
        <w:t>第六章　投标文件格式</w:t>
      </w:r>
      <w:bookmarkEnd w:id="184"/>
    </w:p>
    <w:p w14:paraId="65707AF6">
      <w:pPr>
        <w:rPr>
          <w:rFonts w:hint="eastAsia"/>
          <w:b/>
          <w:color w:val="000000" w:themeColor="text1"/>
          <w:sz w:val="28"/>
          <w:szCs w:val="28"/>
          <w:highlight w:val="none"/>
          <w14:textFill>
            <w14:solidFill>
              <w14:schemeClr w14:val="tx1"/>
            </w14:solidFill>
          </w14:textFill>
        </w:rPr>
      </w:pPr>
      <w:bookmarkStart w:id="185" w:name="_Toc19686836"/>
      <w:bookmarkStart w:id="186" w:name="_Toc254970698"/>
      <w:bookmarkStart w:id="187" w:name="_Toc254970557"/>
      <w:r>
        <w:rPr>
          <w:rFonts w:hint="eastAsia"/>
          <w:b/>
          <w:color w:val="000000" w:themeColor="text1"/>
          <w:sz w:val="28"/>
          <w:szCs w:val="28"/>
          <w:highlight w:val="none"/>
          <w14:textFill>
            <w14:solidFill>
              <w14:schemeClr w14:val="tx1"/>
            </w14:solidFill>
          </w14:textFill>
        </w:rPr>
        <w:t>一、报价文件格式</w:t>
      </w:r>
      <w:bookmarkEnd w:id="185"/>
    </w:p>
    <w:p w14:paraId="3E26B016">
      <w:pPr>
        <w:snapToGrid w:val="0"/>
        <w:spacing w:before="120" w:beforeLines="50" w:after="50" w:line="360" w:lineRule="auto"/>
        <w:ind w:left="142"/>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报价文件封面格式： </w:t>
      </w:r>
    </w:p>
    <w:p w14:paraId="6E609742">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69F25E8A">
      <w:pPr>
        <w:snapToGrid w:val="0"/>
        <w:spacing w:before="120" w:beforeLines="50" w:after="50"/>
        <w:jc w:val="center"/>
        <w:rPr>
          <w:rFonts w:hint="eastAsia" w:ascii="宋体" w:hAnsi="宋体" w:cs="方正小标宋简体"/>
          <w:color w:val="000000" w:themeColor="text1"/>
          <w:sz w:val="84"/>
          <w:szCs w:val="84"/>
          <w:highlight w:val="none"/>
          <w14:textFill>
            <w14:solidFill>
              <w14:schemeClr w14:val="tx1"/>
            </w14:solidFill>
          </w14:textFill>
        </w:rPr>
      </w:pPr>
      <w:r>
        <w:rPr>
          <w:rFonts w:hint="eastAsia" w:ascii="宋体" w:hAnsi="宋体" w:cs="方正小标宋简体"/>
          <w:color w:val="000000" w:themeColor="text1"/>
          <w:sz w:val="84"/>
          <w:szCs w:val="84"/>
          <w:highlight w:val="none"/>
          <w14:textFill>
            <w14:solidFill>
              <w14:schemeClr w14:val="tx1"/>
            </w14:solidFill>
          </w14:textFill>
        </w:rPr>
        <w:t>投  标  文  件</w:t>
      </w:r>
    </w:p>
    <w:p w14:paraId="27F007B5">
      <w:pPr>
        <w:snapToGrid w:val="0"/>
        <w:spacing w:before="120" w:beforeLines="50" w:after="50" w:line="400" w:lineRule="exact"/>
        <w:jc w:val="center"/>
        <w:rPr>
          <w:rFonts w:hint="eastAsia" w:ascii="宋体" w:hAnsi="宋体"/>
          <w:bCs/>
          <w:color w:val="000000" w:themeColor="text1"/>
          <w:sz w:val="32"/>
          <w:szCs w:val="32"/>
          <w:highlight w:val="none"/>
          <w14:textFill>
            <w14:solidFill>
              <w14:schemeClr w14:val="tx1"/>
            </w14:solidFill>
          </w14:textFill>
        </w:rPr>
      </w:pPr>
    </w:p>
    <w:p w14:paraId="74BF9330">
      <w:pPr>
        <w:snapToGrid w:val="0"/>
        <w:spacing w:before="120" w:beforeLines="50" w:after="50" w:line="400" w:lineRule="exact"/>
        <w:jc w:val="center"/>
        <w:rPr>
          <w:rFonts w:hint="eastAsia" w:ascii="宋体" w:hAnsi="宋体" w:cs="方正小标宋简体"/>
          <w:color w:val="000000" w:themeColor="text1"/>
          <w:sz w:val="32"/>
          <w:szCs w:val="32"/>
          <w:highlight w:val="none"/>
          <w14:textFill>
            <w14:solidFill>
              <w14:schemeClr w14:val="tx1"/>
            </w14:solidFill>
          </w14:textFill>
        </w:rPr>
      </w:pPr>
      <w:r>
        <w:rPr>
          <w:rFonts w:hint="eastAsia" w:ascii="宋体" w:hAnsi="宋体" w:cs="方正小标宋简体"/>
          <w:color w:val="000000" w:themeColor="text1"/>
          <w:sz w:val="32"/>
          <w:szCs w:val="32"/>
          <w:highlight w:val="none"/>
          <w14:textFill>
            <w14:solidFill>
              <w14:schemeClr w14:val="tx1"/>
            </w14:solidFill>
          </w14:textFill>
        </w:rPr>
        <w:t>报  价  文  件</w:t>
      </w:r>
    </w:p>
    <w:p w14:paraId="7BE09F65">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3E0BBDBD">
      <w:pPr>
        <w:snapToGrid w:val="0"/>
        <w:spacing w:before="120" w:beforeLines="50" w:after="50" w:line="400" w:lineRule="exact"/>
        <w:jc w:val="center"/>
        <w:rPr>
          <w:rFonts w:hint="eastAsia" w:ascii="宋体" w:hAnsi="宋体"/>
          <w:bCs/>
          <w:color w:val="000000" w:themeColor="text1"/>
          <w:sz w:val="24"/>
          <w:szCs w:val="20"/>
          <w:highlight w:val="none"/>
          <w14:textFill>
            <w14:solidFill>
              <w14:schemeClr w14:val="tx1"/>
            </w14:solidFill>
          </w14:textFill>
        </w:rPr>
      </w:pPr>
      <w:r>
        <w:rPr>
          <w:rFonts w:ascii="Arial" w:hAnsi="Arial" w:cs="Arial"/>
          <w:bCs/>
          <w:color w:val="000000" w:themeColor="text1"/>
          <w:highlight w:val="none"/>
          <w14:textFill>
            <w14:solidFill>
              <w14:schemeClr w14:val="tx1"/>
            </w14:solidFill>
          </w14:textFill>
        </w:rPr>
        <w:t>电子投标文件</w:t>
      </w:r>
    </w:p>
    <w:p w14:paraId="608EA86A">
      <w:pPr>
        <w:snapToGrid w:val="0"/>
        <w:spacing w:before="120" w:beforeLines="50" w:after="50" w:line="400" w:lineRule="exact"/>
        <w:rPr>
          <w:rFonts w:hint="eastAsia" w:ascii="宋体" w:hAnsi="宋体"/>
          <w:bCs/>
          <w:color w:val="000000" w:themeColor="text1"/>
          <w:sz w:val="24"/>
          <w:szCs w:val="20"/>
          <w:highlight w:val="none"/>
          <w14:textFill>
            <w14:solidFill>
              <w14:schemeClr w14:val="tx1"/>
            </w14:solidFill>
          </w14:textFill>
        </w:rPr>
      </w:pPr>
    </w:p>
    <w:p w14:paraId="13C42F30">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项目名称： </w:t>
      </w:r>
    </w:p>
    <w:p w14:paraId="4278F4F7">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2785CC19">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项目编号： </w:t>
      </w:r>
    </w:p>
    <w:p w14:paraId="73D429AE">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201D44B7">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19E7CB21">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18967A57">
      <w:pPr>
        <w:snapToGrid w:val="0"/>
        <w:spacing w:before="120" w:beforeLines="50" w:after="50" w:line="400" w:lineRule="exact"/>
        <w:ind w:firstLine="360" w:firstLineChars="150"/>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w:t>
      </w:r>
    </w:p>
    <w:p w14:paraId="1FC0692E">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2E29F9F7">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投标人地址：</w:t>
      </w:r>
    </w:p>
    <w:p w14:paraId="4C275B37">
      <w:pPr>
        <w:pStyle w:val="9"/>
        <w:snapToGrid w:val="0"/>
        <w:spacing w:before="50" w:after="50" w:line="400" w:lineRule="exact"/>
        <w:ind w:firstLine="960" w:firstLineChars="400"/>
        <w:rPr>
          <w:rFonts w:hint="eastAsia" w:ascii="宋体" w:hAnsi="宋体"/>
          <w:bCs/>
          <w:color w:val="000000" w:themeColor="text1"/>
          <w:sz w:val="24"/>
          <w:szCs w:val="24"/>
          <w:highlight w:val="none"/>
          <w14:textFill>
            <w14:solidFill>
              <w14:schemeClr w14:val="tx1"/>
            </w14:solidFill>
          </w14:textFill>
        </w:rPr>
      </w:pPr>
    </w:p>
    <w:p w14:paraId="736D5FA8">
      <w:pPr>
        <w:snapToGrid w:val="0"/>
        <w:spacing w:before="120" w:beforeLines="50" w:after="50" w:line="400" w:lineRule="exact"/>
        <w:rPr>
          <w:rFonts w:hint="eastAsia" w:ascii="宋体" w:hAnsi="宋体"/>
          <w:color w:val="000000" w:themeColor="text1"/>
          <w:sz w:val="30"/>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7865F0D1">
      <w:pPr>
        <w:snapToGrid w:val="0"/>
        <w:spacing w:before="120" w:beforeLines="50" w:after="50" w:line="360" w:lineRule="auto"/>
        <w:jc w:val="left"/>
        <w:rPr>
          <w:rFonts w:hint="eastAsia" w:ascii="宋体" w:hAnsi="宋体"/>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2.</w:t>
      </w:r>
      <w:r>
        <w:rPr>
          <w:rFonts w:hint="eastAsia" w:ascii="宋体" w:hAnsi="宋体"/>
          <w:b/>
          <w:bCs/>
          <w:color w:val="000000" w:themeColor="text1"/>
          <w:sz w:val="24"/>
          <w:highlight w:val="none"/>
          <w14:textFill>
            <w14:solidFill>
              <w14:schemeClr w14:val="tx1"/>
            </w14:solidFill>
          </w14:textFill>
        </w:rPr>
        <w:t>报价文件目录</w:t>
      </w:r>
    </w:p>
    <w:p w14:paraId="364E3CE0">
      <w:pPr>
        <w:snapToGrid w:val="0"/>
        <w:spacing w:before="50" w:after="120" w:afterLines="50" w:line="360" w:lineRule="auto"/>
        <w:jc w:val="left"/>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0AA371C6">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08CB1C77">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63E5AAD6">
      <w:pPr>
        <w:snapToGrid w:val="0"/>
        <w:spacing w:before="120" w:beforeLines="50" w:after="50"/>
        <w:rPr>
          <w:rFonts w:hint="eastAsia" w:ascii="宋体" w:hAnsi="宋体"/>
          <w:b/>
          <w:color w:val="000000" w:themeColor="text1"/>
          <w:sz w:val="24"/>
          <w:highlight w:val="none"/>
          <w14:textFill>
            <w14:solidFill>
              <w14:schemeClr w14:val="tx1"/>
            </w14:solidFill>
          </w14:textFill>
        </w:rPr>
      </w:pPr>
    </w:p>
    <w:p w14:paraId="52FC5B63">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 投标函格式：</w:t>
      </w:r>
    </w:p>
    <w:p w14:paraId="51943D02">
      <w:pPr>
        <w:snapToGrid w:val="0"/>
        <w:spacing w:before="120" w:beforeLines="50" w:after="50" w:line="360" w:lineRule="auto"/>
        <w:jc w:val="center"/>
        <w:rPr>
          <w:rFonts w:hint="eastAsia"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投 标 函</w:t>
      </w:r>
    </w:p>
    <w:p w14:paraId="531C4534">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p>
    <w:p w14:paraId="6457231B">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根据贵方</w:t>
      </w:r>
      <w:r>
        <w:rPr>
          <w:rFonts w:hint="eastAsia" w:ascii="宋体" w:hAnsi="宋体"/>
          <w:color w:val="000000" w:themeColor="text1"/>
          <w:sz w:val="24"/>
          <w:highlight w:val="none"/>
          <w:u w:val="single"/>
          <w14:textFill>
            <w14:solidFill>
              <w14:schemeClr w14:val="tx1"/>
            </w14:solidFill>
          </w14:textFill>
        </w:rPr>
        <w:t xml:space="preserve"> 项目名称</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）的招标公告，签字代表______</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（姓名）经正式授权并代表投标人</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（投标人名称）提交投标文件。</w:t>
      </w:r>
    </w:p>
    <w:p w14:paraId="01244E0E">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据此函，我方宣布同意如下：</w:t>
      </w:r>
    </w:p>
    <w:p w14:paraId="5C88C1A4">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1.我方已详细审查全部“招标文件”，包括修改文件（如有的话）以及全部参考资料和有关附件，已经了解我方对于招标文件、采购过程、采购结果有依法进行询问、质疑、投诉的权利及相关渠道和要求。</w:t>
      </w:r>
    </w:p>
    <w:p w14:paraId="569032C5">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2.我方在投标之前已经完全理解并接受招标文件的各项规定和要求，对招标文件的合理性、合法性不再有异议。</w:t>
      </w:r>
    </w:p>
    <w:p w14:paraId="63385FD7">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3.本投标有效期自投标截止之日起</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6AEC891D">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4.如中标，本投标文件至本项目合同履行完毕止均保持有效，我方将按“招标文件”及政府采购法律、法规的规定履行合同责任和义务。</w:t>
      </w:r>
    </w:p>
    <w:p w14:paraId="1DDEC47E">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5.我方同意按照贵方要求提供与投标有关的一切数据或者资料。</w:t>
      </w:r>
    </w:p>
    <w:p w14:paraId="0913B389">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6.我方向贵方提交的所有投标文件、资料都是准确的和真实的。</w:t>
      </w:r>
    </w:p>
    <w:p w14:paraId="1AE90073">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7.以上事项如有虚假或者隐瞒，我方愿意承担一切后果，并不再寻求任何旨在减轻或者免除法律责任的辩解。</w:t>
      </w:r>
    </w:p>
    <w:p w14:paraId="3865D963">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8.根据</w:t>
      </w:r>
      <w:r>
        <w:rPr>
          <w:rFonts w:ascii="宋体" w:hAnsi="宋体"/>
          <w:color w:val="000000" w:themeColor="text1"/>
          <w:sz w:val="24"/>
          <w:highlight w:val="none"/>
          <w14:textFill>
            <w14:solidFill>
              <w14:schemeClr w14:val="tx1"/>
            </w14:solidFill>
          </w14:textFill>
        </w:rPr>
        <w:t>《中华人民共和国政府采购法实施条例》第五十条要求对政府采购合同进行公告</w:t>
      </w:r>
      <w:r>
        <w:rPr>
          <w:rFonts w:hint="eastAsia" w:ascii="宋体" w:hAnsi="宋体"/>
          <w:color w:val="000000" w:themeColor="text1"/>
          <w:sz w:val="24"/>
          <w:highlight w:val="none"/>
          <w14:textFill>
            <w14:solidFill>
              <w14:schemeClr w14:val="tx1"/>
            </w14:solidFill>
          </w14:textFill>
        </w:rPr>
        <w:t>，</w:t>
      </w:r>
      <w:r>
        <w:rPr>
          <w:rFonts w:ascii="宋体" w:hAnsi="宋体"/>
          <w:color w:val="000000" w:themeColor="text1"/>
          <w:sz w:val="24"/>
          <w:highlight w:val="none"/>
          <w14:textFill>
            <w14:solidFill>
              <w14:schemeClr w14:val="tx1"/>
            </w14:solidFill>
          </w14:textFill>
        </w:rPr>
        <w:t>但政府采购合同中涉及国家秘密、商业秘密的内容除外。</w:t>
      </w:r>
      <w:r>
        <w:rPr>
          <w:rFonts w:hint="eastAsia" w:ascii="宋体" w:hAnsi="宋体"/>
          <w:color w:val="000000" w:themeColor="text1"/>
          <w:sz w:val="24"/>
          <w:highlight w:val="none"/>
          <w14:textFill>
            <w14:solidFill>
              <w14:schemeClr w14:val="tx1"/>
            </w14:solidFill>
          </w14:textFill>
        </w:rPr>
        <w:t>我方就对本次投标文件进行注明如下：（两项内容中必须选择一项）</w:t>
      </w:r>
    </w:p>
    <w:p w14:paraId="4ACA20B0">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内容中</w:t>
      </w:r>
      <w:r>
        <w:rPr>
          <w:rFonts w:hint="eastAsia" w:ascii="宋体" w:hAnsi="宋体"/>
          <w:color w:val="000000" w:themeColor="text1"/>
          <w:sz w:val="24"/>
          <w:highlight w:val="none"/>
          <w14:textFill>
            <w14:solidFill>
              <w14:schemeClr w14:val="tx1"/>
            </w14:solidFill>
          </w14:textFill>
        </w:rPr>
        <w:t>未</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w:t>
      </w:r>
    </w:p>
    <w:p w14:paraId="28E5AB7C">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□我方本次投标文件</w:t>
      </w:r>
      <w:r>
        <w:rPr>
          <w:rFonts w:ascii="宋体" w:hAnsi="宋体" w:cs="宋体"/>
          <w:color w:val="000000" w:themeColor="text1"/>
          <w:kern w:val="0"/>
          <w:sz w:val="24"/>
          <w:highlight w:val="none"/>
          <w14:textFill>
            <w14:solidFill>
              <w14:schemeClr w14:val="tx1"/>
            </w14:solidFill>
          </w14:textFill>
        </w:rPr>
        <w:t>涉及商业秘密</w:t>
      </w:r>
      <w:r>
        <w:rPr>
          <w:rFonts w:hint="eastAsia" w:ascii="宋体" w:hAnsi="宋体" w:cs="宋体"/>
          <w:color w:val="000000" w:themeColor="text1"/>
          <w:kern w:val="0"/>
          <w:sz w:val="24"/>
          <w:highlight w:val="none"/>
          <w14:textFill>
            <w14:solidFill>
              <w14:schemeClr w14:val="tx1"/>
            </w14:solidFill>
          </w14:textFill>
        </w:rPr>
        <w:t>的</w:t>
      </w:r>
      <w:r>
        <w:rPr>
          <w:rFonts w:ascii="宋体" w:hAnsi="宋体" w:cs="宋体"/>
          <w:color w:val="000000" w:themeColor="text1"/>
          <w:kern w:val="0"/>
          <w:sz w:val="24"/>
          <w:highlight w:val="none"/>
          <w14:textFill>
            <w14:solidFill>
              <w14:schemeClr w14:val="tx1"/>
            </w14:solidFill>
          </w14:textFill>
        </w:rPr>
        <w:t>内容</w:t>
      </w:r>
      <w:r>
        <w:rPr>
          <w:rFonts w:hint="eastAsia" w:ascii="宋体" w:hAnsi="宋体" w:cs="宋体"/>
          <w:color w:val="000000" w:themeColor="text1"/>
          <w:kern w:val="0"/>
          <w:sz w:val="24"/>
          <w:highlight w:val="none"/>
          <w14:textFill>
            <w14:solidFill>
              <w14:schemeClr w14:val="tx1"/>
            </w14:solidFill>
          </w14:textFill>
        </w:rPr>
        <w:t>有：</w:t>
      </w:r>
      <w:r>
        <w:rPr>
          <w:rFonts w:hint="eastAsia" w:ascii="宋体" w:hAnsi="宋体" w:cs="宋体"/>
          <w:color w:val="000000" w:themeColor="text1"/>
          <w:kern w:val="0"/>
          <w:sz w:val="24"/>
          <w:highlight w:val="none"/>
          <w:u w:val="single"/>
          <w14:textFill>
            <w14:solidFill>
              <w14:schemeClr w14:val="tx1"/>
            </w14:solidFill>
          </w14:textFill>
        </w:rPr>
        <w:t xml:space="preserve">                         </w:t>
      </w:r>
      <w:r>
        <w:rPr>
          <w:rFonts w:hint="eastAsia" w:ascii="宋体" w:hAnsi="宋体" w:cs="宋体"/>
          <w:color w:val="000000" w:themeColor="text1"/>
          <w:kern w:val="0"/>
          <w:sz w:val="24"/>
          <w:highlight w:val="none"/>
          <w14:textFill>
            <w14:solidFill>
              <w14:schemeClr w14:val="tx1"/>
            </w14:solidFill>
          </w14:textFill>
        </w:rPr>
        <w:t>；</w:t>
      </w:r>
    </w:p>
    <w:p w14:paraId="0355F9EE">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9.与本投标有关的一切正式往来信函请寄：</w:t>
      </w:r>
    </w:p>
    <w:p w14:paraId="67240CEF">
      <w:pPr>
        <w:spacing w:line="440" w:lineRule="exact"/>
        <w:ind w:firstLine="480" w:firstLineChars="200"/>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邮编：</w:t>
      </w:r>
      <w:r>
        <w:rPr>
          <w:rFonts w:hint="eastAsia" w:ascii="宋体" w:hAnsi="宋体"/>
          <w:color w:val="000000" w:themeColor="text1"/>
          <w:sz w:val="24"/>
          <w:highlight w:val="none"/>
          <w:u w:val="single"/>
          <w14:textFill>
            <w14:solidFill>
              <w14:schemeClr w14:val="tx1"/>
            </w14:solidFill>
          </w14:textFill>
        </w:rPr>
        <w:t xml:space="preserve">            </w:t>
      </w:r>
    </w:p>
    <w:p w14:paraId="4D63A728">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传真：</w:t>
      </w:r>
      <w:r>
        <w:rPr>
          <w:rFonts w:hint="eastAsia" w:ascii="宋体" w:hAnsi="宋体"/>
          <w:color w:val="000000" w:themeColor="text1"/>
          <w:sz w:val="24"/>
          <w:highlight w:val="none"/>
          <w:u w:val="single"/>
          <w14:textFill>
            <w14:solidFill>
              <w14:schemeClr w14:val="tx1"/>
            </w14:solidFill>
          </w14:textFill>
        </w:rPr>
        <w:t xml:space="preserve">          </w:t>
      </w:r>
    </w:p>
    <w:p w14:paraId="5D701C35">
      <w:pPr>
        <w:spacing w:line="440" w:lineRule="exact"/>
        <w:ind w:firstLine="480" w:firstLineChars="20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w:t>
      </w:r>
      <w:r>
        <w:rPr>
          <w:rFonts w:hint="eastAsia" w:ascii="宋体" w:hAnsi="宋体"/>
          <w:color w:val="000000" w:themeColor="text1"/>
          <w:sz w:val="24"/>
          <w:highlight w:val="none"/>
          <w:u w:val="single"/>
          <w14:textFill>
            <w14:solidFill>
              <w14:schemeClr w14:val="tx1"/>
            </w14:solidFill>
          </w14:textFill>
        </w:rPr>
        <w:t xml:space="preserve">                </w:t>
      </w:r>
    </w:p>
    <w:p w14:paraId="119258E6">
      <w:pPr>
        <w:spacing w:line="44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开户银行：</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银行帐号：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3FCAF8E1">
      <w:pPr>
        <w:spacing w:line="44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法定代表人或者委托代理人签字:___________ </w:t>
      </w:r>
    </w:p>
    <w:p w14:paraId="65A58D2C">
      <w:pPr>
        <w:keepNext/>
        <w:keepLines/>
        <w:snapToGrid w:val="0"/>
        <w:spacing w:line="360" w:lineRule="auto"/>
        <w:ind w:firstLine="5040" w:firstLineChars="2100"/>
        <w:contextualSpacing/>
        <w:jc w:val="center"/>
        <w:rPr>
          <w:rFonts w:hint="eastAsia" w:hAnsi="宋体"/>
          <w:color w:val="000000" w:themeColor="text1"/>
          <w:sz w:val="24"/>
          <w:szCs w:val="24"/>
          <w:highlight w:val="none"/>
          <w:u w:val="singl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Ansi="宋体"/>
          <w:color w:val="000000" w:themeColor="text1"/>
          <w:sz w:val="24"/>
          <w:highlight w:val="none"/>
          <w14:textFill>
            <w14:solidFill>
              <w14:schemeClr w14:val="tx1"/>
            </w14:solidFill>
          </w14:textFill>
        </w:rPr>
        <w:t xml:space="preserve">                 </w:t>
      </w:r>
      <w:r>
        <w:rPr>
          <w:rFonts w:hint="eastAsia" w:ascii="宋体" w:hAnsi="宋体" w:cs="宋体"/>
          <w:color w:val="000000" w:themeColor="text1"/>
          <w:kern w:val="0"/>
          <w:szCs w:val="21"/>
          <w:highlight w:val="none"/>
          <w:lang w:val="zh-CN"/>
          <w14:textFill>
            <w14:solidFill>
              <w14:schemeClr w14:val="tx1"/>
            </w14:solidFill>
          </w14:textFill>
        </w:rPr>
        <w:t>投标人名称（电子签章）：</w:t>
      </w:r>
      <w:r>
        <w:rPr>
          <w:rFonts w:hint="eastAsia" w:hAnsi="宋体"/>
          <w:color w:val="000000" w:themeColor="text1"/>
          <w:sz w:val="24"/>
          <w:highlight w:val="none"/>
          <w14:textFill>
            <w14:solidFill>
              <w14:schemeClr w14:val="tx1"/>
            </w14:solidFill>
          </w14:textFill>
        </w:rPr>
        <w:t>：</w:t>
      </w:r>
    </w:p>
    <w:p w14:paraId="1F287FDF">
      <w:pPr>
        <w:pStyle w:val="26"/>
        <w:spacing w:line="440" w:lineRule="exact"/>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p>
    <w:p w14:paraId="2FB2A9F1">
      <w:pPr>
        <w:snapToGrid w:val="0"/>
        <w:spacing w:before="120" w:beforeLines="50" w:after="50" w:line="440" w:lineRule="exact"/>
        <w:jc w:val="left"/>
        <w:rPr>
          <w:rFonts w:hint="eastAsia" w:ascii="宋体" w:hAnsi="宋体"/>
          <w:b/>
          <w:color w:val="000000" w:themeColor="text1"/>
          <w:sz w:val="24"/>
          <w:szCs w:val="20"/>
          <w:highlight w:val="none"/>
          <w14:textFill>
            <w14:solidFill>
              <w14:schemeClr w14:val="tx1"/>
            </w14:solidFill>
          </w14:textFill>
        </w:rPr>
      </w:pPr>
      <w:r>
        <w:rPr>
          <w:rFonts w:hAnsi="宋体"/>
          <w:color w:val="000000" w:themeColor="text1"/>
          <w:highlight w:val="none"/>
          <w:u w:val="singl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 开标一览表</w:t>
      </w:r>
    </w:p>
    <w:p w14:paraId="754BF71F">
      <w:pPr>
        <w:snapToGrid w:val="0"/>
        <w:spacing w:before="50" w:after="50"/>
        <w:jc w:val="center"/>
        <w:rPr>
          <w:rFonts w:hint="eastAsia" w:ascii="宋体" w:hAnsi="宋体"/>
          <w:b/>
          <w:color w:val="000000" w:themeColor="text1"/>
          <w:sz w:val="30"/>
          <w:highlight w:val="none"/>
          <w14:textFill>
            <w14:solidFill>
              <w14:schemeClr w14:val="tx1"/>
            </w14:solidFill>
          </w14:textFill>
        </w:rPr>
      </w:pPr>
      <w:r>
        <w:rPr>
          <w:rFonts w:hint="eastAsia" w:ascii="宋体" w:hAnsi="宋体"/>
          <w:b/>
          <w:color w:val="000000" w:themeColor="text1"/>
          <w:sz w:val="30"/>
          <w:highlight w:val="none"/>
          <w14:textFill>
            <w14:solidFill>
              <w14:schemeClr w14:val="tx1"/>
            </w14:solidFill>
          </w14:textFill>
        </w:rPr>
        <w:t>开标一览表</w:t>
      </w:r>
    </w:p>
    <w:p w14:paraId="7BEE69C2">
      <w:pPr>
        <w:snapToGrid w:val="0"/>
        <w:spacing w:before="50" w:after="50"/>
        <w:jc w:val="center"/>
        <w:rPr>
          <w:rFonts w:hint="eastAsia" w:ascii="宋体" w:hAnsi="宋体"/>
          <w:b/>
          <w:color w:val="000000" w:themeColor="text1"/>
          <w:sz w:val="30"/>
          <w:szCs w:val="20"/>
          <w:highlight w:val="none"/>
          <w14:textFill>
            <w14:solidFill>
              <w14:schemeClr w14:val="tx1"/>
            </w14:solidFill>
          </w14:textFill>
        </w:rPr>
      </w:pPr>
    </w:p>
    <w:p w14:paraId="4231B085">
      <w:pPr>
        <w:snapToGrid w:val="0"/>
        <w:spacing w:before="50" w:after="50" w:line="360" w:lineRule="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项目编号：</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分标：</w:t>
      </w:r>
      <w:r>
        <w:rPr>
          <w:rFonts w:hint="eastAsia" w:ascii="宋体" w:hAnsi="宋体"/>
          <w:color w:val="000000" w:themeColor="text1"/>
          <w:sz w:val="24"/>
          <w:highlight w:val="none"/>
          <w:u w:val="single"/>
          <w14:textFill>
            <w14:solidFill>
              <w14:schemeClr w14:val="tx1"/>
            </w14:solidFill>
          </w14:textFill>
        </w:rPr>
        <w:t xml:space="preserve">           </w:t>
      </w:r>
    </w:p>
    <w:p w14:paraId="17E53204">
      <w:pPr>
        <w:snapToGrid w:val="0"/>
        <w:spacing w:before="50" w:after="50" w:line="360" w:lineRule="auto"/>
        <w:rPr>
          <w:rFonts w:hint="eastAsia" w:ascii="宋体" w:hAnsi="宋体" w:cs="仿宋_GB2312"/>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单位：元</w:t>
      </w:r>
      <w:r>
        <w:rPr>
          <w:rFonts w:hint="eastAsia" w:ascii="宋体" w:hAnsi="宋体" w:cs="仿宋_GB2312"/>
          <w:color w:val="000000" w:themeColor="text1"/>
          <w:sz w:val="24"/>
          <w:highlight w:val="none"/>
          <w14:textFill>
            <w14:solidFill>
              <w14:schemeClr w14:val="tx1"/>
            </w14:solidFill>
          </w14:textFill>
        </w:rPr>
        <w:t xml:space="preserve">                                        </w:t>
      </w:r>
    </w:p>
    <w:tbl>
      <w:tblPr>
        <w:tblStyle w:val="53"/>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79"/>
        <w:gridCol w:w="1259"/>
        <w:gridCol w:w="1515"/>
        <w:gridCol w:w="956"/>
        <w:gridCol w:w="956"/>
      </w:tblGrid>
      <w:tr w14:paraId="32392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5D9ADFC">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4465554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服务名称</w:t>
            </w:r>
          </w:p>
        </w:tc>
        <w:tc>
          <w:tcPr>
            <w:tcW w:w="2063" w:type="dxa"/>
            <w:tcBorders>
              <w:top w:val="single" w:color="auto" w:sz="4" w:space="0"/>
              <w:left w:val="single" w:color="auto" w:sz="4" w:space="0"/>
              <w:bottom w:val="single" w:color="auto" w:sz="4" w:space="0"/>
              <w:right w:val="single" w:color="auto" w:sz="4" w:space="0"/>
            </w:tcBorders>
            <w:vAlign w:val="center"/>
          </w:tcPr>
          <w:p w14:paraId="7663E566">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具体服务内容（含具体服务范围、服务时间、服务标准等内容）</w:t>
            </w:r>
          </w:p>
        </w:tc>
        <w:tc>
          <w:tcPr>
            <w:tcW w:w="1079" w:type="dxa"/>
            <w:tcBorders>
              <w:top w:val="single" w:color="auto" w:sz="4" w:space="0"/>
              <w:left w:val="single" w:color="auto" w:sz="4" w:space="0"/>
              <w:bottom w:val="single" w:color="auto" w:sz="4" w:space="0"/>
              <w:right w:val="single" w:color="auto" w:sz="4" w:space="0"/>
            </w:tcBorders>
            <w:vAlign w:val="center"/>
          </w:tcPr>
          <w:p w14:paraId="1F8AE587">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数量①</w:t>
            </w:r>
          </w:p>
        </w:tc>
        <w:tc>
          <w:tcPr>
            <w:tcW w:w="1259" w:type="dxa"/>
            <w:tcBorders>
              <w:top w:val="single" w:color="auto" w:sz="4" w:space="0"/>
              <w:left w:val="single" w:color="auto" w:sz="4" w:space="0"/>
              <w:bottom w:val="single" w:color="auto" w:sz="4" w:space="0"/>
              <w:right w:val="single" w:color="auto" w:sz="4" w:space="0"/>
            </w:tcBorders>
            <w:vAlign w:val="center"/>
          </w:tcPr>
          <w:p w14:paraId="2D1D3C5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单价(元)②</w:t>
            </w:r>
          </w:p>
        </w:tc>
        <w:tc>
          <w:tcPr>
            <w:tcW w:w="1515" w:type="dxa"/>
            <w:tcBorders>
              <w:top w:val="single" w:color="auto" w:sz="4" w:space="0"/>
              <w:left w:val="single" w:color="auto" w:sz="4" w:space="0"/>
              <w:bottom w:val="single" w:color="auto" w:sz="4" w:space="0"/>
              <w:right w:val="single" w:color="auto" w:sz="4" w:space="0"/>
            </w:tcBorders>
            <w:vAlign w:val="center"/>
          </w:tcPr>
          <w:p w14:paraId="57EE26F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单项合价（元）</w:t>
            </w:r>
          </w:p>
          <w:p w14:paraId="6F2C209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③＝①×②</w:t>
            </w:r>
          </w:p>
        </w:tc>
        <w:tc>
          <w:tcPr>
            <w:tcW w:w="956" w:type="dxa"/>
            <w:tcBorders>
              <w:top w:val="single" w:color="auto" w:sz="4" w:space="0"/>
              <w:left w:val="single" w:color="auto" w:sz="4" w:space="0"/>
              <w:bottom w:val="single" w:color="auto" w:sz="4" w:space="0"/>
              <w:right w:val="single" w:color="auto" w:sz="4" w:space="0"/>
            </w:tcBorders>
            <w:vAlign w:val="top"/>
          </w:tcPr>
          <w:p w14:paraId="043F4854">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服务要求（含服务期限）</w:t>
            </w:r>
          </w:p>
        </w:tc>
        <w:tc>
          <w:tcPr>
            <w:tcW w:w="956" w:type="dxa"/>
            <w:tcBorders>
              <w:top w:val="single" w:color="auto" w:sz="4" w:space="0"/>
              <w:left w:val="single" w:color="auto" w:sz="4" w:space="0"/>
              <w:bottom w:val="single" w:color="auto" w:sz="4" w:space="0"/>
              <w:right w:val="single" w:color="auto" w:sz="4" w:space="0"/>
            </w:tcBorders>
            <w:vAlign w:val="center"/>
          </w:tcPr>
          <w:p w14:paraId="649C122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备注</w:t>
            </w:r>
          </w:p>
        </w:tc>
      </w:tr>
      <w:tr w14:paraId="64C4B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2F819BC">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1</w:t>
            </w:r>
          </w:p>
        </w:tc>
        <w:tc>
          <w:tcPr>
            <w:tcW w:w="1259" w:type="dxa"/>
            <w:tcBorders>
              <w:top w:val="single" w:color="auto" w:sz="4" w:space="0"/>
              <w:left w:val="single" w:color="auto" w:sz="4" w:space="0"/>
              <w:bottom w:val="single" w:color="auto" w:sz="4" w:space="0"/>
              <w:right w:val="single" w:color="auto" w:sz="4" w:space="0"/>
            </w:tcBorders>
            <w:vAlign w:val="center"/>
          </w:tcPr>
          <w:p w14:paraId="3F83969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vAlign w:val="center"/>
          </w:tcPr>
          <w:p w14:paraId="6F93042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14:paraId="503138F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101AC5A6">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77C18A6C">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vAlign w:val="top"/>
          </w:tcPr>
          <w:p w14:paraId="1EF96C5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vAlign w:val="center"/>
          </w:tcPr>
          <w:p w14:paraId="3F9C518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r>
      <w:tr w14:paraId="5CF49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01AB12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2</w:t>
            </w:r>
          </w:p>
        </w:tc>
        <w:tc>
          <w:tcPr>
            <w:tcW w:w="1259" w:type="dxa"/>
            <w:tcBorders>
              <w:top w:val="single" w:color="auto" w:sz="4" w:space="0"/>
              <w:left w:val="single" w:color="auto" w:sz="4" w:space="0"/>
              <w:bottom w:val="single" w:color="auto" w:sz="4" w:space="0"/>
              <w:right w:val="single" w:color="auto" w:sz="4" w:space="0"/>
            </w:tcBorders>
            <w:vAlign w:val="center"/>
          </w:tcPr>
          <w:p w14:paraId="48EB2B7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vAlign w:val="center"/>
          </w:tcPr>
          <w:p w14:paraId="3B9DC05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14:paraId="269C1CB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75AC5251">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25EA0F5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vAlign w:val="top"/>
          </w:tcPr>
          <w:p w14:paraId="33C3CF4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vAlign w:val="center"/>
          </w:tcPr>
          <w:p w14:paraId="3A43374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r>
      <w:tr w14:paraId="6D77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24B459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w:t>
            </w:r>
          </w:p>
        </w:tc>
        <w:tc>
          <w:tcPr>
            <w:tcW w:w="1259" w:type="dxa"/>
            <w:tcBorders>
              <w:top w:val="single" w:color="auto" w:sz="4" w:space="0"/>
              <w:left w:val="single" w:color="auto" w:sz="4" w:space="0"/>
              <w:bottom w:val="single" w:color="auto" w:sz="4" w:space="0"/>
              <w:right w:val="single" w:color="auto" w:sz="4" w:space="0"/>
            </w:tcBorders>
            <w:vAlign w:val="center"/>
          </w:tcPr>
          <w:p w14:paraId="6F0808D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2063" w:type="dxa"/>
            <w:tcBorders>
              <w:top w:val="single" w:color="auto" w:sz="4" w:space="0"/>
              <w:left w:val="single" w:color="auto" w:sz="4" w:space="0"/>
              <w:bottom w:val="single" w:color="auto" w:sz="4" w:space="0"/>
              <w:right w:val="single" w:color="auto" w:sz="4" w:space="0"/>
            </w:tcBorders>
            <w:vAlign w:val="center"/>
          </w:tcPr>
          <w:p w14:paraId="0579575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14:paraId="6FB46F4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1259" w:type="dxa"/>
            <w:tcBorders>
              <w:top w:val="single" w:color="auto" w:sz="4" w:space="0"/>
              <w:left w:val="single" w:color="auto" w:sz="4" w:space="0"/>
              <w:bottom w:val="single" w:color="auto" w:sz="4" w:space="0"/>
              <w:right w:val="single" w:color="auto" w:sz="4" w:space="0"/>
            </w:tcBorders>
            <w:vAlign w:val="center"/>
          </w:tcPr>
          <w:p w14:paraId="6CFBD77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1515" w:type="dxa"/>
            <w:tcBorders>
              <w:top w:val="single" w:color="auto" w:sz="4" w:space="0"/>
              <w:left w:val="single" w:color="auto" w:sz="4" w:space="0"/>
              <w:bottom w:val="single" w:color="auto" w:sz="4" w:space="0"/>
              <w:right w:val="single" w:color="auto" w:sz="4" w:space="0"/>
            </w:tcBorders>
            <w:vAlign w:val="center"/>
          </w:tcPr>
          <w:p w14:paraId="354149A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vAlign w:val="top"/>
          </w:tcPr>
          <w:p w14:paraId="7F97057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c>
          <w:tcPr>
            <w:tcW w:w="956" w:type="dxa"/>
            <w:tcBorders>
              <w:top w:val="single" w:color="auto" w:sz="4" w:space="0"/>
              <w:left w:val="single" w:color="auto" w:sz="4" w:space="0"/>
              <w:bottom w:val="single" w:color="auto" w:sz="4" w:space="0"/>
              <w:right w:val="single" w:color="auto" w:sz="4" w:space="0"/>
            </w:tcBorders>
            <w:vAlign w:val="center"/>
          </w:tcPr>
          <w:p w14:paraId="65F4719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p>
        </w:tc>
      </w:tr>
      <w:tr w14:paraId="23EF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05" w:type="dxa"/>
            <w:gridSpan w:val="8"/>
            <w:tcBorders>
              <w:top w:val="single" w:color="auto" w:sz="4" w:space="0"/>
              <w:left w:val="single" w:color="auto" w:sz="4" w:space="0"/>
              <w:bottom w:val="single" w:color="auto" w:sz="4" w:space="0"/>
              <w:right w:val="single" w:color="auto" w:sz="4" w:space="0"/>
            </w:tcBorders>
            <w:vAlign w:val="top"/>
          </w:tcPr>
          <w:p w14:paraId="36381B6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报价合计（包含税费等所有费用）：（大写）人民币                                       （￥                元）</w:t>
            </w:r>
          </w:p>
        </w:tc>
      </w:tr>
      <w:tr w14:paraId="61F3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05" w:type="dxa"/>
            <w:gridSpan w:val="8"/>
            <w:tcBorders>
              <w:top w:val="single" w:color="auto" w:sz="4" w:space="0"/>
              <w:left w:val="single" w:color="auto" w:sz="4" w:space="0"/>
              <w:bottom w:val="single" w:color="auto" w:sz="4" w:space="0"/>
              <w:right w:val="single" w:color="auto" w:sz="4" w:space="0"/>
            </w:tcBorders>
            <w:vAlign w:val="top"/>
          </w:tcPr>
          <w:p w14:paraId="67F3351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val="single"/>
                <w:lang w:val="en-US" w:eastAsia="zh-CN" w:bidi="ar"/>
                <w14:textFill>
                  <w14:solidFill>
                    <w14:schemeClr w14:val="tx1"/>
                  </w14:solidFill>
                </w14:textFill>
              </w:rPr>
              <w:t>　　</w:t>
            </w:r>
            <w:r>
              <w:rPr>
                <w:rFonts w:hint="eastAsia" w:ascii="宋体" w:hAnsi="宋体" w:eastAsia="宋体" w:cs="宋体"/>
                <w:color w:val="000000" w:themeColor="text1"/>
                <w:kern w:val="2"/>
                <w:sz w:val="21"/>
                <w:szCs w:val="21"/>
                <w:highlight w:val="none"/>
                <w:lang w:val="en-US" w:eastAsia="zh-CN" w:bidi="ar"/>
                <w14:textFill>
                  <w14:solidFill>
                    <w14:schemeClr w14:val="tx1"/>
                  </w14:solidFill>
                </w14:textFill>
              </w:rPr>
              <w:t>分标（此处有分标时填写具体分标号，无分标时填写“无”）</w:t>
            </w:r>
          </w:p>
        </w:tc>
      </w:tr>
      <w:tr w14:paraId="38D0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05" w:type="dxa"/>
            <w:gridSpan w:val="8"/>
            <w:tcBorders>
              <w:top w:val="single" w:color="auto" w:sz="4" w:space="0"/>
              <w:left w:val="single" w:color="auto" w:sz="4" w:space="0"/>
              <w:bottom w:val="single" w:color="auto" w:sz="4" w:space="0"/>
              <w:right w:val="single" w:color="auto" w:sz="4" w:space="0"/>
            </w:tcBorders>
            <w:vAlign w:val="top"/>
          </w:tcPr>
          <w:p w14:paraId="7808804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验收标准：</w:t>
            </w:r>
          </w:p>
        </w:tc>
      </w:tr>
      <w:tr w14:paraId="3E56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05" w:type="dxa"/>
            <w:gridSpan w:val="8"/>
            <w:tcBorders>
              <w:top w:val="single" w:color="auto" w:sz="4" w:space="0"/>
              <w:left w:val="single" w:color="auto" w:sz="4" w:space="0"/>
              <w:bottom w:val="single" w:color="auto" w:sz="4" w:space="0"/>
              <w:right w:val="single" w:color="auto" w:sz="4" w:space="0"/>
            </w:tcBorders>
            <w:vAlign w:val="top"/>
          </w:tcPr>
          <w:p w14:paraId="3A73F6C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szCs w:val="22"/>
                <w:highlight w:val="none"/>
                <w:lang w:val="en-US"/>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
                <w14:textFill>
                  <w14:solidFill>
                    <w14:schemeClr w14:val="tx1"/>
                  </w14:solidFill>
                </w14:textFill>
              </w:rPr>
              <w:t>优惠及其它：</w:t>
            </w:r>
          </w:p>
        </w:tc>
      </w:tr>
    </w:tbl>
    <w:p w14:paraId="3D911849">
      <w:pPr>
        <w:snapToGrid w:val="0"/>
        <w:spacing w:before="50" w:after="50" w:line="360" w:lineRule="auto"/>
        <w:jc w:val="left"/>
        <w:rPr>
          <w:rFonts w:hint="eastAsia" w:ascii="宋体" w:hAnsi="宋体"/>
          <w:color w:val="000000" w:themeColor="text1"/>
          <w:sz w:val="24"/>
          <w:highlight w:val="none"/>
          <w14:textFill>
            <w14:solidFill>
              <w14:schemeClr w14:val="tx1"/>
            </w14:solidFill>
          </w14:textFill>
        </w:rPr>
      </w:pPr>
    </w:p>
    <w:p w14:paraId="18E76DB6">
      <w:pPr>
        <w:snapToGrid w:val="0"/>
        <w:spacing w:before="50" w:after="50"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注: </w:t>
      </w:r>
    </w:p>
    <w:p w14:paraId="66AEBEA3">
      <w:pPr>
        <w:snapToGrid w:val="0"/>
        <w:spacing w:before="50" w:after="5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1.投标人的开标一览表必须加盖投标人公章并由</w:t>
      </w:r>
      <w:r>
        <w:rPr>
          <w:rFonts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z w:val="24"/>
          <w:highlight w:val="none"/>
          <w14:textFill>
            <w14:solidFill>
              <w14:schemeClr w14:val="tx1"/>
            </w14:solidFill>
          </w14:textFill>
        </w:rPr>
        <w:t>签字，</w:t>
      </w:r>
      <w:r>
        <w:rPr>
          <w:rFonts w:hint="eastAsia" w:ascii="宋体" w:hAnsi="宋体"/>
          <w:b/>
          <w:color w:val="000000" w:themeColor="text1"/>
          <w:sz w:val="24"/>
          <w:highlight w:val="none"/>
          <w14:textFill>
            <w14:solidFill>
              <w14:schemeClr w14:val="tx1"/>
            </w14:solidFill>
          </w14:textFill>
        </w:rPr>
        <w:t>否则其投标作无效标处理</w:t>
      </w:r>
      <w:r>
        <w:rPr>
          <w:rFonts w:hint="eastAsia" w:ascii="宋体" w:hAnsi="宋体"/>
          <w:color w:val="000000" w:themeColor="text1"/>
          <w:sz w:val="24"/>
          <w:highlight w:val="none"/>
          <w14:textFill>
            <w14:solidFill>
              <w14:schemeClr w14:val="tx1"/>
            </w14:solidFill>
          </w14:textFill>
        </w:rPr>
        <w:t>。</w:t>
      </w:r>
    </w:p>
    <w:p w14:paraId="716FCA81">
      <w:pPr>
        <w:snapToGrid w:val="0"/>
        <w:spacing w:before="50" w:after="50" w:line="360" w:lineRule="auto"/>
        <w:ind w:firstLine="480" w:firstLineChars="200"/>
        <w:jc w:val="left"/>
        <w:rPr>
          <w:rFonts w:hint="eastAsia" w:ascii="宋体" w:hAnsi="宋体"/>
          <w:b/>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报价一经涂改，应在涂改处加盖投标人公章或者由法定代表人或者委托代理人签字或者盖章</w:t>
      </w:r>
      <w:r>
        <w:rPr>
          <w:rFonts w:hint="eastAsia" w:ascii="宋体" w:hAnsi="宋体"/>
          <w:b/>
          <w:color w:val="000000" w:themeColor="text1"/>
          <w:sz w:val="24"/>
          <w:highlight w:val="none"/>
          <w14:textFill>
            <w14:solidFill>
              <w14:schemeClr w14:val="tx1"/>
            </w14:solidFill>
          </w14:textFill>
        </w:rPr>
        <w:t>，否则其投标作无效标处理。</w:t>
      </w:r>
    </w:p>
    <w:p w14:paraId="3CD3DC12">
      <w:pPr>
        <w:snapToGrid w:val="0"/>
        <w:spacing w:before="50" w:after="5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3.如为联合体投标，“投标人名称”处必须列明联合体各方名称，并标注联合体牵头人名称，</w:t>
      </w:r>
      <w:r>
        <w:rPr>
          <w:rFonts w:hint="eastAsia" w:ascii="宋体" w:hAnsi="宋体"/>
          <w:b/>
          <w:color w:val="000000" w:themeColor="text1"/>
          <w:sz w:val="24"/>
          <w:highlight w:val="none"/>
          <w14:textFill>
            <w14:solidFill>
              <w14:schemeClr w14:val="tx1"/>
            </w14:solidFill>
          </w14:textFill>
        </w:rPr>
        <w:t>否则其投标作无效标处理。</w:t>
      </w:r>
    </w:p>
    <w:p w14:paraId="46B4D74D">
      <w:pPr>
        <w:snapToGrid w:val="0"/>
        <w:spacing w:before="50" w:after="50" w:line="360" w:lineRule="auto"/>
        <w:ind w:firstLine="456" w:firstLineChars="200"/>
        <w:jc w:val="left"/>
        <w:rPr>
          <w:rFonts w:hint="eastAsia"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4.如为联合体投标，盖章处须加盖联合体各方公章，</w:t>
      </w:r>
      <w:r>
        <w:rPr>
          <w:rFonts w:hint="eastAsia" w:ascii="宋体" w:hAnsi="宋体"/>
          <w:b/>
          <w:color w:val="000000" w:themeColor="text1"/>
          <w:spacing w:val="-6"/>
          <w:sz w:val="24"/>
          <w:highlight w:val="none"/>
          <w14:textFill>
            <w14:solidFill>
              <w14:schemeClr w14:val="tx1"/>
            </w14:solidFill>
          </w14:textFill>
        </w:rPr>
        <w:t>否则其投标作无效标处理。</w:t>
      </w:r>
    </w:p>
    <w:p w14:paraId="18636631">
      <w:pPr>
        <w:snapToGrid w:val="0"/>
        <w:spacing w:before="50" w:after="50" w:line="360" w:lineRule="auto"/>
        <w:ind w:firstLine="480" w:firstLineChars="200"/>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5.如有多分标，按分标分别提供开标一览表，</w:t>
      </w:r>
      <w:r>
        <w:rPr>
          <w:rFonts w:hint="eastAsia" w:ascii="宋体" w:hAnsi="宋体"/>
          <w:b/>
          <w:color w:val="000000" w:themeColor="text1"/>
          <w:sz w:val="24"/>
          <w:highlight w:val="none"/>
          <w14:textFill>
            <w14:solidFill>
              <w14:schemeClr w14:val="tx1"/>
            </w14:solidFill>
          </w14:textFill>
        </w:rPr>
        <w:t>否则投标无效。</w:t>
      </w:r>
    </w:p>
    <w:p w14:paraId="5421684C">
      <w:pPr>
        <w:snapToGrid w:val="0"/>
        <w:spacing w:before="50" w:after="50" w:line="360" w:lineRule="auto"/>
        <w:ind w:left="-2" w:leftChars="-1" w:right="-817" w:rightChars="-389"/>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法定代表人或者委托代理人（签字）：                    </w:t>
      </w:r>
    </w:p>
    <w:p w14:paraId="2E01AB83">
      <w:pPr>
        <w:snapToGrid w:val="0"/>
        <w:spacing w:before="50" w:after="50" w:line="360" w:lineRule="auto"/>
        <w:ind w:left="-3" w:leftChars="-15" w:right="-817" w:rightChars="-389" w:hanging="28" w:hangingChars="12"/>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投标人名称（电子签章）：</w:t>
      </w:r>
      <w:r>
        <w:rPr>
          <w:rFonts w:hint="eastAsia" w:ascii="宋体" w:hAnsi="宋体"/>
          <w:color w:val="000000" w:themeColor="text1"/>
          <w:sz w:val="24"/>
          <w:highlight w:val="none"/>
          <w14:textFill>
            <w14:solidFill>
              <w14:schemeClr w14:val="tx1"/>
            </w14:solidFill>
          </w14:textFill>
        </w:rPr>
        <w:t>：                                 日期：    年   月   日</w:t>
      </w:r>
    </w:p>
    <w:p w14:paraId="74BEC8D4">
      <w:pPr>
        <w:rPr>
          <w:rFonts w:hint="eastAsia"/>
          <w:b/>
          <w:color w:val="000000" w:themeColor="text1"/>
          <w:sz w:val="28"/>
          <w:szCs w:val="28"/>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bookmarkStart w:id="188" w:name="_Toc19686837"/>
      <w:r>
        <w:rPr>
          <w:rFonts w:hint="eastAsia"/>
          <w:b/>
          <w:color w:val="000000" w:themeColor="text1"/>
          <w:sz w:val="28"/>
          <w:szCs w:val="28"/>
          <w:highlight w:val="none"/>
          <w14:textFill>
            <w14:solidFill>
              <w14:schemeClr w14:val="tx1"/>
            </w14:solidFill>
          </w14:textFill>
        </w:rPr>
        <w:t>二、资格证明文件格式</w:t>
      </w:r>
      <w:bookmarkEnd w:id="186"/>
      <w:bookmarkEnd w:id="187"/>
      <w:bookmarkEnd w:id="188"/>
    </w:p>
    <w:p w14:paraId="3F2CCA67">
      <w:pPr>
        <w:numPr>
          <w:ilvl w:val="2"/>
          <w:numId w:val="21"/>
        </w:numPr>
        <w:snapToGrid w:val="0"/>
        <w:spacing w:before="120" w:beforeLines="50" w:after="50" w:line="360" w:lineRule="auto"/>
        <w:ind w:left="0" w:firstLine="0"/>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资格证明文件封面格式： </w:t>
      </w:r>
    </w:p>
    <w:p w14:paraId="7E442333">
      <w:pPr>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F3D4520">
      <w:pPr>
        <w:keepNext/>
        <w:keepLines/>
        <w:snapToGrid w:val="0"/>
        <w:spacing w:line="360" w:lineRule="auto"/>
        <w:ind w:firstLine="840" w:firstLineChars="300"/>
        <w:jc w:val="right"/>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电子投标文件</w:t>
      </w:r>
    </w:p>
    <w:p w14:paraId="5002D252">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36E6EB36">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227A5F85">
      <w:pPr>
        <w:snapToGrid w:val="0"/>
        <w:spacing w:before="120" w:beforeLines="50" w:after="50"/>
        <w:jc w:val="center"/>
        <w:rPr>
          <w:rFonts w:hint="eastAsia" w:ascii="宋体" w:hAnsi="宋体" w:cs="方正小标宋简体"/>
          <w:color w:val="000000" w:themeColor="text1"/>
          <w:sz w:val="84"/>
          <w:szCs w:val="84"/>
          <w:highlight w:val="none"/>
          <w14:textFill>
            <w14:solidFill>
              <w14:schemeClr w14:val="tx1"/>
            </w14:solidFill>
          </w14:textFill>
        </w:rPr>
      </w:pPr>
      <w:r>
        <w:rPr>
          <w:rFonts w:hint="eastAsia" w:ascii="宋体" w:hAnsi="宋体" w:cs="方正小标宋简体"/>
          <w:color w:val="000000" w:themeColor="text1"/>
          <w:sz w:val="84"/>
          <w:szCs w:val="84"/>
          <w:highlight w:val="none"/>
          <w14:textFill>
            <w14:solidFill>
              <w14:schemeClr w14:val="tx1"/>
            </w14:solidFill>
          </w14:textFill>
        </w:rPr>
        <w:t>投  标  文  件</w:t>
      </w:r>
    </w:p>
    <w:p w14:paraId="2A05DDB3">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70D94AC8">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086DC53E">
      <w:pPr>
        <w:snapToGrid w:val="0"/>
        <w:spacing w:before="120" w:beforeLines="50" w:after="50"/>
        <w:jc w:val="center"/>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资 格 证 明 文 件</w:t>
      </w:r>
    </w:p>
    <w:p w14:paraId="3722ED67">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1B9DF4D6">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F3A2B34">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4C402F95">
      <w:pPr>
        <w:snapToGrid w:val="0"/>
        <w:spacing w:before="120" w:beforeLines="50" w:after="50"/>
        <w:rPr>
          <w:rFonts w:ascii="宋体" w:hAnsi="宋体"/>
          <w:bCs/>
          <w:color w:val="000000" w:themeColor="text1"/>
          <w:sz w:val="24"/>
          <w:szCs w:val="20"/>
          <w:highlight w:val="none"/>
          <w14:textFill>
            <w14:solidFill>
              <w14:schemeClr w14:val="tx1"/>
            </w14:solidFill>
          </w14:textFill>
        </w:rPr>
      </w:pPr>
    </w:p>
    <w:p w14:paraId="261F84E4">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414DA80C">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21EF83C6">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1EB623FF">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12229BD2">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328EE6CD">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3E38DF11">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1D11E81E">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66B22A14">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0D3C8D6A">
      <w:pPr>
        <w:pStyle w:val="9"/>
        <w:snapToGrid w:val="0"/>
        <w:spacing w:before="50" w:after="50"/>
        <w:ind w:firstLine="960" w:firstLineChars="400"/>
        <w:rPr>
          <w:rFonts w:hint="eastAsia" w:ascii="宋体" w:hAnsi="宋体"/>
          <w:bCs/>
          <w:color w:val="000000" w:themeColor="text1"/>
          <w:sz w:val="24"/>
          <w:szCs w:val="24"/>
          <w:highlight w:val="none"/>
          <w14:textFill>
            <w14:solidFill>
              <w14:schemeClr w14:val="tx1"/>
            </w14:solidFill>
          </w14:textFill>
        </w:rPr>
      </w:pPr>
    </w:p>
    <w:p w14:paraId="1DBBCFD0">
      <w:pPr>
        <w:snapToGrid w:val="0"/>
        <w:spacing w:before="120" w:beforeLines="50" w:after="50"/>
        <w:ind w:firstLine="645"/>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33D7BE0A">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0544C4EA">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30F4B74C">
      <w:pPr>
        <w:numPr>
          <w:ilvl w:val="2"/>
          <w:numId w:val="21"/>
        </w:numPr>
        <w:snapToGrid w:val="0"/>
        <w:spacing w:before="120" w:beforeLines="50" w:after="50" w:line="360" w:lineRule="auto"/>
        <w:ind w:left="0" w:firstLine="0"/>
        <w:jc w:val="left"/>
        <w:rPr>
          <w:rFonts w:hint="eastAsia" w:ascii="宋体" w:hAnsi="宋体"/>
          <w:color w:val="000000" w:themeColor="text1"/>
          <w:sz w:val="24"/>
          <w:szCs w:val="20"/>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资格证明文件目录</w:t>
      </w:r>
    </w:p>
    <w:p w14:paraId="16BAEE3B">
      <w:pPr>
        <w:snapToGri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根据招标文件规定及投标人提供的材料自行编写目录。</w:t>
      </w:r>
    </w:p>
    <w:p w14:paraId="27D5D7B9">
      <w:pPr>
        <w:snapToGrid w:val="0"/>
        <w:spacing w:before="50" w:after="120" w:afterLines="50"/>
        <w:jc w:val="left"/>
        <w:rPr>
          <w:rFonts w:hint="eastAsia" w:ascii="宋体" w:hAnsi="宋体"/>
          <w:color w:val="000000" w:themeColor="text1"/>
          <w:sz w:val="24"/>
          <w:highlight w:val="none"/>
          <w14:textFill>
            <w14:solidFill>
              <w14:schemeClr w14:val="tx1"/>
            </w14:solidFill>
          </w14:textFill>
        </w:rPr>
      </w:pPr>
    </w:p>
    <w:p w14:paraId="4F45B578">
      <w:pPr>
        <w:snapToGrid w:val="0"/>
        <w:spacing w:before="50" w:after="120" w:afterLines="50"/>
        <w:jc w:val="left"/>
        <w:rPr>
          <w:rFonts w:hint="eastAsia" w:ascii="宋体" w:hAnsi="宋体"/>
          <w:color w:val="000000" w:themeColor="text1"/>
          <w:sz w:val="24"/>
          <w:highlight w:val="none"/>
          <w14:textFill>
            <w14:solidFill>
              <w14:schemeClr w14:val="tx1"/>
            </w14:solidFill>
          </w14:textFill>
        </w:rPr>
      </w:pPr>
    </w:p>
    <w:p w14:paraId="3B84E924">
      <w:pPr>
        <w:numPr>
          <w:ilvl w:val="2"/>
          <w:numId w:val="21"/>
        </w:numPr>
        <w:snapToGrid w:val="0"/>
        <w:spacing w:before="120" w:beforeLines="50" w:after="50"/>
        <w:ind w:left="0" w:firstLine="0"/>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投标人直接控股、管理关系信息表</w:t>
      </w:r>
    </w:p>
    <w:p w14:paraId="716E0F4C">
      <w:pPr>
        <w:snapToGrid w:val="0"/>
        <w:spacing w:before="50" w:after="120" w:afterLines="50"/>
        <w:jc w:val="center"/>
        <w:rPr>
          <w:rFonts w:hint="eastAsia" w:ascii="宋体" w:hAnsi="宋体"/>
          <w:b/>
          <w:color w:val="000000" w:themeColor="text1"/>
          <w:sz w:val="28"/>
          <w:szCs w:val="28"/>
          <w:highlight w:val="none"/>
          <w14:textFill>
            <w14:solidFill>
              <w14:schemeClr w14:val="tx1"/>
            </w14:solidFill>
          </w14:textFill>
        </w:rPr>
      </w:pPr>
    </w:p>
    <w:p w14:paraId="6FD2FD70">
      <w:pPr>
        <w:snapToGrid w:val="0"/>
        <w:spacing w:before="50" w:after="120" w:afterLines="50" w:line="360" w:lineRule="auto"/>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投标人直接控股股东信息表</w:t>
      </w:r>
    </w:p>
    <w:tbl>
      <w:tblPr>
        <w:tblStyle w:val="53"/>
        <w:tblW w:w="9476" w:type="dxa"/>
        <w:tblInd w:w="0" w:type="dxa"/>
        <w:tblLayout w:type="fixed"/>
        <w:tblCellMar>
          <w:top w:w="0" w:type="dxa"/>
          <w:left w:w="0" w:type="dxa"/>
          <w:bottom w:w="0" w:type="dxa"/>
          <w:right w:w="0" w:type="dxa"/>
        </w:tblCellMar>
      </w:tblPr>
      <w:tblGrid>
        <w:gridCol w:w="828"/>
        <w:gridCol w:w="2269"/>
        <w:gridCol w:w="1239"/>
        <w:gridCol w:w="3722"/>
        <w:gridCol w:w="1418"/>
      </w:tblGrid>
      <w:tr w14:paraId="186F1F9F">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2B9C985">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2F75090">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3039091">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C8758E7">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646A231">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2AB32E6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2E479F">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CC5F8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D69F7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6B56B5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84B6FA">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A10D6D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4DB61F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97306F">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B902FCB">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58009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192954">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76DD613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9AFA59D">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B1E73D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87AFA0D">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93C4D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A3A5898">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4BDB8E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219F77D">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5898E2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D3A6534">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722"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21D87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1418"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258F227">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6FB8C4A5">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773BB67D">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C9CB61">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2AA00FA4">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3.供应商不存在直接控股股东的，则填“无”。</w:t>
      </w:r>
    </w:p>
    <w:p w14:paraId="7E3EAF74">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7165C600">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687FEA82">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22BE00AC">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7C7F1C51">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511BF689">
      <w:pPr>
        <w:snapToGrid w:val="0"/>
        <w:spacing w:before="120" w:beforeLines="50" w:line="360" w:lineRule="auto"/>
        <w:ind w:right="480" w:firstLine="3967" w:firstLineChars="1653"/>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14:paraId="225E723D">
      <w:pPr>
        <w:snapToGrid w:val="0"/>
        <w:spacing w:before="120" w:beforeLines="50" w:after="50" w:line="360" w:lineRule="auto"/>
        <w:ind w:right="480" w:firstLine="5520" w:firstLineChars="230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投标人名称（电子签章）：</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776CB9AE">
      <w:pPr>
        <w:snapToGrid w:val="0"/>
        <w:spacing w:before="120" w:beforeLines="50" w:after="50" w:line="360" w:lineRule="auto"/>
        <w:ind w:right="480" w:firstLine="5520" w:firstLineChars="2300"/>
        <w:jc w:val="center"/>
        <w:rPr>
          <w:rFonts w:hint="eastAsia"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r>
        <w:rPr>
          <w:rFonts w:ascii="宋体" w:hAnsi="宋体"/>
          <w:b/>
          <w:color w:val="000000" w:themeColor="text1"/>
          <w:sz w:val="32"/>
          <w:szCs w:val="32"/>
          <w:highlight w:val="none"/>
          <w14:textFill>
            <w14:solidFill>
              <w14:schemeClr w14:val="tx1"/>
            </w14:solidFill>
          </w14:textFill>
        </w:rPr>
        <w:br w:type="page"/>
      </w:r>
      <w:r>
        <w:rPr>
          <w:rFonts w:hint="eastAsia" w:ascii="宋体" w:hAnsi="宋体"/>
          <w:b/>
          <w:color w:val="000000" w:themeColor="text1"/>
          <w:sz w:val="32"/>
          <w:szCs w:val="32"/>
          <w:highlight w:val="none"/>
          <w14:textFill>
            <w14:solidFill>
              <w14:schemeClr w14:val="tx1"/>
            </w14:solidFill>
          </w14:textFill>
        </w:rPr>
        <w:t>投标人直接管理关系信息表</w:t>
      </w:r>
    </w:p>
    <w:tbl>
      <w:tblPr>
        <w:tblStyle w:val="53"/>
        <w:tblW w:w="9652" w:type="dxa"/>
        <w:tblInd w:w="0" w:type="dxa"/>
        <w:tblLayout w:type="fixed"/>
        <w:tblCellMar>
          <w:top w:w="0" w:type="dxa"/>
          <w:left w:w="0" w:type="dxa"/>
          <w:bottom w:w="0" w:type="dxa"/>
          <w:right w:w="0" w:type="dxa"/>
        </w:tblCellMar>
      </w:tblPr>
      <w:tblGrid>
        <w:gridCol w:w="1005"/>
        <w:gridCol w:w="2659"/>
        <w:gridCol w:w="3924"/>
        <w:gridCol w:w="2064"/>
      </w:tblGrid>
      <w:tr w14:paraId="0C5ED7AF">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BCE8CE">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EB618B">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FBE5BCA">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78A3FE">
            <w:pPr>
              <w:spacing w:line="360" w:lineRule="auto"/>
              <w:jc w:val="center"/>
              <w:rPr>
                <w:rFonts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68C1E98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CF30C0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69C18D9">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A190B1">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937078D">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56356CE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0952CB7">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7F81F72">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776AFCA">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4C25806">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6BAABE2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6856EAC">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1875105">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B153A88">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7794D63">
            <w:pPr>
              <w:spacing w:line="360" w:lineRule="auto"/>
              <w:jc w:val="center"/>
              <w:rPr>
                <w:rFonts w:ascii="宋体" w:hAnsi="宋体" w:cs="宋体"/>
                <w:color w:val="000000" w:themeColor="text1"/>
                <w:kern w:val="0"/>
                <w:sz w:val="24"/>
                <w:highlight w:val="none"/>
                <w14:textFill>
                  <w14:solidFill>
                    <w14:schemeClr w14:val="tx1"/>
                  </w14:solidFill>
                </w14:textFill>
              </w:rPr>
            </w:pPr>
          </w:p>
        </w:tc>
      </w:tr>
      <w:tr w14:paraId="24A47A1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0D08338">
            <w:pPr>
              <w:spacing w:line="360" w:lineRule="auto"/>
              <w:jc w:val="center"/>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ABA07EE">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46B9DB0">
            <w:pPr>
              <w:spacing w:line="360" w:lineRule="auto"/>
              <w:jc w:val="center"/>
              <w:rPr>
                <w:rFonts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8A9D47C">
            <w:pPr>
              <w:spacing w:line="360" w:lineRule="auto"/>
              <w:jc w:val="center"/>
              <w:rPr>
                <w:rFonts w:ascii="宋体" w:hAnsi="宋体" w:cs="宋体"/>
                <w:color w:val="000000" w:themeColor="text1"/>
                <w:kern w:val="0"/>
                <w:sz w:val="24"/>
                <w:highlight w:val="none"/>
                <w14:textFill>
                  <w14:solidFill>
                    <w14:schemeClr w14:val="tx1"/>
                  </w14:solidFill>
                </w14:textFill>
              </w:rPr>
            </w:pPr>
          </w:p>
        </w:tc>
      </w:tr>
    </w:tbl>
    <w:p w14:paraId="4F162D45">
      <w:pPr>
        <w:snapToGrid w:val="0"/>
        <w:spacing w:line="360" w:lineRule="auto"/>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w:t>
      </w:r>
    </w:p>
    <w:p w14:paraId="0ED4A801">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1.管理关系：是指不具有出资持股关系的其他单位之间存在的管理与被管理关系，如一些上下级关系的事业单位和团体组织。</w:t>
      </w:r>
    </w:p>
    <w:p w14:paraId="0CD2E8F9">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r>
        <w:rPr>
          <w:rFonts w:hint="eastAsia" w:ascii="宋体" w:hAnsi="宋体"/>
          <w:color w:val="000000" w:themeColor="text1"/>
          <w:spacing w:val="-6"/>
          <w:sz w:val="24"/>
          <w:highlight w:val="none"/>
          <w14:textFill>
            <w14:solidFill>
              <w14:schemeClr w14:val="tx1"/>
            </w14:solidFill>
          </w14:textFill>
        </w:rPr>
        <w:t>本表所指的管理关系仅限于直接管理关系，不包括间接的管理关系。</w:t>
      </w:r>
    </w:p>
    <w:p w14:paraId="39F74F11">
      <w:pPr>
        <w:snapToGrid w:val="0"/>
        <w:spacing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3.供应商不存在直接管理关系的，则填“无”。</w:t>
      </w:r>
    </w:p>
    <w:p w14:paraId="2AA511B5">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05BD40AB">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74AF91D0">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2A95A33A">
      <w:pPr>
        <w:snapToGrid w:val="0"/>
        <w:spacing w:line="360" w:lineRule="auto"/>
        <w:jc w:val="left"/>
        <w:rPr>
          <w:rFonts w:hint="eastAsia"/>
          <w:color w:val="000000" w:themeColor="text1"/>
          <w:sz w:val="24"/>
          <w:highlight w:val="none"/>
          <w14:textFill>
            <w14:solidFill>
              <w14:schemeClr w14:val="tx1"/>
            </w14:solidFill>
          </w14:textFill>
        </w:rPr>
      </w:pPr>
    </w:p>
    <w:p w14:paraId="1B332E0A">
      <w:pPr>
        <w:snapToGrid w:val="0"/>
        <w:spacing w:line="360" w:lineRule="auto"/>
        <w:jc w:val="left"/>
        <w:rPr>
          <w:rFonts w:hint="eastAsia"/>
          <w:color w:val="000000" w:themeColor="text1"/>
          <w:sz w:val="24"/>
          <w:highlight w:val="none"/>
          <w14:textFill>
            <w14:solidFill>
              <w14:schemeClr w14:val="tx1"/>
            </w14:solidFill>
          </w14:textFill>
        </w:rPr>
      </w:pPr>
    </w:p>
    <w:p w14:paraId="09127FC5">
      <w:pPr>
        <w:snapToGrid w:val="0"/>
        <w:spacing w:line="360" w:lineRule="auto"/>
        <w:jc w:val="left"/>
        <w:rPr>
          <w:rFonts w:hint="eastAsia"/>
          <w:color w:val="000000" w:themeColor="text1"/>
          <w:sz w:val="24"/>
          <w:highlight w:val="none"/>
          <w14:textFill>
            <w14:solidFill>
              <w14:schemeClr w14:val="tx1"/>
            </w14:solidFill>
          </w14:textFill>
        </w:rPr>
      </w:pPr>
    </w:p>
    <w:p w14:paraId="19368AD8">
      <w:pPr>
        <w:snapToGrid w:val="0"/>
        <w:spacing w:line="360" w:lineRule="auto"/>
        <w:jc w:val="left"/>
        <w:rPr>
          <w:rFonts w:hint="eastAsia" w:ascii="宋体" w:hAnsi="宋体"/>
          <w:color w:val="000000" w:themeColor="text1"/>
          <w:sz w:val="24"/>
          <w:highlight w:val="none"/>
          <w14:textFill>
            <w14:solidFill>
              <w14:schemeClr w14:val="tx1"/>
            </w14:solidFill>
          </w14:textFill>
        </w:rPr>
      </w:pPr>
    </w:p>
    <w:p w14:paraId="27A412F1">
      <w:pPr>
        <w:snapToGrid w:val="0"/>
        <w:spacing w:before="120" w:beforeLines="50" w:line="360" w:lineRule="auto"/>
        <w:ind w:right="480" w:firstLine="3967" w:firstLineChars="1653"/>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法定代表人或者委托代理人（签字）：</w:t>
      </w:r>
      <w:r>
        <w:rPr>
          <w:rFonts w:hint="eastAsia" w:ascii="宋体" w:hAnsi="宋体"/>
          <w:color w:val="000000" w:themeColor="text1"/>
          <w:sz w:val="24"/>
          <w:highlight w:val="none"/>
          <w:u w:val="single"/>
          <w14:textFill>
            <w14:solidFill>
              <w14:schemeClr w14:val="tx1"/>
            </w14:solidFill>
          </w14:textFill>
        </w:rPr>
        <w:t xml:space="preserve">             </w:t>
      </w:r>
    </w:p>
    <w:p w14:paraId="10748A8B">
      <w:pPr>
        <w:snapToGrid w:val="0"/>
        <w:spacing w:before="120" w:beforeLines="50" w:after="50" w:line="360" w:lineRule="auto"/>
        <w:ind w:right="480" w:firstLine="5520" w:firstLineChars="230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投标人名称（电子签章）：</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18AFAC20">
      <w:pPr>
        <w:snapToGrid w:val="0"/>
        <w:spacing w:before="120" w:beforeLines="50" w:after="50" w:line="360" w:lineRule="auto"/>
        <w:ind w:right="480" w:firstLine="240" w:firstLineChars="10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3A87799B">
      <w:pPr>
        <w:snapToGrid w:val="0"/>
        <w:spacing w:before="50" w:after="120" w:afterLines="50"/>
        <w:jc w:val="left"/>
        <w:rPr>
          <w:rFonts w:hint="eastAsia" w:ascii="宋体" w:hAnsi="宋体"/>
          <w:color w:val="000000" w:themeColor="text1"/>
          <w:szCs w:val="21"/>
          <w:highlight w:val="none"/>
          <w14:textFill>
            <w14:solidFill>
              <w14:schemeClr w14:val="tx1"/>
            </w14:solidFill>
          </w14:textFill>
        </w:rPr>
      </w:pPr>
    </w:p>
    <w:p w14:paraId="7351235E">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p>
    <w:p w14:paraId="17A60D80">
      <w:pPr>
        <w:numPr>
          <w:ilvl w:val="2"/>
          <w:numId w:val="21"/>
        </w:numPr>
        <w:snapToGrid w:val="0"/>
        <w:spacing w:before="120" w:beforeLines="50" w:after="50"/>
        <w:ind w:left="0" w:firstLine="0"/>
        <w:jc w:val="left"/>
        <w:rPr>
          <w:rFonts w:hint="eastAsia"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投标声明格式</w:t>
      </w:r>
    </w:p>
    <w:p w14:paraId="4486F658">
      <w:pPr>
        <w:snapToGrid w:val="0"/>
        <w:spacing w:before="50" w:after="120" w:afterLines="50"/>
        <w:jc w:val="left"/>
        <w:rPr>
          <w:rFonts w:hint="eastAsia" w:ascii="宋体" w:hAnsi="宋体"/>
          <w:color w:val="000000" w:themeColor="text1"/>
          <w:highlight w:val="none"/>
          <w14:textFill>
            <w14:solidFill>
              <w14:schemeClr w14:val="tx1"/>
            </w14:solidFill>
          </w14:textFill>
        </w:rPr>
      </w:pPr>
    </w:p>
    <w:p w14:paraId="74836B6E">
      <w:pPr>
        <w:snapToGrid w:val="0"/>
        <w:spacing w:before="50" w:after="120" w:afterLines="50"/>
        <w:jc w:val="center"/>
        <w:rPr>
          <w:rFonts w:hint="eastAsia"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投标声明</w:t>
      </w:r>
    </w:p>
    <w:p w14:paraId="7D387941">
      <w:pPr>
        <w:snapToGrid w:val="0"/>
        <w:spacing w:before="50" w:after="120" w:afterLines="50"/>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14:paraId="1E7EBC2F">
      <w:pPr>
        <w:spacing w:line="400" w:lineRule="exact"/>
        <w:contextualSpacing/>
        <w:jc w:val="left"/>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（采购人名称）：</w:t>
      </w:r>
    </w:p>
    <w:p w14:paraId="442C4320">
      <w:pPr>
        <w:spacing w:line="400" w:lineRule="exact"/>
        <w:ind w:firstLine="523" w:firstLineChars="218"/>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我方参加贵单位组织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项目（项目编号：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）的政府采购活动。我方在此郑重声明：</w:t>
      </w:r>
    </w:p>
    <w:p w14:paraId="4F52F0CF">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FAA6331">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2.我方不是为本次采购项目提供整体设计、规范编制或者项目管理、监理、检测等服务的供应商。</w:t>
      </w:r>
    </w:p>
    <w:p w14:paraId="626222BF">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 我方承诺符合《中华人民共和国政府采购法》第二十二条规定：</w:t>
      </w:r>
    </w:p>
    <w:p w14:paraId="6E7AC97A">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（一）具有独立承担民事责任的能力；</w:t>
      </w:r>
    </w:p>
    <w:p w14:paraId="26AFFA0B">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（二）具有良好的商业信誉和健全的财务会计制度；</w:t>
      </w:r>
    </w:p>
    <w:p w14:paraId="3053685A">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（三）具有履行合同所必需的设备和专业技术能力；</w:t>
      </w:r>
    </w:p>
    <w:p w14:paraId="6FD7A37D">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（四）有依法缴纳税收和社会保障资金的良好记录；</w:t>
      </w:r>
    </w:p>
    <w:p w14:paraId="5D331668">
      <w:pPr>
        <w:spacing w:line="400" w:lineRule="exact"/>
        <w:ind w:firstLine="480" w:firstLineChars="200"/>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（五）参加政府采购活动前三年内，在经营活动中没有重大违法记录；</w:t>
      </w:r>
    </w:p>
    <w:p w14:paraId="14CCFFAE">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（六）法律、行政法规规定的其他条件。</w:t>
      </w:r>
    </w:p>
    <w:p w14:paraId="11759FB6">
      <w:pPr>
        <w:spacing w:line="40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4.以上事项如有虚假或者隐瞒，我方愿意承担一切后果，并不再寻求任何旨在减轻或者免除法律责任的辩解。</w:t>
      </w:r>
    </w:p>
    <w:p w14:paraId="2A1C856E">
      <w:pPr>
        <w:spacing w:line="400" w:lineRule="exact"/>
        <w:contextualSpacing/>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特此承诺。</w:t>
      </w:r>
    </w:p>
    <w:p w14:paraId="4964ADFF">
      <w:pPr>
        <w:spacing w:line="400" w:lineRule="exact"/>
        <w:contextualSpacing/>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注：如为联合体投标，盖章处须加盖联合体各方公章并由联合体各方法定代表人分别签字，否则投标无效。</w:t>
      </w:r>
    </w:p>
    <w:p w14:paraId="6C47F374">
      <w:pPr>
        <w:spacing w:line="40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法定代表人（签字）：</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p>
    <w:p w14:paraId="61AB4C19">
      <w:pPr>
        <w:spacing w:line="40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投标人名称（电子签章）：</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u w:val="single"/>
          <w14:textFill>
            <w14:solidFill>
              <w14:schemeClr w14:val="tx1"/>
            </w14:solidFill>
          </w14:textFill>
        </w:rPr>
        <w:t xml:space="preserve">                 </w:t>
      </w:r>
    </w:p>
    <w:p w14:paraId="5FD47D5E">
      <w:pPr>
        <w:spacing w:line="400" w:lineRule="exact"/>
        <w:contextualSpacing/>
        <w:jc w:val="left"/>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7490E080">
      <w:pPr>
        <w:rPr>
          <w:rFonts w:hint="eastAsia"/>
          <w:b/>
          <w:color w:val="000000" w:themeColor="text1"/>
          <w:sz w:val="28"/>
          <w:szCs w:val="28"/>
          <w:highlight w:val="none"/>
          <w14:textFill>
            <w14:solidFill>
              <w14:schemeClr w14:val="tx1"/>
            </w14:solidFill>
          </w14:textFill>
        </w:rPr>
      </w:pPr>
      <w:bookmarkStart w:id="189" w:name="_Toc19686838"/>
      <w:r>
        <w:rPr>
          <w:b/>
          <w:color w:val="000000" w:themeColor="text1"/>
          <w:sz w:val="28"/>
          <w:szCs w:val="28"/>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三、商务文件格式</w:t>
      </w:r>
      <w:bookmarkEnd w:id="189"/>
    </w:p>
    <w:p w14:paraId="3793ECE5">
      <w:pPr>
        <w:snapToGrid w:val="0"/>
        <w:spacing w:before="120" w:beforeLines="50" w:after="50" w:line="360" w:lineRule="auto"/>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1.商务文件封面格式： </w:t>
      </w:r>
    </w:p>
    <w:p w14:paraId="2145F0AE">
      <w:pPr>
        <w:snapToGrid w:val="0"/>
        <w:spacing w:before="120" w:beforeLines="50" w:after="50"/>
        <w:rPr>
          <w:rFonts w:hint="eastAsia" w:ascii="宋体" w:hAnsi="宋体"/>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D0E1252">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2BF44827">
      <w:pPr>
        <w:keepNext/>
        <w:keepLines/>
        <w:snapToGrid w:val="0"/>
        <w:spacing w:line="360" w:lineRule="auto"/>
        <w:ind w:firstLine="840" w:firstLineChars="300"/>
        <w:jc w:val="right"/>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电子投标文件</w:t>
      </w:r>
    </w:p>
    <w:p w14:paraId="74D535DE">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54CFC4F6">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57CA4214">
      <w:pPr>
        <w:snapToGrid w:val="0"/>
        <w:spacing w:before="120" w:beforeLines="50" w:after="50"/>
        <w:jc w:val="center"/>
        <w:rPr>
          <w:rFonts w:hint="eastAsia" w:ascii="宋体" w:hAnsi="宋体" w:cs="方正小标宋简体"/>
          <w:color w:val="000000" w:themeColor="text1"/>
          <w:sz w:val="84"/>
          <w:szCs w:val="84"/>
          <w:highlight w:val="none"/>
          <w14:textFill>
            <w14:solidFill>
              <w14:schemeClr w14:val="tx1"/>
            </w14:solidFill>
          </w14:textFill>
        </w:rPr>
      </w:pPr>
      <w:r>
        <w:rPr>
          <w:rFonts w:hint="eastAsia" w:ascii="宋体" w:hAnsi="宋体" w:cs="方正小标宋简体"/>
          <w:color w:val="000000" w:themeColor="text1"/>
          <w:sz w:val="84"/>
          <w:szCs w:val="84"/>
          <w:highlight w:val="none"/>
          <w14:textFill>
            <w14:solidFill>
              <w14:schemeClr w14:val="tx1"/>
            </w14:solidFill>
          </w14:textFill>
        </w:rPr>
        <w:t>投  标  文  件</w:t>
      </w:r>
    </w:p>
    <w:p w14:paraId="6B5BD294">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14A94CBE">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01F406F3">
      <w:pPr>
        <w:snapToGrid w:val="0"/>
        <w:spacing w:before="120" w:beforeLines="50" w:after="50"/>
        <w:jc w:val="center"/>
        <w:rPr>
          <w:rFonts w:hint="eastAsia" w:ascii="宋体" w:hAnsi="宋体" w:cs="方正小标宋简体"/>
          <w:bCs/>
          <w:color w:val="000000" w:themeColor="text1"/>
          <w:sz w:val="32"/>
          <w:szCs w:val="32"/>
          <w:highlight w:val="none"/>
          <w14:textFill>
            <w14:solidFill>
              <w14:schemeClr w14:val="tx1"/>
            </w14:solidFill>
          </w14:textFill>
        </w:rPr>
      </w:pPr>
      <w:r>
        <w:rPr>
          <w:rFonts w:hint="eastAsia" w:ascii="宋体" w:hAnsi="宋体" w:cs="方正小标宋简体"/>
          <w:bCs/>
          <w:color w:val="000000" w:themeColor="text1"/>
          <w:sz w:val="32"/>
          <w:szCs w:val="32"/>
          <w:highlight w:val="none"/>
          <w14:textFill>
            <w14:solidFill>
              <w14:schemeClr w14:val="tx1"/>
            </w14:solidFill>
          </w14:textFill>
        </w:rPr>
        <w:t>商  务  文  件</w:t>
      </w:r>
    </w:p>
    <w:p w14:paraId="28037840">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2BA7F596">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p>
    <w:p w14:paraId="34B6DF75">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p>
    <w:p w14:paraId="1AEC7DB0">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p>
    <w:p w14:paraId="36F861B9">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项目名称：</w:t>
      </w:r>
    </w:p>
    <w:p w14:paraId="5B84E66E">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5DBD2A28">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项目编号：</w:t>
      </w:r>
    </w:p>
    <w:p w14:paraId="0C194E0A">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w:t>
      </w:r>
    </w:p>
    <w:p w14:paraId="3A14FB28">
      <w:pPr>
        <w:snapToGrid w:val="0"/>
        <w:spacing w:before="120" w:beforeLines="50" w:after="50"/>
        <w:ind w:firstLine="540" w:firstLineChars="225"/>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35ACF7C8">
      <w:pPr>
        <w:snapToGrid w:val="0"/>
        <w:spacing w:before="120" w:beforeLines="50" w:after="50"/>
        <w:ind w:firstLine="540" w:firstLineChars="225"/>
        <w:rPr>
          <w:rFonts w:hint="eastAsia" w:ascii="宋体" w:hAnsi="宋体"/>
          <w:bCs/>
          <w:color w:val="000000" w:themeColor="text1"/>
          <w:sz w:val="24"/>
          <w:szCs w:val="20"/>
          <w:highlight w:val="none"/>
          <w14:textFill>
            <w14:solidFill>
              <w14:schemeClr w14:val="tx1"/>
            </w14:solidFill>
          </w14:textFill>
        </w:rPr>
      </w:pPr>
    </w:p>
    <w:p w14:paraId="4DD5B048">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投标人名称：</w:t>
      </w:r>
    </w:p>
    <w:p w14:paraId="24B5344E">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p>
    <w:p w14:paraId="04A9E853">
      <w:pPr>
        <w:pStyle w:val="9"/>
        <w:snapToGrid w:val="0"/>
        <w:spacing w:before="50" w:after="50"/>
        <w:ind w:firstLine="540" w:firstLineChars="225"/>
        <w:rPr>
          <w:rFonts w:hint="eastAsia"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14:textFill>
            <w14:solidFill>
              <w14:schemeClr w14:val="tx1"/>
            </w14:solidFill>
          </w14:textFill>
        </w:rPr>
        <w:t>投标人地址：</w:t>
      </w:r>
    </w:p>
    <w:p w14:paraId="40E54E90">
      <w:pPr>
        <w:pStyle w:val="9"/>
        <w:snapToGrid w:val="0"/>
        <w:spacing w:before="50" w:after="50"/>
        <w:ind w:firstLine="960" w:firstLineChars="400"/>
        <w:rPr>
          <w:rFonts w:hint="eastAsia" w:ascii="宋体" w:hAnsi="宋体"/>
          <w:bCs/>
          <w:color w:val="000000" w:themeColor="text1"/>
          <w:sz w:val="24"/>
          <w:szCs w:val="24"/>
          <w:highlight w:val="none"/>
          <w14:textFill>
            <w14:solidFill>
              <w14:schemeClr w14:val="tx1"/>
            </w14:solidFill>
          </w14:textFill>
        </w:rPr>
      </w:pPr>
    </w:p>
    <w:p w14:paraId="52C2C0C3">
      <w:pPr>
        <w:snapToGrid w:val="0"/>
        <w:spacing w:before="120" w:beforeLines="50" w:after="50"/>
        <w:ind w:firstLine="645"/>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45AC39B8">
      <w:pPr>
        <w:snapToGrid w:val="0"/>
        <w:spacing w:before="120" w:beforeLines="50" w:after="50"/>
        <w:rPr>
          <w:rFonts w:ascii="宋体" w:hAnsi="宋体"/>
          <w:color w:val="000000" w:themeColor="text1"/>
          <w:sz w:val="24"/>
          <w:szCs w:val="20"/>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t xml:space="preserve"> </w:t>
      </w:r>
    </w:p>
    <w:p w14:paraId="7E2246D7">
      <w:pPr>
        <w:snapToGrid w:val="0"/>
        <w:spacing w:line="360" w:lineRule="auto"/>
        <w:jc w:val="left"/>
        <w:rPr>
          <w:rFonts w:hint="eastAsia" w:ascii="宋体" w:hAnsi="宋体"/>
          <w:b/>
          <w:bCs/>
          <w:color w:val="000000" w:themeColor="text1"/>
          <w:sz w:val="28"/>
          <w:szCs w:val="28"/>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2.商务文件目录</w:t>
      </w:r>
    </w:p>
    <w:p w14:paraId="573A474E">
      <w:pPr>
        <w:snapToGrid w:val="0"/>
        <w:spacing w:before="50" w:after="120" w:afterLines="50" w:line="360" w:lineRule="auto"/>
        <w:ind w:firstLine="480" w:firstLineChars="200"/>
        <w:jc w:val="left"/>
        <w:rPr>
          <w:rFonts w:ascii="微软雅黑" w:hAnsi="微软雅黑" w:eastAsia="微软雅黑"/>
          <w:b/>
          <w:bCs/>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根据招标文件规定及投标人提供的材料自行编写目录。</w:t>
      </w:r>
    </w:p>
    <w:p w14:paraId="78816C3E">
      <w:pPr>
        <w:snapToGrid w:val="0"/>
        <w:spacing w:before="50" w:after="120" w:afterLines="50"/>
        <w:jc w:val="left"/>
        <w:rPr>
          <w:rFonts w:hint="eastAsia" w:ascii="宋体" w:hAnsi="宋体"/>
          <w:color w:val="000000" w:themeColor="text1"/>
          <w:highlight w:val="none"/>
          <w14:textFill>
            <w14:solidFill>
              <w14:schemeClr w14:val="tx1"/>
            </w14:solidFill>
          </w14:textFill>
        </w:rPr>
      </w:pPr>
    </w:p>
    <w:p w14:paraId="1A482D17">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3.投标人参加本项目无围标串标行为的承诺</w:t>
      </w:r>
    </w:p>
    <w:p w14:paraId="17F20428">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p>
    <w:p w14:paraId="3CB5F57E">
      <w:pPr>
        <w:spacing w:line="360" w:lineRule="auto"/>
        <w:ind w:left="420"/>
        <w:contextualSpacing/>
        <w:jc w:val="center"/>
        <w:rPr>
          <w:rFonts w:ascii="宋体" w:hAnsi="宋体"/>
          <w:b/>
          <w:color w:val="000000" w:themeColor="text1"/>
          <w:sz w:val="24"/>
          <w:highlight w:val="none"/>
          <w14:textFill>
            <w14:solidFill>
              <w14:schemeClr w14:val="tx1"/>
            </w14:solidFill>
          </w14:textFill>
        </w:rPr>
      </w:pPr>
      <w:r>
        <w:rPr>
          <w:rFonts w:hint="eastAsia" w:ascii="宋体" w:hAnsi="宋体" w:cs="方正小标宋简体"/>
          <w:bCs/>
          <w:color w:val="000000" w:themeColor="text1"/>
          <w:spacing w:val="-11"/>
          <w:sz w:val="44"/>
          <w:szCs w:val="44"/>
          <w:highlight w:val="none"/>
          <w14:textFill>
            <w14:solidFill>
              <w14:schemeClr w14:val="tx1"/>
            </w14:solidFill>
          </w14:textFill>
        </w:rPr>
        <w:t>投标人参加本项目无围标串标行为的承诺函</w:t>
      </w:r>
    </w:p>
    <w:p w14:paraId="2A753A3A">
      <w:pPr>
        <w:spacing w:line="440" w:lineRule="exact"/>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一、我方承诺无下列相互串通投标的情形：</w:t>
      </w:r>
    </w:p>
    <w:p w14:paraId="2446F408">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1.不同投标人的投标文件由同一单位或者个人编制；</w:t>
      </w:r>
    </w:p>
    <w:p w14:paraId="1163EC9C">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2.不同投标人委托同一单位或者个人办理投标事宜；</w:t>
      </w:r>
    </w:p>
    <w:p w14:paraId="799E2248">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3.不同的投标人的投标文件载明的项目管理员为同一个人；</w:t>
      </w:r>
    </w:p>
    <w:p w14:paraId="62B45AC7">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4.不同投标人的投标文件异常一致或者投标报价呈规律性差异；</w:t>
      </w:r>
    </w:p>
    <w:p w14:paraId="5B19CDB8">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5.不同投标人的投标文件相互混装；</w:t>
      </w:r>
    </w:p>
    <w:p w14:paraId="4A6866C7">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6.不同投标人的投标保证金从同一单位或者个人账户转出。</w:t>
      </w:r>
    </w:p>
    <w:p w14:paraId="74A4BBF4">
      <w:pPr>
        <w:spacing w:line="44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二、我方承诺无下列恶意串通的情形：</w:t>
      </w:r>
    </w:p>
    <w:p w14:paraId="34D2F16F">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1.投标人直接或者间接从采购人或者采购代理机构处获得其他投标人的相关信息并修改其投标文件或者响应文件；</w:t>
      </w:r>
    </w:p>
    <w:p w14:paraId="31E84CED">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2.投标人按照采购人或者采购代理机构的授意撤换、修改投标文件或者响应文件；</w:t>
      </w:r>
    </w:p>
    <w:p w14:paraId="0BF3B9FC">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3.投标人之间协商报价、技术方案等投标文件或者响应文件的实质性内容；</w:t>
      </w:r>
    </w:p>
    <w:p w14:paraId="13BF76B8">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4.属于同一集团、协会、商会等组织成员的投标人按照该组织要求协同参加政府采购活动；</w:t>
      </w:r>
    </w:p>
    <w:p w14:paraId="11A8B204">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p>
    <w:p w14:paraId="17F0E3EA">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6.投标人之间商定部分投标人放弃参加政府采购活动或者放弃中标；</w:t>
      </w:r>
    </w:p>
    <w:p w14:paraId="337CF627">
      <w:pPr>
        <w:spacing w:line="440" w:lineRule="exact"/>
        <w:ind w:firstLine="470" w:firstLineChars="196"/>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7.投标人与采购人或者采购代理机构之间、投标人相互之间，为谋求特定投标人中标或者排斥其他投标人的其他串通行为。</w:t>
      </w:r>
    </w:p>
    <w:p w14:paraId="168C18BB">
      <w:pPr>
        <w:spacing w:line="440" w:lineRule="exact"/>
        <w:ind w:firstLine="472" w:firstLineChars="196"/>
        <w:contextualSpacing/>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以上情形一经核查属实，我方愿意承担一切后果，并不再寻求任何旨在减轻或者免除法律责任的辩解。</w:t>
      </w:r>
    </w:p>
    <w:p w14:paraId="04E840C9">
      <w:pPr>
        <w:pStyle w:val="26"/>
        <w:spacing w:line="440" w:lineRule="exact"/>
        <w:ind w:firstLine="6840" w:firstLineChars="2850"/>
        <w:contextualSpacing/>
        <w:rPr>
          <w:rFonts w:hint="eastAsia" w:hAnsi="宋体"/>
          <w:color w:val="000000" w:themeColor="text1"/>
          <w:sz w:val="24"/>
          <w:szCs w:val="24"/>
          <w:highlight w:val="none"/>
          <w14:textFill>
            <w14:solidFill>
              <w14:schemeClr w14:val="tx1"/>
            </w14:solidFill>
          </w14:textFill>
        </w:rPr>
      </w:pPr>
    </w:p>
    <w:p w14:paraId="1545B0DC">
      <w:pPr>
        <w:pStyle w:val="26"/>
        <w:spacing w:line="440" w:lineRule="exact"/>
        <w:contextualSpacing/>
        <w:jc w:val="center"/>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Ansi="宋体"/>
          <w:color w:val="000000" w:themeColor="text1"/>
          <w:sz w:val="24"/>
          <w:szCs w:val="24"/>
          <w:highlight w:val="non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投标人名称（公章）</w:t>
      </w:r>
    </w:p>
    <w:p w14:paraId="167467E8">
      <w:pPr>
        <w:pStyle w:val="26"/>
        <w:spacing w:line="440" w:lineRule="exact"/>
        <w:contextualSpacing/>
        <w:rPr>
          <w:rFonts w:hint="eastAsia" w:hAnsi="宋体"/>
          <w:color w:val="000000" w:themeColor="text1"/>
          <w:sz w:val="24"/>
          <w:highlight w:val="none"/>
          <w14:textFill>
            <w14:solidFill>
              <w14:schemeClr w14:val="tx1"/>
            </w14:solidFill>
          </w14:textFill>
        </w:rPr>
      </w:pPr>
      <w:r>
        <w:rPr>
          <w:rFonts w:hint="eastAsia" w:hAnsi="宋体"/>
          <w:color w:val="000000" w:themeColor="text1"/>
          <w:sz w:val="24"/>
          <w:highlight w:val="none"/>
          <w14:textFill>
            <w14:solidFill>
              <w14:schemeClr w14:val="tx1"/>
            </w14:solidFill>
          </w14:textFill>
        </w:rPr>
        <w:t xml:space="preserve">                                                </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年</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月</w:t>
      </w:r>
      <w:r>
        <w:rPr>
          <w:rFonts w:hint="eastAsia" w:hAnsi="宋体"/>
          <w:color w:val="000000" w:themeColor="text1"/>
          <w:sz w:val="24"/>
          <w:highlight w:val="none"/>
          <w:u w:val="single"/>
          <w14:textFill>
            <w14:solidFill>
              <w14:schemeClr w14:val="tx1"/>
            </w14:solidFill>
          </w14:textFill>
        </w:rPr>
        <w:t xml:space="preserve">     </w:t>
      </w:r>
      <w:r>
        <w:rPr>
          <w:rFonts w:hint="eastAsia" w:hAnsi="宋体"/>
          <w:color w:val="000000" w:themeColor="text1"/>
          <w:sz w:val="24"/>
          <w:highlight w:val="none"/>
          <w14:textFill>
            <w14:solidFill>
              <w14:schemeClr w14:val="tx1"/>
            </w14:solidFill>
          </w14:textFill>
        </w:rPr>
        <w:t>日</w:t>
      </w:r>
    </w:p>
    <w:p w14:paraId="54443480">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4.法定代表人身份证明</w:t>
      </w:r>
    </w:p>
    <w:p w14:paraId="2A9BCBA0">
      <w:pPr>
        <w:spacing w:before="240" w:beforeLines="100" w:after="120" w:afterLines="50"/>
        <w:jc w:val="center"/>
        <w:rPr>
          <w:rFonts w:hint="eastAsia" w:ascii="宋体" w:hAnsi="宋体" w:cs="方正小标宋简体"/>
          <w:bCs/>
          <w:color w:val="000000" w:themeColor="text1"/>
          <w:sz w:val="44"/>
          <w:szCs w:val="44"/>
          <w:highlight w:val="none"/>
          <w14:textFill>
            <w14:solidFill>
              <w14:schemeClr w14:val="tx1"/>
            </w14:solidFill>
          </w14:textFill>
        </w:rPr>
      </w:pPr>
      <w:r>
        <w:rPr>
          <w:rFonts w:ascii="方正小标宋简体" w:hAnsi="方正小标宋简体" w:eastAsia="方正小标宋简体" w:cs="方正小标宋简体"/>
          <w:bCs/>
          <w:color w:val="000000" w:themeColor="text1"/>
          <w:sz w:val="44"/>
          <w:szCs w:val="44"/>
          <w:highlight w:val="none"/>
          <w14:textFill>
            <w14:solidFill>
              <w14:schemeClr w14:val="tx1"/>
            </w14:solidFill>
          </w14:textFill>
        </w:rPr>
        <w:br w:type="page"/>
      </w:r>
      <w:r>
        <w:rPr>
          <w:rFonts w:hint="eastAsia" w:ascii="宋体" w:hAnsi="宋体" w:cs="方正小标宋简体"/>
          <w:bCs/>
          <w:color w:val="000000" w:themeColor="text1"/>
          <w:sz w:val="44"/>
          <w:szCs w:val="44"/>
          <w:highlight w:val="none"/>
          <w14:textFill>
            <w14:solidFill>
              <w14:schemeClr w14:val="tx1"/>
            </w14:solidFill>
          </w14:textFill>
        </w:rPr>
        <w:t>法定代表人身份证明</w:t>
      </w:r>
    </w:p>
    <w:p w14:paraId="794BF4E4">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 标 人：</w:t>
      </w:r>
      <w:r>
        <w:rPr>
          <w:rFonts w:hint="eastAsia" w:ascii="宋体" w:hAnsi="宋体"/>
          <w:color w:val="000000" w:themeColor="text1"/>
          <w:sz w:val="24"/>
          <w:highlight w:val="none"/>
          <w:u w:val="single"/>
          <w14:textFill>
            <w14:solidFill>
              <w14:schemeClr w14:val="tx1"/>
            </w14:solidFill>
          </w14:textFill>
        </w:rPr>
        <w:t xml:space="preserve">                                                        </w:t>
      </w:r>
    </w:p>
    <w:p w14:paraId="1C32014C">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u w:val="single"/>
          <w14:textFill>
            <w14:solidFill>
              <w14:schemeClr w14:val="tx1"/>
            </w14:solidFill>
          </w14:textFill>
        </w:rPr>
        <w:t xml:space="preserve">                                                        </w:t>
      </w:r>
    </w:p>
    <w:p w14:paraId="0F3DA7EB">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    名：</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性      别：</w:t>
      </w:r>
      <w:r>
        <w:rPr>
          <w:rFonts w:hint="eastAsia" w:ascii="宋体" w:hAnsi="宋体"/>
          <w:color w:val="000000" w:themeColor="text1"/>
          <w:sz w:val="24"/>
          <w:highlight w:val="none"/>
          <w:u w:val="single"/>
          <w14:textFill>
            <w14:solidFill>
              <w14:schemeClr w14:val="tx1"/>
            </w14:solidFill>
          </w14:textFill>
        </w:rPr>
        <w:t xml:space="preserve">                </w:t>
      </w:r>
    </w:p>
    <w:p w14:paraId="0BE0BC35">
      <w:pPr>
        <w:spacing w:line="500" w:lineRule="exact"/>
        <w:ind w:left="540"/>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龄：</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职      务：</w:t>
      </w:r>
      <w:r>
        <w:rPr>
          <w:rFonts w:hint="eastAsia" w:ascii="宋体" w:hAnsi="宋体"/>
          <w:color w:val="000000" w:themeColor="text1"/>
          <w:sz w:val="24"/>
          <w:highlight w:val="none"/>
          <w:u w:val="single"/>
          <w14:textFill>
            <w14:solidFill>
              <w14:schemeClr w14:val="tx1"/>
            </w14:solidFill>
          </w14:textFill>
        </w:rPr>
        <w:t xml:space="preserve">                </w:t>
      </w:r>
    </w:p>
    <w:p w14:paraId="3A917C1E">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身份证</w:t>
      </w:r>
      <w:r>
        <w:rPr>
          <w:rFonts w:hint="eastAsia"/>
          <w:color w:val="000000" w:themeColor="text1"/>
          <w:sz w:val="24"/>
          <w:highlight w:val="none"/>
          <w14:textFill>
            <w14:solidFill>
              <w14:schemeClr w14:val="tx1"/>
            </w14:solidFill>
          </w14:textFill>
        </w:rPr>
        <w:t>号码：</w:t>
      </w:r>
      <w:r>
        <w:rPr>
          <w:rFonts w:hint="eastAsia"/>
          <w:color w:val="000000" w:themeColor="text1"/>
          <w:sz w:val="24"/>
          <w:highlight w:val="none"/>
          <w:u w:val="single"/>
          <w14:textFill>
            <w14:solidFill>
              <w14:schemeClr w14:val="tx1"/>
            </w14:solidFill>
          </w14:textFill>
        </w:rPr>
        <w:t xml:space="preserve">                                 </w:t>
      </w:r>
    </w:p>
    <w:p w14:paraId="3C7FB345">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系</w:t>
      </w:r>
      <w:r>
        <w:rPr>
          <w:rFonts w:hint="eastAsia" w:ascii="宋体" w:hAnsi="宋体"/>
          <w:color w:val="000000" w:themeColor="text1"/>
          <w:sz w:val="24"/>
          <w:highlight w:val="none"/>
          <w:u w:val="single"/>
          <w14:textFill>
            <w14:solidFill>
              <w14:schemeClr w14:val="tx1"/>
            </w14:solidFill>
          </w14:textFill>
        </w:rPr>
        <w:t xml:space="preserve">            （投标人名称）              </w:t>
      </w:r>
      <w:r>
        <w:rPr>
          <w:rFonts w:hint="eastAsia" w:ascii="宋体" w:hAnsi="宋体"/>
          <w:color w:val="000000" w:themeColor="text1"/>
          <w:sz w:val="24"/>
          <w:highlight w:val="none"/>
          <w14:textFill>
            <w14:solidFill>
              <w14:schemeClr w14:val="tx1"/>
            </w14:solidFill>
          </w14:textFill>
        </w:rPr>
        <w:t>的法定代表人。</w:t>
      </w:r>
    </w:p>
    <w:p w14:paraId="2EF1A208">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特此证明。</w:t>
      </w:r>
    </w:p>
    <w:p w14:paraId="1D69C07F">
      <w:pPr>
        <w:spacing w:line="500" w:lineRule="exact"/>
        <w:ind w:left="540"/>
        <w:rPr>
          <w:rFonts w:hint="eastAsia" w:ascii="宋体" w:hAnsi="宋体"/>
          <w:color w:val="000000" w:themeColor="text1"/>
          <w:sz w:val="24"/>
          <w:highlight w:val="none"/>
          <w14:textFill>
            <w14:solidFill>
              <w14:schemeClr w14:val="tx1"/>
            </w14:solidFill>
          </w14:textFill>
        </w:rPr>
      </w:pPr>
    </w:p>
    <w:p w14:paraId="0687CA20">
      <w:pPr>
        <w:spacing w:line="500" w:lineRule="exact"/>
        <w:ind w:left="540"/>
        <w:rPr>
          <w:rFonts w:hint="eastAsia" w:ascii="宋体" w:hAnsi="宋体"/>
          <w:color w:val="000000" w:themeColor="text1"/>
          <w:sz w:val="24"/>
          <w:highlight w:val="none"/>
          <w14:textFill>
            <w14:solidFill>
              <w14:schemeClr w14:val="tx1"/>
            </w14:solidFill>
          </w14:textFill>
        </w:rPr>
      </w:pPr>
    </w:p>
    <w:p w14:paraId="3BC8204F">
      <w:pPr>
        <w:spacing w:line="500" w:lineRule="exact"/>
        <w:ind w:left="54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附件：法定代表人有效身份证正反面复印件</w:t>
      </w:r>
    </w:p>
    <w:p w14:paraId="18A9C0C2">
      <w:pPr>
        <w:spacing w:line="500" w:lineRule="exact"/>
        <w:ind w:left="540"/>
        <w:rPr>
          <w:rFonts w:hint="eastAsia" w:ascii="宋体" w:hAnsi="宋体"/>
          <w:color w:val="000000" w:themeColor="text1"/>
          <w:sz w:val="24"/>
          <w:highlight w:val="none"/>
          <w14:textFill>
            <w14:solidFill>
              <w14:schemeClr w14:val="tx1"/>
            </w14:solidFill>
          </w14:textFill>
        </w:rPr>
      </w:pPr>
    </w:p>
    <w:p w14:paraId="57C7E45B">
      <w:pPr>
        <w:spacing w:line="500" w:lineRule="exact"/>
        <w:ind w:left="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投标人名称（公章）</w:t>
      </w:r>
    </w:p>
    <w:p w14:paraId="104F0270">
      <w:pPr>
        <w:spacing w:line="500" w:lineRule="exact"/>
        <w:ind w:left="540"/>
        <w:jc w:val="right"/>
        <w:rPr>
          <w:rFonts w:hint="eastAsia" w:ascii="宋体" w:hAnsi="宋体"/>
          <w:color w:val="000000" w:themeColor="text1"/>
          <w:sz w:val="24"/>
          <w:highlight w:val="none"/>
          <w14:textFill>
            <w14:solidFill>
              <w14:schemeClr w14:val="tx1"/>
            </w14:solidFill>
          </w14:textFill>
        </w:rPr>
      </w:pPr>
    </w:p>
    <w:p w14:paraId="3CBC98EC">
      <w:pPr>
        <w:snapToGrid w:val="0"/>
        <w:spacing w:before="120" w:beforeLines="50" w:after="50"/>
        <w:ind w:left="540"/>
        <w:jc w:val="righ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69AE2878">
      <w:pPr>
        <w:snapToGrid w:val="0"/>
        <w:spacing w:before="120" w:beforeLines="50" w:after="50"/>
        <w:jc w:val="center"/>
        <w:rPr>
          <w:rFonts w:hint="eastAsia" w:ascii="宋体" w:hAnsi="宋体"/>
          <w:b/>
          <w:color w:val="000000" w:themeColor="text1"/>
          <w:sz w:val="24"/>
          <w:highlight w:val="none"/>
          <w14:textFill>
            <w14:solidFill>
              <w14:schemeClr w14:val="tx1"/>
            </w14:solidFill>
          </w14:textFill>
        </w:rPr>
      </w:pPr>
    </w:p>
    <w:p w14:paraId="2A197159">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注：自然人投标的无需提供</w:t>
      </w:r>
    </w:p>
    <w:p w14:paraId="7F99F70E">
      <w:pPr>
        <w:snapToGrid w:val="0"/>
        <w:spacing w:before="120" w:beforeLines="50" w:after="50"/>
        <w:jc w:val="left"/>
        <w:rPr>
          <w:rFonts w:hint="eastAsia" w:ascii="宋体" w:hAnsi="宋体"/>
          <w:b/>
          <w:color w:val="000000" w:themeColor="text1"/>
          <w:sz w:val="24"/>
          <w:szCs w:val="20"/>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5.授权委托书格式</w:t>
      </w:r>
    </w:p>
    <w:p w14:paraId="1BCE3EDA">
      <w:pPr>
        <w:snapToGrid w:val="0"/>
        <w:spacing w:before="120" w:beforeLines="50" w:after="50"/>
        <w:jc w:val="center"/>
        <w:rPr>
          <w:rFonts w:hint="eastAsia" w:ascii="宋体" w:hAnsi="宋体"/>
          <w:b/>
          <w:color w:val="000000" w:themeColor="text1"/>
          <w:sz w:val="44"/>
          <w:szCs w:val="44"/>
          <w:highlight w:val="none"/>
          <w14:textFill>
            <w14:solidFill>
              <w14:schemeClr w14:val="tx1"/>
            </w14:solidFill>
          </w14:textFill>
        </w:rPr>
      </w:pPr>
    </w:p>
    <w:p w14:paraId="41820069">
      <w:pPr>
        <w:spacing w:line="360" w:lineRule="auto"/>
        <w:contextualSpacing/>
        <w:jc w:val="center"/>
        <w:rPr>
          <w:rFonts w:hint="eastAsia" w:ascii="宋体" w:hAnsi="宋体" w:cs="方正小标宋简体"/>
          <w:bCs/>
          <w:color w:val="000000" w:themeColor="text1"/>
          <w:sz w:val="44"/>
          <w:szCs w:val="44"/>
          <w:highlight w:val="none"/>
          <w14:textFill>
            <w14:solidFill>
              <w14:schemeClr w14:val="tx1"/>
            </w14:solidFill>
          </w14:textFill>
        </w:rPr>
      </w:pPr>
      <w:r>
        <w:rPr>
          <w:rFonts w:hint="eastAsia" w:ascii="宋体" w:hAnsi="宋体" w:cs="方正小标宋简体"/>
          <w:bCs/>
          <w:color w:val="000000" w:themeColor="text1"/>
          <w:sz w:val="44"/>
          <w:szCs w:val="44"/>
          <w:highlight w:val="none"/>
          <w14:textFill>
            <w14:solidFill>
              <w14:schemeClr w14:val="tx1"/>
            </w14:solidFill>
          </w14:textFill>
        </w:rPr>
        <w:t>授权委托书</w:t>
      </w:r>
    </w:p>
    <w:p w14:paraId="2C7D6FD1">
      <w:pPr>
        <w:spacing w:line="360" w:lineRule="auto"/>
        <w:contextualSpacing/>
        <w:jc w:val="center"/>
        <w:rPr>
          <w:rFonts w:hint="eastAsia" w:ascii="宋体" w:hAnsi="宋体" w:cs="方正小标宋简体"/>
          <w:bCs/>
          <w:color w:val="000000" w:themeColor="text1"/>
          <w:sz w:val="32"/>
          <w:szCs w:val="32"/>
          <w:highlight w:val="none"/>
          <w14:textFill>
            <w14:solidFill>
              <w14:schemeClr w14:val="tx1"/>
            </w14:solidFill>
          </w14:textFill>
        </w:rPr>
      </w:pPr>
      <w:r>
        <w:rPr>
          <w:rFonts w:hint="eastAsia" w:ascii="宋体" w:hAnsi="宋体" w:cs="方正小标宋简体"/>
          <w:bCs/>
          <w:color w:val="000000" w:themeColor="text1"/>
          <w:sz w:val="32"/>
          <w:szCs w:val="32"/>
          <w:highlight w:val="none"/>
          <w14:textFill>
            <w14:solidFill>
              <w14:schemeClr w14:val="tx1"/>
            </w14:solidFill>
          </w14:textFill>
        </w:rPr>
        <w:t>（非联合体投标格式）</w:t>
      </w:r>
    </w:p>
    <w:p w14:paraId="77E5E70E">
      <w:pPr>
        <w:spacing w:line="360" w:lineRule="auto"/>
        <w:contextualSpacing/>
        <w:jc w:val="center"/>
        <w:rPr>
          <w:rFonts w:hint="eastAsia" w:ascii="宋体" w:hAnsi="宋体" w:cs="方正小标宋简体"/>
          <w:bCs/>
          <w:color w:val="000000" w:themeColor="text1"/>
          <w:sz w:val="24"/>
          <w:highlight w:val="none"/>
          <w14:textFill>
            <w14:solidFill>
              <w14:schemeClr w14:val="tx1"/>
            </w14:solidFill>
          </w14:textFill>
        </w:rPr>
      </w:pPr>
      <w:r>
        <w:rPr>
          <w:rFonts w:hint="eastAsia" w:ascii="宋体" w:hAnsi="宋体" w:cs="方正小标宋简体"/>
          <w:bCs/>
          <w:color w:val="000000" w:themeColor="text1"/>
          <w:sz w:val="32"/>
          <w:szCs w:val="32"/>
          <w:highlight w:val="none"/>
          <w14:textFill>
            <w14:solidFill>
              <w14:schemeClr w14:val="tx1"/>
            </w14:solidFill>
          </w14:textFill>
        </w:rPr>
        <w:t>（如有委托时）</w:t>
      </w:r>
    </w:p>
    <w:p w14:paraId="431C6DB5">
      <w:pPr>
        <w:spacing w:line="440" w:lineRule="exact"/>
        <w:contextualSpacing/>
        <w:jc w:val="center"/>
        <w:rPr>
          <w:rFonts w:hint="eastAsia" w:ascii="宋体" w:hAnsi="宋体"/>
          <w:b/>
          <w:color w:val="000000" w:themeColor="text1"/>
          <w:sz w:val="24"/>
          <w:highlight w:val="none"/>
          <w14:textFill>
            <w14:solidFill>
              <w14:schemeClr w14:val="tx1"/>
            </w14:solidFill>
          </w14:textFill>
        </w:rPr>
      </w:pPr>
    </w:p>
    <w:p w14:paraId="5FD5A22A">
      <w:pPr>
        <w:spacing w:line="440" w:lineRule="exact"/>
        <w:contextualSpacing/>
        <w:rPr>
          <w:rFonts w:hint="eastAsia" w:ascii="宋体" w:hAnsi="宋体"/>
          <w:b/>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20BB48AC">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（姓名）系</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（投标人名称）的法定代表人，现授权委托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4B0EF4EB">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我方对委托代理人的签字事项负全部责任。</w:t>
      </w:r>
    </w:p>
    <w:p w14:paraId="28AEE6E6">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u w:val="singl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3A5EDCAB">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5863B3F9">
      <w:pPr>
        <w:spacing w:line="440" w:lineRule="exact"/>
        <w:ind w:firstLine="480"/>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附：法定代表人身份证明及委托代理人有效身份证正反面复印件</w:t>
      </w:r>
    </w:p>
    <w:p w14:paraId="36C53D63">
      <w:pPr>
        <w:spacing w:line="440" w:lineRule="exact"/>
        <w:contextualSpacing/>
        <w:rPr>
          <w:rFonts w:hint="eastAsia" w:ascii="宋体" w:hAnsi="宋体"/>
          <w:color w:val="000000" w:themeColor="text1"/>
          <w:sz w:val="24"/>
          <w:highlight w:val="none"/>
          <w14:textFill>
            <w14:solidFill>
              <w14:schemeClr w14:val="tx1"/>
            </w14:solidFill>
          </w14:textFill>
        </w:rPr>
      </w:pPr>
    </w:p>
    <w:p w14:paraId="6A1EB99C">
      <w:pPr>
        <w:spacing w:line="440" w:lineRule="exact"/>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委托代理人（签字）：</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法定代表人（签字或者盖章）：</w:t>
      </w:r>
      <w:r>
        <w:rPr>
          <w:rFonts w:hint="eastAsia" w:ascii="宋体" w:hAnsi="宋体"/>
          <w:color w:val="000000" w:themeColor="text1"/>
          <w:sz w:val="24"/>
          <w:highlight w:val="none"/>
          <w:u w:val="single"/>
          <w14:textFill>
            <w14:solidFill>
              <w14:schemeClr w14:val="tx1"/>
            </w14:solidFill>
          </w14:textFill>
        </w:rPr>
        <w:t xml:space="preserve">              </w:t>
      </w:r>
    </w:p>
    <w:p w14:paraId="5427162A">
      <w:pPr>
        <w:spacing w:line="440" w:lineRule="exact"/>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委托代理人身份证号码：</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w:t>
      </w:r>
    </w:p>
    <w:p w14:paraId="0CFB8058">
      <w:pPr>
        <w:spacing w:line="440" w:lineRule="exact"/>
        <w:contextualSpacing/>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lang w:eastAsia="zh-CN"/>
          <w14:textFill>
            <w14:solidFill>
              <w14:schemeClr w14:val="tx1"/>
            </w14:solidFill>
          </w14:textFill>
        </w:rPr>
        <w:t>投标人名称（电子签章）：</w:t>
      </w:r>
      <w:r>
        <w:rPr>
          <w:rFonts w:hint="eastAsia" w:ascii="宋体" w:hAnsi="宋体"/>
          <w:color w:val="000000" w:themeColor="text1"/>
          <w:sz w:val="24"/>
          <w:highlight w:val="none"/>
          <w14:textFill>
            <w14:solidFill>
              <w14:schemeClr w14:val="tx1"/>
            </w14:solidFill>
          </w14:textFill>
        </w:rPr>
        <w:t>：</w:t>
      </w:r>
    </w:p>
    <w:p w14:paraId="7D035331">
      <w:pPr>
        <w:spacing w:line="440" w:lineRule="exact"/>
        <w:contextualSpacing/>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年    月    日</w:t>
      </w:r>
    </w:p>
    <w:p w14:paraId="6E164845">
      <w:pPr>
        <w:spacing w:line="440" w:lineRule="exact"/>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w:t>
      </w:r>
      <w:bookmarkStart w:id="190" w:name="_Hlk65851555"/>
      <w:bookmarkStart w:id="191" w:name="_Hlk65851620"/>
      <w:r>
        <w:rPr>
          <w:rFonts w:hint="eastAsia" w:ascii="宋体" w:hAnsi="宋体" w:cs="仿宋_GB2312"/>
          <w:color w:val="000000" w:themeColor="text1"/>
          <w:sz w:val="24"/>
          <w:highlight w:val="none"/>
          <w14:textFill>
            <w14:solidFill>
              <w14:schemeClr w14:val="tx1"/>
            </w14:solidFill>
          </w14:textFill>
        </w:rPr>
        <w:t>法定代表人必须在授权委托书上亲笔签字或者盖章，</w:t>
      </w:r>
      <w:bookmarkEnd w:id="190"/>
      <w:r>
        <w:rPr>
          <w:rFonts w:hint="eastAsia" w:ascii="宋体" w:hAnsi="宋体" w:cs="仿宋_GB2312"/>
          <w:color w:val="000000" w:themeColor="text1"/>
          <w:sz w:val="24"/>
          <w:highlight w:val="none"/>
          <w14:textFill>
            <w14:solidFill>
              <w14:schemeClr w14:val="tx1"/>
            </w14:solidFill>
          </w14:textFill>
        </w:rPr>
        <w:t>委托代理人必须在授权委托书上亲笔签字，</w:t>
      </w:r>
      <w:r>
        <w:rPr>
          <w:rFonts w:hint="eastAsia" w:ascii="宋体" w:hAnsi="宋体" w:cs="仿宋_GB2312"/>
          <w:b/>
          <w:bCs/>
          <w:color w:val="000000" w:themeColor="text1"/>
          <w:sz w:val="24"/>
          <w:highlight w:val="none"/>
          <w14:textFill>
            <w14:solidFill>
              <w14:schemeClr w14:val="tx1"/>
            </w14:solidFill>
          </w14:textFill>
        </w:rPr>
        <w:t>否则按无效投标处理</w:t>
      </w:r>
      <w:r>
        <w:rPr>
          <w:rFonts w:hint="eastAsia" w:ascii="宋体" w:hAnsi="宋体" w:cs="仿宋_GB2312"/>
          <w:color w:val="000000" w:themeColor="text1"/>
          <w:sz w:val="24"/>
          <w:highlight w:val="none"/>
          <w14:textFill>
            <w14:solidFill>
              <w14:schemeClr w14:val="tx1"/>
            </w14:solidFill>
          </w14:textFill>
        </w:rPr>
        <w:t>；</w:t>
      </w:r>
      <w:bookmarkEnd w:id="191"/>
    </w:p>
    <w:p w14:paraId="5A536BE5">
      <w:pPr>
        <w:spacing w:line="44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2.法人、其他组织投标时“我方”是指“我单位”，自然人投标时“我方”是指“本人”。</w:t>
      </w:r>
    </w:p>
    <w:p w14:paraId="3D9B637F">
      <w:pPr>
        <w:snapToGrid w:val="0"/>
        <w:spacing w:before="120" w:beforeLines="50" w:after="50"/>
        <w:ind w:firstLine="566" w:firstLineChars="236"/>
        <w:jc w:val="center"/>
        <w:rPr>
          <w:rFonts w:hint="eastAsia" w:ascii="宋体" w:hAnsi="宋体" w:cs="方正小标宋简体"/>
          <w:color w:val="000000" w:themeColor="text1"/>
          <w:sz w:val="44"/>
          <w:szCs w:val="4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hint="eastAsia" w:ascii="宋体" w:hAnsi="宋体" w:cs="方正小标宋简体"/>
          <w:color w:val="000000" w:themeColor="text1"/>
          <w:sz w:val="44"/>
          <w:szCs w:val="44"/>
          <w:highlight w:val="none"/>
          <w14:textFill>
            <w14:solidFill>
              <w14:schemeClr w14:val="tx1"/>
            </w14:solidFill>
          </w14:textFill>
        </w:rPr>
        <w:t>授权委托书</w:t>
      </w:r>
    </w:p>
    <w:p w14:paraId="516D5E2E">
      <w:pPr>
        <w:snapToGrid w:val="0"/>
        <w:spacing w:before="120" w:beforeLines="50" w:after="50"/>
        <w:ind w:firstLine="755" w:firstLineChars="236"/>
        <w:jc w:val="center"/>
        <w:rPr>
          <w:rFonts w:hint="eastAsia" w:ascii="宋体" w:hAnsi="宋体" w:cs="方正小标宋简体"/>
          <w:color w:val="000000" w:themeColor="text1"/>
          <w:sz w:val="32"/>
          <w:szCs w:val="32"/>
          <w:highlight w:val="none"/>
          <w14:textFill>
            <w14:solidFill>
              <w14:schemeClr w14:val="tx1"/>
            </w14:solidFill>
          </w14:textFill>
        </w:rPr>
      </w:pPr>
      <w:r>
        <w:rPr>
          <w:rFonts w:hint="eastAsia" w:ascii="宋体" w:hAnsi="宋体" w:cs="方正小标宋简体"/>
          <w:color w:val="000000" w:themeColor="text1"/>
          <w:sz w:val="32"/>
          <w:szCs w:val="32"/>
          <w:highlight w:val="none"/>
          <w14:textFill>
            <w14:solidFill>
              <w14:schemeClr w14:val="tx1"/>
            </w14:solidFill>
          </w14:textFill>
        </w:rPr>
        <w:t>（联合体投标格式）</w:t>
      </w:r>
    </w:p>
    <w:p w14:paraId="0522FD5E">
      <w:pPr>
        <w:snapToGrid w:val="0"/>
        <w:spacing w:before="120" w:beforeLines="50" w:after="50"/>
        <w:ind w:firstLine="755" w:firstLineChars="236"/>
        <w:jc w:val="center"/>
        <w:rPr>
          <w:rFonts w:hint="eastAsia" w:ascii="宋体" w:hAnsi="宋体" w:cs="方正小标宋简体"/>
          <w:color w:val="000000" w:themeColor="text1"/>
          <w:sz w:val="24"/>
          <w:highlight w:val="none"/>
          <w14:textFill>
            <w14:solidFill>
              <w14:schemeClr w14:val="tx1"/>
            </w14:solidFill>
          </w14:textFill>
        </w:rPr>
      </w:pPr>
      <w:r>
        <w:rPr>
          <w:rFonts w:hint="eastAsia" w:ascii="宋体" w:hAnsi="宋体" w:cs="方正小标宋简体"/>
          <w:color w:val="000000" w:themeColor="text1"/>
          <w:sz w:val="32"/>
          <w:szCs w:val="32"/>
          <w:highlight w:val="none"/>
          <w14:textFill>
            <w14:solidFill>
              <w14:schemeClr w14:val="tx1"/>
            </w14:solidFill>
          </w14:textFill>
        </w:rPr>
        <w:t>（如有委托时）</w:t>
      </w:r>
    </w:p>
    <w:p w14:paraId="2AD7F284">
      <w:pPr>
        <w:spacing w:line="440" w:lineRule="exact"/>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采购人名称</w:t>
      </w:r>
      <w:r>
        <w:rPr>
          <w:rFonts w:hint="eastAsia" w:ascii="宋体" w:hAnsi="宋体"/>
          <w:color w:val="000000" w:themeColor="text1"/>
          <w:sz w:val="24"/>
          <w:highlight w:val="none"/>
          <w14:textFill>
            <w14:solidFill>
              <w14:schemeClr w14:val="tx1"/>
            </w14:solidFill>
          </w14:textFill>
        </w:rPr>
        <w:t>：</w:t>
      </w:r>
    </w:p>
    <w:p w14:paraId="7B3FDE0F">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根据 </w:t>
      </w:r>
      <w:r>
        <w:rPr>
          <w:rFonts w:hint="eastAsia" w:ascii="宋体" w:hAnsi="宋体"/>
          <w:color w:val="000000" w:themeColor="text1"/>
          <w:sz w:val="24"/>
          <w:highlight w:val="none"/>
          <w:u w:val="single"/>
          <w14:textFill>
            <w14:solidFill>
              <w14:schemeClr w14:val="tx1"/>
            </w14:solidFill>
          </w14:textFill>
        </w:rPr>
        <w:t xml:space="preserve"> （牵头人名称）</w:t>
      </w:r>
      <w:r>
        <w:rPr>
          <w:rFonts w:hint="eastAsia" w:ascii="宋体" w:hAnsi="宋体"/>
          <w:color w:val="000000" w:themeColor="text1"/>
          <w:sz w:val="24"/>
          <w:highlight w:val="none"/>
          <w14:textFill>
            <w14:solidFill>
              <w14:schemeClr w14:val="tx1"/>
            </w14:solidFill>
          </w14:textFill>
        </w:rPr>
        <w:t>与</w:t>
      </w:r>
      <w:r>
        <w:rPr>
          <w:rFonts w:hint="eastAsia" w:ascii="宋体" w:hAnsi="宋体"/>
          <w:color w:val="000000" w:themeColor="text1"/>
          <w:sz w:val="24"/>
          <w:highlight w:val="none"/>
          <w:u w:val="single"/>
          <w14:textFill>
            <w14:solidFill>
              <w14:schemeClr w14:val="tx1"/>
            </w14:solidFill>
          </w14:textFill>
        </w:rPr>
        <w:t>（联合体其他成员名称）</w:t>
      </w:r>
      <w:r>
        <w:rPr>
          <w:rFonts w:hint="eastAsia" w:ascii="宋体" w:hAnsi="宋体"/>
          <w:color w:val="000000" w:themeColor="text1"/>
          <w:sz w:val="24"/>
          <w:highlight w:val="none"/>
          <w14:textFill>
            <w14:solidFill>
              <w14:schemeClr w14:val="tx1"/>
            </w14:solidFill>
          </w14:textFill>
        </w:rPr>
        <w:t>签订的《联合体投标协议书》的内容，</w:t>
      </w:r>
      <w:r>
        <w:rPr>
          <w:rFonts w:hint="eastAsia" w:ascii="宋体" w:hAnsi="宋体"/>
          <w:color w:val="000000" w:themeColor="text1"/>
          <w:sz w:val="24"/>
          <w:highlight w:val="none"/>
          <w:u w:val="single"/>
          <w14:textFill>
            <w14:solidFill>
              <w14:schemeClr w14:val="tx1"/>
            </w14:solidFill>
          </w14:textFill>
        </w:rPr>
        <w:t>（牵头人名称）</w:t>
      </w:r>
      <w:r>
        <w:rPr>
          <w:rFonts w:hint="eastAsia" w:ascii="宋体" w:hAnsi="宋体"/>
          <w:color w:val="000000" w:themeColor="text1"/>
          <w:sz w:val="24"/>
          <w:highlight w:val="none"/>
          <w14:textFill>
            <w14:solidFill>
              <w14:schemeClr w14:val="tx1"/>
            </w14:solidFill>
          </w14:textFill>
        </w:rPr>
        <w:t>的法定代表人</w:t>
      </w:r>
      <w:r>
        <w:rPr>
          <w:rFonts w:hint="eastAsia" w:ascii="宋体" w:hAnsi="宋体"/>
          <w:color w:val="000000" w:themeColor="text1"/>
          <w:sz w:val="24"/>
          <w:highlight w:val="none"/>
          <w:u w:val="single"/>
          <w14:textFill>
            <w14:solidFill>
              <w14:schemeClr w14:val="tx1"/>
            </w14:solidFill>
          </w14:textFill>
        </w:rPr>
        <w:t>（姓名）</w:t>
      </w:r>
      <w:r>
        <w:rPr>
          <w:rFonts w:hint="eastAsia" w:ascii="宋体" w:hAnsi="宋体"/>
          <w:color w:val="000000" w:themeColor="text1"/>
          <w:sz w:val="24"/>
          <w:highlight w:val="none"/>
          <w14:textFill>
            <w14:solidFill>
              <w14:schemeClr w14:val="tx1"/>
            </w14:solidFill>
          </w14:textFill>
        </w:rPr>
        <w:t>现授权委托</w:t>
      </w:r>
      <w:r>
        <w:rPr>
          <w:rFonts w:hint="eastAsia" w:ascii="宋体" w:hAnsi="宋体"/>
          <w:color w:val="000000" w:themeColor="text1"/>
          <w:sz w:val="24"/>
          <w:highlight w:val="none"/>
          <w:u w:val="single"/>
          <w14:textFill>
            <w14:solidFill>
              <w14:schemeClr w14:val="tx1"/>
            </w14:solidFill>
          </w14:textFill>
        </w:rPr>
        <w:t xml:space="preserve">              （姓名）</w:t>
      </w:r>
      <w:r>
        <w:rPr>
          <w:rFonts w:hint="eastAsia" w:ascii="宋体" w:hAnsi="宋体"/>
          <w:color w:val="000000" w:themeColor="text1"/>
          <w:sz w:val="24"/>
          <w:highlight w:val="none"/>
          <w14:textFill>
            <w14:solidFill>
              <w14:schemeClr w14:val="tx1"/>
            </w14:solidFill>
          </w14:textFill>
        </w:rPr>
        <w:t>以我方的名义参加</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4DC53E84">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我方对委托代理人的签字事项负全部责任。</w:t>
      </w:r>
    </w:p>
    <w:p w14:paraId="28FB9F32">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3C7DBF5">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委托代理人无转委托权，特此委托。</w:t>
      </w:r>
    </w:p>
    <w:p w14:paraId="3D2F3890">
      <w:pPr>
        <w:spacing w:line="440" w:lineRule="exact"/>
        <w:ind w:firstLine="566" w:firstLineChars="236"/>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附：牵头人法定代表人身份证明及委托代理人有效身份证正反面复印件</w:t>
      </w:r>
    </w:p>
    <w:p w14:paraId="4E2BB3AC">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p>
    <w:p w14:paraId="57C63953">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牵头人法定代表人（签字或者盖章）：</w:t>
      </w:r>
    </w:p>
    <w:p w14:paraId="6C809827">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牵头人（盖公章）：</w:t>
      </w:r>
    </w:p>
    <w:p w14:paraId="5C43C000">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765FCC3A">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p>
    <w:p w14:paraId="6041DFC5">
      <w:pPr>
        <w:spacing w:line="440" w:lineRule="exact"/>
        <w:ind w:firstLine="566" w:firstLineChars="236"/>
        <w:contextualSpacing/>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被授权人（签字）：</w:t>
      </w:r>
    </w:p>
    <w:p w14:paraId="20768C1B">
      <w:pPr>
        <w:spacing w:line="440" w:lineRule="exact"/>
        <w:ind w:firstLine="566" w:firstLineChars="236"/>
        <w:contextualSpacing/>
        <w:rPr>
          <w:rFonts w:hint="eastAsia" w:ascii="宋体" w:hAnsi="宋体" w:cs="仿宋_GB2312"/>
          <w:color w:val="000000" w:themeColor="text1"/>
          <w:sz w:val="32"/>
          <w:szCs w:val="32"/>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日期：    年   月   日</w:t>
      </w:r>
    </w:p>
    <w:p w14:paraId="21332E91">
      <w:pPr>
        <w:spacing w:line="440" w:lineRule="exact"/>
        <w:contextualSpacing/>
        <w:rPr>
          <w:rFonts w:hint="eastAsia"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注：1. 法定代表人必须在授权委托书上亲笔签字或者盖章，委托代理人必须在授权委托书上亲笔签字，</w:t>
      </w:r>
      <w:r>
        <w:rPr>
          <w:rFonts w:hint="eastAsia" w:ascii="宋体" w:hAnsi="宋体" w:cs="仿宋_GB2312"/>
          <w:b/>
          <w:bCs/>
          <w:color w:val="000000" w:themeColor="text1"/>
          <w:sz w:val="24"/>
          <w:highlight w:val="none"/>
          <w14:textFill>
            <w14:solidFill>
              <w14:schemeClr w14:val="tx1"/>
            </w14:solidFill>
          </w14:textFill>
        </w:rPr>
        <w:t>否则按无效投标处理</w:t>
      </w:r>
      <w:r>
        <w:rPr>
          <w:rFonts w:hint="eastAsia" w:ascii="宋体" w:hAnsi="宋体" w:cs="仿宋_GB2312"/>
          <w:color w:val="000000" w:themeColor="text1"/>
          <w:sz w:val="24"/>
          <w:highlight w:val="none"/>
          <w14:textFill>
            <w14:solidFill>
              <w14:schemeClr w14:val="tx1"/>
            </w14:solidFill>
          </w14:textFill>
        </w:rPr>
        <w:t>；</w:t>
      </w:r>
    </w:p>
    <w:p w14:paraId="048AF8D0">
      <w:pPr>
        <w:spacing w:line="440" w:lineRule="exact"/>
        <w:ind w:firstLine="480" w:firstLineChars="200"/>
        <w:contextualSpacing/>
        <w:jc w:val="left"/>
        <w:rPr>
          <w:rFonts w:ascii="宋体" w:hAnsi="宋体" w:cs="仿宋_GB2312"/>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2.本授权委托书应由联合体牵头人的法定代表人按上述规定签字。</w:t>
      </w:r>
    </w:p>
    <w:p w14:paraId="3B325FB1">
      <w:pPr>
        <w:spacing w:line="440" w:lineRule="exact"/>
        <w:ind w:firstLine="480" w:firstLineChars="200"/>
        <w:contextualSpacing/>
        <w:jc w:val="left"/>
        <w:rPr>
          <w:rFonts w:hint="eastAsia" w:ascii="宋体" w:hAnsi="宋体"/>
          <w:color w:val="000000" w:themeColor="text1"/>
          <w:sz w:val="24"/>
          <w:highlight w:val="none"/>
          <w14:textFill>
            <w14:solidFill>
              <w14:schemeClr w14:val="tx1"/>
            </w14:solidFill>
          </w14:textFill>
        </w:rPr>
      </w:pPr>
      <w:r>
        <w:rPr>
          <w:rFonts w:hint="eastAsia" w:ascii="宋体" w:hAnsi="宋体" w:cs="仿宋_GB2312"/>
          <w:color w:val="000000" w:themeColor="text1"/>
          <w:sz w:val="24"/>
          <w:highlight w:val="none"/>
          <w14:textFill>
            <w14:solidFill>
              <w14:schemeClr w14:val="tx1"/>
            </w14:solidFill>
          </w14:textFill>
        </w:rPr>
        <w:t>3</w:t>
      </w:r>
      <w:r>
        <w:rPr>
          <w:rFonts w:ascii="宋体" w:hAnsi="宋体" w:cs="仿宋_GB2312"/>
          <w:color w:val="000000" w:themeColor="text1"/>
          <w:sz w:val="24"/>
          <w:highlight w:val="none"/>
          <w14:textFill>
            <w14:solidFill>
              <w14:schemeClr w14:val="tx1"/>
            </w14:solidFill>
          </w14:textFill>
        </w:rPr>
        <w:t>.</w:t>
      </w:r>
      <w:r>
        <w:rPr>
          <w:rFonts w:hint="eastAsia" w:ascii="宋体" w:hAnsi="宋体" w:cs="仿宋_GB2312"/>
          <w:color w:val="000000" w:themeColor="text1"/>
          <w:sz w:val="24"/>
          <w:highlight w:val="none"/>
          <w14:textFill>
            <w14:solidFill>
              <w14:schemeClr w14:val="tx1"/>
            </w14:solidFill>
          </w14:textFill>
        </w:rPr>
        <w:t>法人、其他组织投标时“我方”是指“我单位”，自然人投标时“我方”是指“本人”。</w:t>
      </w:r>
    </w:p>
    <w:p w14:paraId="030C5C19">
      <w:pPr>
        <w:snapToGrid w:val="0"/>
        <w:spacing w:before="50" w:after="120" w:afterLines="50"/>
        <w:ind w:firstLine="480" w:firstLineChars="200"/>
        <w:jc w:val="left"/>
        <w:rPr>
          <w:rFonts w:hint="eastAsia" w:ascii="宋体" w:hAnsi="宋体"/>
          <w:color w:val="000000" w:themeColor="text1"/>
          <w:sz w:val="24"/>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1134" w:right="1134" w:bottom="1134" w:left="1134" w:header="851" w:footer="567" w:gutter="0"/>
          <w:cols w:space="720" w:num="1"/>
          <w:titlePg/>
          <w:rtlGutter w:val="0"/>
          <w:docGrid w:linePitch="312" w:charSpace="0"/>
        </w:sectPr>
      </w:pPr>
    </w:p>
    <w:p w14:paraId="7C630BAA">
      <w:pPr>
        <w:rPr>
          <w:rFonts w:hint="eastAsia" w:ascii="宋体" w:hAnsi="宋体"/>
          <w:color w:val="000000" w:themeColor="text1"/>
          <w:sz w:val="24"/>
          <w:highlight w:val="none"/>
          <w14:textFill>
            <w14:solidFill>
              <w14:schemeClr w14:val="tx1"/>
            </w14:solidFill>
          </w14:textFill>
        </w:rPr>
      </w:pPr>
    </w:p>
    <w:p w14:paraId="2A7950FF">
      <w:pPr>
        <w:rPr>
          <w:rFonts w:hint="eastAsia" w:ascii="宋体" w:hAnsi="宋体"/>
          <w:b/>
          <w:color w:val="000000" w:themeColor="text1"/>
          <w:sz w:val="24"/>
          <w:szCs w:val="20"/>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6.商务要求偏离表格式（注：按项目需求表具体项目修改）</w:t>
      </w:r>
    </w:p>
    <w:p w14:paraId="5F12E476">
      <w:pPr>
        <w:snapToGrid w:val="0"/>
        <w:spacing w:before="50"/>
        <w:jc w:val="left"/>
        <w:rPr>
          <w:rFonts w:hint="eastAsia" w:ascii="宋体" w:hAnsi="宋体"/>
          <w:color w:val="000000" w:themeColor="text1"/>
          <w:sz w:val="24"/>
          <w:highlight w:val="none"/>
          <w14:textFill>
            <w14:solidFill>
              <w14:schemeClr w14:val="tx1"/>
            </w14:solidFill>
          </w14:textFill>
        </w:rPr>
      </w:pPr>
    </w:p>
    <w:p w14:paraId="7BBD5EDB">
      <w:pPr>
        <w:pStyle w:val="26"/>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w:t>
      </w:r>
    </w:p>
    <w:p w14:paraId="6E561D6C">
      <w:pPr>
        <w:snapToGrid w:val="0"/>
        <w:spacing w:before="50"/>
        <w:jc w:val="left"/>
        <w:rPr>
          <w:rFonts w:hint="eastAsia" w:ascii="宋体" w:hAnsi="宋体"/>
          <w:color w:val="000000" w:themeColor="text1"/>
          <w:sz w:val="24"/>
          <w:highlight w:val="none"/>
          <w:u w:val="single"/>
          <w14:textFill>
            <w14:solidFill>
              <w14:schemeClr w14:val="tx1"/>
            </w14:solidFill>
          </w14:textFill>
        </w:rPr>
      </w:pPr>
    </w:p>
    <w:tbl>
      <w:tblPr>
        <w:tblStyle w:val="53"/>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71B743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vAlign w:val="top"/>
          </w:tcPr>
          <w:p w14:paraId="34A2B32F">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w:t>
            </w:r>
          </w:p>
        </w:tc>
        <w:tc>
          <w:tcPr>
            <w:tcW w:w="3336" w:type="dxa"/>
            <w:tcBorders>
              <w:top w:val="single" w:color="auto" w:sz="4" w:space="0"/>
              <w:left w:val="single" w:color="auto" w:sz="4" w:space="0"/>
              <w:bottom w:val="single" w:color="auto" w:sz="4" w:space="0"/>
              <w:right w:val="single" w:color="auto" w:sz="4" w:space="0"/>
            </w:tcBorders>
            <w:vAlign w:val="top"/>
          </w:tcPr>
          <w:p w14:paraId="6BEFF5C1">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招标文件商务要求</w:t>
            </w:r>
          </w:p>
        </w:tc>
        <w:tc>
          <w:tcPr>
            <w:tcW w:w="1760" w:type="dxa"/>
            <w:tcBorders>
              <w:top w:val="single" w:color="auto" w:sz="4" w:space="0"/>
              <w:left w:val="single" w:color="auto" w:sz="4" w:space="0"/>
              <w:bottom w:val="single" w:color="auto" w:sz="4" w:space="0"/>
              <w:right w:val="single" w:color="auto" w:sz="4" w:space="0"/>
            </w:tcBorders>
            <w:vAlign w:val="top"/>
          </w:tcPr>
          <w:p w14:paraId="72F1B9DD">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投标人的承诺</w:t>
            </w:r>
          </w:p>
        </w:tc>
        <w:tc>
          <w:tcPr>
            <w:tcW w:w="2035" w:type="dxa"/>
            <w:tcBorders>
              <w:top w:val="single" w:color="auto" w:sz="4" w:space="0"/>
              <w:left w:val="single" w:color="auto" w:sz="4" w:space="0"/>
              <w:bottom w:val="single" w:color="auto" w:sz="4" w:space="0"/>
              <w:right w:val="single" w:color="auto" w:sz="4" w:space="0"/>
            </w:tcBorders>
            <w:vAlign w:val="top"/>
          </w:tcPr>
          <w:p w14:paraId="4B9C8539">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偏离说明</w:t>
            </w:r>
          </w:p>
        </w:tc>
      </w:tr>
      <w:tr w14:paraId="4F7AC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60A391B5">
            <w:pPr>
              <w:jc w:val="center"/>
              <w:rPr>
                <w:rFonts w:hint="eastAsia" w:ascii="宋体" w:hAnsi="宋体"/>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vAlign w:val="top"/>
          </w:tcPr>
          <w:p w14:paraId="565296E9">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vAlign w:val="top"/>
          </w:tcPr>
          <w:p w14:paraId="197A6B06">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vAlign w:val="top"/>
          </w:tcPr>
          <w:p w14:paraId="3FBB87FB">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r w14:paraId="45F52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4AF64A77">
            <w:pPr>
              <w:jc w:val="center"/>
              <w:rPr>
                <w:rFonts w:ascii="宋体" w:hAnsi="宋体"/>
                <w:color w:val="000000" w:themeColor="text1"/>
                <w:sz w:val="24"/>
                <w:highlight w:val="none"/>
                <w14:textFill>
                  <w14:solidFill>
                    <w14:schemeClr w14:val="tx1"/>
                  </w14:solidFill>
                </w14:textFill>
              </w:rPr>
            </w:pPr>
          </w:p>
        </w:tc>
        <w:tc>
          <w:tcPr>
            <w:tcW w:w="3336" w:type="dxa"/>
            <w:tcBorders>
              <w:top w:val="single" w:color="auto" w:sz="4" w:space="0"/>
              <w:left w:val="single" w:color="auto" w:sz="4" w:space="0"/>
              <w:bottom w:val="single" w:color="auto" w:sz="4" w:space="0"/>
              <w:right w:val="single" w:color="auto" w:sz="4" w:space="0"/>
            </w:tcBorders>
            <w:vAlign w:val="top"/>
          </w:tcPr>
          <w:p w14:paraId="7EFC4FAA">
            <w:pPr>
              <w:snapToGrid w:val="0"/>
              <w:spacing w:before="120" w:beforeLines="50"/>
              <w:rPr>
                <w:rFonts w:hint="eastAsia" w:ascii="宋体" w:hAnsi="宋体"/>
                <w:color w:val="000000" w:themeColor="text1"/>
                <w:sz w:val="24"/>
                <w:highlight w:val="none"/>
                <w:u w:val="singl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vAlign w:val="top"/>
          </w:tcPr>
          <w:p w14:paraId="0990BE32">
            <w:pPr>
              <w:snapToGrid w:val="0"/>
              <w:spacing w:before="120" w:beforeLines="50"/>
              <w:ind w:left="43"/>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vAlign w:val="top"/>
          </w:tcPr>
          <w:p w14:paraId="3E8DFA3A">
            <w:pPr>
              <w:snapToGrid w:val="0"/>
              <w:spacing w:before="120" w:beforeLines="50"/>
              <w:ind w:left="43"/>
              <w:jc w:val="center"/>
              <w:rPr>
                <w:rFonts w:hint="eastAsia" w:ascii="宋体" w:hAnsi="宋体"/>
                <w:color w:val="000000" w:themeColor="text1"/>
                <w:sz w:val="24"/>
                <w:highlight w:val="none"/>
                <w14:textFill>
                  <w14:solidFill>
                    <w14:schemeClr w14:val="tx1"/>
                  </w14:solidFill>
                </w14:textFill>
              </w:rPr>
            </w:pPr>
          </w:p>
        </w:tc>
      </w:tr>
      <w:tr w14:paraId="06380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vAlign w:val="top"/>
          </w:tcPr>
          <w:p w14:paraId="5BD12F80">
            <w:pPr>
              <w:snapToGrid w:val="0"/>
              <w:spacing w:before="120" w:beforeLines="50"/>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3336" w:type="dxa"/>
            <w:tcBorders>
              <w:top w:val="single" w:color="auto" w:sz="4" w:space="0"/>
              <w:left w:val="single" w:color="auto" w:sz="4" w:space="0"/>
              <w:bottom w:val="single" w:color="auto" w:sz="4" w:space="0"/>
              <w:right w:val="single" w:color="auto" w:sz="4" w:space="0"/>
            </w:tcBorders>
            <w:vAlign w:val="top"/>
          </w:tcPr>
          <w:p w14:paraId="411B8A36">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1760" w:type="dxa"/>
            <w:tcBorders>
              <w:top w:val="single" w:color="auto" w:sz="4" w:space="0"/>
              <w:left w:val="single" w:color="auto" w:sz="4" w:space="0"/>
              <w:bottom w:val="single" w:color="auto" w:sz="4" w:space="0"/>
              <w:right w:val="single" w:color="auto" w:sz="4" w:space="0"/>
            </w:tcBorders>
            <w:vAlign w:val="top"/>
          </w:tcPr>
          <w:p w14:paraId="5C31939E">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c>
          <w:tcPr>
            <w:tcW w:w="2035" w:type="dxa"/>
            <w:tcBorders>
              <w:top w:val="single" w:color="auto" w:sz="4" w:space="0"/>
              <w:left w:val="single" w:color="auto" w:sz="4" w:space="0"/>
              <w:bottom w:val="single" w:color="auto" w:sz="4" w:space="0"/>
              <w:right w:val="single" w:color="auto" w:sz="4" w:space="0"/>
            </w:tcBorders>
            <w:vAlign w:val="top"/>
          </w:tcPr>
          <w:p w14:paraId="013C6653">
            <w:pPr>
              <w:snapToGrid w:val="0"/>
              <w:spacing w:before="120" w:beforeLines="50"/>
              <w:jc w:val="center"/>
              <w:rPr>
                <w:rFonts w:hint="eastAsia" w:ascii="宋体" w:hAnsi="宋体"/>
                <w:color w:val="000000" w:themeColor="text1"/>
                <w:sz w:val="24"/>
                <w:highlight w:val="none"/>
                <w14:textFill>
                  <w14:solidFill>
                    <w14:schemeClr w14:val="tx1"/>
                  </w14:solidFill>
                </w14:textFill>
              </w:rPr>
            </w:pPr>
          </w:p>
        </w:tc>
      </w:tr>
    </w:tbl>
    <w:p w14:paraId="3E05F5F1">
      <w:pPr>
        <w:pStyle w:val="18"/>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3A8E72D2">
      <w:pPr>
        <w:pStyle w:val="20"/>
        <w:spacing w:line="520" w:lineRule="exact"/>
        <w:ind w:firstLine="0" w:firstLineChars="0"/>
        <w:rPr>
          <w:rFonts w:hint="eastAsia"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w:t>
      </w:r>
      <w:r>
        <w:rPr>
          <w:rFonts w:hint="eastAsia"/>
          <w:color w:val="000000" w:themeColor="text1"/>
          <w:highlight w:val="none"/>
          <w14:textFill>
            <w14:solidFill>
              <w14:schemeClr w14:val="tx1"/>
            </w14:solidFill>
          </w14:textFill>
        </w:rPr>
        <w:t xml:space="preserve"> </w:t>
      </w:r>
      <w:r>
        <w:rPr>
          <w:rFonts w:hint="eastAsia" w:ascii="宋体" w:hAnsi="宋体" w:eastAsia="宋体"/>
          <w:color w:val="000000" w:themeColor="text1"/>
          <w:sz w:val="24"/>
          <w:szCs w:val="24"/>
          <w:highlight w:val="none"/>
          <w14:textFill>
            <w14:solidFill>
              <w14:schemeClr w14:val="tx1"/>
            </w14:solidFill>
          </w14:textFill>
        </w:rPr>
        <w:t>说明：应对照招标文件“第二章 采购需求”中的商务要求逐条作明确的投标响应，并作出偏离说明。</w:t>
      </w:r>
    </w:p>
    <w:p w14:paraId="2679F205">
      <w:pPr>
        <w:pStyle w:val="18"/>
        <w:rPr>
          <w:rFonts w:ascii="宋体" w:hAnsi="宋体"/>
          <w:b w:val="0"/>
          <w:bCs w:val="0"/>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投标人应根据自身的承诺，对照招标文件要求在“偏离说明”中注明“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3937A216">
      <w:pPr>
        <w:snapToGrid w:val="0"/>
        <w:spacing w:before="50" w:after="50"/>
        <w:rPr>
          <w:rFonts w:ascii="宋体" w:hAnsi="宋体"/>
          <w:color w:val="000000" w:themeColor="text1"/>
          <w:sz w:val="24"/>
          <w:highlight w:val="none"/>
          <w14:textFill>
            <w14:solidFill>
              <w14:schemeClr w14:val="tx1"/>
            </w14:solidFill>
          </w14:textFill>
        </w:rPr>
      </w:pPr>
    </w:p>
    <w:p w14:paraId="7B9F70B4">
      <w:pPr>
        <w:snapToGrid w:val="0"/>
        <w:spacing w:before="50" w:after="50"/>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0C91BE73">
      <w:pPr>
        <w:pStyle w:val="26"/>
        <w:keepNext/>
        <w:keepLines/>
        <w:spacing w:line="360" w:lineRule="auto"/>
        <w:contextualSpacing/>
        <w:jc w:val="both"/>
        <w:rPr>
          <w:color w:val="000000" w:themeColor="text1"/>
          <w:szCs w:val="21"/>
          <w:highlight w:val="none"/>
          <w:u w:val="single"/>
          <w14:textFill>
            <w14:solidFill>
              <w14:schemeClr w14:val="tx1"/>
            </w14:solidFill>
          </w14:textFill>
        </w:rPr>
      </w:pPr>
      <w:r>
        <w:rPr>
          <w:color w:val="000000" w:themeColor="text1"/>
          <w:szCs w:val="21"/>
          <w:highlight w:val="non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投标人名称（电子签章）：</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 xml:space="preserve">   </w:t>
      </w:r>
      <w:r>
        <w:rPr>
          <w:color w:val="000000" w:themeColor="text1"/>
          <w:szCs w:val="21"/>
          <w:highlight w:val="none"/>
          <w:u w:val="single"/>
          <w14:textFill>
            <w14:solidFill>
              <w14:schemeClr w14:val="tx1"/>
            </w14:solidFill>
          </w14:textFill>
        </w:rPr>
        <w:t xml:space="preserve">  </w:t>
      </w:r>
    </w:p>
    <w:p w14:paraId="2D13DFD5">
      <w:pPr>
        <w:snapToGrid w:val="0"/>
        <w:spacing w:before="120" w:beforeLines="50"/>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14:textFill>
            <w14:solidFill>
              <w14:schemeClr w14:val="tx1"/>
            </w14:solidFill>
          </w14:textFill>
        </w:rPr>
        <w:t>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5D74E9DA">
      <w:pPr>
        <w:snapToGrid w:val="0"/>
        <w:spacing w:before="120" w:beforeLines="50"/>
        <w:rPr>
          <w:rFonts w:hint="eastAsia" w:ascii="宋体" w:hAnsi="宋体"/>
          <w:color w:val="000000" w:themeColor="text1"/>
          <w:sz w:val="24"/>
          <w:szCs w:val="20"/>
          <w:highlight w:val="none"/>
          <w14:textFill>
            <w14:solidFill>
              <w14:schemeClr w14:val="tx1"/>
            </w14:solidFill>
          </w14:textFill>
        </w:rPr>
      </w:pPr>
    </w:p>
    <w:p w14:paraId="29163E89">
      <w:pPr>
        <w:snapToGrid w:val="0"/>
        <w:spacing w:before="120" w:beforeLines="50" w:after="50"/>
        <w:jc w:val="left"/>
        <w:rPr>
          <w:rFonts w:ascii="宋体" w:hAnsi="宋体"/>
          <w:color w:val="000000" w:themeColor="text1"/>
          <w:sz w:val="24"/>
          <w:szCs w:val="20"/>
          <w:highlight w:val="none"/>
          <w14:textFill>
            <w14:solidFill>
              <w14:schemeClr w14:val="tx1"/>
            </w14:solidFill>
          </w14:textFill>
        </w:rPr>
      </w:pPr>
    </w:p>
    <w:p w14:paraId="02B248A8">
      <w:pPr>
        <w:snapToGrid w:val="0"/>
        <w:spacing w:before="120" w:beforeLines="50" w:after="50"/>
        <w:jc w:val="left"/>
        <w:rPr>
          <w:rFonts w:hint="eastAsia" w:ascii="宋体" w:hAnsi="宋体"/>
          <w:b/>
          <w:color w:val="000000" w:themeColor="text1"/>
          <w:sz w:val="24"/>
          <w:highlight w:val="none"/>
          <w14:textFill>
            <w14:solidFill>
              <w14:schemeClr w14:val="tx1"/>
            </w14:solidFill>
          </w14:textFill>
        </w:rPr>
      </w:pPr>
      <w:r>
        <w:rPr>
          <w:rFonts w:ascii="宋体" w:hAnsi="宋体"/>
          <w:color w:val="000000" w:themeColor="text1"/>
          <w:sz w:val="24"/>
          <w:szCs w:val="20"/>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7.投标人业绩证明材料</w:t>
      </w:r>
    </w:p>
    <w:p w14:paraId="15F9C66A">
      <w:pPr>
        <w:pStyle w:val="36"/>
        <w:snapToGrid w:val="0"/>
        <w:ind w:left="480" w:hanging="480"/>
        <w:rPr>
          <w:rFonts w:hint="eastAsia" w:ascii="宋体" w:hAnsi="宋体"/>
          <w:color w:val="000000" w:themeColor="text1"/>
          <w:sz w:val="24"/>
          <w:highlight w:val="none"/>
          <w14:textFill>
            <w14:solidFill>
              <w14:schemeClr w14:val="tx1"/>
            </w14:solidFill>
          </w14:textFill>
        </w:rPr>
      </w:pPr>
    </w:p>
    <w:p w14:paraId="4D36280A">
      <w:pPr>
        <w:pStyle w:val="36"/>
        <w:snapToGrid w:val="0"/>
        <w:ind w:left="480" w:hanging="480"/>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投标人业绩情况一览表格式： </w:t>
      </w:r>
    </w:p>
    <w:tbl>
      <w:tblPr>
        <w:tblStyle w:val="53"/>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856"/>
      </w:tblGrid>
      <w:tr w14:paraId="25DBB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52812879">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4162E9C2">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2F8AC92C">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合同金额</w:t>
            </w:r>
          </w:p>
          <w:p w14:paraId="47C74801">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（万元）</w:t>
            </w:r>
          </w:p>
        </w:tc>
        <w:tc>
          <w:tcPr>
            <w:tcW w:w="2856" w:type="dxa"/>
            <w:vMerge w:val="restart"/>
            <w:tcBorders>
              <w:top w:val="single" w:color="auto" w:sz="4" w:space="0"/>
              <w:left w:val="single" w:color="auto" w:sz="4" w:space="0"/>
              <w:bottom w:val="single" w:color="auto" w:sz="4" w:space="0"/>
              <w:right w:val="single" w:color="auto" w:sz="4" w:space="0"/>
            </w:tcBorders>
            <w:vAlign w:val="center"/>
          </w:tcPr>
          <w:p w14:paraId="78175D26">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采购人联系人及</w:t>
            </w:r>
          </w:p>
          <w:p w14:paraId="3B84BB2C">
            <w:pPr>
              <w:snapToGrid w:val="0"/>
              <w:spacing w:line="240" w:lineRule="exact"/>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联系电话</w:t>
            </w:r>
          </w:p>
        </w:tc>
      </w:tr>
      <w:tr w14:paraId="18707E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6DFE4ED0">
            <w:pPr>
              <w:jc w:val="left"/>
              <w:rPr>
                <w:rFonts w:hint="eastAsia" w:ascii="宋体" w:hAnsi="宋体"/>
                <w:color w:val="000000" w:themeColor="text1"/>
                <w:sz w:val="24"/>
                <w:highlight w:val="none"/>
                <w14:textFill>
                  <w14:solidFill>
                    <w14:schemeClr w14:val="tx1"/>
                  </w14:solidFill>
                </w14:textFill>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029ED160">
            <w:pPr>
              <w:jc w:val="left"/>
              <w:rPr>
                <w:rFonts w:hint="eastAsia" w:ascii="宋体" w:hAnsi="宋体"/>
                <w:color w:val="000000" w:themeColor="text1"/>
                <w:sz w:val="24"/>
                <w:highlight w:val="none"/>
                <w14:textFill>
                  <w14:solidFill>
                    <w14:schemeClr w14:val="tx1"/>
                  </w14:solidFill>
                </w14:textFill>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398EB989">
            <w:pPr>
              <w:jc w:val="left"/>
              <w:rPr>
                <w:rFonts w:hint="eastAsia" w:ascii="宋体" w:hAnsi="宋体"/>
                <w:color w:val="000000" w:themeColor="text1"/>
                <w:sz w:val="24"/>
                <w:highlight w:val="none"/>
                <w14:textFill>
                  <w14:solidFill>
                    <w14:schemeClr w14:val="tx1"/>
                  </w14:solidFill>
                </w14:textFill>
              </w:rPr>
            </w:pPr>
          </w:p>
        </w:tc>
        <w:tc>
          <w:tcPr>
            <w:tcW w:w="2856" w:type="dxa"/>
            <w:vMerge w:val="continue"/>
            <w:tcBorders>
              <w:top w:val="single" w:color="auto" w:sz="4" w:space="0"/>
              <w:left w:val="single" w:color="auto" w:sz="4" w:space="0"/>
              <w:bottom w:val="single" w:color="auto" w:sz="4" w:space="0"/>
              <w:right w:val="single" w:color="auto" w:sz="4" w:space="0"/>
            </w:tcBorders>
            <w:vAlign w:val="center"/>
          </w:tcPr>
          <w:p w14:paraId="607E8B8E">
            <w:pPr>
              <w:jc w:val="left"/>
              <w:rPr>
                <w:rFonts w:hint="eastAsia" w:ascii="宋体" w:hAnsi="宋体"/>
                <w:color w:val="000000" w:themeColor="text1"/>
                <w:sz w:val="24"/>
                <w:highlight w:val="none"/>
                <w14:textFill>
                  <w14:solidFill>
                    <w14:schemeClr w14:val="tx1"/>
                  </w14:solidFill>
                </w14:textFill>
              </w:rPr>
            </w:pPr>
          </w:p>
        </w:tc>
      </w:tr>
      <w:tr w14:paraId="68EE8D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vAlign w:val="top"/>
          </w:tcPr>
          <w:p w14:paraId="52C37EE2">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vAlign w:val="top"/>
          </w:tcPr>
          <w:p w14:paraId="3962FBFD">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vAlign w:val="top"/>
          </w:tcPr>
          <w:p w14:paraId="1E439113">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c>
          <w:tcPr>
            <w:tcW w:w="2856" w:type="dxa"/>
            <w:tcBorders>
              <w:top w:val="single" w:color="auto" w:sz="4" w:space="0"/>
              <w:left w:val="single" w:color="auto" w:sz="4" w:space="0"/>
              <w:bottom w:val="single" w:color="auto" w:sz="4" w:space="0"/>
              <w:right w:val="single" w:color="auto" w:sz="4" w:space="0"/>
            </w:tcBorders>
            <w:vAlign w:val="top"/>
          </w:tcPr>
          <w:p w14:paraId="28BC8441">
            <w:pPr>
              <w:snapToGrid w:val="0"/>
              <w:spacing w:line="240" w:lineRule="exact"/>
              <w:jc w:val="left"/>
              <w:rPr>
                <w:rFonts w:hint="eastAsia" w:ascii="宋体" w:hAnsi="宋体"/>
                <w:color w:val="000000" w:themeColor="text1"/>
                <w:sz w:val="24"/>
                <w:highlight w:val="none"/>
                <w14:textFill>
                  <w14:solidFill>
                    <w14:schemeClr w14:val="tx1"/>
                  </w14:solidFill>
                </w14:textFill>
              </w:rPr>
            </w:pPr>
          </w:p>
        </w:tc>
      </w:tr>
      <w:tr w14:paraId="7AD464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vAlign w:val="top"/>
          </w:tcPr>
          <w:p w14:paraId="23EEFC52">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vAlign w:val="top"/>
          </w:tcPr>
          <w:p w14:paraId="4AAC1207">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vAlign w:val="top"/>
          </w:tcPr>
          <w:p w14:paraId="6BC05A8B">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2856" w:type="dxa"/>
            <w:tcBorders>
              <w:top w:val="single" w:color="auto" w:sz="4" w:space="0"/>
              <w:left w:val="single" w:color="auto" w:sz="4" w:space="0"/>
              <w:bottom w:val="single" w:color="auto" w:sz="4" w:space="0"/>
              <w:right w:val="single" w:color="auto" w:sz="4" w:space="0"/>
            </w:tcBorders>
            <w:vAlign w:val="top"/>
          </w:tcPr>
          <w:p w14:paraId="708EAB7A">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03155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vAlign w:val="top"/>
          </w:tcPr>
          <w:p w14:paraId="14FE31F9">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vAlign w:val="top"/>
          </w:tcPr>
          <w:p w14:paraId="5E0AD8C2">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vAlign w:val="top"/>
          </w:tcPr>
          <w:p w14:paraId="70EA779E">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2856" w:type="dxa"/>
            <w:tcBorders>
              <w:top w:val="single" w:color="auto" w:sz="4" w:space="0"/>
              <w:left w:val="single" w:color="auto" w:sz="4" w:space="0"/>
              <w:bottom w:val="single" w:color="auto" w:sz="4" w:space="0"/>
              <w:right w:val="single" w:color="auto" w:sz="4" w:space="0"/>
            </w:tcBorders>
            <w:vAlign w:val="top"/>
          </w:tcPr>
          <w:p w14:paraId="20CAAF42">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73B5BA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vAlign w:val="top"/>
          </w:tcPr>
          <w:p w14:paraId="0A68E424">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vAlign w:val="top"/>
          </w:tcPr>
          <w:p w14:paraId="63065A5C">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vAlign w:val="top"/>
          </w:tcPr>
          <w:p w14:paraId="38785903">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2856" w:type="dxa"/>
            <w:tcBorders>
              <w:top w:val="single" w:color="auto" w:sz="4" w:space="0"/>
              <w:left w:val="single" w:color="auto" w:sz="4" w:space="0"/>
              <w:bottom w:val="single" w:color="auto" w:sz="4" w:space="0"/>
              <w:right w:val="single" w:color="auto" w:sz="4" w:space="0"/>
            </w:tcBorders>
            <w:vAlign w:val="top"/>
          </w:tcPr>
          <w:p w14:paraId="73E17578">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r w14:paraId="075570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vAlign w:val="top"/>
          </w:tcPr>
          <w:p w14:paraId="6C473A8A">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vAlign w:val="top"/>
          </w:tcPr>
          <w:p w14:paraId="24186DBD">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1770" w:type="dxa"/>
            <w:tcBorders>
              <w:top w:val="single" w:color="auto" w:sz="4" w:space="0"/>
              <w:left w:val="single" w:color="auto" w:sz="4" w:space="0"/>
              <w:bottom w:val="single" w:color="auto" w:sz="4" w:space="0"/>
              <w:right w:val="single" w:color="auto" w:sz="4" w:space="0"/>
            </w:tcBorders>
            <w:vAlign w:val="top"/>
          </w:tcPr>
          <w:p w14:paraId="7AAA1B58">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c>
          <w:tcPr>
            <w:tcW w:w="2856" w:type="dxa"/>
            <w:tcBorders>
              <w:top w:val="single" w:color="auto" w:sz="4" w:space="0"/>
              <w:left w:val="single" w:color="auto" w:sz="4" w:space="0"/>
              <w:bottom w:val="single" w:color="auto" w:sz="4" w:space="0"/>
              <w:right w:val="single" w:color="auto" w:sz="4" w:space="0"/>
            </w:tcBorders>
            <w:vAlign w:val="top"/>
          </w:tcPr>
          <w:p w14:paraId="5C568D1A">
            <w:pPr>
              <w:snapToGrid w:val="0"/>
              <w:spacing w:before="50" w:after="120" w:afterLines="50" w:line="400" w:lineRule="exact"/>
              <w:jc w:val="left"/>
              <w:rPr>
                <w:rFonts w:hint="eastAsia" w:ascii="宋体" w:hAnsi="宋体"/>
                <w:color w:val="000000" w:themeColor="text1"/>
                <w:sz w:val="24"/>
                <w:highlight w:val="none"/>
                <w14:textFill>
                  <w14:solidFill>
                    <w14:schemeClr w14:val="tx1"/>
                  </w14:solidFill>
                </w14:textFill>
              </w:rPr>
            </w:pPr>
          </w:p>
        </w:tc>
      </w:tr>
    </w:tbl>
    <w:p w14:paraId="0441ADF0">
      <w:pPr>
        <w:pStyle w:val="15"/>
        <w:spacing w:before="0" w:after="0" w:line="360" w:lineRule="auto"/>
        <w:contextualSpacing/>
        <w:rPr>
          <w:rFonts w:hint="eastAsia" w:ascii="宋体" w:hAnsi="宋体" w:eastAsia="宋体"/>
          <w:color w:val="000000" w:themeColor="text1"/>
          <w:sz w:val="24"/>
          <w:szCs w:val="24"/>
          <w:highlight w:val="none"/>
          <w14:textFill>
            <w14:solidFill>
              <w14:schemeClr w14:val="tx1"/>
            </w14:solidFill>
          </w14:textFill>
        </w:rPr>
      </w:pPr>
    </w:p>
    <w:p w14:paraId="3F33AA25">
      <w:pPr>
        <w:pStyle w:val="15"/>
        <w:spacing w:before="0" w:after="0" w:line="360" w:lineRule="auto"/>
        <w:contextualSpacing/>
        <w:rPr>
          <w:rFonts w:hint="eastAsia" w:ascii="宋体" w:hAnsi="宋体" w:eastAsia="宋体"/>
          <w:color w:val="000000" w:themeColor="text1"/>
          <w:sz w:val="24"/>
          <w:szCs w:val="24"/>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注：</w:t>
      </w:r>
      <w:r>
        <w:rPr>
          <w:rFonts w:hint="eastAsia" w:ascii="宋体" w:hAnsi="宋体"/>
          <w:color w:val="000000" w:themeColor="text1"/>
          <w:sz w:val="24"/>
          <w:highlight w:val="none"/>
          <w14:textFill>
            <w14:solidFill>
              <w14:schemeClr w14:val="tx1"/>
            </w14:solidFill>
          </w14:textFill>
        </w:rPr>
        <w:t>投标人根据评标标准具体要求附业绩证明材料。</w:t>
      </w:r>
    </w:p>
    <w:p w14:paraId="75838AEE">
      <w:pPr>
        <w:pStyle w:val="15"/>
        <w:spacing w:before="0" w:after="0" w:line="360" w:lineRule="auto"/>
        <w:contextualSpacing/>
        <w:jc w:val="left"/>
        <w:rPr>
          <w:rFonts w:hint="eastAsia" w:ascii="宋体" w:hAnsi="宋体" w:eastAsia="宋体"/>
          <w:color w:val="000000" w:themeColor="text1"/>
          <w:sz w:val="24"/>
          <w:szCs w:val="24"/>
          <w:highlight w:val="none"/>
          <w:u w:val="singl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法定代表人或者委托代理人（签字）：</w:t>
      </w:r>
      <w:r>
        <w:rPr>
          <w:rFonts w:hint="eastAsia" w:ascii="宋体" w:hAnsi="宋体" w:eastAsia="宋体"/>
          <w:color w:val="000000" w:themeColor="text1"/>
          <w:sz w:val="24"/>
          <w:szCs w:val="24"/>
          <w:highlight w:val="none"/>
          <w:u w:val="single"/>
          <w14:textFill>
            <w14:solidFill>
              <w14:schemeClr w14:val="tx1"/>
            </w14:solidFill>
          </w14:textFill>
        </w:rPr>
        <w:t>　　　　　</w:t>
      </w:r>
    </w:p>
    <w:p w14:paraId="29D94C40">
      <w:pPr>
        <w:spacing w:line="360" w:lineRule="auto"/>
        <w:ind w:right="480"/>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s="Arial"/>
          <w:color w:val="000000" w:themeColor="text1"/>
          <w:sz w:val="24"/>
          <w:highlight w:val="none"/>
          <w:lang w:eastAsia="zh-CN"/>
          <w14:textFill>
            <w14:solidFill>
              <w14:schemeClr w14:val="tx1"/>
            </w14:solidFill>
          </w14:textFill>
        </w:rPr>
        <w:t>投标人名称（电子签章）：</w:t>
      </w:r>
      <w:r>
        <w:rPr>
          <w:rFonts w:hint="eastAsia" w:ascii="宋体" w:hAnsi="宋体" w:cs="Arial"/>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 xml:space="preserve">                                                              年    月    日</w:t>
      </w:r>
    </w:p>
    <w:p w14:paraId="78E1E0BA">
      <w:pPr>
        <w:snapToGrid w:val="0"/>
        <w:spacing w:before="50"/>
        <w:ind w:firstLine="480" w:firstLineChars="200"/>
        <w:jc w:val="left"/>
        <w:rPr>
          <w:rFonts w:hint="eastAsia" w:ascii="宋体" w:hAnsi="宋体"/>
          <w:color w:val="000000" w:themeColor="text1"/>
          <w:sz w:val="24"/>
          <w:szCs w:val="20"/>
          <w:highlight w:val="none"/>
          <w14:textFill>
            <w14:solidFill>
              <w14:schemeClr w14:val="tx1"/>
            </w14:solidFill>
          </w14:textFill>
        </w:rPr>
      </w:pPr>
    </w:p>
    <w:p w14:paraId="1C238862">
      <w:pPr>
        <w:snapToGrid w:val="0"/>
        <w:spacing w:before="50"/>
        <w:jc w:val="left"/>
        <w:rPr>
          <w:rFonts w:hint="eastAsia" w:ascii="宋体" w:hAnsi="宋体"/>
          <w:color w:val="000000" w:themeColor="text1"/>
          <w:sz w:val="24"/>
          <w:highlight w:val="none"/>
          <w14:textFill>
            <w14:solidFill>
              <w14:schemeClr w14:val="tx1"/>
            </w14:solidFill>
          </w14:textFill>
        </w:rPr>
      </w:pPr>
    </w:p>
    <w:p w14:paraId="2BAB5B16">
      <w:pPr>
        <w:snapToGrid w:val="0"/>
        <w:spacing w:before="120" w:beforeLines="50"/>
        <w:rPr>
          <w:rFonts w:ascii="宋体" w:hAnsi="宋体"/>
          <w:color w:val="000000" w:themeColor="text1"/>
          <w:sz w:val="24"/>
          <w:szCs w:val="20"/>
          <w:highlight w:val="none"/>
          <w14:textFill>
            <w14:solidFill>
              <w14:schemeClr w14:val="tx1"/>
            </w14:solidFill>
          </w14:textFill>
        </w:rPr>
        <w:sectPr>
          <w:pgSz w:w="11906" w:h="16838"/>
          <w:pgMar w:top="1440" w:right="1797" w:bottom="1440" w:left="1797" w:header="851" w:footer="992" w:gutter="0"/>
          <w:cols w:space="720" w:num="1"/>
          <w:docGrid w:linePitch="312" w:charSpace="0"/>
        </w:sectPr>
      </w:pPr>
    </w:p>
    <w:p w14:paraId="3E1CD482">
      <w:pPr>
        <w:rPr>
          <w:rFonts w:hint="eastAsia"/>
          <w:b/>
          <w:color w:val="000000" w:themeColor="text1"/>
          <w:sz w:val="28"/>
          <w:szCs w:val="28"/>
          <w:highlight w:val="none"/>
          <w14:textFill>
            <w14:solidFill>
              <w14:schemeClr w14:val="tx1"/>
            </w14:solidFill>
          </w14:textFill>
        </w:rPr>
      </w:pPr>
      <w:r>
        <w:rPr>
          <w:rFonts w:hint="eastAsia"/>
          <w:b/>
          <w:color w:val="000000" w:themeColor="text1"/>
          <w:sz w:val="28"/>
          <w:szCs w:val="28"/>
          <w:highlight w:val="none"/>
          <w14:textFill>
            <w14:solidFill>
              <w14:schemeClr w14:val="tx1"/>
            </w14:solidFill>
          </w14:textFill>
        </w:rPr>
        <w:t>四、技术文件格式</w:t>
      </w:r>
    </w:p>
    <w:p w14:paraId="4F2C1C26">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1. 技术文件封面格式： </w:t>
      </w:r>
    </w:p>
    <w:p w14:paraId="35AB45D6">
      <w:pPr>
        <w:snapToGrid w:val="0"/>
        <w:spacing w:before="120" w:beforeLines="50" w:after="50"/>
        <w:rPr>
          <w:rFonts w:hint="eastAsia" w:ascii="宋体" w:hAnsi="宋体"/>
          <w:b/>
          <w:bCs/>
          <w:color w:val="000000" w:themeColor="text1"/>
          <w:sz w:val="32"/>
          <w:szCs w:val="20"/>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26E44F95">
      <w:pPr>
        <w:keepNext/>
        <w:keepLines/>
        <w:snapToGrid w:val="0"/>
        <w:spacing w:line="360" w:lineRule="auto"/>
        <w:ind w:firstLine="840" w:firstLineChars="300"/>
        <w:jc w:val="right"/>
        <w:rPr>
          <w:rFonts w:ascii="宋体" w:hAnsi="宋体" w:cs="宋体"/>
          <w:bCs/>
          <w:color w:val="000000" w:themeColor="text1"/>
          <w:sz w:val="28"/>
          <w:szCs w:val="28"/>
          <w:highlight w:val="none"/>
          <w14:textFill>
            <w14:solidFill>
              <w14:schemeClr w14:val="tx1"/>
            </w14:solidFill>
          </w14:textFill>
        </w:rPr>
      </w:pPr>
      <w:r>
        <w:rPr>
          <w:rFonts w:hint="eastAsia" w:ascii="宋体" w:hAnsi="宋体" w:cs="宋体"/>
          <w:bCs/>
          <w:color w:val="000000" w:themeColor="text1"/>
          <w:sz w:val="28"/>
          <w:szCs w:val="28"/>
          <w:highlight w:val="none"/>
          <w14:textFill>
            <w14:solidFill>
              <w14:schemeClr w14:val="tx1"/>
            </w14:solidFill>
          </w14:textFill>
        </w:rPr>
        <w:t>电子投标文件</w:t>
      </w:r>
    </w:p>
    <w:p w14:paraId="555DF83B">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686803FA">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090E6A97">
      <w:pPr>
        <w:snapToGrid w:val="0"/>
        <w:spacing w:before="120" w:beforeLines="50" w:after="50"/>
        <w:jc w:val="center"/>
        <w:rPr>
          <w:rFonts w:hint="eastAsia" w:ascii="宋体" w:hAnsi="宋体" w:cs="方正小标宋简体"/>
          <w:color w:val="000000" w:themeColor="text1"/>
          <w:sz w:val="84"/>
          <w:szCs w:val="84"/>
          <w:highlight w:val="none"/>
          <w14:textFill>
            <w14:solidFill>
              <w14:schemeClr w14:val="tx1"/>
            </w14:solidFill>
          </w14:textFill>
        </w:rPr>
      </w:pPr>
      <w:r>
        <w:rPr>
          <w:rFonts w:hint="eastAsia" w:ascii="宋体" w:hAnsi="宋体" w:cs="方正小标宋简体"/>
          <w:color w:val="000000" w:themeColor="text1"/>
          <w:sz w:val="84"/>
          <w:szCs w:val="84"/>
          <w:highlight w:val="none"/>
          <w14:textFill>
            <w14:solidFill>
              <w14:schemeClr w14:val="tx1"/>
            </w14:solidFill>
          </w14:textFill>
        </w:rPr>
        <w:t>投  标  文  件</w:t>
      </w:r>
    </w:p>
    <w:p w14:paraId="0E36C1E7">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2D188828">
      <w:pPr>
        <w:snapToGrid w:val="0"/>
        <w:spacing w:before="120" w:beforeLines="50" w:after="50"/>
        <w:rPr>
          <w:rFonts w:hint="eastAsia" w:ascii="宋体" w:hAnsi="宋体"/>
          <w:color w:val="000000" w:themeColor="text1"/>
          <w:sz w:val="24"/>
          <w:szCs w:val="20"/>
          <w:highlight w:val="none"/>
          <w14:textFill>
            <w14:solidFill>
              <w14:schemeClr w14:val="tx1"/>
            </w14:solidFill>
          </w14:textFill>
        </w:rPr>
      </w:pPr>
    </w:p>
    <w:p w14:paraId="49D5B79D">
      <w:pPr>
        <w:snapToGrid w:val="0"/>
        <w:spacing w:before="120" w:beforeLines="50" w:after="50"/>
        <w:jc w:val="cente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技  术  文  件</w:t>
      </w:r>
    </w:p>
    <w:p w14:paraId="5D3527D1">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1FE946B8">
      <w:pPr>
        <w:snapToGrid w:val="0"/>
        <w:spacing w:before="120" w:beforeLines="50" w:after="50"/>
        <w:rPr>
          <w:rFonts w:hint="eastAsia" w:ascii="宋体" w:hAnsi="宋体"/>
          <w:bCs/>
          <w:color w:val="000000" w:themeColor="text1"/>
          <w:sz w:val="24"/>
          <w:szCs w:val="20"/>
          <w:highlight w:val="none"/>
          <w14:textFill>
            <w14:solidFill>
              <w14:schemeClr w14:val="tx1"/>
            </w14:solidFill>
          </w14:textFill>
        </w:rPr>
      </w:pPr>
    </w:p>
    <w:p w14:paraId="42D00B0A">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项目名称： </w:t>
      </w:r>
    </w:p>
    <w:p w14:paraId="6E6F9032">
      <w:pPr>
        <w:snapToGrid w:val="0"/>
        <w:spacing w:before="120" w:beforeLines="50" w:after="50" w:line="400" w:lineRule="exact"/>
        <w:ind w:firstLine="360" w:firstLineChars="150"/>
        <w:rPr>
          <w:rFonts w:hint="eastAsia" w:ascii="宋体" w:hAnsi="宋体"/>
          <w:bCs/>
          <w:color w:val="000000" w:themeColor="text1"/>
          <w:sz w:val="24"/>
          <w:szCs w:val="20"/>
          <w:highlight w:val="none"/>
          <w14:textFill>
            <w14:solidFill>
              <w14:schemeClr w14:val="tx1"/>
            </w14:solidFill>
          </w14:textFill>
        </w:rPr>
      </w:pPr>
    </w:p>
    <w:p w14:paraId="15C40846">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项目编号： </w:t>
      </w:r>
    </w:p>
    <w:p w14:paraId="6486472F">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62415C33">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所投分标：</w:t>
      </w:r>
    </w:p>
    <w:p w14:paraId="5EED3C4E">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2465DE3B">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投标人名称：</w:t>
      </w:r>
    </w:p>
    <w:p w14:paraId="3CC1C6E1">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315B3636">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投标人地址：</w:t>
      </w:r>
    </w:p>
    <w:p w14:paraId="0A76B0BB">
      <w:pPr>
        <w:snapToGrid w:val="0"/>
        <w:spacing w:before="120" w:beforeLines="50" w:after="50" w:line="400" w:lineRule="exact"/>
        <w:ind w:firstLine="360" w:firstLineChars="150"/>
        <w:rPr>
          <w:rFonts w:hint="eastAsia" w:ascii="宋体" w:hAnsi="宋体"/>
          <w:bCs/>
          <w:color w:val="000000" w:themeColor="text1"/>
          <w:sz w:val="24"/>
          <w:highlight w:val="none"/>
          <w14:textFill>
            <w14:solidFill>
              <w14:schemeClr w14:val="tx1"/>
            </w14:solidFill>
          </w14:textFill>
        </w:rPr>
      </w:pPr>
    </w:p>
    <w:p w14:paraId="17473F21">
      <w:pPr>
        <w:snapToGrid w:val="0"/>
        <w:spacing w:before="120" w:beforeLines="50" w:after="50"/>
        <w:ind w:firstLine="645"/>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5956C6A4">
      <w:pPr>
        <w:snapToGrid w:val="0"/>
        <w:spacing w:before="120" w:beforeLines="50" w:after="50"/>
        <w:ind w:firstLine="645"/>
        <w:jc w:val="center"/>
        <w:rPr>
          <w:rFonts w:hint="eastAsia" w:ascii="宋体" w:hAnsi="宋体"/>
          <w:color w:val="000000" w:themeColor="text1"/>
          <w:sz w:val="24"/>
          <w:highlight w:val="none"/>
          <w14:textFill>
            <w14:solidFill>
              <w14:schemeClr w14:val="tx1"/>
            </w14:solidFill>
          </w14:textFill>
        </w:rPr>
      </w:pPr>
    </w:p>
    <w:p w14:paraId="11D1CFF8">
      <w:pPr>
        <w:snapToGrid w:val="0"/>
        <w:spacing w:before="120" w:beforeLines="50" w:after="50"/>
        <w:ind w:firstLine="645"/>
        <w:jc w:val="center"/>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    月    日</w:t>
      </w:r>
    </w:p>
    <w:p w14:paraId="1ACB6FC7">
      <w:pPr>
        <w:snapToGrid w:val="0"/>
        <w:spacing w:before="120" w:beforeLines="50" w:after="50"/>
        <w:ind w:firstLine="645"/>
        <w:jc w:val="center"/>
        <w:rPr>
          <w:rFonts w:hint="eastAsia" w:ascii="宋体" w:hAnsi="宋体"/>
          <w:color w:val="000000" w:themeColor="text1"/>
          <w:sz w:val="24"/>
          <w:szCs w:val="20"/>
          <w:highlight w:val="none"/>
          <w14:textFill>
            <w14:solidFill>
              <w14:schemeClr w14:val="tx1"/>
            </w14:solidFill>
          </w14:textFill>
        </w:rPr>
      </w:pPr>
    </w:p>
    <w:p w14:paraId="4A4765A4">
      <w:pPr>
        <w:snapToGrid w:val="0"/>
        <w:spacing w:before="120" w:beforeLines="50" w:after="50"/>
        <w:ind w:left="142"/>
        <w:jc w:val="left"/>
        <w:rPr>
          <w:rFonts w:hint="eastAsia" w:ascii="宋体" w:hAnsi="宋体"/>
          <w:b/>
          <w:bCs/>
          <w:color w:val="000000" w:themeColor="text1"/>
          <w:sz w:val="24"/>
          <w:highlight w:val="none"/>
          <w14:textFill>
            <w14:solidFill>
              <w14:schemeClr w14:val="tx1"/>
            </w14:solidFill>
          </w14:textFill>
        </w:rPr>
      </w:pPr>
      <w:r>
        <w:rPr>
          <w:rFonts w:ascii="宋体" w:hAnsi="宋体"/>
          <w:b/>
          <w:bCs/>
          <w:color w:val="000000" w:themeColor="text1"/>
          <w:sz w:val="24"/>
          <w:highlight w:val="none"/>
          <w14:textFill>
            <w14:solidFill>
              <w14:schemeClr w14:val="tx1"/>
            </w14:solidFill>
          </w14:textFill>
        </w:rPr>
        <w:br w:type="page"/>
      </w:r>
      <w:r>
        <w:rPr>
          <w:rFonts w:hint="eastAsia" w:ascii="宋体" w:hAnsi="宋体"/>
          <w:b/>
          <w:bCs/>
          <w:color w:val="000000" w:themeColor="text1"/>
          <w:sz w:val="24"/>
          <w:highlight w:val="none"/>
          <w14:textFill>
            <w14:solidFill>
              <w14:schemeClr w14:val="tx1"/>
            </w14:solidFill>
          </w14:textFill>
        </w:rPr>
        <w:t>2.技术文件目录</w:t>
      </w:r>
    </w:p>
    <w:p w14:paraId="358AEE75">
      <w:pPr>
        <w:snapToGrid w:val="0"/>
        <w:spacing w:before="50" w:after="120" w:afterLines="50" w:line="360" w:lineRule="auto"/>
        <w:ind w:firstLine="480" w:firstLineChars="200"/>
        <w:jc w:val="left"/>
        <w:rPr>
          <w:rFonts w:hint="eastAsia"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根据招标文件规定及投标人提供的材料自行编写目录。</w:t>
      </w:r>
    </w:p>
    <w:p w14:paraId="555D1F99">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 技术响应文件格式</w:t>
      </w:r>
    </w:p>
    <w:p w14:paraId="27C25999">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5E7AB76D">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技术响应文件</w:t>
      </w:r>
    </w:p>
    <w:p w14:paraId="33CB9837">
      <w:pPr>
        <w:pStyle w:val="26"/>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w:t>
      </w:r>
    </w:p>
    <w:tbl>
      <w:tblPr>
        <w:tblStyle w:val="53"/>
        <w:tblW w:w="9889" w:type="dxa"/>
        <w:tblInd w:w="11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4"/>
        <w:gridCol w:w="7909"/>
        <w:gridCol w:w="1276"/>
      </w:tblGrid>
      <w:tr w14:paraId="448BA9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4" w:type="dxa"/>
            <w:vAlign w:val="center"/>
          </w:tcPr>
          <w:p w14:paraId="560C4DF2">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7909" w:type="dxa"/>
            <w:vAlign w:val="center"/>
          </w:tcPr>
          <w:p w14:paraId="5F4010E3">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投标文件具体响应内容</w:t>
            </w:r>
          </w:p>
        </w:tc>
        <w:tc>
          <w:tcPr>
            <w:tcW w:w="1276" w:type="dxa"/>
            <w:vAlign w:val="center"/>
          </w:tcPr>
          <w:p w14:paraId="4BCEAC3F">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偏离说明</w:t>
            </w:r>
          </w:p>
        </w:tc>
      </w:tr>
      <w:tr w14:paraId="5271F0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89" w:type="dxa"/>
            <w:gridSpan w:val="3"/>
            <w:vAlign w:val="top"/>
          </w:tcPr>
          <w:p w14:paraId="7E8C6632">
            <w:pPr>
              <w:keepNext/>
              <w:keepLines/>
              <w:spacing w:line="300" w:lineRule="auto"/>
              <w:outlineLvl w:val="0"/>
              <w:rPr>
                <w:rFonts w:ascii="宋体" w:hAnsi="宋体"/>
                <w:color w:val="000000" w:themeColor="text1"/>
                <w:szCs w:val="21"/>
                <w:highlight w:val="none"/>
                <w14:textFill>
                  <w14:solidFill>
                    <w14:schemeClr w14:val="tx1"/>
                  </w14:solidFill>
                </w14:textFill>
              </w:rPr>
            </w:pPr>
            <w:bookmarkStart w:id="192" w:name="_Toc1257"/>
            <w:r>
              <w:rPr>
                <w:rFonts w:hint="eastAsia" w:ascii="宋体" w:hAnsi="宋体" w:cs="宋体"/>
                <w:b/>
                <w:bCs/>
                <w:color w:val="000000" w:themeColor="text1"/>
                <w:kern w:val="44"/>
                <w:sz w:val="24"/>
                <w:highlight w:val="none"/>
                <w14:textFill>
                  <w14:solidFill>
                    <w14:schemeClr w14:val="tx1"/>
                  </w14:solidFill>
                </w14:textFill>
              </w:rPr>
              <w:t>一</w:t>
            </w:r>
            <w:r>
              <w:rPr>
                <w:rFonts w:ascii="宋体" w:hAnsi="宋体" w:cs="宋体"/>
                <w:b/>
                <w:bCs/>
                <w:color w:val="000000" w:themeColor="text1"/>
                <w:kern w:val="44"/>
                <w:sz w:val="24"/>
                <w:highlight w:val="none"/>
                <w14:textFill>
                  <w14:solidFill>
                    <w14:schemeClr w14:val="tx1"/>
                  </w14:solidFill>
                </w14:textFill>
              </w:rPr>
              <w:t>、</w:t>
            </w:r>
            <w:r>
              <w:rPr>
                <w:rFonts w:hint="eastAsia" w:ascii="宋体" w:hAnsi="宋体" w:cs="宋体"/>
                <w:b/>
                <w:bCs/>
                <w:color w:val="000000" w:themeColor="text1"/>
                <w:kern w:val="44"/>
                <w:sz w:val="24"/>
                <w:highlight w:val="none"/>
                <w14:textFill>
                  <w14:solidFill>
                    <w14:schemeClr w14:val="tx1"/>
                  </w14:solidFill>
                </w14:textFill>
              </w:rPr>
              <w:t>项目概述</w:t>
            </w:r>
            <w:bookmarkEnd w:id="192"/>
          </w:p>
        </w:tc>
      </w:tr>
      <w:tr w14:paraId="29EE01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4" w:type="dxa"/>
            <w:vAlign w:val="center"/>
          </w:tcPr>
          <w:p w14:paraId="4E94E2B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909" w:type="dxa"/>
            <w:vAlign w:val="center"/>
          </w:tcPr>
          <w:p w14:paraId="7D00AC54">
            <w:pPr>
              <w:rPr>
                <w:rFonts w:ascii="宋体" w:hAnsi="宋体"/>
                <w:color w:val="000000" w:themeColor="text1"/>
                <w:szCs w:val="21"/>
                <w:highlight w:val="none"/>
                <w14:textFill>
                  <w14:solidFill>
                    <w14:schemeClr w14:val="tx1"/>
                  </w14:solidFill>
                </w14:textFill>
              </w:rPr>
            </w:pPr>
          </w:p>
        </w:tc>
        <w:tc>
          <w:tcPr>
            <w:tcW w:w="1276" w:type="dxa"/>
            <w:vAlign w:val="center"/>
          </w:tcPr>
          <w:p w14:paraId="4FE13638">
            <w:pPr>
              <w:rPr>
                <w:rFonts w:ascii="宋体" w:hAnsi="宋体"/>
                <w:color w:val="000000" w:themeColor="text1"/>
                <w:szCs w:val="21"/>
                <w:highlight w:val="none"/>
                <w14:textFill>
                  <w14:solidFill>
                    <w14:schemeClr w14:val="tx1"/>
                  </w14:solidFill>
                </w14:textFill>
              </w:rPr>
            </w:pPr>
          </w:p>
        </w:tc>
      </w:tr>
      <w:tr w14:paraId="3DF7CE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89" w:type="dxa"/>
            <w:gridSpan w:val="3"/>
            <w:vAlign w:val="top"/>
          </w:tcPr>
          <w:p w14:paraId="069399D1">
            <w:pPr>
              <w:keepNext/>
              <w:keepLines/>
              <w:spacing w:line="300" w:lineRule="auto"/>
              <w:outlineLvl w:val="0"/>
              <w:rPr>
                <w:rFonts w:ascii="宋体" w:hAnsi="宋体"/>
                <w:color w:val="000000" w:themeColor="text1"/>
                <w:szCs w:val="21"/>
                <w:highlight w:val="none"/>
                <w14:textFill>
                  <w14:solidFill>
                    <w14:schemeClr w14:val="tx1"/>
                  </w14:solidFill>
                </w14:textFill>
              </w:rPr>
            </w:pPr>
            <w:bookmarkStart w:id="193" w:name="_Toc13774"/>
            <w:r>
              <w:rPr>
                <w:rFonts w:hint="eastAsia" w:ascii="宋体" w:hAnsi="宋体" w:cs="宋体"/>
                <w:b/>
                <w:bCs/>
                <w:color w:val="000000" w:themeColor="text1"/>
                <w:kern w:val="44"/>
                <w:sz w:val="24"/>
                <w:highlight w:val="none"/>
                <w14:textFill>
                  <w14:solidFill>
                    <w14:schemeClr w14:val="tx1"/>
                  </w14:solidFill>
                </w14:textFill>
              </w:rPr>
              <w:t>二</w:t>
            </w:r>
            <w:r>
              <w:rPr>
                <w:rFonts w:ascii="宋体" w:hAnsi="宋体" w:cs="宋体"/>
                <w:b/>
                <w:bCs/>
                <w:color w:val="000000" w:themeColor="text1"/>
                <w:kern w:val="44"/>
                <w:sz w:val="24"/>
                <w:highlight w:val="none"/>
                <w14:textFill>
                  <w14:solidFill>
                    <w14:schemeClr w14:val="tx1"/>
                  </w14:solidFill>
                </w14:textFill>
              </w:rPr>
              <w:t>、</w:t>
            </w:r>
            <w:r>
              <w:rPr>
                <w:rFonts w:hint="eastAsia" w:ascii="宋体" w:hAnsi="宋体" w:cs="宋体"/>
                <w:b/>
                <w:bCs/>
                <w:color w:val="000000" w:themeColor="text1"/>
                <w:kern w:val="44"/>
                <w:sz w:val="24"/>
                <w:highlight w:val="none"/>
                <w14:textFill>
                  <w14:solidFill>
                    <w14:schemeClr w14:val="tx1"/>
                  </w14:solidFill>
                </w14:textFill>
              </w:rPr>
              <w:t>服务内容</w:t>
            </w:r>
            <w:bookmarkEnd w:id="193"/>
          </w:p>
        </w:tc>
      </w:tr>
      <w:tr w14:paraId="0633FEE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4" w:type="dxa"/>
            <w:vAlign w:val="center"/>
          </w:tcPr>
          <w:p w14:paraId="32BEBDD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909" w:type="dxa"/>
            <w:vAlign w:val="center"/>
          </w:tcPr>
          <w:p w14:paraId="24808EC3">
            <w:pPr>
              <w:rPr>
                <w:rFonts w:ascii="宋体" w:hAnsi="宋体"/>
                <w:color w:val="000000" w:themeColor="text1"/>
                <w:szCs w:val="21"/>
                <w:highlight w:val="none"/>
                <w14:textFill>
                  <w14:solidFill>
                    <w14:schemeClr w14:val="tx1"/>
                  </w14:solidFill>
                </w14:textFill>
              </w:rPr>
            </w:pPr>
          </w:p>
        </w:tc>
        <w:tc>
          <w:tcPr>
            <w:tcW w:w="1276" w:type="dxa"/>
            <w:vAlign w:val="center"/>
          </w:tcPr>
          <w:p w14:paraId="31015020">
            <w:pPr>
              <w:rPr>
                <w:rFonts w:ascii="宋体" w:hAnsi="宋体"/>
                <w:color w:val="000000" w:themeColor="text1"/>
                <w:szCs w:val="21"/>
                <w:highlight w:val="none"/>
                <w14:textFill>
                  <w14:solidFill>
                    <w14:schemeClr w14:val="tx1"/>
                  </w14:solidFill>
                </w14:textFill>
              </w:rPr>
            </w:pPr>
          </w:p>
        </w:tc>
      </w:tr>
      <w:tr w14:paraId="7A48DA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89" w:type="dxa"/>
            <w:gridSpan w:val="3"/>
            <w:vAlign w:val="top"/>
          </w:tcPr>
          <w:p w14:paraId="305D7DFD">
            <w:pPr>
              <w:outlineLvl w:val="0"/>
              <w:rPr>
                <w:rFonts w:ascii="宋体" w:hAnsi="宋体"/>
                <w:color w:val="000000" w:themeColor="text1"/>
                <w:szCs w:val="21"/>
                <w:highlight w:val="none"/>
                <w14:textFill>
                  <w14:solidFill>
                    <w14:schemeClr w14:val="tx1"/>
                  </w14:solidFill>
                </w14:textFill>
              </w:rPr>
            </w:pPr>
            <w:bookmarkStart w:id="194" w:name="_Toc20404"/>
            <w:r>
              <w:rPr>
                <w:rFonts w:hint="eastAsia" w:ascii="宋体" w:hAnsi="宋体" w:cs="宋体"/>
                <w:b/>
                <w:bCs/>
                <w:color w:val="000000" w:themeColor="text1"/>
                <w:sz w:val="24"/>
                <w:highlight w:val="none"/>
                <w14:textFill>
                  <w14:solidFill>
                    <w14:schemeClr w14:val="tx1"/>
                  </w14:solidFill>
                </w14:textFill>
              </w:rPr>
              <w:t>三、人员要求</w:t>
            </w:r>
            <w:bookmarkEnd w:id="194"/>
          </w:p>
        </w:tc>
      </w:tr>
      <w:tr w14:paraId="5754C17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704" w:type="dxa"/>
            <w:vAlign w:val="center"/>
          </w:tcPr>
          <w:p w14:paraId="14AA98AE">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909" w:type="dxa"/>
            <w:vAlign w:val="center"/>
          </w:tcPr>
          <w:p w14:paraId="2B87F7CA">
            <w:pPr>
              <w:rPr>
                <w:rFonts w:ascii="宋体" w:hAnsi="宋体"/>
                <w:color w:val="000000" w:themeColor="text1"/>
                <w:szCs w:val="21"/>
                <w:highlight w:val="none"/>
                <w14:textFill>
                  <w14:solidFill>
                    <w14:schemeClr w14:val="tx1"/>
                  </w14:solidFill>
                </w14:textFill>
              </w:rPr>
            </w:pPr>
          </w:p>
        </w:tc>
        <w:tc>
          <w:tcPr>
            <w:tcW w:w="1276" w:type="dxa"/>
            <w:vAlign w:val="center"/>
          </w:tcPr>
          <w:p w14:paraId="638EA03E">
            <w:pPr>
              <w:rPr>
                <w:rFonts w:ascii="宋体" w:hAnsi="宋体"/>
                <w:color w:val="000000" w:themeColor="text1"/>
                <w:szCs w:val="21"/>
                <w:highlight w:val="none"/>
                <w14:textFill>
                  <w14:solidFill>
                    <w14:schemeClr w14:val="tx1"/>
                  </w14:solidFill>
                </w14:textFill>
              </w:rPr>
            </w:pPr>
          </w:p>
        </w:tc>
      </w:tr>
      <w:tr w14:paraId="099A4A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9889" w:type="dxa"/>
            <w:gridSpan w:val="3"/>
            <w:vAlign w:val="center"/>
          </w:tcPr>
          <w:p w14:paraId="003AC194">
            <w:pPr>
              <w:keepNext/>
              <w:keepLines/>
              <w:spacing w:line="300" w:lineRule="auto"/>
              <w:outlineLvl w:val="0"/>
              <w:rPr>
                <w:rFonts w:ascii="宋体" w:hAnsi="宋体"/>
                <w:color w:val="000000" w:themeColor="text1"/>
                <w:szCs w:val="21"/>
                <w:highlight w:val="none"/>
                <w14:textFill>
                  <w14:solidFill>
                    <w14:schemeClr w14:val="tx1"/>
                  </w14:solidFill>
                </w14:textFill>
              </w:rPr>
            </w:pPr>
            <w:bookmarkStart w:id="195" w:name="_Toc10164"/>
            <w:r>
              <w:rPr>
                <w:rFonts w:hint="eastAsia" w:ascii="宋体" w:hAnsi="宋体" w:cs="宋体"/>
                <w:b/>
                <w:bCs/>
                <w:color w:val="000000" w:themeColor="text1"/>
                <w:kern w:val="44"/>
                <w:sz w:val="24"/>
                <w:highlight w:val="none"/>
                <w14:textFill>
                  <w14:solidFill>
                    <w14:schemeClr w14:val="tx1"/>
                  </w14:solidFill>
                </w14:textFill>
              </w:rPr>
              <w:t>四、服务范围</w:t>
            </w:r>
            <w:bookmarkEnd w:id="195"/>
          </w:p>
        </w:tc>
      </w:tr>
      <w:tr w14:paraId="7B5821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4" w:type="dxa"/>
            <w:vAlign w:val="center"/>
          </w:tcPr>
          <w:p w14:paraId="080C858F">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909" w:type="dxa"/>
            <w:vAlign w:val="center"/>
          </w:tcPr>
          <w:p w14:paraId="235D14A5">
            <w:pPr>
              <w:rPr>
                <w:rFonts w:ascii="宋体" w:hAnsi="宋体"/>
                <w:color w:val="000000" w:themeColor="text1"/>
                <w:szCs w:val="21"/>
                <w:highlight w:val="none"/>
                <w14:textFill>
                  <w14:solidFill>
                    <w14:schemeClr w14:val="tx1"/>
                  </w14:solidFill>
                </w14:textFill>
              </w:rPr>
            </w:pPr>
          </w:p>
        </w:tc>
        <w:tc>
          <w:tcPr>
            <w:tcW w:w="1276" w:type="dxa"/>
            <w:vAlign w:val="center"/>
          </w:tcPr>
          <w:p w14:paraId="7AC27E6B">
            <w:pPr>
              <w:rPr>
                <w:rFonts w:ascii="宋体" w:hAnsi="宋体"/>
                <w:color w:val="000000" w:themeColor="text1"/>
                <w:szCs w:val="21"/>
                <w:highlight w:val="none"/>
                <w14:textFill>
                  <w14:solidFill>
                    <w14:schemeClr w14:val="tx1"/>
                  </w14:solidFill>
                </w14:textFill>
              </w:rPr>
            </w:pPr>
          </w:p>
        </w:tc>
      </w:tr>
      <w:tr w14:paraId="25FBF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89" w:type="dxa"/>
            <w:gridSpan w:val="3"/>
            <w:vAlign w:val="center"/>
          </w:tcPr>
          <w:p w14:paraId="4A6FB05B">
            <w:pPr>
              <w:keepNext/>
              <w:keepLines/>
              <w:spacing w:line="300" w:lineRule="auto"/>
              <w:outlineLvl w:val="0"/>
              <w:rPr>
                <w:rFonts w:ascii="宋体" w:hAnsi="宋体"/>
                <w:color w:val="000000" w:themeColor="text1"/>
                <w:szCs w:val="21"/>
                <w:highlight w:val="none"/>
                <w14:textFill>
                  <w14:solidFill>
                    <w14:schemeClr w14:val="tx1"/>
                  </w14:solidFill>
                </w14:textFill>
              </w:rPr>
            </w:pPr>
            <w:bookmarkStart w:id="196" w:name="_Toc27722"/>
            <w:r>
              <w:rPr>
                <w:rFonts w:hint="eastAsia" w:ascii="宋体" w:hAnsi="宋体" w:cs="宋体"/>
                <w:b/>
                <w:bCs/>
                <w:color w:val="000000" w:themeColor="text1"/>
                <w:kern w:val="44"/>
                <w:sz w:val="24"/>
                <w:highlight w:val="none"/>
                <w14:textFill>
                  <w14:solidFill>
                    <w14:schemeClr w14:val="tx1"/>
                  </w14:solidFill>
                </w14:textFill>
              </w:rPr>
              <w:t>五、设备维保要求</w:t>
            </w:r>
            <w:bookmarkEnd w:id="196"/>
          </w:p>
        </w:tc>
      </w:tr>
      <w:tr w14:paraId="149099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4" w:type="dxa"/>
            <w:vAlign w:val="center"/>
          </w:tcPr>
          <w:p w14:paraId="7CF1646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909" w:type="dxa"/>
            <w:vAlign w:val="center"/>
          </w:tcPr>
          <w:p w14:paraId="3499746A">
            <w:pPr>
              <w:rPr>
                <w:rFonts w:ascii="宋体" w:hAnsi="宋体"/>
                <w:color w:val="000000" w:themeColor="text1"/>
                <w:szCs w:val="21"/>
                <w:highlight w:val="none"/>
                <w14:textFill>
                  <w14:solidFill>
                    <w14:schemeClr w14:val="tx1"/>
                  </w14:solidFill>
                </w14:textFill>
              </w:rPr>
            </w:pPr>
          </w:p>
        </w:tc>
        <w:tc>
          <w:tcPr>
            <w:tcW w:w="1276" w:type="dxa"/>
            <w:vAlign w:val="center"/>
          </w:tcPr>
          <w:p w14:paraId="651F16CE">
            <w:pPr>
              <w:rPr>
                <w:rFonts w:ascii="宋体" w:hAnsi="宋体"/>
                <w:color w:val="000000" w:themeColor="text1"/>
                <w:szCs w:val="21"/>
                <w:highlight w:val="none"/>
                <w14:textFill>
                  <w14:solidFill>
                    <w14:schemeClr w14:val="tx1"/>
                  </w14:solidFill>
                </w14:textFill>
              </w:rPr>
            </w:pPr>
          </w:p>
        </w:tc>
      </w:tr>
      <w:tr w14:paraId="66816F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889" w:type="dxa"/>
            <w:gridSpan w:val="3"/>
            <w:vAlign w:val="center"/>
          </w:tcPr>
          <w:p w14:paraId="27644C46">
            <w:pPr>
              <w:keepNext/>
              <w:keepLines/>
              <w:spacing w:line="300" w:lineRule="auto"/>
              <w:outlineLvl w:val="0"/>
              <w:rPr>
                <w:rFonts w:ascii="宋体" w:hAnsi="宋体"/>
                <w:color w:val="000000" w:themeColor="text1"/>
                <w:szCs w:val="21"/>
                <w:highlight w:val="none"/>
                <w14:textFill>
                  <w14:solidFill>
                    <w14:schemeClr w14:val="tx1"/>
                  </w14:solidFill>
                </w14:textFill>
              </w:rPr>
            </w:pPr>
            <w:bookmarkStart w:id="197" w:name="_Toc16314"/>
            <w:r>
              <w:rPr>
                <w:rFonts w:hint="eastAsia" w:ascii="宋体" w:hAnsi="宋体" w:cs="宋体"/>
                <w:b/>
                <w:bCs/>
                <w:color w:val="000000" w:themeColor="text1"/>
                <w:kern w:val="44"/>
                <w:sz w:val="24"/>
                <w:highlight w:val="none"/>
                <w14:textFill>
                  <w14:solidFill>
                    <w14:schemeClr w14:val="tx1"/>
                  </w14:solidFill>
                </w14:textFill>
              </w:rPr>
              <w:t>六、备品备件清单</w:t>
            </w:r>
            <w:bookmarkEnd w:id="197"/>
          </w:p>
        </w:tc>
      </w:tr>
      <w:tr w14:paraId="049A6B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4" w:type="dxa"/>
            <w:vAlign w:val="center"/>
          </w:tcPr>
          <w:p w14:paraId="44F13C81">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909" w:type="dxa"/>
            <w:vAlign w:val="center"/>
          </w:tcPr>
          <w:p w14:paraId="5F9F1211">
            <w:pPr>
              <w:rPr>
                <w:rFonts w:ascii="宋体" w:hAnsi="宋体"/>
                <w:color w:val="000000" w:themeColor="text1"/>
                <w:szCs w:val="21"/>
                <w:highlight w:val="none"/>
                <w14:textFill>
                  <w14:solidFill>
                    <w14:schemeClr w14:val="tx1"/>
                  </w14:solidFill>
                </w14:textFill>
              </w:rPr>
            </w:pPr>
          </w:p>
        </w:tc>
        <w:tc>
          <w:tcPr>
            <w:tcW w:w="1276" w:type="dxa"/>
            <w:vAlign w:val="center"/>
          </w:tcPr>
          <w:p w14:paraId="6EE06967">
            <w:pPr>
              <w:rPr>
                <w:rFonts w:ascii="宋体" w:hAnsi="宋体"/>
                <w:color w:val="000000" w:themeColor="text1"/>
                <w:szCs w:val="21"/>
                <w:highlight w:val="none"/>
                <w14:textFill>
                  <w14:solidFill>
                    <w14:schemeClr w14:val="tx1"/>
                  </w14:solidFill>
                </w14:textFill>
              </w:rPr>
            </w:pPr>
          </w:p>
        </w:tc>
      </w:tr>
      <w:tr w14:paraId="507094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4" w:type="dxa"/>
            <w:vAlign w:val="center"/>
          </w:tcPr>
          <w:p w14:paraId="51CEE6CA">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7909" w:type="dxa"/>
            <w:vAlign w:val="center"/>
          </w:tcPr>
          <w:p w14:paraId="7B688CEB">
            <w:pPr>
              <w:rPr>
                <w:rFonts w:ascii="宋体" w:hAnsi="宋体"/>
                <w:color w:val="000000" w:themeColor="text1"/>
                <w:szCs w:val="21"/>
                <w:highlight w:val="none"/>
                <w14:textFill>
                  <w14:solidFill>
                    <w14:schemeClr w14:val="tx1"/>
                  </w14:solidFill>
                </w14:textFill>
              </w:rPr>
            </w:pPr>
          </w:p>
        </w:tc>
        <w:tc>
          <w:tcPr>
            <w:tcW w:w="1276" w:type="dxa"/>
            <w:vAlign w:val="center"/>
          </w:tcPr>
          <w:p w14:paraId="3B58BAF5">
            <w:pPr>
              <w:rPr>
                <w:rFonts w:ascii="宋体" w:hAnsi="宋体"/>
                <w:color w:val="000000" w:themeColor="text1"/>
                <w:szCs w:val="21"/>
                <w:highlight w:val="none"/>
                <w14:textFill>
                  <w14:solidFill>
                    <w14:schemeClr w14:val="tx1"/>
                  </w14:solidFill>
                </w14:textFill>
              </w:rPr>
            </w:pPr>
          </w:p>
        </w:tc>
      </w:tr>
      <w:tr w14:paraId="2AA5C9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4" w:type="dxa"/>
            <w:vAlign w:val="center"/>
          </w:tcPr>
          <w:p w14:paraId="41C968C1">
            <w:pPr>
              <w:rPr>
                <w:rFonts w:hint="eastAsia" w:ascii="宋体" w:hAnsi="宋体"/>
                <w:color w:val="000000" w:themeColor="text1"/>
                <w:szCs w:val="21"/>
                <w:highlight w:val="none"/>
                <w14:textFill>
                  <w14:solidFill>
                    <w14:schemeClr w14:val="tx1"/>
                  </w14:solidFill>
                </w14:textFill>
              </w:rPr>
            </w:pPr>
          </w:p>
        </w:tc>
        <w:tc>
          <w:tcPr>
            <w:tcW w:w="7909" w:type="dxa"/>
            <w:vAlign w:val="center"/>
          </w:tcPr>
          <w:p w14:paraId="4EAF783D">
            <w:pPr>
              <w:rPr>
                <w:rFonts w:ascii="宋体" w:hAnsi="宋体"/>
                <w:color w:val="000000" w:themeColor="text1"/>
                <w:szCs w:val="21"/>
                <w:highlight w:val="none"/>
                <w14:textFill>
                  <w14:solidFill>
                    <w14:schemeClr w14:val="tx1"/>
                  </w14:solidFill>
                </w14:textFill>
              </w:rPr>
            </w:pPr>
          </w:p>
        </w:tc>
        <w:tc>
          <w:tcPr>
            <w:tcW w:w="1276" w:type="dxa"/>
            <w:vAlign w:val="center"/>
          </w:tcPr>
          <w:p w14:paraId="4F336685">
            <w:pPr>
              <w:rPr>
                <w:rFonts w:ascii="宋体" w:hAnsi="宋体"/>
                <w:color w:val="000000" w:themeColor="text1"/>
                <w:szCs w:val="21"/>
                <w:highlight w:val="none"/>
                <w14:textFill>
                  <w14:solidFill>
                    <w14:schemeClr w14:val="tx1"/>
                  </w14:solidFill>
                </w14:textFill>
              </w:rPr>
            </w:pPr>
          </w:p>
        </w:tc>
      </w:tr>
      <w:tr w14:paraId="3C18F7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704" w:type="dxa"/>
            <w:vAlign w:val="center"/>
          </w:tcPr>
          <w:p w14:paraId="13DA32CE">
            <w:pPr>
              <w:rPr>
                <w:rFonts w:hint="eastAsia" w:ascii="宋体" w:hAnsi="宋体"/>
                <w:color w:val="000000" w:themeColor="text1"/>
                <w:szCs w:val="21"/>
                <w:highlight w:val="none"/>
                <w14:textFill>
                  <w14:solidFill>
                    <w14:schemeClr w14:val="tx1"/>
                  </w14:solidFill>
                </w14:textFill>
              </w:rPr>
            </w:pPr>
          </w:p>
        </w:tc>
        <w:tc>
          <w:tcPr>
            <w:tcW w:w="7909" w:type="dxa"/>
            <w:vAlign w:val="center"/>
          </w:tcPr>
          <w:p w14:paraId="09C0898A">
            <w:pPr>
              <w:rPr>
                <w:rFonts w:ascii="宋体" w:hAnsi="宋体"/>
                <w:color w:val="000000" w:themeColor="text1"/>
                <w:szCs w:val="21"/>
                <w:highlight w:val="none"/>
                <w14:textFill>
                  <w14:solidFill>
                    <w14:schemeClr w14:val="tx1"/>
                  </w14:solidFill>
                </w14:textFill>
              </w:rPr>
            </w:pPr>
          </w:p>
        </w:tc>
        <w:tc>
          <w:tcPr>
            <w:tcW w:w="1276" w:type="dxa"/>
            <w:vAlign w:val="center"/>
          </w:tcPr>
          <w:p w14:paraId="29DFB9A1">
            <w:pPr>
              <w:rPr>
                <w:rFonts w:ascii="宋体" w:hAnsi="宋体"/>
                <w:color w:val="000000" w:themeColor="text1"/>
                <w:szCs w:val="21"/>
                <w:highlight w:val="none"/>
                <w14:textFill>
                  <w14:solidFill>
                    <w14:schemeClr w14:val="tx1"/>
                  </w14:solidFill>
                </w14:textFill>
              </w:rPr>
            </w:pPr>
          </w:p>
        </w:tc>
      </w:tr>
    </w:tbl>
    <w:p w14:paraId="46B6CA1D">
      <w:pPr>
        <w:pStyle w:val="18"/>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w:t>
      </w:r>
    </w:p>
    <w:p w14:paraId="79E83643">
      <w:pPr>
        <w:pStyle w:val="20"/>
        <w:spacing w:line="360" w:lineRule="auto"/>
        <w:ind w:firstLine="0" w:firstLineChars="0"/>
        <w:contextualSpacing/>
        <w:rPr>
          <w:rFonts w:hint="eastAsia" w:hAnsi="仿宋_GB2312" w:cs="仿宋_GB2312"/>
          <w:color w:val="000000" w:themeColor="text1"/>
          <w:szCs w:val="32"/>
          <w:highlight w:val="none"/>
          <w14:textFill>
            <w14:solidFill>
              <w14:schemeClr w14:val="tx1"/>
            </w14:solidFill>
          </w14:textFill>
        </w:rPr>
      </w:pPr>
      <w:r>
        <w:rPr>
          <w:rFonts w:hint="eastAsia" w:ascii="宋体" w:hAnsi="宋体" w:eastAsia="宋体"/>
          <w:color w:val="000000" w:themeColor="text1"/>
          <w:sz w:val="24"/>
          <w:szCs w:val="24"/>
          <w:highlight w:val="none"/>
          <w14:textFill>
            <w14:solidFill>
              <w14:schemeClr w14:val="tx1"/>
            </w14:solidFill>
          </w14:textFill>
        </w:rPr>
        <w:t>1.说明：应对照招标文件“第二章 采购需求”中的“技术部分附件：《</w:t>
      </w:r>
      <w:r>
        <w:rPr>
          <w:rFonts w:hint="eastAsia" w:ascii="宋体" w:hAnsi="宋体" w:eastAsia="宋体"/>
          <w:color w:val="000000" w:themeColor="text1"/>
          <w:sz w:val="24"/>
          <w:szCs w:val="24"/>
          <w:highlight w:val="none"/>
          <w:lang w:eastAsia="zh-CN"/>
          <w14:textFill>
            <w14:solidFill>
              <w14:schemeClr w14:val="tx1"/>
            </w14:solidFill>
          </w14:textFill>
        </w:rPr>
        <w:t>2026—2027年度厅机关应用系统维护服务项目</w:t>
      </w:r>
      <w:r>
        <w:rPr>
          <w:rFonts w:hint="eastAsia" w:ascii="宋体" w:hAnsi="宋体" w:eastAsia="宋体"/>
          <w:color w:val="000000" w:themeColor="text1"/>
          <w:sz w:val="24"/>
          <w:szCs w:val="24"/>
          <w:highlight w:val="none"/>
          <w14:textFill>
            <w14:solidFill>
              <w14:schemeClr w14:val="tx1"/>
            </w14:solidFill>
          </w14:textFill>
        </w:rPr>
        <w:t>项目招标要求》”逐条作明确的投标响应，并作出偏离说明。</w:t>
      </w:r>
    </w:p>
    <w:p w14:paraId="05F9A5B4">
      <w:pPr>
        <w:pStyle w:val="18"/>
        <w:spacing w:line="360" w:lineRule="auto"/>
        <w:contextualSpacing/>
        <w:rPr>
          <w:rFonts w:hint="eastAsia" w:ascii="宋体" w:hAnsi="宋体"/>
          <w:color w:val="000000" w:themeColor="text1"/>
          <w:highlight w:val="none"/>
          <w14:textFill>
            <w14:solidFill>
              <w14:schemeClr w14:val="tx1"/>
            </w14:solidFill>
          </w14:textFill>
        </w:rPr>
      </w:pPr>
      <w:r>
        <w:rPr>
          <w:rFonts w:ascii="宋体" w:hAnsi="宋体"/>
          <w:b w:val="0"/>
          <w:bCs w:val="0"/>
          <w:color w:val="000000" w:themeColor="text1"/>
          <w:highlight w:val="none"/>
          <w14:textFill>
            <w14:solidFill>
              <w14:schemeClr w14:val="tx1"/>
            </w14:solidFill>
          </w14:textFill>
        </w:rPr>
        <w:t>2.</w:t>
      </w:r>
      <w:r>
        <w:rPr>
          <w:rFonts w:hint="eastAsia" w:ascii="宋体" w:hAnsi="宋体"/>
          <w:b w:val="0"/>
          <w:bCs w:val="0"/>
          <w:color w:val="000000" w:themeColor="text1"/>
          <w:highlight w:val="none"/>
          <w14:textFill>
            <w14:solidFill>
              <w14:schemeClr w14:val="tx1"/>
            </w14:solidFill>
          </w14:textFill>
        </w:rPr>
        <w:t>投标人应根据自身的承诺，对照招标文件要求，在“偏离说明”中注明“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”或者“</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”。既不属于“</w:t>
      </w:r>
      <w:r>
        <w:rPr>
          <w:rFonts w:hint="eastAsia" w:ascii="宋体" w:hAnsi="宋体"/>
          <w:color w:val="000000" w:themeColor="text1"/>
          <w:highlight w:val="none"/>
          <w14:textFill>
            <w14:solidFill>
              <w14:schemeClr w14:val="tx1"/>
            </w14:solidFill>
          </w14:textFill>
        </w:rPr>
        <w:t>正偏离</w:t>
      </w:r>
      <w:r>
        <w:rPr>
          <w:rFonts w:hint="eastAsia" w:ascii="宋体" w:hAnsi="宋体"/>
          <w:b w:val="0"/>
          <w:bCs w:val="0"/>
          <w:color w:val="000000" w:themeColor="text1"/>
          <w:highlight w:val="none"/>
          <w14:textFill>
            <w14:solidFill>
              <w14:schemeClr w14:val="tx1"/>
            </w14:solidFill>
          </w14:textFill>
        </w:rPr>
        <w:t>”也不属于“</w:t>
      </w:r>
      <w:r>
        <w:rPr>
          <w:rFonts w:hint="eastAsia" w:ascii="宋体" w:hAnsi="宋体"/>
          <w:color w:val="000000" w:themeColor="text1"/>
          <w:highlight w:val="none"/>
          <w14:textFill>
            <w14:solidFill>
              <w14:schemeClr w14:val="tx1"/>
            </w14:solidFill>
          </w14:textFill>
        </w:rPr>
        <w:t>负偏离</w:t>
      </w:r>
      <w:r>
        <w:rPr>
          <w:rFonts w:hint="eastAsia" w:ascii="宋体" w:hAnsi="宋体"/>
          <w:b w:val="0"/>
          <w:bCs w:val="0"/>
          <w:color w:val="000000" w:themeColor="text1"/>
          <w:highlight w:val="none"/>
          <w14:textFill>
            <w14:solidFill>
              <w14:schemeClr w14:val="tx1"/>
            </w14:solidFill>
          </w14:textFill>
        </w:rPr>
        <w:t>”即为“</w:t>
      </w:r>
      <w:r>
        <w:rPr>
          <w:rFonts w:hint="eastAsia" w:ascii="宋体" w:hAnsi="宋体"/>
          <w:color w:val="000000" w:themeColor="text1"/>
          <w:highlight w:val="none"/>
          <w14:textFill>
            <w14:solidFill>
              <w14:schemeClr w14:val="tx1"/>
            </w14:solidFill>
          </w14:textFill>
        </w:rPr>
        <w:t>无偏离</w:t>
      </w:r>
      <w:r>
        <w:rPr>
          <w:rFonts w:hint="eastAsia" w:ascii="宋体" w:hAnsi="宋体"/>
          <w:b w:val="0"/>
          <w:bCs w:val="0"/>
          <w:color w:val="000000" w:themeColor="text1"/>
          <w:highlight w:val="none"/>
          <w14:textFill>
            <w14:solidFill>
              <w14:schemeClr w14:val="tx1"/>
            </w14:solidFill>
          </w14:textFill>
        </w:rPr>
        <w:t>”。</w:t>
      </w:r>
    </w:p>
    <w:p w14:paraId="721336DD">
      <w:pPr>
        <w:snapToGrid w:val="0"/>
        <w:spacing w:before="50" w:after="50" w:line="360" w:lineRule="auto"/>
        <w:rPr>
          <w:rFonts w:hint="eastAsia" w:ascii="宋体" w:hAnsi="宋体"/>
          <w:color w:val="000000" w:themeColor="text1"/>
          <w:sz w:val="24"/>
          <w:highlight w:val="none"/>
          <w14:textFill>
            <w14:solidFill>
              <w14:schemeClr w14:val="tx1"/>
            </w14:solidFill>
          </w14:textFill>
        </w:rPr>
      </w:pPr>
    </w:p>
    <w:p w14:paraId="2ABC83CD">
      <w:pPr>
        <w:snapToGrid w:val="0"/>
        <w:spacing w:before="50" w:after="50" w:line="360" w:lineRule="auto"/>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184DAD68">
      <w:pPr>
        <w:snapToGrid w:val="0"/>
        <w:spacing w:before="50" w:after="50" w:line="360" w:lineRule="auto"/>
        <w:rPr>
          <w:rFonts w:hint="eastAsia" w:ascii="宋体" w:hAnsi="宋体"/>
          <w:color w:val="000000" w:themeColor="text1"/>
          <w:spacing w:val="20"/>
          <w:sz w:val="24"/>
          <w:highlight w:val="none"/>
          <w:u w:val="single"/>
          <w14:textFill>
            <w14:solidFill>
              <w14:schemeClr w14:val="tx1"/>
            </w14:solidFill>
          </w14:textFill>
        </w:rPr>
      </w:pPr>
      <w:r>
        <w:rPr>
          <w:rFonts w:hint="eastAsia" w:ascii="宋体" w:hAnsi="宋体"/>
          <w:color w:val="000000" w:themeColor="text1"/>
          <w:spacing w:val="20"/>
          <w:sz w:val="24"/>
          <w:highlight w:val="none"/>
          <w:lang w:eastAsia="zh-CN"/>
          <w14:textFill>
            <w14:solidFill>
              <w14:schemeClr w14:val="tx1"/>
            </w14:solidFill>
          </w14:textFill>
        </w:rPr>
        <w:t>投标人名称（电子签章）：</w:t>
      </w:r>
      <w:r>
        <w:rPr>
          <w:rFonts w:hint="eastAsia" w:ascii="宋体" w:hAnsi="宋体"/>
          <w:color w:val="000000" w:themeColor="text1"/>
          <w:spacing w:val="20"/>
          <w:sz w:val="24"/>
          <w:highlight w:val="none"/>
          <w14:textFill>
            <w14:solidFill>
              <w14:schemeClr w14:val="tx1"/>
            </w14:solidFill>
          </w14:textFill>
        </w:rPr>
        <w:t>：</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0476E51D">
      <w:pPr>
        <w:snapToGrid w:val="0"/>
        <w:spacing w:before="50" w:after="50" w:line="360" w:lineRule="auto"/>
        <w:rPr>
          <w:rFonts w:hint="eastAsia" w:ascii="宋体" w:hAnsi="宋体"/>
          <w:color w:val="000000" w:themeColor="text1"/>
          <w:sz w:val="24"/>
          <w:szCs w:val="20"/>
          <w:highlight w:val="none"/>
          <w14:textFill>
            <w14:solidFill>
              <w14:schemeClr w14:val="tx1"/>
            </w14:solidFill>
          </w14:textFill>
        </w:rPr>
      </w:pPr>
    </w:p>
    <w:p w14:paraId="57E42061">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4. 项目实施人员一览表格式</w:t>
      </w:r>
    </w:p>
    <w:p w14:paraId="3FC0F7C8">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39980FF2">
      <w:pPr>
        <w:snapToGrid w:val="0"/>
        <w:spacing w:before="120" w:beforeLines="50" w:after="50"/>
        <w:ind w:left="142"/>
        <w:jc w:val="center"/>
        <w:rPr>
          <w:rFonts w:hint="eastAsia"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项目实施人员一览表</w:t>
      </w:r>
    </w:p>
    <w:p w14:paraId="55A4FB2D">
      <w:pPr>
        <w:pStyle w:val="26"/>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所投分标：</w:t>
      </w:r>
      <w:r>
        <w:rPr>
          <w:rFonts w:hint="eastAsia" w:hAnsi="宋体"/>
          <w:color w:val="000000" w:themeColor="text1"/>
          <w:sz w:val="24"/>
          <w:szCs w:val="24"/>
          <w:highlight w:val="none"/>
          <w:u w:val="single"/>
          <w14:textFill>
            <w14:solidFill>
              <w14:schemeClr w14:val="tx1"/>
            </w14:solidFill>
          </w14:textFill>
        </w:rPr>
        <w:t xml:space="preserve">   </w:t>
      </w:r>
      <w:r>
        <w:rPr>
          <w:rFonts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 xml:space="preserve"> </w:t>
      </w:r>
    </w:p>
    <w:tbl>
      <w:tblPr>
        <w:tblStyle w:val="53"/>
        <w:tblW w:w="7816"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908"/>
        <w:gridCol w:w="1632"/>
        <w:gridCol w:w="1146"/>
        <w:gridCol w:w="1842"/>
        <w:gridCol w:w="1471"/>
      </w:tblGrid>
      <w:tr w14:paraId="50F1AF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64399448">
            <w:pPr>
              <w:snapToGrid w:val="0"/>
              <w:spacing w:before="120" w:beforeLines="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序号</w:t>
            </w:r>
          </w:p>
        </w:tc>
        <w:tc>
          <w:tcPr>
            <w:tcW w:w="908" w:type="dxa"/>
            <w:tcBorders>
              <w:top w:val="single" w:color="auto" w:sz="4" w:space="0"/>
              <w:left w:val="single" w:color="auto" w:sz="4" w:space="0"/>
              <w:bottom w:val="single" w:color="auto" w:sz="4" w:space="0"/>
              <w:right w:val="single" w:color="auto" w:sz="4" w:space="0"/>
            </w:tcBorders>
            <w:vAlign w:val="center"/>
          </w:tcPr>
          <w:p w14:paraId="306BE612">
            <w:pPr>
              <w:snapToGrid w:val="0"/>
              <w:spacing w:before="120" w:beforeLines="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姓名</w:t>
            </w:r>
          </w:p>
        </w:tc>
        <w:tc>
          <w:tcPr>
            <w:tcW w:w="1632" w:type="dxa"/>
            <w:tcBorders>
              <w:top w:val="single" w:color="auto" w:sz="4" w:space="0"/>
              <w:left w:val="single" w:color="auto" w:sz="4" w:space="0"/>
              <w:bottom w:val="single" w:color="auto" w:sz="4" w:space="0"/>
              <w:right w:val="single" w:color="auto" w:sz="4" w:space="0"/>
            </w:tcBorders>
            <w:vAlign w:val="center"/>
          </w:tcPr>
          <w:p w14:paraId="3F6DB53E">
            <w:pPr>
              <w:snapToGrid w:val="0"/>
              <w:spacing w:before="120" w:beforeLines="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岗位名称</w:t>
            </w:r>
          </w:p>
        </w:tc>
        <w:tc>
          <w:tcPr>
            <w:tcW w:w="1146" w:type="dxa"/>
            <w:tcBorders>
              <w:top w:val="single" w:color="auto" w:sz="4" w:space="0"/>
              <w:left w:val="single" w:color="auto" w:sz="4" w:space="0"/>
              <w:bottom w:val="single" w:color="auto" w:sz="4" w:space="0"/>
              <w:right w:val="single" w:color="auto" w:sz="4" w:space="0"/>
            </w:tcBorders>
            <w:vAlign w:val="center"/>
          </w:tcPr>
          <w:p w14:paraId="69D11838">
            <w:pPr>
              <w:snapToGrid w:val="0"/>
              <w:spacing w:before="120" w:beforeLines="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学历</w:t>
            </w:r>
          </w:p>
        </w:tc>
        <w:tc>
          <w:tcPr>
            <w:tcW w:w="1842" w:type="dxa"/>
            <w:tcBorders>
              <w:top w:val="single" w:color="auto" w:sz="4" w:space="0"/>
              <w:left w:val="single" w:color="auto" w:sz="4" w:space="0"/>
              <w:bottom w:val="single" w:color="auto" w:sz="4" w:space="0"/>
              <w:right w:val="single" w:color="auto" w:sz="4" w:space="0"/>
            </w:tcBorders>
            <w:vAlign w:val="center"/>
          </w:tcPr>
          <w:p w14:paraId="27E01B68">
            <w:pPr>
              <w:snapToGrid w:val="0"/>
              <w:spacing w:before="120" w:beforeLines="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专业认证</w:t>
            </w:r>
            <w:r>
              <w:rPr>
                <w:rFonts w:ascii="宋体" w:hAnsi="宋体"/>
                <w:color w:val="000000" w:themeColor="text1"/>
                <w:sz w:val="24"/>
                <w:highlight w:val="none"/>
                <w14:textFill>
                  <w14:solidFill>
                    <w14:schemeClr w14:val="tx1"/>
                  </w14:solidFill>
                </w14:textFill>
              </w:rPr>
              <w:t>资格</w:t>
            </w:r>
          </w:p>
        </w:tc>
        <w:tc>
          <w:tcPr>
            <w:tcW w:w="1471" w:type="dxa"/>
            <w:tcBorders>
              <w:top w:val="single" w:color="auto" w:sz="4" w:space="0"/>
              <w:left w:val="single" w:color="auto" w:sz="4" w:space="0"/>
              <w:bottom w:val="single" w:color="auto" w:sz="4" w:space="0"/>
              <w:right w:val="single" w:color="auto" w:sz="4" w:space="0"/>
            </w:tcBorders>
            <w:vAlign w:val="center"/>
          </w:tcPr>
          <w:p w14:paraId="4ECFFDAC">
            <w:pPr>
              <w:snapToGrid w:val="0"/>
              <w:spacing w:before="120" w:beforeLines="50" w:after="50"/>
              <w:jc w:val="center"/>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参加本单位工作时间</w:t>
            </w:r>
          </w:p>
        </w:tc>
      </w:tr>
      <w:tr w14:paraId="3608D9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17" w:type="dxa"/>
            <w:tcBorders>
              <w:top w:val="single" w:color="auto" w:sz="4" w:space="0"/>
              <w:left w:val="single" w:color="auto" w:sz="4" w:space="0"/>
              <w:bottom w:val="single" w:color="auto" w:sz="4" w:space="0"/>
              <w:right w:val="single" w:color="auto" w:sz="4" w:space="0"/>
            </w:tcBorders>
            <w:vAlign w:val="top"/>
          </w:tcPr>
          <w:p w14:paraId="33B1ABC7">
            <w:pPr>
              <w:snapToGrid w:val="0"/>
              <w:spacing w:before="120" w:beforeLines="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w:t>
            </w:r>
          </w:p>
        </w:tc>
        <w:tc>
          <w:tcPr>
            <w:tcW w:w="908" w:type="dxa"/>
            <w:tcBorders>
              <w:top w:val="single" w:color="auto" w:sz="4" w:space="0"/>
              <w:left w:val="single" w:color="auto" w:sz="4" w:space="0"/>
              <w:bottom w:val="single" w:color="auto" w:sz="4" w:space="0"/>
              <w:right w:val="single" w:color="auto" w:sz="4" w:space="0"/>
            </w:tcBorders>
            <w:vAlign w:val="top"/>
          </w:tcPr>
          <w:p w14:paraId="7CCFE0EE">
            <w:pPr>
              <w:snapToGrid w:val="0"/>
              <w:spacing w:before="120" w:beforeLines="50" w:after="50"/>
              <w:rPr>
                <w:rFonts w:ascii="宋体" w:hAnsi="宋体"/>
                <w:color w:val="000000" w:themeColor="text1"/>
                <w:sz w:val="24"/>
                <w:highlight w:val="none"/>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vAlign w:val="top"/>
          </w:tcPr>
          <w:p w14:paraId="3B4E53C4">
            <w:pPr>
              <w:snapToGrid w:val="0"/>
              <w:spacing w:before="120" w:beforeLines="50" w:after="50"/>
              <w:rPr>
                <w:rFonts w:ascii="宋体" w:hAnsi="宋体"/>
                <w:color w:val="000000" w:themeColor="text1"/>
                <w:sz w:val="24"/>
                <w:highlight w:val="none"/>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vAlign w:val="top"/>
          </w:tcPr>
          <w:p w14:paraId="3320A6A5">
            <w:pPr>
              <w:snapToGrid w:val="0"/>
              <w:spacing w:before="120" w:beforeLines="50" w:after="50"/>
              <w:rPr>
                <w:rFonts w:ascii="宋体" w:hAnsi="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top"/>
          </w:tcPr>
          <w:p w14:paraId="124303F0">
            <w:pPr>
              <w:snapToGrid w:val="0"/>
              <w:spacing w:before="120" w:beforeLines="50" w:after="50"/>
              <w:rPr>
                <w:rFonts w:ascii="宋体" w:hAnsi="宋体"/>
                <w:color w:val="000000" w:themeColor="text1"/>
                <w:sz w:val="24"/>
                <w:highlight w:val="none"/>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top"/>
          </w:tcPr>
          <w:p w14:paraId="60284747">
            <w:pPr>
              <w:snapToGrid w:val="0"/>
              <w:spacing w:before="120" w:beforeLines="50" w:after="50"/>
              <w:rPr>
                <w:rFonts w:ascii="宋体" w:hAnsi="宋体"/>
                <w:color w:val="000000" w:themeColor="text1"/>
                <w:sz w:val="24"/>
                <w:highlight w:val="none"/>
                <w14:textFill>
                  <w14:solidFill>
                    <w14:schemeClr w14:val="tx1"/>
                  </w14:solidFill>
                </w14:textFill>
              </w:rPr>
            </w:pPr>
          </w:p>
        </w:tc>
      </w:tr>
      <w:tr w14:paraId="2A757C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top"/>
          </w:tcPr>
          <w:p w14:paraId="42E46B5A">
            <w:pPr>
              <w:snapToGrid w:val="0"/>
              <w:spacing w:before="120" w:beforeLines="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w:t>
            </w:r>
          </w:p>
        </w:tc>
        <w:tc>
          <w:tcPr>
            <w:tcW w:w="908" w:type="dxa"/>
            <w:tcBorders>
              <w:top w:val="single" w:color="auto" w:sz="4" w:space="0"/>
              <w:left w:val="single" w:color="auto" w:sz="4" w:space="0"/>
              <w:bottom w:val="single" w:color="auto" w:sz="4" w:space="0"/>
              <w:right w:val="single" w:color="auto" w:sz="4" w:space="0"/>
            </w:tcBorders>
            <w:vAlign w:val="top"/>
          </w:tcPr>
          <w:p w14:paraId="57FC7360">
            <w:pPr>
              <w:snapToGrid w:val="0"/>
              <w:spacing w:before="120" w:beforeLines="50" w:after="50"/>
              <w:rPr>
                <w:rFonts w:ascii="宋体" w:hAnsi="宋体"/>
                <w:color w:val="000000" w:themeColor="text1"/>
                <w:sz w:val="24"/>
                <w:highlight w:val="none"/>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vAlign w:val="top"/>
          </w:tcPr>
          <w:p w14:paraId="00F87D06">
            <w:pPr>
              <w:snapToGrid w:val="0"/>
              <w:spacing w:before="120" w:beforeLines="50" w:after="50"/>
              <w:rPr>
                <w:rFonts w:ascii="宋体" w:hAnsi="宋体"/>
                <w:color w:val="000000" w:themeColor="text1"/>
                <w:sz w:val="24"/>
                <w:highlight w:val="none"/>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vAlign w:val="top"/>
          </w:tcPr>
          <w:p w14:paraId="7A99D88E">
            <w:pPr>
              <w:snapToGrid w:val="0"/>
              <w:spacing w:before="120" w:beforeLines="50" w:after="50"/>
              <w:rPr>
                <w:rFonts w:ascii="宋体" w:hAnsi="宋体"/>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top"/>
          </w:tcPr>
          <w:p w14:paraId="1890554F">
            <w:pPr>
              <w:snapToGrid w:val="0"/>
              <w:spacing w:before="120" w:beforeLines="50" w:after="50"/>
              <w:rPr>
                <w:rFonts w:ascii="宋体" w:hAnsi="宋体"/>
                <w:color w:val="000000" w:themeColor="text1"/>
                <w:sz w:val="24"/>
                <w:highlight w:val="none"/>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top"/>
          </w:tcPr>
          <w:p w14:paraId="173E6647">
            <w:pPr>
              <w:snapToGrid w:val="0"/>
              <w:spacing w:before="120" w:beforeLines="50" w:after="50"/>
              <w:rPr>
                <w:rFonts w:ascii="宋体" w:hAnsi="宋体"/>
                <w:color w:val="000000" w:themeColor="text1"/>
                <w:sz w:val="24"/>
                <w:highlight w:val="none"/>
                <w14:textFill>
                  <w14:solidFill>
                    <w14:schemeClr w14:val="tx1"/>
                  </w14:solidFill>
                </w14:textFill>
              </w:rPr>
            </w:pPr>
          </w:p>
        </w:tc>
      </w:tr>
      <w:tr w14:paraId="376D36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top"/>
          </w:tcPr>
          <w:p w14:paraId="1AA3E1E5">
            <w:pPr>
              <w:snapToGrid w:val="0"/>
              <w:spacing w:before="120" w:beforeLines="50" w:after="50"/>
              <w:jc w:val="cente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tc>
        <w:tc>
          <w:tcPr>
            <w:tcW w:w="908" w:type="dxa"/>
            <w:tcBorders>
              <w:top w:val="single" w:color="auto" w:sz="4" w:space="0"/>
              <w:left w:val="single" w:color="auto" w:sz="4" w:space="0"/>
              <w:bottom w:val="single" w:color="auto" w:sz="4" w:space="0"/>
              <w:right w:val="single" w:color="auto" w:sz="4" w:space="0"/>
            </w:tcBorders>
            <w:vAlign w:val="top"/>
          </w:tcPr>
          <w:p w14:paraId="38BF1F72">
            <w:pPr>
              <w:snapToGrid w:val="0"/>
              <w:spacing w:before="120" w:beforeLines="50" w:after="50"/>
              <w:rPr>
                <w:rFonts w:ascii="宋体" w:hAnsi="宋体"/>
                <w:color w:val="000000" w:themeColor="text1"/>
                <w:sz w:val="24"/>
                <w:highlight w:val="none"/>
                <w14:textFill>
                  <w14:solidFill>
                    <w14:schemeClr w14:val="tx1"/>
                  </w14:solidFill>
                </w14:textFill>
              </w:rPr>
            </w:pPr>
          </w:p>
        </w:tc>
        <w:tc>
          <w:tcPr>
            <w:tcW w:w="1632" w:type="dxa"/>
            <w:tcBorders>
              <w:top w:val="single" w:color="auto" w:sz="4" w:space="0"/>
              <w:left w:val="single" w:color="auto" w:sz="4" w:space="0"/>
              <w:bottom w:val="single" w:color="auto" w:sz="4" w:space="0"/>
              <w:right w:val="single" w:color="auto" w:sz="4" w:space="0"/>
            </w:tcBorders>
            <w:vAlign w:val="top"/>
          </w:tcPr>
          <w:p w14:paraId="7464ADE3">
            <w:pPr>
              <w:snapToGrid w:val="0"/>
              <w:spacing w:before="120" w:beforeLines="50" w:after="50"/>
              <w:rPr>
                <w:rFonts w:ascii="宋体" w:hAnsi="宋体"/>
                <w:color w:val="000000" w:themeColor="text1"/>
                <w:sz w:val="24"/>
                <w:highlight w:val="none"/>
                <w14:textFill>
                  <w14:solidFill>
                    <w14:schemeClr w14:val="tx1"/>
                  </w14:solidFill>
                </w14:textFill>
              </w:rPr>
            </w:pPr>
          </w:p>
        </w:tc>
        <w:tc>
          <w:tcPr>
            <w:tcW w:w="1146" w:type="dxa"/>
            <w:tcBorders>
              <w:top w:val="single" w:color="auto" w:sz="4" w:space="0"/>
              <w:left w:val="single" w:color="auto" w:sz="4" w:space="0"/>
              <w:bottom w:val="single" w:color="auto" w:sz="4" w:space="0"/>
              <w:right w:val="single" w:color="auto" w:sz="4" w:space="0"/>
            </w:tcBorders>
            <w:vAlign w:val="top"/>
          </w:tcPr>
          <w:p w14:paraId="5CC1288B">
            <w:pPr>
              <w:snapToGrid w:val="0"/>
              <w:spacing w:before="120" w:beforeLines="50" w:after="50"/>
              <w:ind w:left="5250" w:leftChars="2500"/>
              <w:rPr>
                <w:rFonts w:ascii="宋体" w:hAnsi="宋体" w:cs="Courier New"/>
                <w:color w:val="000000" w:themeColor="text1"/>
                <w:sz w:val="24"/>
                <w:highlight w:val="none"/>
                <w14:textFill>
                  <w14:solidFill>
                    <w14:schemeClr w14:val="tx1"/>
                  </w14:solidFill>
                </w14:textFill>
              </w:rPr>
            </w:pPr>
          </w:p>
        </w:tc>
        <w:tc>
          <w:tcPr>
            <w:tcW w:w="1842" w:type="dxa"/>
            <w:tcBorders>
              <w:top w:val="single" w:color="auto" w:sz="4" w:space="0"/>
              <w:left w:val="single" w:color="auto" w:sz="4" w:space="0"/>
              <w:bottom w:val="single" w:color="auto" w:sz="4" w:space="0"/>
              <w:right w:val="single" w:color="auto" w:sz="4" w:space="0"/>
            </w:tcBorders>
            <w:vAlign w:val="top"/>
          </w:tcPr>
          <w:p w14:paraId="3E84457C">
            <w:pPr>
              <w:snapToGrid w:val="0"/>
              <w:spacing w:before="120" w:beforeLines="50" w:after="50"/>
              <w:rPr>
                <w:rFonts w:ascii="宋体" w:hAnsi="宋体"/>
                <w:color w:val="000000" w:themeColor="text1"/>
                <w:sz w:val="24"/>
                <w:highlight w:val="none"/>
                <w14:textFill>
                  <w14:solidFill>
                    <w14:schemeClr w14:val="tx1"/>
                  </w14:solidFill>
                </w14:textFill>
              </w:rPr>
            </w:pPr>
          </w:p>
        </w:tc>
        <w:tc>
          <w:tcPr>
            <w:tcW w:w="1471" w:type="dxa"/>
            <w:tcBorders>
              <w:top w:val="single" w:color="auto" w:sz="4" w:space="0"/>
              <w:left w:val="single" w:color="auto" w:sz="4" w:space="0"/>
              <w:bottom w:val="single" w:color="auto" w:sz="4" w:space="0"/>
              <w:right w:val="single" w:color="auto" w:sz="4" w:space="0"/>
            </w:tcBorders>
            <w:vAlign w:val="top"/>
          </w:tcPr>
          <w:p w14:paraId="41DFE454">
            <w:pPr>
              <w:snapToGrid w:val="0"/>
              <w:spacing w:before="120" w:beforeLines="50" w:after="50"/>
              <w:rPr>
                <w:rFonts w:ascii="宋体" w:hAnsi="宋体"/>
                <w:color w:val="000000" w:themeColor="text1"/>
                <w:sz w:val="24"/>
                <w:highlight w:val="none"/>
                <w14:textFill>
                  <w14:solidFill>
                    <w14:schemeClr w14:val="tx1"/>
                  </w14:solidFill>
                </w14:textFill>
              </w:rPr>
            </w:pPr>
          </w:p>
        </w:tc>
      </w:tr>
    </w:tbl>
    <w:p w14:paraId="44F989F9">
      <w:pPr>
        <w:snapToGrid w:val="0"/>
        <w:spacing w:line="360" w:lineRule="exact"/>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注：在填写时，如本表格不适合投标单位的实际情况，可根据本表格式自行划表填写。</w:t>
      </w:r>
    </w:p>
    <w:p w14:paraId="443BDD2A">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p>
    <w:p w14:paraId="0260A6A9">
      <w:pPr>
        <w:spacing w:line="360" w:lineRule="auto"/>
        <w:contextualSpacing/>
        <w:rPr>
          <w:rFonts w:hint="eastAsia" w:ascii="宋体" w:hAnsi="宋体"/>
          <w:color w:val="000000" w:themeColor="text1"/>
          <w:spacing w:val="20"/>
          <w:sz w:val="24"/>
          <w:szCs w:val="20"/>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法定代表人或者委托代理人</w:t>
      </w:r>
      <w:r>
        <w:rPr>
          <w:rFonts w:hint="eastAsia" w:ascii="宋体" w:hAnsi="宋体"/>
          <w:color w:val="000000" w:themeColor="text1"/>
          <w:spacing w:val="20"/>
          <w:sz w:val="24"/>
          <w:highlight w:val="none"/>
          <w14:textFill>
            <w14:solidFill>
              <w14:schemeClr w14:val="tx1"/>
            </w14:solidFill>
          </w14:textFill>
        </w:rPr>
        <w:t>（签字）：</w:t>
      </w:r>
      <w:r>
        <w:rPr>
          <w:rFonts w:hint="eastAsia" w:ascii="宋体" w:hAnsi="宋体"/>
          <w:color w:val="000000" w:themeColor="text1"/>
          <w:spacing w:val="20"/>
          <w:sz w:val="24"/>
          <w:highlight w:val="none"/>
          <w:u w:val="single"/>
          <w14:textFill>
            <w14:solidFill>
              <w14:schemeClr w14:val="tx1"/>
            </w14:solidFill>
          </w14:textFill>
        </w:rPr>
        <w:t xml:space="preserve">        </w:t>
      </w:r>
    </w:p>
    <w:p w14:paraId="64F1AFF2">
      <w:pPr>
        <w:spacing w:line="360" w:lineRule="auto"/>
        <w:contextualSpacing/>
        <w:jc w:val="left"/>
        <w:rPr>
          <w:rFonts w:hint="eastAsia" w:ascii="宋体" w:hAnsi="宋体"/>
          <w:color w:val="000000" w:themeColor="text1"/>
          <w:sz w:val="24"/>
          <w:szCs w:val="20"/>
          <w:highlight w:val="none"/>
          <w14:textFill>
            <w14:solidFill>
              <w14:schemeClr w14:val="tx1"/>
            </w14:solidFill>
          </w14:textFill>
        </w:rPr>
      </w:pPr>
      <w:r>
        <w:rPr>
          <w:rFonts w:hint="eastAsia" w:ascii="宋体" w:hAnsi="宋体"/>
          <w:color w:val="000000" w:themeColor="text1"/>
          <w:spacing w:val="20"/>
          <w:sz w:val="24"/>
          <w:highlight w:val="none"/>
          <w:lang w:eastAsia="zh-CN"/>
          <w14:textFill>
            <w14:solidFill>
              <w14:schemeClr w14:val="tx1"/>
            </w14:solidFill>
          </w14:textFill>
        </w:rPr>
        <w:t>投标人名称（电子签章）：</w:t>
      </w:r>
      <w:r>
        <w:rPr>
          <w:rFonts w:hint="eastAsia" w:ascii="宋体" w:hAnsi="宋体"/>
          <w:color w:val="000000" w:themeColor="text1"/>
          <w:spacing w:val="20"/>
          <w:sz w:val="24"/>
          <w:highlight w:val="none"/>
          <w14:textFill>
            <w14:solidFill>
              <w14:schemeClr w14:val="tx1"/>
            </w14:solidFill>
          </w14:textFill>
        </w:rPr>
        <w:t>：</w:t>
      </w:r>
      <w:r>
        <w:rPr>
          <w:rFonts w:hint="eastAsia" w:ascii="宋体" w:hAnsi="宋体"/>
          <w:color w:val="000000" w:themeColor="text1"/>
          <w:spacing w:val="20"/>
          <w:sz w:val="24"/>
          <w:highlight w:val="none"/>
          <w:u w:val="single"/>
          <w14:textFill>
            <w14:solidFill>
              <w14:schemeClr w14:val="tx1"/>
            </w14:solidFill>
          </w14:textFill>
        </w:rPr>
        <w:t xml:space="preserve">            </w:t>
      </w:r>
      <w:r>
        <w:rPr>
          <w:rFonts w:hint="eastAsia" w:ascii="宋体" w:hAnsi="宋体"/>
          <w:color w:val="000000" w:themeColor="text1"/>
          <w:spacing w:val="20"/>
          <w:sz w:val="24"/>
          <w:highlight w:val="none"/>
          <w14:textFill>
            <w14:solidFill>
              <w14:schemeClr w14:val="tx1"/>
            </w14:solidFill>
          </w14:textFill>
        </w:rPr>
        <w:t xml:space="preserve">          日 期：</w:t>
      </w:r>
      <w:r>
        <w:rPr>
          <w:rFonts w:hint="eastAsia" w:ascii="宋体" w:hAnsi="宋体"/>
          <w:color w:val="000000" w:themeColor="text1"/>
          <w:spacing w:val="20"/>
          <w:sz w:val="24"/>
          <w:highlight w:val="none"/>
          <w:u w:val="single"/>
          <w14:textFill>
            <w14:solidFill>
              <w14:schemeClr w14:val="tx1"/>
            </w14:solidFill>
          </w14:textFill>
        </w:rPr>
        <w:t xml:space="preserve">         </w:t>
      </w:r>
    </w:p>
    <w:p w14:paraId="2288FA88">
      <w:pPr>
        <w:snapToGrid w:val="0"/>
        <w:spacing w:before="50" w:after="120" w:afterLines="50"/>
        <w:jc w:val="left"/>
        <w:rPr>
          <w:rFonts w:hint="eastAsia" w:ascii="宋体" w:hAnsi="宋体"/>
          <w:color w:val="000000" w:themeColor="text1"/>
          <w:sz w:val="24"/>
          <w:szCs w:val="20"/>
          <w:highlight w:val="none"/>
          <w14:textFill>
            <w14:solidFill>
              <w14:schemeClr w14:val="tx1"/>
            </w14:solidFill>
          </w14:textFill>
        </w:rPr>
      </w:pPr>
    </w:p>
    <w:p w14:paraId="36668C13">
      <w:pPr>
        <w:snapToGrid w:val="0"/>
        <w:spacing w:before="120" w:beforeLines="50" w:after="50"/>
        <w:ind w:left="142"/>
        <w:jc w:val="left"/>
        <w:rPr>
          <w:rFonts w:hint="eastAsia"/>
          <w:b/>
          <w:color w:val="000000" w:themeColor="text1"/>
          <w:sz w:val="28"/>
          <w:szCs w:val="28"/>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b/>
          <w:color w:val="000000" w:themeColor="text1"/>
          <w:sz w:val="28"/>
          <w:szCs w:val="28"/>
          <w:highlight w:val="none"/>
          <w14:textFill>
            <w14:solidFill>
              <w14:schemeClr w14:val="tx1"/>
            </w14:solidFill>
          </w14:textFill>
        </w:rPr>
        <w:t>五、其他文书、文件格式</w:t>
      </w:r>
    </w:p>
    <w:p w14:paraId="3099F5CC">
      <w:pPr>
        <w:snapToGrid w:val="0"/>
        <w:spacing w:before="120" w:beforeLines="50" w:after="50"/>
        <w:ind w:left="142"/>
        <w:jc w:val="left"/>
        <w:rPr>
          <w:rFonts w:hint="eastAsia" w:ascii="宋体" w:hAnsi="宋体"/>
          <w:b/>
          <w:color w:val="000000" w:themeColor="text1"/>
          <w:spacing w:val="20"/>
          <w:sz w:val="24"/>
          <w:highlight w:val="none"/>
          <w14:textFill>
            <w14:solidFill>
              <w14:schemeClr w14:val="tx1"/>
            </w14:solidFill>
          </w14:textFill>
        </w:rPr>
      </w:pPr>
      <w:r>
        <w:rPr>
          <w:rFonts w:hint="eastAsia" w:ascii="宋体" w:hAnsi="宋体"/>
          <w:b/>
          <w:color w:val="000000" w:themeColor="text1"/>
          <w:spacing w:val="20"/>
          <w:sz w:val="24"/>
          <w:highlight w:val="none"/>
          <w14:textFill>
            <w14:solidFill>
              <w14:schemeClr w14:val="tx1"/>
            </w14:solidFill>
          </w14:textFill>
        </w:rPr>
        <w:t>1.联合投标协议书格式</w:t>
      </w:r>
    </w:p>
    <w:p w14:paraId="2EC7F4F4">
      <w:pPr>
        <w:snapToGrid w:val="0"/>
        <w:spacing w:before="120" w:beforeLines="50" w:after="50"/>
        <w:ind w:left="142"/>
        <w:jc w:val="left"/>
        <w:rPr>
          <w:rFonts w:hint="eastAsia" w:ascii="宋体" w:hAnsi="宋体"/>
          <w:b/>
          <w:color w:val="000000" w:themeColor="text1"/>
          <w:spacing w:val="20"/>
          <w:sz w:val="24"/>
          <w:highlight w:val="none"/>
          <w14:textFill>
            <w14:solidFill>
              <w14:schemeClr w14:val="tx1"/>
            </w14:solidFill>
          </w14:textFill>
        </w:rPr>
      </w:pPr>
    </w:p>
    <w:p w14:paraId="4D7B70D7">
      <w:pPr>
        <w:pStyle w:val="9"/>
        <w:overflowPunct w:val="0"/>
        <w:ind w:firstLine="0"/>
        <w:jc w:val="center"/>
        <w:rPr>
          <w:rFonts w:hint="eastAsia" w:ascii="宋体" w:hAnsi="宋体" w:cs="方正小标宋简体"/>
          <w:color w:val="000000" w:themeColor="text1"/>
          <w:sz w:val="44"/>
          <w:szCs w:val="44"/>
          <w:highlight w:val="none"/>
          <w14:textFill>
            <w14:solidFill>
              <w14:schemeClr w14:val="tx1"/>
            </w14:solidFill>
          </w14:textFill>
        </w:rPr>
      </w:pPr>
      <w:r>
        <w:rPr>
          <w:rFonts w:hint="eastAsia" w:ascii="宋体" w:hAnsi="宋体" w:cs="方正小标宋简体"/>
          <w:color w:val="000000" w:themeColor="text1"/>
          <w:sz w:val="44"/>
          <w:szCs w:val="44"/>
          <w:highlight w:val="none"/>
          <w14:textFill>
            <w14:solidFill>
              <w14:schemeClr w14:val="tx1"/>
            </w14:solidFill>
          </w14:textFill>
        </w:rPr>
        <w:t>联合体协议书</w:t>
      </w:r>
    </w:p>
    <w:p w14:paraId="74EDC699">
      <w:pPr>
        <w:pStyle w:val="9"/>
        <w:overflowPunct w:val="0"/>
        <w:rPr>
          <w:rFonts w:ascii="宋体" w:hAnsi="宋体"/>
          <w:color w:val="000000" w:themeColor="text1"/>
          <w:sz w:val="24"/>
          <w:highlight w:val="none"/>
          <w14:textFill>
            <w14:solidFill>
              <w14:schemeClr w14:val="tx1"/>
            </w14:solidFill>
          </w14:textFill>
        </w:rPr>
      </w:pPr>
    </w:p>
    <w:p w14:paraId="7BB814AC">
      <w:pPr>
        <w:pStyle w:val="9"/>
        <w:overflowPunct w:val="0"/>
        <w:spacing w:line="360" w:lineRule="auto"/>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（所有成员单位名称）自愿组成</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（联合体名称）联合体，共同参加</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u w:val="single"/>
          <w14:textFill>
            <w14:solidFill>
              <w14:schemeClr w14:val="tx1"/>
            </w14:solidFill>
          </w14:textFill>
        </w:rPr>
        <w:t>（项</w:t>
      </w:r>
      <w:r>
        <w:rPr>
          <w:rFonts w:hint="eastAsia" w:ascii="宋体" w:hAnsi="宋体"/>
          <w:color w:val="000000" w:themeColor="text1"/>
          <w:sz w:val="24"/>
          <w:highlight w:val="none"/>
          <w14:textFill>
            <w14:solidFill>
              <w14:schemeClr w14:val="tx1"/>
            </w14:solidFill>
          </w14:textFill>
        </w:rPr>
        <w:t>目名称）采购招标项目投标。现就联合体投标事宜订立如下协议。</w:t>
      </w:r>
    </w:p>
    <w:p w14:paraId="1251C60E">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1.  </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（某成员单位名称）为</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（联合体名称）牵头人。</w:t>
      </w:r>
    </w:p>
    <w:p w14:paraId="17608A28">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2.</w:t>
      </w:r>
      <w:r>
        <w:rPr>
          <w:rFonts w:hint="eastAsia" w:ascii="宋体" w:hAnsi="宋体"/>
          <w:color w:val="000000" w:themeColor="text1"/>
          <w:sz w:val="24"/>
          <w:highlight w:val="none"/>
          <w14:textFill>
            <w14:solidFill>
              <w14:schemeClr w14:val="tx1"/>
            </w14:solidFill>
          </w14:textFill>
        </w:rPr>
        <w:t>联合体各成员授权牵头人代表联合体参加投标活动，签署文件及对文件的盖章，提交和接收相关的资料、</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信息及指示，进行合同谈判活动，负责合同实施阶段的组织和协调工作，以及处理与本招标项</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目有关的一切事宜。</w:t>
      </w:r>
    </w:p>
    <w:p w14:paraId="4696287C">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3.</w:t>
      </w:r>
      <w:r>
        <w:rPr>
          <w:rFonts w:hint="eastAsia" w:ascii="宋体" w:hAnsi="宋体"/>
          <w:color w:val="000000" w:themeColor="text1"/>
          <w:sz w:val="24"/>
          <w:highlight w:val="none"/>
          <w14:textFill>
            <w14:solidFill>
              <w14:schemeClr w14:val="tx1"/>
            </w14:solidFill>
          </w14:textFill>
        </w:rPr>
        <w:t>联合体牵头人在本项目中签署和盖章的一切文件和处理的一切事宜，联合体各成员均予以承认。</w:t>
      </w:r>
      <w:r>
        <w:rPr>
          <w:rFonts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联合体各成员将严格按照招标文件、投标文件和合同的要求全面履行义务，并向招标人承担连带责任。</w:t>
      </w:r>
    </w:p>
    <w:p w14:paraId="0E73D2D5">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4.</w:t>
      </w:r>
      <w:r>
        <w:rPr>
          <w:rFonts w:hint="eastAsia" w:ascii="宋体" w:hAnsi="宋体"/>
          <w:color w:val="000000" w:themeColor="text1"/>
          <w:sz w:val="24"/>
          <w:highlight w:val="none"/>
          <w14:textFill>
            <w14:solidFill>
              <w14:schemeClr w14:val="tx1"/>
            </w14:solidFill>
          </w14:textFill>
        </w:rPr>
        <w:t>联合体各成员单位内部的职责分工如下：</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w:t>
      </w:r>
    </w:p>
    <w:p w14:paraId="43A5D371">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5.</w:t>
      </w:r>
      <w:r>
        <w:rPr>
          <w:rFonts w:hint="eastAsia" w:ascii="宋体" w:hAnsi="宋体"/>
          <w:color w:val="000000" w:themeColor="text1"/>
          <w:sz w:val="24"/>
          <w:highlight w:val="none"/>
          <w14:textFill>
            <w14:solidFill>
              <w14:schemeClr w14:val="tx1"/>
            </w14:solidFill>
          </w14:textFill>
        </w:rPr>
        <w:t>本协议书自所有成员单位法定代表人或者其委托代理人签字或者盖公章之日起生效，合同履行完毕后自动失效。</w:t>
      </w:r>
    </w:p>
    <w:p w14:paraId="5B42E697">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本协议书一式</w:t>
      </w:r>
      <w:r>
        <w:rPr>
          <w:rFonts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份，联合体成员和招标人各执一份。</w:t>
      </w:r>
    </w:p>
    <w:p w14:paraId="64D9E88B">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注：本协议书由法定代表人签字的，应附法定代表人身份证明；由委托代理人签字的，应附授权委托书。</w:t>
      </w:r>
    </w:p>
    <w:p w14:paraId="3F8734E4">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75A515F1">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联合体牵头人名称（盖公章）：</w:t>
      </w:r>
    </w:p>
    <w:p w14:paraId="4D2D24A6">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法定代表人或者其委托代理人：</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（签字）</w:t>
      </w:r>
    </w:p>
    <w:p w14:paraId="259FF76B">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2818D880">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联合体成员名称（盖公章）：</w:t>
      </w:r>
    </w:p>
    <w:p w14:paraId="226FBAFB">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法定代表人或者其委托代理人：</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（签字）</w:t>
      </w:r>
    </w:p>
    <w:p w14:paraId="4773B070">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p w14:paraId="7DF387A0">
      <w:pPr>
        <w:pStyle w:val="9"/>
        <w:overflowPunct w:val="0"/>
        <w:spacing w:line="360" w:lineRule="auto"/>
        <w:ind w:firstLineChars="175"/>
        <w:contextualSpacing/>
        <w:rPr>
          <w:rFonts w:ascii="宋体" w:hAnsi="宋体"/>
          <w:color w:val="000000" w:themeColor="text1"/>
          <w:sz w:val="24"/>
          <w:highlight w:val="none"/>
          <w14:textFill>
            <w14:solidFill>
              <w14:schemeClr w14:val="tx1"/>
            </w14:solidFill>
          </w14:textFill>
        </w:rPr>
      </w:pPr>
    </w:p>
    <w:p w14:paraId="40D4B58F">
      <w:pPr>
        <w:pStyle w:val="9"/>
        <w:overflowPunct w:val="0"/>
        <w:spacing w:line="360" w:lineRule="auto"/>
        <w:ind w:firstLineChars="175"/>
        <w:contextualSpacing/>
        <w:jc w:val="right"/>
        <w:rPr>
          <w:rFonts w:ascii="宋体" w:hAnsi="宋体"/>
          <w:b/>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日</w:t>
      </w:r>
    </w:p>
    <w:p w14:paraId="3CC6FAD6">
      <w:pPr>
        <w:snapToGrid w:val="0"/>
        <w:spacing w:before="120" w:beforeLines="50" w:after="50"/>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 xml:space="preserve"> </w:t>
      </w:r>
    </w:p>
    <w:p w14:paraId="4D566ED7">
      <w:pPr>
        <w:snapToGrid w:val="0"/>
        <w:spacing w:before="120" w:beforeLines="50" w:after="50"/>
        <w:jc w:val="left"/>
        <w:rPr>
          <w:rFonts w:hint="eastAsia"/>
          <w:color w:val="000000" w:themeColor="text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2.中小企业声明函格式</w:t>
      </w:r>
    </w:p>
    <w:p w14:paraId="277393A3">
      <w:pPr>
        <w:rPr>
          <w:rFonts w:hint="eastAsia"/>
          <w:color w:val="000000" w:themeColor="text1"/>
          <w:highlight w:val="none"/>
          <w14:textFill>
            <w14:solidFill>
              <w14:schemeClr w14:val="tx1"/>
            </w14:solidFill>
          </w14:textFill>
        </w:rPr>
      </w:pPr>
    </w:p>
    <w:p w14:paraId="79DF9B4B">
      <w:pPr>
        <w:jc w:val="center"/>
        <w:rPr>
          <w:rFonts w:hint="eastAsia" w:ascii="宋体" w:hAnsi="宋体" w:cs="方正小标宋简体"/>
          <w:color w:val="000000" w:themeColor="text1"/>
          <w:sz w:val="44"/>
          <w:szCs w:val="44"/>
          <w:highlight w:val="none"/>
          <w14:textFill>
            <w14:solidFill>
              <w14:schemeClr w14:val="tx1"/>
            </w14:solidFill>
          </w14:textFill>
        </w:rPr>
      </w:pPr>
      <w:r>
        <w:rPr>
          <w:rFonts w:hint="eastAsia" w:ascii="宋体" w:hAnsi="宋体" w:cs="方正小标宋简体"/>
          <w:color w:val="000000" w:themeColor="text1"/>
          <w:sz w:val="44"/>
          <w:szCs w:val="44"/>
          <w:highlight w:val="none"/>
          <w14:textFill>
            <w14:solidFill>
              <w14:schemeClr w14:val="tx1"/>
            </w14:solidFill>
          </w14:textFill>
        </w:rPr>
        <w:t>中小企业声明函（服务）</w:t>
      </w:r>
    </w:p>
    <w:p w14:paraId="226D24BA">
      <w:pPr>
        <w:spacing w:before="2" w:line="500" w:lineRule="exact"/>
        <w:rPr>
          <w:rFonts w:ascii="宋体" w:hAnsi="宋体" w:cs="宋体"/>
          <w:b/>
          <w:bCs/>
          <w:color w:val="000000" w:themeColor="text1"/>
          <w:sz w:val="27"/>
          <w:szCs w:val="27"/>
          <w:highlight w:val="none"/>
          <w14:textFill>
            <w14:solidFill>
              <w14:schemeClr w14:val="tx1"/>
            </w14:solidFill>
          </w14:textFill>
        </w:rPr>
      </w:pPr>
    </w:p>
    <w:p w14:paraId="0EF65124">
      <w:pPr>
        <w:pStyle w:val="19"/>
        <w:spacing w:line="360" w:lineRule="auto"/>
        <w:ind w:left="-426" w:leftChars="-203" w:right="142" w:firstLine="480" w:firstLineChars="200"/>
        <w:contextualSpacing/>
        <w:rPr>
          <w:rFonts w:hint="eastAsia" w:ascii="宋体" w:hAnsi="宋体"/>
          <w:color w:val="000000" w:themeColor="text1"/>
          <w:kern w:val="24"/>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本公司（联合体）郑重声明，根据《政府采购促进中小企业发展管理办法》（财库﹝2020﹞46号）的规定，本公司（联合体）参加</w:t>
      </w:r>
      <w:r>
        <w:rPr>
          <w:rFonts w:ascii="宋体" w:hAnsi="宋体"/>
          <w:color w:val="000000" w:themeColor="text1"/>
          <w:highlight w:val="none"/>
          <w:u w:val="single"/>
          <w14:textFill>
            <w14:solidFill>
              <w14:schemeClr w14:val="tx1"/>
            </w14:solidFill>
          </w14:textFill>
        </w:rPr>
        <w:t>（单位名称）</w:t>
      </w:r>
      <w:r>
        <w:rPr>
          <w:rFonts w:ascii="宋体" w:hAnsi="宋体"/>
          <w:color w:val="000000" w:themeColor="text1"/>
          <w:highlight w:val="none"/>
          <w14:textFill>
            <w14:solidFill>
              <w14:schemeClr w14:val="tx1"/>
            </w14:solidFill>
          </w14:textFill>
        </w:rPr>
        <w:t>的</w:t>
      </w:r>
      <w:r>
        <w:rPr>
          <w:rFonts w:ascii="宋体" w:hAnsi="宋体"/>
          <w:color w:val="000000" w:themeColor="text1"/>
          <w:highlight w:val="none"/>
          <w:u w:val="single"/>
          <w14:textFill>
            <w14:solidFill>
              <w14:schemeClr w14:val="tx1"/>
            </w14:solidFill>
          </w14:textFill>
        </w:rPr>
        <w:t>（项目名称）</w:t>
      </w:r>
      <w:r>
        <w:rPr>
          <w:rFonts w:ascii="宋体" w:hAnsi="宋体"/>
          <w:color w:val="000000" w:themeColor="text1"/>
          <w:highlight w:val="none"/>
          <w14:textFill>
            <w14:solidFill>
              <w14:schemeClr w14:val="tx1"/>
            </w14:solidFill>
          </w14:textFill>
        </w:rPr>
        <w:t>采购活动，</w:t>
      </w:r>
      <w:r>
        <w:rPr>
          <w:rFonts w:hint="eastAsia" w:ascii="宋体" w:hAnsi="宋体"/>
          <w:color w:val="000000" w:themeColor="text1"/>
          <w:highlight w:val="none"/>
          <w14:textFill>
            <w14:solidFill>
              <w14:schemeClr w14:val="tx1"/>
            </w14:solidFill>
          </w14:textFill>
        </w:rPr>
        <w:t>服务全部由符合政策要求的中小企业承接。相关企业（含联合体中的中小企业、签订分包意向协议的中小企业）的具体情况如下：</w:t>
      </w:r>
    </w:p>
    <w:p w14:paraId="22ABCE58">
      <w:pPr>
        <w:tabs>
          <w:tab w:val="left" w:pos="1384"/>
          <w:tab w:val="left" w:pos="4562"/>
          <w:tab w:val="left" w:pos="6803"/>
        </w:tabs>
        <w:spacing w:line="360" w:lineRule="auto"/>
        <w:ind w:left="-426" w:right="-58" w:firstLine="655"/>
        <w:contextualSpacing/>
        <w:rPr>
          <w:rFonts w:ascii="宋体" w:hAnsi="宋体"/>
          <w:color w:val="000000" w:themeColor="text1"/>
          <w:kern w:val="24"/>
          <w:sz w:val="24"/>
          <w:highlight w:val="none"/>
          <w14:textFill>
            <w14:solidFill>
              <w14:schemeClr w14:val="tx1"/>
            </w14:solidFill>
          </w14:textFill>
        </w:rPr>
      </w:pPr>
      <w:r>
        <w:rPr>
          <w:rFonts w:ascii="宋体" w:hAnsi="宋体"/>
          <w:color w:val="000000" w:themeColor="text1"/>
          <w:kern w:val="24"/>
          <w:sz w:val="24"/>
          <w:highlight w:val="none"/>
          <w14:textFill>
            <w14:solidFill>
              <w14:schemeClr w14:val="tx1"/>
            </w14:solidFill>
          </w14:textFill>
        </w:rPr>
        <w:t>1.</w:t>
      </w:r>
      <w:r>
        <w:rPr>
          <w:rFonts w:ascii="宋体" w:hAnsi="宋体"/>
          <w:color w:val="000000" w:themeColor="text1"/>
          <w:kern w:val="24"/>
          <w:sz w:val="24"/>
          <w:highlight w:val="none"/>
          <w:u w:val="single"/>
          <w14:textFill>
            <w14:solidFill>
              <w14:schemeClr w14:val="tx1"/>
            </w14:solidFill>
          </w14:textFill>
        </w:rPr>
        <w:t>（标的名称</w:t>
      </w:r>
      <w:r>
        <w:rPr>
          <w:rFonts w:hint="eastAsia" w:ascii="宋体" w:hAnsi="宋体"/>
          <w:color w:val="000000" w:themeColor="text1"/>
          <w:kern w:val="24"/>
          <w:sz w:val="24"/>
          <w:highlight w:val="none"/>
          <w:u w:val="single"/>
          <w14:textFill>
            <w14:solidFill>
              <w14:schemeClr w14:val="tx1"/>
            </w14:solidFill>
          </w14:textFill>
        </w:rPr>
        <w:t>/服务内容</w:t>
      </w:r>
      <w:r>
        <w:rPr>
          <w:rFonts w:ascii="宋体" w:hAnsi="宋体"/>
          <w:color w:val="000000" w:themeColor="text1"/>
          <w:kern w:val="24"/>
          <w:sz w:val="24"/>
          <w:highlight w:val="none"/>
          <w:u w:val="single"/>
          <w14:textFill>
            <w14:solidFill>
              <w14:schemeClr w14:val="tx1"/>
            </w14:solidFill>
          </w14:textFill>
        </w:rPr>
        <w:t>）</w:t>
      </w:r>
      <w:r>
        <w:rPr>
          <w:rFonts w:ascii="宋体" w:hAnsi="宋体"/>
          <w:color w:val="000000" w:themeColor="text1"/>
          <w:kern w:val="24"/>
          <w:sz w:val="24"/>
          <w:highlight w:val="none"/>
          <w14:textFill>
            <w14:solidFill>
              <w14:schemeClr w14:val="tx1"/>
            </w14:solidFill>
          </w14:textFill>
        </w:rPr>
        <w:t>，属于</w:t>
      </w:r>
      <w:r>
        <w:rPr>
          <w:rFonts w:ascii="宋体" w:hAnsi="宋体"/>
          <w:color w:val="000000" w:themeColor="text1"/>
          <w:kern w:val="24"/>
          <w:sz w:val="24"/>
          <w:highlight w:val="none"/>
          <w:u w:val="single"/>
          <w14:textFill>
            <w14:solidFill>
              <w14:schemeClr w14:val="tx1"/>
            </w14:solidFill>
          </w14:textFill>
        </w:rPr>
        <w:t>（采购文件中明确的所属行业）</w:t>
      </w:r>
      <w:r>
        <w:rPr>
          <w:rFonts w:ascii="宋体" w:hAnsi="宋体"/>
          <w:color w:val="000000" w:themeColor="text1"/>
          <w:kern w:val="24"/>
          <w:sz w:val="24"/>
          <w:highlight w:val="none"/>
          <w14:textFill>
            <w14:solidFill>
              <w14:schemeClr w14:val="tx1"/>
            </w14:solidFill>
          </w14:textFill>
        </w:rPr>
        <w:t>行业；制造商</w:t>
      </w:r>
      <w:r>
        <w:rPr>
          <w:rFonts w:hint="eastAsia" w:ascii="宋体" w:hAnsi="宋体"/>
          <w:color w:val="000000" w:themeColor="text1"/>
          <w:kern w:val="24"/>
          <w:sz w:val="24"/>
          <w:highlight w:val="none"/>
          <w14:textFill>
            <w14:solidFill>
              <w14:schemeClr w14:val="tx1"/>
            </w14:solidFill>
          </w14:textFill>
        </w:rPr>
        <w:t>/承接企业</w:t>
      </w:r>
      <w:r>
        <w:rPr>
          <w:rFonts w:ascii="宋体" w:hAnsi="宋体"/>
          <w:color w:val="000000" w:themeColor="text1"/>
          <w:kern w:val="24"/>
          <w:sz w:val="24"/>
          <w:highlight w:val="none"/>
          <w14:textFill>
            <w14:solidFill>
              <w14:schemeClr w14:val="tx1"/>
            </w14:solidFill>
          </w14:textFill>
        </w:rPr>
        <w:t>为</w:t>
      </w:r>
      <w:r>
        <w:rPr>
          <w:rFonts w:ascii="宋体" w:hAnsi="宋体"/>
          <w:color w:val="000000" w:themeColor="text1"/>
          <w:kern w:val="24"/>
          <w:sz w:val="24"/>
          <w:highlight w:val="none"/>
          <w:u w:val="single"/>
          <w14:textFill>
            <w14:solidFill>
              <w14:schemeClr w14:val="tx1"/>
            </w14:solidFill>
          </w14:textFill>
        </w:rPr>
        <w:t>（企业名称）</w:t>
      </w:r>
      <w:r>
        <w:rPr>
          <w:rFonts w:ascii="宋体" w:hAnsi="宋体"/>
          <w:color w:val="000000" w:themeColor="text1"/>
          <w:kern w:val="24"/>
          <w:sz w:val="24"/>
          <w:highlight w:val="none"/>
          <w14:textFill>
            <w14:solidFill>
              <w14:schemeClr w14:val="tx1"/>
            </w14:solidFill>
          </w14:textFill>
        </w:rPr>
        <w:t>，从业人员</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人，营业收入为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万元，资产总额为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万元，属于</w:t>
      </w:r>
      <w:r>
        <w:rPr>
          <w:rFonts w:ascii="宋体" w:hAnsi="宋体"/>
          <w:color w:val="000000" w:themeColor="text1"/>
          <w:kern w:val="24"/>
          <w:sz w:val="24"/>
          <w:highlight w:val="none"/>
          <w:u w:val="single"/>
          <w14:textFill>
            <w14:solidFill>
              <w14:schemeClr w14:val="tx1"/>
            </w14:solidFill>
          </w14:textFill>
        </w:rPr>
        <w:t>（中型企业、小型企业、微型企业）</w:t>
      </w:r>
      <w:r>
        <w:rPr>
          <w:rFonts w:ascii="宋体" w:hAnsi="宋体"/>
          <w:color w:val="000000" w:themeColor="text1"/>
          <w:kern w:val="24"/>
          <w:sz w:val="24"/>
          <w:highlight w:val="none"/>
          <w14:textFill>
            <w14:solidFill>
              <w14:schemeClr w14:val="tx1"/>
            </w14:solidFill>
          </w14:textFill>
        </w:rPr>
        <w:t>；</w:t>
      </w:r>
    </w:p>
    <w:p w14:paraId="6CC17333">
      <w:pPr>
        <w:tabs>
          <w:tab w:val="left" w:pos="1065"/>
          <w:tab w:val="left" w:pos="6477"/>
        </w:tabs>
        <w:spacing w:line="360" w:lineRule="auto"/>
        <w:ind w:left="-426" w:right="-58" w:firstLine="655"/>
        <w:contextualSpacing/>
        <w:rPr>
          <w:rFonts w:ascii="宋体" w:hAnsi="宋体"/>
          <w:color w:val="000000" w:themeColor="text1"/>
          <w:kern w:val="24"/>
          <w:sz w:val="24"/>
          <w:highlight w:val="none"/>
          <w14:textFill>
            <w14:solidFill>
              <w14:schemeClr w14:val="tx1"/>
            </w14:solidFill>
          </w14:textFill>
        </w:rPr>
      </w:pPr>
      <w:r>
        <w:rPr>
          <w:rFonts w:ascii="宋体" w:hAnsi="宋体"/>
          <w:color w:val="000000" w:themeColor="text1"/>
          <w:kern w:val="24"/>
          <w:sz w:val="24"/>
          <w:highlight w:val="none"/>
          <w14:textFill>
            <w14:solidFill>
              <w14:schemeClr w14:val="tx1"/>
            </w14:solidFill>
          </w14:textFill>
        </w:rPr>
        <w:t>2.</w:t>
      </w:r>
      <w:r>
        <w:rPr>
          <w:rFonts w:ascii="宋体" w:hAnsi="宋体"/>
          <w:color w:val="000000" w:themeColor="text1"/>
          <w:kern w:val="24"/>
          <w:sz w:val="24"/>
          <w:highlight w:val="none"/>
          <w:u w:val="single"/>
          <w14:textFill>
            <w14:solidFill>
              <w14:schemeClr w14:val="tx1"/>
            </w14:solidFill>
          </w14:textFill>
        </w:rPr>
        <w:t>（标的名称</w:t>
      </w:r>
      <w:r>
        <w:rPr>
          <w:rFonts w:hint="eastAsia" w:ascii="宋体" w:hAnsi="宋体"/>
          <w:color w:val="000000" w:themeColor="text1"/>
          <w:kern w:val="24"/>
          <w:sz w:val="24"/>
          <w:highlight w:val="none"/>
          <w:u w:val="single"/>
          <w14:textFill>
            <w14:solidFill>
              <w14:schemeClr w14:val="tx1"/>
            </w14:solidFill>
          </w14:textFill>
        </w:rPr>
        <w:t>/服务内容</w:t>
      </w:r>
      <w:r>
        <w:rPr>
          <w:rFonts w:ascii="宋体" w:hAnsi="宋体"/>
          <w:color w:val="000000" w:themeColor="text1"/>
          <w:kern w:val="24"/>
          <w:sz w:val="24"/>
          <w:highlight w:val="none"/>
          <w:u w:val="single"/>
          <w14:textFill>
            <w14:solidFill>
              <w14:schemeClr w14:val="tx1"/>
            </w14:solidFill>
          </w14:textFill>
        </w:rPr>
        <w:t>）</w:t>
      </w:r>
      <w:r>
        <w:rPr>
          <w:rFonts w:ascii="宋体" w:hAnsi="宋体"/>
          <w:color w:val="000000" w:themeColor="text1"/>
          <w:kern w:val="24"/>
          <w:sz w:val="24"/>
          <w:highlight w:val="none"/>
          <w14:textFill>
            <w14:solidFill>
              <w14:schemeClr w14:val="tx1"/>
            </w14:solidFill>
          </w14:textFill>
        </w:rPr>
        <w:t>，属于</w:t>
      </w:r>
      <w:r>
        <w:rPr>
          <w:rFonts w:ascii="宋体" w:hAnsi="宋体"/>
          <w:color w:val="000000" w:themeColor="text1"/>
          <w:kern w:val="24"/>
          <w:sz w:val="24"/>
          <w:highlight w:val="none"/>
          <w:u w:val="single"/>
          <w14:textFill>
            <w14:solidFill>
              <w14:schemeClr w14:val="tx1"/>
            </w14:solidFill>
          </w14:textFill>
        </w:rPr>
        <w:t>（采购文件中明确的所属行业）</w:t>
      </w:r>
      <w:r>
        <w:rPr>
          <w:rFonts w:ascii="宋体" w:hAnsi="宋体"/>
          <w:color w:val="000000" w:themeColor="text1"/>
          <w:kern w:val="24"/>
          <w:sz w:val="24"/>
          <w:highlight w:val="none"/>
          <w14:textFill>
            <w14:solidFill>
              <w14:schemeClr w14:val="tx1"/>
            </w14:solidFill>
          </w14:textFill>
        </w:rPr>
        <w:t>行业；制造商</w:t>
      </w:r>
      <w:r>
        <w:rPr>
          <w:rFonts w:hint="eastAsia" w:ascii="宋体" w:hAnsi="宋体"/>
          <w:color w:val="000000" w:themeColor="text1"/>
          <w:kern w:val="24"/>
          <w:sz w:val="24"/>
          <w:highlight w:val="none"/>
          <w14:textFill>
            <w14:solidFill>
              <w14:schemeClr w14:val="tx1"/>
            </w14:solidFill>
          </w14:textFill>
        </w:rPr>
        <w:t>/承接企业</w:t>
      </w:r>
      <w:r>
        <w:rPr>
          <w:rFonts w:ascii="宋体" w:hAnsi="宋体"/>
          <w:color w:val="000000" w:themeColor="text1"/>
          <w:kern w:val="24"/>
          <w:sz w:val="24"/>
          <w:highlight w:val="none"/>
          <w14:textFill>
            <w14:solidFill>
              <w14:schemeClr w14:val="tx1"/>
            </w14:solidFill>
          </w14:textFill>
        </w:rPr>
        <w:t>为</w:t>
      </w:r>
      <w:r>
        <w:rPr>
          <w:rFonts w:ascii="宋体" w:hAnsi="宋体"/>
          <w:color w:val="000000" w:themeColor="text1"/>
          <w:kern w:val="24"/>
          <w:sz w:val="24"/>
          <w:highlight w:val="none"/>
          <w:u w:val="single"/>
          <w14:textFill>
            <w14:solidFill>
              <w14:schemeClr w14:val="tx1"/>
            </w14:solidFill>
          </w14:textFill>
        </w:rPr>
        <w:t>（企业名称）</w:t>
      </w:r>
      <w:r>
        <w:rPr>
          <w:rFonts w:ascii="宋体" w:hAnsi="宋体"/>
          <w:color w:val="000000" w:themeColor="text1"/>
          <w:kern w:val="24"/>
          <w:sz w:val="24"/>
          <w:highlight w:val="none"/>
          <w14:textFill>
            <w14:solidFill>
              <w14:schemeClr w14:val="tx1"/>
            </w14:solidFill>
          </w14:textFill>
        </w:rPr>
        <w:t>，从业人员</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人，营业收入为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万元，资产总额为</w:t>
      </w:r>
      <w:r>
        <w:rPr>
          <w:rFonts w:hint="eastAsia"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u w:val="single"/>
          <w14:textFill>
            <w14:solidFill>
              <w14:schemeClr w14:val="tx1"/>
            </w14:solidFill>
          </w14:textFill>
        </w:rPr>
        <w:t xml:space="preserve">     </w:t>
      </w:r>
      <w:r>
        <w:rPr>
          <w:rFonts w:ascii="宋体" w:hAnsi="宋体"/>
          <w:color w:val="000000" w:themeColor="text1"/>
          <w:kern w:val="24"/>
          <w:sz w:val="24"/>
          <w:highlight w:val="none"/>
          <w14:textFill>
            <w14:solidFill>
              <w14:schemeClr w14:val="tx1"/>
            </w14:solidFill>
          </w14:textFill>
        </w:rPr>
        <w:t>万元，属于</w:t>
      </w:r>
      <w:r>
        <w:rPr>
          <w:rFonts w:ascii="宋体" w:hAnsi="宋体"/>
          <w:color w:val="000000" w:themeColor="text1"/>
          <w:kern w:val="24"/>
          <w:sz w:val="24"/>
          <w:highlight w:val="none"/>
          <w:u w:val="single"/>
          <w14:textFill>
            <w14:solidFill>
              <w14:schemeClr w14:val="tx1"/>
            </w14:solidFill>
          </w14:textFill>
        </w:rPr>
        <w:t>（中型企业、小型企业、微型企业）</w:t>
      </w:r>
      <w:r>
        <w:rPr>
          <w:rFonts w:ascii="宋体" w:hAnsi="宋体"/>
          <w:color w:val="000000" w:themeColor="text1"/>
          <w:kern w:val="24"/>
          <w:sz w:val="24"/>
          <w:highlight w:val="none"/>
          <w14:textFill>
            <w14:solidFill>
              <w14:schemeClr w14:val="tx1"/>
            </w14:solidFill>
          </w14:textFill>
        </w:rPr>
        <w:t>；</w:t>
      </w:r>
    </w:p>
    <w:p w14:paraId="332215A6">
      <w:pPr>
        <w:pStyle w:val="19"/>
        <w:spacing w:line="360" w:lineRule="auto"/>
        <w:ind w:left="142" w:right="142"/>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 xml:space="preserve">…… </w:t>
      </w:r>
    </w:p>
    <w:p w14:paraId="1CC51D5B">
      <w:pPr>
        <w:pStyle w:val="19"/>
        <w:spacing w:line="360" w:lineRule="auto"/>
        <w:ind w:left="-405" w:leftChars="-193" w:right="142" w:firstLine="453" w:firstLineChars="189"/>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以上企业，不属于大企业的分支机构，不存在控股股东为大企业的情形，也不存在与大企业的负责人为同一人的情形。</w:t>
      </w:r>
    </w:p>
    <w:p w14:paraId="2C9E4C16">
      <w:pPr>
        <w:pStyle w:val="19"/>
        <w:spacing w:line="360" w:lineRule="auto"/>
        <w:ind w:left="-426" w:right="142" w:firstLine="567"/>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本企业对上述声明内容的真实性负责。如有虚假，将依法承担相应责任。</w:t>
      </w:r>
    </w:p>
    <w:p w14:paraId="679937CF">
      <w:pPr>
        <w:pStyle w:val="19"/>
        <w:spacing w:line="360" w:lineRule="auto"/>
        <w:ind w:left="3960" w:right="1808"/>
        <w:contextualSpacing/>
        <w:rPr>
          <w:rFonts w:hint="eastAsia" w:ascii="宋体" w:hAnsi="宋体"/>
          <w:color w:val="000000" w:themeColor="text1"/>
          <w:kern w:val="24"/>
          <w:highlight w:val="none"/>
          <w14:textFill>
            <w14:solidFill>
              <w14:schemeClr w14:val="tx1"/>
            </w14:solidFill>
          </w14:textFill>
        </w:rPr>
      </w:pPr>
    </w:p>
    <w:p w14:paraId="3EB6C042">
      <w:pPr>
        <w:pStyle w:val="19"/>
        <w:spacing w:line="360" w:lineRule="auto"/>
        <w:ind w:left="3960" w:right="1808"/>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 xml:space="preserve">企业名称（章）： </w:t>
      </w:r>
    </w:p>
    <w:p w14:paraId="420937CE">
      <w:pPr>
        <w:pStyle w:val="19"/>
        <w:spacing w:line="360" w:lineRule="auto"/>
        <w:ind w:left="3960" w:right="1808"/>
        <w:contextualSpacing/>
        <w:rPr>
          <w:rFonts w:ascii="宋体" w:hAnsi="宋体"/>
          <w:color w:val="000000" w:themeColor="text1"/>
          <w:kern w:val="24"/>
          <w:highlight w:val="none"/>
          <w14:textFill>
            <w14:solidFill>
              <w14:schemeClr w14:val="tx1"/>
            </w14:solidFill>
          </w14:textFill>
        </w:rPr>
      </w:pPr>
      <w:r>
        <w:rPr>
          <w:rFonts w:ascii="宋体" w:hAnsi="宋体"/>
          <w:color w:val="000000" w:themeColor="text1"/>
          <w:kern w:val="24"/>
          <w:highlight w:val="none"/>
          <w14:textFill>
            <w14:solidFill>
              <w14:schemeClr w14:val="tx1"/>
            </w14:solidFill>
          </w14:textFill>
        </w:rPr>
        <w:t>日</w:t>
      </w:r>
      <w:r>
        <w:rPr>
          <w:rFonts w:hint="eastAsia" w:ascii="宋体" w:hAnsi="宋体"/>
          <w:color w:val="000000" w:themeColor="text1"/>
          <w:kern w:val="24"/>
          <w:highlight w:val="none"/>
          <w14:textFill>
            <w14:solidFill>
              <w14:schemeClr w14:val="tx1"/>
            </w14:solidFill>
          </w14:textFill>
        </w:rPr>
        <w:t xml:space="preserve"> </w:t>
      </w:r>
      <w:r>
        <w:rPr>
          <w:rFonts w:ascii="宋体" w:hAnsi="宋体"/>
          <w:color w:val="000000" w:themeColor="text1"/>
          <w:kern w:val="24"/>
          <w:highlight w:val="none"/>
          <w14:textFill>
            <w14:solidFill>
              <w14:schemeClr w14:val="tx1"/>
            </w14:solidFill>
          </w14:textFill>
        </w:rPr>
        <w:t>期：</w:t>
      </w:r>
    </w:p>
    <w:p w14:paraId="3FFB9D02">
      <w:pPr>
        <w:pStyle w:val="19"/>
        <w:spacing w:line="360" w:lineRule="auto"/>
        <w:ind w:left="3960" w:right="1808"/>
        <w:contextualSpacing/>
        <w:rPr>
          <w:rFonts w:ascii="宋体" w:hAnsi="宋体"/>
          <w:color w:val="000000" w:themeColor="text1"/>
          <w:kern w:val="24"/>
          <w:highlight w:val="none"/>
          <w14:textFill>
            <w14:solidFill>
              <w14:schemeClr w14:val="tx1"/>
            </w14:solidFill>
          </w14:textFill>
        </w:rPr>
      </w:pPr>
    </w:p>
    <w:p w14:paraId="65B539F6">
      <w:pPr>
        <w:pStyle w:val="19"/>
        <w:spacing w:line="360" w:lineRule="auto"/>
        <w:ind w:left="3960" w:right="1808"/>
        <w:contextualSpacing/>
        <w:rPr>
          <w:rFonts w:ascii="宋体" w:hAnsi="宋体"/>
          <w:color w:val="000000" w:themeColor="text1"/>
          <w:kern w:val="24"/>
          <w:highlight w:val="none"/>
          <w14:textFill>
            <w14:solidFill>
              <w14:schemeClr w14:val="tx1"/>
            </w14:solidFill>
          </w14:textFill>
        </w:rPr>
      </w:pPr>
    </w:p>
    <w:p w14:paraId="2959122A">
      <w:pPr>
        <w:pStyle w:val="19"/>
        <w:spacing w:line="360" w:lineRule="auto"/>
        <w:ind w:left="-426" w:right="142" w:firstLine="567"/>
        <w:contextualSpacing/>
        <w:rPr>
          <w:rFonts w:hint="eastAsia" w:ascii="宋体" w:hAnsi="宋体"/>
          <w:color w:val="000000" w:themeColor="text1"/>
          <w:kern w:val="24"/>
          <w:highlight w:val="none"/>
          <w14:textFill>
            <w14:solidFill>
              <w14:schemeClr w14:val="tx1"/>
            </w14:solidFill>
          </w14:textFill>
        </w:rPr>
      </w:pPr>
      <w:r>
        <w:rPr>
          <w:rFonts w:hint="eastAsia" w:ascii="宋体" w:hAnsi="宋体"/>
          <w:color w:val="000000" w:themeColor="text1"/>
          <w:kern w:val="24"/>
          <w:highlight w:val="none"/>
          <w14:textFill>
            <w14:solidFill>
              <w14:schemeClr w14:val="tx1"/>
            </w14:solidFill>
          </w14:textFill>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371545CE">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60B0D15E">
      <w:pPr>
        <w:pStyle w:val="26"/>
        <w:jc w:val="left"/>
        <w:rPr>
          <w:rFonts w:hint="eastAsia" w:ascii="Arial Unicode MS" w:hAnsi="Arial Unicode MS" w:eastAsia="Arial Unicode MS" w:cs="Arial Unicode MS"/>
          <w:color w:val="000000" w:themeColor="text1"/>
          <w:sz w:val="32"/>
          <w:szCs w:val="32"/>
          <w:highlight w:val="none"/>
          <w14:textFill>
            <w14:solidFill>
              <w14:schemeClr w14:val="tx1"/>
            </w14:solidFill>
          </w14:textFill>
        </w:rPr>
      </w:pPr>
      <w:r>
        <w:rPr>
          <w:rFonts w:ascii="Arial Unicode MS" w:hAnsi="Arial Unicode MS" w:eastAsia="Arial Unicode MS" w:cs="Arial Unicode MS"/>
          <w:color w:val="000000" w:themeColor="text1"/>
          <w:sz w:val="32"/>
          <w:szCs w:val="32"/>
          <w:highlight w:val="none"/>
          <w14:textFill>
            <w14:solidFill>
              <w14:schemeClr w14:val="tx1"/>
            </w14:solidFill>
          </w14:textFill>
        </w:rPr>
        <w:br w:type="page"/>
      </w:r>
      <w:r>
        <w:rPr>
          <w:rFonts w:hint="eastAsia" w:ascii="Arial Unicode MS" w:hAnsi="Arial Unicode MS" w:eastAsia="Arial Unicode MS" w:cs="Arial Unicode MS"/>
          <w:color w:val="000000" w:themeColor="text1"/>
          <w:sz w:val="32"/>
          <w:szCs w:val="32"/>
          <w:highlight w:val="none"/>
          <w14:textFill>
            <w14:solidFill>
              <w14:schemeClr w14:val="tx1"/>
            </w14:solidFill>
          </w14:textFill>
        </w:rPr>
        <w:t>附：</w:t>
      </w:r>
    </w:p>
    <w:p w14:paraId="2D49F883">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cs="Arial Unicode MS"/>
          <w:color w:val="000000" w:themeColor="text1"/>
          <w:sz w:val="44"/>
          <w:szCs w:val="44"/>
          <w:highlight w:val="none"/>
          <w14:textFill>
            <w14:solidFill>
              <w14:schemeClr w14:val="tx1"/>
            </w14:solidFill>
          </w14:textFill>
        </w:rPr>
      </w:pPr>
      <w:r>
        <w:rPr>
          <w:rFonts w:hint="eastAsia" w:ascii="宋体" w:hAnsi="宋体" w:cs="Arial Unicode MS"/>
          <w:color w:val="000000" w:themeColor="text1"/>
          <w:sz w:val="44"/>
          <w:szCs w:val="44"/>
          <w:highlight w:val="none"/>
          <w14:textFill>
            <w14:solidFill>
              <w14:schemeClr w14:val="tx1"/>
            </w14:solidFill>
          </w14:textFill>
        </w:rPr>
        <w:t>中小微企业划型标准</w:t>
      </w:r>
    </w:p>
    <w:p w14:paraId="53811B9F">
      <w:pPr>
        <w:ind w:left="1871"/>
        <w:rPr>
          <w:rFonts w:hint="eastAsia" w:ascii="宋体" w:hAnsi="宋体" w:cs="Arial Unicode MS"/>
          <w:color w:val="000000" w:themeColor="text1"/>
          <w:szCs w:val="21"/>
          <w:highlight w:val="none"/>
          <w14:textFill>
            <w14:solidFill>
              <w14:schemeClr w14:val="tx1"/>
            </w14:solidFill>
          </w14:textFill>
        </w:rPr>
      </w:pPr>
    </w:p>
    <w:tbl>
      <w:tblPr>
        <w:tblStyle w:val="53"/>
        <w:tblW w:w="7983" w:type="dxa"/>
        <w:tblInd w:w="250" w:type="dxa"/>
        <w:tblLayout w:type="fixed"/>
        <w:tblCellMar>
          <w:top w:w="0" w:type="dxa"/>
          <w:left w:w="108" w:type="dxa"/>
          <w:bottom w:w="0" w:type="dxa"/>
          <w:right w:w="108" w:type="dxa"/>
        </w:tblCellMar>
      </w:tblPr>
      <w:tblGrid>
        <w:gridCol w:w="1701"/>
        <w:gridCol w:w="1384"/>
        <w:gridCol w:w="913"/>
        <w:gridCol w:w="1620"/>
        <w:gridCol w:w="1440"/>
        <w:gridCol w:w="925"/>
      </w:tblGrid>
      <w:tr w14:paraId="628ACD63">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vAlign w:val="center"/>
          </w:tcPr>
          <w:p w14:paraId="730BB4EF">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行业名称</w:t>
            </w:r>
          </w:p>
        </w:tc>
        <w:tc>
          <w:tcPr>
            <w:tcW w:w="1384" w:type="dxa"/>
            <w:tcBorders>
              <w:top w:val="single" w:color="auto" w:sz="4" w:space="0"/>
              <w:left w:val="nil"/>
              <w:bottom w:val="single" w:color="auto" w:sz="4" w:space="0"/>
              <w:right w:val="single" w:color="auto" w:sz="4" w:space="0"/>
            </w:tcBorders>
            <w:vAlign w:val="center"/>
          </w:tcPr>
          <w:p w14:paraId="51FEB8E4">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指标名称</w:t>
            </w:r>
          </w:p>
        </w:tc>
        <w:tc>
          <w:tcPr>
            <w:tcW w:w="913" w:type="dxa"/>
            <w:tcBorders>
              <w:top w:val="single" w:color="auto" w:sz="4" w:space="0"/>
              <w:left w:val="nil"/>
              <w:bottom w:val="single" w:color="auto" w:sz="4" w:space="0"/>
              <w:right w:val="single" w:color="auto" w:sz="4" w:space="0"/>
            </w:tcBorders>
            <w:vAlign w:val="center"/>
          </w:tcPr>
          <w:p w14:paraId="644B81A4">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计量单位</w:t>
            </w:r>
          </w:p>
        </w:tc>
        <w:tc>
          <w:tcPr>
            <w:tcW w:w="1620" w:type="dxa"/>
            <w:tcBorders>
              <w:top w:val="single" w:color="auto" w:sz="4" w:space="0"/>
              <w:left w:val="nil"/>
              <w:bottom w:val="single" w:color="auto" w:sz="4" w:space="0"/>
              <w:right w:val="single" w:color="auto" w:sz="4" w:space="0"/>
            </w:tcBorders>
            <w:vAlign w:val="center"/>
          </w:tcPr>
          <w:p w14:paraId="7E6DDE61">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中型</w:t>
            </w:r>
          </w:p>
        </w:tc>
        <w:tc>
          <w:tcPr>
            <w:tcW w:w="1440" w:type="dxa"/>
            <w:tcBorders>
              <w:top w:val="single" w:color="auto" w:sz="4" w:space="0"/>
              <w:left w:val="nil"/>
              <w:bottom w:val="single" w:color="auto" w:sz="4" w:space="0"/>
              <w:right w:val="single" w:color="auto" w:sz="4" w:space="0"/>
            </w:tcBorders>
            <w:vAlign w:val="center"/>
          </w:tcPr>
          <w:p w14:paraId="56235FF7">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小型</w:t>
            </w:r>
          </w:p>
        </w:tc>
        <w:tc>
          <w:tcPr>
            <w:tcW w:w="925" w:type="dxa"/>
            <w:tcBorders>
              <w:top w:val="single" w:color="auto" w:sz="4" w:space="0"/>
              <w:left w:val="nil"/>
              <w:bottom w:val="single" w:color="auto" w:sz="4" w:space="0"/>
              <w:right w:val="single" w:color="auto" w:sz="4" w:space="0"/>
            </w:tcBorders>
            <w:vAlign w:val="center"/>
          </w:tcPr>
          <w:p w14:paraId="4F403900">
            <w:pPr>
              <w:widowControl/>
              <w:jc w:val="left"/>
              <w:rPr>
                <w:rFonts w:ascii="仿宋_GB2312" w:hAnsi="仿宋" w:eastAsia="仿宋_GB2312" w:cs="宋体"/>
                <w:b/>
                <w:color w:val="000000" w:themeColor="text1"/>
                <w:kern w:val="0"/>
                <w:sz w:val="24"/>
                <w:highlight w:val="none"/>
                <w14:textFill>
                  <w14:solidFill>
                    <w14:schemeClr w14:val="tx1"/>
                  </w14:solidFill>
                </w14:textFill>
              </w:rPr>
            </w:pPr>
            <w:r>
              <w:rPr>
                <w:rFonts w:hint="eastAsia" w:ascii="仿宋_GB2312" w:hAnsi="仿宋" w:eastAsia="仿宋_GB2312" w:cs="宋体"/>
                <w:b/>
                <w:color w:val="000000" w:themeColor="text1"/>
                <w:kern w:val="0"/>
                <w:sz w:val="24"/>
                <w:highlight w:val="none"/>
                <w14:textFill>
                  <w14:solidFill>
                    <w14:schemeClr w14:val="tx1"/>
                  </w14:solidFill>
                </w14:textFill>
              </w:rPr>
              <w:t>微型</w:t>
            </w:r>
          </w:p>
        </w:tc>
      </w:tr>
      <w:tr w14:paraId="0E8009E1">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786CBEA7">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农、林、牧、渔</w:t>
            </w:r>
          </w:p>
        </w:tc>
        <w:tc>
          <w:tcPr>
            <w:tcW w:w="1384" w:type="dxa"/>
            <w:tcBorders>
              <w:top w:val="nil"/>
              <w:left w:val="nil"/>
              <w:bottom w:val="single" w:color="auto" w:sz="4" w:space="0"/>
              <w:right w:val="single" w:color="auto" w:sz="4" w:space="0"/>
            </w:tcBorders>
            <w:vAlign w:val="center"/>
          </w:tcPr>
          <w:p w14:paraId="1C15453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1954E7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90EAAB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500≤Y＜20000</w:t>
            </w:r>
          </w:p>
        </w:tc>
        <w:tc>
          <w:tcPr>
            <w:tcW w:w="1440" w:type="dxa"/>
            <w:tcBorders>
              <w:top w:val="nil"/>
              <w:left w:val="nil"/>
              <w:bottom w:val="single" w:color="auto" w:sz="4" w:space="0"/>
              <w:right w:val="single" w:color="auto" w:sz="4" w:space="0"/>
            </w:tcBorders>
            <w:vAlign w:val="center"/>
          </w:tcPr>
          <w:p w14:paraId="77885EB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50≤Y＜500</w:t>
            </w:r>
          </w:p>
        </w:tc>
        <w:tc>
          <w:tcPr>
            <w:tcW w:w="925" w:type="dxa"/>
            <w:tcBorders>
              <w:top w:val="nil"/>
              <w:left w:val="nil"/>
              <w:bottom w:val="single" w:color="auto" w:sz="4" w:space="0"/>
              <w:right w:val="single" w:color="auto" w:sz="4" w:space="0"/>
            </w:tcBorders>
            <w:vAlign w:val="center"/>
          </w:tcPr>
          <w:p w14:paraId="1FBA649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w:t>
            </w:r>
          </w:p>
        </w:tc>
      </w:tr>
      <w:tr w14:paraId="16C8625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131595B">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工业</w:t>
            </w:r>
          </w:p>
        </w:tc>
        <w:tc>
          <w:tcPr>
            <w:tcW w:w="1384" w:type="dxa"/>
            <w:tcBorders>
              <w:top w:val="nil"/>
              <w:left w:val="nil"/>
              <w:bottom w:val="single" w:color="auto" w:sz="4" w:space="0"/>
              <w:right w:val="single" w:color="auto" w:sz="4" w:space="0"/>
            </w:tcBorders>
            <w:vAlign w:val="center"/>
          </w:tcPr>
          <w:p w14:paraId="2C3CE6C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450A044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551E052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04FBD55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6853689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04725B25">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EDE2BEA">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55C6518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539A549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7E94EE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2000≤Y＜40000</w:t>
            </w:r>
          </w:p>
        </w:tc>
        <w:tc>
          <w:tcPr>
            <w:tcW w:w="1440" w:type="dxa"/>
            <w:tcBorders>
              <w:top w:val="nil"/>
              <w:left w:val="nil"/>
              <w:bottom w:val="single" w:color="auto" w:sz="4" w:space="0"/>
              <w:right w:val="single" w:color="auto" w:sz="4" w:space="0"/>
            </w:tcBorders>
            <w:vAlign w:val="center"/>
          </w:tcPr>
          <w:p w14:paraId="0E28431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300≤Y＜2000</w:t>
            </w:r>
          </w:p>
        </w:tc>
        <w:tc>
          <w:tcPr>
            <w:tcW w:w="925" w:type="dxa"/>
            <w:tcBorders>
              <w:top w:val="nil"/>
              <w:left w:val="nil"/>
              <w:bottom w:val="single" w:color="auto" w:sz="4" w:space="0"/>
              <w:right w:val="single" w:color="auto" w:sz="4" w:space="0"/>
            </w:tcBorders>
            <w:vAlign w:val="center"/>
          </w:tcPr>
          <w:p w14:paraId="4A204FF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Y＜300</w:t>
            </w:r>
          </w:p>
        </w:tc>
      </w:tr>
      <w:tr w14:paraId="1BCF1BE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500A39DB">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建筑业</w:t>
            </w:r>
          </w:p>
        </w:tc>
        <w:tc>
          <w:tcPr>
            <w:tcW w:w="1384" w:type="dxa"/>
            <w:tcBorders>
              <w:top w:val="nil"/>
              <w:left w:val="nil"/>
              <w:bottom w:val="single" w:color="auto" w:sz="4" w:space="0"/>
              <w:right w:val="single" w:color="auto" w:sz="4" w:space="0"/>
            </w:tcBorders>
            <w:vAlign w:val="center"/>
          </w:tcPr>
          <w:p w14:paraId="39BD695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5728F18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5CDD2D8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6000≤Y＜80000</w:t>
            </w:r>
          </w:p>
        </w:tc>
        <w:tc>
          <w:tcPr>
            <w:tcW w:w="1440" w:type="dxa"/>
            <w:tcBorders>
              <w:top w:val="nil"/>
              <w:left w:val="nil"/>
              <w:bottom w:val="single" w:color="auto" w:sz="4" w:space="0"/>
              <w:right w:val="single" w:color="auto" w:sz="4" w:space="0"/>
            </w:tcBorders>
            <w:vAlign w:val="center"/>
          </w:tcPr>
          <w:p w14:paraId="464FD84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300≤Y＜6000</w:t>
            </w:r>
          </w:p>
        </w:tc>
        <w:tc>
          <w:tcPr>
            <w:tcW w:w="925" w:type="dxa"/>
            <w:tcBorders>
              <w:top w:val="nil"/>
              <w:left w:val="nil"/>
              <w:bottom w:val="single" w:color="auto" w:sz="4" w:space="0"/>
              <w:right w:val="single" w:color="auto" w:sz="4" w:space="0"/>
            </w:tcBorders>
            <w:vAlign w:val="center"/>
          </w:tcPr>
          <w:p w14:paraId="54FA9FA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Y＜300</w:t>
            </w:r>
          </w:p>
        </w:tc>
      </w:tr>
      <w:tr w14:paraId="75B18D1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D7FDFA3">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2B9B388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3929767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7A17093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5000≤Z＜80000</w:t>
            </w:r>
          </w:p>
        </w:tc>
        <w:tc>
          <w:tcPr>
            <w:tcW w:w="1440" w:type="dxa"/>
            <w:tcBorders>
              <w:top w:val="nil"/>
              <w:left w:val="nil"/>
              <w:bottom w:val="single" w:color="auto" w:sz="4" w:space="0"/>
              <w:right w:val="single" w:color="auto" w:sz="4" w:space="0"/>
            </w:tcBorders>
            <w:vAlign w:val="center"/>
          </w:tcPr>
          <w:p w14:paraId="3BB3A9B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300≤Z＜5000</w:t>
            </w:r>
          </w:p>
        </w:tc>
        <w:tc>
          <w:tcPr>
            <w:tcW w:w="925" w:type="dxa"/>
            <w:tcBorders>
              <w:top w:val="nil"/>
              <w:left w:val="nil"/>
              <w:bottom w:val="single" w:color="auto" w:sz="4" w:space="0"/>
              <w:right w:val="single" w:color="auto" w:sz="4" w:space="0"/>
            </w:tcBorders>
            <w:vAlign w:val="center"/>
          </w:tcPr>
          <w:p w14:paraId="176358B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Z＜300</w:t>
            </w:r>
          </w:p>
        </w:tc>
      </w:tr>
      <w:tr w14:paraId="44D7F538">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77A375E">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批发业</w:t>
            </w:r>
          </w:p>
        </w:tc>
        <w:tc>
          <w:tcPr>
            <w:tcW w:w="1384" w:type="dxa"/>
            <w:tcBorders>
              <w:top w:val="nil"/>
              <w:left w:val="nil"/>
              <w:bottom w:val="single" w:color="auto" w:sz="4" w:space="0"/>
              <w:right w:val="single" w:color="auto" w:sz="4" w:space="0"/>
            </w:tcBorders>
            <w:vAlign w:val="center"/>
          </w:tcPr>
          <w:p w14:paraId="7DA8CA2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3EE14C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45D6F93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20≤X＜200</w:t>
            </w:r>
          </w:p>
        </w:tc>
        <w:tc>
          <w:tcPr>
            <w:tcW w:w="1440" w:type="dxa"/>
            <w:tcBorders>
              <w:top w:val="nil"/>
              <w:left w:val="nil"/>
              <w:bottom w:val="single" w:color="auto" w:sz="4" w:space="0"/>
              <w:right w:val="single" w:color="auto" w:sz="4" w:space="0"/>
            </w:tcBorders>
            <w:vAlign w:val="center"/>
          </w:tcPr>
          <w:p w14:paraId="2C3C589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5≤X＜20</w:t>
            </w:r>
          </w:p>
        </w:tc>
        <w:tc>
          <w:tcPr>
            <w:tcW w:w="925" w:type="dxa"/>
            <w:tcBorders>
              <w:top w:val="nil"/>
              <w:left w:val="nil"/>
              <w:bottom w:val="single" w:color="auto" w:sz="4" w:space="0"/>
              <w:right w:val="single" w:color="auto" w:sz="4" w:space="0"/>
            </w:tcBorders>
            <w:vAlign w:val="center"/>
          </w:tcPr>
          <w:p w14:paraId="34E3C2B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X＜5</w:t>
            </w:r>
          </w:p>
        </w:tc>
      </w:tr>
      <w:tr w14:paraId="2E7F6D2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25087C2">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6C64664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1CABCB3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584383A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5000≤Y＜40000</w:t>
            </w:r>
          </w:p>
        </w:tc>
        <w:tc>
          <w:tcPr>
            <w:tcW w:w="1440" w:type="dxa"/>
            <w:tcBorders>
              <w:top w:val="nil"/>
              <w:left w:val="nil"/>
              <w:bottom w:val="single" w:color="auto" w:sz="4" w:space="0"/>
              <w:right w:val="single" w:color="auto" w:sz="4" w:space="0"/>
            </w:tcBorders>
            <w:vAlign w:val="center"/>
          </w:tcPr>
          <w:p w14:paraId="2AD74E7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1000≤Y＜5000</w:t>
            </w:r>
          </w:p>
        </w:tc>
        <w:tc>
          <w:tcPr>
            <w:tcW w:w="925" w:type="dxa"/>
            <w:tcBorders>
              <w:top w:val="nil"/>
              <w:left w:val="nil"/>
              <w:bottom w:val="single" w:color="auto" w:sz="4" w:space="0"/>
              <w:right w:val="single" w:color="auto" w:sz="4" w:space="0"/>
            </w:tcBorders>
            <w:vAlign w:val="center"/>
          </w:tcPr>
          <w:p w14:paraId="72675AE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Y＜1000</w:t>
            </w:r>
          </w:p>
        </w:tc>
      </w:tr>
      <w:tr w14:paraId="34A98F4D">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088CF022">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零售业</w:t>
            </w:r>
          </w:p>
        </w:tc>
        <w:tc>
          <w:tcPr>
            <w:tcW w:w="1384" w:type="dxa"/>
            <w:tcBorders>
              <w:top w:val="nil"/>
              <w:left w:val="nil"/>
              <w:bottom w:val="single" w:color="auto" w:sz="4" w:space="0"/>
              <w:right w:val="single" w:color="auto" w:sz="4" w:space="0"/>
            </w:tcBorders>
            <w:vAlign w:val="center"/>
          </w:tcPr>
          <w:p w14:paraId="1E96A2B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47DF03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4C5F0AC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50≤X＜300</w:t>
            </w:r>
          </w:p>
        </w:tc>
        <w:tc>
          <w:tcPr>
            <w:tcW w:w="1440" w:type="dxa"/>
            <w:tcBorders>
              <w:top w:val="nil"/>
              <w:left w:val="nil"/>
              <w:bottom w:val="single" w:color="auto" w:sz="4" w:space="0"/>
              <w:right w:val="single" w:color="auto" w:sz="4" w:space="0"/>
            </w:tcBorders>
            <w:vAlign w:val="center"/>
          </w:tcPr>
          <w:p w14:paraId="2897CEE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10≤X＜50</w:t>
            </w:r>
          </w:p>
        </w:tc>
        <w:tc>
          <w:tcPr>
            <w:tcW w:w="925" w:type="dxa"/>
            <w:tcBorders>
              <w:top w:val="nil"/>
              <w:left w:val="nil"/>
              <w:bottom w:val="single" w:color="auto" w:sz="4" w:space="0"/>
              <w:right w:val="single" w:color="auto" w:sz="4" w:space="0"/>
            </w:tcBorders>
            <w:vAlign w:val="center"/>
          </w:tcPr>
          <w:p w14:paraId="50520EE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6509DCF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58CBD788">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4D5A150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4079103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4FB9908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500≤Y＜20000</w:t>
            </w:r>
          </w:p>
        </w:tc>
        <w:tc>
          <w:tcPr>
            <w:tcW w:w="1440" w:type="dxa"/>
            <w:tcBorders>
              <w:top w:val="nil"/>
              <w:left w:val="nil"/>
              <w:bottom w:val="single" w:color="auto" w:sz="4" w:space="0"/>
              <w:right w:val="single" w:color="auto" w:sz="4" w:space="0"/>
            </w:tcBorders>
            <w:vAlign w:val="center"/>
          </w:tcPr>
          <w:p w14:paraId="6CF481A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100≤Y＜500</w:t>
            </w:r>
          </w:p>
        </w:tc>
        <w:tc>
          <w:tcPr>
            <w:tcW w:w="925" w:type="dxa"/>
            <w:tcBorders>
              <w:top w:val="nil"/>
              <w:left w:val="nil"/>
              <w:bottom w:val="single" w:color="auto" w:sz="4" w:space="0"/>
              <w:right w:val="single" w:color="auto" w:sz="4" w:space="0"/>
            </w:tcBorders>
            <w:vAlign w:val="center"/>
          </w:tcPr>
          <w:p w14:paraId="4F5625C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33AFE53C">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E03167F">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交通运输业</w:t>
            </w:r>
          </w:p>
        </w:tc>
        <w:tc>
          <w:tcPr>
            <w:tcW w:w="1384" w:type="dxa"/>
            <w:tcBorders>
              <w:top w:val="nil"/>
              <w:left w:val="nil"/>
              <w:bottom w:val="single" w:color="auto" w:sz="4" w:space="0"/>
              <w:right w:val="single" w:color="auto" w:sz="4" w:space="0"/>
            </w:tcBorders>
            <w:vAlign w:val="center"/>
          </w:tcPr>
          <w:p w14:paraId="3F171EC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1791209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79E1BC5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59A4A39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6458A58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709A7EB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776D808">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22159F0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EBD681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4354C83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3000≤Y＜30000</w:t>
            </w:r>
          </w:p>
        </w:tc>
        <w:tc>
          <w:tcPr>
            <w:tcW w:w="1440" w:type="dxa"/>
            <w:tcBorders>
              <w:top w:val="nil"/>
              <w:left w:val="nil"/>
              <w:bottom w:val="single" w:color="auto" w:sz="4" w:space="0"/>
              <w:right w:val="single" w:color="auto" w:sz="4" w:space="0"/>
            </w:tcBorders>
            <w:vAlign w:val="center"/>
          </w:tcPr>
          <w:p w14:paraId="224878E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200≤Y＜3000</w:t>
            </w:r>
          </w:p>
        </w:tc>
        <w:tc>
          <w:tcPr>
            <w:tcW w:w="925" w:type="dxa"/>
            <w:tcBorders>
              <w:top w:val="nil"/>
              <w:left w:val="nil"/>
              <w:bottom w:val="single" w:color="auto" w:sz="4" w:space="0"/>
              <w:right w:val="single" w:color="auto" w:sz="4" w:space="0"/>
            </w:tcBorders>
            <w:vAlign w:val="center"/>
          </w:tcPr>
          <w:p w14:paraId="3016DA9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Y＜200</w:t>
            </w:r>
          </w:p>
        </w:tc>
      </w:tr>
      <w:tr w14:paraId="6F494887">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4D0C1E3C">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仓储业</w:t>
            </w:r>
          </w:p>
        </w:tc>
        <w:tc>
          <w:tcPr>
            <w:tcW w:w="1384" w:type="dxa"/>
            <w:tcBorders>
              <w:top w:val="nil"/>
              <w:left w:val="nil"/>
              <w:bottom w:val="single" w:color="auto" w:sz="4" w:space="0"/>
              <w:right w:val="single" w:color="auto" w:sz="4" w:space="0"/>
            </w:tcBorders>
            <w:vAlign w:val="center"/>
          </w:tcPr>
          <w:p w14:paraId="6450A22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3CE3B50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7D23931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100≤X＜200</w:t>
            </w:r>
          </w:p>
        </w:tc>
        <w:tc>
          <w:tcPr>
            <w:tcW w:w="1440" w:type="dxa"/>
            <w:tcBorders>
              <w:top w:val="nil"/>
              <w:left w:val="nil"/>
              <w:bottom w:val="single" w:color="auto" w:sz="4" w:space="0"/>
              <w:right w:val="single" w:color="auto" w:sz="4" w:space="0"/>
            </w:tcBorders>
            <w:vAlign w:val="center"/>
          </w:tcPr>
          <w:p w14:paraId="4EDDBAA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20≤X＜100</w:t>
            </w:r>
          </w:p>
        </w:tc>
        <w:tc>
          <w:tcPr>
            <w:tcW w:w="925" w:type="dxa"/>
            <w:tcBorders>
              <w:top w:val="nil"/>
              <w:left w:val="nil"/>
              <w:bottom w:val="single" w:color="auto" w:sz="4" w:space="0"/>
              <w:right w:val="single" w:color="auto" w:sz="4" w:space="0"/>
            </w:tcBorders>
            <w:vAlign w:val="center"/>
          </w:tcPr>
          <w:p w14:paraId="667E58D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5CAD56AD">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51BF10F">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5E7E8A1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34C43C3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3A9E122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1000≤Y＜30000</w:t>
            </w:r>
          </w:p>
        </w:tc>
        <w:tc>
          <w:tcPr>
            <w:tcW w:w="1440" w:type="dxa"/>
            <w:tcBorders>
              <w:top w:val="nil"/>
              <w:left w:val="nil"/>
              <w:bottom w:val="single" w:color="auto" w:sz="4" w:space="0"/>
              <w:right w:val="single" w:color="auto" w:sz="4" w:space="0"/>
            </w:tcBorders>
            <w:vAlign w:val="center"/>
          </w:tcPr>
          <w:p w14:paraId="6B1279F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100≤Y＜1000</w:t>
            </w:r>
          </w:p>
        </w:tc>
        <w:tc>
          <w:tcPr>
            <w:tcW w:w="925" w:type="dxa"/>
            <w:tcBorders>
              <w:top w:val="nil"/>
              <w:left w:val="nil"/>
              <w:bottom w:val="single" w:color="auto" w:sz="4" w:space="0"/>
              <w:right w:val="single" w:color="auto" w:sz="4" w:space="0"/>
            </w:tcBorders>
            <w:vAlign w:val="center"/>
          </w:tcPr>
          <w:p w14:paraId="2E5A38B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1186F03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9B8BB61">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邮政业</w:t>
            </w:r>
          </w:p>
        </w:tc>
        <w:tc>
          <w:tcPr>
            <w:tcW w:w="1384" w:type="dxa"/>
            <w:tcBorders>
              <w:top w:val="nil"/>
              <w:left w:val="nil"/>
              <w:bottom w:val="single" w:color="auto" w:sz="4" w:space="0"/>
              <w:right w:val="single" w:color="auto" w:sz="4" w:space="0"/>
            </w:tcBorders>
            <w:vAlign w:val="center"/>
          </w:tcPr>
          <w:p w14:paraId="437F047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5623EE9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6BDFAF3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7CDE587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20≤X＜300</w:t>
            </w:r>
          </w:p>
        </w:tc>
        <w:tc>
          <w:tcPr>
            <w:tcW w:w="925" w:type="dxa"/>
            <w:tcBorders>
              <w:top w:val="nil"/>
              <w:left w:val="nil"/>
              <w:bottom w:val="single" w:color="auto" w:sz="4" w:space="0"/>
              <w:right w:val="single" w:color="auto" w:sz="4" w:space="0"/>
            </w:tcBorders>
            <w:vAlign w:val="center"/>
          </w:tcPr>
          <w:p w14:paraId="06A8A6C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X＜20</w:t>
            </w:r>
          </w:p>
        </w:tc>
      </w:tr>
      <w:tr w14:paraId="424315DF">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4828E0FD">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319DDBC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2AFF00B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76A8E44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2000≤Y＜30000</w:t>
            </w:r>
          </w:p>
        </w:tc>
        <w:tc>
          <w:tcPr>
            <w:tcW w:w="1440" w:type="dxa"/>
            <w:tcBorders>
              <w:top w:val="nil"/>
              <w:left w:val="nil"/>
              <w:bottom w:val="single" w:color="auto" w:sz="4" w:space="0"/>
              <w:right w:val="single" w:color="auto" w:sz="4" w:space="0"/>
            </w:tcBorders>
            <w:vAlign w:val="center"/>
          </w:tcPr>
          <w:p w14:paraId="6C1151F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63508BC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439771F3">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6BDEB93">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住宿业</w:t>
            </w:r>
          </w:p>
        </w:tc>
        <w:tc>
          <w:tcPr>
            <w:tcW w:w="1384" w:type="dxa"/>
            <w:tcBorders>
              <w:top w:val="nil"/>
              <w:left w:val="nil"/>
              <w:bottom w:val="single" w:color="auto" w:sz="4" w:space="0"/>
              <w:right w:val="single" w:color="auto" w:sz="4" w:space="0"/>
            </w:tcBorders>
            <w:vAlign w:val="center"/>
          </w:tcPr>
          <w:p w14:paraId="4FAF207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1C03F87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6638244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3A48E97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4D00426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1E31E8A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DB03003">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046BF15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0A22F37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45A354F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2000≤Y＜10000</w:t>
            </w:r>
          </w:p>
        </w:tc>
        <w:tc>
          <w:tcPr>
            <w:tcW w:w="1440" w:type="dxa"/>
            <w:tcBorders>
              <w:top w:val="nil"/>
              <w:left w:val="nil"/>
              <w:bottom w:val="single" w:color="auto" w:sz="4" w:space="0"/>
              <w:right w:val="single" w:color="auto" w:sz="4" w:space="0"/>
            </w:tcBorders>
            <w:vAlign w:val="center"/>
          </w:tcPr>
          <w:p w14:paraId="18CC7A4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6C60F9C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46BF5EFF">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1ACEDA2">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餐饮业</w:t>
            </w:r>
          </w:p>
        </w:tc>
        <w:tc>
          <w:tcPr>
            <w:tcW w:w="1384" w:type="dxa"/>
            <w:tcBorders>
              <w:top w:val="nil"/>
              <w:left w:val="nil"/>
              <w:bottom w:val="single" w:color="auto" w:sz="4" w:space="0"/>
              <w:right w:val="single" w:color="auto" w:sz="4" w:space="0"/>
            </w:tcBorders>
            <w:vAlign w:val="center"/>
          </w:tcPr>
          <w:p w14:paraId="0B0A871D">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4D28BEA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2D5443F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06D3CAF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4CAF7AA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51F42431">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311F08EA">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2FB85DD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4051A2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088D3AC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2000≤Y＜10000</w:t>
            </w:r>
          </w:p>
        </w:tc>
        <w:tc>
          <w:tcPr>
            <w:tcW w:w="1440" w:type="dxa"/>
            <w:tcBorders>
              <w:top w:val="nil"/>
              <w:left w:val="nil"/>
              <w:bottom w:val="single" w:color="auto" w:sz="4" w:space="0"/>
              <w:right w:val="single" w:color="auto" w:sz="4" w:space="0"/>
            </w:tcBorders>
            <w:vAlign w:val="center"/>
          </w:tcPr>
          <w:p w14:paraId="220890C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100≤Y＜2000</w:t>
            </w:r>
          </w:p>
        </w:tc>
        <w:tc>
          <w:tcPr>
            <w:tcW w:w="925" w:type="dxa"/>
            <w:tcBorders>
              <w:top w:val="nil"/>
              <w:left w:val="nil"/>
              <w:bottom w:val="single" w:color="auto" w:sz="4" w:space="0"/>
              <w:right w:val="single" w:color="auto" w:sz="4" w:space="0"/>
            </w:tcBorders>
            <w:vAlign w:val="center"/>
          </w:tcPr>
          <w:p w14:paraId="122B6CE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381245B9">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B4253EC">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信息传输业</w:t>
            </w:r>
          </w:p>
        </w:tc>
        <w:tc>
          <w:tcPr>
            <w:tcW w:w="1384" w:type="dxa"/>
            <w:tcBorders>
              <w:top w:val="nil"/>
              <w:left w:val="nil"/>
              <w:bottom w:val="single" w:color="auto" w:sz="4" w:space="0"/>
              <w:right w:val="single" w:color="auto" w:sz="4" w:space="0"/>
            </w:tcBorders>
            <w:vAlign w:val="center"/>
          </w:tcPr>
          <w:p w14:paraId="3A35D5B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755AADF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52AB7BA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100≤X＜2000</w:t>
            </w:r>
          </w:p>
        </w:tc>
        <w:tc>
          <w:tcPr>
            <w:tcW w:w="1440" w:type="dxa"/>
            <w:tcBorders>
              <w:top w:val="nil"/>
              <w:left w:val="nil"/>
              <w:bottom w:val="single" w:color="auto" w:sz="4" w:space="0"/>
              <w:right w:val="single" w:color="auto" w:sz="4" w:space="0"/>
            </w:tcBorders>
            <w:vAlign w:val="center"/>
          </w:tcPr>
          <w:p w14:paraId="7947819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20C8A58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2930E702">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8677B92">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2063690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6EA34A3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FB1D88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1000≤Y＜100000</w:t>
            </w:r>
          </w:p>
        </w:tc>
        <w:tc>
          <w:tcPr>
            <w:tcW w:w="1440" w:type="dxa"/>
            <w:tcBorders>
              <w:top w:val="nil"/>
              <w:left w:val="nil"/>
              <w:bottom w:val="single" w:color="auto" w:sz="4" w:space="0"/>
              <w:right w:val="single" w:color="auto" w:sz="4" w:space="0"/>
            </w:tcBorders>
            <w:vAlign w:val="center"/>
          </w:tcPr>
          <w:p w14:paraId="4235669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100≤Y＜1000</w:t>
            </w:r>
          </w:p>
        </w:tc>
        <w:tc>
          <w:tcPr>
            <w:tcW w:w="925" w:type="dxa"/>
            <w:tcBorders>
              <w:top w:val="nil"/>
              <w:left w:val="nil"/>
              <w:bottom w:val="single" w:color="auto" w:sz="4" w:space="0"/>
              <w:right w:val="single" w:color="auto" w:sz="4" w:space="0"/>
            </w:tcBorders>
            <w:vAlign w:val="center"/>
          </w:tcPr>
          <w:p w14:paraId="3950A1D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0746B026">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28132FA5">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软件和信息技术服务业</w:t>
            </w:r>
          </w:p>
        </w:tc>
        <w:tc>
          <w:tcPr>
            <w:tcW w:w="1384" w:type="dxa"/>
            <w:tcBorders>
              <w:top w:val="nil"/>
              <w:left w:val="nil"/>
              <w:bottom w:val="single" w:color="auto" w:sz="4" w:space="0"/>
              <w:right w:val="single" w:color="auto" w:sz="4" w:space="0"/>
            </w:tcBorders>
            <w:vAlign w:val="center"/>
          </w:tcPr>
          <w:p w14:paraId="42D6962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6336F39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1706E64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7EFCFC1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5A82C2C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0EEF630A">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0F623AC6">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6A06B76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71D66DC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54A882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1000≤Y＜10000</w:t>
            </w:r>
          </w:p>
        </w:tc>
        <w:tc>
          <w:tcPr>
            <w:tcW w:w="1440" w:type="dxa"/>
            <w:tcBorders>
              <w:top w:val="nil"/>
              <w:left w:val="nil"/>
              <w:bottom w:val="single" w:color="auto" w:sz="4" w:space="0"/>
              <w:right w:val="single" w:color="auto" w:sz="4" w:space="0"/>
            </w:tcBorders>
            <w:vAlign w:val="center"/>
          </w:tcPr>
          <w:p w14:paraId="2346605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50≤Y＜1000</w:t>
            </w:r>
          </w:p>
        </w:tc>
        <w:tc>
          <w:tcPr>
            <w:tcW w:w="925" w:type="dxa"/>
            <w:tcBorders>
              <w:top w:val="nil"/>
              <w:left w:val="nil"/>
              <w:bottom w:val="single" w:color="auto" w:sz="4" w:space="0"/>
              <w:right w:val="single" w:color="auto" w:sz="4" w:space="0"/>
            </w:tcBorders>
            <w:vAlign w:val="center"/>
          </w:tcPr>
          <w:p w14:paraId="578338F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w:t>
            </w:r>
          </w:p>
        </w:tc>
      </w:tr>
      <w:tr w14:paraId="5DEC541B">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76DBC901">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房地产开发经营</w:t>
            </w:r>
          </w:p>
        </w:tc>
        <w:tc>
          <w:tcPr>
            <w:tcW w:w="1384" w:type="dxa"/>
            <w:tcBorders>
              <w:top w:val="nil"/>
              <w:left w:val="nil"/>
              <w:bottom w:val="single" w:color="auto" w:sz="4" w:space="0"/>
              <w:right w:val="single" w:color="auto" w:sz="4" w:space="0"/>
            </w:tcBorders>
            <w:vAlign w:val="center"/>
          </w:tcPr>
          <w:p w14:paraId="64D3BDE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03FE78BF">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60E509F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1000≤Y＜200000</w:t>
            </w:r>
          </w:p>
        </w:tc>
        <w:tc>
          <w:tcPr>
            <w:tcW w:w="1440" w:type="dxa"/>
            <w:tcBorders>
              <w:top w:val="nil"/>
              <w:left w:val="nil"/>
              <w:bottom w:val="single" w:color="auto" w:sz="4" w:space="0"/>
              <w:right w:val="single" w:color="auto" w:sz="4" w:space="0"/>
            </w:tcBorders>
            <w:vAlign w:val="center"/>
          </w:tcPr>
          <w:p w14:paraId="454A352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100≤X＜1000</w:t>
            </w:r>
          </w:p>
        </w:tc>
        <w:tc>
          <w:tcPr>
            <w:tcW w:w="925" w:type="dxa"/>
            <w:tcBorders>
              <w:top w:val="nil"/>
              <w:left w:val="nil"/>
              <w:bottom w:val="single" w:color="auto" w:sz="4" w:space="0"/>
              <w:right w:val="single" w:color="auto" w:sz="4" w:space="0"/>
            </w:tcBorders>
            <w:vAlign w:val="center"/>
          </w:tcPr>
          <w:p w14:paraId="3BFFD46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X＜100</w:t>
            </w:r>
          </w:p>
        </w:tc>
      </w:tr>
      <w:tr w14:paraId="38038C53">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760E6288">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005FB1BC">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158861E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EE2EF3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5000≤Z＜10000</w:t>
            </w:r>
          </w:p>
        </w:tc>
        <w:tc>
          <w:tcPr>
            <w:tcW w:w="1440" w:type="dxa"/>
            <w:tcBorders>
              <w:top w:val="nil"/>
              <w:left w:val="nil"/>
              <w:bottom w:val="single" w:color="auto" w:sz="4" w:space="0"/>
              <w:right w:val="single" w:color="auto" w:sz="4" w:space="0"/>
            </w:tcBorders>
            <w:vAlign w:val="center"/>
          </w:tcPr>
          <w:p w14:paraId="20A3B42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2000≤Y＜5000</w:t>
            </w:r>
          </w:p>
        </w:tc>
        <w:tc>
          <w:tcPr>
            <w:tcW w:w="925" w:type="dxa"/>
            <w:tcBorders>
              <w:top w:val="nil"/>
              <w:left w:val="nil"/>
              <w:bottom w:val="single" w:color="auto" w:sz="4" w:space="0"/>
              <w:right w:val="single" w:color="auto" w:sz="4" w:space="0"/>
            </w:tcBorders>
            <w:vAlign w:val="center"/>
          </w:tcPr>
          <w:p w14:paraId="5E8FAF0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Y＜2000</w:t>
            </w:r>
          </w:p>
        </w:tc>
      </w:tr>
      <w:tr w14:paraId="236C65EE">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638BBA92">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物业管理</w:t>
            </w:r>
          </w:p>
        </w:tc>
        <w:tc>
          <w:tcPr>
            <w:tcW w:w="1384" w:type="dxa"/>
            <w:tcBorders>
              <w:top w:val="nil"/>
              <w:left w:val="nil"/>
              <w:bottom w:val="single" w:color="auto" w:sz="4" w:space="0"/>
              <w:right w:val="single" w:color="auto" w:sz="4" w:space="0"/>
            </w:tcBorders>
            <w:vAlign w:val="center"/>
          </w:tcPr>
          <w:p w14:paraId="68FEB416">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6BB3483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529B534A">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300≤X＜1000</w:t>
            </w:r>
          </w:p>
        </w:tc>
        <w:tc>
          <w:tcPr>
            <w:tcW w:w="1440" w:type="dxa"/>
            <w:tcBorders>
              <w:top w:val="nil"/>
              <w:left w:val="nil"/>
              <w:bottom w:val="single" w:color="auto" w:sz="4" w:space="0"/>
              <w:right w:val="single" w:color="auto" w:sz="4" w:space="0"/>
            </w:tcBorders>
            <w:vAlign w:val="center"/>
          </w:tcPr>
          <w:p w14:paraId="7214BAF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925" w:type="dxa"/>
            <w:tcBorders>
              <w:top w:val="nil"/>
              <w:left w:val="nil"/>
              <w:bottom w:val="single" w:color="auto" w:sz="4" w:space="0"/>
              <w:right w:val="single" w:color="auto" w:sz="4" w:space="0"/>
            </w:tcBorders>
            <w:vAlign w:val="center"/>
          </w:tcPr>
          <w:p w14:paraId="45CABCE5">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X＜100</w:t>
            </w:r>
          </w:p>
        </w:tc>
      </w:tr>
      <w:tr w14:paraId="06F32816">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63252DCB">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3BF8A2F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营业收入（Y）</w:t>
            </w:r>
          </w:p>
        </w:tc>
        <w:tc>
          <w:tcPr>
            <w:tcW w:w="913" w:type="dxa"/>
            <w:tcBorders>
              <w:top w:val="nil"/>
              <w:left w:val="nil"/>
              <w:bottom w:val="single" w:color="auto" w:sz="4" w:space="0"/>
              <w:right w:val="single" w:color="auto" w:sz="4" w:space="0"/>
            </w:tcBorders>
            <w:vAlign w:val="center"/>
          </w:tcPr>
          <w:p w14:paraId="46693E6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23D8477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1000≤Y＜5000</w:t>
            </w:r>
          </w:p>
        </w:tc>
        <w:tc>
          <w:tcPr>
            <w:tcW w:w="1440" w:type="dxa"/>
            <w:tcBorders>
              <w:top w:val="nil"/>
              <w:left w:val="nil"/>
              <w:bottom w:val="single" w:color="auto" w:sz="4" w:space="0"/>
              <w:right w:val="single" w:color="auto" w:sz="4" w:space="0"/>
            </w:tcBorders>
            <w:vAlign w:val="center"/>
          </w:tcPr>
          <w:p w14:paraId="6C68DE5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500≤Y＜1000</w:t>
            </w:r>
          </w:p>
        </w:tc>
        <w:tc>
          <w:tcPr>
            <w:tcW w:w="925" w:type="dxa"/>
            <w:tcBorders>
              <w:top w:val="nil"/>
              <w:left w:val="nil"/>
              <w:bottom w:val="single" w:color="auto" w:sz="4" w:space="0"/>
              <w:right w:val="single" w:color="auto" w:sz="4" w:space="0"/>
            </w:tcBorders>
            <w:vAlign w:val="center"/>
          </w:tcPr>
          <w:p w14:paraId="18C86E3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Y＜500</w:t>
            </w:r>
          </w:p>
        </w:tc>
      </w:tr>
      <w:tr w14:paraId="0A491532">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vAlign w:val="bottom"/>
          </w:tcPr>
          <w:p w14:paraId="1BBFE3F4">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租赁和商务服务业</w:t>
            </w:r>
          </w:p>
        </w:tc>
        <w:tc>
          <w:tcPr>
            <w:tcW w:w="1384" w:type="dxa"/>
            <w:tcBorders>
              <w:top w:val="nil"/>
              <w:left w:val="nil"/>
              <w:bottom w:val="single" w:color="auto" w:sz="4" w:space="0"/>
              <w:right w:val="single" w:color="auto" w:sz="4" w:space="0"/>
            </w:tcBorders>
            <w:vAlign w:val="center"/>
          </w:tcPr>
          <w:p w14:paraId="12A8BD27">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C9C566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3C6BC4C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10971CE1">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36B374E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r w14:paraId="592F8DD7">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vAlign w:val="center"/>
          </w:tcPr>
          <w:p w14:paraId="2F9B47D8">
            <w:pPr>
              <w:widowControl/>
              <w:jc w:val="left"/>
              <w:rPr>
                <w:rFonts w:ascii="仿宋_GB2312" w:hAnsi="仿宋" w:eastAsia="仿宋_GB2312" w:cs="宋体"/>
                <w:b/>
                <w:bCs/>
                <w:color w:val="000000" w:themeColor="text1"/>
                <w:kern w:val="0"/>
                <w:sz w:val="18"/>
                <w:szCs w:val="18"/>
                <w:highlight w:val="none"/>
                <w14:textFill>
                  <w14:solidFill>
                    <w14:schemeClr w14:val="tx1"/>
                  </w14:solidFill>
                </w14:textFill>
              </w:rPr>
            </w:pPr>
          </w:p>
        </w:tc>
        <w:tc>
          <w:tcPr>
            <w:tcW w:w="1384" w:type="dxa"/>
            <w:tcBorders>
              <w:top w:val="nil"/>
              <w:left w:val="nil"/>
              <w:bottom w:val="single" w:color="auto" w:sz="4" w:space="0"/>
              <w:right w:val="single" w:color="auto" w:sz="4" w:space="0"/>
            </w:tcBorders>
            <w:vAlign w:val="center"/>
          </w:tcPr>
          <w:p w14:paraId="310CB6D4">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资产总额（Z）</w:t>
            </w:r>
          </w:p>
        </w:tc>
        <w:tc>
          <w:tcPr>
            <w:tcW w:w="913" w:type="dxa"/>
            <w:tcBorders>
              <w:top w:val="nil"/>
              <w:left w:val="nil"/>
              <w:bottom w:val="single" w:color="auto" w:sz="4" w:space="0"/>
              <w:right w:val="single" w:color="auto" w:sz="4" w:space="0"/>
            </w:tcBorders>
            <w:vAlign w:val="center"/>
          </w:tcPr>
          <w:p w14:paraId="1F168DF2">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万元</w:t>
            </w:r>
          </w:p>
        </w:tc>
        <w:tc>
          <w:tcPr>
            <w:tcW w:w="1620" w:type="dxa"/>
            <w:tcBorders>
              <w:top w:val="nil"/>
              <w:left w:val="nil"/>
              <w:bottom w:val="single" w:color="auto" w:sz="4" w:space="0"/>
              <w:right w:val="single" w:color="auto" w:sz="4" w:space="0"/>
            </w:tcBorders>
            <w:vAlign w:val="center"/>
          </w:tcPr>
          <w:p w14:paraId="145BD4A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8000≤Z＜120000</w:t>
            </w:r>
          </w:p>
        </w:tc>
        <w:tc>
          <w:tcPr>
            <w:tcW w:w="1440" w:type="dxa"/>
            <w:tcBorders>
              <w:top w:val="nil"/>
              <w:left w:val="nil"/>
              <w:bottom w:val="single" w:color="auto" w:sz="4" w:space="0"/>
              <w:right w:val="single" w:color="auto" w:sz="4" w:space="0"/>
            </w:tcBorders>
            <w:vAlign w:val="center"/>
          </w:tcPr>
          <w:p w14:paraId="5B70A94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100≤Z＜8000</w:t>
            </w:r>
          </w:p>
        </w:tc>
        <w:tc>
          <w:tcPr>
            <w:tcW w:w="925" w:type="dxa"/>
            <w:tcBorders>
              <w:top w:val="nil"/>
              <w:left w:val="nil"/>
              <w:bottom w:val="single" w:color="auto" w:sz="4" w:space="0"/>
              <w:right w:val="single" w:color="auto" w:sz="4" w:space="0"/>
            </w:tcBorders>
            <w:vAlign w:val="center"/>
          </w:tcPr>
          <w:p w14:paraId="4482891B">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Y＜100</w:t>
            </w:r>
          </w:p>
        </w:tc>
      </w:tr>
      <w:tr w14:paraId="29565486">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vAlign w:val="bottom"/>
          </w:tcPr>
          <w:p w14:paraId="0DADB256">
            <w:pPr>
              <w:widowControl/>
              <w:jc w:val="center"/>
              <w:rPr>
                <w:rFonts w:ascii="仿宋_GB2312" w:hAnsi="仿宋" w:eastAsia="仿宋_GB2312" w:cs="宋体"/>
                <w:b/>
                <w:bCs/>
                <w:color w:val="000000" w:themeColor="text1"/>
                <w:kern w:val="0"/>
                <w:sz w:val="18"/>
                <w:szCs w:val="18"/>
                <w:highlight w:val="none"/>
                <w14:textFill>
                  <w14:solidFill>
                    <w14:schemeClr w14:val="tx1"/>
                  </w14:solidFill>
                </w14:textFill>
              </w:rPr>
            </w:pPr>
            <w:r>
              <w:rPr>
                <w:rFonts w:hint="eastAsia" w:ascii="仿宋_GB2312" w:hAnsi="仿宋" w:eastAsia="仿宋_GB2312" w:cs="宋体"/>
                <w:b/>
                <w:bCs/>
                <w:color w:val="000000" w:themeColor="text1"/>
                <w:kern w:val="0"/>
                <w:sz w:val="18"/>
                <w:szCs w:val="18"/>
                <w:highlight w:val="none"/>
                <w14:textFill>
                  <w14:solidFill>
                    <w14:schemeClr w14:val="tx1"/>
                  </w14:solidFill>
                </w14:textFill>
              </w:rPr>
              <w:t>其他未列明行业</w:t>
            </w:r>
          </w:p>
        </w:tc>
        <w:tc>
          <w:tcPr>
            <w:tcW w:w="1384" w:type="dxa"/>
            <w:tcBorders>
              <w:top w:val="nil"/>
              <w:left w:val="nil"/>
              <w:bottom w:val="single" w:color="auto" w:sz="4" w:space="0"/>
              <w:right w:val="single" w:color="auto" w:sz="4" w:space="0"/>
            </w:tcBorders>
            <w:vAlign w:val="center"/>
          </w:tcPr>
          <w:p w14:paraId="1A0963F0">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从业人员（X）</w:t>
            </w:r>
          </w:p>
        </w:tc>
        <w:tc>
          <w:tcPr>
            <w:tcW w:w="913" w:type="dxa"/>
            <w:tcBorders>
              <w:top w:val="nil"/>
              <w:left w:val="nil"/>
              <w:bottom w:val="single" w:color="auto" w:sz="4" w:space="0"/>
              <w:right w:val="single" w:color="auto" w:sz="4" w:space="0"/>
            </w:tcBorders>
            <w:vAlign w:val="center"/>
          </w:tcPr>
          <w:p w14:paraId="274FAFB3">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人</w:t>
            </w:r>
          </w:p>
        </w:tc>
        <w:tc>
          <w:tcPr>
            <w:tcW w:w="1620" w:type="dxa"/>
            <w:tcBorders>
              <w:top w:val="nil"/>
              <w:left w:val="nil"/>
              <w:bottom w:val="single" w:color="auto" w:sz="4" w:space="0"/>
              <w:right w:val="single" w:color="auto" w:sz="4" w:space="0"/>
            </w:tcBorders>
            <w:vAlign w:val="center"/>
          </w:tcPr>
          <w:p w14:paraId="59A2635E">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100≤X＜300</w:t>
            </w:r>
          </w:p>
        </w:tc>
        <w:tc>
          <w:tcPr>
            <w:tcW w:w="1440" w:type="dxa"/>
            <w:tcBorders>
              <w:top w:val="nil"/>
              <w:left w:val="nil"/>
              <w:bottom w:val="single" w:color="auto" w:sz="4" w:space="0"/>
              <w:right w:val="single" w:color="auto" w:sz="4" w:space="0"/>
            </w:tcBorders>
            <w:vAlign w:val="center"/>
          </w:tcPr>
          <w:p w14:paraId="39C48419">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10≤X＜100</w:t>
            </w:r>
          </w:p>
        </w:tc>
        <w:tc>
          <w:tcPr>
            <w:tcW w:w="925" w:type="dxa"/>
            <w:tcBorders>
              <w:top w:val="nil"/>
              <w:left w:val="nil"/>
              <w:bottom w:val="single" w:color="auto" w:sz="4" w:space="0"/>
              <w:right w:val="single" w:color="auto" w:sz="4" w:space="0"/>
            </w:tcBorders>
            <w:vAlign w:val="center"/>
          </w:tcPr>
          <w:p w14:paraId="27403468">
            <w:pPr>
              <w:widowControl/>
              <w:jc w:val="left"/>
              <w:rPr>
                <w:rFonts w:ascii="仿宋_GB2312" w:hAnsi="仿宋" w:eastAsia="仿宋_GB2312" w:cs="宋体"/>
                <w:color w:val="000000" w:themeColor="text1"/>
                <w:kern w:val="0"/>
                <w:sz w:val="18"/>
                <w:szCs w:val="18"/>
                <w:highlight w:val="none"/>
                <w14:textFill>
                  <w14:solidFill>
                    <w14:schemeClr w14:val="tx1"/>
                  </w14:solidFill>
                </w14:textFill>
              </w:rPr>
            </w:pPr>
            <w:r>
              <w:rPr>
                <w:rFonts w:hint="eastAsia" w:ascii="仿宋_GB2312" w:hAnsi="仿宋" w:eastAsia="仿宋_GB2312" w:cs="宋体"/>
                <w:color w:val="000000" w:themeColor="text1"/>
                <w:kern w:val="0"/>
                <w:sz w:val="18"/>
                <w:szCs w:val="18"/>
                <w:highlight w:val="none"/>
                <w14:textFill>
                  <w14:solidFill>
                    <w14:schemeClr w14:val="tx1"/>
                  </w14:solidFill>
                </w14:textFill>
              </w:rPr>
              <w:t>X＜10</w:t>
            </w:r>
          </w:p>
        </w:tc>
      </w:tr>
    </w:tbl>
    <w:p w14:paraId="5CDADDC5">
      <w:pPr>
        <w:spacing w:line="360" w:lineRule="auto"/>
        <w:ind w:firstLine="525" w:firstLineChars="250"/>
        <w:rPr>
          <w:rFonts w:hint="eastAsia" w:ascii="仿宋_GB2312" w:hAnsi="仿宋" w:eastAsia="仿宋_GB2312"/>
          <w:color w:val="000000" w:themeColor="text1"/>
          <w:szCs w:val="21"/>
          <w:highlight w:val="none"/>
          <w14:textFill>
            <w14:solidFill>
              <w14:schemeClr w14:val="tx1"/>
            </w14:solidFill>
          </w14:textFill>
        </w:rPr>
      </w:pPr>
    </w:p>
    <w:p w14:paraId="3AD62112">
      <w:pPr>
        <w:spacing w:line="360" w:lineRule="auto"/>
        <w:ind w:firstLine="525" w:firstLineChars="250"/>
        <w:rPr>
          <w:rFonts w:ascii="仿宋_GB2312" w:hAnsi="仿宋" w:eastAsia="仿宋_GB2312"/>
          <w:color w:val="000000" w:themeColor="text1"/>
          <w:szCs w:val="21"/>
          <w:highlight w:val="none"/>
          <w14:textFill>
            <w14:solidFill>
              <w14:schemeClr w14:val="tx1"/>
            </w14:solidFill>
          </w14:textFill>
        </w:rPr>
      </w:pPr>
      <w:r>
        <w:rPr>
          <w:rFonts w:hint="eastAsia" w:ascii="仿宋_GB2312" w:hAnsi="仿宋" w:eastAsia="仿宋_GB2312"/>
          <w:color w:val="000000" w:themeColor="text1"/>
          <w:szCs w:val="21"/>
          <w:highlight w:val="none"/>
          <w14:textFill>
            <w14:solidFill>
              <w14:schemeClr w14:val="tx1"/>
            </w14:solidFill>
          </w14:textFill>
        </w:rPr>
        <w:t>说明：上述标准参照《关于印发中小企业划型标准规定的通知》（工信部联企业[2011]300号），大型、中型和小型企业须同时满足所列指标的下限，否则下划一档；微型企业只须满足所列指标中的一项即可。</w:t>
      </w:r>
    </w:p>
    <w:p w14:paraId="5090852B">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69666A39">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p>
    <w:p w14:paraId="1A539FE1">
      <w:pPr>
        <w:snapToGrid w:val="0"/>
        <w:spacing w:before="120" w:beforeLines="50" w:after="50"/>
        <w:ind w:left="142"/>
        <w:jc w:val="left"/>
        <w:rPr>
          <w:rFonts w:hint="eastAsia" w:ascii="宋体" w:hAnsi="宋体"/>
          <w:b/>
          <w:color w:val="000000" w:themeColor="text1"/>
          <w:sz w:val="24"/>
          <w:highlight w:val="none"/>
          <w14:textFill>
            <w14:solidFill>
              <w14:schemeClr w14:val="tx1"/>
            </w14:solidFill>
          </w14:textFill>
        </w:rPr>
      </w:pPr>
      <w:r>
        <w:rPr>
          <w:rFonts w:ascii="宋体" w:hAnsi="宋体"/>
          <w:b/>
          <w:color w:val="000000" w:themeColor="text1"/>
          <w:sz w:val="2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3.残疾人福利性单位声明函格式</w:t>
      </w:r>
    </w:p>
    <w:p w14:paraId="48762A51">
      <w:pPr>
        <w:spacing w:line="588" w:lineRule="exact"/>
        <w:jc w:val="center"/>
        <w:rPr>
          <w:rFonts w:hint="eastAsia" w:ascii="仿宋_GB2312" w:eastAsia="仿宋_GB2312"/>
          <w:b/>
          <w:color w:val="000000" w:themeColor="text1"/>
          <w:spacing w:val="6"/>
          <w:sz w:val="32"/>
          <w:szCs w:val="32"/>
          <w:highlight w:val="none"/>
          <w14:textFill>
            <w14:solidFill>
              <w14:schemeClr w14:val="tx1"/>
            </w14:solidFill>
          </w14:textFill>
        </w:rPr>
      </w:pPr>
    </w:p>
    <w:p w14:paraId="1420C053">
      <w:pPr>
        <w:keepNext w:val="0"/>
        <w:keepLines w:val="0"/>
        <w:pageBreakBefore w:val="0"/>
        <w:widowControl w:val="0"/>
        <w:kinsoku/>
        <w:wordWrap/>
        <w:overflowPunct/>
        <w:topLinePunct w:val="0"/>
        <w:autoSpaceDE/>
        <w:autoSpaceDN/>
        <w:bidi w:val="0"/>
        <w:adjustRightInd/>
        <w:snapToGrid/>
        <w:spacing w:line="588" w:lineRule="exact"/>
        <w:jc w:val="center"/>
        <w:textAlignment w:val="auto"/>
        <w:outlineLvl w:val="9"/>
        <w:rPr>
          <w:rFonts w:hint="eastAsia" w:ascii="宋体" w:hAnsi="宋体" w:cs="方正小标宋简体"/>
          <w:bCs/>
          <w:color w:val="000000" w:themeColor="text1"/>
          <w:spacing w:val="6"/>
          <w:sz w:val="44"/>
          <w:szCs w:val="44"/>
          <w:highlight w:val="none"/>
          <w14:textFill>
            <w14:solidFill>
              <w14:schemeClr w14:val="tx1"/>
            </w14:solidFill>
          </w14:textFill>
        </w:rPr>
      </w:pPr>
      <w:r>
        <w:rPr>
          <w:rFonts w:hint="eastAsia" w:ascii="宋体" w:hAnsi="宋体" w:cs="方正小标宋简体"/>
          <w:bCs/>
          <w:color w:val="000000" w:themeColor="text1"/>
          <w:spacing w:val="6"/>
          <w:sz w:val="44"/>
          <w:szCs w:val="44"/>
          <w:highlight w:val="none"/>
          <w14:textFill>
            <w14:solidFill>
              <w14:schemeClr w14:val="tx1"/>
            </w14:solidFill>
          </w14:textFill>
        </w:rPr>
        <w:t>残疾人福利性单位声明函</w:t>
      </w:r>
    </w:p>
    <w:p w14:paraId="238A14B4">
      <w:pPr>
        <w:spacing w:line="360" w:lineRule="auto"/>
        <w:contextualSpacing/>
        <w:rPr>
          <w:rFonts w:ascii="仿宋_GB2312" w:eastAsia="仿宋_GB2312"/>
          <w:bCs/>
          <w:color w:val="000000" w:themeColor="text1"/>
          <w:spacing w:val="6"/>
          <w:sz w:val="30"/>
          <w:szCs w:val="30"/>
          <w:highlight w:val="none"/>
          <w14:textFill>
            <w14:solidFill>
              <w14:schemeClr w14:val="tx1"/>
            </w14:solidFill>
          </w14:textFill>
        </w:rPr>
      </w:pPr>
    </w:p>
    <w:p w14:paraId="3D59ED63">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本单位郑重声明，根据《财政部 民政部 中国残疾人联合会关于促进残疾人就业政府采购政策的通知》（财库</w:t>
      </w:r>
      <w:r>
        <w:rPr>
          <w:rFonts w:hint="eastAsia" w:ascii="宋体" w:hAnsi="宋体"/>
          <w:color w:val="000000" w:themeColor="text1"/>
          <w:sz w:val="24"/>
          <w:highlight w:val="none"/>
          <w14:textFill>
            <w14:solidFill>
              <w14:schemeClr w14:val="tx1"/>
            </w14:solidFill>
          </w14:textFill>
        </w:rPr>
        <w:t>〔2017〕 141</w:t>
      </w:r>
      <w:r>
        <w:rPr>
          <w:rFonts w:hint="eastAsia" w:ascii="宋体" w:hAnsi="宋体"/>
          <w:color w:val="000000" w:themeColor="text1"/>
          <w:spacing w:val="6"/>
          <w:sz w:val="24"/>
          <w:highlight w:val="none"/>
          <w14:textFill>
            <w14:solidFill>
              <w14:schemeClr w14:val="tx1"/>
            </w14:solidFill>
          </w14:textFill>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000000" w:themeColor="text1"/>
          <w:spacing w:val="-6"/>
          <w:sz w:val="24"/>
          <w:highlight w:val="none"/>
          <w14:textFill>
            <w14:solidFill>
              <w14:schemeClr w14:val="tx1"/>
            </w14:solidFill>
          </w14:textFill>
        </w:rPr>
        <w:t>疾人福利性单位制造的货物（不包括使用非残疾人福利性单位注册商标的货物）。</w:t>
      </w:r>
    </w:p>
    <w:p w14:paraId="16FAE50E">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本单位对上述声明的真实性负责。如有虚假，将依法承担相应责任。</w:t>
      </w:r>
    </w:p>
    <w:p w14:paraId="263ACBB4">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45BF6F5A">
      <w:pPr>
        <w:spacing w:line="360" w:lineRule="auto"/>
        <w:ind w:firstLine="504" w:firstLineChars="200"/>
        <w:contextualSpacing/>
        <w:rPr>
          <w:rFonts w:ascii="宋体" w:hAnsi="宋体"/>
          <w:color w:val="000000" w:themeColor="text1"/>
          <w:spacing w:val="6"/>
          <w:sz w:val="24"/>
          <w:highlight w:val="none"/>
          <w14:textFill>
            <w14:solidFill>
              <w14:schemeClr w14:val="tx1"/>
            </w14:solidFill>
          </w14:textFill>
        </w:rPr>
      </w:pPr>
    </w:p>
    <w:p w14:paraId="3C778963">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59" w:firstLine="504" w:firstLineChars="200"/>
        <w:contextualSpacing/>
        <w:jc w:val="center"/>
        <w:textAlignment w:val="auto"/>
        <w:outlineLvl w:val="9"/>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单位名称（盖公章）：</w:t>
      </w:r>
    </w:p>
    <w:p w14:paraId="105B4252">
      <w:pPr>
        <w:keepNext w:val="0"/>
        <w:keepLines w:val="0"/>
        <w:pageBreakBefore w:val="0"/>
        <w:widowControl w:val="0"/>
        <w:tabs>
          <w:tab w:val="left" w:pos="4860"/>
        </w:tabs>
        <w:kinsoku/>
        <w:wordWrap/>
        <w:overflowPunct/>
        <w:topLinePunct w:val="0"/>
        <w:autoSpaceDE/>
        <w:autoSpaceDN/>
        <w:bidi w:val="0"/>
        <w:adjustRightInd/>
        <w:snapToGrid/>
        <w:spacing w:line="360" w:lineRule="auto"/>
        <w:ind w:right="1559" w:firstLine="504" w:firstLineChars="200"/>
        <w:contextualSpacing/>
        <w:jc w:val="center"/>
        <w:textAlignment w:val="auto"/>
        <w:outlineLvl w:val="9"/>
        <w:rPr>
          <w:rFonts w:ascii="宋体" w:hAnsi="宋体"/>
          <w:color w:val="000000" w:themeColor="text1"/>
          <w:spacing w:val="6"/>
          <w:sz w:val="24"/>
          <w:highlight w:val="none"/>
          <w14:textFill>
            <w14:solidFill>
              <w14:schemeClr w14:val="tx1"/>
            </w14:solidFill>
          </w14:textFill>
        </w:rPr>
      </w:pPr>
      <w:r>
        <w:rPr>
          <w:rFonts w:hint="eastAsia" w:ascii="宋体" w:hAnsi="宋体"/>
          <w:color w:val="000000" w:themeColor="text1"/>
          <w:spacing w:val="6"/>
          <w:sz w:val="24"/>
          <w:highlight w:val="none"/>
          <w14:textFill>
            <w14:solidFill>
              <w14:schemeClr w14:val="tx1"/>
            </w14:solidFill>
          </w14:textFill>
        </w:rPr>
        <w:t>日  期：</w:t>
      </w:r>
    </w:p>
    <w:p w14:paraId="5B71FB10">
      <w:pPr>
        <w:spacing w:line="360" w:lineRule="auto"/>
        <w:contextualSpacing/>
        <w:rPr>
          <w:rFonts w:ascii="宋体" w:hAnsi="宋体"/>
          <w:color w:val="000000" w:themeColor="text1"/>
          <w:sz w:val="24"/>
          <w:highlight w:val="none"/>
          <w14:textFill>
            <w14:solidFill>
              <w14:schemeClr w14:val="tx1"/>
            </w14:solidFill>
          </w14:textFill>
        </w:rPr>
      </w:pPr>
    </w:p>
    <w:p w14:paraId="5F6FC6E4">
      <w:pPr>
        <w:spacing w:line="360" w:lineRule="auto"/>
        <w:contextualSpacing/>
        <w:rPr>
          <w:rFonts w:hint="eastAsia" w:ascii="宋体" w:hAnsi="宋体"/>
          <w:color w:val="000000" w:themeColor="text1"/>
          <w:sz w:val="24"/>
          <w:highlight w:val="none"/>
          <w14:textFill>
            <w14:solidFill>
              <w14:schemeClr w14:val="tx1"/>
            </w14:solidFill>
          </w14:textFill>
        </w:rPr>
      </w:pPr>
    </w:p>
    <w:p w14:paraId="606CA9E7">
      <w:pPr>
        <w:spacing w:line="360" w:lineRule="auto"/>
        <w:contextualSpacing/>
        <w:rPr>
          <w:rFonts w:ascii="宋体" w:hAnsi="宋体"/>
          <w:color w:val="000000" w:themeColor="text1"/>
          <w:sz w:val="24"/>
          <w:highlight w:val="none"/>
          <w14:textFill>
            <w14:solidFill>
              <w14:schemeClr w14:val="tx1"/>
            </w14:solidFill>
          </w14:textFill>
        </w:rPr>
      </w:pPr>
    </w:p>
    <w:p w14:paraId="4F7C6CCF">
      <w:pPr>
        <w:spacing w:line="360" w:lineRule="auto"/>
        <w:contextualSpacing/>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注：请根据自己的真实情况出具《残疾人福利性单位声明函》。依法享受中小企业优惠政策的，采购人或者采购代理机构在公告中标结果时，同时公告其《残疾人福利性单位声明函》，接受社会监督。</w:t>
      </w:r>
    </w:p>
    <w:p w14:paraId="785AD378">
      <w:pPr>
        <w:snapToGrid w:val="0"/>
        <w:spacing w:before="120" w:beforeLines="50" w:after="50" w:line="360" w:lineRule="auto"/>
        <w:jc w:val="left"/>
        <w:rPr>
          <w:rFonts w:hint="eastAsia" w:ascii="宋体" w:hAnsi="宋体" w:eastAsia="宋体" w:cs="宋体"/>
          <w:b/>
          <w:color w:val="000000" w:themeColor="text1"/>
          <w:sz w:val="24"/>
          <w:highlight w:val="none"/>
          <w:lang w:eastAsia="zh-CN"/>
          <w14:textFill>
            <w14:solidFill>
              <w14:schemeClr w14:val="tx1"/>
            </w14:solidFill>
          </w14:textFill>
        </w:rPr>
      </w:pPr>
      <w:r>
        <w:rPr>
          <w:color w:val="000000" w:themeColor="text1"/>
          <w:highlight w:val="none"/>
          <w14:textFill>
            <w14:solidFill>
              <w14:schemeClr w14:val="tx1"/>
            </w14:solidFill>
          </w14:textFill>
        </w:rPr>
        <w:br w:type="page"/>
      </w:r>
      <w:r>
        <w:rPr>
          <w:rFonts w:ascii="宋体" w:hAnsi="宋体" w:cs="宋体"/>
          <w:b/>
          <w:color w:val="000000" w:themeColor="text1"/>
          <w:sz w:val="24"/>
          <w:highlight w:val="none"/>
          <w14:textFill>
            <w14:solidFill>
              <w14:schemeClr w14:val="tx1"/>
            </w14:solidFill>
          </w14:textFill>
        </w:rPr>
        <w:t>4.</w:t>
      </w:r>
      <w:r>
        <w:rPr>
          <w:rFonts w:hint="eastAsia" w:ascii="宋体" w:hAnsi="宋体" w:cs="宋体"/>
          <w:b/>
          <w:color w:val="000000" w:themeColor="text1"/>
          <w:sz w:val="24"/>
          <w:highlight w:val="none"/>
          <w14:textFill>
            <w14:solidFill>
              <w14:schemeClr w14:val="tx1"/>
            </w14:solidFill>
          </w14:textFill>
        </w:rPr>
        <w:t>分包意向协议书格式</w:t>
      </w:r>
      <w:r>
        <w:rPr>
          <w:rFonts w:hint="eastAsia" w:ascii="宋体" w:hAnsi="宋体" w:cs="宋体"/>
          <w:b/>
          <w:color w:val="000000" w:themeColor="text1"/>
          <w:sz w:val="24"/>
          <w:highlight w:val="none"/>
          <w:lang w:eastAsia="zh-CN"/>
          <w14:textFill>
            <w14:solidFill>
              <w14:schemeClr w14:val="tx1"/>
            </w14:solidFill>
          </w14:textFill>
        </w:rPr>
        <w:t>（如有）</w:t>
      </w:r>
    </w:p>
    <w:p w14:paraId="46893F56">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olor w:val="000000" w:themeColor="text1"/>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分包意向协议书</w:t>
      </w:r>
    </w:p>
    <w:p w14:paraId="05940F87">
      <w:pPr>
        <w:spacing w:line="360" w:lineRule="auto"/>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立约方： </w:t>
      </w:r>
      <w:r>
        <w:rPr>
          <w:rFonts w:hint="eastAsia" w:ascii="宋体" w:hAnsi="宋体" w:cs="宋体"/>
          <w:bCs/>
          <w:color w:val="000000" w:themeColor="text1"/>
          <w:szCs w:val="21"/>
          <w:highlight w:val="none"/>
          <w:u w:val="single"/>
          <w14:textFill>
            <w14:solidFill>
              <w14:schemeClr w14:val="tx1"/>
            </w14:solidFill>
          </w14:textFill>
        </w:rPr>
        <w:t>（甲公司名称）</w:t>
      </w:r>
    </w:p>
    <w:p w14:paraId="7D57573F">
      <w:pPr>
        <w:spacing w:line="360" w:lineRule="auto"/>
        <w:ind w:firstLine="1050" w:firstLineChars="500"/>
        <w:rPr>
          <w:rFonts w:ascii="宋体" w:hAnsi="宋体" w:cs="宋体"/>
          <w:bCs/>
          <w:color w:val="000000" w:themeColor="text1"/>
          <w:szCs w:val="21"/>
          <w:highlight w:val="none"/>
          <w:u w:val="singl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（乙公司名称）</w:t>
      </w:r>
    </w:p>
    <w:p w14:paraId="07ECDC5A">
      <w:pPr>
        <w:pStyle w:val="9"/>
        <w:rPr>
          <w:rFonts w:hint="eastAsia"/>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u w:val="single"/>
          <w14:textFill>
            <w14:solidFill>
              <w14:schemeClr w14:val="tx1"/>
            </w14:solidFill>
          </w14:textFill>
        </w:rPr>
        <w:t>（</w:t>
      </w:r>
      <w:r>
        <w:rPr>
          <w:rFonts w:ascii="宋体" w:hAnsi="宋体" w:cs="宋体"/>
          <w:bCs/>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u w:val="single"/>
          <w14:textFill>
            <w14:solidFill>
              <w14:schemeClr w14:val="tx1"/>
            </w14:solidFill>
          </w14:textFill>
        </w:rPr>
        <w:t>公司名称</w:t>
      </w:r>
      <w:r>
        <w:rPr>
          <w:rFonts w:hint="eastAsia"/>
          <w:color w:val="000000" w:themeColor="text1"/>
          <w:highlight w:val="none"/>
          <w:u w:val="single"/>
          <w14:textFill>
            <w14:solidFill>
              <w14:schemeClr w14:val="tx1"/>
            </w14:solidFill>
          </w14:textFill>
        </w:rPr>
        <w:t>）</w:t>
      </w:r>
    </w:p>
    <w:p w14:paraId="64097D07">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（甲公司名称）、（乙公司名称）、</w:t>
      </w:r>
      <w:r>
        <w:rPr>
          <w:rFonts w:hint="eastAsia"/>
          <w:color w:val="000000" w:themeColor="text1"/>
          <w:highlight w:val="none"/>
          <w:u w:val="single"/>
          <w14:textFill>
            <w14:solidFill>
              <w14:schemeClr w14:val="tx1"/>
            </w14:solidFill>
          </w14:textFill>
        </w:rPr>
        <w:t>（</w:t>
      </w:r>
      <w:r>
        <w:rPr>
          <w:rFonts w:ascii="宋体" w:hAnsi="宋体" w:cs="宋体"/>
          <w:bCs/>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u w:val="single"/>
          <w14:textFill>
            <w14:solidFill>
              <w14:schemeClr w14:val="tx1"/>
            </w14:solidFill>
          </w14:textFill>
        </w:rPr>
        <w:t>公司名称</w:t>
      </w:r>
      <w:r>
        <w:rPr>
          <w:rFonts w:hint="eastAsia"/>
          <w:color w:val="000000" w:themeColor="text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自愿达成分包意向，参加</w:t>
      </w:r>
      <w:r>
        <w:rPr>
          <w:rFonts w:hint="eastAsia" w:ascii="宋体" w:hAnsi="宋体" w:cs="宋体"/>
          <w:bCs/>
          <w:color w:val="000000" w:themeColor="text1"/>
          <w:szCs w:val="21"/>
          <w:highlight w:val="none"/>
          <w:u w:val="single"/>
          <w14:textFill>
            <w14:solidFill>
              <w14:schemeClr w14:val="tx1"/>
            </w14:solidFill>
          </w14:textFill>
        </w:rPr>
        <w:t>（采购项目名称）（采购项目编号）</w:t>
      </w:r>
      <w:r>
        <w:rPr>
          <w:rFonts w:hint="eastAsia" w:ascii="宋体" w:hAnsi="宋体" w:cs="宋体"/>
          <w:bCs/>
          <w:color w:val="000000" w:themeColor="text1"/>
          <w:szCs w:val="21"/>
          <w:highlight w:val="none"/>
          <w14:textFill>
            <w14:solidFill>
              <w14:schemeClr w14:val="tx1"/>
            </w14:solidFill>
          </w14:textFill>
        </w:rPr>
        <w:t>的招标响应活动。经各方充分协商一致，就招标项目的响应和合同实施阶段的有关事务协商一致，订立意向如下：</w:t>
      </w:r>
    </w:p>
    <w:p w14:paraId="6BE1D231">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一、分包意向各方关系</w:t>
      </w:r>
    </w:p>
    <w:p w14:paraId="5A280B69">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u w:val="single"/>
          <w14:textFill>
            <w14:solidFill>
              <w14:schemeClr w14:val="tx1"/>
            </w14:solidFill>
          </w14:textFill>
        </w:rPr>
        <w:t>（甲公司名称）</w:t>
      </w:r>
      <w:r>
        <w:rPr>
          <w:rFonts w:hint="eastAsia" w:ascii="宋体" w:hAnsi="宋体" w:cs="宋体"/>
          <w:bCs/>
          <w:color w:val="000000" w:themeColor="text1"/>
          <w:szCs w:val="21"/>
          <w:highlight w:val="none"/>
          <w14:textFill>
            <w14:solidFill>
              <w14:schemeClr w14:val="tx1"/>
            </w14:solidFill>
          </w14:textFill>
        </w:rPr>
        <w:t>为投标方、</w:t>
      </w:r>
      <w:r>
        <w:rPr>
          <w:rFonts w:hint="eastAsia" w:ascii="宋体" w:hAnsi="宋体" w:cs="宋体"/>
          <w:bCs/>
          <w:color w:val="000000" w:themeColor="text1"/>
          <w:szCs w:val="21"/>
          <w:highlight w:val="none"/>
          <w:u w:val="single"/>
          <w14:textFill>
            <w14:solidFill>
              <w14:schemeClr w14:val="tx1"/>
            </w14:solidFill>
          </w14:textFill>
        </w:rPr>
        <w:t>（乙公司名称）</w:t>
      </w:r>
      <w:r>
        <w:rPr>
          <w:rFonts w:hint="eastAsia"/>
          <w:color w:val="000000" w:themeColor="text1"/>
          <w:highlight w:val="none"/>
          <w:u w:val="single"/>
          <w14:textFill>
            <w14:solidFill>
              <w14:schemeClr w14:val="tx1"/>
            </w14:solidFill>
          </w14:textFill>
        </w:rPr>
        <w:t>（</w:t>
      </w:r>
      <w:r>
        <w:rPr>
          <w:rFonts w:ascii="宋体" w:hAnsi="宋体" w:cs="宋体"/>
          <w:bCs/>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u w:val="single"/>
          <w14:textFill>
            <w14:solidFill>
              <w14:schemeClr w14:val="tx1"/>
            </w14:solidFill>
          </w14:textFill>
        </w:rPr>
        <w:t>公司名称</w:t>
      </w:r>
      <w:r>
        <w:rPr>
          <w:rFonts w:hint="eastAsia"/>
          <w:color w:val="000000" w:themeColor="text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为分包意向供应商，</w:t>
      </w:r>
      <w:r>
        <w:rPr>
          <w:rFonts w:hint="eastAsia" w:ascii="宋体" w:hAnsi="宋体" w:cs="宋体"/>
          <w:bCs/>
          <w:color w:val="000000" w:themeColor="text1"/>
          <w:szCs w:val="21"/>
          <w:highlight w:val="none"/>
          <w:u w:val="single"/>
          <w14:textFill>
            <w14:solidFill>
              <w14:schemeClr w14:val="tx1"/>
            </w14:solidFill>
          </w14:textFill>
        </w:rPr>
        <w:t>（甲公司名称）</w:t>
      </w:r>
      <w:r>
        <w:rPr>
          <w:rFonts w:hint="eastAsia" w:ascii="宋体" w:hAnsi="宋体" w:cs="宋体"/>
          <w:bCs/>
          <w:color w:val="000000" w:themeColor="text1"/>
          <w:szCs w:val="21"/>
          <w:highlight w:val="none"/>
          <w14:textFill>
            <w14:solidFill>
              <w14:schemeClr w14:val="tx1"/>
            </w14:solidFill>
          </w14:textFill>
        </w:rPr>
        <w:t>以投标人的身份参加本项目的投标。若中标，</w:t>
      </w:r>
      <w:r>
        <w:rPr>
          <w:rFonts w:hint="eastAsia" w:ascii="宋体" w:hAnsi="宋体" w:cs="宋体"/>
          <w:bCs/>
          <w:color w:val="000000" w:themeColor="text1"/>
          <w:szCs w:val="21"/>
          <w:highlight w:val="none"/>
          <w:u w:val="single"/>
          <w14:textFill>
            <w14:solidFill>
              <w14:schemeClr w14:val="tx1"/>
            </w14:solidFill>
          </w14:textFill>
        </w:rPr>
        <w:t>（甲公司名称）</w:t>
      </w:r>
      <w:r>
        <w:rPr>
          <w:rFonts w:hint="eastAsia" w:ascii="宋体" w:hAnsi="宋体" w:cs="宋体"/>
          <w:bCs/>
          <w:color w:val="000000" w:themeColor="text1"/>
          <w:szCs w:val="21"/>
          <w:highlight w:val="none"/>
          <w14:textFill>
            <w14:solidFill>
              <w14:schemeClr w14:val="tx1"/>
            </w14:solidFill>
          </w14:textFill>
        </w:rPr>
        <w:t>与采购人签订政府采购合同，承接分包意向的各供应商与</w:t>
      </w:r>
      <w:r>
        <w:rPr>
          <w:rFonts w:hint="eastAsia" w:ascii="宋体" w:hAnsi="宋体" w:cs="宋体"/>
          <w:bCs/>
          <w:color w:val="000000" w:themeColor="text1"/>
          <w:szCs w:val="21"/>
          <w:highlight w:val="none"/>
          <w:u w:val="single"/>
          <w14:textFill>
            <w14:solidFill>
              <w14:schemeClr w14:val="tx1"/>
            </w14:solidFill>
          </w14:textFill>
        </w:rPr>
        <w:t>（甲公司名称）</w:t>
      </w:r>
      <w:r>
        <w:rPr>
          <w:rFonts w:hint="eastAsia" w:ascii="宋体" w:hAnsi="宋体" w:cs="宋体"/>
          <w:bCs/>
          <w:color w:val="000000" w:themeColor="text1"/>
          <w:szCs w:val="21"/>
          <w:highlight w:val="none"/>
          <w14:textFill>
            <w14:solidFill>
              <w14:schemeClr w14:val="tx1"/>
            </w14:solidFill>
          </w14:textFill>
        </w:rPr>
        <w:t>签订分包合同。</w:t>
      </w:r>
      <w:r>
        <w:rPr>
          <w:rFonts w:hint="eastAsia" w:ascii="宋体" w:hAnsi="宋体" w:cs="宋体"/>
          <w:bCs/>
          <w:color w:val="000000" w:themeColor="text1"/>
          <w:szCs w:val="21"/>
          <w:highlight w:val="none"/>
          <w:u w:val="single"/>
          <w14:textFill>
            <w14:solidFill>
              <w14:schemeClr w14:val="tx1"/>
            </w14:solidFill>
          </w14:textFill>
        </w:rPr>
        <w:t>（甲公司名称）</w:t>
      </w:r>
      <w:r>
        <w:rPr>
          <w:rFonts w:hint="eastAsia" w:ascii="宋体" w:hAnsi="宋体" w:cs="宋体"/>
          <w:bCs/>
          <w:color w:val="000000" w:themeColor="text1"/>
          <w:szCs w:val="21"/>
          <w:highlight w:val="none"/>
          <w14:textFill>
            <w14:solidFill>
              <w14:schemeClr w14:val="tx1"/>
            </w14:solidFill>
          </w14:textFill>
        </w:rPr>
        <w:t>就采购项目和分包项目向采购人负责，分包供应商就分包项目承担责任。</w:t>
      </w:r>
    </w:p>
    <w:p w14:paraId="0368334D">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二、有关事项约定如下：</w:t>
      </w:r>
    </w:p>
    <w:p w14:paraId="03383A0D">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1.如中标，分包供应商分别与</w:t>
      </w:r>
      <w:r>
        <w:rPr>
          <w:rFonts w:hint="eastAsia" w:ascii="宋体" w:hAnsi="宋体" w:cs="宋体"/>
          <w:bCs/>
          <w:color w:val="000000" w:themeColor="text1"/>
          <w:szCs w:val="21"/>
          <w:highlight w:val="none"/>
          <w:u w:val="single"/>
          <w14:textFill>
            <w14:solidFill>
              <w14:schemeClr w14:val="tx1"/>
            </w14:solidFill>
          </w14:textFill>
        </w:rPr>
        <w:t>（甲公司名称）</w:t>
      </w:r>
      <w:r>
        <w:rPr>
          <w:rFonts w:hint="eastAsia" w:ascii="宋体" w:hAnsi="宋体" w:cs="宋体"/>
          <w:bCs/>
          <w:color w:val="000000" w:themeColor="text1"/>
          <w:szCs w:val="21"/>
          <w:highlight w:val="none"/>
          <w14:textFill>
            <w14:solidFill>
              <w14:schemeClr w14:val="tx1"/>
            </w14:solidFill>
          </w14:textFill>
        </w:rPr>
        <w:t>签订合同书，并就中标项目分包部分向采购人负责有连带的和各自的法律责任；</w:t>
      </w:r>
    </w:p>
    <w:p w14:paraId="340415EE">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2.分包意向供应商1：</w:t>
      </w:r>
      <w:r>
        <w:rPr>
          <w:rFonts w:hint="eastAsia" w:ascii="宋体" w:hAnsi="宋体" w:cs="宋体"/>
          <w:bCs/>
          <w:color w:val="000000" w:themeColor="text1"/>
          <w:szCs w:val="21"/>
          <w:highlight w:val="none"/>
          <w:u w:val="single"/>
          <w14:textFill>
            <w14:solidFill>
              <w14:schemeClr w14:val="tx1"/>
            </w14:solidFill>
          </w14:textFill>
        </w:rPr>
        <w:t>（公司名称）</w:t>
      </w:r>
      <w:r>
        <w:rPr>
          <w:rFonts w:hint="eastAsia" w:ascii="宋体" w:hAnsi="宋体" w:cs="宋体"/>
          <w:bCs/>
          <w:color w:val="000000" w:themeColor="text1"/>
          <w:szCs w:val="21"/>
          <w:highlight w:val="none"/>
          <w14:textFill>
            <w14:solidFill>
              <w14:schemeClr w14:val="tx1"/>
            </w14:solidFill>
          </w14:textFill>
        </w:rPr>
        <w:t>为（请填写：中型、小型、微型）企业，占合同总金额的</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%，金额人民币</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p>
    <w:p w14:paraId="5FF75A67">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3.分包意向供应商2：</w:t>
      </w:r>
      <w:r>
        <w:rPr>
          <w:rFonts w:hint="eastAsia" w:ascii="宋体" w:hAnsi="宋体" w:cs="宋体"/>
          <w:bCs/>
          <w:color w:val="000000" w:themeColor="text1"/>
          <w:szCs w:val="21"/>
          <w:highlight w:val="none"/>
          <w:u w:val="single"/>
          <w14:textFill>
            <w14:solidFill>
              <w14:schemeClr w14:val="tx1"/>
            </w14:solidFill>
          </w14:textFill>
        </w:rPr>
        <w:t>（公司名称）</w:t>
      </w:r>
      <w:r>
        <w:rPr>
          <w:rFonts w:hint="eastAsia" w:ascii="宋体" w:hAnsi="宋体" w:cs="宋体"/>
          <w:bCs/>
          <w:color w:val="000000" w:themeColor="text1"/>
          <w:szCs w:val="21"/>
          <w:highlight w:val="none"/>
          <w14:textFill>
            <w14:solidFill>
              <w14:schemeClr w14:val="tx1"/>
            </w14:solidFill>
          </w14:textFill>
        </w:rPr>
        <w:t>为（请填写：中型、小型、微型）企业，占合同总金额的</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14:textFill>
            <w14:solidFill>
              <w14:schemeClr w14:val="tx1"/>
            </w14:solidFill>
          </w14:textFill>
        </w:rPr>
        <w:t>%，金额人民币</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 xml:space="preserve">（￥ </w:t>
      </w:r>
      <w:r>
        <w:rPr>
          <w:rFonts w:ascii="宋体" w:hAnsi="宋体" w:cs="宋体"/>
          <w:bCs/>
          <w:color w:val="000000" w:themeColor="text1"/>
          <w:szCs w:val="21"/>
          <w:highlight w:val="none"/>
          <w:u w:val="single"/>
          <w14:textFill>
            <w14:solidFill>
              <w14:schemeClr w14:val="tx1"/>
            </w14:solidFill>
          </w14:textFill>
        </w:rPr>
        <w:t xml:space="preserve">     </w:t>
      </w:r>
      <w:r>
        <w:rPr>
          <w:rFonts w:hint="eastAsia" w:ascii="宋体" w:hAnsi="宋体" w:cs="宋体"/>
          <w:bCs/>
          <w:color w:val="000000" w:themeColor="text1"/>
          <w:szCs w:val="21"/>
          <w:highlight w:val="none"/>
          <w:u w:val="single"/>
          <w14:textFill>
            <w14:solidFill>
              <w14:schemeClr w14:val="tx1"/>
            </w14:solidFill>
          </w14:textFill>
        </w:rPr>
        <w:t>）</w:t>
      </w:r>
      <w:r>
        <w:rPr>
          <w:rFonts w:hint="eastAsia" w:ascii="宋体" w:hAnsi="宋体" w:cs="宋体"/>
          <w:bCs/>
          <w:color w:val="000000" w:themeColor="text1"/>
          <w:szCs w:val="21"/>
          <w:highlight w:val="none"/>
          <w14:textFill>
            <w14:solidFill>
              <w14:schemeClr w14:val="tx1"/>
            </w14:solidFill>
          </w14:textFill>
        </w:rPr>
        <w:t>。</w:t>
      </w:r>
    </w:p>
    <w:p w14:paraId="3184028A">
      <w:pPr>
        <w:spacing w:line="360" w:lineRule="auto"/>
        <w:ind w:firstLine="420" w:firstLineChars="200"/>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w:t>
      </w:r>
    </w:p>
    <w:p w14:paraId="34B4B040">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三、接受分包合同的中小微企业与分包企业之间</w:t>
      </w:r>
      <w:r>
        <w:rPr>
          <w:rFonts w:hint="eastAsia" w:ascii="宋体" w:hAnsi="宋体" w:cs="宋体"/>
          <w:bCs/>
          <w:color w:val="000000" w:themeColor="text1"/>
          <w:szCs w:val="21"/>
          <w:highlight w:val="none"/>
          <w:u w:val="single"/>
          <w14:textFill>
            <w14:solidFill>
              <w14:schemeClr w14:val="tx1"/>
            </w14:solidFill>
          </w14:textFill>
        </w:rPr>
        <w:t>（请填写：存在或不存在）</w:t>
      </w:r>
      <w:r>
        <w:rPr>
          <w:rFonts w:hint="eastAsia" w:ascii="宋体" w:hAnsi="宋体" w:cs="宋体"/>
          <w:bCs/>
          <w:color w:val="000000" w:themeColor="text1"/>
          <w:szCs w:val="21"/>
          <w:highlight w:val="none"/>
          <w14:textFill>
            <w14:solidFill>
              <w14:schemeClr w14:val="tx1"/>
            </w14:solidFill>
          </w14:textFill>
        </w:rPr>
        <w:t xml:space="preserve">直接控股、管理关系的情形。 </w:t>
      </w:r>
    </w:p>
    <w:p w14:paraId="39477A45">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四、如因违约过失责任而导致采购人经济损失或被索赔时，</w:t>
      </w:r>
      <w:r>
        <w:rPr>
          <w:rFonts w:hint="eastAsia" w:ascii="宋体" w:hAnsi="宋体" w:cs="宋体"/>
          <w:bCs/>
          <w:color w:val="000000" w:themeColor="text1"/>
          <w:szCs w:val="21"/>
          <w:highlight w:val="none"/>
          <w:u w:val="single"/>
          <w14:textFill>
            <w14:solidFill>
              <w14:schemeClr w14:val="tx1"/>
            </w14:solidFill>
          </w14:textFill>
        </w:rPr>
        <w:t>（甲公司名称）</w:t>
      </w:r>
      <w:r>
        <w:rPr>
          <w:rFonts w:hint="eastAsia" w:ascii="宋体" w:hAnsi="宋体" w:cs="宋体"/>
          <w:bCs/>
          <w:color w:val="000000" w:themeColor="text1"/>
          <w:szCs w:val="21"/>
          <w:highlight w:val="none"/>
          <w14:textFill>
            <w14:solidFill>
              <w14:schemeClr w14:val="tx1"/>
            </w14:solidFill>
          </w14:textFill>
        </w:rPr>
        <w:t xml:space="preserve">同意无条件优先清偿采购人的一切债务和经济赔偿。 </w:t>
      </w:r>
    </w:p>
    <w:p w14:paraId="4366E02D">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 xml:space="preserve">五、如中标，分包意向供应商不得以任何理由提出终止本意向协议。 </w:t>
      </w:r>
    </w:p>
    <w:p w14:paraId="25F25A18">
      <w:pPr>
        <w:spacing w:line="360" w:lineRule="auto"/>
        <w:ind w:firstLine="420"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六、本意向书在自签署之日起生效，有效期内有效，如获中标资格，有效期延续至合同履行完毕之日。</w:t>
      </w:r>
    </w:p>
    <w:p w14:paraId="5C9E99A2">
      <w:pPr>
        <w:pStyle w:val="9"/>
        <w:overflowPunct w:val="0"/>
        <w:spacing w:line="360" w:lineRule="auto"/>
        <w:ind w:firstLine="422" w:firstLineChars="175"/>
        <w:contextualSpacing/>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注：</w:t>
      </w:r>
    </w:p>
    <w:p w14:paraId="26B49B8E">
      <w:pPr>
        <w:pStyle w:val="9"/>
        <w:overflowPunct w:val="0"/>
        <w:spacing w:line="360" w:lineRule="auto"/>
        <w:ind w:firstLine="422" w:firstLineChars="175"/>
        <w:contextualSpacing/>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1.供应商参加采购活动时应签订本协议，协议各方成员应在本协议上共同盖章确认。</w:t>
      </w:r>
    </w:p>
    <w:p w14:paraId="3F92455D">
      <w:pPr>
        <w:spacing w:line="360" w:lineRule="auto"/>
        <w:ind w:firstLine="482" w:firstLineChars="200"/>
        <w:rPr>
          <w:rFonts w:hint="eastAsia" w:ascii="宋体" w:hAnsi="宋体" w:cs="宋体"/>
          <w:bCs/>
          <w:color w:val="000000" w:themeColor="text1"/>
          <w:szCs w:val="21"/>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2.本协议将作为签订合同的附件之一。</w:t>
      </w:r>
    </w:p>
    <w:p w14:paraId="48B93197">
      <w:pPr>
        <w:pStyle w:val="9"/>
        <w:overflowPunct w:val="0"/>
        <w:spacing w:line="360" w:lineRule="auto"/>
        <w:ind w:firstLineChars="175"/>
        <w:contextualSpacing/>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甲公司全称：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(盖公章)</w:t>
      </w:r>
    </w:p>
    <w:p w14:paraId="3E39B6E5">
      <w:pPr>
        <w:pStyle w:val="9"/>
        <w:overflowPunct w:val="0"/>
        <w:spacing w:line="360" w:lineRule="auto"/>
        <w:ind w:firstLineChars="175"/>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法定代表人或者其委托代理人：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（签字）</w:t>
      </w:r>
    </w:p>
    <w:p w14:paraId="5182AB6C">
      <w:pPr>
        <w:pStyle w:val="9"/>
        <w:overflowPunct w:val="0"/>
        <w:spacing w:line="360" w:lineRule="auto"/>
        <w:ind w:firstLineChars="175"/>
        <w:contextualSpacing/>
        <w:rPr>
          <w:rFonts w:hint="eastAsia" w:ascii="宋体" w:hAnsi="宋体"/>
          <w:color w:val="000000" w:themeColor="text1"/>
          <w:sz w:val="24"/>
          <w:highlight w:val="none"/>
          <w:u w:val="single"/>
          <w14:textFill>
            <w14:solidFill>
              <w14:schemeClr w14:val="tx1"/>
            </w14:solidFill>
          </w14:textFill>
        </w:rPr>
      </w:pPr>
    </w:p>
    <w:p w14:paraId="38DE1001">
      <w:pPr>
        <w:pStyle w:val="9"/>
        <w:overflowPunct w:val="0"/>
        <w:spacing w:line="360" w:lineRule="auto"/>
        <w:ind w:firstLineChars="175"/>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乙公司全称：</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(盖公章)</w:t>
      </w:r>
    </w:p>
    <w:p w14:paraId="6B35B3FB">
      <w:pPr>
        <w:pStyle w:val="9"/>
        <w:overflowPunct w:val="0"/>
        <w:spacing w:line="360" w:lineRule="auto"/>
        <w:ind w:firstLineChars="175"/>
        <w:contextualSpacing/>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法定代表人或者其委托代理人：</w:t>
      </w:r>
      <w:r>
        <w:rPr>
          <w:rFonts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ascii="宋体" w:hAnsi="宋体"/>
          <w:color w:val="000000" w:themeColor="text1"/>
          <w:sz w:val="24"/>
          <w:highlight w:val="none"/>
          <w:u w:val="singl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（签字）</w:t>
      </w:r>
    </w:p>
    <w:p w14:paraId="4570D2E3">
      <w:pPr>
        <w:pStyle w:val="9"/>
        <w:overflowPunct w:val="0"/>
        <w:spacing w:line="360" w:lineRule="auto"/>
        <w:ind w:firstLineChars="175"/>
        <w:contextualSpacing/>
        <w:rPr>
          <w:rFonts w:hint="eastAsia" w:ascii="宋体" w:hAnsi="宋体"/>
          <w:color w:val="000000" w:themeColor="text1"/>
          <w:sz w:val="24"/>
          <w:highlight w:val="none"/>
          <w:u w:val="single"/>
          <w14:textFill>
            <w14:solidFill>
              <w14:schemeClr w14:val="tx1"/>
            </w14:solidFill>
          </w14:textFill>
        </w:rPr>
      </w:pPr>
    </w:p>
    <w:p w14:paraId="13672C5F">
      <w:pPr>
        <w:spacing w:line="360" w:lineRule="auto"/>
        <w:ind w:firstLine="480" w:firstLineChars="200"/>
        <w:rPr>
          <w:rFonts w:ascii="宋体" w:hAnsi="宋体" w:cs="宋体"/>
          <w:bCs/>
          <w:color w:val="000000" w:themeColor="text1"/>
          <w:szCs w:val="21"/>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t>……</w:t>
      </w:r>
    </w:p>
    <w:p w14:paraId="23F9D573">
      <w:pPr>
        <w:pStyle w:val="9"/>
        <w:rPr>
          <w:rFonts w:ascii="宋体" w:hAnsi="宋体" w:cs="宋体"/>
          <w:bCs/>
          <w:color w:val="000000" w:themeColor="text1"/>
          <w:szCs w:val="21"/>
          <w:highlight w:val="none"/>
          <w14:textFill>
            <w14:solidFill>
              <w14:schemeClr w14:val="tx1"/>
            </w14:solidFill>
          </w14:textFill>
        </w:rPr>
      </w:pPr>
    </w:p>
    <w:p w14:paraId="2FD9E221">
      <w:pPr>
        <w:pStyle w:val="9"/>
        <w:jc w:val="right"/>
        <w:rPr>
          <w:rFonts w:hint="eastAsia"/>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月</w:t>
      </w:r>
      <w:r>
        <w:rPr>
          <w:rFonts w:ascii="宋体" w:hAnsi="宋体"/>
          <w:color w:val="000000" w:themeColor="text1"/>
          <w:sz w:val="24"/>
          <w:highlight w:val="none"/>
          <w14:textFill>
            <w14:solidFill>
              <w14:schemeClr w14:val="tx1"/>
            </w14:solidFill>
          </w14:textFill>
        </w:rPr>
        <w:t xml:space="preserve"> </w:t>
      </w:r>
      <w:r>
        <w:rPr>
          <w:rFonts w:ascii="宋体" w:hAnsi="宋体"/>
          <w:color w:val="000000" w:themeColor="text1"/>
          <w:sz w:val="24"/>
          <w:highlight w:val="none"/>
          <w14:textFill>
            <w14:solidFill>
              <w14:schemeClr w14:val="tx1"/>
            </w14:solidFill>
          </w14:textFill>
        </w:rPr>
        <w:tab/>
      </w:r>
      <w:r>
        <w:rPr>
          <w:rFonts w:hint="eastAsia" w:ascii="宋体" w:hAnsi="宋体"/>
          <w:color w:val="000000" w:themeColor="text1"/>
          <w:sz w:val="24"/>
          <w:highlight w:val="none"/>
          <w14:textFill>
            <w14:solidFill>
              <w14:schemeClr w14:val="tx1"/>
            </w14:solidFill>
          </w14:textFill>
        </w:rPr>
        <w:t>日</w:t>
      </w:r>
    </w:p>
    <w:p w14:paraId="4E37B7D5">
      <w:pPr>
        <w:spacing w:line="360" w:lineRule="auto"/>
        <w:jc w:val="left"/>
        <w:rPr>
          <w:rFonts w:ascii="宋体" w:hAnsi="宋体"/>
          <w:color w:val="000000" w:themeColor="text1"/>
          <w:sz w:val="24"/>
          <w:highlight w:val="none"/>
          <w14:textFill>
            <w14:solidFill>
              <w14:schemeClr w14:val="tx1"/>
            </w14:solidFill>
          </w14:textFill>
        </w:rPr>
      </w:pPr>
      <w:r>
        <w:rPr>
          <w:rFonts w:ascii="宋体" w:hAnsi="宋体"/>
          <w:color w:val="000000" w:themeColor="text1"/>
          <w:sz w:val="24"/>
          <w:highlight w:val="none"/>
          <w14:textFill>
            <w14:solidFill>
              <w14:schemeClr w14:val="tx1"/>
            </w14:solidFill>
          </w14:textFill>
        </w:rPr>
        <w:br w:type="page"/>
      </w:r>
      <w:r>
        <w:rPr>
          <w:rFonts w:ascii="宋体" w:hAnsi="宋体"/>
          <w:b/>
          <w:color w:val="000000" w:themeColor="text1"/>
          <w:sz w:val="24"/>
          <w:highlight w:val="none"/>
          <w14:textFill>
            <w14:solidFill>
              <w14:schemeClr w14:val="tx1"/>
            </w14:solidFill>
          </w14:textFill>
        </w:rPr>
        <w:t>5</w:t>
      </w:r>
      <w:r>
        <w:rPr>
          <w:rFonts w:hint="eastAsia" w:ascii="宋体" w:hAnsi="宋体"/>
          <w:b/>
          <w:color w:val="000000" w:themeColor="text1"/>
          <w:sz w:val="24"/>
          <w:highlight w:val="none"/>
          <w14:textFill>
            <w14:solidFill>
              <w14:schemeClr w14:val="tx1"/>
            </w14:solidFill>
          </w14:textFill>
        </w:rPr>
        <w:t>.质疑函格式</w:t>
      </w:r>
    </w:p>
    <w:p w14:paraId="20364A4D">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cs="方正小标宋简体"/>
          <w:color w:val="000000" w:themeColor="text1"/>
          <w:sz w:val="44"/>
          <w:szCs w:val="44"/>
          <w:highlight w:val="none"/>
          <w14:textFill>
            <w14:solidFill>
              <w14:schemeClr w14:val="tx1"/>
            </w14:solidFill>
          </w14:textFill>
        </w:rPr>
      </w:pPr>
      <w:r>
        <w:rPr>
          <w:rFonts w:hint="eastAsia" w:ascii="宋体" w:hAnsi="宋体" w:cs="方正小标宋简体"/>
          <w:color w:val="000000" w:themeColor="text1"/>
          <w:sz w:val="44"/>
          <w:szCs w:val="44"/>
          <w:highlight w:val="none"/>
          <w14:textFill>
            <w14:solidFill>
              <w14:schemeClr w14:val="tx1"/>
            </w14:solidFill>
          </w14:textFill>
        </w:rPr>
        <w:t>质疑函</w:t>
      </w:r>
    </w:p>
    <w:p w14:paraId="6EE7722D">
      <w:pPr>
        <w:pStyle w:val="26"/>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9"/>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一、质疑供应商基本信息：</w:t>
      </w:r>
    </w:p>
    <w:p w14:paraId="6288F216">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质疑供应商：</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65058EE8">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59CCC3B5">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6AA211F4">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p>
    <w:p w14:paraId="2FE6F1B1">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0A2566BE">
      <w:pPr>
        <w:pStyle w:val="26"/>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outlineLvl w:val="9"/>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1DD16969">
      <w:pPr>
        <w:pStyle w:val="26"/>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outlineLvl w:val="9"/>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二、质疑项目基本情况：</w:t>
      </w:r>
    </w:p>
    <w:p w14:paraId="1607A6C9">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4500B115">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质疑</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4A1CCDA1">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0F61CA84">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w:t>
      </w:r>
    </w:p>
    <w:p w14:paraId="30A8278D">
      <w:pPr>
        <w:pStyle w:val="26"/>
        <w:keepNext w:val="0"/>
        <w:keepLines w:val="0"/>
        <w:pageBreakBefore w:val="0"/>
        <w:widowControl w:val="0"/>
        <w:kinsoku/>
        <w:wordWrap/>
        <w:overflowPunct/>
        <w:topLinePunct w:val="0"/>
        <w:autoSpaceDE/>
        <w:autoSpaceDN/>
        <w:bidi w:val="0"/>
        <w:adjustRightInd/>
        <w:spacing w:line="360" w:lineRule="auto"/>
        <w:ind w:left="25" w:leftChars="12" w:firstLine="352" w:firstLineChars="14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□招标文件   招标文件获取日期：</w:t>
      </w:r>
      <w:r>
        <w:rPr>
          <w:rFonts w:hint="eastAsia" w:hAnsi="宋体"/>
          <w:bCs/>
          <w:color w:val="000000" w:themeColor="text1"/>
          <w:sz w:val="24"/>
          <w:szCs w:val="24"/>
          <w:highlight w:val="none"/>
          <w:u w:val="single"/>
          <w14:textFill>
            <w14:solidFill>
              <w14:schemeClr w14:val="tx1"/>
            </w14:solidFill>
          </w14:textFill>
        </w:rPr>
        <w:t xml:space="preserve">                                   </w:t>
      </w:r>
    </w:p>
    <w:p w14:paraId="43D7D537">
      <w:pPr>
        <w:pStyle w:val="26"/>
        <w:keepNext w:val="0"/>
        <w:keepLines w:val="0"/>
        <w:pageBreakBefore w:val="0"/>
        <w:widowControl w:val="0"/>
        <w:kinsoku/>
        <w:wordWrap/>
        <w:overflowPunct/>
        <w:topLinePunct w:val="0"/>
        <w:autoSpaceDE/>
        <w:autoSpaceDN/>
        <w:bidi w:val="0"/>
        <w:adjustRightInd/>
        <w:spacing w:line="360" w:lineRule="auto"/>
        <w:ind w:left="25" w:leftChars="12" w:firstLine="352" w:firstLineChars="14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□采购过程   </w:t>
      </w:r>
    </w:p>
    <w:p w14:paraId="663B4300">
      <w:pPr>
        <w:pStyle w:val="26"/>
        <w:keepNext w:val="0"/>
        <w:keepLines w:val="0"/>
        <w:pageBreakBefore w:val="0"/>
        <w:widowControl w:val="0"/>
        <w:kinsoku/>
        <w:wordWrap/>
        <w:overflowPunct/>
        <w:topLinePunct w:val="0"/>
        <w:autoSpaceDE/>
        <w:autoSpaceDN/>
        <w:bidi w:val="0"/>
        <w:adjustRightInd/>
        <w:spacing w:line="360" w:lineRule="auto"/>
        <w:ind w:left="25" w:leftChars="12" w:firstLine="352" w:firstLineChars="147"/>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□中标结果   </w:t>
      </w:r>
    </w:p>
    <w:p w14:paraId="2E4241E3">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6"/>
        <w:textAlignment w:val="auto"/>
        <w:outlineLvl w:val="9"/>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三、质疑事项具体内容</w:t>
      </w:r>
    </w:p>
    <w:p w14:paraId="6AF20A8F">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质疑事项1：</w:t>
      </w:r>
      <w:r>
        <w:rPr>
          <w:rFonts w:hint="eastAsia" w:hAnsi="宋体"/>
          <w:bCs/>
          <w:color w:val="000000" w:themeColor="text1"/>
          <w:sz w:val="24"/>
          <w:szCs w:val="24"/>
          <w:highlight w:val="none"/>
          <w:u w:val="single"/>
          <w14:textFill>
            <w14:solidFill>
              <w14:schemeClr w14:val="tx1"/>
            </w14:solidFill>
          </w14:textFill>
        </w:rPr>
        <w:t xml:space="preserve">                                                                    </w:t>
      </w:r>
    </w:p>
    <w:p w14:paraId="3CAD3E60">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事实依据：</w:t>
      </w:r>
      <w:r>
        <w:rPr>
          <w:rFonts w:hint="eastAsia" w:hAnsi="宋体"/>
          <w:bCs/>
          <w:color w:val="000000" w:themeColor="text1"/>
          <w:sz w:val="24"/>
          <w:szCs w:val="24"/>
          <w:highlight w:val="none"/>
          <w:u w:val="single"/>
          <w14:textFill>
            <w14:solidFill>
              <w14:schemeClr w14:val="tx1"/>
            </w14:solidFill>
          </w14:textFill>
        </w:rPr>
        <w:t xml:space="preserve">                                                                      </w:t>
      </w:r>
    </w:p>
    <w:p w14:paraId="1E3A3D52">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6E156495">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质疑事项2</w:t>
      </w:r>
    </w:p>
    <w:p w14:paraId="7ADBBA17">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Ansi="宋体"/>
          <w:color w:val="000000" w:themeColor="text1"/>
          <w:sz w:val="24"/>
          <w:szCs w:val="24"/>
          <w:highlight w:val="none"/>
          <w14:textFill>
            <w14:solidFill>
              <w14:schemeClr w14:val="tx1"/>
            </w14:solidFill>
          </w14:textFill>
        </w:rPr>
        <w:t>……</w:t>
      </w:r>
    </w:p>
    <w:p w14:paraId="02E0F9BA">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四、与质疑事项相关的质疑请求：</w:t>
      </w:r>
    </w:p>
    <w:p w14:paraId="34292A64">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0C02386D">
      <w:pPr>
        <w:pStyle w:val="26"/>
        <w:keepNext w:val="0"/>
        <w:keepLines w:val="0"/>
        <w:pageBreakBefore w:val="0"/>
        <w:widowControl w:val="0"/>
        <w:kinsoku/>
        <w:wordWrap/>
        <w:overflowPunct/>
        <w:topLinePunct w:val="0"/>
        <w:autoSpaceDE/>
        <w:autoSpaceDN/>
        <w:bidi w:val="0"/>
        <w:adjustRightInd/>
        <w:spacing w:line="360" w:lineRule="auto"/>
        <w:ind w:left="25" w:leftChars="12" w:firstLine="352" w:firstLineChars="147"/>
        <w:textAlignment w:val="auto"/>
        <w:outlineLvl w:val="9"/>
        <w:rPr>
          <w:rFonts w:hint="eastAsia" w:hAnsi="宋体"/>
          <w:color w:val="000000" w:themeColor="text1"/>
          <w:sz w:val="24"/>
          <w:szCs w:val="24"/>
          <w:highlight w:val="none"/>
          <w14:textFill>
            <w14:solidFill>
              <w14:schemeClr w14:val="tx1"/>
            </w14:solidFill>
          </w14:textFill>
        </w:rPr>
      </w:pPr>
    </w:p>
    <w:p w14:paraId="6F105EAA">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5296164B">
      <w:pPr>
        <w:pStyle w:val="26"/>
        <w:keepNext w:val="0"/>
        <w:keepLines w:val="0"/>
        <w:pageBreakBefore w:val="0"/>
        <w:widowControl w:val="0"/>
        <w:kinsoku/>
        <w:wordWrap/>
        <w:overflowPunct/>
        <w:topLinePunct w:val="0"/>
        <w:autoSpaceDE/>
        <w:autoSpaceDN/>
        <w:bidi w:val="0"/>
        <w:adjustRightInd/>
        <w:spacing w:line="360" w:lineRule="auto"/>
        <w:ind w:left="25" w:leftChars="12" w:firstLine="352" w:firstLineChars="147"/>
        <w:textAlignment w:val="auto"/>
        <w:outlineLvl w:val="9"/>
        <w:rPr>
          <w:rFonts w:hint="eastAsia" w:hAnsi="宋体"/>
          <w:color w:val="000000" w:themeColor="text1"/>
          <w:sz w:val="24"/>
          <w:szCs w:val="24"/>
          <w:highlight w:val="none"/>
          <w14:textFill>
            <w14:solidFill>
              <w14:schemeClr w14:val="tx1"/>
            </w14:solidFill>
          </w14:textFill>
        </w:rPr>
      </w:pPr>
    </w:p>
    <w:p w14:paraId="7075AEBC">
      <w:pPr>
        <w:pStyle w:val="26"/>
        <w:keepNext w:val="0"/>
        <w:keepLines w:val="0"/>
        <w:pageBreakBefore w:val="0"/>
        <w:widowControl w:val="0"/>
        <w:kinsoku/>
        <w:wordWrap/>
        <w:overflowPunct/>
        <w:topLinePunct w:val="0"/>
        <w:autoSpaceDE/>
        <w:autoSpaceDN/>
        <w:bidi w:val="0"/>
        <w:adjustRightInd/>
        <w:spacing w:line="360" w:lineRule="auto"/>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04FD183C">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hAnsi="宋体"/>
          <w:b/>
          <w:color w:val="000000" w:themeColor="text1"/>
          <w:sz w:val="24"/>
          <w:szCs w:val="24"/>
          <w:highlight w:val="none"/>
          <w14:textFill>
            <w14:solidFill>
              <w14:schemeClr w14:val="tx1"/>
            </w14:solidFill>
          </w14:textFill>
        </w:rPr>
      </w:pPr>
    </w:p>
    <w:p w14:paraId="7F2E0B86">
      <w:pPr>
        <w:pStyle w:val="26"/>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60F63F64">
      <w:pPr>
        <w:pStyle w:val="26"/>
        <w:keepNext w:val="0"/>
        <w:keepLines w:val="0"/>
        <w:pageBreakBefore w:val="0"/>
        <w:widowControl w:val="0"/>
        <w:kinsoku/>
        <w:wordWrap/>
        <w:overflowPunct/>
        <w:topLinePunct w:val="0"/>
        <w:autoSpaceDE/>
        <w:autoSpaceDN/>
        <w:bidi w:val="0"/>
        <w:adjustRightInd/>
        <w:spacing w:line="360" w:lineRule="auto"/>
        <w:ind w:left="25" w:leftChars="12" w:firstLine="354" w:firstLineChars="147"/>
        <w:textAlignment w:val="auto"/>
        <w:outlineLvl w:val="9"/>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1.供应商提出质疑时，应提交质疑函和必要的证明材料</w:t>
      </w:r>
      <w:r>
        <w:rPr>
          <w:rFonts w:hint="eastAsia" w:hAnsi="宋体"/>
          <w:b/>
          <w:bCs/>
          <w:color w:val="000000" w:themeColor="text1"/>
          <w:sz w:val="24"/>
          <w:szCs w:val="24"/>
          <w:highlight w:val="none"/>
          <w14:textFill>
            <w14:solidFill>
              <w14:schemeClr w14:val="tx1"/>
            </w14:solidFill>
          </w14:textFill>
        </w:rPr>
        <w:t>。</w:t>
      </w:r>
    </w:p>
    <w:p w14:paraId="7E5A34FB">
      <w:pPr>
        <w:pStyle w:val="26"/>
        <w:keepNext w:val="0"/>
        <w:keepLines w:val="0"/>
        <w:pageBreakBefore w:val="0"/>
        <w:widowControl w:val="0"/>
        <w:kinsoku/>
        <w:wordWrap/>
        <w:overflowPunct/>
        <w:topLinePunct w:val="0"/>
        <w:autoSpaceDE/>
        <w:autoSpaceDN/>
        <w:bidi w:val="0"/>
        <w:adjustRightInd/>
        <w:spacing w:line="360" w:lineRule="auto"/>
        <w:ind w:left="25" w:leftChars="12" w:firstLine="354" w:firstLineChars="147"/>
        <w:textAlignment w:val="auto"/>
        <w:outlineLvl w:val="9"/>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9347FE">
      <w:pPr>
        <w:pStyle w:val="26"/>
        <w:keepNext w:val="0"/>
        <w:keepLines w:val="0"/>
        <w:pageBreakBefore w:val="0"/>
        <w:widowControl w:val="0"/>
        <w:kinsoku/>
        <w:wordWrap/>
        <w:overflowPunct/>
        <w:topLinePunct w:val="0"/>
        <w:autoSpaceDE/>
        <w:autoSpaceDN/>
        <w:bidi w:val="0"/>
        <w:adjustRightInd/>
        <w:spacing w:line="360" w:lineRule="auto"/>
        <w:ind w:left="25" w:leftChars="12" w:firstLine="354" w:firstLineChars="147"/>
        <w:textAlignment w:val="auto"/>
        <w:outlineLvl w:val="9"/>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3.质疑函的质疑事项应具体、明确，并有必要的事实依据和法律依据。</w:t>
      </w:r>
    </w:p>
    <w:p w14:paraId="6E6E8F67">
      <w:pPr>
        <w:pStyle w:val="26"/>
        <w:keepNext w:val="0"/>
        <w:keepLines w:val="0"/>
        <w:pageBreakBefore w:val="0"/>
        <w:widowControl w:val="0"/>
        <w:kinsoku/>
        <w:wordWrap/>
        <w:overflowPunct/>
        <w:topLinePunct w:val="0"/>
        <w:autoSpaceDE/>
        <w:autoSpaceDN/>
        <w:bidi w:val="0"/>
        <w:adjustRightInd/>
        <w:spacing w:line="360" w:lineRule="auto"/>
        <w:ind w:left="25" w:leftChars="12" w:firstLine="354" w:firstLineChars="147"/>
        <w:textAlignment w:val="auto"/>
        <w:outlineLvl w:val="9"/>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4.质疑函的质疑请求应与质疑事项相关。</w:t>
      </w:r>
    </w:p>
    <w:p w14:paraId="699A045B">
      <w:pPr>
        <w:pStyle w:val="26"/>
        <w:keepNext w:val="0"/>
        <w:keepLines w:val="0"/>
        <w:pageBreakBefore w:val="0"/>
        <w:widowControl w:val="0"/>
        <w:kinsoku/>
        <w:wordWrap/>
        <w:overflowPunct/>
        <w:topLinePunct w:val="0"/>
        <w:autoSpaceDE/>
        <w:autoSpaceDN/>
        <w:bidi w:val="0"/>
        <w:adjustRightInd/>
        <w:spacing w:line="360" w:lineRule="auto"/>
        <w:ind w:left="25" w:leftChars="12" w:firstLine="354" w:firstLineChars="147"/>
        <w:textAlignment w:val="auto"/>
        <w:outlineLvl w:val="9"/>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5.质疑供应商为法人或者其他组织的，质疑函应由法定代表人、主要负责人，或者其授权代表签字或者盖章，并加盖公章。</w:t>
      </w:r>
    </w:p>
    <w:p w14:paraId="086D42BC">
      <w:pPr>
        <w:pStyle w:val="26"/>
        <w:keepNext w:val="0"/>
        <w:keepLines w:val="0"/>
        <w:pageBreakBefore w:val="0"/>
        <w:widowControl w:val="0"/>
        <w:kinsoku/>
        <w:wordWrap/>
        <w:overflowPunct/>
        <w:topLinePunct w:val="0"/>
        <w:autoSpaceDE/>
        <w:autoSpaceDN/>
        <w:bidi w:val="0"/>
        <w:adjustRightInd/>
        <w:snapToGrid w:val="0"/>
        <w:textAlignment w:val="auto"/>
        <w:outlineLvl w:val="9"/>
        <w:rPr>
          <w:rFonts w:hint="eastAsia"/>
          <w:b/>
          <w:color w:val="000000" w:themeColor="text1"/>
          <w:sz w:val="24"/>
          <w:szCs w:val="24"/>
          <w:highlight w:val="none"/>
          <w14:textFill>
            <w14:solidFill>
              <w14:schemeClr w14:val="tx1"/>
            </w14:solidFill>
          </w14:textFill>
        </w:rPr>
      </w:pPr>
    </w:p>
    <w:p w14:paraId="4C827C03">
      <w:pPr>
        <w:keepNext w:val="0"/>
        <w:keepLines w:val="0"/>
        <w:pageBreakBefore w:val="0"/>
        <w:widowControl w:val="0"/>
        <w:kinsoku/>
        <w:wordWrap/>
        <w:overflowPunct/>
        <w:topLinePunct w:val="0"/>
        <w:autoSpaceDE/>
        <w:autoSpaceDN/>
        <w:bidi w:val="0"/>
        <w:adjustRightInd/>
        <w:spacing w:line="360" w:lineRule="auto"/>
        <w:jc w:val="left"/>
        <w:textAlignment w:val="auto"/>
        <w:outlineLvl w:val="9"/>
        <w:rPr>
          <w:rFonts w:hint="eastAsia" w:ascii="宋体" w:hAnsi="宋体"/>
          <w:b/>
          <w:bCs/>
          <w:color w:val="000000" w:themeColor="text1"/>
          <w:sz w:val="32"/>
          <w:szCs w:val="32"/>
          <w:highlight w:val="none"/>
          <w14:textFill>
            <w14:solidFill>
              <w14:schemeClr w14:val="tx1"/>
            </w14:solidFill>
          </w14:textFill>
        </w:rPr>
      </w:pPr>
      <w:r>
        <w:rPr>
          <w:rFonts w:eastAsia="隶书"/>
          <w:color w:val="000000" w:themeColor="text1"/>
          <w:sz w:val="44"/>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5.投诉书格式</w:t>
      </w:r>
    </w:p>
    <w:p w14:paraId="76E2D9C5">
      <w:pPr>
        <w:keepNext w:val="0"/>
        <w:keepLines w:val="0"/>
        <w:pageBreakBefore w:val="0"/>
        <w:widowControl w:val="0"/>
        <w:kinsoku/>
        <w:wordWrap/>
        <w:overflowPunct/>
        <w:topLinePunct w:val="0"/>
        <w:autoSpaceDE/>
        <w:autoSpaceDN/>
        <w:bidi w:val="0"/>
        <w:adjustRightInd/>
        <w:jc w:val="center"/>
        <w:textAlignment w:val="auto"/>
        <w:outlineLvl w:val="9"/>
        <w:rPr>
          <w:rFonts w:hint="eastAsia" w:ascii="宋体" w:hAnsi="宋体" w:cs="方正小标宋简体"/>
          <w:color w:val="000000" w:themeColor="text1"/>
          <w:sz w:val="44"/>
          <w:szCs w:val="44"/>
          <w:highlight w:val="none"/>
          <w14:textFill>
            <w14:solidFill>
              <w14:schemeClr w14:val="tx1"/>
            </w14:solidFill>
          </w14:textFill>
        </w:rPr>
      </w:pPr>
      <w:r>
        <w:rPr>
          <w:rFonts w:hint="eastAsia" w:ascii="宋体" w:hAnsi="宋体" w:cs="方正小标宋简体"/>
          <w:color w:val="000000" w:themeColor="text1"/>
          <w:sz w:val="44"/>
          <w:szCs w:val="44"/>
          <w:highlight w:val="none"/>
          <w14:textFill>
            <w14:solidFill>
              <w14:schemeClr w14:val="tx1"/>
            </w14:solidFill>
          </w14:textFill>
        </w:rPr>
        <w:t>投诉书</w:t>
      </w:r>
    </w:p>
    <w:p w14:paraId="0D527735">
      <w:pPr>
        <w:pStyle w:val="26"/>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9"/>
        <w:rPr>
          <w:rFonts w:hint="eastAsia" w:hAnsi="宋体"/>
          <w:b/>
          <w:bCs/>
          <w:color w:val="000000" w:themeColor="text1"/>
          <w:sz w:val="24"/>
          <w:szCs w:val="24"/>
          <w:highlight w:val="none"/>
          <w14:textFill>
            <w14:solidFill>
              <w14:schemeClr w14:val="tx1"/>
            </w14:solidFill>
          </w14:textFill>
        </w:rPr>
      </w:pPr>
    </w:p>
    <w:p w14:paraId="146BBEE4">
      <w:pPr>
        <w:pStyle w:val="26"/>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9"/>
        <w:rPr>
          <w:rFonts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一、投诉相关主体基本情况：</w:t>
      </w:r>
    </w:p>
    <w:p w14:paraId="46B77747">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投标人：</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6249A324">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2EA4AD92">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法定代表人/主要负责人：</w:t>
      </w:r>
      <w:r>
        <w:rPr>
          <w:rFonts w:hint="eastAsia" w:hAnsi="宋体"/>
          <w:bCs/>
          <w:color w:val="000000" w:themeColor="text1"/>
          <w:sz w:val="24"/>
          <w:szCs w:val="24"/>
          <w:highlight w:val="none"/>
          <w:u w:val="single"/>
          <w14:textFill>
            <w14:solidFill>
              <w14:schemeClr w14:val="tx1"/>
            </w14:solidFill>
          </w14:textFill>
        </w:rPr>
        <w:t xml:space="preserve">                                                         </w:t>
      </w:r>
    </w:p>
    <w:p w14:paraId="4E04E496">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联系电话</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0E2EB044">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授权代表：</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4FB6BEE4">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6EAE1140">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A843960">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被投诉人1：</w:t>
      </w:r>
    </w:p>
    <w:p w14:paraId="05685B69">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u w:val="single"/>
          <w14:textFill>
            <w14:solidFill>
              <w14:schemeClr w14:val="tx1"/>
            </w14:solidFill>
          </w14:textFill>
        </w:rPr>
        <w:t xml:space="preserve">                                                            </w:t>
      </w:r>
    </w:p>
    <w:p w14:paraId="5D54418B">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008592AB">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p>
    <w:p w14:paraId="32666F88">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被投诉人2：</w:t>
      </w:r>
    </w:p>
    <w:p w14:paraId="31438D5B">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4DDDE330">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相关供应商：</w:t>
      </w:r>
      <w:r>
        <w:rPr>
          <w:rFonts w:hint="eastAsia" w:hAnsi="宋体"/>
          <w:bCs/>
          <w:color w:val="000000" w:themeColor="text1"/>
          <w:sz w:val="24"/>
          <w:szCs w:val="24"/>
          <w:highlight w:val="none"/>
          <w:u w:val="single"/>
          <w14:textFill>
            <w14:solidFill>
              <w14:schemeClr w14:val="tx1"/>
            </w14:solidFill>
          </w14:textFill>
        </w:rPr>
        <w:t xml:space="preserve">                                                                       </w:t>
      </w:r>
    </w:p>
    <w:p w14:paraId="1CD5DE3E">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Ansi="宋体"/>
          <w:bCs/>
          <w:color w:val="000000" w:themeColor="text1"/>
          <w:sz w:val="24"/>
          <w:szCs w:val="24"/>
          <w:highlight w:val="none"/>
          <w14:textFill>
            <w14:solidFill>
              <w14:schemeClr w14:val="tx1"/>
            </w14:solidFill>
          </w14:textFill>
        </w:rPr>
        <w:t>地址</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邮编</w:t>
      </w:r>
      <w:r>
        <w:rPr>
          <w:rFonts w:hint="eastAsia" w:hAnsi="宋体"/>
          <w:bCs/>
          <w:color w:val="000000" w:themeColor="text1"/>
          <w:sz w:val="24"/>
          <w:szCs w:val="24"/>
          <w:highlight w:val="none"/>
          <w14:textFill>
            <w14:solidFill>
              <w14:schemeClr w14:val="tx1"/>
            </w14:solidFill>
          </w14:textFill>
        </w:rPr>
        <w:t>：</w:t>
      </w:r>
      <w:r>
        <w:rPr>
          <w:rFonts w:hint="eastAsia" w:hAnsi="宋体"/>
          <w:bCs/>
          <w:color w:val="000000" w:themeColor="text1"/>
          <w:sz w:val="24"/>
          <w:szCs w:val="24"/>
          <w:highlight w:val="none"/>
          <w:u w:val="single"/>
          <w14:textFill>
            <w14:solidFill>
              <w14:schemeClr w14:val="tx1"/>
            </w14:solidFill>
          </w14:textFill>
        </w:rPr>
        <w:t xml:space="preserve">                         </w:t>
      </w:r>
    </w:p>
    <w:p w14:paraId="66746449">
      <w:pPr>
        <w:pStyle w:val="26"/>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outlineLvl w:val="9"/>
        <w:rPr>
          <w:rFonts w:hint="eastAsia" w:hAnsi="宋体"/>
          <w:bCs/>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联系人：</w:t>
      </w:r>
      <w:r>
        <w:rPr>
          <w:rFonts w:hint="eastAsia" w:hAnsi="宋体"/>
          <w:bCs/>
          <w:color w:val="000000" w:themeColor="text1"/>
          <w:sz w:val="24"/>
          <w:szCs w:val="24"/>
          <w:highlight w:val="none"/>
          <w:u w:val="single"/>
          <w14:textFill>
            <w14:solidFill>
              <w14:schemeClr w14:val="tx1"/>
            </w14:solidFill>
          </w14:textFill>
        </w:rPr>
        <w:t xml:space="preserve">                                            </w:t>
      </w:r>
      <w:r>
        <w:rPr>
          <w:rFonts w:hAnsi="宋体"/>
          <w:bCs/>
          <w:color w:val="000000" w:themeColor="text1"/>
          <w:sz w:val="24"/>
          <w:szCs w:val="24"/>
          <w:highlight w:val="none"/>
          <w14:textFill>
            <w14:solidFill>
              <w14:schemeClr w14:val="tx1"/>
            </w14:solidFill>
          </w14:textFill>
        </w:rPr>
        <w:t>联系</w:t>
      </w:r>
      <w:r>
        <w:rPr>
          <w:rFonts w:hint="eastAsia" w:hAnsi="宋体"/>
          <w:bCs/>
          <w:color w:val="000000" w:themeColor="text1"/>
          <w:sz w:val="24"/>
          <w:szCs w:val="24"/>
          <w:highlight w:val="none"/>
          <w14:textFill>
            <w14:solidFill>
              <w14:schemeClr w14:val="tx1"/>
            </w14:solidFill>
          </w14:textFill>
        </w:rPr>
        <w:t>电话：</w:t>
      </w:r>
      <w:r>
        <w:rPr>
          <w:rFonts w:hint="eastAsia" w:hAnsi="宋体"/>
          <w:bCs/>
          <w:color w:val="000000" w:themeColor="text1"/>
          <w:sz w:val="24"/>
          <w:szCs w:val="24"/>
          <w:highlight w:val="none"/>
          <w:u w:val="single"/>
          <w14:textFill>
            <w14:solidFill>
              <w14:schemeClr w14:val="tx1"/>
            </w14:solidFill>
          </w14:textFill>
        </w:rPr>
        <w:t xml:space="preserve">                     </w:t>
      </w:r>
      <w:r>
        <w:rPr>
          <w:rFonts w:hint="eastAsia" w:hAnsi="宋体"/>
          <w:bCs/>
          <w:color w:val="000000" w:themeColor="text1"/>
          <w:sz w:val="24"/>
          <w:szCs w:val="24"/>
          <w:highlight w:val="none"/>
          <w14:textFill>
            <w14:solidFill>
              <w14:schemeClr w14:val="tx1"/>
            </w14:solidFill>
          </w14:textFill>
        </w:rPr>
        <w:t xml:space="preserve">                </w:t>
      </w:r>
    </w:p>
    <w:p w14:paraId="3FFCB256">
      <w:pPr>
        <w:pStyle w:val="26"/>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outlineLvl w:val="9"/>
        <w:rPr>
          <w:rFonts w:hint="eastAsia" w:hAnsi="宋体"/>
          <w:b/>
          <w:bCs/>
          <w:color w:val="000000" w:themeColor="text1"/>
          <w:sz w:val="24"/>
          <w:szCs w:val="24"/>
          <w:highlight w:val="none"/>
          <w14:textFill>
            <w14:solidFill>
              <w14:schemeClr w14:val="tx1"/>
            </w14:solidFill>
          </w14:textFill>
        </w:rPr>
      </w:pPr>
      <w:r>
        <w:rPr>
          <w:rFonts w:hint="eastAsia" w:hAnsi="宋体"/>
          <w:b/>
          <w:bCs/>
          <w:color w:val="000000" w:themeColor="text1"/>
          <w:sz w:val="24"/>
          <w:szCs w:val="24"/>
          <w:highlight w:val="none"/>
          <w14:textFill>
            <w14:solidFill>
              <w14:schemeClr w14:val="tx1"/>
            </w14:solidFill>
          </w14:textFill>
        </w:rPr>
        <w:t>二、投诉项目基本情况：</w:t>
      </w:r>
    </w:p>
    <w:p w14:paraId="7BB4B6C7">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项目的名称：</w:t>
      </w:r>
      <w:r>
        <w:rPr>
          <w:rFonts w:hint="eastAsia" w:hAnsi="宋体"/>
          <w:bCs/>
          <w:color w:val="000000" w:themeColor="text1"/>
          <w:sz w:val="24"/>
          <w:szCs w:val="24"/>
          <w:highlight w:val="none"/>
          <w:u w:val="single"/>
          <w14:textFill>
            <w14:solidFill>
              <w14:schemeClr w14:val="tx1"/>
            </w14:solidFill>
          </w14:textFill>
        </w:rPr>
        <w:t xml:space="preserve">                                                                   </w:t>
      </w:r>
    </w:p>
    <w:p w14:paraId="2118CD77">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w:t>
      </w:r>
      <w:r>
        <w:rPr>
          <w:rFonts w:hint="eastAsia" w:hAnsi="宋体"/>
          <w:color w:val="000000" w:themeColor="text1"/>
          <w:sz w:val="24"/>
          <w:szCs w:val="24"/>
          <w:highlight w:val="none"/>
          <w14:textFill>
            <w14:solidFill>
              <w14:schemeClr w14:val="tx1"/>
            </w14:solidFill>
          </w14:textFill>
        </w:rPr>
        <w:t>项目的编号：</w:t>
      </w:r>
      <w:r>
        <w:rPr>
          <w:rFonts w:hint="eastAsia" w:hAnsi="宋体"/>
          <w:bCs/>
          <w:color w:val="000000" w:themeColor="text1"/>
          <w:sz w:val="24"/>
          <w:szCs w:val="24"/>
          <w:highlight w:val="none"/>
          <w:u w:val="single"/>
          <w14:textFill>
            <w14:solidFill>
              <w14:schemeClr w14:val="tx1"/>
            </w14:solidFill>
          </w14:textFill>
        </w:rPr>
        <w:t xml:space="preserve">                                          </w:t>
      </w:r>
    </w:p>
    <w:p w14:paraId="694EFE35">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采购人名称：</w:t>
      </w:r>
      <w:r>
        <w:rPr>
          <w:rFonts w:hint="eastAsia" w:hAnsi="宋体"/>
          <w:bCs/>
          <w:color w:val="000000" w:themeColor="text1"/>
          <w:sz w:val="24"/>
          <w:szCs w:val="24"/>
          <w:highlight w:val="none"/>
          <w:u w:val="single"/>
          <w14:textFill>
            <w14:solidFill>
              <w14:schemeClr w14:val="tx1"/>
            </w14:solidFill>
          </w14:textFill>
        </w:rPr>
        <w:t xml:space="preserve">                                                                        </w:t>
      </w:r>
    </w:p>
    <w:p w14:paraId="5BB3ECEB">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代理机构名称：</w:t>
      </w:r>
      <w:r>
        <w:rPr>
          <w:rFonts w:hint="eastAsia" w:hAnsi="宋体"/>
          <w:bCs/>
          <w:color w:val="000000" w:themeColor="text1"/>
          <w:sz w:val="24"/>
          <w:szCs w:val="24"/>
          <w:highlight w:val="none"/>
          <w:u w:val="single"/>
          <w14:textFill>
            <w14:solidFill>
              <w14:schemeClr w14:val="tx1"/>
            </w14:solidFill>
          </w14:textFill>
        </w:rPr>
        <w:t xml:space="preserve">                                                                      </w:t>
      </w:r>
    </w:p>
    <w:p w14:paraId="1B6CF1CE">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招标文件公告：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6DF1D158">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b/>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采购结果公告：</w:t>
      </w:r>
      <w:r>
        <w:rPr>
          <w:rFonts w:hint="eastAsia" w:hAnsi="宋体"/>
          <w:bCs/>
          <w:color w:val="000000" w:themeColor="text1"/>
          <w:sz w:val="24"/>
          <w:szCs w:val="24"/>
          <w:highlight w:val="none"/>
          <w:u w:val="single"/>
          <w14:textFill>
            <w14:solidFill>
              <w14:schemeClr w14:val="tx1"/>
            </w14:solidFill>
          </w14:textFill>
        </w:rPr>
        <w:t>是/否</w:t>
      </w:r>
      <w:r>
        <w:rPr>
          <w:rFonts w:hint="eastAsia" w:hAnsi="宋体"/>
          <w:bCs/>
          <w:color w:val="000000" w:themeColor="text1"/>
          <w:sz w:val="24"/>
          <w:szCs w:val="24"/>
          <w:highlight w:val="none"/>
          <w14:textFill>
            <w14:solidFill>
              <w14:schemeClr w14:val="tx1"/>
            </w14:solidFill>
          </w14:textFill>
        </w:rPr>
        <w:t>公告期限：</w:t>
      </w:r>
      <w:r>
        <w:rPr>
          <w:rFonts w:hint="eastAsia" w:hAnsi="宋体"/>
          <w:bCs/>
          <w:color w:val="000000" w:themeColor="text1"/>
          <w:sz w:val="24"/>
          <w:szCs w:val="24"/>
          <w:highlight w:val="none"/>
          <w:u w:val="single"/>
          <w14:textFill>
            <w14:solidFill>
              <w14:schemeClr w14:val="tx1"/>
            </w14:solidFill>
          </w14:textFill>
        </w:rPr>
        <w:t xml:space="preserve">                                                       </w:t>
      </w:r>
    </w:p>
    <w:p w14:paraId="3BA43EFF">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6"/>
        <w:textAlignment w:val="auto"/>
        <w:outlineLvl w:val="9"/>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三、质疑基本情况</w:t>
      </w:r>
    </w:p>
    <w:p w14:paraId="1B928D8F">
      <w:pPr>
        <w:pStyle w:val="26"/>
        <w:keepNext w:val="0"/>
        <w:keepLines w:val="0"/>
        <w:pageBreakBefore w:val="0"/>
        <w:widowControl w:val="0"/>
        <w:kinsoku/>
        <w:wordWrap/>
        <w:overflowPunct/>
        <w:topLinePunct w:val="0"/>
        <w:autoSpaceDE/>
        <w:autoSpaceDN/>
        <w:bidi w:val="0"/>
        <w:adjustRightInd/>
        <w:spacing w:line="440" w:lineRule="exact"/>
        <w:ind w:left="25" w:leftChars="12" w:firstLine="480" w:firstLineChars="200"/>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投诉人于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日，向</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提出质疑，质疑事项为：</w:t>
      </w:r>
    </w:p>
    <w:p w14:paraId="11E528A0">
      <w:pPr>
        <w:pStyle w:val="26"/>
        <w:keepNext w:val="0"/>
        <w:keepLines w:val="0"/>
        <w:pageBreakBefore w:val="0"/>
        <w:widowControl w:val="0"/>
        <w:kinsoku/>
        <w:wordWrap/>
        <w:overflowPunct/>
        <w:topLinePunct w:val="0"/>
        <w:autoSpaceDE/>
        <w:autoSpaceDN/>
        <w:bidi w:val="0"/>
        <w:adjustRightInd/>
        <w:spacing w:line="440" w:lineRule="exact"/>
        <w:ind w:firstLine="241"/>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692C7351">
      <w:pPr>
        <w:pStyle w:val="26"/>
        <w:keepNext w:val="0"/>
        <w:keepLines w:val="0"/>
        <w:pageBreakBefore w:val="0"/>
        <w:widowControl w:val="0"/>
        <w:kinsoku/>
        <w:wordWrap/>
        <w:overflowPunct/>
        <w:topLinePunct w:val="0"/>
        <w:autoSpaceDE/>
        <w:autoSpaceDN/>
        <w:bidi w:val="0"/>
        <w:adjustRightInd/>
        <w:spacing w:line="440" w:lineRule="exact"/>
        <w:ind w:firstLine="241"/>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65C900C6">
      <w:pPr>
        <w:pStyle w:val="26"/>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采购人/代理机构</w:t>
      </w:r>
      <w:r>
        <w:rPr>
          <w:rFonts w:hint="eastAsia" w:hAnsi="宋体"/>
          <w:bCs/>
          <w:color w:val="000000" w:themeColor="text1"/>
          <w:sz w:val="24"/>
          <w:szCs w:val="24"/>
          <w:highlight w:val="none"/>
          <w14:textFill>
            <w14:solidFill>
              <w14:schemeClr w14:val="tx1"/>
            </w14:solidFill>
          </w14:textFill>
        </w:rPr>
        <w:t>于</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年</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月</w:t>
      </w:r>
      <w:r>
        <w:rPr>
          <w:rFonts w:hint="eastAsia" w:hAnsi="宋体"/>
          <w:color w:val="000000" w:themeColor="text1"/>
          <w:sz w:val="24"/>
          <w:szCs w:val="24"/>
          <w:highlight w:val="none"/>
          <w:u w:val="single"/>
          <w14:textFill>
            <w14:solidFill>
              <w14:schemeClr w14:val="tx1"/>
            </w14:solidFill>
          </w14:textFill>
        </w:rPr>
        <w:t xml:space="preserve">   </w:t>
      </w:r>
      <w:r>
        <w:rPr>
          <w:rFonts w:hint="eastAsia" w:hAnsi="宋体"/>
          <w:color w:val="000000" w:themeColor="text1"/>
          <w:sz w:val="24"/>
          <w:szCs w:val="24"/>
          <w:highlight w:val="none"/>
          <w14:textFill>
            <w14:solidFill>
              <w14:schemeClr w14:val="tx1"/>
            </w14:solidFill>
          </w14:textFill>
        </w:rPr>
        <w:t>日，</w:t>
      </w:r>
      <w:r>
        <w:rPr>
          <w:rFonts w:hint="eastAsia" w:hAnsi="宋体"/>
          <w:bCs/>
          <w:color w:val="000000" w:themeColor="text1"/>
          <w:sz w:val="24"/>
          <w:szCs w:val="24"/>
          <w:highlight w:val="none"/>
          <w14:textFill>
            <w14:solidFill>
              <w14:schemeClr w14:val="tx1"/>
            </w14:solidFill>
          </w14:textFill>
        </w:rPr>
        <w:t xml:space="preserve">就质疑事项作出了答复/没有在法定期限内作出答复。                                                                                             </w:t>
      </w:r>
    </w:p>
    <w:p w14:paraId="0D9A7780">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6"/>
        <w:textAlignment w:val="auto"/>
        <w:outlineLvl w:val="9"/>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四、投诉事项具体内容</w:t>
      </w:r>
    </w:p>
    <w:p w14:paraId="005CDB36">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投诉事项1：</w:t>
      </w:r>
      <w:r>
        <w:rPr>
          <w:rFonts w:hint="eastAsia" w:hAnsi="宋体"/>
          <w:bCs/>
          <w:color w:val="000000" w:themeColor="text1"/>
          <w:sz w:val="24"/>
          <w:szCs w:val="24"/>
          <w:highlight w:val="none"/>
          <w:u w:val="single"/>
          <w14:textFill>
            <w14:solidFill>
              <w14:schemeClr w14:val="tx1"/>
            </w14:solidFill>
          </w14:textFill>
        </w:rPr>
        <w:t xml:space="preserve">                                                                           </w:t>
      </w:r>
    </w:p>
    <w:p w14:paraId="7B94FCB5">
      <w:pPr>
        <w:pStyle w:val="26"/>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事实依据：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6EC07CB6">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u w:val="single"/>
          <w14:textFill>
            <w14:solidFill>
              <w14:schemeClr w14:val="tx1"/>
            </w14:solidFill>
          </w14:textFill>
        </w:rPr>
        <w:t xml:space="preserve">                                                                                        </w:t>
      </w:r>
    </w:p>
    <w:p w14:paraId="31AE8F94">
      <w:pPr>
        <w:pStyle w:val="26"/>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法律依据：</w:t>
      </w:r>
      <w:r>
        <w:rPr>
          <w:rFonts w:hint="eastAsia" w:hAnsi="宋体"/>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2094C9F2">
      <w:pPr>
        <w:pStyle w:val="26"/>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outlineLvl w:val="9"/>
        <w:rPr>
          <w:rFonts w:hint="eastAsia" w:hAnsi="宋体"/>
          <w:bCs/>
          <w:color w:val="000000" w:themeColor="text1"/>
          <w:sz w:val="24"/>
          <w:szCs w:val="24"/>
          <w:highlight w:val="none"/>
          <w:u w:val="singl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r>
        <w:rPr>
          <w:rFonts w:hint="eastAsia" w:hAnsi="宋体"/>
          <w:bCs/>
          <w:color w:val="000000" w:themeColor="text1"/>
          <w:sz w:val="24"/>
          <w:szCs w:val="24"/>
          <w:highlight w:val="none"/>
          <w:u w:val="single"/>
          <w14:textFill>
            <w14:solidFill>
              <w14:schemeClr w14:val="tx1"/>
            </w14:solidFill>
          </w14:textFill>
        </w:rPr>
        <w:t xml:space="preserve">                                                                                        </w:t>
      </w:r>
    </w:p>
    <w:p w14:paraId="3ED6C956">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bCs/>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 xml:space="preserve">投诉事项2  </w:t>
      </w:r>
      <w:r>
        <w:rPr>
          <w:rFonts w:hint="eastAsia" w:hAnsi="宋体"/>
          <w:bCs/>
          <w:color w:val="000000" w:themeColor="text1"/>
          <w:sz w:val="24"/>
          <w:szCs w:val="24"/>
          <w:highlight w:val="none"/>
          <w14:textFill>
            <w14:solidFill>
              <w14:schemeClr w14:val="tx1"/>
            </w14:solidFill>
          </w14:textFill>
        </w:rPr>
        <w:t xml:space="preserve">   </w:t>
      </w:r>
    </w:p>
    <w:p w14:paraId="385A9D3C">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bCs/>
          <w:color w:val="000000" w:themeColor="text1"/>
          <w:sz w:val="24"/>
          <w:szCs w:val="24"/>
          <w:highlight w:val="none"/>
          <w14:textFill>
            <w14:solidFill>
              <w14:schemeClr w14:val="tx1"/>
            </w14:solidFill>
          </w14:textFill>
        </w:rPr>
      </w:pPr>
      <w:r>
        <w:rPr>
          <w:rFonts w:hAnsi="宋体"/>
          <w:bCs/>
          <w:color w:val="000000" w:themeColor="text1"/>
          <w:sz w:val="24"/>
          <w:szCs w:val="24"/>
          <w:highlight w:val="none"/>
          <w14:textFill>
            <w14:solidFill>
              <w14:schemeClr w14:val="tx1"/>
            </w14:solidFill>
          </w14:textFill>
        </w:rPr>
        <w:t>……</w:t>
      </w:r>
    </w:p>
    <w:p w14:paraId="3CC6B384">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6"/>
        <w:textAlignment w:val="auto"/>
        <w:outlineLvl w:val="9"/>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五、与投诉事项相关的投诉请求：</w:t>
      </w:r>
    </w:p>
    <w:p w14:paraId="15E2B6E8">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请求：</w:t>
      </w:r>
      <w:r>
        <w:rPr>
          <w:rFonts w:hint="eastAsia" w:hAnsi="宋体"/>
          <w:bCs/>
          <w:color w:val="000000" w:themeColor="text1"/>
          <w:sz w:val="24"/>
          <w:szCs w:val="24"/>
          <w:highlight w:val="none"/>
          <w:u w:val="single"/>
          <w14:textFill>
            <w14:solidFill>
              <w14:schemeClr w14:val="tx1"/>
            </w14:solidFill>
          </w14:textFill>
        </w:rPr>
        <w:t xml:space="preserve">                                                                                 </w:t>
      </w:r>
    </w:p>
    <w:p w14:paraId="47FDA6EE">
      <w:pPr>
        <w:pStyle w:val="26"/>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outlineLvl w:val="9"/>
        <w:rPr>
          <w:rFonts w:hint="eastAsia" w:hAnsi="宋体"/>
          <w:color w:val="000000" w:themeColor="text1"/>
          <w:sz w:val="24"/>
          <w:szCs w:val="24"/>
          <w:highlight w:val="none"/>
          <w14:textFill>
            <w14:solidFill>
              <w14:schemeClr w14:val="tx1"/>
            </w14:solidFill>
          </w14:textFill>
        </w:rPr>
      </w:pPr>
    </w:p>
    <w:p w14:paraId="4F4E978A">
      <w:pPr>
        <w:pStyle w:val="26"/>
        <w:keepNext w:val="0"/>
        <w:keepLines w:val="0"/>
        <w:pageBreakBefore w:val="0"/>
        <w:widowControl w:val="0"/>
        <w:kinsoku/>
        <w:wordWrap/>
        <w:overflowPunct/>
        <w:topLinePunct w:val="0"/>
        <w:autoSpaceDE/>
        <w:autoSpaceDN/>
        <w:bidi w:val="0"/>
        <w:adjustRightInd/>
        <w:spacing w:line="440" w:lineRule="exact"/>
        <w:ind w:left="25" w:leftChars="12" w:firstLine="472" w:firstLineChars="197"/>
        <w:textAlignment w:val="auto"/>
        <w:outlineLvl w:val="9"/>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签字（签章）：                                       公章：</w:t>
      </w:r>
    </w:p>
    <w:p w14:paraId="38C44B4F">
      <w:pPr>
        <w:pStyle w:val="26"/>
        <w:keepNext w:val="0"/>
        <w:keepLines w:val="0"/>
        <w:pageBreakBefore w:val="0"/>
        <w:widowControl w:val="0"/>
        <w:kinsoku/>
        <w:wordWrap/>
        <w:overflowPunct/>
        <w:topLinePunct w:val="0"/>
        <w:autoSpaceDE/>
        <w:autoSpaceDN/>
        <w:bidi w:val="0"/>
        <w:adjustRightInd/>
        <w:spacing w:line="440" w:lineRule="exact"/>
        <w:ind w:left="25" w:leftChars="12" w:firstLine="352" w:firstLineChars="147"/>
        <w:textAlignment w:val="auto"/>
        <w:outlineLvl w:val="9"/>
        <w:rPr>
          <w:rFonts w:hint="eastAsia" w:hAnsi="宋体"/>
          <w:color w:val="000000" w:themeColor="text1"/>
          <w:sz w:val="24"/>
          <w:szCs w:val="24"/>
          <w:highlight w:val="none"/>
          <w14:textFill>
            <w14:solidFill>
              <w14:schemeClr w14:val="tx1"/>
            </w14:solidFill>
          </w14:textFill>
        </w:rPr>
      </w:pPr>
    </w:p>
    <w:p w14:paraId="154A7B76">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color w:val="000000" w:themeColor="text1"/>
          <w:sz w:val="24"/>
          <w:szCs w:val="24"/>
          <w:highlight w:val="none"/>
          <w14:textFill>
            <w14:solidFill>
              <w14:schemeClr w14:val="tx1"/>
            </w14:solidFill>
          </w14:textFill>
        </w:rPr>
        <w:t>日期：</w:t>
      </w:r>
    </w:p>
    <w:p w14:paraId="120A0343">
      <w:pPr>
        <w:pStyle w:val="26"/>
        <w:spacing w:line="440" w:lineRule="exact"/>
        <w:ind w:left="25" w:leftChars="12" w:firstLine="472" w:firstLineChars="197"/>
        <w:rPr>
          <w:rFonts w:hint="eastAsia" w:hAnsi="宋体"/>
          <w:color w:val="000000" w:themeColor="text1"/>
          <w:sz w:val="24"/>
          <w:szCs w:val="24"/>
          <w:highlight w:val="none"/>
          <w14:textFill>
            <w14:solidFill>
              <w14:schemeClr w14:val="tx1"/>
            </w14:solidFill>
          </w14:textFill>
        </w:rPr>
      </w:pPr>
      <w:r>
        <w:rPr>
          <w:rFonts w:hint="eastAsia" w:hAnsi="宋体"/>
          <w:bCs/>
          <w:color w:val="000000" w:themeColor="text1"/>
          <w:sz w:val="24"/>
          <w:szCs w:val="24"/>
          <w:highlight w:val="none"/>
          <w14:textFill>
            <w14:solidFill>
              <w14:schemeClr w14:val="tx1"/>
            </w14:solidFill>
          </w14:textFill>
        </w:rPr>
        <w:t xml:space="preserve">                                                                              </w:t>
      </w:r>
    </w:p>
    <w:p w14:paraId="5930C2E7">
      <w:pPr>
        <w:pStyle w:val="26"/>
        <w:snapToGrid w:val="0"/>
        <w:spacing w:line="440" w:lineRule="exact"/>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说明：</w:t>
      </w:r>
    </w:p>
    <w:p w14:paraId="5A3578ED">
      <w:pPr>
        <w:pStyle w:val="26"/>
        <w:spacing w:line="440" w:lineRule="exact"/>
        <w:ind w:left="25" w:leftChars="12" w:firstLine="354" w:firstLineChars="147"/>
        <w:rPr>
          <w:rFonts w:hint="eastAsia" w:hAnsi="宋体"/>
          <w:b/>
          <w:bCs/>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r>
        <w:rPr>
          <w:rFonts w:hint="eastAsia" w:hAnsi="宋体"/>
          <w:b/>
          <w:bCs/>
          <w:color w:val="000000" w:themeColor="text1"/>
          <w:sz w:val="24"/>
          <w:szCs w:val="24"/>
          <w:highlight w:val="none"/>
          <w14:textFill>
            <w14:solidFill>
              <w14:schemeClr w14:val="tx1"/>
            </w14:solidFill>
          </w14:textFill>
        </w:rPr>
        <w:t>。</w:t>
      </w:r>
    </w:p>
    <w:p w14:paraId="25FDF1FB">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5288ED9">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3.投诉书应简要列明质疑事项，质疑函、质疑答复等作为附件材料提供。</w:t>
      </w:r>
    </w:p>
    <w:p w14:paraId="45B6308A">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4.投诉书的投诉事项应具体、明确，并有必要的事实依据和法律依据。</w:t>
      </w:r>
    </w:p>
    <w:p w14:paraId="629CBEAB">
      <w:pPr>
        <w:pStyle w:val="26"/>
        <w:spacing w:line="440" w:lineRule="exact"/>
        <w:ind w:left="25" w:leftChars="12" w:firstLine="354" w:firstLineChars="147"/>
        <w:rPr>
          <w:rFonts w:hint="eastAsia" w:hAnsi="宋体"/>
          <w:b/>
          <w:color w:val="000000" w:themeColor="text1"/>
          <w:sz w:val="24"/>
          <w:szCs w:val="24"/>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5.投诉书的投诉请求应与投诉事项相关。</w:t>
      </w:r>
    </w:p>
    <w:p w14:paraId="612BBFA2">
      <w:pPr>
        <w:pStyle w:val="26"/>
        <w:spacing w:line="440" w:lineRule="exact"/>
        <w:ind w:left="25" w:leftChars="12" w:firstLine="354" w:firstLineChars="147"/>
        <w:rPr>
          <w:rFonts w:hint="eastAsia" w:hAnsi="宋体"/>
          <w:b/>
          <w:color w:val="000000" w:themeColor="text1"/>
          <w:highlight w:val="none"/>
          <w14:textFill>
            <w14:solidFill>
              <w14:schemeClr w14:val="tx1"/>
            </w14:solidFill>
          </w14:textFill>
        </w:rPr>
      </w:pPr>
      <w:r>
        <w:rPr>
          <w:rFonts w:hint="eastAsia" w:hAnsi="宋体"/>
          <w:b/>
          <w:color w:val="000000" w:themeColor="text1"/>
          <w:sz w:val="24"/>
          <w:szCs w:val="24"/>
          <w:highlight w:val="none"/>
          <w14:textFill>
            <w14:solidFill>
              <w14:schemeClr w14:val="tx1"/>
            </w14:solidFill>
          </w14:textFill>
        </w:rPr>
        <w:t>6.投诉人为法人或者其他组织的，投诉书应由法定代表人、主要负责人，或者其授权代表签字或者盖章，并加盖公章。</w:t>
      </w:r>
    </w:p>
    <w:p w14:paraId="01F4017F">
      <w:pPr>
        <w:rPr>
          <w:color w:val="000000" w:themeColor="text1"/>
          <w:highlight w:val="none"/>
          <w14:textFill>
            <w14:solidFill>
              <w14:schemeClr w14:val="tx1"/>
            </w14:solidFill>
          </w14:textFill>
        </w:rPr>
      </w:pPr>
    </w:p>
    <w:p w14:paraId="03D31D6F">
      <w:pPr>
        <w:rPr>
          <w:color w:val="000000" w:themeColor="text1"/>
          <w:highlight w:val="none"/>
          <w14:textFill>
            <w14:solidFill>
              <w14:schemeClr w14:val="tx1"/>
            </w14:solidFill>
          </w14:textFill>
        </w:rPr>
      </w:pPr>
    </w:p>
    <w:p w14:paraId="6501FDC3">
      <w:pPr>
        <w:rPr>
          <w:color w:val="000000" w:themeColor="text1"/>
          <w:highlight w:val="none"/>
          <w14:textFill>
            <w14:solidFill>
              <w14:schemeClr w14:val="tx1"/>
            </w14:solidFill>
          </w14:textFill>
        </w:rPr>
      </w:pPr>
    </w:p>
    <w:p w14:paraId="51F3D2D0">
      <w:pPr>
        <w:rPr>
          <w:color w:val="000000" w:themeColor="text1"/>
          <w:highlight w:val="none"/>
          <w14:textFill>
            <w14:solidFill>
              <w14:schemeClr w14:val="tx1"/>
            </w14:solidFill>
          </w14:textFill>
        </w:rPr>
      </w:pPr>
    </w:p>
    <w:p w14:paraId="2914A92A">
      <w:pPr>
        <w:rPr>
          <w:color w:val="000000" w:themeColor="text1"/>
          <w:highlight w:val="none"/>
          <w14:textFill>
            <w14:solidFill>
              <w14:schemeClr w14:val="tx1"/>
            </w14:solidFill>
          </w14:textFill>
        </w:rPr>
      </w:pPr>
    </w:p>
    <w:p w14:paraId="245D57FF">
      <w:pPr>
        <w:rPr>
          <w:color w:val="000000" w:themeColor="text1"/>
          <w:highlight w:val="none"/>
          <w14:textFill>
            <w14:solidFill>
              <w14:schemeClr w14:val="tx1"/>
            </w14:solidFill>
          </w14:textFill>
        </w:rPr>
      </w:pPr>
    </w:p>
    <w:p w14:paraId="544833F2">
      <w:pPr>
        <w:rPr>
          <w:color w:val="000000" w:themeColor="text1"/>
          <w:highlight w:val="none"/>
          <w14:textFill>
            <w14:solidFill>
              <w14:schemeClr w14:val="tx1"/>
            </w14:solidFill>
          </w14:textFill>
        </w:rPr>
      </w:pPr>
    </w:p>
    <w:p w14:paraId="0A8BC38B">
      <w:pPr>
        <w:rPr>
          <w:color w:val="000000" w:themeColor="text1"/>
          <w:highlight w:val="none"/>
          <w14:textFill>
            <w14:solidFill>
              <w14:schemeClr w14:val="tx1"/>
            </w14:solidFill>
          </w14:textFill>
        </w:rPr>
      </w:pPr>
    </w:p>
    <w:p w14:paraId="1514A51B">
      <w:pPr>
        <w:rPr>
          <w:color w:val="000000" w:themeColor="text1"/>
          <w:highlight w:val="none"/>
          <w14:textFill>
            <w14:solidFill>
              <w14:schemeClr w14:val="tx1"/>
            </w14:solidFill>
          </w14:textFill>
        </w:rPr>
      </w:pPr>
    </w:p>
    <w:sectPr>
      <w:footerReference r:id="rId10" w:type="first"/>
      <w:headerReference r:id="rId7" w:type="default"/>
      <w:footerReference r:id="rId8" w:type="default"/>
      <w:footerReference r:id="rId9"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_x000B__x000C_">
    <w:altName w:val="微软雅黑"/>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Mincho">
    <w:panose1 w:val="02020609040205080304"/>
    <w:charset w:val="80"/>
    <w:family w:val="roman"/>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Times New Roman (正文 CS 字体)">
    <w:altName w:val="Times New Roman"/>
    <w:panose1 w:val="00000000000000000000"/>
    <w:charset w:val="00"/>
    <w:family w:val="decorative"/>
    <w:pitch w:val="default"/>
    <w:sig w:usb0="00000000" w:usb1="00000000" w:usb2="00000009" w:usb3="00000000" w:csb0="000001FF" w:csb1="00000000"/>
  </w:font>
  <w:font w:name="Arial Unicode MS">
    <w:panose1 w:val="020B0604020202020204"/>
    <w:charset w:val="86"/>
    <w:family w:val="roman"/>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2010601030101010101"/>
    <w:charset w:val="86"/>
    <w:family w:val="script"/>
    <w:pitch w:val="default"/>
    <w:sig w:usb0="00000000" w:usb1="00000000" w:usb2="00000000" w:usb3="00000000" w:csb0="00040000"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4FFED">
    <w:pPr>
      <w:pStyle w:val="32"/>
      <w:jc w:val="center"/>
    </w:pPr>
    <w:r>
      <w:fldChar w:fldCharType="begin"/>
    </w:r>
    <w:r>
      <w:instrText xml:space="preserve"> PAGE   \* MERGEFORMAT </w:instrText>
    </w:r>
    <w:r>
      <w:fldChar w:fldCharType="separate"/>
    </w:r>
    <w:r>
      <w:rPr>
        <w:lang w:val="zh-CN"/>
      </w:rPr>
      <w:t>128</w:t>
    </w:r>
    <w:r>
      <w:fldChar w:fldCharType="end"/>
    </w:r>
  </w:p>
  <w:p w14:paraId="1C054889">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CD450">
    <w:pPr>
      <w:pStyle w:val="32"/>
      <w:framePr w:wrap="around" w:vAnchor="text" w:hAnchor="margin" w:xAlign="center" w:y="1"/>
      <w:rPr>
        <w:rStyle w:val="58"/>
      </w:rPr>
    </w:pPr>
    <w:r>
      <w:fldChar w:fldCharType="begin"/>
    </w:r>
    <w:r>
      <w:rPr>
        <w:rStyle w:val="58"/>
      </w:rPr>
      <w:instrText xml:space="preserve">PAGE  </w:instrText>
    </w:r>
    <w:r>
      <w:fldChar w:fldCharType="end"/>
    </w:r>
  </w:p>
  <w:p w14:paraId="25DAA0EA">
    <w:pPr>
      <w:pStyle w:val="3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9C5EB">
    <w:pPr>
      <w:pStyle w:val="32"/>
      <w:jc w:val="center"/>
    </w:pPr>
    <w:r>
      <w:fldChar w:fldCharType="begin"/>
    </w:r>
    <w:r>
      <w:instrText xml:space="preserve">PAGE   \* MERGEFORMAT</w:instrText>
    </w:r>
    <w:r>
      <w:fldChar w:fldCharType="separate"/>
    </w:r>
    <w:r>
      <w:rPr>
        <w:lang w:val="zh-CN"/>
      </w:rPr>
      <w:t>1</w:t>
    </w:r>
    <w:r>
      <w:fldChar w:fldCharType="end"/>
    </w:r>
  </w:p>
  <w:p w14:paraId="5D9BBECB">
    <w:pPr>
      <w:pStyle w:val="32"/>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5AD10">
    <w:pPr>
      <w:pStyle w:val="32"/>
      <w:jc w:val="center"/>
    </w:pPr>
    <w:r>
      <w:fldChar w:fldCharType="begin"/>
    </w:r>
    <w:r>
      <w:instrText xml:space="preserve"> PAGE   \* MERGEFORMAT </w:instrText>
    </w:r>
    <w:r>
      <w:fldChar w:fldCharType="separate"/>
    </w:r>
    <w:r>
      <w:rPr>
        <w:lang w:val="zh-CN"/>
      </w:rPr>
      <w:t>173</w:t>
    </w:r>
    <w:r>
      <w:fldChar w:fldCharType="end"/>
    </w:r>
  </w:p>
  <w:p w14:paraId="7FA2FDFE">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09E7F">
    <w:pPr>
      <w:pStyle w:val="32"/>
      <w:framePr w:wrap="around" w:vAnchor="text" w:hAnchor="margin" w:xAlign="center" w:y="1"/>
      <w:rPr>
        <w:rStyle w:val="58"/>
      </w:rPr>
    </w:pPr>
    <w:r>
      <w:fldChar w:fldCharType="begin"/>
    </w:r>
    <w:r>
      <w:rPr>
        <w:rStyle w:val="58"/>
      </w:rPr>
      <w:instrText xml:space="preserve">PAGE  </w:instrText>
    </w:r>
    <w:r>
      <w:fldChar w:fldCharType="end"/>
    </w:r>
  </w:p>
  <w:p w14:paraId="7C74F22A">
    <w:pPr>
      <w:pStyle w:val="3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D28F5">
    <w:pPr>
      <w:pStyle w:val="32"/>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71F1">
    <w:pPr>
      <w:pStyle w:val="3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544F6">
    <w:pPr>
      <w:pStyle w:val="3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2B71F"/>
    <w:multiLevelType w:val="singleLevel"/>
    <w:tmpl w:val="EF72B71F"/>
    <w:lvl w:ilvl="0" w:tentative="0">
      <w:start w:val="1"/>
      <w:numFmt w:val="chineseCounting"/>
      <w:suff w:val="nothing"/>
      <w:lvlText w:val="（%1）"/>
      <w:lvlJc w:val="left"/>
      <w:rPr>
        <w:rFonts w:hint="eastAsia"/>
      </w:rPr>
    </w:lvl>
  </w:abstractNum>
  <w:abstractNum w:abstractNumId="1">
    <w:nsid w:val="FFFFFF7E"/>
    <w:multiLevelType w:val="singleLevel"/>
    <w:tmpl w:val="FFFFFF7E"/>
    <w:lvl w:ilvl="0" w:tentative="0">
      <w:start w:val="1"/>
      <w:numFmt w:val="decimal"/>
      <w:pStyle w:val="21"/>
      <w:lvlText w:val="%1."/>
      <w:lvlJc w:val="left"/>
      <w:pPr>
        <w:tabs>
          <w:tab w:val="left" w:pos="1200"/>
        </w:tabs>
        <w:ind w:left="1200" w:hanging="360"/>
      </w:pPr>
    </w:lvl>
  </w:abstractNum>
  <w:abstractNum w:abstractNumId="2">
    <w:nsid w:val="04A18787"/>
    <w:multiLevelType w:val="singleLevel"/>
    <w:tmpl w:val="04A18787"/>
    <w:lvl w:ilvl="0" w:tentative="0">
      <w:start w:val="1"/>
      <w:numFmt w:val="decimal"/>
      <w:suff w:val="nothing"/>
      <w:lvlText w:val="（%1）"/>
      <w:lvlJc w:val="left"/>
    </w:lvl>
  </w:abstractNum>
  <w:abstractNum w:abstractNumId="3">
    <w:nsid w:val="086281A2"/>
    <w:multiLevelType w:val="singleLevel"/>
    <w:tmpl w:val="086281A2"/>
    <w:lvl w:ilvl="0" w:tentative="0">
      <w:start w:val="1"/>
      <w:numFmt w:val="decimal"/>
      <w:suff w:val="nothing"/>
      <w:lvlText w:val="%1、"/>
      <w:lvlJc w:val="left"/>
    </w:lvl>
  </w:abstractNum>
  <w:abstractNum w:abstractNumId="4">
    <w:nsid w:val="13CFC9FC"/>
    <w:multiLevelType w:val="singleLevel"/>
    <w:tmpl w:val="13CFC9FC"/>
    <w:lvl w:ilvl="0" w:tentative="0">
      <w:start w:val="1"/>
      <w:numFmt w:val="decimal"/>
      <w:suff w:val="nothing"/>
      <w:lvlText w:val="%1、"/>
      <w:lvlJc w:val="left"/>
    </w:lvl>
  </w:abstractNum>
  <w:abstractNum w:abstractNumId="5">
    <w:nsid w:val="25E85C7A"/>
    <w:multiLevelType w:val="multilevel"/>
    <w:tmpl w:val="25E85C7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63035E3"/>
    <w:multiLevelType w:val="multilevel"/>
    <w:tmpl w:val="263035E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2C2A7704"/>
    <w:multiLevelType w:val="singleLevel"/>
    <w:tmpl w:val="2C2A7704"/>
    <w:lvl w:ilvl="0" w:tentative="0">
      <w:start w:val="1"/>
      <w:numFmt w:val="decimal"/>
      <w:suff w:val="nothing"/>
      <w:lvlText w:val="（%1）"/>
      <w:lvlJc w:val="left"/>
    </w:lvl>
  </w:abstractNum>
  <w:abstractNum w:abstractNumId="8">
    <w:nsid w:val="322F6CFE"/>
    <w:multiLevelType w:val="multilevel"/>
    <w:tmpl w:val="322F6CF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0">
    <w:nsid w:val="344686EF"/>
    <w:multiLevelType w:val="singleLevel"/>
    <w:tmpl w:val="344686EF"/>
    <w:lvl w:ilvl="0" w:tentative="0">
      <w:start w:val="1"/>
      <w:numFmt w:val="decimal"/>
      <w:suff w:val="nothing"/>
      <w:lvlText w:val="%1、"/>
      <w:lvlJc w:val="left"/>
    </w:lvl>
  </w:abstractNum>
  <w:abstractNum w:abstractNumId="11">
    <w:nsid w:val="3F031ACA"/>
    <w:multiLevelType w:val="multilevel"/>
    <w:tmpl w:val="3F031ACA"/>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3F1DFD7C"/>
    <w:multiLevelType w:val="singleLevel"/>
    <w:tmpl w:val="3F1DFD7C"/>
    <w:lvl w:ilvl="0" w:tentative="0">
      <w:start w:val="1"/>
      <w:numFmt w:val="decimal"/>
      <w:suff w:val="nothing"/>
      <w:lvlText w:val="%1、"/>
      <w:lvlJc w:val="left"/>
    </w:lvl>
  </w:abstractNum>
  <w:abstractNum w:abstractNumId="13">
    <w:nsid w:val="48E95730"/>
    <w:multiLevelType w:val="multilevel"/>
    <w:tmpl w:val="48E957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C601917"/>
    <w:multiLevelType w:val="singleLevel"/>
    <w:tmpl w:val="4C601917"/>
    <w:lvl w:ilvl="0" w:tentative="0">
      <w:start w:val="1"/>
      <w:numFmt w:val="decimal"/>
      <w:suff w:val="nothing"/>
      <w:lvlText w:val="（%1）"/>
      <w:lvlJc w:val="left"/>
      <w:pPr>
        <w:ind w:left="-2"/>
      </w:pPr>
    </w:lvl>
  </w:abstractNum>
  <w:abstractNum w:abstractNumId="15">
    <w:nsid w:val="58CF808C"/>
    <w:multiLevelType w:val="singleLevel"/>
    <w:tmpl w:val="58CF808C"/>
    <w:lvl w:ilvl="0" w:tentative="0">
      <w:start w:val="1"/>
      <w:numFmt w:val="chineseCounting"/>
      <w:suff w:val="nothing"/>
      <w:lvlText w:val="（%1）"/>
      <w:lvlJc w:val="left"/>
      <w:pPr>
        <w:ind w:left="0" w:firstLine="420"/>
      </w:pPr>
      <w:rPr>
        <w:rFonts w:hint="eastAsia"/>
      </w:rPr>
    </w:lvl>
  </w:abstractNum>
  <w:abstractNum w:abstractNumId="16">
    <w:nsid w:val="58D1004B"/>
    <w:multiLevelType w:val="singleLevel"/>
    <w:tmpl w:val="58D1004B"/>
    <w:lvl w:ilvl="0" w:tentative="0">
      <w:start w:val="1"/>
      <w:numFmt w:val="decimal"/>
      <w:suff w:val="nothing"/>
      <w:lvlText w:val="%1、"/>
      <w:lvlJc w:val="left"/>
    </w:lvl>
  </w:abstractNum>
  <w:abstractNum w:abstractNumId="17">
    <w:nsid w:val="5FABD14B"/>
    <w:multiLevelType w:val="singleLevel"/>
    <w:tmpl w:val="5FABD14B"/>
    <w:lvl w:ilvl="0" w:tentative="0">
      <w:start w:val="1"/>
      <w:numFmt w:val="decimal"/>
      <w:suff w:val="nothing"/>
      <w:lvlText w:val="（%1）"/>
      <w:lvlJc w:val="left"/>
    </w:lvl>
  </w:abstractNum>
  <w:abstractNum w:abstractNumId="18">
    <w:nsid w:val="6DCF60ED"/>
    <w:multiLevelType w:val="singleLevel"/>
    <w:tmpl w:val="6DCF60ED"/>
    <w:lvl w:ilvl="0" w:tentative="0">
      <w:start w:val="1"/>
      <w:numFmt w:val="chineseCounting"/>
      <w:suff w:val="nothing"/>
      <w:lvlText w:val="（%1）"/>
      <w:lvlJc w:val="left"/>
      <w:pPr>
        <w:ind w:left="-420" w:firstLine="420"/>
      </w:pPr>
      <w:rPr>
        <w:rFonts w:hint="eastAsia"/>
      </w:rPr>
    </w:lvl>
  </w:abstractNum>
  <w:abstractNum w:abstractNumId="19">
    <w:nsid w:val="6FE27D63"/>
    <w:multiLevelType w:val="multilevel"/>
    <w:tmpl w:val="6FE27D6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9"/>
  </w:num>
  <w:num w:numId="2">
    <w:abstractNumId w:val="1"/>
  </w:num>
  <w:num w:numId="3">
    <w:abstractNumId w:val="18"/>
  </w:num>
  <w:num w:numId="4">
    <w:abstractNumId w:val="19"/>
  </w:num>
  <w:num w:numId="5">
    <w:abstractNumId w:val="5"/>
  </w:num>
  <w:num w:numId="6">
    <w:abstractNumId w:val="6"/>
  </w:num>
  <w:num w:numId="7">
    <w:abstractNumId w:val="8"/>
  </w:num>
  <w:num w:numId="8">
    <w:abstractNumId w:val="13"/>
  </w:num>
  <w:num w:numId="9">
    <w:abstractNumId w:val="0"/>
  </w:num>
  <w:num w:numId="10">
    <w:abstractNumId w:val="7"/>
  </w:num>
  <w:num w:numId="11">
    <w:abstractNumId w:val="15"/>
  </w:num>
  <w:num w:numId="12">
    <w:abstractNumId w:val="3"/>
  </w:num>
  <w:num w:numId="13">
    <w:abstractNumId w:val="2"/>
  </w:num>
  <w:num w:numId="14">
    <w:abstractNumId w:val="4"/>
  </w:num>
  <w:num w:numId="15">
    <w:abstractNumId w:val="10"/>
  </w:num>
  <w:num w:numId="16">
    <w:abstractNumId w:val="16"/>
  </w:num>
  <w:num w:numId="17">
    <w:abstractNumId w:val="12"/>
  </w:num>
  <w:num w:numId="18">
    <w:abstractNumId w:val="14"/>
  </w:num>
  <w:num w:numId="19">
    <w:abstractNumId w:val="17"/>
  </w:num>
  <w:num w:numId="20">
    <w:abstractNumId w:val="1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zZTFiMWQ1MmIzMDNjYzcwMGQxZjA2NGRiN2VhMmYifQ=="/>
  </w:docVars>
  <w:rsids>
    <w:rsidRoot w:val="007A191D"/>
    <w:rsid w:val="00000BEE"/>
    <w:rsid w:val="00001231"/>
    <w:rsid w:val="0000188E"/>
    <w:rsid w:val="00003790"/>
    <w:rsid w:val="0000477F"/>
    <w:rsid w:val="000228D1"/>
    <w:rsid w:val="00022BE6"/>
    <w:rsid w:val="00023D69"/>
    <w:rsid w:val="00024D10"/>
    <w:rsid w:val="00026136"/>
    <w:rsid w:val="00026648"/>
    <w:rsid w:val="0002786F"/>
    <w:rsid w:val="00027DFC"/>
    <w:rsid w:val="000401E9"/>
    <w:rsid w:val="00040755"/>
    <w:rsid w:val="000421C9"/>
    <w:rsid w:val="00047351"/>
    <w:rsid w:val="00047B77"/>
    <w:rsid w:val="000504D3"/>
    <w:rsid w:val="000574A4"/>
    <w:rsid w:val="000602C4"/>
    <w:rsid w:val="0007326A"/>
    <w:rsid w:val="000868F0"/>
    <w:rsid w:val="000B1776"/>
    <w:rsid w:val="000B640A"/>
    <w:rsid w:val="000B6973"/>
    <w:rsid w:val="000D105E"/>
    <w:rsid w:val="000D4B63"/>
    <w:rsid w:val="000F14B7"/>
    <w:rsid w:val="000F6295"/>
    <w:rsid w:val="00100A0C"/>
    <w:rsid w:val="001011EA"/>
    <w:rsid w:val="00104EF4"/>
    <w:rsid w:val="00111E9C"/>
    <w:rsid w:val="00130703"/>
    <w:rsid w:val="001377B2"/>
    <w:rsid w:val="00140C57"/>
    <w:rsid w:val="00141708"/>
    <w:rsid w:val="00142ACD"/>
    <w:rsid w:val="00154DF2"/>
    <w:rsid w:val="00170265"/>
    <w:rsid w:val="00175180"/>
    <w:rsid w:val="00194E5D"/>
    <w:rsid w:val="00197DD3"/>
    <w:rsid w:val="001A413B"/>
    <w:rsid w:val="001B02F6"/>
    <w:rsid w:val="001B0F2E"/>
    <w:rsid w:val="001C4049"/>
    <w:rsid w:val="001D316F"/>
    <w:rsid w:val="001D323A"/>
    <w:rsid w:val="001E035B"/>
    <w:rsid w:val="001E1996"/>
    <w:rsid w:val="001E257C"/>
    <w:rsid w:val="001E33F6"/>
    <w:rsid w:val="001E5F43"/>
    <w:rsid w:val="001E6164"/>
    <w:rsid w:val="001E7B49"/>
    <w:rsid w:val="001F0470"/>
    <w:rsid w:val="00214BAB"/>
    <w:rsid w:val="0021534E"/>
    <w:rsid w:val="00222DAB"/>
    <w:rsid w:val="00225AB6"/>
    <w:rsid w:val="002400A0"/>
    <w:rsid w:val="00241B47"/>
    <w:rsid w:val="00242F2E"/>
    <w:rsid w:val="00244706"/>
    <w:rsid w:val="0024685D"/>
    <w:rsid w:val="00247674"/>
    <w:rsid w:val="002514BC"/>
    <w:rsid w:val="00251BB1"/>
    <w:rsid w:val="00256E07"/>
    <w:rsid w:val="00260CCB"/>
    <w:rsid w:val="00267F6A"/>
    <w:rsid w:val="0027465D"/>
    <w:rsid w:val="00280F68"/>
    <w:rsid w:val="00285F68"/>
    <w:rsid w:val="00287A28"/>
    <w:rsid w:val="00292553"/>
    <w:rsid w:val="00295A13"/>
    <w:rsid w:val="00297B84"/>
    <w:rsid w:val="002A1F67"/>
    <w:rsid w:val="002B1889"/>
    <w:rsid w:val="002B6307"/>
    <w:rsid w:val="002C1846"/>
    <w:rsid w:val="002C3B19"/>
    <w:rsid w:val="002D3DAC"/>
    <w:rsid w:val="002D4E37"/>
    <w:rsid w:val="002E153B"/>
    <w:rsid w:val="002E165A"/>
    <w:rsid w:val="002E2ACA"/>
    <w:rsid w:val="002E4743"/>
    <w:rsid w:val="002E77E7"/>
    <w:rsid w:val="00301CA8"/>
    <w:rsid w:val="003032FD"/>
    <w:rsid w:val="003077F5"/>
    <w:rsid w:val="00313E34"/>
    <w:rsid w:val="00325738"/>
    <w:rsid w:val="00327F83"/>
    <w:rsid w:val="00330BD1"/>
    <w:rsid w:val="00334296"/>
    <w:rsid w:val="00356348"/>
    <w:rsid w:val="00357687"/>
    <w:rsid w:val="00361FFC"/>
    <w:rsid w:val="00365D8B"/>
    <w:rsid w:val="003812E2"/>
    <w:rsid w:val="003815F0"/>
    <w:rsid w:val="003A787F"/>
    <w:rsid w:val="003A7A45"/>
    <w:rsid w:val="003B0D61"/>
    <w:rsid w:val="003B71C1"/>
    <w:rsid w:val="003B7BDE"/>
    <w:rsid w:val="003D4364"/>
    <w:rsid w:val="003D6C1C"/>
    <w:rsid w:val="003E25D0"/>
    <w:rsid w:val="003F2CC9"/>
    <w:rsid w:val="003F73C1"/>
    <w:rsid w:val="00423267"/>
    <w:rsid w:val="0042443F"/>
    <w:rsid w:val="004516E0"/>
    <w:rsid w:val="00460B1F"/>
    <w:rsid w:val="00472434"/>
    <w:rsid w:val="00481D7E"/>
    <w:rsid w:val="00482FFA"/>
    <w:rsid w:val="00483191"/>
    <w:rsid w:val="00484A84"/>
    <w:rsid w:val="004929CA"/>
    <w:rsid w:val="00495D00"/>
    <w:rsid w:val="00495E12"/>
    <w:rsid w:val="004A62E5"/>
    <w:rsid w:val="004B212D"/>
    <w:rsid w:val="004B3ABB"/>
    <w:rsid w:val="004B749D"/>
    <w:rsid w:val="004C3338"/>
    <w:rsid w:val="004D1DFE"/>
    <w:rsid w:val="004D4D5A"/>
    <w:rsid w:val="004D5BEA"/>
    <w:rsid w:val="004D64F4"/>
    <w:rsid w:val="004D7876"/>
    <w:rsid w:val="004E214B"/>
    <w:rsid w:val="004E4C75"/>
    <w:rsid w:val="004E78CA"/>
    <w:rsid w:val="004F265F"/>
    <w:rsid w:val="004F5AD7"/>
    <w:rsid w:val="00503BD1"/>
    <w:rsid w:val="00510769"/>
    <w:rsid w:val="005163F6"/>
    <w:rsid w:val="00523011"/>
    <w:rsid w:val="00543786"/>
    <w:rsid w:val="00544293"/>
    <w:rsid w:val="00545423"/>
    <w:rsid w:val="00552338"/>
    <w:rsid w:val="00557FF7"/>
    <w:rsid w:val="00571AF7"/>
    <w:rsid w:val="0057609C"/>
    <w:rsid w:val="00587CAB"/>
    <w:rsid w:val="005A202C"/>
    <w:rsid w:val="005B1C9C"/>
    <w:rsid w:val="005B4E91"/>
    <w:rsid w:val="005B7FED"/>
    <w:rsid w:val="005C45AA"/>
    <w:rsid w:val="005D51DD"/>
    <w:rsid w:val="005D74CA"/>
    <w:rsid w:val="005E2874"/>
    <w:rsid w:val="005E340C"/>
    <w:rsid w:val="005E5726"/>
    <w:rsid w:val="005F43D4"/>
    <w:rsid w:val="006032BF"/>
    <w:rsid w:val="00603EB9"/>
    <w:rsid w:val="006139C0"/>
    <w:rsid w:val="00624BBB"/>
    <w:rsid w:val="00631351"/>
    <w:rsid w:val="006319E1"/>
    <w:rsid w:val="00645640"/>
    <w:rsid w:val="00647624"/>
    <w:rsid w:val="00652328"/>
    <w:rsid w:val="00670671"/>
    <w:rsid w:val="00673C06"/>
    <w:rsid w:val="00676BB4"/>
    <w:rsid w:val="006775FA"/>
    <w:rsid w:val="0068061C"/>
    <w:rsid w:val="00693FEF"/>
    <w:rsid w:val="00696400"/>
    <w:rsid w:val="006A5590"/>
    <w:rsid w:val="006A5F37"/>
    <w:rsid w:val="006B1328"/>
    <w:rsid w:val="006D1654"/>
    <w:rsid w:val="006D3089"/>
    <w:rsid w:val="006D51C5"/>
    <w:rsid w:val="006E372E"/>
    <w:rsid w:val="006E4B13"/>
    <w:rsid w:val="006F1CF7"/>
    <w:rsid w:val="006F2AEF"/>
    <w:rsid w:val="006F37B0"/>
    <w:rsid w:val="007024E8"/>
    <w:rsid w:val="007071D4"/>
    <w:rsid w:val="00715E68"/>
    <w:rsid w:val="00720DEA"/>
    <w:rsid w:val="007216C9"/>
    <w:rsid w:val="0072407B"/>
    <w:rsid w:val="007255E5"/>
    <w:rsid w:val="007413AA"/>
    <w:rsid w:val="0074187E"/>
    <w:rsid w:val="007435E4"/>
    <w:rsid w:val="007535D2"/>
    <w:rsid w:val="00755DAE"/>
    <w:rsid w:val="00756060"/>
    <w:rsid w:val="00757103"/>
    <w:rsid w:val="0075768D"/>
    <w:rsid w:val="007670F1"/>
    <w:rsid w:val="007704FD"/>
    <w:rsid w:val="007750CF"/>
    <w:rsid w:val="00775703"/>
    <w:rsid w:val="00790406"/>
    <w:rsid w:val="00791E57"/>
    <w:rsid w:val="00792B75"/>
    <w:rsid w:val="007A191D"/>
    <w:rsid w:val="007B6356"/>
    <w:rsid w:val="007B7F54"/>
    <w:rsid w:val="007C6BB8"/>
    <w:rsid w:val="007D2CA7"/>
    <w:rsid w:val="007D4957"/>
    <w:rsid w:val="007D738A"/>
    <w:rsid w:val="007E3A76"/>
    <w:rsid w:val="007E709C"/>
    <w:rsid w:val="007F669C"/>
    <w:rsid w:val="007F7858"/>
    <w:rsid w:val="008006E8"/>
    <w:rsid w:val="0080776C"/>
    <w:rsid w:val="00810824"/>
    <w:rsid w:val="00834BA3"/>
    <w:rsid w:val="0083553A"/>
    <w:rsid w:val="00841129"/>
    <w:rsid w:val="008527A8"/>
    <w:rsid w:val="00857588"/>
    <w:rsid w:val="00866CBF"/>
    <w:rsid w:val="00872A23"/>
    <w:rsid w:val="008735FE"/>
    <w:rsid w:val="008765CC"/>
    <w:rsid w:val="008836C4"/>
    <w:rsid w:val="00884AF8"/>
    <w:rsid w:val="00891B66"/>
    <w:rsid w:val="008A4327"/>
    <w:rsid w:val="008B0E52"/>
    <w:rsid w:val="008B379D"/>
    <w:rsid w:val="008C171D"/>
    <w:rsid w:val="008C489F"/>
    <w:rsid w:val="008C573E"/>
    <w:rsid w:val="008C7034"/>
    <w:rsid w:val="008D3236"/>
    <w:rsid w:val="008D45D1"/>
    <w:rsid w:val="008D46E4"/>
    <w:rsid w:val="008E08E8"/>
    <w:rsid w:val="0090270F"/>
    <w:rsid w:val="00903FBE"/>
    <w:rsid w:val="00925A79"/>
    <w:rsid w:val="00931475"/>
    <w:rsid w:val="00931479"/>
    <w:rsid w:val="00932B37"/>
    <w:rsid w:val="00940C75"/>
    <w:rsid w:val="00941E1E"/>
    <w:rsid w:val="0096230C"/>
    <w:rsid w:val="00967696"/>
    <w:rsid w:val="009733C4"/>
    <w:rsid w:val="00973F77"/>
    <w:rsid w:val="00975502"/>
    <w:rsid w:val="00984A53"/>
    <w:rsid w:val="009927B0"/>
    <w:rsid w:val="00992807"/>
    <w:rsid w:val="009A2F95"/>
    <w:rsid w:val="009A39F1"/>
    <w:rsid w:val="009B36F0"/>
    <w:rsid w:val="009B7F11"/>
    <w:rsid w:val="009C045D"/>
    <w:rsid w:val="009C10CF"/>
    <w:rsid w:val="009C43CE"/>
    <w:rsid w:val="009C758B"/>
    <w:rsid w:val="009C7C1E"/>
    <w:rsid w:val="009E0ECD"/>
    <w:rsid w:val="009F2AAD"/>
    <w:rsid w:val="009F35B0"/>
    <w:rsid w:val="00A21E19"/>
    <w:rsid w:val="00A2507B"/>
    <w:rsid w:val="00A355E2"/>
    <w:rsid w:val="00A45D7E"/>
    <w:rsid w:val="00A50F5E"/>
    <w:rsid w:val="00A55F37"/>
    <w:rsid w:val="00A63015"/>
    <w:rsid w:val="00A6774D"/>
    <w:rsid w:val="00A719F7"/>
    <w:rsid w:val="00A726E8"/>
    <w:rsid w:val="00A8568A"/>
    <w:rsid w:val="00A85DDF"/>
    <w:rsid w:val="00A961FF"/>
    <w:rsid w:val="00AA38B8"/>
    <w:rsid w:val="00AC4082"/>
    <w:rsid w:val="00AC4BF3"/>
    <w:rsid w:val="00AD07EF"/>
    <w:rsid w:val="00AE2830"/>
    <w:rsid w:val="00AE649A"/>
    <w:rsid w:val="00AE6FA7"/>
    <w:rsid w:val="00AF0F55"/>
    <w:rsid w:val="00AF40CA"/>
    <w:rsid w:val="00B07933"/>
    <w:rsid w:val="00B113EF"/>
    <w:rsid w:val="00B115D5"/>
    <w:rsid w:val="00B24AD1"/>
    <w:rsid w:val="00B3000A"/>
    <w:rsid w:val="00B30974"/>
    <w:rsid w:val="00B32318"/>
    <w:rsid w:val="00B411C6"/>
    <w:rsid w:val="00B45247"/>
    <w:rsid w:val="00B60850"/>
    <w:rsid w:val="00B7715D"/>
    <w:rsid w:val="00B901DE"/>
    <w:rsid w:val="00BA48CA"/>
    <w:rsid w:val="00BD20A2"/>
    <w:rsid w:val="00BE1403"/>
    <w:rsid w:val="00BF33FC"/>
    <w:rsid w:val="00BF7565"/>
    <w:rsid w:val="00BF763D"/>
    <w:rsid w:val="00C05B94"/>
    <w:rsid w:val="00C06565"/>
    <w:rsid w:val="00C170B0"/>
    <w:rsid w:val="00C31442"/>
    <w:rsid w:val="00C32737"/>
    <w:rsid w:val="00C32C83"/>
    <w:rsid w:val="00C35F1A"/>
    <w:rsid w:val="00C45CCA"/>
    <w:rsid w:val="00C46CEF"/>
    <w:rsid w:val="00C532C9"/>
    <w:rsid w:val="00C624C4"/>
    <w:rsid w:val="00C647DD"/>
    <w:rsid w:val="00C92428"/>
    <w:rsid w:val="00C97844"/>
    <w:rsid w:val="00CB3F4B"/>
    <w:rsid w:val="00CC5646"/>
    <w:rsid w:val="00CD475B"/>
    <w:rsid w:val="00CD6F64"/>
    <w:rsid w:val="00CD7FF5"/>
    <w:rsid w:val="00CE52E5"/>
    <w:rsid w:val="00CF035F"/>
    <w:rsid w:val="00CF4416"/>
    <w:rsid w:val="00D00277"/>
    <w:rsid w:val="00D01073"/>
    <w:rsid w:val="00D12A7F"/>
    <w:rsid w:val="00D1351C"/>
    <w:rsid w:val="00D14CC2"/>
    <w:rsid w:val="00D150C7"/>
    <w:rsid w:val="00D21355"/>
    <w:rsid w:val="00D25700"/>
    <w:rsid w:val="00D32F45"/>
    <w:rsid w:val="00D34A9C"/>
    <w:rsid w:val="00D367F0"/>
    <w:rsid w:val="00D431D8"/>
    <w:rsid w:val="00D51275"/>
    <w:rsid w:val="00D52D22"/>
    <w:rsid w:val="00D52E0A"/>
    <w:rsid w:val="00D62713"/>
    <w:rsid w:val="00D84CA3"/>
    <w:rsid w:val="00D87019"/>
    <w:rsid w:val="00D87A97"/>
    <w:rsid w:val="00DD244A"/>
    <w:rsid w:val="00DD4E58"/>
    <w:rsid w:val="00DD4FB3"/>
    <w:rsid w:val="00DD51E7"/>
    <w:rsid w:val="00DD66E7"/>
    <w:rsid w:val="00DE006C"/>
    <w:rsid w:val="00DE48B7"/>
    <w:rsid w:val="00DF20B6"/>
    <w:rsid w:val="00E032A6"/>
    <w:rsid w:val="00E04730"/>
    <w:rsid w:val="00E16EF7"/>
    <w:rsid w:val="00E216FF"/>
    <w:rsid w:val="00E218F8"/>
    <w:rsid w:val="00E2630B"/>
    <w:rsid w:val="00E37AEB"/>
    <w:rsid w:val="00E525F2"/>
    <w:rsid w:val="00E52771"/>
    <w:rsid w:val="00E57BF8"/>
    <w:rsid w:val="00E60CF3"/>
    <w:rsid w:val="00E67A6E"/>
    <w:rsid w:val="00E70615"/>
    <w:rsid w:val="00E7122B"/>
    <w:rsid w:val="00E76210"/>
    <w:rsid w:val="00E90D51"/>
    <w:rsid w:val="00E93830"/>
    <w:rsid w:val="00E94D88"/>
    <w:rsid w:val="00EA01DE"/>
    <w:rsid w:val="00EA13F3"/>
    <w:rsid w:val="00EA3383"/>
    <w:rsid w:val="00EB23CA"/>
    <w:rsid w:val="00EB329E"/>
    <w:rsid w:val="00ED3767"/>
    <w:rsid w:val="00ED4699"/>
    <w:rsid w:val="00ED6F2F"/>
    <w:rsid w:val="00EE11A1"/>
    <w:rsid w:val="00EF405F"/>
    <w:rsid w:val="00EF41AF"/>
    <w:rsid w:val="00EF4CC5"/>
    <w:rsid w:val="00F10735"/>
    <w:rsid w:val="00F35E6E"/>
    <w:rsid w:val="00F379B1"/>
    <w:rsid w:val="00F41853"/>
    <w:rsid w:val="00F44504"/>
    <w:rsid w:val="00F556EA"/>
    <w:rsid w:val="00F61223"/>
    <w:rsid w:val="00F71185"/>
    <w:rsid w:val="00F75D79"/>
    <w:rsid w:val="00F8109B"/>
    <w:rsid w:val="00F86F24"/>
    <w:rsid w:val="00F91CDE"/>
    <w:rsid w:val="00F94765"/>
    <w:rsid w:val="00FA3A9C"/>
    <w:rsid w:val="00FB2725"/>
    <w:rsid w:val="00FB35BF"/>
    <w:rsid w:val="00FC4B38"/>
    <w:rsid w:val="00FC4DF5"/>
    <w:rsid w:val="00FC7BDA"/>
    <w:rsid w:val="00FE234A"/>
    <w:rsid w:val="00FE4CA1"/>
    <w:rsid w:val="00FF146C"/>
    <w:rsid w:val="0112570B"/>
    <w:rsid w:val="01907341"/>
    <w:rsid w:val="02436691"/>
    <w:rsid w:val="02F73160"/>
    <w:rsid w:val="0567031D"/>
    <w:rsid w:val="05FC149C"/>
    <w:rsid w:val="06325068"/>
    <w:rsid w:val="06610A52"/>
    <w:rsid w:val="066A74B3"/>
    <w:rsid w:val="07873F85"/>
    <w:rsid w:val="08083502"/>
    <w:rsid w:val="081C6840"/>
    <w:rsid w:val="086E68C7"/>
    <w:rsid w:val="09EF7678"/>
    <w:rsid w:val="0AB333D1"/>
    <w:rsid w:val="0AF14CCF"/>
    <w:rsid w:val="0B3C119D"/>
    <w:rsid w:val="0B3F384D"/>
    <w:rsid w:val="0B4E1057"/>
    <w:rsid w:val="0B57739F"/>
    <w:rsid w:val="0B5D33DA"/>
    <w:rsid w:val="0C6770BF"/>
    <w:rsid w:val="0CE52ADB"/>
    <w:rsid w:val="0CEA775A"/>
    <w:rsid w:val="0D1A66A8"/>
    <w:rsid w:val="0D5C463A"/>
    <w:rsid w:val="0DED3796"/>
    <w:rsid w:val="0E1D1679"/>
    <w:rsid w:val="0E485091"/>
    <w:rsid w:val="0E63277E"/>
    <w:rsid w:val="0E723008"/>
    <w:rsid w:val="0EB346AE"/>
    <w:rsid w:val="10075DC2"/>
    <w:rsid w:val="10113C31"/>
    <w:rsid w:val="103C13BF"/>
    <w:rsid w:val="107D43E9"/>
    <w:rsid w:val="11127EC7"/>
    <w:rsid w:val="1162234A"/>
    <w:rsid w:val="11BC3DDC"/>
    <w:rsid w:val="125E760F"/>
    <w:rsid w:val="12D90B09"/>
    <w:rsid w:val="13663341"/>
    <w:rsid w:val="13BC0BD2"/>
    <w:rsid w:val="1416170B"/>
    <w:rsid w:val="168D15FC"/>
    <w:rsid w:val="16A71E43"/>
    <w:rsid w:val="17BD01B2"/>
    <w:rsid w:val="17CC075C"/>
    <w:rsid w:val="17E35220"/>
    <w:rsid w:val="17F02368"/>
    <w:rsid w:val="1844799B"/>
    <w:rsid w:val="191F45BE"/>
    <w:rsid w:val="192742B3"/>
    <w:rsid w:val="1952390A"/>
    <w:rsid w:val="19F6325B"/>
    <w:rsid w:val="1AB75669"/>
    <w:rsid w:val="1B244CB7"/>
    <w:rsid w:val="1CA34BAD"/>
    <w:rsid w:val="1CBF4823"/>
    <w:rsid w:val="1CD64FB9"/>
    <w:rsid w:val="1CE5E6A2"/>
    <w:rsid w:val="1DB22A49"/>
    <w:rsid w:val="1DD83293"/>
    <w:rsid w:val="1EB26743"/>
    <w:rsid w:val="20912751"/>
    <w:rsid w:val="20E06CC6"/>
    <w:rsid w:val="216A3EEE"/>
    <w:rsid w:val="216F2575"/>
    <w:rsid w:val="21883B2A"/>
    <w:rsid w:val="21962CD9"/>
    <w:rsid w:val="21DC6B11"/>
    <w:rsid w:val="22273926"/>
    <w:rsid w:val="228015DB"/>
    <w:rsid w:val="22873B32"/>
    <w:rsid w:val="22B255F0"/>
    <w:rsid w:val="22CA3F98"/>
    <w:rsid w:val="23A609AE"/>
    <w:rsid w:val="24621C0E"/>
    <w:rsid w:val="24AC75E5"/>
    <w:rsid w:val="24B20F4F"/>
    <w:rsid w:val="24EB7A61"/>
    <w:rsid w:val="251F363E"/>
    <w:rsid w:val="257C63FF"/>
    <w:rsid w:val="25996582"/>
    <w:rsid w:val="25A06166"/>
    <w:rsid w:val="262F597B"/>
    <w:rsid w:val="26685E84"/>
    <w:rsid w:val="26D75D95"/>
    <w:rsid w:val="26EE3CE8"/>
    <w:rsid w:val="27235FFE"/>
    <w:rsid w:val="272E59C6"/>
    <w:rsid w:val="272F2A85"/>
    <w:rsid w:val="27AC899B"/>
    <w:rsid w:val="28025A1A"/>
    <w:rsid w:val="28883D1E"/>
    <w:rsid w:val="28AB29EF"/>
    <w:rsid w:val="294D6576"/>
    <w:rsid w:val="295411C9"/>
    <w:rsid w:val="297A4E52"/>
    <w:rsid w:val="29FA3B12"/>
    <w:rsid w:val="29FC0524"/>
    <w:rsid w:val="2A5F2882"/>
    <w:rsid w:val="2A9F302A"/>
    <w:rsid w:val="2AF52127"/>
    <w:rsid w:val="2BA40A3E"/>
    <w:rsid w:val="2BC42F20"/>
    <w:rsid w:val="2BFB2019"/>
    <w:rsid w:val="2C8D5003"/>
    <w:rsid w:val="2E5E45AD"/>
    <w:rsid w:val="2E9279A3"/>
    <w:rsid w:val="2F74772E"/>
    <w:rsid w:val="2F8E2FB3"/>
    <w:rsid w:val="2FA01119"/>
    <w:rsid w:val="2FD708D7"/>
    <w:rsid w:val="2FF4EC2B"/>
    <w:rsid w:val="30A854B1"/>
    <w:rsid w:val="30C83639"/>
    <w:rsid w:val="313435A7"/>
    <w:rsid w:val="317311D8"/>
    <w:rsid w:val="31C04CBD"/>
    <w:rsid w:val="326374F1"/>
    <w:rsid w:val="32700732"/>
    <w:rsid w:val="3301302B"/>
    <w:rsid w:val="33F40847"/>
    <w:rsid w:val="34441B7D"/>
    <w:rsid w:val="344C1B6B"/>
    <w:rsid w:val="3462499C"/>
    <w:rsid w:val="348D1F2F"/>
    <w:rsid w:val="34A2025B"/>
    <w:rsid w:val="35171A33"/>
    <w:rsid w:val="35833A08"/>
    <w:rsid w:val="35EF7B12"/>
    <w:rsid w:val="36115ED9"/>
    <w:rsid w:val="36A509DE"/>
    <w:rsid w:val="370B3C45"/>
    <w:rsid w:val="3713252A"/>
    <w:rsid w:val="37415551"/>
    <w:rsid w:val="377A7925"/>
    <w:rsid w:val="37AE3862"/>
    <w:rsid w:val="37C45929"/>
    <w:rsid w:val="38571CA7"/>
    <w:rsid w:val="38C35882"/>
    <w:rsid w:val="39133059"/>
    <w:rsid w:val="39571420"/>
    <w:rsid w:val="395A42E7"/>
    <w:rsid w:val="39A95C97"/>
    <w:rsid w:val="3A5B673F"/>
    <w:rsid w:val="3AD25D58"/>
    <w:rsid w:val="3ADB3263"/>
    <w:rsid w:val="3B807591"/>
    <w:rsid w:val="3BB2355E"/>
    <w:rsid w:val="3BC55287"/>
    <w:rsid w:val="3BEF16EE"/>
    <w:rsid w:val="3C5C1637"/>
    <w:rsid w:val="3C77483F"/>
    <w:rsid w:val="3CD0290D"/>
    <w:rsid w:val="3CF04D3C"/>
    <w:rsid w:val="3CF60FF7"/>
    <w:rsid w:val="3CF80DFC"/>
    <w:rsid w:val="3DEDD8FA"/>
    <w:rsid w:val="3E1E3305"/>
    <w:rsid w:val="3E7DA5E4"/>
    <w:rsid w:val="3EF6128B"/>
    <w:rsid w:val="3F894F69"/>
    <w:rsid w:val="3FA3020A"/>
    <w:rsid w:val="3FA95343"/>
    <w:rsid w:val="3FB315CF"/>
    <w:rsid w:val="403365DF"/>
    <w:rsid w:val="40D43BE0"/>
    <w:rsid w:val="41A82041"/>
    <w:rsid w:val="42081316"/>
    <w:rsid w:val="42606F21"/>
    <w:rsid w:val="42F8495E"/>
    <w:rsid w:val="430C2D51"/>
    <w:rsid w:val="431B2F02"/>
    <w:rsid w:val="43784775"/>
    <w:rsid w:val="43835880"/>
    <w:rsid w:val="442A15D4"/>
    <w:rsid w:val="44340501"/>
    <w:rsid w:val="455C7C0D"/>
    <w:rsid w:val="45724833"/>
    <w:rsid w:val="459E0A12"/>
    <w:rsid w:val="45FC335C"/>
    <w:rsid w:val="460D5ED1"/>
    <w:rsid w:val="46492213"/>
    <w:rsid w:val="46AB5F82"/>
    <w:rsid w:val="47397C07"/>
    <w:rsid w:val="47617F7B"/>
    <w:rsid w:val="4848411D"/>
    <w:rsid w:val="48B74049"/>
    <w:rsid w:val="49481989"/>
    <w:rsid w:val="49FE5F8C"/>
    <w:rsid w:val="4B6561B3"/>
    <w:rsid w:val="4B712BA6"/>
    <w:rsid w:val="4BFCA86D"/>
    <w:rsid w:val="4C0C3FF0"/>
    <w:rsid w:val="4C251B98"/>
    <w:rsid w:val="4CE23492"/>
    <w:rsid w:val="4D0376E0"/>
    <w:rsid w:val="4D9F16C8"/>
    <w:rsid w:val="4E0C36D9"/>
    <w:rsid w:val="4E1D6947"/>
    <w:rsid w:val="4E414D8C"/>
    <w:rsid w:val="4E7759CD"/>
    <w:rsid w:val="4EC84811"/>
    <w:rsid w:val="4F4641AC"/>
    <w:rsid w:val="503240E8"/>
    <w:rsid w:val="50B77F34"/>
    <w:rsid w:val="50CD2466"/>
    <w:rsid w:val="513F73D2"/>
    <w:rsid w:val="51DE5D4A"/>
    <w:rsid w:val="529524F6"/>
    <w:rsid w:val="52A038F0"/>
    <w:rsid w:val="52B51FE0"/>
    <w:rsid w:val="52BB7996"/>
    <w:rsid w:val="52F05091"/>
    <w:rsid w:val="539248E9"/>
    <w:rsid w:val="53CE691F"/>
    <w:rsid w:val="543762D8"/>
    <w:rsid w:val="54656DB3"/>
    <w:rsid w:val="547327D2"/>
    <w:rsid w:val="547F9CEC"/>
    <w:rsid w:val="54B41516"/>
    <w:rsid w:val="54C55007"/>
    <w:rsid w:val="54CC38A8"/>
    <w:rsid w:val="555655C7"/>
    <w:rsid w:val="557230A6"/>
    <w:rsid w:val="55C95672"/>
    <w:rsid w:val="564A6F52"/>
    <w:rsid w:val="56D32080"/>
    <w:rsid w:val="57221D2D"/>
    <w:rsid w:val="57811C61"/>
    <w:rsid w:val="57A65611"/>
    <w:rsid w:val="57BD0238"/>
    <w:rsid w:val="5819793B"/>
    <w:rsid w:val="58690763"/>
    <w:rsid w:val="58872C08"/>
    <w:rsid w:val="58A13DAA"/>
    <w:rsid w:val="58FB00F5"/>
    <w:rsid w:val="590F5181"/>
    <w:rsid w:val="597873B5"/>
    <w:rsid w:val="59914D50"/>
    <w:rsid w:val="59E43869"/>
    <w:rsid w:val="59E93146"/>
    <w:rsid w:val="5A133BFD"/>
    <w:rsid w:val="5A1A2FC0"/>
    <w:rsid w:val="5AA53160"/>
    <w:rsid w:val="5AC67603"/>
    <w:rsid w:val="5B265C3D"/>
    <w:rsid w:val="5B7F4D77"/>
    <w:rsid w:val="5B9F6B51"/>
    <w:rsid w:val="5BD462C2"/>
    <w:rsid w:val="5BF4077F"/>
    <w:rsid w:val="5BF90A36"/>
    <w:rsid w:val="5C21325F"/>
    <w:rsid w:val="5C327A26"/>
    <w:rsid w:val="5C3B0201"/>
    <w:rsid w:val="5C476580"/>
    <w:rsid w:val="5C4A5F64"/>
    <w:rsid w:val="5DD21D0F"/>
    <w:rsid w:val="5E052484"/>
    <w:rsid w:val="5E360531"/>
    <w:rsid w:val="5E3B5574"/>
    <w:rsid w:val="5E5F7389"/>
    <w:rsid w:val="5EBB457A"/>
    <w:rsid w:val="5EF527FF"/>
    <w:rsid w:val="5EFA7CCD"/>
    <w:rsid w:val="5F340F73"/>
    <w:rsid w:val="6049510B"/>
    <w:rsid w:val="60916E1E"/>
    <w:rsid w:val="60AF01EB"/>
    <w:rsid w:val="610A6D60"/>
    <w:rsid w:val="61973FA6"/>
    <w:rsid w:val="63BC5870"/>
    <w:rsid w:val="63D41B48"/>
    <w:rsid w:val="63DB2A48"/>
    <w:rsid w:val="65306277"/>
    <w:rsid w:val="65600B7A"/>
    <w:rsid w:val="657179C3"/>
    <w:rsid w:val="662B046C"/>
    <w:rsid w:val="66EC3ED3"/>
    <w:rsid w:val="67393F45"/>
    <w:rsid w:val="6772517E"/>
    <w:rsid w:val="682B7744"/>
    <w:rsid w:val="683F7816"/>
    <w:rsid w:val="6863305E"/>
    <w:rsid w:val="689E0B09"/>
    <w:rsid w:val="68B469C1"/>
    <w:rsid w:val="68C734FD"/>
    <w:rsid w:val="69242F08"/>
    <w:rsid w:val="69DF5CCE"/>
    <w:rsid w:val="6A017585"/>
    <w:rsid w:val="6A6D7C42"/>
    <w:rsid w:val="6AEF1250"/>
    <w:rsid w:val="6B365887"/>
    <w:rsid w:val="6B6259EE"/>
    <w:rsid w:val="6B9145AA"/>
    <w:rsid w:val="6C3707A3"/>
    <w:rsid w:val="6C890263"/>
    <w:rsid w:val="6CAE3452"/>
    <w:rsid w:val="6CB571B3"/>
    <w:rsid w:val="6DEE5674"/>
    <w:rsid w:val="6E347B54"/>
    <w:rsid w:val="6F175D74"/>
    <w:rsid w:val="6F3F1C22"/>
    <w:rsid w:val="6F92394D"/>
    <w:rsid w:val="6FBB27F8"/>
    <w:rsid w:val="70EE77FD"/>
    <w:rsid w:val="710F87E4"/>
    <w:rsid w:val="713590C8"/>
    <w:rsid w:val="718F121F"/>
    <w:rsid w:val="7199193A"/>
    <w:rsid w:val="71BA76F2"/>
    <w:rsid w:val="72263A65"/>
    <w:rsid w:val="72264127"/>
    <w:rsid w:val="7231619E"/>
    <w:rsid w:val="72D75146"/>
    <w:rsid w:val="734661BD"/>
    <w:rsid w:val="734834CF"/>
    <w:rsid w:val="73FA589E"/>
    <w:rsid w:val="74304BEB"/>
    <w:rsid w:val="754A3AB9"/>
    <w:rsid w:val="75995D23"/>
    <w:rsid w:val="75F365EC"/>
    <w:rsid w:val="760F1C53"/>
    <w:rsid w:val="766B6D0A"/>
    <w:rsid w:val="76E42A20"/>
    <w:rsid w:val="77427FD1"/>
    <w:rsid w:val="774F7551"/>
    <w:rsid w:val="77526C34"/>
    <w:rsid w:val="77FB32B3"/>
    <w:rsid w:val="781E1B43"/>
    <w:rsid w:val="782D3A70"/>
    <w:rsid w:val="78456627"/>
    <w:rsid w:val="7864014A"/>
    <w:rsid w:val="78E7DF4C"/>
    <w:rsid w:val="79076ED9"/>
    <w:rsid w:val="791E5F19"/>
    <w:rsid w:val="79273FBE"/>
    <w:rsid w:val="793C9C2C"/>
    <w:rsid w:val="793F28A7"/>
    <w:rsid w:val="79FF159D"/>
    <w:rsid w:val="7A0B127E"/>
    <w:rsid w:val="7A94573C"/>
    <w:rsid w:val="7AB236D8"/>
    <w:rsid w:val="7AB37271"/>
    <w:rsid w:val="7ACF2108"/>
    <w:rsid w:val="7B1F572E"/>
    <w:rsid w:val="7B22521E"/>
    <w:rsid w:val="7B3C906E"/>
    <w:rsid w:val="7B510765"/>
    <w:rsid w:val="7B9C2D88"/>
    <w:rsid w:val="7BD73B26"/>
    <w:rsid w:val="7C25213E"/>
    <w:rsid w:val="7C393D12"/>
    <w:rsid w:val="7C840E68"/>
    <w:rsid w:val="7CC02EA8"/>
    <w:rsid w:val="7CD57147"/>
    <w:rsid w:val="7DE36418"/>
    <w:rsid w:val="7ECDAAEE"/>
    <w:rsid w:val="7EED8EFD"/>
    <w:rsid w:val="7F0B6103"/>
    <w:rsid w:val="7F3FD365"/>
    <w:rsid w:val="7FD31810"/>
    <w:rsid w:val="7FD7FB98"/>
    <w:rsid w:val="7FE35887"/>
    <w:rsid w:val="7FFD4D23"/>
    <w:rsid w:val="7FFF864E"/>
    <w:rsid w:val="7FFFDAD0"/>
    <w:rsid w:val="97F6C59D"/>
    <w:rsid w:val="9BDF0C11"/>
    <w:rsid w:val="9D4B5CFF"/>
    <w:rsid w:val="ABDF8495"/>
    <w:rsid w:val="AEFDE02E"/>
    <w:rsid w:val="B3C8C638"/>
    <w:rsid w:val="B4DFDFD6"/>
    <w:rsid w:val="BA7B23C6"/>
    <w:rsid w:val="CFFF7263"/>
    <w:rsid w:val="CFFF8827"/>
    <w:rsid w:val="DBF7E3C8"/>
    <w:rsid w:val="DD5F1E5A"/>
    <w:rsid w:val="DEDF4795"/>
    <w:rsid w:val="DF4D251C"/>
    <w:rsid w:val="DFB7FECF"/>
    <w:rsid w:val="DFEFD79F"/>
    <w:rsid w:val="DFF7E9E8"/>
    <w:rsid w:val="E3F9881F"/>
    <w:rsid w:val="E5B7EF45"/>
    <w:rsid w:val="E9F71EFB"/>
    <w:rsid w:val="EAEFEF31"/>
    <w:rsid w:val="EE57B1AF"/>
    <w:rsid w:val="EE5FAF12"/>
    <w:rsid w:val="F3BF5411"/>
    <w:rsid w:val="F3DEAEDE"/>
    <w:rsid w:val="F5EE3845"/>
    <w:rsid w:val="F6E72913"/>
    <w:rsid w:val="F7326EEF"/>
    <w:rsid w:val="F7AF8B04"/>
    <w:rsid w:val="F7FF1DA3"/>
    <w:rsid w:val="F9DBF35D"/>
    <w:rsid w:val="FAFF1750"/>
    <w:rsid w:val="FB3BD7B7"/>
    <w:rsid w:val="FDDFC672"/>
    <w:rsid w:val="FDFE9627"/>
    <w:rsid w:val="FDFFEE62"/>
    <w:rsid w:val="FE734873"/>
    <w:rsid w:val="FEFDE168"/>
    <w:rsid w:val="FF5F104F"/>
    <w:rsid w:val="FFB9BD9D"/>
    <w:rsid w:val="FFF86F89"/>
    <w:rsid w:val="FFFFE4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7"/>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68"/>
    <w:qFormat/>
    <w:uiPriority w:val="0"/>
    <w:pPr>
      <w:keepNext/>
      <w:keepLines/>
      <w:spacing w:before="260" w:after="260" w:line="416" w:lineRule="auto"/>
      <w:outlineLvl w:val="2"/>
    </w:pPr>
    <w:rPr>
      <w:b/>
      <w:bCs/>
      <w:kern w:val="0"/>
      <w:sz w:val="32"/>
      <w:szCs w:val="32"/>
    </w:rPr>
  </w:style>
  <w:style w:type="paragraph" w:styleId="5">
    <w:name w:val="heading 4"/>
    <w:basedOn w:val="1"/>
    <w:next w:val="1"/>
    <w:link w:val="69"/>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70"/>
    <w:qFormat/>
    <w:uiPriority w:val="0"/>
    <w:pPr>
      <w:keepNext/>
      <w:keepLines/>
      <w:numPr>
        <w:ilvl w:val="4"/>
        <w:numId w:val="1"/>
      </w:numPr>
      <w:spacing w:before="280" w:after="290" w:line="376" w:lineRule="auto"/>
      <w:outlineLvl w:val="4"/>
    </w:pPr>
    <w:rPr>
      <w:b/>
      <w:sz w:val="28"/>
    </w:rPr>
  </w:style>
  <w:style w:type="paragraph" w:styleId="7">
    <w:name w:val="heading 6"/>
    <w:basedOn w:val="1"/>
    <w:next w:val="1"/>
    <w:link w:val="71"/>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9"/>
    <w:link w:val="72"/>
    <w:qFormat/>
    <w:uiPriority w:val="0"/>
    <w:pPr>
      <w:keepNext/>
      <w:keepLines/>
      <w:numPr>
        <w:ilvl w:val="6"/>
        <w:numId w:val="1"/>
      </w:numPr>
      <w:spacing w:before="240" w:after="64" w:line="320" w:lineRule="auto"/>
      <w:outlineLvl w:val="6"/>
    </w:pPr>
    <w:rPr>
      <w:b/>
      <w:sz w:val="24"/>
    </w:rPr>
  </w:style>
  <w:style w:type="paragraph" w:styleId="10">
    <w:name w:val="heading 8"/>
    <w:basedOn w:val="1"/>
    <w:next w:val="9"/>
    <w:link w:val="73"/>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9"/>
    <w:link w:val="74"/>
    <w:qFormat/>
    <w:uiPriority w:val="0"/>
    <w:pPr>
      <w:keepNext/>
      <w:keepLines/>
      <w:numPr>
        <w:ilvl w:val="8"/>
        <w:numId w:val="1"/>
      </w:numPr>
      <w:spacing w:before="240" w:after="64" w:line="320" w:lineRule="auto"/>
      <w:outlineLvl w:val="8"/>
    </w:pPr>
    <w:rPr>
      <w:rFonts w:ascii="Arial" w:hAnsi="Arial" w:eastAsia="黑体"/>
    </w:rPr>
  </w:style>
  <w:style w:type="character" w:default="1" w:styleId="55">
    <w:name w:val="Default Paragraph Font"/>
    <w:unhideWhenUsed/>
    <w:qFormat/>
    <w:uiPriority w:val="1"/>
  </w:style>
  <w:style w:type="table" w:default="1" w:styleId="53">
    <w:name w:val="Normal Table"/>
    <w:unhideWhenUsed/>
    <w:qFormat/>
    <w:uiPriority w:val="99"/>
    <w:tblPr>
      <w:tblCellMar>
        <w:top w:w="0" w:type="dxa"/>
        <w:left w:w="108" w:type="dxa"/>
        <w:bottom w:w="0" w:type="dxa"/>
        <w:right w:w="108" w:type="dxa"/>
      </w:tblCellMar>
    </w:tblPr>
  </w:style>
  <w:style w:type="paragraph" w:styleId="9">
    <w:name w:val="Normal Indent"/>
    <w:basedOn w:val="1"/>
    <w:link w:val="65"/>
    <w:qFormat/>
    <w:uiPriority w:val="0"/>
    <w:pPr>
      <w:ind w:firstLine="420"/>
    </w:pPr>
    <w:rPr>
      <w:szCs w:val="20"/>
    </w:rPr>
  </w:style>
  <w:style w:type="paragraph" w:styleId="12">
    <w:name w:val="List 3"/>
    <w:basedOn w:val="1"/>
    <w:qFormat/>
    <w:uiPriority w:val="0"/>
    <w:pPr>
      <w:ind w:left="100" w:leftChars="400" w:hanging="200" w:hangingChars="200"/>
    </w:pPr>
  </w:style>
  <w:style w:type="paragraph" w:styleId="13">
    <w:name w:val="toc 7"/>
    <w:basedOn w:val="1"/>
    <w:next w:val="1"/>
    <w:unhideWhenUsed/>
    <w:qFormat/>
    <w:uiPriority w:val="0"/>
    <w:pPr>
      <w:ind w:left="2520" w:leftChars="1200"/>
    </w:pPr>
    <w:rPr>
      <w:rFonts w:ascii="Calibri" w:hAnsi="Calibri" w:eastAsia="宋体" w:cs="Times New Roman"/>
      <w:szCs w:val="22"/>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5"/>
    <w:unhideWhenUsed/>
    <w:qFormat/>
    <w:uiPriority w:val="99"/>
    <w:pPr>
      <w:shd w:val="clear" w:color="auto" w:fill="000080"/>
    </w:pPr>
    <w:rPr>
      <w:rFonts w:hint="eastAsia" w:ascii="宋体" w:hAnsi="宋体"/>
      <w:kern w:val="0"/>
      <w:sz w:val="20"/>
      <w:szCs w:val="20"/>
    </w:rPr>
  </w:style>
  <w:style w:type="paragraph" w:styleId="17">
    <w:name w:val="annotation text"/>
    <w:basedOn w:val="1"/>
    <w:link w:val="76"/>
    <w:unhideWhenUsed/>
    <w:qFormat/>
    <w:uiPriority w:val="0"/>
    <w:pPr>
      <w:jc w:val="left"/>
    </w:pPr>
  </w:style>
  <w:style w:type="paragraph" w:styleId="18">
    <w:name w:val="Body Text 3"/>
    <w:basedOn w:val="1"/>
    <w:link w:val="77"/>
    <w:qFormat/>
    <w:uiPriority w:val="0"/>
    <w:pPr>
      <w:spacing w:line="500" w:lineRule="exact"/>
    </w:pPr>
    <w:rPr>
      <w:b/>
      <w:bCs/>
      <w:kern w:val="0"/>
      <w:sz w:val="24"/>
    </w:rPr>
  </w:style>
  <w:style w:type="paragraph" w:styleId="19">
    <w:name w:val="Body Text"/>
    <w:basedOn w:val="1"/>
    <w:next w:val="1"/>
    <w:link w:val="78"/>
    <w:qFormat/>
    <w:uiPriority w:val="0"/>
    <w:pPr>
      <w:spacing w:line="380" w:lineRule="exact"/>
    </w:pPr>
    <w:rPr>
      <w:kern w:val="0"/>
      <w:sz w:val="24"/>
    </w:rPr>
  </w:style>
  <w:style w:type="paragraph" w:styleId="20">
    <w:name w:val="Body Text Indent"/>
    <w:basedOn w:val="1"/>
    <w:link w:val="79"/>
    <w:qFormat/>
    <w:uiPriority w:val="0"/>
    <w:pPr>
      <w:ind w:firstLine="830" w:firstLineChars="352"/>
    </w:pPr>
    <w:rPr>
      <w:rFonts w:ascii="仿宋_GB2312" w:eastAsia="仿宋_GB2312"/>
      <w:kern w:val="0"/>
      <w:sz w:val="32"/>
      <w:szCs w:val="20"/>
    </w:rPr>
  </w:style>
  <w:style w:type="paragraph" w:styleId="21">
    <w:name w:val="List Number 3"/>
    <w:basedOn w:val="1"/>
    <w:qFormat/>
    <w:uiPriority w:val="0"/>
    <w:pPr>
      <w:numPr>
        <w:ilvl w:val="0"/>
        <w:numId w:val="2"/>
      </w:numPr>
    </w:pPr>
  </w:style>
  <w:style w:type="paragraph" w:styleId="22">
    <w:name w:val="List 2"/>
    <w:basedOn w:val="1"/>
    <w:qFormat/>
    <w:uiPriority w:val="0"/>
    <w:pPr>
      <w:ind w:left="100" w:leftChars="200" w:hanging="200" w:hangingChars="200"/>
    </w:pPr>
    <w:rPr>
      <w:sz w:val="28"/>
    </w:rPr>
  </w:style>
  <w:style w:type="paragraph" w:styleId="23">
    <w:name w:val="Block Text"/>
    <w:basedOn w:val="1"/>
    <w:qFormat/>
    <w:uiPriority w:val="0"/>
    <w:pPr>
      <w:adjustRightInd w:val="0"/>
      <w:ind w:left="420" w:right="33"/>
      <w:jc w:val="left"/>
      <w:textAlignment w:val="baseline"/>
    </w:pPr>
    <w:rPr>
      <w:kern w:val="0"/>
      <w:sz w:val="24"/>
      <w:szCs w:val="20"/>
    </w:rPr>
  </w:style>
  <w:style w:type="paragraph" w:styleId="24">
    <w:name w:val="toc 5"/>
    <w:basedOn w:val="1"/>
    <w:next w:val="1"/>
    <w:unhideWhenUsed/>
    <w:qFormat/>
    <w:uiPriority w:val="0"/>
    <w:pPr>
      <w:ind w:left="1680" w:leftChars="800"/>
    </w:pPr>
    <w:rPr>
      <w:rFonts w:ascii="Calibri" w:hAnsi="Calibri" w:eastAsia="宋体" w:cs="Times New Roman"/>
      <w:szCs w:val="22"/>
    </w:rPr>
  </w:style>
  <w:style w:type="paragraph" w:styleId="25">
    <w:name w:val="toc 3"/>
    <w:basedOn w:val="1"/>
    <w:next w:val="1"/>
    <w:unhideWhenUsed/>
    <w:qFormat/>
    <w:uiPriority w:val="0"/>
    <w:pPr>
      <w:ind w:left="840" w:leftChars="400"/>
    </w:pPr>
    <w:rPr>
      <w:rFonts w:ascii="Calibri" w:hAnsi="Calibri" w:eastAsia="宋体" w:cs="Times New Roman"/>
      <w:szCs w:val="22"/>
    </w:rPr>
  </w:style>
  <w:style w:type="paragraph" w:styleId="26">
    <w:name w:val="Plain Text"/>
    <w:basedOn w:val="1"/>
    <w:link w:val="80"/>
    <w:qFormat/>
    <w:uiPriority w:val="0"/>
    <w:rPr>
      <w:rFonts w:ascii="宋体" w:hAnsi="Courier New"/>
      <w:kern w:val="0"/>
      <w:sz w:val="20"/>
      <w:szCs w:val="21"/>
    </w:rPr>
  </w:style>
  <w:style w:type="paragraph" w:styleId="27">
    <w:name w:val="toc 8"/>
    <w:basedOn w:val="1"/>
    <w:next w:val="1"/>
    <w:unhideWhenUsed/>
    <w:qFormat/>
    <w:uiPriority w:val="0"/>
    <w:pPr>
      <w:ind w:left="2940" w:leftChars="1400"/>
    </w:pPr>
    <w:rPr>
      <w:rFonts w:ascii="Calibri" w:hAnsi="Calibri" w:eastAsia="宋体" w:cs="Times New Roman"/>
      <w:szCs w:val="22"/>
    </w:rPr>
  </w:style>
  <w:style w:type="paragraph" w:styleId="28">
    <w:name w:val="Date"/>
    <w:basedOn w:val="1"/>
    <w:next w:val="1"/>
    <w:link w:val="81"/>
    <w:qFormat/>
    <w:uiPriority w:val="0"/>
    <w:pPr>
      <w:ind w:left="100" w:leftChars="2500"/>
    </w:pPr>
    <w:rPr>
      <w:rFonts w:ascii="宋体" w:hAnsi="Courier New"/>
      <w:kern w:val="0"/>
      <w:sz w:val="20"/>
      <w:szCs w:val="21"/>
    </w:rPr>
  </w:style>
  <w:style w:type="paragraph" w:styleId="29">
    <w:name w:val="Body Text Indent 2"/>
    <w:basedOn w:val="1"/>
    <w:link w:val="82"/>
    <w:qFormat/>
    <w:uiPriority w:val="0"/>
    <w:pPr>
      <w:ind w:firstLine="630"/>
    </w:pPr>
    <w:rPr>
      <w:kern w:val="0"/>
      <w:sz w:val="32"/>
      <w:szCs w:val="20"/>
    </w:rPr>
  </w:style>
  <w:style w:type="paragraph" w:styleId="30">
    <w:name w:val="endnote text"/>
    <w:basedOn w:val="1"/>
    <w:link w:val="83"/>
    <w:unhideWhenUsed/>
    <w:qFormat/>
    <w:uiPriority w:val="99"/>
    <w:pPr>
      <w:snapToGrid w:val="0"/>
      <w:jc w:val="left"/>
    </w:pPr>
  </w:style>
  <w:style w:type="paragraph" w:styleId="31">
    <w:name w:val="Balloon Text"/>
    <w:basedOn w:val="1"/>
    <w:link w:val="84"/>
    <w:qFormat/>
    <w:uiPriority w:val="99"/>
    <w:rPr>
      <w:kern w:val="0"/>
      <w:sz w:val="18"/>
      <w:szCs w:val="18"/>
    </w:rPr>
  </w:style>
  <w:style w:type="paragraph" w:styleId="32">
    <w:name w:val="footer"/>
    <w:basedOn w:val="1"/>
    <w:link w:val="85"/>
    <w:unhideWhenUsed/>
    <w:qFormat/>
    <w:uiPriority w:val="99"/>
    <w:pPr>
      <w:tabs>
        <w:tab w:val="center" w:pos="4153"/>
        <w:tab w:val="right" w:pos="8306"/>
      </w:tabs>
      <w:snapToGrid w:val="0"/>
      <w:jc w:val="left"/>
    </w:pPr>
    <w:rPr>
      <w:kern w:val="0"/>
      <w:sz w:val="18"/>
      <w:szCs w:val="18"/>
    </w:rPr>
  </w:style>
  <w:style w:type="paragraph" w:styleId="33">
    <w:name w:val="header"/>
    <w:basedOn w:val="1"/>
    <w:link w:val="86"/>
    <w:unhideWhenUsed/>
    <w:qFormat/>
    <w:uiPriority w:val="99"/>
    <w:pPr>
      <w:pBdr>
        <w:bottom w:val="single" w:color="auto" w:sz="6" w:space="1"/>
      </w:pBdr>
      <w:tabs>
        <w:tab w:val="center" w:pos="0"/>
        <w:tab w:val="left" w:pos="8306"/>
      </w:tabs>
      <w:snapToGrid w:val="0"/>
      <w:jc w:val="center"/>
    </w:pPr>
    <w:rPr>
      <w:sz w:val="18"/>
      <w:szCs w:val="18"/>
    </w:rPr>
  </w:style>
  <w:style w:type="paragraph" w:styleId="34">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5">
    <w:name w:val="toc 4"/>
    <w:basedOn w:val="1"/>
    <w:next w:val="1"/>
    <w:unhideWhenUsed/>
    <w:qFormat/>
    <w:uiPriority w:val="0"/>
    <w:pPr>
      <w:ind w:left="1260" w:leftChars="600"/>
    </w:pPr>
    <w:rPr>
      <w:rFonts w:ascii="Calibri" w:hAnsi="Calibri" w:eastAsia="宋体" w:cs="Times New Roman"/>
      <w:szCs w:val="22"/>
    </w:rPr>
  </w:style>
  <w:style w:type="paragraph" w:styleId="36">
    <w:name w:val="List"/>
    <w:basedOn w:val="1"/>
    <w:qFormat/>
    <w:uiPriority w:val="0"/>
    <w:pPr>
      <w:ind w:left="200" w:hanging="200" w:hangingChars="200"/>
    </w:pPr>
    <w:rPr>
      <w:sz w:val="28"/>
    </w:rPr>
  </w:style>
  <w:style w:type="paragraph" w:styleId="37">
    <w:name w:val="footnote text"/>
    <w:basedOn w:val="1"/>
    <w:link w:val="87"/>
    <w:unhideWhenUsed/>
    <w:qFormat/>
    <w:uiPriority w:val="99"/>
    <w:pPr>
      <w:snapToGrid w:val="0"/>
      <w:jc w:val="left"/>
    </w:pPr>
    <w:rPr>
      <w:sz w:val="18"/>
      <w:szCs w:val="18"/>
    </w:rPr>
  </w:style>
  <w:style w:type="paragraph" w:styleId="38">
    <w:name w:val="toc 6"/>
    <w:basedOn w:val="1"/>
    <w:next w:val="1"/>
    <w:unhideWhenUsed/>
    <w:qFormat/>
    <w:uiPriority w:val="0"/>
    <w:pPr>
      <w:ind w:left="2100" w:leftChars="1000"/>
    </w:pPr>
    <w:rPr>
      <w:rFonts w:ascii="Calibri" w:hAnsi="Calibri" w:eastAsia="宋体" w:cs="Times New Roman"/>
      <w:szCs w:val="22"/>
    </w:rPr>
  </w:style>
  <w:style w:type="paragraph" w:styleId="39">
    <w:name w:val="List 5"/>
    <w:basedOn w:val="1"/>
    <w:qFormat/>
    <w:uiPriority w:val="0"/>
    <w:pPr>
      <w:ind w:left="2100" w:hanging="420"/>
    </w:pPr>
    <w:rPr>
      <w:szCs w:val="20"/>
    </w:rPr>
  </w:style>
  <w:style w:type="paragraph" w:styleId="40">
    <w:name w:val="Body Text Indent 3"/>
    <w:basedOn w:val="1"/>
    <w:link w:val="88"/>
    <w:qFormat/>
    <w:uiPriority w:val="0"/>
    <w:pPr>
      <w:spacing w:after="120"/>
      <w:ind w:left="420" w:leftChars="200"/>
    </w:pPr>
    <w:rPr>
      <w:kern w:val="0"/>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0"/>
    <w:pPr>
      <w:ind w:left="3360" w:leftChars="1600"/>
    </w:pPr>
    <w:rPr>
      <w:rFonts w:ascii="Calibri" w:hAnsi="Calibri" w:eastAsia="宋体" w:cs="Times New Roman"/>
      <w:szCs w:val="22"/>
    </w:rPr>
  </w:style>
  <w:style w:type="paragraph" w:styleId="43">
    <w:name w:val="Body Text 2"/>
    <w:basedOn w:val="1"/>
    <w:link w:val="89"/>
    <w:qFormat/>
    <w:uiPriority w:val="0"/>
    <w:pPr>
      <w:spacing w:after="120" w:line="480" w:lineRule="auto"/>
    </w:pPr>
    <w:rPr>
      <w:kern w:val="0"/>
      <w:sz w:val="20"/>
    </w:rPr>
  </w:style>
  <w:style w:type="paragraph" w:styleId="44">
    <w:name w:val="List 4"/>
    <w:basedOn w:val="1"/>
    <w:qFormat/>
    <w:uiPriority w:val="0"/>
    <w:pPr>
      <w:ind w:left="100" w:leftChars="600" w:hanging="200" w:hangingChars="200"/>
    </w:pPr>
  </w:style>
  <w:style w:type="paragraph" w:styleId="45">
    <w:name w:val="List Continue 2"/>
    <w:basedOn w:val="1"/>
    <w:qFormat/>
    <w:uiPriority w:val="0"/>
    <w:pPr>
      <w:spacing w:after="120"/>
      <w:ind w:left="840" w:leftChars="400"/>
    </w:pPr>
  </w:style>
  <w:style w:type="paragraph" w:styleId="46">
    <w:name w:val="HTML Preformatted"/>
    <w:basedOn w:val="1"/>
    <w:link w:val="9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lang w:val="zh-CN"/>
    </w:rPr>
  </w:style>
  <w:style w:type="paragraph" w:styleId="47">
    <w:name w:val="Normal (Web)"/>
    <w:basedOn w:val="1"/>
    <w:qFormat/>
    <w:uiPriority w:val="0"/>
    <w:pPr>
      <w:widowControl/>
      <w:spacing w:before="100" w:beforeAutospacing="1" w:after="100" w:afterAutospacing="1"/>
      <w:jc w:val="left"/>
    </w:pPr>
    <w:rPr>
      <w:rFonts w:ascii="宋体" w:hAnsi="宋体"/>
      <w:kern w:val="0"/>
      <w:sz w:val="24"/>
    </w:rPr>
  </w:style>
  <w:style w:type="paragraph" w:styleId="48">
    <w:name w:val="index 1"/>
    <w:basedOn w:val="1"/>
    <w:next w:val="1"/>
    <w:qFormat/>
    <w:uiPriority w:val="0"/>
    <w:pPr>
      <w:spacing w:line="400" w:lineRule="exact"/>
      <w:ind w:firstLine="420" w:firstLineChars="200"/>
    </w:pPr>
    <w:rPr>
      <w:rFonts w:ascii="宋体" w:hAnsi="Courier New"/>
      <w:b/>
      <w:szCs w:val="20"/>
    </w:rPr>
  </w:style>
  <w:style w:type="paragraph" w:styleId="49">
    <w:name w:val="Title"/>
    <w:basedOn w:val="1"/>
    <w:next w:val="1"/>
    <w:link w:val="91"/>
    <w:qFormat/>
    <w:uiPriority w:val="0"/>
    <w:pPr>
      <w:spacing w:before="240" w:after="60"/>
      <w:jc w:val="center"/>
      <w:outlineLvl w:val="0"/>
    </w:pPr>
    <w:rPr>
      <w:rFonts w:ascii="Cambria" w:hAnsi="Cambria"/>
      <w:b/>
      <w:bCs/>
      <w:sz w:val="32"/>
      <w:szCs w:val="32"/>
    </w:rPr>
  </w:style>
  <w:style w:type="paragraph" w:styleId="50">
    <w:name w:val="annotation subject"/>
    <w:basedOn w:val="17"/>
    <w:next w:val="17"/>
    <w:link w:val="92"/>
    <w:unhideWhenUsed/>
    <w:qFormat/>
    <w:uiPriority w:val="99"/>
    <w:rPr>
      <w:b/>
      <w:bCs/>
    </w:rPr>
  </w:style>
  <w:style w:type="paragraph" w:styleId="51">
    <w:name w:val="Body Text First Indent"/>
    <w:basedOn w:val="19"/>
    <w:next w:val="38"/>
    <w:link w:val="93"/>
    <w:unhideWhenUsed/>
    <w:qFormat/>
    <w:uiPriority w:val="0"/>
    <w:pPr>
      <w:ind w:firstLine="420" w:firstLineChars="100"/>
    </w:pPr>
  </w:style>
  <w:style w:type="paragraph" w:styleId="52">
    <w:name w:val="Body Text First Indent 2"/>
    <w:basedOn w:val="20"/>
    <w:next w:val="1"/>
    <w:link w:val="94"/>
    <w:qFormat/>
    <w:uiPriority w:val="0"/>
    <w:pPr>
      <w:spacing w:line="360" w:lineRule="auto"/>
      <w:ind w:firstLine="0"/>
    </w:pPr>
    <w:rPr>
      <w:sz w:val="24"/>
    </w:rPr>
  </w:style>
  <w:style w:type="table" w:styleId="54">
    <w:name w:val="Table Grid"/>
    <w:basedOn w:val="5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6">
    <w:name w:val="Strong"/>
    <w:qFormat/>
    <w:uiPriority w:val="0"/>
    <w:rPr>
      <w:rFonts w:ascii="Times New Roman" w:hAnsi="Times New Roman" w:eastAsia="宋体" w:cs="Times New Roman"/>
      <w:b/>
      <w:bCs/>
    </w:rPr>
  </w:style>
  <w:style w:type="character" w:styleId="57">
    <w:name w:val="endnote reference"/>
    <w:unhideWhenUsed/>
    <w:qFormat/>
    <w:uiPriority w:val="99"/>
    <w:rPr>
      <w:vertAlign w:val="superscript"/>
    </w:rPr>
  </w:style>
  <w:style w:type="character" w:styleId="58">
    <w:name w:val="page number"/>
    <w:qFormat/>
    <w:uiPriority w:val="0"/>
  </w:style>
  <w:style w:type="character" w:styleId="59">
    <w:name w:val="FollowedHyperlink"/>
    <w:qFormat/>
    <w:uiPriority w:val="0"/>
    <w:rPr>
      <w:color w:val="000000"/>
      <w:u w:val="none"/>
    </w:rPr>
  </w:style>
  <w:style w:type="character" w:styleId="60">
    <w:name w:val="Emphasis"/>
    <w:qFormat/>
    <w:uiPriority w:val="0"/>
    <w:rPr>
      <w:rFonts w:ascii="Times New Roman" w:hAnsi="Times New Roman" w:eastAsia="宋体" w:cs="Times New Roman"/>
      <w:i/>
      <w:iCs/>
    </w:rPr>
  </w:style>
  <w:style w:type="character" w:styleId="61">
    <w:name w:val="Hyperlink"/>
    <w:qFormat/>
    <w:uiPriority w:val="99"/>
    <w:rPr>
      <w:color w:val="000000"/>
      <w:u w:val="none"/>
    </w:rPr>
  </w:style>
  <w:style w:type="character" w:styleId="62">
    <w:name w:val="HTML Code"/>
    <w:qFormat/>
    <w:uiPriority w:val="0"/>
    <w:rPr>
      <w:rFonts w:ascii="宋体" w:hAnsi="宋体" w:eastAsia="宋体" w:cs="宋体"/>
      <w:sz w:val="24"/>
      <w:szCs w:val="24"/>
    </w:rPr>
  </w:style>
  <w:style w:type="character" w:styleId="63">
    <w:name w:val="annotation reference"/>
    <w:unhideWhenUsed/>
    <w:qFormat/>
    <w:uiPriority w:val="99"/>
    <w:rPr>
      <w:sz w:val="21"/>
      <w:szCs w:val="21"/>
    </w:rPr>
  </w:style>
  <w:style w:type="character" w:styleId="64">
    <w:name w:val="footnote reference"/>
    <w:unhideWhenUsed/>
    <w:qFormat/>
    <w:uiPriority w:val="99"/>
    <w:rPr>
      <w:vertAlign w:val="superscript"/>
    </w:rPr>
  </w:style>
  <w:style w:type="character" w:customStyle="1" w:styleId="65">
    <w:name w:val="正文缩进 字符"/>
    <w:link w:val="9"/>
    <w:qFormat/>
    <w:uiPriority w:val="0"/>
    <w:rPr>
      <w:kern w:val="2"/>
      <w:sz w:val="21"/>
    </w:rPr>
  </w:style>
  <w:style w:type="character" w:customStyle="1" w:styleId="66">
    <w:name w:val="标题 1 字符1"/>
    <w:link w:val="2"/>
    <w:qFormat/>
    <w:uiPriority w:val="0"/>
    <w:rPr>
      <w:rFonts w:ascii="Times New Roman" w:hAnsi="Times New Roman" w:eastAsia="宋体" w:cs="Times New Roman"/>
      <w:b/>
      <w:bCs/>
      <w:kern w:val="44"/>
      <w:sz w:val="44"/>
      <w:szCs w:val="44"/>
    </w:rPr>
  </w:style>
  <w:style w:type="character" w:customStyle="1" w:styleId="67">
    <w:name w:val="标题 2 字符"/>
    <w:link w:val="3"/>
    <w:qFormat/>
    <w:uiPriority w:val="0"/>
    <w:rPr>
      <w:rFonts w:ascii="Arial" w:hAnsi="Arial" w:eastAsia="黑体" w:cs="Times New Roman"/>
      <w:b/>
      <w:bCs/>
      <w:sz w:val="32"/>
      <w:szCs w:val="32"/>
    </w:rPr>
  </w:style>
  <w:style w:type="character" w:customStyle="1" w:styleId="68">
    <w:name w:val="标题 3 字符"/>
    <w:link w:val="4"/>
    <w:qFormat/>
    <w:uiPriority w:val="0"/>
    <w:rPr>
      <w:rFonts w:ascii="Times New Roman" w:hAnsi="Times New Roman" w:eastAsia="宋体" w:cs="Times New Roman"/>
      <w:b/>
      <w:bCs/>
      <w:sz w:val="32"/>
      <w:szCs w:val="32"/>
    </w:rPr>
  </w:style>
  <w:style w:type="character" w:customStyle="1" w:styleId="69">
    <w:name w:val="标题 4 字符"/>
    <w:link w:val="5"/>
    <w:qFormat/>
    <w:uiPriority w:val="0"/>
    <w:rPr>
      <w:rFonts w:ascii="Cambria" w:hAnsi="Cambria"/>
      <w:b/>
      <w:bCs/>
      <w:kern w:val="2"/>
      <w:sz w:val="28"/>
      <w:szCs w:val="28"/>
    </w:rPr>
  </w:style>
  <w:style w:type="character" w:customStyle="1" w:styleId="70">
    <w:name w:val="标题 5 字符"/>
    <w:link w:val="6"/>
    <w:qFormat/>
    <w:uiPriority w:val="0"/>
    <w:rPr>
      <w:b/>
      <w:kern w:val="2"/>
      <w:sz w:val="28"/>
      <w:szCs w:val="24"/>
    </w:rPr>
  </w:style>
  <w:style w:type="character" w:customStyle="1" w:styleId="71">
    <w:name w:val="标题 6 字符"/>
    <w:link w:val="7"/>
    <w:qFormat/>
    <w:uiPriority w:val="0"/>
    <w:rPr>
      <w:rFonts w:ascii="Arial" w:hAnsi="Arial" w:eastAsia="黑体"/>
      <w:b/>
      <w:kern w:val="2"/>
      <w:sz w:val="24"/>
      <w:szCs w:val="24"/>
    </w:rPr>
  </w:style>
  <w:style w:type="character" w:customStyle="1" w:styleId="72">
    <w:name w:val="标题 7 字符"/>
    <w:link w:val="8"/>
    <w:qFormat/>
    <w:uiPriority w:val="0"/>
    <w:rPr>
      <w:rFonts w:ascii="Times New Roman" w:hAnsi="Times New Roman"/>
      <w:b/>
      <w:kern w:val="2"/>
      <w:sz w:val="24"/>
      <w:szCs w:val="24"/>
    </w:rPr>
  </w:style>
  <w:style w:type="character" w:customStyle="1" w:styleId="73">
    <w:name w:val="标题 8 字符"/>
    <w:link w:val="10"/>
    <w:qFormat/>
    <w:uiPriority w:val="0"/>
    <w:rPr>
      <w:rFonts w:ascii="Arial" w:hAnsi="Arial" w:eastAsia="黑体"/>
      <w:kern w:val="2"/>
      <w:sz w:val="24"/>
      <w:szCs w:val="24"/>
    </w:rPr>
  </w:style>
  <w:style w:type="character" w:customStyle="1" w:styleId="74">
    <w:name w:val="标题 9 字符"/>
    <w:link w:val="11"/>
    <w:qFormat/>
    <w:uiPriority w:val="0"/>
    <w:rPr>
      <w:rFonts w:ascii="Arial" w:hAnsi="Arial" w:eastAsia="黑体"/>
      <w:kern w:val="2"/>
      <w:sz w:val="21"/>
      <w:szCs w:val="24"/>
    </w:rPr>
  </w:style>
  <w:style w:type="character" w:customStyle="1" w:styleId="75">
    <w:name w:val="文档结构图 字符"/>
    <w:link w:val="16"/>
    <w:qFormat/>
    <w:uiPriority w:val="99"/>
    <w:rPr>
      <w:rFonts w:hint="eastAsia" w:ascii="宋体" w:hAnsi="宋体" w:eastAsia="宋体" w:cs="宋体"/>
    </w:rPr>
  </w:style>
  <w:style w:type="character" w:customStyle="1" w:styleId="76">
    <w:name w:val="批注文字 字符2"/>
    <w:link w:val="17"/>
    <w:qFormat/>
    <w:uiPriority w:val="0"/>
    <w:rPr>
      <w:rFonts w:ascii="Times New Roman" w:hAnsi="Times New Roman"/>
      <w:kern w:val="2"/>
      <w:sz w:val="21"/>
      <w:szCs w:val="24"/>
    </w:rPr>
  </w:style>
  <w:style w:type="character" w:customStyle="1" w:styleId="77">
    <w:name w:val="正文文本 3 字符"/>
    <w:link w:val="18"/>
    <w:qFormat/>
    <w:uiPriority w:val="0"/>
    <w:rPr>
      <w:rFonts w:ascii="Times New Roman" w:hAnsi="Times New Roman" w:eastAsia="宋体" w:cs="Times New Roman"/>
      <w:b/>
      <w:bCs/>
      <w:sz w:val="24"/>
      <w:szCs w:val="24"/>
    </w:rPr>
  </w:style>
  <w:style w:type="character" w:customStyle="1" w:styleId="78">
    <w:name w:val="正文文本 字符"/>
    <w:link w:val="19"/>
    <w:qFormat/>
    <w:uiPriority w:val="0"/>
    <w:rPr>
      <w:rFonts w:ascii="Times New Roman" w:hAnsi="Times New Roman" w:eastAsia="宋体" w:cs="Times New Roman"/>
      <w:sz w:val="24"/>
      <w:szCs w:val="24"/>
    </w:rPr>
  </w:style>
  <w:style w:type="character" w:customStyle="1" w:styleId="79">
    <w:name w:val="正文文本缩进 字符1"/>
    <w:link w:val="20"/>
    <w:qFormat/>
    <w:uiPriority w:val="0"/>
    <w:rPr>
      <w:rFonts w:ascii="仿宋_GB2312" w:hAnsi="Times New Roman" w:eastAsia="仿宋_GB2312" w:cs="Times New Roman"/>
      <w:sz w:val="32"/>
      <w:szCs w:val="20"/>
    </w:rPr>
  </w:style>
  <w:style w:type="character" w:customStyle="1" w:styleId="80">
    <w:name w:val="纯文本 字符2"/>
    <w:link w:val="26"/>
    <w:qFormat/>
    <w:uiPriority w:val="99"/>
    <w:rPr>
      <w:rFonts w:ascii="宋体" w:hAnsi="Courier New" w:eastAsia="宋体" w:cs="Courier New"/>
      <w:szCs w:val="21"/>
    </w:rPr>
  </w:style>
  <w:style w:type="character" w:customStyle="1" w:styleId="81">
    <w:name w:val="日期 字符"/>
    <w:link w:val="28"/>
    <w:qFormat/>
    <w:uiPriority w:val="0"/>
    <w:rPr>
      <w:rFonts w:ascii="宋体" w:hAnsi="Courier New" w:eastAsia="宋体" w:cs="Courier New"/>
      <w:szCs w:val="21"/>
    </w:rPr>
  </w:style>
  <w:style w:type="character" w:customStyle="1" w:styleId="82">
    <w:name w:val="正文文本缩进 2 字符"/>
    <w:link w:val="29"/>
    <w:qFormat/>
    <w:uiPriority w:val="0"/>
    <w:rPr>
      <w:rFonts w:ascii="Times New Roman" w:hAnsi="Times New Roman" w:eastAsia="宋体" w:cs="Times New Roman"/>
      <w:sz w:val="32"/>
      <w:szCs w:val="20"/>
    </w:rPr>
  </w:style>
  <w:style w:type="character" w:customStyle="1" w:styleId="83">
    <w:name w:val="尾注文本 字符"/>
    <w:link w:val="30"/>
    <w:qFormat/>
    <w:uiPriority w:val="99"/>
    <w:rPr>
      <w:rFonts w:ascii="Times New Roman" w:hAnsi="Times New Roman"/>
      <w:kern w:val="2"/>
      <w:sz w:val="21"/>
      <w:szCs w:val="24"/>
    </w:rPr>
  </w:style>
  <w:style w:type="character" w:customStyle="1" w:styleId="84">
    <w:name w:val="批注框文本 字符"/>
    <w:link w:val="31"/>
    <w:qFormat/>
    <w:uiPriority w:val="99"/>
    <w:rPr>
      <w:rFonts w:ascii="Times New Roman" w:hAnsi="Times New Roman" w:eastAsia="宋体" w:cs="Times New Roman"/>
      <w:sz w:val="18"/>
      <w:szCs w:val="18"/>
    </w:rPr>
  </w:style>
  <w:style w:type="character" w:customStyle="1" w:styleId="85">
    <w:name w:val="页脚 字符1"/>
    <w:link w:val="32"/>
    <w:qFormat/>
    <w:uiPriority w:val="99"/>
    <w:rPr>
      <w:sz w:val="18"/>
      <w:szCs w:val="18"/>
    </w:rPr>
  </w:style>
  <w:style w:type="character" w:customStyle="1" w:styleId="86">
    <w:name w:val="页眉 字符"/>
    <w:link w:val="33"/>
    <w:qFormat/>
    <w:uiPriority w:val="99"/>
    <w:rPr>
      <w:rFonts w:ascii="Times New Roman" w:hAnsi="Times New Roman"/>
      <w:kern w:val="2"/>
      <w:sz w:val="18"/>
      <w:szCs w:val="18"/>
    </w:rPr>
  </w:style>
  <w:style w:type="character" w:customStyle="1" w:styleId="87">
    <w:name w:val="脚注文本 字符"/>
    <w:link w:val="37"/>
    <w:qFormat/>
    <w:uiPriority w:val="99"/>
    <w:rPr>
      <w:rFonts w:ascii="Times New Roman" w:hAnsi="Times New Roman"/>
      <w:kern w:val="2"/>
      <w:sz w:val="18"/>
      <w:szCs w:val="18"/>
    </w:rPr>
  </w:style>
  <w:style w:type="character" w:customStyle="1" w:styleId="88">
    <w:name w:val="正文文本缩进 3 字符"/>
    <w:link w:val="40"/>
    <w:qFormat/>
    <w:uiPriority w:val="0"/>
    <w:rPr>
      <w:rFonts w:ascii="Times New Roman" w:hAnsi="Times New Roman" w:eastAsia="宋体" w:cs="Times New Roman"/>
      <w:sz w:val="16"/>
      <w:szCs w:val="16"/>
    </w:rPr>
  </w:style>
  <w:style w:type="character" w:customStyle="1" w:styleId="89">
    <w:name w:val="正文文本 2 字符"/>
    <w:link w:val="43"/>
    <w:qFormat/>
    <w:uiPriority w:val="0"/>
    <w:rPr>
      <w:rFonts w:ascii="Times New Roman" w:hAnsi="Times New Roman" w:eastAsia="宋体" w:cs="Times New Roman"/>
      <w:szCs w:val="24"/>
    </w:rPr>
  </w:style>
  <w:style w:type="character" w:customStyle="1" w:styleId="90">
    <w:name w:val="HTML 预设格式 字符"/>
    <w:link w:val="46"/>
    <w:qFormat/>
    <w:uiPriority w:val="0"/>
    <w:rPr>
      <w:rFonts w:ascii="黑体" w:hAnsi="Courier New" w:eastAsia="黑体"/>
      <w:lang w:val="zh-CN"/>
    </w:rPr>
  </w:style>
  <w:style w:type="character" w:customStyle="1" w:styleId="91">
    <w:name w:val="标题 字符"/>
    <w:link w:val="49"/>
    <w:qFormat/>
    <w:uiPriority w:val="0"/>
    <w:rPr>
      <w:rFonts w:ascii="Cambria" w:hAnsi="Cambria" w:cs="Times New Roman"/>
      <w:b/>
      <w:bCs/>
      <w:kern w:val="2"/>
      <w:sz w:val="32"/>
      <w:szCs w:val="32"/>
    </w:rPr>
  </w:style>
  <w:style w:type="character" w:customStyle="1" w:styleId="92">
    <w:name w:val="批注主题 字符"/>
    <w:link w:val="50"/>
    <w:qFormat/>
    <w:uiPriority w:val="99"/>
    <w:rPr>
      <w:rFonts w:ascii="Times New Roman" w:hAnsi="Times New Roman"/>
      <w:b/>
      <w:bCs/>
      <w:kern w:val="2"/>
      <w:sz w:val="21"/>
      <w:szCs w:val="24"/>
    </w:rPr>
  </w:style>
  <w:style w:type="character" w:customStyle="1" w:styleId="93">
    <w:name w:val="正文首行缩进 字符"/>
    <w:link w:val="51"/>
    <w:qFormat/>
    <w:uiPriority w:val="0"/>
    <w:rPr>
      <w:sz w:val="24"/>
      <w:szCs w:val="24"/>
    </w:rPr>
  </w:style>
  <w:style w:type="character" w:customStyle="1" w:styleId="94">
    <w:name w:val="正文首行缩进 2 字符"/>
    <w:link w:val="52"/>
    <w:qFormat/>
    <w:uiPriority w:val="0"/>
    <w:rPr>
      <w:rFonts w:ascii="仿宋_GB2312" w:eastAsia="仿宋_GB2312"/>
      <w:sz w:val="24"/>
    </w:rPr>
  </w:style>
  <w:style w:type="character" w:customStyle="1" w:styleId="95">
    <w:name w:val="普通文字 Char Char2"/>
    <w:qFormat/>
    <w:uiPriority w:val="0"/>
    <w:rPr>
      <w:rFonts w:ascii="宋体" w:hAnsi="Courier New" w:eastAsia="宋体"/>
      <w:kern w:val="2"/>
      <w:sz w:val="21"/>
      <w:lang w:val="en-US" w:eastAsia="zh-CN" w:bidi="ar-SA"/>
    </w:rPr>
  </w:style>
  <w:style w:type="character" w:customStyle="1" w:styleId="96">
    <w:name w:val="批注文字 Char"/>
    <w:qFormat/>
    <w:uiPriority w:val="0"/>
    <w:rPr>
      <w:rFonts w:ascii="Times New Roman" w:hAnsi="Times New Roman"/>
      <w:kern w:val="2"/>
      <w:sz w:val="21"/>
      <w:szCs w:val="24"/>
    </w:rPr>
  </w:style>
  <w:style w:type="character" w:customStyle="1" w:styleId="97">
    <w:name w:val="f151"/>
    <w:qFormat/>
    <w:uiPriority w:val="0"/>
    <w:rPr>
      <w:rFonts w:ascii="Times New Roman" w:hAnsi="Times New Roman" w:eastAsia="宋体" w:cs="Times New Roman"/>
      <w:sz w:val="23"/>
      <w:szCs w:val="23"/>
    </w:rPr>
  </w:style>
  <w:style w:type="character" w:customStyle="1" w:styleId="98">
    <w:name w:val="content2"/>
    <w:qFormat/>
    <w:uiPriority w:val="0"/>
    <w:rPr>
      <w:rFonts w:ascii="Times New Roman" w:hAnsi="Times New Roman" w:eastAsia="宋体" w:cs="Times New Roman"/>
    </w:rPr>
  </w:style>
  <w:style w:type="character" w:customStyle="1" w:styleId="99">
    <w:name w:val="批注文字 字符"/>
    <w:qFormat/>
    <w:uiPriority w:val="0"/>
    <w:rPr>
      <w:rFonts w:ascii="Times New Roman" w:hAnsi="Times New Roman"/>
      <w:kern w:val="2"/>
      <w:sz w:val="21"/>
      <w:szCs w:val="24"/>
    </w:rPr>
  </w:style>
  <w:style w:type="character" w:customStyle="1" w:styleId="100">
    <w:name w:val="Char Char3"/>
    <w:qFormat/>
    <w:uiPriority w:val="0"/>
    <w:rPr>
      <w:rFonts w:ascii="宋体" w:hAnsi="Courier New" w:eastAsia="宋体" w:cs="Times New Roman"/>
      <w:kern w:val="2"/>
      <w:sz w:val="21"/>
    </w:rPr>
  </w:style>
  <w:style w:type="character" w:customStyle="1" w:styleId="101">
    <w:name w:val="font51"/>
    <w:qFormat/>
    <w:uiPriority w:val="0"/>
    <w:rPr>
      <w:rFonts w:hint="eastAsia" w:ascii="宋体" w:hAnsi="宋体" w:eastAsia="宋体" w:cs="宋体"/>
      <w:color w:val="000000"/>
      <w:sz w:val="18"/>
      <w:szCs w:val="18"/>
      <w:u w:val="none"/>
    </w:rPr>
  </w:style>
  <w:style w:type="character" w:customStyle="1" w:styleId="102">
    <w:name w:val="font31"/>
    <w:qFormat/>
    <w:uiPriority w:val="0"/>
    <w:rPr>
      <w:rFonts w:hint="eastAsia" w:ascii="宋体" w:hAnsi="宋体" w:eastAsia="宋体" w:cs="宋体"/>
      <w:color w:val="000000"/>
      <w:sz w:val="18"/>
      <w:szCs w:val="18"/>
      <w:u w:val="none"/>
    </w:rPr>
  </w:style>
  <w:style w:type="character" w:customStyle="1" w:styleId="103">
    <w:name w:val="正文-王 Char"/>
    <w:link w:val="104"/>
    <w:qFormat/>
    <w:uiPriority w:val="0"/>
    <w:rPr>
      <w:rFonts w:ascii="宋体" w:hAnsi="宋体"/>
      <w:sz w:val="24"/>
      <w:szCs w:val="24"/>
    </w:rPr>
  </w:style>
  <w:style w:type="paragraph" w:customStyle="1" w:styleId="104">
    <w:name w:val="正文-王"/>
    <w:basedOn w:val="1"/>
    <w:link w:val="103"/>
    <w:qFormat/>
    <w:uiPriority w:val="0"/>
    <w:pPr>
      <w:spacing w:line="360" w:lineRule="auto"/>
      <w:ind w:firstLine="480" w:firstLineChars="200"/>
    </w:pPr>
    <w:rPr>
      <w:rFonts w:ascii="宋体" w:hAnsi="宋体"/>
      <w:kern w:val="0"/>
      <w:sz w:val="24"/>
    </w:rPr>
  </w:style>
  <w:style w:type="character" w:customStyle="1" w:styleId="105">
    <w:name w:val="正文文本 3 Char1"/>
    <w:qFormat/>
    <w:uiPriority w:val="0"/>
    <w:rPr>
      <w:rFonts w:ascii="Times New Roman" w:hAnsi="Times New Roman" w:eastAsia="宋体" w:cs="Times New Roman"/>
      <w:kern w:val="2"/>
      <w:sz w:val="16"/>
      <w:szCs w:val="16"/>
    </w:rPr>
  </w:style>
  <w:style w:type="character" w:customStyle="1" w:styleId="106">
    <w:name w:val="标题 5 Char"/>
    <w:qFormat/>
    <w:uiPriority w:val="9"/>
    <w:rPr>
      <w:b/>
      <w:kern w:val="2"/>
      <w:sz w:val="28"/>
      <w:szCs w:val="24"/>
    </w:rPr>
  </w:style>
  <w:style w:type="character" w:customStyle="1" w:styleId="107">
    <w:name w:val="新标题4"/>
    <w:qFormat/>
    <w:uiPriority w:val="0"/>
    <w:rPr>
      <w:rFonts w:ascii="仿宋_GB2312" w:hAnsi="仿宋_GB2312" w:eastAsia="仿宋_GB2312"/>
      <w:b/>
      <w:bCs/>
      <w:sz w:val="32"/>
    </w:rPr>
  </w:style>
  <w:style w:type="character" w:customStyle="1" w:styleId="108">
    <w:name w:val="text"/>
    <w:qFormat/>
    <w:uiPriority w:val="0"/>
    <w:rPr>
      <w:rFonts w:ascii="Times New Roman" w:hAnsi="Times New Roman" w:eastAsia="宋体" w:cs="Times New Roman"/>
    </w:rPr>
  </w:style>
  <w:style w:type="character" w:customStyle="1" w:styleId="109">
    <w:name w:val="新标题3"/>
    <w:qFormat/>
    <w:uiPriority w:val="0"/>
    <w:rPr>
      <w:rFonts w:ascii="仿宋_GB2312" w:hAnsi="仿宋_GB2312" w:eastAsia="仿宋_GB2312"/>
      <w:b/>
      <w:bCs/>
      <w:sz w:val="32"/>
    </w:rPr>
  </w:style>
  <w:style w:type="character" w:customStyle="1" w:styleId="110">
    <w:name w:val="页眉 Char1"/>
    <w:qFormat/>
    <w:uiPriority w:val="0"/>
    <w:rPr>
      <w:rFonts w:ascii="Times New Roman" w:hAnsi="Times New Roman" w:eastAsia="宋体" w:cs="Times New Roman"/>
      <w:kern w:val="2"/>
      <w:sz w:val="18"/>
      <w:szCs w:val="18"/>
    </w:rPr>
  </w:style>
  <w:style w:type="character" w:customStyle="1" w:styleId="111">
    <w:name w:val="font91"/>
    <w:qFormat/>
    <w:uiPriority w:val="0"/>
    <w:rPr>
      <w:rFonts w:ascii="Calibri" w:hAnsi="Calibri" w:cs="Calibri"/>
      <w:color w:val="000000"/>
      <w:sz w:val="18"/>
      <w:szCs w:val="18"/>
      <w:u w:val="none"/>
    </w:rPr>
  </w:style>
  <w:style w:type="character" w:customStyle="1" w:styleId="112">
    <w:name w:val="批注文字 字符1"/>
    <w:qFormat/>
    <w:uiPriority w:val="0"/>
    <w:rPr>
      <w:rFonts w:ascii="Times New Roman" w:hAnsi="Times New Roman"/>
      <w:kern w:val="2"/>
      <w:sz w:val="21"/>
      <w:szCs w:val="24"/>
    </w:rPr>
  </w:style>
  <w:style w:type="character" w:customStyle="1" w:styleId="113">
    <w:name w:val="列出段落 字符"/>
    <w:link w:val="114"/>
    <w:qFormat/>
    <w:uiPriority w:val="0"/>
    <w:rPr>
      <w:kern w:val="2"/>
      <w:sz w:val="21"/>
      <w:szCs w:val="24"/>
    </w:rPr>
  </w:style>
  <w:style w:type="paragraph" w:styleId="114">
    <w:name w:val="List Paragraph"/>
    <w:basedOn w:val="1"/>
    <w:link w:val="113"/>
    <w:qFormat/>
    <w:uiPriority w:val="0"/>
    <w:pPr>
      <w:ind w:firstLine="420" w:firstLineChars="200"/>
    </w:pPr>
  </w:style>
  <w:style w:type="character" w:customStyle="1" w:styleId="115">
    <w:name w:val="正文文本缩进 字符"/>
    <w:qFormat/>
    <w:uiPriority w:val="0"/>
    <w:rPr>
      <w:rFonts w:ascii="仿宋_GB2312" w:hAnsi="Times New Roman" w:eastAsia="仿宋_GB2312" w:cs="Times New Roman"/>
      <w:sz w:val="32"/>
      <w:szCs w:val="20"/>
    </w:rPr>
  </w:style>
  <w:style w:type="character" w:customStyle="1" w:styleId="116">
    <w:name w:val="标题 1 Char1"/>
    <w:qFormat/>
    <w:uiPriority w:val="0"/>
    <w:rPr>
      <w:rFonts w:eastAsia="宋体"/>
      <w:b/>
      <w:bCs/>
      <w:kern w:val="44"/>
      <w:sz w:val="44"/>
      <w:szCs w:val="44"/>
      <w:lang w:val="en-US" w:eastAsia="zh-CN" w:bidi="ar-SA"/>
    </w:rPr>
  </w:style>
  <w:style w:type="character" w:customStyle="1" w:styleId="117">
    <w:name w:val="textcontents"/>
    <w:qFormat/>
    <w:uiPriority w:val="0"/>
  </w:style>
  <w:style w:type="character" w:customStyle="1" w:styleId="118">
    <w:name w:val="small"/>
    <w:qFormat/>
    <w:uiPriority w:val="0"/>
    <w:rPr>
      <w:rFonts w:ascii="Times New Roman" w:hAnsi="Times New Roman" w:eastAsia="宋体" w:cs="Times New Roman"/>
    </w:rPr>
  </w:style>
  <w:style w:type="character" w:customStyle="1" w:styleId="119">
    <w:name w:val="unnamed3"/>
    <w:qFormat/>
    <w:uiPriority w:val="0"/>
    <w:rPr>
      <w:rFonts w:ascii="Times New Roman" w:hAnsi="Times New Roman" w:eastAsia="宋体" w:cs="Times New Roman"/>
    </w:rPr>
  </w:style>
  <w:style w:type="character" w:customStyle="1" w:styleId="120">
    <w:name w:val="font131"/>
    <w:qFormat/>
    <w:uiPriority w:val="0"/>
    <w:rPr>
      <w:rFonts w:ascii="微软雅黑" w:hAnsi="微软雅黑" w:eastAsia="微软雅黑" w:cs="微软雅黑"/>
      <w:color w:val="000000"/>
      <w:sz w:val="16"/>
      <w:szCs w:val="16"/>
      <w:u w:val="none"/>
    </w:rPr>
  </w:style>
  <w:style w:type="character" w:customStyle="1" w:styleId="121">
    <w:name w:val="font141"/>
    <w:qFormat/>
    <w:uiPriority w:val="0"/>
    <w:rPr>
      <w:rFonts w:ascii="Calibri" w:hAnsi="Calibri" w:cs="Calibri"/>
      <w:color w:val="000000"/>
      <w:sz w:val="18"/>
      <w:szCs w:val="18"/>
      <w:u w:val="none"/>
    </w:rPr>
  </w:style>
  <w:style w:type="character" w:customStyle="1" w:styleId="122">
    <w:name w:val="case31"/>
    <w:qFormat/>
    <w:uiPriority w:val="0"/>
    <w:rPr>
      <w:rFonts w:hint="default" w:ascii="_x000B__x000C_" w:hAnsi="_x000B__x000C_"/>
      <w:sz w:val="21"/>
      <w:szCs w:val="21"/>
    </w:rPr>
  </w:style>
  <w:style w:type="character" w:customStyle="1" w:styleId="123">
    <w:name w:val="Arial Char"/>
    <w:link w:val="124"/>
    <w:qFormat/>
    <w:uiPriority w:val="0"/>
    <w:rPr>
      <w:rFonts w:ascii="Arial" w:hAnsi="Arial"/>
      <w:kern w:val="2"/>
      <w:sz w:val="24"/>
      <w:szCs w:val="24"/>
    </w:rPr>
  </w:style>
  <w:style w:type="paragraph" w:customStyle="1" w:styleId="124">
    <w:name w:val="Arial"/>
    <w:basedOn w:val="1"/>
    <w:link w:val="123"/>
    <w:qFormat/>
    <w:uiPriority w:val="0"/>
    <w:pPr>
      <w:tabs>
        <w:tab w:val="left" w:pos="360"/>
      </w:tabs>
      <w:spacing w:line="400" w:lineRule="exact"/>
      <w:ind w:left="360" w:hanging="360"/>
    </w:pPr>
    <w:rPr>
      <w:rFonts w:ascii="Arial" w:hAnsi="Arial"/>
      <w:sz w:val="24"/>
    </w:rPr>
  </w:style>
  <w:style w:type="character" w:customStyle="1" w:styleId="125">
    <w:name w:val="页脚 Char1"/>
    <w:qFormat/>
    <w:uiPriority w:val="0"/>
    <w:rPr>
      <w:rFonts w:ascii="Times New Roman" w:hAnsi="Times New Roman" w:eastAsia="宋体" w:cs="Times New Roman"/>
      <w:kern w:val="2"/>
      <w:sz w:val="18"/>
      <w:szCs w:val="18"/>
    </w:rPr>
  </w:style>
  <w:style w:type="character" w:customStyle="1" w:styleId="126">
    <w:name w:val="apple-style-span"/>
    <w:qFormat/>
    <w:uiPriority w:val="0"/>
  </w:style>
  <w:style w:type="character" w:customStyle="1" w:styleId="127">
    <w:name w:val="纯文本 字符1"/>
    <w:qFormat/>
    <w:uiPriority w:val="0"/>
    <w:rPr>
      <w:rFonts w:ascii="宋体" w:hAnsi="Courier New"/>
    </w:rPr>
  </w:style>
  <w:style w:type="character" w:customStyle="1" w:styleId="128">
    <w:name w:val="chart1"/>
    <w:qFormat/>
    <w:uiPriority w:val="0"/>
    <w:rPr>
      <w:rFonts w:hint="default" w:ascii="Verdana" w:hAnsi="Verdana" w:eastAsia="宋体" w:cs="Times New Roman"/>
      <w:color w:val="000000"/>
      <w:sz w:val="16"/>
      <w:szCs w:val="16"/>
    </w:rPr>
  </w:style>
  <w:style w:type="character" w:customStyle="1" w:styleId="129">
    <w:name w:val="bjh-p"/>
    <w:qFormat/>
    <w:uiPriority w:val="0"/>
  </w:style>
  <w:style w:type="character" w:customStyle="1" w:styleId="130">
    <w:name w:val="062"/>
    <w:qFormat/>
    <w:uiPriority w:val="0"/>
    <w:rPr>
      <w:rFonts w:ascii="宋体" w:hAnsi="宋体" w:eastAsia="宋体" w:cs="Times New Roman"/>
      <w:b/>
      <w:bCs/>
      <w:sz w:val="32"/>
    </w:rPr>
  </w:style>
  <w:style w:type="character" w:customStyle="1" w:styleId="131">
    <w:name w:val="页脚 字符"/>
    <w:qFormat/>
    <w:uiPriority w:val="99"/>
  </w:style>
  <w:style w:type="character" w:customStyle="1" w:styleId="132">
    <w:name w:val="纯文本 字符"/>
    <w:qFormat/>
    <w:uiPriority w:val="0"/>
    <w:rPr>
      <w:rFonts w:ascii="宋体" w:hAnsi="Courier New" w:eastAsia="宋体" w:cs="Courier New"/>
      <w:szCs w:val="21"/>
    </w:rPr>
  </w:style>
  <w:style w:type="character" w:customStyle="1" w:styleId="133">
    <w:name w:val="st"/>
    <w:qFormat/>
    <w:uiPriority w:val="0"/>
    <w:rPr>
      <w:rFonts w:ascii="Times New Roman" w:hAnsi="Times New Roman" w:eastAsia="宋体" w:cs="Times New Roman"/>
    </w:rPr>
  </w:style>
  <w:style w:type="character" w:customStyle="1" w:styleId="134">
    <w:name w:val="批注文字 Char2"/>
    <w:qFormat/>
    <w:uiPriority w:val="0"/>
    <w:rPr>
      <w:rFonts w:ascii="Times New Roman" w:hAnsi="Times New Roman"/>
      <w:kern w:val="2"/>
      <w:sz w:val="21"/>
      <w:szCs w:val="24"/>
    </w:rPr>
  </w:style>
  <w:style w:type="character" w:customStyle="1" w:styleId="135">
    <w:name w:val="标题 1 字符"/>
    <w:qFormat/>
    <w:uiPriority w:val="0"/>
    <w:rPr>
      <w:rFonts w:ascii="Times New Roman" w:hAnsi="Times New Roman" w:eastAsia="宋体" w:cs="Times New Roman"/>
      <w:b/>
      <w:bCs/>
      <w:kern w:val="44"/>
      <w:sz w:val="44"/>
      <w:szCs w:val="44"/>
    </w:rPr>
  </w:style>
  <w:style w:type="character" w:customStyle="1" w:styleId="136">
    <w:name w:val="Char Char2"/>
    <w:qFormat/>
    <w:uiPriority w:val="0"/>
    <w:rPr>
      <w:rFonts w:ascii="宋体" w:hAnsi="Courier New" w:eastAsia="宋体" w:cs="Courier New"/>
      <w:kern w:val="2"/>
      <w:sz w:val="21"/>
      <w:szCs w:val="21"/>
      <w:lang w:val="en-US" w:eastAsia="zh-CN" w:bidi="ar-SA"/>
    </w:rPr>
  </w:style>
  <w:style w:type="character" w:customStyle="1" w:styleId="137">
    <w:name w:val="纯文本 Char1"/>
    <w:qFormat/>
    <w:uiPriority w:val="0"/>
    <w:rPr>
      <w:rFonts w:ascii="宋体" w:hAnsi="Courier New" w:eastAsia="宋体" w:cs="Courier New"/>
      <w:szCs w:val="21"/>
    </w:rPr>
  </w:style>
  <w:style w:type="character" w:customStyle="1" w:styleId="138">
    <w:name w:val="gray12"/>
    <w:qFormat/>
    <w:uiPriority w:val="0"/>
    <w:rPr>
      <w:rFonts w:ascii="Times New Roman" w:hAnsi="Times New Roman" w:eastAsia="宋体" w:cs="Times New Roman"/>
    </w:rPr>
  </w:style>
  <w:style w:type="character" w:customStyle="1" w:styleId="139">
    <w:name w:val="批注文字 Char1"/>
    <w:qFormat/>
    <w:locked/>
    <w:uiPriority w:val="0"/>
    <w:rPr>
      <w:rFonts w:ascii="Times New Roman" w:hAnsi="Times New Roman"/>
      <w:kern w:val="2"/>
      <w:sz w:val="21"/>
      <w:szCs w:val="24"/>
    </w:rPr>
  </w:style>
  <w:style w:type="character" w:customStyle="1" w:styleId="140">
    <w:name w:val="graytext1"/>
    <w:qFormat/>
    <w:uiPriority w:val="0"/>
    <w:rPr>
      <w:rFonts w:ascii="Times New Roman" w:hAnsi="Times New Roman" w:eastAsia="宋体" w:cs="Times New Roman"/>
      <w:color w:val="666666"/>
    </w:rPr>
  </w:style>
  <w:style w:type="character" w:customStyle="1" w:styleId="141">
    <w:name w:val="批注主题 Char"/>
    <w:qFormat/>
    <w:uiPriority w:val="99"/>
    <w:rPr>
      <w:rFonts w:ascii="Times New Roman" w:hAnsi="Times New Roman"/>
      <w:b/>
      <w:bCs/>
      <w:kern w:val="2"/>
      <w:sz w:val="21"/>
      <w:szCs w:val="24"/>
    </w:rPr>
  </w:style>
  <w:style w:type="character" w:customStyle="1" w:styleId="142">
    <w:name w:val="纯文本 Char"/>
    <w:qFormat/>
    <w:uiPriority w:val="0"/>
    <w:rPr>
      <w:rFonts w:ascii="宋体" w:hAnsi="Courier New" w:eastAsia="宋体"/>
      <w:kern w:val="2"/>
      <w:sz w:val="21"/>
      <w:lang w:val="en-US" w:eastAsia="zh-CN" w:bidi="ar-SA"/>
    </w:rPr>
  </w:style>
  <w:style w:type="character" w:customStyle="1" w:styleId="143">
    <w:name w:val="普通文字 Char Char3"/>
    <w:qFormat/>
    <w:uiPriority w:val="0"/>
    <w:rPr>
      <w:rFonts w:ascii="宋体" w:hAnsi="Courier New" w:eastAsia="宋体" w:cs="Courier New"/>
      <w:kern w:val="2"/>
      <w:sz w:val="21"/>
      <w:szCs w:val="21"/>
      <w:lang w:val="en-US" w:eastAsia="zh-CN" w:bidi="ar-SA"/>
    </w:rPr>
  </w:style>
  <w:style w:type="character" w:customStyle="1" w:styleId="144">
    <w:name w:val="style21"/>
    <w:qFormat/>
    <w:uiPriority w:val="0"/>
    <w:rPr>
      <w:rFonts w:ascii="Times New Roman" w:hAnsi="Times New Roman" w:eastAsia="宋体" w:cs="Times New Roman"/>
      <w:sz w:val="17"/>
      <w:szCs w:val="17"/>
    </w:rPr>
  </w:style>
  <w:style w:type="character" w:customStyle="1" w:styleId="145">
    <w:name w:val="1ji Char"/>
    <w:link w:val="146"/>
    <w:qFormat/>
    <w:uiPriority w:val="0"/>
    <w:rPr>
      <w:rFonts w:ascii="宋体" w:hAnsi="宋体"/>
      <w:b/>
      <w:bCs/>
      <w:kern w:val="44"/>
      <w:sz w:val="36"/>
      <w:szCs w:val="44"/>
    </w:rPr>
  </w:style>
  <w:style w:type="paragraph" w:customStyle="1" w:styleId="146">
    <w:name w:val="1ji"/>
    <w:basedOn w:val="2"/>
    <w:link w:val="145"/>
    <w:qFormat/>
    <w:uiPriority w:val="0"/>
    <w:pPr>
      <w:keepLines w:val="0"/>
      <w:widowControl/>
      <w:spacing w:before="0" w:after="0" w:line="240" w:lineRule="auto"/>
      <w:jc w:val="center"/>
    </w:pPr>
    <w:rPr>
      <w:rFonts w:ascii="宋体" w:hAnsi="宋体"/>
      <w:sz w:val="36"/>
    </w:rPr>
  </w:style>
  <w:style w:type="character" w:customStyle="1" w:styleId="147">
    <w:name w:val="正文文本 Char1"/>
    <w:semiHidden/>
    <w:qFormat/>
    <w:locked/>
    <w:uiPriority w:val="99"/>
    <w:rPr>
      <w:sz w:val="24"/>
      <w:szCs w:val="24"/>
    </w:rPr>
  </w:style>
  <w:style w:type="character" w:customStyle="1" w:styleId="148">
    <w:name w:val="纯文本 Char2"/>
    <w:qFormat/>
    <w:uiPriority w:val="0"/>
    <w:rPr>
      <w:rFonts w:ascii="宋体" w:hAnsi="Courier New" w:eastAsia="宋体" w:cs="Courier New"/>
      <w:szCs w:val="21"/>
    </w:rPr>
  </w:style>
  <w:style w:type="character" w:customStyle="1" w:styleId="149">
    <w:name w:val="1051"/>
    <w:qFormat/>
    <w:uiPriority w:val="0"/>
    <w:rPr>
      <w:rFonts w:ascii="Times New Roman" w:hAnsi="Times New Roman" w:eastAsia="宋体" w:cs="Times New Roman"/>
      <w:sz w:val="21"/>
      <w:szCs w:val="21"/>
    </w:rPr>
  </w:style>
  <w:style w:type="character" w:customStyle="1" w:styleId="15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51">
    <w:name w:val="apple-converted-space"/>
    <w:qFormat/>
    <w:uiPriority w:val="0"/>
    <w:rPr>
      <w:rFonts w:ascii="Times New Roman" w:hAnsi="Times New Roman" w:eastAsia="宋体" w:cs="Times New Roman"/>
    </w:rPr>
  </w:style>
  <w:style w:type="character" w:customStyle="1" w:styleId="152">
    <w:name w:val="style11"/>
    <w:qFormat/>
    <w:uiPriority w:val="0"/>
    <w:rPr>
      <w:rFonts w:hint="default" w:ascii="Arial" w:hAnsi="Arial" w:eastAsia="宋体" w:cs="Arial"/>
    </w:rPr>
  </w:style>
  <w:style w:type="character" w:customStyle="1" w:styleId="153">
    <w:name w:val="headline-content4"/>
    <w:qFormat/>
    <w:uiPriority w:val="0"/>
  </w:style>
  <w:style w:type="character" w:customStyle="1" w:styleId="154">
    <w:name w:val="white"/>
    <w:qFormat/>
    <w:uiPriority w:val="0"/>
    <w:rPr>
      <w:rFonts w:ascii="Times New Roman" w:hAnsi="Times New Roman" w:eastAsia="宋体" w:cs="Times New Roman"/>
    </w:rPr>
  </w:style>
  <w:style w:type="character" w:customStyle="1" w:styleId="155">
    <w:name w:val="标题 1 Char"/>
    <w:qFormat/>
    <w:uiPriority w:val="0"/>
    <w:rPr>
      <w:rFonts w:ascii="Times New Roman" w:hAnsi="Times New Roman" w:eastAsia="宋体" w:cs="Times New Roman"/>
      <w:b/>
      <w:bCs/>
      <w:kern w:val="44"/>
      <w:sz w:val="44"/>
      <w:szCs w:val="44"/>
    </w:rPr>
  </w:style>
  <w:style w:type="character" w:customStyle="1" w:styleId="156">
    <w:name w:val="mark8"/>
    <w:qFormat/>
    <w:uiPriority w:val="0"/>
    <w:rPr>
      <w:rFonts w:ascii="Times New Roman" w:hAnsi="Times New Roman" w:eastAsia="宋体" w:cs="Times New Roman"/>
      <w:b/>
      <w:bCs/>
      <w:sz w:val="21"/>
      <w:szCs w:val="21"/>
    </w:rPr>
  </w:style>
  <w:style w:type="character" w:customStyle="1" w:styleId="157">
    <w:name w:val="font81"/>
    <w:qFormat/>
    <w:uiPriority w:val="0"/>
    <w:rPr>
      <w:rFonts w:ascii="微软雅黑" w:hAnsi="微软雅黑" w:eastAsia="微软雅黑" w:cs="微软雅黑"/>
      <w:color w:val="000000"/>
      <w:sz w:val="16"/>
      <w:szCs w:val="16"/>
      <w:u w:val="none"/>
    </w:rPr>
  </w:style>
  <w:style w:type="character" w:customStyle="1" w:styleId="158">
    <w:name w:val="text11"/>
    <w:qFormat/>
    <w:uiPriority w:val="0"/>
    <w:rPr>
      <w:rFonts w:hint="default" w:ascii="Verdana" w:hAnsi="Verdana" w:eastAsia="宋体" w:cs="Times New Roman"/>
      <w:color w:val="4E4E4E"/>
      <w:sz w:val="18"/>
      <w:szCs w:val="18"/>
    </w:rPr>
  </w:style>
  <w:style w:type="paragraph" w:customStyle="1" w:styleId="159">
    <w:name w:val="Char Char Char2"/>
    <w:basedOn w:val="1"/>
    <w:qFormat/>
    <w:uiPriority w:val="0"/>
    <w:rPr>
      <w:rFonts w:ascii="Tahoma" w:hAnsi="Tahoma"/>
      <w:sz w:val="24"/>
      <w:szCs w:val="20"/>
    </w:rPr>
  </w:style>
  <w:style w:type="paragraph" w:customStyle="1" w:styleId="160">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Cs w:val="21"/>
    </w:rPr>
  </w:style>
  <w:style w:type="paragraph" w:customStyle="1" w:styleId="161">
    <w:name w:val="新标题2"/>
    <w:basedOn w:val="1"/>
    <w:qFormat/>
    <w:uiPriority w:val="0"/>
    <w:pPr>
      <w:ind w:firstLine="630" w:firstLineChars="196"/>
    </w:pPr>
    <w:rPr>
      <w:rFonts w:ascii="楷体_GB2312" w:eastAsia="楷体_GB2312" w:cs="宋体"/>
      <w:b/>
      <w:bCs/>
      <w:sz w:val="32"/>
      <w:szCs w:val="20"/>
    </w:rPr>
  </w:style>
  <w:style w:type="paragraph" w:customStyle="1" w:styleId="162">
    <w:name w:val="Char Char Char Char Char Char Char Char Char Char Char Char Char1"/>
    <w:basedOn w:val="16"/>
    <w:qFormat/>
    <w:uiPriority w:val="0"/>
    <w:rPr>
      <w:rFonts w:hint="default" w:ascii="Tahoma" w:hAnsi="Tahoma"/>
      <w:kern w:val="2"/>
      <w:sz w:val="24"/>
      <w:szCs w:val="24"/>
      <w:lang w:val="zh-CN"/>
    </w:rPr>
  </w:style>
  <w:style w:type="paragraph" w:customStyle="1" w:styleId="163">
    <w:name w:val="默认段落字体 Para Char"/>
    <w:basedOn w:val="1"/>
    <w:qFormat/>
    <w:uiPriority w:val="0"/>
    <w:pPr>
      <w:adjustRightInd w:val="0"/>
      <w:spacing w:line="360" w:lineRule="auto"/>
    </w:pPr>
    <w:rPr>
      <w:kern w:val="0"/>
      <w:sz w:val="24"/>
      <w:szCs w:val="20"/>
    </w:rPr>
  </w:style>
  <w:style w:type="paragraph" w:customStyle="1" w:styleId="164">
    <w:name w:val="AS段落"/>
    <w:basedOn w:val="1"/>
    <w:qFormat/>
    <w:uiPriority w:val="0"/>
    <w:pPr>
      <w:adjustRightInd w:val="0"/>
      <w:spacing w:before="290" w:beforeLines="100" w:after="145" w:afterLines="50" w:line="312" w:lineRule="auto"/>
      <w:ind w:firstLine="480" w:firstLineChars="200"/>
      <w:contextualSpacing/>
      <w:textAlignment w:val="baseline"/>
    </w:pPr>
    <w:rPr>
      <w:rFonts w:cs="宋体"/>
    </w:rPr>
  </w:style>
  <w:style w:type="paragraph" w:customStyle="1" w:styleId="165">
    <w:name w:val="Char Char Char"/>
    <w:basedOn w:val="16"/>
    <w:qFormat/>
    <w:uiPriority w:val="0"/>
    <w:rPr>
      <w:rFonts w:hint="default" w:ascii="Tahoma" w:hAnsi="Tahoma"/>
      <w:kern w:val="2"/>
      <w:sz w:val="24"/>
      <w:szCs w:val="24"/>
      <w:lang w:val="zh-CN"/>
    </w:rPr>
  </w:style>
  <w:style w:type="paragraph" w:customStyle="1" w:styleId="166">
    <w:name w:val="Main_heading"/>
    <w:basedOn w:val="1"/>
    <w:next w:val="1"/>
    <w:qFormat/>
    <w:uiPriority w:val="0"/>
    <w:pPr>
      <w:widowControl/>
      <w:spacing w:before="240" w:after="240" w:line="240" w:lineRule="atLeast"/>
      <w:jc w:val="left"/>
    </w:pPr>
    <w:rPr>
      <w:rFonts w:eastAsia="MS Mincho"/>
      <w:b/>
      <w:kern w:val="0"/>
      <w:sz w:val="28"/>
      <w:szCs w:val="20"/>
      <w:lang w:eastAsia="ja-JP"/>
    </w:rPr>
  </w:style>
  <w:style w:type="paragraph" w:customStyle="1" w:styleId="167">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68">
    <w:name w:val="xl83"/>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169">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70">
    <w:name w:val="Char2"/>
    <w:basedOn w:val="1"/>
    <w:qFormat/>
    <w:uiPriority w:val="0"/>
    <w:pPr>
      <w:widowControl/>
      <w:spacing w:after="160" w:line="240" w:lineRule="exact"/>
      <w:jc w:val="left"/>
    </w:pPr>
    <w:rPr>
      <w:rFonts w:ascii="Verdana" w:hAnsi="Verdana"/>
      <w:kern w:val="0"/>
      <w:szCs w:val="20"/>
      <w:lang w:eastAsia="en-US"/>
    </w:rPr>
  </w:style>
  <w:style w:type="paragraph" w:customStyle="1" w:styleId="171">
    <w:name w:val="列出段落3"/>
    <w:basedOn w:val="1"/>
    <w:unhideWhenUsed/>
    <w:qFormat/>
    <w:uiPriority w:val="99"/>
    <w:pPr>
      <w:spacing w:line="480" w:lineRule="atLeast"/>
      <w:ind w:firstLine="420" w:firstLineChars="200"/>
    </w:pPr>
    <w:rPr>
      <w:sz w:val="24"/>
    </w:rPr>
  </w:style>
  <w:style w:type="paragraph" w:customStyle="1" w:styleId="172">
    <w:name w:val="Char Char Char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73">
    <w:name w:val="Char Char Char Char Char Char Char Char Char Char Char Char Char Char Char Char1"/>
    <w:basedOn w:val="1"/>
    <w:qFormat/>
    <w:uiPriority w:val="0"/>
    <w:pPr>
      <w:tabs>
        <w:tab w:val="left" w:pos="360"/>
      </w:tabs>
      <w:spacing w:line="360" w:lineRule="auto"/>
      <w:ind w:left="482" w:firstLine="200" w:firstLineChars="200"/>
    </w:pPr>
    <w:rPr>
      <w:rFonts w:ascii="宋体"/>
      <w:sz w:val="24"/>
    </w:rPr>
  </w:style>
  <w:style w:type="paragraph" w:customStyle="1" w:styleId="17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Char Char1 Char"/>
    <w:basedOn w:val="1"/>
    <w:qFormat/>
    <w:uiPriority w:val="0"/>
    <w:rPr>
      <w:rFonts w:ascii="Tahoma" w:hAnsi="Tahoma"/>
      <w:snapToGrid w:val="0"/>
      <w:sz w:val="24"/>
      <w:szCs w:val="20"/>
    </w:rPr>
  </w:style>
  <w:style w:type="paragraph" w:customStyle="1" w:styleId="176">
    <w:name w:val="xl7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77">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78">
    <w:name w:val="xl79"/>
    <w:basedOn w:val="1"/>
    <w:qFormat/>
    <w:uiPriority w:val="0"/>
    <w:pPr>
      <w:widowControl/>
      <w:pBdr>
        <w:bottom w:val="single" w:color="auto" w:sz="8" w:space="0"/>
        <w:right w:val="single" w:color="auto" w:sz="8" w:space="0"/>
      </w:pBdr>
      <w:spacing w:before="100" w:beforeAutospacing="1" w:after="100" w:afterAutospacing="1"/>
    </w:pPr>
    <w:rPr>
      <w:rFonts w:ascii="宋体" w:hAnsi="宋体" w:cs="宋体"/>
      <w:color w:val="000000"/>
      <w:kern w:val="0"/>
      <w:szCs w:val="21"/>
    </w:rPr>
  </w:style>
  <w:style w:type="paragraph" w:customStyle="1" w:styleId="179">
    <w:name w:val="Char1"/>
    <w:basedOn w:val="1"/>
    <w:qFormat/>
    <w:uiPriority w:val="0"/>
    <w:rPr>
      <w:szCs w:val="21"/>
    </w:rPr>
  </w:style>
  <w:style w:type="paragraph" w:customStyle="1" w:styleId="180">
    <w:name w:val="font6"/>
    <w:basedOn w:val="1"/>
    <w:qFormat/>
    <w:uiPriority w:val="0"/>
    <w:pPr>
      <w:widowControl/>
      <w:spacing w:before="100" w:beforeAutospacing="1" w:after="100" w:afterAutospacing="1"/>
      <w:jc w:val="left"/>
    </w:pPr>
    <w:rPr>
      <w:color w:val="000000"/>
      <w:kern w:val="0"/>
      <w:szCs w:val="21"/>
    </w:rPr>
  </w:style>
  <w:style w:type="paragraph" w:customStyle="1" w:styleId="181">
    <w:name w:val="Char1 Char Char Char Char Char Char1"/>
    <w:basedOn w:val="1"/>
    <w:qFormat/>
    <w:uiPriority w:val="0"/>
    <w:rPr>
      <w:rFonts w:ascii="Tahoma" w:hAnsi="Tahoma"/>
      <w:sz w:val="24"/>
      <w:szCs w:val="20"/>
    </w:rPr>
  </w:style>
  <w:style w:type="paragraph" w:customStyle="1" w:styleId="182">
    <w:name w:val="Char Char Char Char Char Char Char Char Char Char Char Char Char"/>
    <w:basedOn w:val="16"/>
    <w:qFormat/>
    <w:uiPriority w:val="0"/>
    <w:rPr>
      <w:rFonts w:hint="default" w:ascii="Tahoma" w:hAnsi="Tahoma"/>
      <w:kern w:val="2"/>
      <w:sz w:val="24"/>
      <w:szCs w:val="24"/>
      <w:lang w:val="zh-CN"/>
    </w:rPr>
  </w:style>
  <w:style w:type="paragraph" w:customStyle="1" w:styleId="183">
    <w:name w:val="a9"/>
    <w:basedOn w:val="1"/>
    <w:qFormat/>
    <w:uiPriority w:val="0"/>
    <w:pPr>
      <w:widowControl/>
      <w:spacing w:before="100" w:beforeAutospacing="1" w:after="100" w:afterAutospacing="1"/>
      <w:jc w:val="left"/>
    </w:pPr>
    <w:rPr>
      <w:rFonts w:ascii="宋体" w:hAnsi="宋体" w:cs="宋体"/>
      <w:kern w:val="0"/>
      <w:sz w:val="24"/>
    </w:rPr>
  </w:style>
  <w:style w:type="paragraph" w:customStyle="1" w:styleId="184">
    <w:name w:val="xl7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85">
    <w:name w:val="Char Char Char1"/>
    <w:basedOn w:val="16"/>
    <w:qFormat/>
    <w:uiPriority w:val="0"/>
    <w:rPr>
      <w:rFonts w:hint="default" w:ascii="Tahoma" w:hAnsi="Tahoma"/>
      <w:kern w:val="2"/>
      <w:sz w:val="24"/>
      <w:szCs w:val="24"/>
      <w:lang w:val="zh-CN"/>
    </w:rPr>
  </w:style>
  <w:style w:type="paragraph" w:customStyle="1" w:styleId="186">
    <w:name w:val="Char"/>
    <w:basedOn w:val="1"/>
    <w:qFormat/>
    <w:uiPriority w:val="0"/>
    <w:pPr>
      <w:tabs>
        <w:tab w:val="left" w:pos="360"/>
      </w:tabs>
      <w:ind w:left="252" w:hanging="252" w:hangingChars="140"/>
    </w:pPr>
    <w:rPr>
      <w:rFonts w:ascii="宋体"/>
      <w:sz w:val="18"/>
      <w:szCs w:val="18"/>
    </w:rPr>
  </w:style>
  <w:style w:type="paragraph" w:customStyle="1" w:styleId="187">
    <w:name w:val="Table Text"/>
    <w:basedOn w:val="1"/>
    <w:semiHidden/>
    <w:qFormat/>
    <w:uiPriority w:val="0"/>
    <w:rPr>
      <w:rFonts w:ascii="宋体" w:hAnsi="宋体" w:eastAsia="宋体" w:cs="宋体"/>
      <w:sz w:val="20"/>
      <w:szCs w:val="20"/>
      <w:lang w:val="en-US" w:eastAsia="en-US" w:bidi="ar-SA"/>
    </w:rPr>
  </w:style>
  <w:style w:type="paragraph" w:customStyle="1" w:styleId="188">
    <w:name w:val="缺省文本"/>
    <w:basedOn w:val="1"/>
    <w:qFormat/>
    <w:uiPriority w:val="0"/>
    <w:pPr>
      <w:autoSpaceDE w:val="0"/>
      <w:autoSpaceDN w:val="0"/>
      <w:adjustRightInd w:val="0"/>
      <w:spacing w:line="360" w:lineRule="auto"/>
      <w:jc w:val="left"/>
    </w:pPr>
    <w:rPr>
      <w:kern w:val="0"/>
      <w:sz w:val="24"/>
      <w:szCs w:val="20"/>
    </w:rPr>
  </w:style>
  <w:style w:type="paragraph" w:customStyle="1" w:styleId="189">
    <w:name w:val="正文段"/>
    <w:basedOn w:val="1"/>
    <w:qFormat/>
    <w:uiPriority w:val="0"/>
    <w:pPr>
      <w:widowControl/>
      <w:snapToGrid w:val="0"/>
      <w:spacing w:after="50" w:afterLines="50"/>
      <w:ind w:firstLine="200" w:firstLineChars="200"/>
    </w:pPr>
    <w:rPr>
      <w:kern w:val="0"/>
      <w:sz w:val="24"/>
      <w:szCs w:val="20"/>
    </w:rPr>
  </w:style>
  <w:style w:type="paragraph" w:customStyle="1" w:styleId="190">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默认段落字体 Para Char Char Char Char Char Char Char Char Char1 Char Char Char Char"/>
    <w:basedOn w:val="1"/>
    <w:qFormat/>
    <w:uiPriority w:val="0"/>
    <w:rPr>
      <w:rFonts w:ascii="Tahoma" w:hAnsi="Tahoma"/>
      <w:sz w:val="24"/>
      <w:szCs w:val="20"/>
    </w:rPr>
  </w:style>
  <w:style w:type="paragraph" w:customStyle="1" w:styleId="192">
    <w:name w:val="tgt1"/>
    <w:basedOn w:val="1"/>
    <w:qFormat/>
    <w:uiPriority w:val="0"/>
    <w:pPr>
      <w:widowControl/>
      <w:spacing w:after="150"/>
      <w:jc w:val="left"/>
    </w:pPr>
    <w:rPr>
      <w:rFonts w:ascii="宋体" w:hAnsi="宋体" w:cs="宋体"/>
      <w:kern w:val="0"/>
      <w:sz w:val="24"/>
    </w:rPr>
  </w:style>
  <w:style w:type="paragraph" w:customStyle="1" w:styleId="193">
    <w:name w:val="444"/>
    <w:basedOn w:val="1"/>
    <w:qFormat/>
    <w:uiPriority w:val="0"/>
    <w:pPr>
      <w:adjustRightInd w:val="0"/>
      <w:spacing w:line="312" w:lineRule="atLeast"/>
      <w:jc w:val="center"/>
      <w:textAlignment w:val="baseline"/>
    </w:pPr>
    <w:rPr>
      <w:b/>
      <w:kern w:val="0"/>
      <w:sz w:val="36"/>
      <w:szCs w:val="36"/>
    </w:rPr>
  </w:style>
  <w:style w:type="paragraph" w:customStyle="1" w:styleId="194">
    <w:name w:val="xl87"/>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195">
    <w:name w:val="style89"/>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6">
    <w:name w:val="表格"/>
    <w:basedOn w:val="1"/>
    <w:qFormat/>
    <w:uiPriority w:val="0"/>
    <w:pPr>
      <w:spacing w:line="400" w:lineRule="exact"/>
    </w:pPr>
    <w:rPr>
      <w:sz w:val="24"/>
    </w:rPr>
  </w:style>
  <w:style w:type="paragraph" w:customStyle="1" w:styleId="197">
    <w:name w:val="Char Char Char Char Char Char1 Char2"/>
    <w:basedOn w:val="16"/>
    <w:qFormat/>
    <w:uiPriority w:val="0"/>
    <w:rPr>
      <w:rFonts w:hint="default" w:ascii="Tahoma" w:hAnsi="Tahoma"/>
      <w:kern w:val="2"/>
      <w:sz w:val="24"/>
      <w:szCs w:val="24"/>
      <w:lang w:val="zh-CN"/>
    </w:rPr>
  </w:style>
  <w:style w:type="paragraph" w:customStyle="1" w:styleId="198">
    <w:name w:val="xl75"/>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Cs w:val="21"/>
    </w:rPr>
  </w:style>
  <w:style w:type="paragraph" w:customStyle="1" w:styleId="199">
    <w:name w:val="Char1 Char Char Char Char Char Char"/>
    <w:basedOn w:val="1"/>
    <w:qFormat/>
    <w:uiPriority w:val="0"/>
    <w:rPr>
      <w:rFonts w:ascii="Tahoma" w:hAnsi="Tahoma"/>
      <w:sz w:val="24"/>
      <w:szCs w:val="20"/>
    </w:rPr>
  </w:style>
  <w:style w:type="paragraph" w:customStyle="1" w:styleId="200">
    <w:name w:val="xl2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201">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02">
    <w:name w:val="1"/>
    <w:basedOn w:val="1"/>
    <w:next w:val="26"/>
    <w:qFormat/>
    <w:uiPriority w:val="0"/>
    <w:rPr>
      <w:rFonts w:ascii="宋体" w:hAnsi="Courier New"/>
      <w:szCs w:val="20"/>
    </w:rPr>
  </w:style>
  <w:style w:type="paragraph" w:customStyle="1" w:styleId="203">
    <w:name w:val="Char21"/>
    <w:basedOn w:val="1"/>
    <w:qFormat/>
    <w:uiPriority w:val="0"/>
    <w:pPr>
      <w:widowControl/>
      <w:spacing w:after="160" w:line="240" w:lineRule="exact"/>
      <w:jc w:val="left"/>
    </w:pPr>
    <w:rPr>
      <w:rFonts w:ascii="Verdana" w:hAnsi="Verdana"/>
      <w:kern w:val="0"/>
      <w:szCs w:val="20"/>
      <w:lang w:eastAsia="en-US"/>
    </w:rPr>
  </w:style>
  <w:style w:type="paragraph" w:customStyle="1" w:styleId="204">
    <w:name w:val="样式 首行缩进:  2 字符"/>
    <w:basedOn w:val="1"/>
    <w:qFormat/>
    <w:uiPriority w:val="0"/>
    <w:pPr>
      <w:spacing w:line="400" w:lineRule="exact"/>
      <w:ind w:firstLine="200" w:firstLineChars="200"/>
    </w:pPr>
    <w:rPr>
      <w:rFonts w:cs="宋体"/>
      <w:sz w:val="24"/>
    </w:rPr>
  </w:style>
  <w:style w:type="paragraph" w:customStyle="1" w:styleId="205">
    <w:name w:val="Plain Text"/>
    <w:basedOn w:val="1"/>
    <w:qFormat/>
    <w:uiPriority w:val="0"/>
    <w:rPr>
      <w:rFonts w:ascii="宋体" w:hAnsi="Courier New" w:cs="Century"/>
      <w:szCs w:val="21"/>
    </w:rPr>
  </w:style>
  <w:style w:type="paragraph" w:customStyle="1" w:styleId="206">
    <w:name w:val="Char3"/>
    <w:basedOn w:val="1"/>
    <w:qFormat/>
    <w:uiPriority w:val="0"/>
    <w:pPr>
      <w:tabs>
        <w:tab w:val="left" w:pos="360"/>
      </w:tabs>
      <w:ind w:left="252" w:hanging="252" w:hangingChars="140"/>
    </w:pPr>
    <w:rPr>
      <w:rFonts w:ascii="宋体"/>
      <w:sz w:val="18"/>
      <w:szCs w:val="18"/>
    </w:rPr>
  </w:style>
  <w:style w:type="paragraph" w:customStyle="1" w:styleId="207">
    <w:name w:val="xl8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08">
    <w:name w:val="xl81"/>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209">
    <w:name w:val="xl7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Cs w:val="21"/>
    </w:rPr>
  </w:style>
  <w:style w:type="paragraph" w:customStyle="1" w:styleId="210">
    <w:name w:val="修订1"/>
    <w:qFormat/>
    <w:uiPriority w:val="0"/>
    <w:rPr>
      <w:rFonts w:ascii="Times New Roman" w:hAnsi="Times New Roman" w:eastAsia="宋体" w:cs="Times New Roman"/>
      <w:kern w:val="2"/>
      <w:sz w:val="21"/>
      <w:szCs w:val="24"/>
      <w:lang w:val="en-US" w:eastAsia="zh-CN" w:bidi="ar-SA"/>
    </w:rPr>
  </w:style>
  <w:style w:type="paragraph" w:customStyle="1" w:styleId="21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212">
    <w:name w:val="2-2ji"/>
    <w:basedOn w:val="3"/>
    <w:qFormat/>
    <w:uiPriority w:val="0"/>
    <w:pPr>
      <w:adjustRightInd w:val="0"/>
      <w:spacing w:before="0" w:after="0" w:line="360" w:lineRule="auto"/>
      <w:jc w:val="center"/>
      <w:textAlignment w:val="baseline"/>
    </w:pPr>
    <w:rPr>
      <w:rFonts w:ascii="宋体" w:hAnsi="宋体" w:eastAsia="宋体"/>
      <w:bCs w:val="0"/>
      <w:sz w:val="36"/>
    </w:rPr>
  </w:style>
  <w:style w:type="paragraph" w:customStyle="1" w:styleId="213">
    <w:name w:val="Char Char1 Char1"/>
    <w:basedOn w:val="1"/>
    <w:qFormat/>
    <w:uiPriority w:val="0"/>
    <w:pPr>
      <w:snapToGrid w:val="0"/>
    </w:pPr>
    <w:rPr>
      <w:rFonts w:ascii="Tahoma" w:hAnsi="Tahoma"/>
      <w:sz w:val="24"/>
      <w:szCs w:val="20"/>
    </w:rPr>
  </w:style>
  <w:style w:type="paragraph" w:customStyle="1" w:styleId="214">
    <w:name w:val="xl82"/>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2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6">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17">
    <w:name w:val="xl71"/>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b/>
      <w:bCs/>
      <w:color w:val="000000"/>
      <w:kern w:val="0"/>
      <w:szCs w:val="21"/>
    </w:rPr>
  </w:style>
  <w:style w:type="paragraph" w:customStyle="1" w:styleId="21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219">
    <w:name w:val="表格中内容"/>
    <w:basedOn w:val="1"/>
    <w:qFormat/>
    <w:uiPriority w:val="0"/>
    <w:pPr>
      <w:spacing w:line="400" w:lineRule="exact"/>
      <w:jc w:val="center"/>
    </w:pPr>
    <w:rPr>
      <w:rFonts w:ascii="Arial" w:hAnsi="Arial" w:cs="宋体"/>
      <w:kern w:val="0"/>
      <w:sz w:val="24"/>
      <w:szCs w:val="20"/>
    </w:rPr>
  </w:style>
  <w:style w:type="paragraph" w:customStyle="1" w:styleId="220">
    <w:name w:val="表 正文 王"/>
    <w:basedOn w:val="1"/>
    <w:qFormat/>
    <w:uiPriority w:val="0"/>
    <w:pPr>
      <w:spacing w:line="300" w:lineRule="auto"/>
    </w:pPr>
    <w:rPr>
      <w:rFonts w:hAnsi="宋体"/>
      <w:kern w:val="0"/>
      <w:sz w:val="20"/>
      <w:szCs w:val="21"/>
    </w:rPr>
  </w:style>
  <w:style w:type="paragraph" w:customStyle="1" w:styleId="22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kern w:val="0"/>
      <w:szCs w:val="21"/>
    </w:rPr>
  </w:style>
  <w:style w:type="paragraph" w:customStyle="1" w:styleId="222">
    <w:name w:val="样式 (西文) 宋体 (中文) 仿宋 四号 黑色 首行缩进:  2 字符"/>
    <w:basedOn w:val="1"/>
    <w:qFormat/>
    <w:uiPriority w:val="0"/>
    <w:rPr>
      <w:rFonts w:ascii="宋体" w:hAnsi="宋体" w:cs="宋体"/>
      <w:color w:val="000000"/>
      <w:kern w:val="0"/>
      <w:szCs w:val="20"/>
    </w:rPr>
  </w:style>
  <w:style w:type="paragraph" w:customStyle="1" w:styleId="223">
    <w:name w:val="五号正文（标准）"/>
    <w:basedOn w:val="1"/>
    <w:qFormat/>
    <w:uiPriority w:val="0"/>
    <w:pPr>
      <w:spacing w:line="360" w:lineRule="auto"/>
      <w:ind w:right="55" w:firstLine="560" w:firstLineChars="200"/>
    </w:pPr>
    <w:rPr>
      <w:rFonts w:eastAsia="仿宋_GB2312"/>
      <w:sz w:val="28"/>
      <w:szCs w:val="20"/>
    </w:rPr>
  </w:style>
  <w:style w:type="paragraph" w:customStyle="1" w:styleId="2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225">
    <w:name w:val="列出段落2"/>
    <w:basedOn w:val="1"/>
    <w:unhideWhenUsed/>
    <w:qFormat/>
    <w:uiPriority w:val="99"/>
    <w:pPr>
      <w:spacing w:line="480" w:lineRule="atLeast"/>
      <w:ind w:firstLine="420" w:firstLineChars="200"/>
    </w:pPr>
    <w:rPr>
      <w:sz w:val="24"/>
    </w:rPr>
  </w:style>
  <w:style w:type="paragraph" w:customStyle="1" w:styleId="226">
    <w:name w:val="2ji"/>
    <w:basedOn w:val="3"/>
    <w:qFormat/>
    <w:uiPriority w:val="0"/>
    <w:pPr>
      <w:adjustRightInd w:val="0"/>
      <w:spacing w:before="0" w:after="0" w:line="360" w:lineRule="auto"/>
      <w:textAlignment w:val="baseline"/>
    </w:pPr>
    <w:rPr>
      <w:rFonts w:ascii="宋体" w:hAnsi="宋体" w:eastAsia="宋体"/>
      <w:sz w:val="21"/>
      <w:szCs w:val="21"/>
    </w:rPr>
  </w:style>
  <w:style w:type="paragraph" w:customStyle="1" w:styleId="227">
    <w:name w:val="样式 样式 (西文) 宋体 (中文) 仿宋 四号 黑色 首行缩进:  2 字符 + 首行缩进:  2 字符"/>
    <w:basedOn w:val="222"/>
    <w:qFormat/>
    <w:uiPriority w:val="0"/>
    <w:pPr>
      <w:ind w:firstLine="560"/>
    </w:pPr>
    <w:rPr>
      <w:rFonts w:ascii="Times New Roman" w:hAnsi="Times New Roman"/>
    </w:rPr>
  </w:style>
  <w:style w:type="paragraph" w:customStyle="1" w:styleId="22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29">
    <w:name w:val="Char Char Char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30">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231">
    <w:name w:val="xl88"/>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b/>
      <w:bCs/>
      <w:color w:val="000000"/>
      <w:kern w:val="0"/>
      <w:szCs w:val="21"/>
    </w:rPr>
  </w:style>
  <w:style w:type="paragraph" w:customStyle="1" w:styleId="232">
    <w:name w:val="xl80"/>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233">
    <w:name w:val="厅正文"/>
    <w:basedOn w:val="1"/>
    <w:next w:val="1"/>
    <w:qFormat/>
    <w:uiPriority w:val="0"/>
    <w:pPr>
      <w:overflowPunct w:val="0"/>
      <w:topLinePunct/>
      <w:snapToGrid w:val="0"/>
      <w:spacing w:before="50" w:beforeLines="50" w:after="50" w:afterLines="50"/>
      <w:ind w:firstLine="200" w:firstLineChars="200"/>
      <w:contextualSpacing/>
    </w:pPr>
    <w:rPr>
      <w:rFonts w:ascii="仿宋_GB2312" w:hAnsi="仿宋" w:cs="Times New Roman"/>
      <w:kern w:val="0"/>
      <w:szCs w:val="24"/>
    </w:rPr>
  </w:style>
  <w:style w:type="paragraph" w:customStyle="1" w:styleId="23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5">
    <w:name w:val="Char Char Char Char Char Char Char"/>
    <w:basedOn w:val="1"/>
    <w:qFormat/>
    <w:uiPriority w:val="0"/>
  </w:style>
  <w:style w:type="paragraph" w:customStyle="1" w:styleId="236">
    <w:name w:val="_Style 10"/>
    <w:basedOn w:val="1"/>
    <w:qFormat/>
    <w:uiPriority w:val="0"/>
  </w:style>
  <w:style w:type="paragraph" w:customStyle="1" w:styleId="237">
    <w:name w:val="列出段落1"/>
    <w:qFormat/>
    <w:uiPriority w:val="0"/>
    <w:pPr>
      <w:ind w:firstLine="200" w:firstLineChars="200"/>
    </w:pPr>
    <w:rPr>
      <w:rFonts w:ascii="Calibri" w:hAnsi="Calibri" w:eastAsia="宋体" w:cs="Times New Roman"/>
      <w:kern w:val="2"/>
      <w:sz w:val="21"/>
      <w:szCs w:val="22"/>
      <w:lang w:val="en-US" w:eastAsia="zh-CN" w:bidi="ar-SA"/>
    </w:rPr>
  </w:style>
  <w:style w:type="paragraph" w:customStyle="1" w:styleId="238">
    <w:name w:val="_Style 237"/>
    <w:unhideWhenUsed/>
    <w:qFormat/>
    <w:uiPriority w:val="99"/>
    <w:rPr>
      <w:rFonts w:ascii="Times New Roman" w:hAnsi="Times New Roman" w:eastAsia="宋体" w:cs="Times New Roman"/>
      <w:kern w:val="2"/>
      <w:sz w:val="21"/>
      <w:szCs w:val="24"/>
      <w:lang w:val="en-US" w:eastAsia="zh-CN" w:bidi="ar-SA"/>
    </w:rPr>
  </w:style>
  <w:style w:type="paragraph" w:customStyle="1" w:styleId="239">
    <w:name w:val="正文首行缩进两字符"/>
    <w:basedOn w:val="1"/>
    <w:qFormat/>
    <w:uiPriority w:val="0"/>
    <w:pPr>
      <w:spacing w:line="360" w:lineRule="auto"/>
      <w:ind w:firstLine="200" w:firstLineChars="200"/>
    </w:pPr>
  </w:style>
  <w:style w:type="paragraph" w:customStyle="1" w:styleId="240">
    <w:name w:val="次小点说明 Char"/>
    <w:basedOn w:val="9"/>
    <w:qFormat/>
    <w:uiPriority w:val="0"/>
    <w:pPr>
      <w:ind w:firstLine="0"/>
    </w:pPr>
    <w:rPr>
      <w:sz w:val="24"/>
      <w:szCs w:val="24"/>
    </w:rPr>
  </w:style>
  <w:style w:type="paragraph" w:customStyle="1" w:styleId="241">
    <w:name w:val="正文(首行缩进)"/>
    <w:qFormat/>
    <w:uiPriority w:val="0"/>
    <w:pPr>
      <w:spacing w:line="360" w:lineRule="auto"/>
      <w:ind w:firstLine="200" w:firstLineChars="200"/>
      <w:jc w:val="both"/>
    </w:pPr>
    <w:rPr>
      <w:rFonts w:ascii="Times New Roman" w:hAnsi="Times New Roman" w:eastAsia="宋体" w:cs="Times New Roman"/>
      <w:spacing w:val="2"/>
      <w:kern w:val="24"/>
      <w:sz w:val="24"/>
      <w:lang w:val="en-US" w:eastAsia="zh-CN" w:bidi="ar-SA"/>
    </w:rPr>
  </w:style>
  <w:style w:type="paragraph" w:customStyle="1" w:styleId="242">
    <w:name w:val="xl31"/>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43">
    <w:name w:val="font5"/>
    <w:basedOn w:val="1"/>
    <w:qFormat/>
    <w:uiPriority w:val="0"/>
    <w:pPr>
      <w:widowControl/>
      <w:spacing w:before="100" w:beforeAutospacing="1" w:after="100" w:afterAutospacing="1"/>
      <w:jc w:val="left"/>
    </w:pPr>
    <w:rPr>
      <w:rFonts w:ascii="宋体" w:hAnsi="宋体" w:cs="宋体"/>
      <w:color w:val="000000"/>
      <w:kern w:val="0"/>
      <w:szCs w:val="21"/>
    </w:rPr>
  </w:style>
  <w:style w:type="paragraph" w:customStyle="1" w:styleId="244">
    <w:name w:val="新标题1"/>
    <w:basedOn w:val="1"/>
    <w:next w:val="34"/>
    <w:qFormat/>
    <w:uiPriority w:val="0"/>
    <w:pPr>
      <w:ind w:firstLine="640" w:firstLineChars="200"/>
    </w:pPr>
    <w:rPr>
      <w:rFonts w:ascii="黑体" w:hAnsi="黑体" w:eastAsia="黑体" w:cs="宋体"/>
      <w:sz w:val="32"/>
      <w:szCs w:val="20"/>
    </w:rPr>
  </w:style>
  <w:style w:type="paragraph" w:customStyle="1" w:styleId="245">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46">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7">
    <w:name w:val="列表段落11"/>
    <w:basedOn w:val="1"/>
    <w:qFormat/>
    <w:uiPriority w:val="34"/>
    <w:pPr>
      <w:ind w:firstLine="420" w:firstLineChars="200"/>
    </w:pPr>
    <w:rPr>
      <w:rFonts w:ascii="宋体" w:hAnsi="宋体" w:cs="Times New Roman"/>
      <w:color w:val="000000"/>
    </w:rPr>
  </w:style>
  <w:style w:type="paragraph" w:customStyle="1" w:styleId="248">
    <w:name w:val="方案正文"/>
    <w:basedOn w:val="1"/>
    <w:qFormat/>
    <w:uiPriority w:val="0"/>
    <w:pPr>
      <w:spacing w:before="156"/>
      <w:ind w:firstLine="359" w:firstLineChars="171"/>
    </w:pPr>
    <w:rPr>
      <w:rFonts w:cs="Times New Roman (正文 CS 字体)"/>
      <w:kern w:val="0"/>
      <w:szCs w:val="24"/>
    </w:rPr>
  </w:style>
  <w:style w:type="paragraph" w:customStyle="1" w:styleId="249">
    <w:name w:val="！正文顶格Alt+D"/>
    <w:basedOn w:val="1"/>
    <w:next w:val="1"/>
    <w:qFormat/>
    <w:uiPriority w:val="0"/>
    <w:pPr>
      <w:widowControl/>
      <w:ind w:right="100" w:rightChars="100" w:firstLine="200" w:firstLineChars="200"/>
      <w:jc w:val="left"/>
    </w:pPr>
    <w:rPr>
      <w:rFonts w:cs="Times New Roman"/>
      <w:snapToGrid/>
      <w:kern w:val="0"/>
    </w:rPr>
  </w:style>
  <w:style w:type="paragraph" w:customStyle="1" w:styleId="250">
    <w:name w:val="F2"/>
    <w:basedOn w:val="1"/>
    <w:qFormat/>
    <w:uiPriority w:val="0"/>
    <w:pPr>
      <w:autoSpaceDE w:val="0"/>
      <w:autoSpaceDN w:val="0"/>
      <w:adjustRightInd w:val="0"/>
      <w:ind w:firstLine="601"/>
      <w:textAlignment w:val="baseline"/>
    </w:pPr>
    <w:rPr>
      <w:kern w:val="0"/>
      <w:sz w:val="24"/>
      <w:szCs w:val="20"/>
    </w:rPr>
  </w:style>
  <w:style w:type="paragraph" w:customStyle="1" w:styleId="25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5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3">
    <w:name w:val="Char4"/>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254">
    <w:name w:val="表 数值 王"/>
    <w:basedOn w:val="1"/>
    <w:qFormat/>
    <w:uiPriority w:val="0"/>
    <w:pPr>
      <w:spacing w:line="288" w:lineRule="auto"/>
      <w:jc w:val="right"/>
    </w:pPr>
    <w:rPr>
      <w:rFonts w:hAnsi="宋体"/>
      <w:szCs w:val="21"/>
    </w:rPr>
  </w:style>
  <w:style w:type="paragraph" w:customStyle="1" w:styleId="255">
    <w:name w:val="xl85"/>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256">
    <w:name w:val="列出段落11"/>
    <w:basedOn w:val="1"/>
    <w:qFormat/>
    <w:uiPriority w:val="34"/>
    <w:pPr>
      <w:ind w:firstLine="420" w:firstLineChars="200"/>
    </w:pPr>
    <w:rPr>
      <w:rFonts w:ascii="Calibri" w:hAnsi="Calibri"/>
      <w:szCs w:val="22"/>
    </w:rPr>
  </w:style>
  <w:style w:type="paragraph" w:customStyle="1" w:styleId="257">
    <w:name w:val="Char Char1 Char Char Char Char"/>
    <w:basedOn w:val="16"/>
    <w:qFormat/>
    <w:uiPriority w:val="0"/>
    <w:rPr>
      <w:rFonts w:hint="default" w:ascii="Tahoma" w:hAnsi="Tahoma"/>
      <w:kern w:val="2"/>
      <w:sz w:val="24"/>
      <w:szCs w:val="24"/>
      <w:lang w:val="zh-CN"/>
    </w:rPr>
  </w:style>
  <w:style w:type="paragraph" w:customStyle="1" w:styleId="258">
    <w:name w:val="Char Char Char Char Char Char1 Char1"/>
    <w:basedOn w:val="16"/>
    <w:qFormat/>
    <w:uiPriority w:val="0"/>
    <w:rPr>
      <w:rFonts w:hint="default" w:ascii="Tahoma" w:hAnsi="Tahoma"/>
      <w:kern w:val="2"/>
      <w:sz w:val="24"/>
      <w:szCs w:val="24"/>
      <w:lang w:val="zh-CN"/>
    </w:rPr>
  </w:style>
  <w:style w:type="paragraph" w:customStyle="1" w:styleId="259">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26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61">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262">
    <w:name w:val="样式1"/>
    <w:basedOn w:val="1"/>
    <w:qFormat/>
    <w:uiPriority w:val="0"/>
    <w:pPr>
      <w:spacing w:before="120" w:after="120" w:line="300" w:lineRule="auto"/>
    </w:pPr>
    <w:rPr>
      <w:rFonts w:ascii="宋体" w:hAnsi="宋体"/>
      <w:b/>
      <w:sz w:val="24"/>
      <w:szCs w:val="20"/>
    </w:rPr>
  </w:style>
  <w:style w:type="paragraph" w:customStyle="1" w:styleId="263">
    <w:name w:val="表格文字"/>
    <w:basedOn w:val="1"/>
    <w:qFormat/>
    <w:uiPriority w:val="0"/>
    <w:pPr>
      <w:jc w:val="left"/>
    </w:pPr>
    <w:rPr>
      <w:rFonts w:ascii="Calibri" w:hAnsi="Calibri"/>
      <w:bCs/>
      <w:spacing w:val="10"/>
      <w:kern w:val="0"/>
      <w:sz w:val="24"/>
    </w:rPr>
  </w:style>
  <w:style w:type="paragraph" w:customStyle="1" w:styleId="264">
    <w:name w:val="_Style 2"/>
    <w:basedOn w:val="1"/>
    <w:qFormat/>
    <w:uiPriority w:val="34"/>
    <w:pPr>
      <w:ind w:firstLine="420" w:firstLineChars="200"/>
    </w:pPr>
    <w:rPr>
      <w:szCs w:val="20"/>
    </w:rPr>
  </w:style>
  <w:style w:type="paragraph" w:customStyle="1" w:styleId="265">
    <w:name w:val="Char1 Char Char Char"/>
    <w:basedOn w:val="1"/>
    <w:qFormat/>
    <w:uiPriority w:val="0"/>
    <w:rPr>
      <w:rFonts w:ascii="Tahoma" w:hAnsi="Tahoma"/>
      <w:sz w:val="24"/>
      <w:szCs w:val="20"/>
    </w:rPr>
  </w:style>
  <w:style w:type="paragraph" w:customStyle="1" w:styleId="2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267">
    <w:name w:val="xl89"/>
    <w:basedOn w:val="1"/>
    <w:qFormat/>
    <w:uiPriority w:val="0"/>
    <w:pPr>
      <w:widowControl/>
      <w:pBdr>
        <w:top w:val="single" w:color="auto" w:sz="8" w:space="0"/>
        <w:bottom w:val="single" w:color="auto" w:sz="8" w:space="0"/>
        <w:right w:val="single" w:color="auto" w:sz="8" w:space="0"/>
      </w:pBdr>
      <w:spacing w:before="100" w:beforeAutospacing="1" w:after="100" w:afterAutospacing="1"/>
    </w:pPr>
    <w:rPr>
      <w:rFonts w:ascii="宋体" w:hAnsi="宋体" w:cs="宋体"/>
      <w:b/>
      <w:bCs/>
      <w:color w:val="000000"/>
      <w:kern w:val="0"/>
      <w:szCs w:val="21"/>
    </w:rPr>
  </w:style>
  <w:style w:type="paragraph" w:customStyle="1" w:styleId="268">
    <w:name w:val="xl70"/>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00"/>
      <w:kern w:val="0"/>
      <w:szCs w:val="21"/>
    </w:rPr>
  </w:style>
  <w:style w:type="paragraph" w:customStyle="1" w:styleId="269">
    <w:name w:val="xl84"/>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paragraph" w:customStyle="1" w:styleId="270">
    <w:name w:val="xl72"/>
    <w:basedOn w:val="1"/>
    <w:qFormat/>
    <w:uiPriority w:val="0"/>
    <w:pPr>
      <w:widowControl/>
      <w:pBdr>
        <w:top w:val="single" w:color="auto" w:sz="8" w:space="0"/>
        <w:bottom w:val="single" w:color="auto" w:sz="8" w:space="0"/>
        <w:right w:val="single" w:color="auto" w:sz="8" w:space="0"/>
      </w:pBdr>
      <w:spacing w:before="100" w:beforeAutospacing="1" w:after="100" w:afterAutospacing="1"/>
    </w:pPr>
    <w:rPr>
      <w:rFonts w:ascii="宋体" w:hAnsi="宋体" w:cs="宋体"/>
      <w:b/>
      <w:bCs/>
      <w:color w:val="000000"/>
      <w:kern w:val="0"/>
      <w:szCs w:val="21"/>
    </w:rPr>
  </w:style>
  <w:style w:type="paragraph" w:customStyle="1" w:styleId="271">
    <w:name w:val="xl78"/>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color w:val="000000"/>
      <w:kern w:val="0"/>
      <w:szCs w:val="21"/>
    </w:rPr>
  </w:style>
  <w:style w:type="table" w:customStyle="1" w:styleId="272">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table" w:customStyle="1" w:styleId="273">
    <w:name w:val="网格型1"/>
    <w:basedOn w:val="5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180</Pages>
  <Words>6113</Words>
  <Characters>6875</Characters>
  <Lines>855</Lines>
  <Paragraphs>240</Paragraphs>
  <TotalTime>67</TotalTime>
  <ScaleCrop>false</ScaleCrop>
  <LinksUpToDate>false</LinksUpToDate>
  <CharactersWithSpaces>6985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2022-05-19T00:50:00Z</dcterms:created>
  <dc:creator>广西国泰招标</dc:creator>
  <cp:lastModifiedBy>炎炎</cp:lastModifiedBy>
  <cp:lastPrinted>2025-12-09T02:47:00Z</cp:lastPrinted>
  <dcterms:modified xsi:type="dcterms:W3CDTF">2025-12-09T06:49:51Z</dcterms:modified>
  <dc:title>公开招标采购文件范本</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EEF6EC2DFAF14C399816F73A50C6928C_13</vt:lpwstr>
  </property>
  <property fmtid="{D5CDD505-2E9C-101B-9397-08002B2CF9AE}" pid="4" name="KSOTemplateDocerSaveRecord">
    <vt:lpwstr>eyJoZGlkIjoiNGNiZDA4NjliYjNjYzhkYWVmNWI4ZjZmMTA4ZjliYmYiLCJ1c2VySWQiOiIxMTY2MzcwOTA2In0=</vt:lpwstr>
  </property>
</Properties>
</file>