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C11A0">
      <w:pPr>
        <w:jc w:val="left"/>
        <w:rPr>
          <w:rFonts w:hint="eastAsia" w:ascii="宋体" w:hAnsi="宋体" w:eastAsia="宋体" w:cs="宋体"/>
          <w:color w:val="auto"/>
          <w:highlight w:val="none"/>
          <w:lang w:eastAsia="zh-CN"/>
        </w:rPr>
      </w:pPr>
    </w:p>
    <w:p w14:paraId="2D7255A0">
      <w:pPr>
        <w:jc w:val="center"/>
        <w:rPr>
          <w:rFonts w:hint="eastAsia" w:ascii="宋体" w:hAnsi="宋体" w:eastAsia="宋体" w:cs="宋体"/>
          <w:b/>
          <w:bCs/>
          <w:color w:val="auto"/>
          <w:sz w:val="52"/>
          <w:highlight w:val="none"/>
        </w:rPr>
      </w:pPr>
      <w:r>
        <w:rPr>
          <w:rFonts w:hint="eastAsia" w:ascii="宋体" w:hAnsi="宋体" w:eastAsia="宋体" w:cs="宋体"/>
          <w:color w:val="auto"/>
          <w:highlight w:val="none"/>
        </w:rPr>
        <w:drawing>
          <wp:inline distT="0" distB="0" distL="114300" distR="114300">
            <wp:extent cx="546100" cy="546100"/>
            <wp:effectExtent l="0" t="0" r="6350" b="6350"/>
            <wp:docPr id="2" name="图片 1"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38238BB99A253FEB9BED4DA40F32CE"/>
                    <pic:cNvPicPr>
                      <a:picLocks noChangeAspect="1"/>
                    </pic:cNvPicPr>
                  </pic:nvPicPr>
                  <pic:blipFill>
                    <a:blip r:embed="rId24"/>
                    <a:stretch>
                      <a:fillRect/>
                    </a:stretch>
                  </pic:blipFill>
                  <pic:spPr>
                    <a:xfrm>
                      <a:off x="0" y="0"/>
                      <a:ext cx="546100" cy="546100"/>
                    </a:xfrm>
                    <a:prstGeom prst="rect">
                      <a:avLst/>
                    </a:prstGeom>
                    <a:noFill/>
                    <a:ln>
                      <a:noFill/>
                    </a:ln>
                  </pic:spPr>
                </pic:pic>
              </a:graphicData>
            </a:graphic>
          </wp:inline>
        </w:drawing>
      </w:r>
    </w:p>
    <w:p w14:paraId="2D2003F5">
      <w:pPr>
        <w:ind w:firstLine="964"/>
        <w:jc w:val="center"/>
        <w:rPr>
          <w:rFonts w:hint="eastAsia" w:ascii="宋体" w:hAnsi="宋体" w:eastAsia="宋体" w:cs="宋体"/>
          <w:b/>
          <w:bCs/>
          <w:color w:val="auto"/>
          <w:sz w:val="48"/>
          <w:szCs w:val="48"/>
          <w:highlight w:val="none"/>
        </w:rPr>
      </w:pPr>
    </w:p>
    <w:p w14:paraId="24E111D2">
      <w:pPr>
        <w:ind w:firstLine="198" w:firstLineChars="41"/>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广西中信恒泰工程顾问有限公司</w:t>
      </w:r>
    </w:p>
    <w:p w14:paraId="57CE17BF">
      <w:pPr>
        <w:ind w:firstLine="199" w:firstLineChars="66"/>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 xml:space="preserve">Guangxi Zhongxinhengtai </w:t>
      </w:r>
      <w:r>
        <w:rPr>
          <w:rFonts w:hint="eastAsia" w:ascii="宋体" w:hAnsi="宋体" w:eastAsia="宋体" w:cs="宋体"/>
          <w:b/>
          <w:caps/>
          <w:color w:val="auto"/>
          <w:sz w:val="30"/>
          <w:szCs w:val="30"/>
          <w:highlight w:val="none"/>
        </w:rPr>
        <w:t>e</w:t>
      </w:r>
      <w:r>
        <w:rPr>
          <w:rFonts w:hint="eastAsia" w:ascii="宋体" w:hAnsi="宋体" w:eastAsia="宋体" w:cs="宋体"/>
          <w:b/>
          <w:color w:val="auto"/>
          <w:sz w:val="30"/>
          <w:szCs w:val="30"/>
          <w:highlight w:val="none"/>
        </w:rPr>
        <w:t xml:space="preserve">ngineering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onsulting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 </w:t>
      </w:r>
      <w:r>
        <w:rPr>
          <w:rFonts w:hint="eastAsia" w:ascii="宋体" w:hAnsi="宋体" w:eastAsia="宋体" w:cs="宋体"/>
          <w:b/>
          <w:caps/>
          <w:color w:val="auto"/>
          <w:sz w:val="30"/>
          <w:szCs w:val="30"/>
          <w:highlight w:val="none"/>
        </w:rPr>
        <w:t>l</w:t>
      </w:r>
      <w:r>
        <w:rPr>
          <w:rFonts w:hint="eastAsia" w:ascii="宋体" w:hAnsi="宋体" w:eastAsia="宋体" w:cs="宋体"/>
          <w:b/>
          <w:color w:val="auto"/>
          <w:sz w:val="30"/>
          <w:szCs w:val="30"/>
          <w:highlight w:val="none"/>
        </w:rPr>
        <w:t>td</w:t>
      </w:r>
    </w:p>
    <w:p w14:paraId="0B4979AA">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5944235" cy="8255"/>
                <wp:effectExtent l="0" t="0" r="0" b="0"/>
                <wp:wrapNone/>
                <wp:docPr id="1"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8pt;margin-top:6.1pt;height:0.65pt;width:468.05pt;z-index:251659264;mso-width-relative:page;mso-height-relative:page;" filled="f" stroked="t" coordsize="21600,21600" o:gfxdata="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46DrrXAAAACAEAAA8AAAAAAAAAAQAgAAAAIgAAAGRycy9kb3ducmV2LnhtbFBLAQIUABQA&#10;AAAIAIdO4kDeaa0R8QEAAOkDAAAOAAAAAAAAAAEAIAAAACYBAABkcnMvZTJvRG9jLnhtbFBLBQYA&#10;AAAABgAGAFkBAACJBQAAAAA=&#10;">
                <v:fill on="f" focussize="0,0"/>
                <v:stroke weight="2.25pt" color="#000000" joinstyle="round"/>
                <v:imagedata o:title=""/>
                <o:lock v:ext="edit" aspectratio="f"/>
              </v:line>
            </w:pict>
          </mc:Fallback>
        </mc:AlternateContent>
      </w:r>
      <w:r>
        <w:rPr>
          <w:rFonts w:hint="eastAsia" w:ascii="宋体" w:hAnsi="宋体" w:eastAsia="宋体" w:cs="宋体"/>
          <w:b/>
          <w:bCs/>
          <w:color w:val="auto"/>
          <w:sz w:val="10"/>
          <w:highlight w:val="none"/>
        </w:rPr>
        <w:t xml:space="preserve">                                                                                  </w:t>
      </w:r>
    </w:p>
    <w:p w14:paraId="006D65AC">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招标文件</w:t>
      </w:r>
    </w:p>
    <w:p w14:paraId="79EC79AB">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61705132">
      <w:pPr>
        <w:snapToGrid w:val="0"/>
        <w:spacing w:before="165" w:beforeLines="50" w:line="360" w:lineRule="auto"/>
        <w:rPr>
          <w:rFonts w:hint="eastAsia" w:ascii="宋体" w:hAnsi="宋体" w:eastAsia="宋体" w:cs="宋体"/>
          <w:color w:val="auto"/>
          <w:sz w:val="30"/>
          <w:szCs w:val="72"/>
          <w:highlight w:val="none"/>
        </w:rPr>
      </w:pPr>
    </w:p>
    <w:p w14:paraId="3C7F3CD2">
      <w:pPr>
        <w:snapToGrid w:val="0"/>
        <w:spacing w:before="165" w:beforeLines="50" w:line="360" w:lineRule="auto"/>
        <w:rPr>
          <w:rFonts w:hint="eastAsia" w:ascii="宋体" w:hAnsi="宋体" w:eastAsia="宋体" w:cs="宋体"/>
          <w:color w:val="auto"/>
          <w:sz w:val="30"/>
          <w:szCs w:val="72"/>
          <w:highlight w:val="none"/>
        </w:rPr>
      </w:pPr>
    </w:p>
    <w:p w14:paraId="73AFA6D6">
      <w:pPr>
        <w:keepNext w:val="0"/>
        <w:keepLines w:val="0"/>
        <w:pageBreakBefore w:val="0"/>
        <w:widowControl w:val="0"/>
        <w:kinsoku/>
        <w:wordWrap/>
        <w:overflowPunct/>
        <w:topLinePunct w:val="0"/>
        <w:autoSpaceDE/>
        <w:autoSpaceDN/>
        <w:bidi w:val="0"/>
        <w:adjustRightInd/>
        <w:snapToGrid w:val="0"/>
        <w:spacing w:line="700" w:lineRule="exact"/>
        <w:ind w:left="2702" w:leftChars="568" w:hanging="1509" w:hangingChars="501"/>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项目名称：2025—2026年度广西分散供养特困人员住院护理保险试点项目</w:t>
      </w:r>
    </w:p>
    <w:p w14:paraId="03770AAD">
      <w:pPr>
        <w:keepNext w:val="0"/>
        <w:keepLines w:val="0"/>
        <w:pageBreakBefore w:val="0"/>
        <w:widowControl w:val="0"/>
        <w:kinsoku/>
        <w:wordWrap/>
        <w:overflowPunct/>
        <w:topLinePunct w:val="0"/>
        <w:autoSpaceDE/>
        <w:autoSpaceDN/>
        <w:bidi w:val="0"/>
        <w:adjustRightInd/>
        <w:snapToGrid w:val="0"/>
        <w:spacing w:line="700" w:lineRule="exact"/>
        <w:ind w:firstLine="1184" w:firstLineChars="393"/>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项目编号：</w:t>
      </w:r>
      <w:r>
        <w:rPr>
          <w:rFonts w:hint="eastAsia" w:ascii="宋体" w:hAnsi="宋体" w:cs="宋体"/>
          <w:b/>
          <w:bCs/>
          <w:color w:val="auto"/>
          <w:sz w:val="30"/>
          <w:szCs w:val="30"/>
          <w:highlight w:val="none"/>
          <w:lang w:eastAsia="zh-CN"/>
        </w:rPr>
        <w:t>GXZC2025-G3-003572-GXZX</w:t>
      </w:r>
    </w:p>
    <w:p w14:paraId="23F10A20">
      <w:pPr>
        <w:keepNext w:val="0"/>
        <w:keepLines w:val="0"/>
        <w:pageBreakBefore w:val="0"/>
        <w:widowControl w:val="0"/>
        <w:kinsoku/>
        <w:wordWrap/>
        <w:overflowPunct/>
        <w:topLinePunct w:val="0"/>
        <w:autoSpaceDE/>
        <w:autoSpaceDN/>
        <w:bidi w:val="0"/>
        <w:adjustRightInd/>
        <w:snapToGrid w:val="0"/>
        <w:spacing w:line="700" w:lineRule="exact"/>
        <w:ind w:firstLine="1125" w:firstLineChars="393"/>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采购人：</w:t>
      </w:r>
      <w:r>
        <w:rPr>
          <w:rFonts w:hint="eastAsia" w:ascii="宋体" w:hAnsi="宋体" w:eastAsia="宋体" w:cs="宋体"/>
          <w:b/>
          <w:bCs/>
          <w:color w:val="auto"/>
          <w:w w:val="95"/>
          <w:sz w:val="30"/>
          <w:szCs w:val="30"/>
          <w:highlight w:val="none"/>
          <w:lang w:eastAsia="zh-CN"/>
        </w:rPr>
        <w:t>广西壮族自治区民政厅</w:t>
      </w:r>
    </w:p>
    <w:p w14:paraId="327709EB">
      <w:pPr>
        <w:keepNext w:val="0"/>
        <w:keepLines w:val="0"/>
        <w:pageBreakBefore w:val="0"/>
        <w:widowControl w:val="0"/>
        <w:kinsoku/>
        <w:wordWrap/>
        <w:overflowPunct/>
        <w:topLinePunct w:val="0"/>
        <w:autoSpaceDE/>
        <w:autoSpaceDN/>
        <w:bidi w:val="0"/>
        <w:adjustRightInd/>
        <w:snapToGrid w:val="0"/>
        <w:spacing w:line="700" w:lineRule="exact"/>
        <w:ind w:firstLine="1125" w:firstLineChars="393"/>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eastAsia="zh-CN"/>
        </w:rPr>
        <w:t>广西中信恒泰工程顾问有限公司</w:t>
      </w:r>
    </w:p>
    <w:p w14:paraId="6588BD09">
      <w:pPr>
        <w:snapToGrid w:val="0"/>
        <w:spacing w:before="50" w:after="120" w:line="360" w:lineRule="auto"/>
        <w:ind w:firstLine="0" w:firstLineChars="0"/>
        <w:rPr>
          <w:rFonts w:hint="eastAsia" w:ascii="宋体" w:hAnsi="宋体" w:eastAsia="宋体" w:cs="宋体"/>
          <w:b/>
          <w:bCs/>
          <w:color w:val="auto"/>
          <w:w w:val="95"/>
          <w:sz w:val="30"/>
          <w:szCs w:val="30"/>
          <w:highlight w:val="none"/>
          <w:lang w:eastAsia="zh-CN"/>
        </w:rPr>
      </w:pPr>
    </w:p>
    <w:p w14:paraId="0C8C2CB1">
      <w:pPr>
        <w:snapToGrid w:val="0"/>
        <w:spacing w:before="50" w:after="120" w:line="360" w:lineRule="auto"/>
        <w:ind w:firstLine="841" w:firstLineChars="294"/>
        <w:jc w:val="center"/>
        <w:rPr>
          <w:rFonts w:hint="eastAsia" w:ascii="宋体" w:hAnsi="宋体" w:eastAsia="宋体" w:cs="宋体"/>
          <w:b/>
          <w:bCs/>
          <w:color w:val="auto"/>
          <w:w w:val="95"/>
          <w:sz w:val="30"/>
          <w:szCs w:val="30"/>
          <w:highlight w:val="none"/>
          <w:lang w:eastAsia="zh-CN"/>
        </w:rPr>
        <w:sectPr>
          <w:headerReference r:id="rId4" w:type="first"/>
          <w:footerReference r:id="rId6" w:type="first"/>
          <w:headerReference r:id="rId3" w:type="default"/>
          <w:footerReference r:id="rId5" w:type="even"/>
          <w:pgSz w:w="11906" w:h="16838"/>
          <w:pgMar w:top="1304" w:right="1304" w:bottom="1304" w:left="1304" w:header="720" w:footer="720" w:gutter="0"/>
          <w:pgBorders w:offsetFrom="page">
            <w:top w:val="none" w:sz="0" w:space="0"/>
            <w:left w:val="none" w:sz="0" w:space="0"/>
            <w:bottom w:val="none" w:sz="0" w:space="0"/>
            <w:right w:val="none" w:sz="0" w:space="0"/>
          </w:pgBorders>
          <w:pgNumType w:start="0"/>
          <w:cols w:space="720" w:num="1"/>
          <w:titlePg/>
          <w:docGrid w:type="lines" w:linePitch="331" w:charSpace="0"/>
        </w:sectPr>
      </w:pPr>
      <w:r>
        <w:rPr>
          <w:rFonts w:hint="eastAsia" w:ascii="宋体" w:hAnsi="宋体" w:eastAsia="宋体" w:cs="宋体"/>
          <w:b/>
          <w:bCs/>
          <w:color w:val="auto"/>
          <w:w w:val="95"/>
          <w:sz w:val="30"/>
          <w:szCs w:val="30"/>
          <w:highlight w:val="none"/>
          <w:lang w:eastAsia="zh-CN"/>
        </w:rPr>
        <w:t>202</w:t>
      </w:r>
      <w:r>
        <w:rPr>
          <w:rFonts w:hint="eastAsia" w:ascii="宋体" w:hAnsi="宋体" w:eastAsia="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lang w:eastAsia="zh-CN"/>
        </w:rPr>
        <w:t>年</w:t>
      </w:r>
      <w:r>
        <w:rPr>
          <w:rFonts w:hint="eastAsia" w:ascii="宋体" w:hAnsi="宋体" w:eastAsia="宋体" w:cs="宋体"/>
          <w:b/>
          <w:bCs/>
          <w:color w:val="auto"/>
          <w:w w:val="95"/>
          <w:sz w:val="30"/>
          <w:szCs w:val="30"/>
          <w:highlight w:val="none"/>
          <w:lang w:val="en-US" w:eastAsia="zh-CN"/>
        </w:rPr>
        <w:t>1</w:t>
      </w:r>
      <w:r>
        <w:rPr>
          <w:rFonts w:hint="eastAsia" w:ascii="宋体" w:hAnsi="宋体" w:cs="宋体"/>
          <w:b/>
          <w:bCs/>
          <w:color w:val="auto"/>
          <w:w w:val="95"/>
          <w:sz w:val="30"/>
          <w:szCs w:val="30"/>
          <w:highlight w:val="none"/>
          <w:lang w:val="en-US" w:eastAsia="zh-CN"/>
        </w:rPr>
        <w:t>1</w:t>
      </w:r>
      <w:r>
        <w:rPr>
          <w:rFonts w:hint="eastAsia" w:ascii="宋体" w:hAnsi="宋体" w:eastAsia="宋体" w:cs="宋体"/>
          <w:b/>
          <w:bCs/>
          <w:color w:val="auto"/>
          <w:w w:val="95"/>
          <w:sz w:val="30"/>
          <w:szCs w:val="30"/>
          <w:highlight w:val="none"/>
          <w:lang w:eastAsia="zh-CN"/>
        </w:rPr>
        <w:t>月</w:t>
      </w:r>
    </w:p>
    <w:p w14:paraId="7D4F0221">
      <w:pPr>
        <w:snapToGrid w:val="0"/>
        <w:spacing w:before="50" w:after="120" w:line="360" w:lineRule="auto"/>
        <w:ind w:firstLine="617" w:firstLineChars="294"/>
        <w:rPr>
          <w:rFonts w:hint="eastAsia" w:ascii="宋体" w:hAnsi="宋体" w:eastAsia="宋体" w:cs="宋体"/>
          <w:color w:val="auto"/>
          <w:szCs w:val="20"/>
          <w:highlight w:val="none"/>
        </w:rPr>
      </w:pPr>
    </w:p>
    <w:p w14:paraId="14E8991B">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39AE9EF8">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7D4AE9">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5C8739">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33C481">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_Toc27236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评标方法及评分标准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_Toc27236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08E8C7">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BAF0D9">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_Toc31998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_Toc31998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95C5A0">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第七章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质疑、投诉证明材料格式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8AC8B4">
      <w:pPr>
        <w:pStyle w:val="25"/>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第八章  政府采购合同验收书范本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A73601">
      <w:pPr>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1022D5E8">
      <w:pPr>
        <w:rPr>
          <w:rFonts w:hint="eastAsia" w:ascii="宋体" w:hAnsi="宋体" w:eastAsia="宋体" w:cs="宋体"/>
          <w:color w:val="auto"/>
          <w:highlight w:val="none"/>
        </w:rPr>
      </w:pPr>
    </w:p>
    <w:p w14:paraId="4E6EBA7F">
      <w:pPr>
        <w:pStyle w:val="25"/>
        <w:tabs>
          <w:tab w:val="right" w:leader="dot" w:pos="9638"/>
        </w:tabs>
        <w:rPr>
          <w:rFonts w:hint="eastAsia" w:ascii="宋体" w:hAnsi="宋体" w:eastAsia="宋体" w:cs="宋体"/>
          <w:color w:val="auto"/>
          <w:highlight w:val="none"/>
        </w:rPr>
      </w:pPr>
      <w:r>
        <w:rPr>
          <w:rFonts w:hint="eastAsia" w:ascii="宋体" w:hAnsi="宋体" w:eastAsia="宋体" w:cs="宋体"/>
          <w:color w:val="auto"/>
          <w:sz w:val="28"/>
          <w:szCs w:val="28"/>
          <w:highlight w:val="none"/>
          <w:u w:val="single"/>
        </w:rPr>
        <w:fldChar w:fldCharType="begin"/>
      </w:r>
      <w:r>
        <w:rPr>
          <w:rFonts w:hint="eastAsia" w:ascii="宋体" w:hAnsi="宋体" w:eastAsia="宋体" w:cs="宋体"/>
          <w:color w:val="auto"/>
          <w:sz w:val="28"/>
          <w:szCs w:val="28"/>
          <w:highlight w:val="none"/>
          <w:u w:val="single"/>
        </w:rPr>
        <w:instrText xml:space="preserve"> TOC \o "1-3" \h \z \u </w:instrText>
      </w:r>
      <w:r>
        <w:rPr>
          <w:rFonts w:hint="eastAsia" w:ascii="宋体" w:hAnsi="宋体" w:eastAsia="宋体" w:cs="宋体"/>
          <w:color w:val="auto"/>
          <w:sz w:val="28"/>
          <w:szCs w:val="28"/>
          <w:highlight w:val="none"/>
          <w:u w:val="single"/>
        </w:rPr>
        <w:fldChar w:fldCharType="separate"/>
      </w:r>
    </w:p>
    <w:p w14:paraId="41372EA0">
      <w:pPr>
        <w:jc w:val="center"/>
        <w:rPr>
          <w:rFonts w:hint="eastAsia" w:ascii="宋体" w:hAnsi="宋体" w:eastAsia="宋体" w:cs="宋体"/>
          <w:b/>
          <w:bCs/>
          <w:caps/>
          <w:color w:val="auto"/>
          <w:sz w:val="28"/>
          <w:szCs w:val="28"/>
          <w:highlight w:val="none"/>
          <w:u w:val="single"/>
          <w:lang w:val="en-US" w:eastAsia="zh-CN"/>
        </w:rPr>
      </w:pPr>
      <w:r>
        <w:rPr>
          <w:rFonts w:hint="eastAsia" w:ascii="宋体" w:hAnsi="宋体" w:eastAsia="宋体" w:cs="宋体"/>
          <w:bCs/>
          <w:caps/>
          <w:color w:val="auto"/>
          <w:szCs w:val="28"/>
          <w:highlight w:val="none"/>
          <w:u w:val="single"/>
        </w:rPr>
        <w:fldChar w:fldCharType="end"/>
      </w:r>
    </w:p>
    <w:p w14:paraId="706B1A85">
      <w:pPr>
        <w:jc w:val="center"/>
        <w:outlineLvl w:val="0"/>
        <w:rPr>
          <w:rFonts w:hint="eastAsia" w:ascii="宋体" w:hAnsi="宋体" w:eastAsia="宋体" w:cs="宋体"/>
          <w:color w:val="auto"/>
          <w:szCs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cols w:space="720" w:num="1"/>
          <w:docGrid w:type="lines" w:linePitch="331" w:charSpace="0"/>
        </w:sectPr>
      </w:pPr>
    </w:p>
    <w:p w14:paraId="216D5D7D">
      <w:pPr>
        <w:pStyle w:val="2"/>
        <w:numPr>
          <w:ilvl w:val="0"/>
          <w:numId w:val="2"/>
        </w:numPr>
        <w:bidi w:val="0"/>
        <w:jc w:val="center"/>
        <w:rPr>
          <w:rFonts w:hint="eastAsia" w:ascii="宋体" w:hAnsi="宋体" w:eastAsia="宋体" w:cs="宋体"/>
          <w:color w:val="auto"/>
          <w:highlight w:val="none"/>
        </w:rPr>
      </w:pPr>
      <w:bookmarkStart w:id="0" w:name="_Toc1282"/>
      <w:bookmarkStart w:id="1" w:name="_Toc31458"/>
      <w:bookmarkStart w:id="2" w:name="_Toc532545041"/>
      <w:r>
        <w:rPr>
          <w:rFonts w:hint="eastAsia" w:ascii="宋体" w:hAnsi="宋体" w:eastAsia="宋体" w:cs="宋体"/>
          <w:color w:val="auto"/>
          <w:highlight w:val="none"/>
        </w:rPr>
        <w:t xml:space="preserve"> 招标公告</w:t>
      </w:r>
      <w:bookmarkEnd w:id="0"/>
      <w:bookmarkEnd w:id="1"/>
      <w:bookmarkEnd w:id="2"/>
    </w:p>
    <w:p w14:paraId="0044034B">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bookmarkStart w:id="3" w:name="OLE_LINK1"/>
      <w:r>
        <w:rPr>
          <w:rFonts w:hint="eastAsia" w:ascii="宋体" w:hAnsi="宋体" w:cs="宋体"/>
          <w:sz w:val="24"/>
          <w:szCs w:val="24"/>
        </w:rPr>
        <w:t>广西中信恒泰工程</w:t>
      </w:r>
      <w:r>
        <w:rPr>
          <w:rFonts w:hint="eastAsia" w:ascii="宋体" w:hAnsi="宋体" w:eastAsia="宋体" w:cs="宋体"/>
          <w:sz w:val="24"/>
          <w:szCs w:val="24"/>
        </w:rPr>
        <w:t>顾问有限公司</w:t>
      </w:r>
    </w:p>
    <w:p w14:paraId="2F652DBC">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2025—2026年度广西分散供养特困人员住院护理保险试点项目</w:t>
      </w:r>
    </w:p>
    <w:p w14:paraId="647E5BAA">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（项目编号：GXZC2025-G3-003572-GXZX）</w:t>
      </w:r>
      <w:r>
        <w:rPr>
          <w:rFonts w:hint="eastAsia" w:ascii="宋体" w:hAnsi="宋体" w:eastAsia="宋体" w:cs="宋体"/>
          <w:sz w:val="24"/>
          <w:szCs w:val="24"/>
        </w:rPr>
        <w:t>招标公告（远程异地评审）</w:t>
      </w:r>
    </w:p>
    <w:bookmarkEnd w:id="3"/>
    <w:p w14:paraId="34CF58AA">
      <w:pPr>
        <w:numPr>
          <w:ilvl w:val="0"/>
          <w:numId w:val="0"/>
        </w:numPr>
        <w:rPr>
          <w:rFonts w:hint="eastAsia"/>
        </w:rPr>
      </w:pPr>
    </w:p>
    <w:p w14:paraId="1929829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C22DC3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500" w:lineRule="exact"/>
        <w:ind w:firstLine="525" w:firstLineChars="2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2025—2026年度广西分散供养特困人员住院护理保险试点项目</w:t>
      </w:r>
      <w:r>
        <w:rPr>
          <w:rFonts w:hint="eastAsia" w:ascii="宋体" w:hAnsi="宋体" w:eastAsia="宋体" w:cs="宋体"/>
          <w:color w:val="auto"/>
          <w:sz w:val="21"/>
          <w:szCs w:val="21"/>
          <w:highlight w:val="none"/>
        </w:rPr>
        <w:t>招标项目的潜在投标人应在广西政府采购云平台（https://www.gcy.zfcg.gxzf.gov.cn）获取（下载）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r>
        <w:rPr>
          <w:rFonts w:hint="eastAsia" w:ascii="宋体" w:hAnsi="宋体" w:eastAsia="宋体" w:cs="宋体"/>
          <w:bCs/>
          <w:color w:val="auto"/>
          <w:szCs w:val="21"/>
          <w:highlight w:val="none"/>
        </w:rPr>
        <w:t>并于2025年</w:t>
      </w: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19</w:t>
      </w:r>
      <w:r>
        <w:rPr>
          <w:rFonts w:hint="eastAsia" w:ascii="宋体" w:hAnsi="宋体" w:eastAsia="宋体" w:cs="宋体"/>
          <w:bCs/>
          <w:color w:val="auto"/>
          <w:szCs w:val="21"/>
          <w:highlight w:val="none"/>
        </w:rPr>
        <w:t>日</w:t>
      </w:r>
      <w:r>
        <w:rPr>
          <w:rFonts w:hint="eastAsia" w:ascii="宋体" w:hAnsi="宋体" w:cs="宋体"/>
          <w:bCs/>
          <w:color w:val="auto"/>
          <w:szCs w:val="21"/>
          <w:highlight w:val="none"/>
          <w:lang w:val="en-US" w:eastAsia="zh-CN"/>
        </w:rPr>
        <w:t>9:30</w:t>
      </w:r>
      <w:r>
        <w:rPr>
          <w:rFonts w:hint="eastAsia" w:ascii="宋体" w:hAnsi="宋体" w:eastAsia="宋体" w:cs="宋体"/>
          <w:bCs/>
          <w:color w:val="auto"/>
          <w:szCs w:val="21"/>
          <w:highlight w:val="none"/>
        </w:rPr>
        <w:t>（北京时间）前提交</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文件</w:t>
      </w:r>
      <w:r>
        <w:rPr>
          <w:rFonts w:hint="eastAsia" w:ascii="宋体" w:hAnsi="宋体" w:eastAsia="宋体" w:cs="宋体"/>
          <w:color w:val="auto"/>
          <w:sz w:val="21"/>
          <w:szCs w:val="21"/>
          <w:highlight w:val="none"/>
        </w:rPr>
        <w:t>。</w:t>
      </w:r>
    </w:p>
    <w:p w14:paraId="4AA929C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bCs/>
          <w:color w:val="auto"/>
          <w:sz w:val="21"/>
          <w:szCs w:val="21"/>
          <w:highlight w:val="none"/>
        </w:rPr>
      </w:pPr>
      <w:bookmarkStart w:id="4" w:name="_Toc35393790"/>
      <w:bookmarkStart w:id="5" w:name="_Toc35393621"/>
      <w:bookmarkStart w:id="6" w:name="_Toc28359079"/>
      <w:bookmarkStart w:id="7" w:name="_Toc28359002"/>
      <w:bookmarkStart w:id="8" w:name="_Hlk24379207"/>
      <w:r>
        <w:rPr>
          <w:rFonts w:hint="eastAsia" w:ascii="宋体" w:hAnsi="宋体" w:eastAsia="宋体" w:cs="宋体"/>
          <w:b/>
          <w:bCs/>
          <w:color w:val="auto"/>
          <w:sz w:val="21"/>
          <w:szCs w:val="21"/>
          <w:highlight w:val="none"/>
        </w:rPr>
        <w:t>一、项目基本情况</w:t>
      </w:r>
      <w:bookmarkEnd w:id="4"/>
      <w:bookmarkEnd w:id="5"/>
      <w:bookmarkEnd w:id="6"/>
      <w:bookmarkEnd w:id="7"/>
    </w:p>
    <w:p w14:paraId="4D46ECB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GXZC2025-G3-003572-GXZX</w:t>
      </w:r>
      <w:r>
        <w:rPr>
          <w:rFonts w:hint="eastAsia" w:ascii="宋体" w:hAnsi="宋体" w:eastAsia="宋体" w:cs="宋体"/>
          <w:color w:val="auto"/>
          <w:szCs w:val="21"/>
          <w:highlight w:val="none"/>
        </w:rPr>
        <w:t>（采购计划编号：</w:t>
      </w:r>
      <w:r>
        <w:rPr>
          <w:rFonts w:hint="eastAsia" w:ascii="宋体" w:hAnsi="宋体" w:eastAsia="宋体" w:cs="宋体"/>
          <w:color w:val="auto"/>
          <w:kern w:val="0"/>
          <w:szCs w:val="21"/>
          <w:highlight w:val="none"/>
          <w:lang w:val="en-US" w:eastAsia="zh-CN"/>
        </w:rPr>
        <w:t>广西政采[2025]22518号</w:t>
      </w:r>
      <w:r>
        <w:rPr>
          <w:rFonts w:hint="eastAsia" w:ascii="宋体" w:hAnsi="宋体" w:eastAsia="宋体" w:cs="宋体"/>
          <w:color w:val="auto"/>
          <w:szCs w:val="21"/>
          <w:highlight w:val="none"/>
        </w:rPr>
        <w:t>）</w:t>
      </w:r>
    </w:p>
    <w:p w14:paraId="0934668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2025—2026年度广西分散供养特困人员住院护理保险试点项目</w:t>
      </w:r>
    </w:p>
    <w:bookmarkEnd w:id="8"/>
    <w:p w14:paraId="4D0C7FC7">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预算金额：1346万元</w:t>
      </w:r>
    </w:p>
    <w:p w14:paraId="7BB997C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最高限价：1346万元</w:t>
      </w:r>
    </w:p>
    <w:p w14:paraId="5C794954">
      <w:pPr>
        <w:keepNext w:val="0"/>
        <w:keepLines w:val="0"/>
        <w:pageBreakBefore w:val="0"/>
        <w:widowControl w:val="0"/>
        <w:kinsoku/>
        <w:wordWrap/>
        <w:overflowPunct/>
        <w:topLinePunct w:val="0"/>
        <w:autoSpaceDE/>
        <w:autoSpaceDN/>
        <w:bidi w:val="0"/>
        <w:adjustRightInd/>
        <w:snapToGrid w:val="0"/>
        <w:spacing w:line="500" w:lineRule="exact"/>
        <w:ind w:left="399" w:leftChars="19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kern w:val="0"/>
          <w:szCs w:val="21"/>
          <w:highlight w:val="none"/>
        </w:rPr>
        <w:br w:type="textWrapping"/>
      </w:r>
      <w:r>
        <w:rPr>
          <w:rFonts w:hint="eastAsia" w:ascii="宋体" w:hAnsi="宋体" w:eastAsia="宋体" w:cs="宋体"/>
          <w:color w:val="auto"/>
          <w:szCs w:val="21"/>
          <w:highlight w:val="none"/>
        </w:rPr>
        <w:t>标项名称：2025—2026年度广西分散供养特困人员住院护理保险试点项目</w:t>
      </w:r>
    </w:p>
    <w:p w14:paraId="42CB60F7">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w:t>
      </w:r>
      <w:r>
        <w:rPr>
          <w:rFonts w:hint="eastAsia" w:ascii="宋体" w:hAnsi="宋体" w:eastAsia="宋体" w:cs="宋体"/>
          <w:color w:val="auto"/>
          <w:szCs w:val="21"/>
          <w:highlight w:val="none"/>
          <w:lang w:val="en-US" w:eastAsia="zh-CN"/>
        </w:rPr>
        <w:t>项</w:t>
      </w:r>
    </w:p>
    <w:p w14:paraId="3F18D0F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预算金额（元）：</w:t>
      </w:r>
      <w:r>
        <w:rPr>
          <w:rFonts w:hint="eastAsia" w:ascii="宋体" w:hAnsi="宋体" w:eastAsia="宋体" w:cs="宋体"/>
          <w:color w:val="auto"/>
          <w:sz w:val="21"/>
          <w:szCs w:val="21"/>
          <w:highlight w:val="none"/>
          <w:u w:val="none"/>
          <w:lang w:val="en-US" w:eastAsia="zh-CN"/>
        </w:rPr>
        <w:t>13460</w:t>
      </w:r>
      <w:r>
        <w:rPr>
          <w:rFonts w:hint="eastAsia" w:ascii="宋体" w:hAnsi="宋体" w:eastAsia="宋体" w:cs="宋体"/>
          <w:color w:val="auto"/>
          <w:szCs w:val="21"/>
          <w:highlight w:val="none"/>
        </w:rPr>
        <w:t>000.00</w:t>
      </w:r>
    </w:p>
    <w:p w14:paraId="2B1E3C5E">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 w:val="21"/>
          <w:szCs w:val="21"/>
          <w:highlight w:val="none"/>
          <w:lang w:eastAsia="zh-CN"/>
        </w:rPr>
        <w:t>2025—2026年度广西分散供养特困人员住院护理保险试点项目</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如需进一步了解详细内容，详见招标文件。</w:t>
      </w:r>
    </w:p>
    <w:p w14:paraId="2FAC84F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最高限价（如有）：13460000.00</w:t>
      </w:r>
    </w:p>
    <w:p w14:paraId="40143A80">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合同履约期限：</w:t>
      </w:r>
      <w:r>
        <w:rPr>
          <w:rFonts w:hint="eastAsia" w:ascii="宋体" w:hAnsi="宋体" w:eastAsia="宋体" w:cs="宋体"/>
          <w:color w:val="auto"/>
          <w:sz w:val="21"/>
          <w:szCs w:val="21"/>
          <w:highlight w:val="none"/>
          <w:lang w:val="en-US" w:eastAsia="zh-CN"/>
        </w:rPr>
        <w:t>1年</w:t>
      </w:r>
      <w:r>
        <w:rPr>
          <w:rFonts w:hint="eastAsia"/>
          <w:color w:val="auto"/>
          <w:highlight w:val="none"/>
          <w:lang w:val="en-US" w:eastAsia="zh-CN"/>
        </w:rPr>
        <w:t>（自通过政府采购确定承接的保险机构并签署合同之日起计算）</w:t>
      </w:r>
      <w:r>
        <w:rPr>
          <w:rFonts w:hint="eastAsia" w:ascii="宋体" w:hAnsi="宋体" w:eastAsia="宋体" w:cs="宋体"/>
          <w:color w:val="auto"/>
          <w:sz w:val="21"/>
          <w:szCs w:val="21"/>
          <w:highlight w:val="none"/>
          <w:lang w:val="en-US" w:eastAsia="zh-CN"/>
        </w:rPr>
        <w:t>。</w:t>
      </w:r>
    </w:p>
    <w:p w14:paraId="10686396">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bookmarkStart w:id="9" w:name="_Toc28359080"/>
      <w:bookmarkStart w:id="10" w:name="_Toc28359003"/>
      <w:bookmarkStart w:id="11" w:name="_Toc35393791"/>
      <w:bookmarkStart w:id="12" w:name="_Toc35393622"/>
    </w:p>
    <w:p w14:paraId="2EF197C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二、投标人的资格要求：</w:t>
      </w:r>
      <w:bookmarkEnd w:id="9"/>
      <w:bookmarkEnd w:id="10"/>
      <w:bookmarkEnd w:id="11"/>
      <w:bookmarkEnd w:id="12"/>
    </w:p>
    <w:p w14:paraId="3EB0DC0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5B4B6F9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rPr>
      </w:pPr>
      <w:bookmarkStart w:id="13" w:name="_Toc28359004"/>
      <w:bookmarkStart w:id="14" w:name="_Toc28359081"/>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w:t>
      </w:r>
    </w:p>
    <w:p w14:paraId="18F11B6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专门面向中小企业采购的项目（供应商应为中小微企业、监狱企业、残疾人福利性单位</w:t>
      </w:r>
      <w:r>
        <w:rPr>
          <w:rFonts w:hint="eastAsia" w:ascii="宋体" w:hAnsi="宋体" w:eastAsia="宋体" w:cs="宋体"/>
          <w:color w:val="auto"/>
          <w:sz w:val="21"/>
          <w:szCs w:val="21"/>
          <w:highlight w:val="none"/>
          <w:lang w:eastAsia="zh-CN"/>
        </w:rPr>
        <w:t>）</w:t>
      </w:r>
    </w:p>
    <w:p w14:paraId="1045F44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w:t>
      </w:r>
    </w:p>
    <w:p w14:paraId="0022DA8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其他要求：无。</w:t>
      </w:r>
    </w:p>
    <w:p w14:paraId="23CB136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本项目的特定资格要求：具有经</w:t>
      </w:r>
      <w:r>
        <w:rPr>
          <w:rFonts w:hint="eastAsia" w:ascii="宋体" w:hAnsi="宋体" w:eastAsia="宋体" w:cs="宋体"/>
          <w:color w:val="auto"/>
          <w:sz w:val="21"/>
          <w:szCs w:val="21"/>
          <w:highlight w:val="none"/>
          <w:lang w:eastAsia="zh-CN"/>
        </w:rPr>
        <w:t>国家金融监督管理总局</w:t>
      </w:r>
      <w:r>
        <w:rPr>
          <w:rFonts w:hint="eastAsia" w:ascii="宋体" w:hAnsi="宋体" w:eastAsia="宋体" w:cs="宋体"/>
          <w:color w:val="auto"/>
          <w:sz w:val="21"/>
          <w:szCs w:val="21"/>
          <w:highlight w:val="none"/>
        </w:rPr>
        <w:t>批准设立并颁发有效的《</w:t>
      </w:r>
      <w:r>
        <w:rPr>
          <w:rFonts w:hint="eastAsia" w:ascii="宋体" w:hAnsi="宋体" w:eastAsia="宋体" w:cs="宋体"/>
          <w:color w:val="auto"/>
          <w:sz w:val="21"/>
          <w:szCs w:val="21"/>
          <w:highlight w:val="none"/>
          <w:lang w:val="en-US" w:eastAsia="zh-CN"/>
        </w:rPr>
        <w:t>中华人民共和国保险许可证</w:t>
      </w:r>
      <w:r>
        <w:rPr>
          <w:rFonts w:hint="eastAsia" w:ascii="宋体" w:hAnsi="宋体" w:eastAsia="宋体" w:cs="宋体"/>
          <w:color w:val="auto"/>
          <w:sz w:val="21"/>
          <w:szCs w:val="21"/>
          <w:highlight w:val="none"/>
        </w:rPr>
        <w:t>》，具有在广西辖区内经营本次采购险种业务资格且业务范围涵盖责任保险的保险机构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本项目允许保险行业的分支机构参与投标，</w:t>
      </w:r>
      <w:r>
        <w:rPr>
          <w:rFonts w:hint="eastAsia" w:ascii="宋体" w:hAnsi="宋体" w:cs="宋体"/>
          <w:color w:val="auto"/>
          <w:sz w:val="21"/>
          <w:szCs w:val="21"/>
          <w:highlight w:val="none"/>
          <w:lang w:eastAsia="zh-CN"/>
        </w:rPr>
        <w:t>同一法人的多个分支机构不得同时投标）</w:t>
      </w:r>
      <w:r>
        <w:rPr>
          <w:rFonts w:hint="eastAsia" w:ascii="宋体" w:hAnsi="宋体" w:eastAsia="宋体" w:cs="宋体"/>
          <w:color w:val="auto"/>
          <w:sz w:val="21"/>
          <w:szCs w:val="21"/>
          <w:highlight w:val="none"/>
          <w:lang w:eastAsia="zh-CN"/>
        </w:rPr>
        <w:t>。</w:t>
      </w:r>
    </w:p>
    <w:p w14:paraId="4891B7F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本项目的特定条件：</w:t>
      </w:r>
      <w:r>
        <w:rPr>
          <w:rFonts w:hint="eastAsia" w:ascii="宋体" w:hAnsi="宋体" w:eastAsia="宋体" w:cs="宋体"/>
          <w:color w:val="auto"/>
          <w:sz w:val="21"/>
          <w:szCs w:val="21"/>
          <w:highlight w:val="none"/>
          <w:lang w:val="en-US" w:eastAsia="zh-CN"/>
        </w:rPr>
        <w:t>无。</w:t>
      </w:r>
    </w:p>
    <w:p w14:paraId="60E6743C">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BD0656">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56D241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bCs/>
          <w:color w:val="auto"/>
          <w:sz w:val="21"/>
          <w:szCs w:val="21"/>
          <w:highlight w:val="none"/>
        </w:rPr>
      </w:pPr>
      <w:bookmarkStart w:id="15" w:name="_Toc35393792"/>
      <w:bookmarkStart w:id="16" w:name="_Toc35393623"/>
      <w:r>
        <w:rPr>
          <w:rFonts w:hint="eastAsia" w:ascii="宋体" w:hAnsi="宋体" w:eastAsia="宋体" w:cs="宋体"/>
          <w:b/>
          <w:bCs/>
          <w:color w:val="auto"/>
          <w:sz w:val="21"/>
          <w:szCs w:val="21"/>
          <w:highlight w:val="none"/>
        </w:rPr>
        <w:t>三、获取招标文件</w:t>
      </w:r>
      <w:bookmarkEnd w:id="13"/>
      <w:bookmarkEnd w:id="14"/>
      <w:bookmarkEnd w:id="15"/>
      <w:bookmarkEnd w:id="16"/>
    </w:p>
    <w:p w14:paraId="3890074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none"/>
          <w:lang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rPr>
        <w:t>日至</w:t>
      </w:r>
      <w:r>
        <w:rPr>
          <w:rFonts w:hint="eastAsia" w:ascii="宋体" w:hAnsi="宋体" w:eastAsia="宋体" w:cs="宋体"/>
          <w:color w:val="auto"/>
          <w:sz w:val="21"/>
          <w:szCs w:val="21"/>
          <w:highlight w:val="none"/>
          <w:u w:val="none"/>
          <w:lang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，每天上午00:00至11:59，下午12:00至23:59（北京时间，法定节假日除外）。</w:t>
      </w:r>
    </w:p>
    <w:p w14:paraId="251AB6A1">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获取方式：网上下载。本项目不发放纸质采购文件，</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可自行在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E5B611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1826BB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w:t>
      </w:r>
      <w:bookmarkEnd w:id="17"/>
      <w:bookmarkEnd w:id="18"/>
      <w:r>
        <w:rPr>
          <w:rFonts w:hint="eastAsia" w:ascii="宋体" w:hAnsi="宋体" w:eastAsia="宋体" w:cs="宋体"/>
          <w:b/>
          <w:bCs/>
          <w:color w:val="auto"/>
          <w:sz w:val="21"/>
          <w:szCs w:val="21"/>
          <w:highlight w:val="none"/>
        </w:rPr>
        <w:t>截止时间、开标时间和地点</w:t>
      </w:r>
      <w:bookmarkEnd w:id="19"/>
      <w:bookmarkEnd w:id="20"/>
    </w:p>
    <w:p w14:paraId="68AC711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提交投标文件截止时间：</w:t>
      </w:r>
      <w:r>
        <w:rPr>
          <w:rFonts w:hint="eastAsia" w:ascii="宋体" w:hAnsi="宋体" w:eastAsia="宋体" w:cs="宋体"/>
          <w:color w:val="auto"/>
          <w:sz w:val="21"/>
          <w:szCs w:val="21"/>
          <w:highlight w:val="none"/>
          <w:u w:val="none"/>
          <w:lang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19</w:t>
      </w:r>
      <w:r>
        <w:rPr>
          <w:rFonts w:hint="eastAsia" w:ascii="宋体" w:hAnsi="宋体" w:eastAsia="宋体" w:cs="宋体"/>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rPr>
        <w:t>时</w:t>
      </w:r>
      <w:r>
        <w:rPr>
          <w:rFonts w:hint="eastAsia" w:ascii="宋体" w:hAnsi="宋体" w:eastAsia="宋体" w:cs="宋体"/>
          <w:bCs/>
          <w:color w:val="auto"/>
          <w:sz w:val="21"/>
          <w:szCs w:val="21"/>
          <w:highlight w:val="none"/>
          <w:u w:val="none"/>
          <w:lang w:val="en-US" w:eastAsia="zh-CN"/>
        </w:rPr>
        <w:t>30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w:t>
      </w:r>
    </w:p>
    <w:p w14:paraId="5D3A5C9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投标地点：广西政府采购云平台（https://www.gcy.zfcg.gxzf.gov.cn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323BC40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Cs w:val="21"/>
          <w:highlight w:val="none"/>
        </w:rPr>
        <w:t>3.开标时间：</w:t>
      </w:r>
      <w:r>
        <w:rPr>
          <w:rFonts w:hint="eastAsia" w:ascii="宋体" w:hAnsi="宋体" w:eastAsia="宋体" w:cs="宋体"/>
          <w:color w:val="auto"/>
          <w:sz w:val="21"/>
          <w:szCs w:val="21"/>
          <w:highlight w:val="none"/>
          <w:u w:val="none"/>
          <w:lang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19</w:t>
      </w:r>
      <w:r>
        <w:rPr>
          <w:rFonts w:hint="eastAsia" w:ascii="宋体" w:hAnsi="宋体" w:eastAsia="宋体" w:cs="宋体"/>
          <w:color w:val="auto"/>
          <w:sz w:val="21"/>
          <w:szCs w:val="21"/>
          <w:highlight w:val="none"/>
          <w:u w:val="none"/>
        </w:rPr>
        <w:t>日</w:t>
      </w:r>
      <w:r>
        <w:rPr>
          <w:rFonts w:hint="eastAsia" w:ascii="宋体" w:hAnsi="宋体" w:eastAsia="宋体" w:cs="宋体"/>
          <w:color w:val="auto"/>
          <w:szCs w:val="21"/>
          <w:highlight w:val="none"/>
        </w:rPr>
        <w:t>9时30分（北京时间）</w:t>
      </w:r>
    </w:p>
    <w:p w14:paraId="262E1E8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bCs/>
          <w:color w:val="auto"/>
          <w:szCs w:val="21"/>
          <w:highlight w:val="none"/>
        </w:rPr>
        <w:t>开标地点：广西政府采购云平台电子开标大厅</w:t>
      </w:r>
    </w:p>
    <w:p w14:paraId="1E955D1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bCs/>
          <w:color w:val="auto"/>
          <w:sz w:val="21"/>
          <w:szCs w:val="21"/>
          <w:highlight w:val="none"/>
        </w:rPr>
      </w:pPr>
      <w:bookmarkStart w:id="21" w:name="_Toc35393794"/>
      <w:bookmarkStart w:id="22" w:name="_Toc28359007"/>
      <w:bookmarkStart w:id="23" w:name="_Toc35393625"/>
      <w:bookmarkStart w:id="24" w:name="_Toc28359084"/>
      <w:r>
        <w:rPr>
          <w:rFonts w:hint="eastAsia" w:ascii="宋体" w:hAnsi="宋体" w:eastAsia="宋体" w:cs="宋体"/>
          <w:b/>
          <w:bCs/>
          <w:color w:val="auto"/>
          <w:sz w:val="21"/>
          <w:szCs w:val="21"/>
          <w:highlight w:val="none"/>
        </w:rPr>
        <w:t>五、公告期限</w:t>
      </w:r>
      <w:bookmarkEnd w:id="21"/>
      <w:bookmarkEnd w:id="22"/>
      <w:bookmarkEnd w:id="23"/>
      <w:bookmarkEnd w:id="24"/>
    </w:p>
    <w:p w14:paraId="068A2E8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79F525E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bCs/>
          <w:color w:val="auto"/>
          <w:sz w:val="21"/>
          <w:szCs w:val="21"/>
          <w:highlight w:val="none"/>
        </w:rPr>
      </w:pPr>
      <w:bookmarkStart w:id="25" w:name="_Toc35393795"/>
      <w:bookmarkStart w:id="26" w:name="_Toc35393626"/>
      <w:r>
        <w:rPr>
          <w:rFonts w:hint="eastAsia" w:ascii="宋体" w:hAnsi="宋体" w:eastAsia="宋体" w:cs="宋体"/>
          <w:b/>
          <w:bCs/>
          <w:color w:val="auto"/>
          <w:sz w:val="21"/>
          <w:szCs w:val="21"/>
          <w:highlight w:val="none"/>
        </w:rPr>
        <w:t>六、其他补充事宜</w:t>
      </w:r>
      <w:bookmarkEnd w:id="25"/>
      <w:bookmarkEnd w:id="26"/>
    </w:p>
    <w:p w14:paraId="4EF6AE9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投标保证金</w:t>
      </w:r>
      <w:r>
        <w:rPr>
          <w:rFonts w:hint="eastAsia" w:ascii="宋体" w:hAnsi="宋体" w:eastAsia="宋体" w:cs="宋体"/>
          <w:color w:val="auto"/>
          <w:szCs w:val="21"/>
          <w:highlight w:val="none"/>
        </w:rPr>
        <w:t>（人民币）：</w:t>
      </w:r>
      <w:r>
        <w:rPr>
          <w:rFonts w:hint="eastAsia" w:ascii="宋体" w:hAnsi="宋体" w:eastAsia="宋体" w:cs="宋体"/>
          <w:bCs/>
          <w:color w:val="auto"/>
          <w:szCs w:val="21"/>
          <w:highlight w:val="none"/>
          <w:u w:val="single"/>
          <w:lang w:val="en-US" w:eastAsia="zh-CN"/>
        </w:rPr>
        <w:t>10000.00</w:t>
      </w:r>
      <w:r>
        <w:rPr>
          <w:rFonts w:hint="eastAsia" w:ascii="宋体" w:hAnsi="宋体" w:eastAsia="宋体" w:cs="宋体"/>
          <w:bCs/>
          <w:color w:val="auto"/>
          <w:szCs w:val="21"/>
          <w:highlight w:val="none"/>
        </w:rPr>
        <w:t>元</w:t>
      </w:r>
      <w:r>
        <w:rPr>
          <w:rFonts w:hint="eastAsia" w:ascii="宋体" w:hAnsi="宋体" w:eastAsia="宋体" w:cs="宋体"/>
          <w:color w:val="auto"/>
          <w:szCs w:val="21"/>
          <w:highlight w:val="none"/>
        </w:rPr>
        <w:t>。（须足额</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w:t>
      </w:r>
    </w:p>
    <w:p w14:paraId="2B949435">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（1）投标保证金的交纳方式：支票、汇票、本票、网上银行或者银行、保险机构出具的保函等非现金形式。</w:t>
      </w:r>
    </w:p>
    <w:p w14:paraId="35262779">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（2）采用银行转账方式的，投标人应于提交投标文件截止时间前将投标保证金交至以下账户：</w:t>
      </w:r>
    </w:p>
    <w:p w14:paraId="24D78878">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投标保证金账户：广西中信恒泰工程顾问有限公司</w:t>
      </w:r>
    </w:p>
    <w:p w14:paraId="14FAD9E1">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开户行名称：建设银行南宁市金湖广场支行</w:t>
      </w:r>
    </w:p>
    <w:p w14:paraId="69A8DD76">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银行账号：4500 1604 2660 5250 2851。</w:t>
      </w:r>
    </w:p>
    <w:p w14:paraId="32442F4C">
      <w:pPr>
        <w:pStyle w:val="13"/>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采用支票、汇票、本票或者保函等形式的，投标人应于提交投标文件截止时间前递交（或邮寄）单独密封的支票、汇票、本票或者保函原件（电子保函除外）至我公司。（地址：</w:t>
      </w:r>
      <w:r>
        <w:rPr>
          <w:rFonts w:hint="eastAsia" w:ascii="宋体" w:hAnsi="宋体" w:eastAsia="宋体" w:cs="宋体"/>
          <w:color w:val="auto"/>
          <w:sz w:val="21"/>
          <w:szCs w:val="21"/>
          <w:highlight w:val="none"/>
          <w:u w:val="none"/>
          <w:lang w:eastAsia="zh-CN"/>
        </w:rPr>
        <w:t>南宁市青秀区云景路69号南宁轨道大厦B楼</w:t>
      </w:r>
      <w:r>
        <w:rPr>
          <w:rFonts w:hint="eastAsia" w:ascii="宋体" w:hAnsi="宋体" w:eastAsia="宋体" w:cs="宋体"/>
          <w:color w:val="auto"/>
          <w:sz w:val="21"/>
          <w:szCs w:val="21"/>
          <w:highlight w:val="none"/>
          <w:u w:val="none"/>
          <w:lang w:val="en-US" w:eastAsia="zh-CN"/>
        </w:rPr>
        <w:t>15</w:t>
      </w:r>
      <w:r>
        <w:rPr>
          <w:rFonts w:hint="eastAsia" w:ascii="宋体" w:hAnsi="宋体" w:eastAsia="宋体" w:cs="宋体"/>
          <w:color w:val="auto"/>
          <w:sz w:val="21"/>
          <w:szCs w:val="21"/>
          <w:highlight w:val="none"/>
          <w:u w:val="none"/>
          <w:lang w:eastAsia="zh-CN"/>
        </w:rPr>
        <w:t>层</w:t>
      </w:r>
      <w:r>
        <w:rPr>
          <w:rFonts w:hint="eastAsia" w:ascii="宋体" w:hAnsi="宋体" w:eastAsia="宋体" w:cs="宋体"/>
          <w:color w:val="auto"/>
          <w:szCs w:val="21"/>
          <w:highlight w:val="none"/>
          <w:u w:val="none"/>
          <w:lang w:val="en-US" w:eastAsia="zh-CN"/>
        </w:rPr>
        <w:t>，联系人：韦廷富、廖欣蕾、田甜，联系</w:t>
      </w:r>
      <w:r>
        <w:rPr>
          <w:rFonts w:hint="eastAsia" w:ascii="宋体" w:hAnsi="宋体" w:eastAsia="宋体" w:cs="宋体"/>
          <w:color w:val="auto"/>
          <w:szCs w:val="21"/>
          <w:highlight w:val="none"/>
          <w:lang w:val="en-US" w:eastAsia="zh-CN"/>
        </w:rPr>
        <w:t>电话：0771-5776251）</w:t>
      </w:r>
    </w:p>
    <w:p w14:paraId="65A76650">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2.采购意向公开链接：</w:t>
      </w:r>
    </w:p>
    <w:p w14:paraId="5501B0E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360" w:firstLineChars="150"/>
        <w:textAlignment w:val="auto"/>
        <w:rPr>
          <w:rFonts w:hint="eastAsia" w:ascii="宋体" w:hAnsi="宋体" w:eastAsia="宋体" w:cs="宋体"/>
          <w:color w:val="auto"/>
          <w:sz w:val="24"/>
          <w:szCs w:val="24"/>
          <w:highlight w:val="none"/>
        </w:rPr>
      </w:pPr>
      <w:bookmarkStart w:id="27" w:name="_Hlk37429585"/>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"http://www.ccgp-guangxi.gov.cn/site/detail?categoryCode=ZcyAnnouncement&amp;parentId=66485&amp;articleId=dsDC0EsN4rEYxtVr/T86lg==" </w:instrText>
      </w:r>
      <w:r>
        <w:rPr>
          <w:rFonts w:hint="eastAsia" w:ascii="宋体" w:hAnsi="宋体" w:eastAsia="宋体" w:cs="宋体"/>
          <w:color w:val="auto"/>
          <w:sz w:val="24"/>
          <w:szCs w:val="24"/>
          <w:highlight w:val="none"/>
        </w:rPr>
        <w:fldChar w:fldCharType="separate"/>
      </w:r>
      <w:r>
        <w:rPr>
          <w:rStyle w:val="41"/>
          <w:rFonts w:hint="eastAsia" w:ascii="宋体" w:hAnsi="宋体" w:eastAsia="宋体" w:cs="宋体"/>
          <w:color w:val="auto"/>
          <w:sz w:val="24"/>
          <w:szCs w:val="24"/>
          <w:highlight w:val="none"/>
        </w:rPr>
        <w:t>http://www.ccgp-guangxi.gov.cn/site/detail?categoryCode=ZcyAnnouncement&amp;parentId=66485&amp;articleId=dsDC0EsN4rEYxtVr/T86lg==</w:t>
      </w:r>
      <w:r>
        <w:rPr>
          <w:rFonts w:hint="eastAsia" w:ascii="宋体" w:hAnsi="宋体" w:eastAsia="宋体" w:cs="宋体"/>
          <w:color w:val="auto"/>
          <w:sz w:val="24"/>
          <w:szCs w:val="24"/>
          <w:highlight w:val="none"/>
        </w:rPr>
        <w:fldChar w:fldCharType="end"/>
      </w:r>
    </w:p>
    <w:p w14:paraId="1488BC4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bookmarkStart w:id="28" w:name="_Hlk37429595"/>
      <w:r>
        <w:rPr>
          <w:rFonts w:hint="eastAsia" w:ascii="宋体" w:hAnsi="宋体" w:eastAsia="宋体" w:cs="宋体"/>
          <w:color w:val="auto"/>
          <w:szCs w:val="21"/>
          <w:highlight w:val="none"/>
        </w:rPr>
        <w:t>网上查询地址</w:t>
      </w:r>
    </w:p>
    <w:bookmarkEnd w:id="27"/>
    <w:bookmarkEnd w:id="28"/>
    <w:p w14:paraId="075D9FD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29" w:name="_Hlk37429674"/>
      <w:r>
        <w:rPr>
          <w:rFonts w:hint="eastAsia" w:ascii="宋体" w:hAnsi="宋体" w:eastAsia="宋体" w:cs="宋体"/>
          <w:color w:val="auto"/>
          <w:szCs w:val="21"/>
          <w:highlight w:val="none"/>
        </w:rPr>
        <w:t>中国政府采购网（www.ccgp.gov.cn）、广西壮族自治区政府采购网（http://www.ccgp-guangxi.gov.cn）、广西壮族自治区公共资源交易中心网（gxggzy.gxzf.gov.cn）</w:t>
      </w:r>
      <w:r>
        <w:rPr>
          <w:rFonts w:hint="eastAsia" w:ascii="宋体" w:hAnsi="宋体" w:eastAsia="宋体" w:cs="宋体"/>
          <w:color w:val="auto"/>
          <w:szCs w:val="21"/>
          <w:highlight w:val="none"/>
          <w:lang w:eastAsia="zh-CN"/>
        </w:rPr>
        <w:t>、广西中信恒泰工程顾问有限公司</w:t>
      </w:r>
      <w:r>
        <w:rPr>
          <w:rFonts w:hint="eastAsia" w:ascii="宋体" w:hAnsi="宋体" w:eastAsia="宋体" w:cs="宋体"/>
          <w:color w:val="auto"/>
          <w:szCs w:val="21"/>
          <w:highlight w:val="none"/>
        </w:rPr>
        <w:t>(http://www.gxzxht.com)</w:t>
      </w:r>
      <w:r>
        <w:rPr>
          <w:rFonts w:hint="eastAsia" w:ascii="宋体" w:hAnsi="宋体" w:eastAsia="宋体" w:cs="宋体"/>
          <w:color w:val="auto"/>
          <w:szCs w:val="21"/>
          <w:highlight w:val="none"/>
          <w:lang w:eastAsia="zh-CN"/>
        </w:rPr>
        <w:t>。</w:t>
      </w:r>
    </w:p>
    <w:p w14:paraId="4EBB661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.本项目需要落实的政府采购政策</w:t>
      </w:r>
    </w:p>
    <w:p w14:paraId="278DE165">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576D8E0D">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（2）政府采购支持采用本国产品的政策。</w:t>
      </w:r>
    </w:p>
    <w:p w14:paraId="636B4050">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）政府采购促进残疾人就业政策。</w:t>
      </w:r>
    </w:p>
    <w:p w14:paraId="444C2DB4">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）政府采购支持监狱企业发展。</w:t>
      </w:r>
      <w:bookmarkEnd w:id="29"/>
      <w:bookmarkStart w:id="30" w:name="_Toc35393796"/>
      <w:bookmarkStart w:id="31" w:name="_Toc35393627"/>
      <w:bookmarkStart w:id="32" w:name="_Toc28359085"/>
      <w:bookmarkStart w:id="33" w:name="_Toc28359008"/>
    </w:p>
    <w:p w14:paraId="529BA4E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69253363">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6.若对项目采购电子交易系统操作有疑问，可登录广西政府采购云平台（https://www.gcy.zfcg.gxzf.gov.cn），或拨打广西政府采购云平台服务热线95763获取热线服务帮助。</w:t>
      </w:r>
    </w:p>
    <w:p w14:paraId="4C4431F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bookmarkEnd w:id="30"/>
      <w:bookmarkEnd w:id="31"/>
      <w:bookmarkEnd w:id="32"/>
      <w:bookmarkEnd w:id="33"/>
    </w:p>
    <w:p w14:paraId="550DAAB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.采购人信息</w:t>
      </w:r>
    </w:p>
    <w:p w14:paraId="2C246F7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广西壮族自治区民政厅</w:t>
      </w:r>
    </w:p>
    <w:p w14:paraId="6330A38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南宁市青秀区长虹路1号</w:t>
      </w:r>
    </w:p>
    <w:p w14:paraId="5C54BC55">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陆潇雨</w:t>
      </w:r>
    </w:p>
    <w:p w14:paraId="3B50CFD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项目联系方式：</w:t>
      </w:r>
      <w:r>
        <w:rPr>
          <w:rFonts w:hint="eastAsia" w:ascii="宋体" w:hAnsi="宋体" w:cs="宋体"/>
          <w:color w:val="auto"/>
          <w:szCs w:val="21"/>
          <w:highlight w:val="none"/>
          <w:lang w:val="en-US" w:eastAsia="zh-CN"/>
        </w:rPr>
        <w:t>0771-2635389</w:t>
      </w:r>
    </w:p>
    <w:p w14:paraId="3E0AE46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1325166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广西中信恒泰工程顾问有限公司</w:t>
      </w:r>
    </w:p>
    <w:p w14:paraId="7EFFAA27">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 w:val="21"/>
          <w:szCs w:val="21"/>
          <w:highlight w:val="none"/>
        </w:rPr>
        <w:t>南宁市青秀区云景路69号南宁轨道大厦B座</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层</w:t>
      </w:r>
    </w:p>
    <w:p w14:paraId="1BCC03B3">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联系方式：0771-5776251</w:t>
      </w:r>
    </w:p>
    <w:p w14:paraId="1021E16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3D5D09B3">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项目联系人：韦廷富、廖欣蕾、田甜</w:t>
      </w:r>
    </w:p>
    <w:p w14:paraId="3E5F836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电话：0771-5776251</w:t>
      </w:r>
    </w:p>
    <w:p w14:paraId="3E05442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210" w:firstLineChars="100"/>
        <w:jc w:val="right"/>
        <w:textAlignment w:val="auto"/>
        <w:rPr>
          <w:rFonts w:hint="eastAsia" w:ascii="宋体" w:hAnsi="宋体" w:eastAsia="宋体" w:cs="宋体"/>
          <w:color w:val="auto"/>
          <w:sz w:val="21"/>
          <w:szCs w:val="21"/>
          <w:highlight w:val="none"/>
          <w:u w:val="none"/>
          <w:lang w:eastAsia="zh-CN"/>
        </w:rPr>
      </w:pPr>
    </w:p>
    <w:p w14:paraId="7E1A659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210" w:firstLineChars="100"/>
        <w:jc w:val="righ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广西中信恒泰工程顾问有限公司</w:t>
      </w:r>
    </w:p>
    <w:p w14:paraId="7C75491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210" w:firstLineChars="1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2025年</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lang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eastAsia="zh-CN"/>
        </w:rPr>
        <w:t>日</w:t>
      </w:r>
    </w:p>
    <w:p w14:paraId="2A43CFEB">
      <w:pPr>
        <w:keepNext w:val="0"/>
        <w:keepLines w:val="0"/>
        <w:pageBreakBefore w:val="0"/>
        <w:kinsoku/>
        <w:wordWrap/>
        <w:overflowPunct/>
        <w:topLinePunct w:val="0"/>
        <w:autoSpaceDE/>
        <w:autoSpaceDN/>
        <w:bidi w:val="0"/>
        <w:adjustRightInd/>
        <w:snapToGrid w:val="0"/>
        <w:spacing w:beforeAutospacing="0" w:afterAutospacing="0" w:line="288" w:lineRule="auto"/>
        <w:ind w:firstLine="420"/>
        <w:textAlignment w:val="auto"/>
        <w:rPr>
          <w:rFonts w:hint="eastAsia" w:ascii="宋体" w:hAnsi="宋体" w:eastAsia="宋体" w:cs="宋体"/>
          <w:color w:val="auto"/>
          <w:sz w:val="24"/>
          <w:highlight w:val="none"/>
          <w:lang w:val="zh-CN"/>
        </w:rPr>
        <w:sectPr>
          <w:footerReference r:id="rId7" w:type="default"/>
          <w:pgSz w:w="11906" w:h="16838"/>
          <w:pgMar w:top="1304" w:right="1304" w:bottom="1304" w:left="1304" w:header="720" w:footer="720" w:gutter="0"/>
          <w:pgBorders w:offsetFrom="page">
            <w:top w:val="none" w:sz="0" w:space="0"/>
            <w:left w:val="none" w:sz="0" w:space="0"/>
            <w:bottom w:val="none" w:sz="0" w:space="0"/>
            <w:right w:val="none" w:sz="0" w:space="0"/>
          </w:pgBorders>
          <w:pgNumType w:fmt="decimal" w:start="1"/>
          <w:cols w:space="720" w:num="1"/>
          <w:docGrid w:type="lines" w:linePitch="331" w:charSpace="0"/>
        </w:sectPr>
      </w:pPr>
    </w:p>
    <w:p w14:paraId="48EF3F5D">
      <w:pPr>
        <w:pStyle w:val="2"/>
        <w:bidi w:val="0"/>
        <w:jc w:val="center"/>
        <w:rPr>
          <w:rFonts w:hint="eastAsia" w:ascii="宋体" w:hAnsi="宋体" w:eastAsia="宋体" w:cs="宋体"/>
          <w:color w:val="auto"/>
          <w:highlight w:val="none"/>
        </w:rPr>
      </w:pPr>
      <w:bookmarkStart w:id="34" w:name="_Toc532545042"/>
      <w:bookmarkStart w:id="35" w:name="_Toc6949"/>
      <w:bookmarkStart w:id="36" w:name="_Toc3069"/>
      <w:r>
        <w:rPr>
          <w:rFonts w:hint="eastAsia" w:ascii="宋体" w:hAnsi="宋体" w:eastAsia="宋体" w:cs="宋体"/>
          <w:color w:val="auto"/>
          <w:highlight w:val="none"/>
        </w:rPr>
        <w:t xml:space="preserve">第二章  </w:t>
      </w:r>
      <w:bookmarkEnd w:id="34"/>
      <w:r>
        <w:rPr>
          <w:rFonts w:hint="eastAsia" w:ascii="宋体" w:hAnsi="宋体" w:eastAsia="宋体" w:cs="宋体"/>
          <w:color w:val="auto"/>
          <w:highlight w:val="none"/>
        </w:rPr>
        <w:t>采购需求</w:t>
      </w:r>
      <w:bookmarkEnd w:id="35"/>
      <w:bookmarkEnd w:id="36"/>
    </w:p>
    <w:p w14:paraId="74587E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Cs w:val="21"/>
          <w:highlight w:val="none"/>
        </w:rPr>
      </w:pPr>
      <w:bookmarkStart w:id="37" w:name="_Toc254970631"/>
      <w:bookmarkStart w:id="38" w:name="_Toc254970490"/>
      <w:r>
        <w:rPr>
          <w:rFonts w:hint="eastAsia" w:ascii="宋体" w:hAnsi="宋体" w:eastAsia="宋体" w:cs="宋体"/>
          <w:b/>
          <w:bCs/>
          <w:color w:val="auto"/>
          <w:szCs w:val="21"/>
          <w:highlight w:val="none"/>
        </w:rPr>
        <w:t>说明：</w:t>
      </w:r>
    </w:p>
    <w:p w14:paraId="695F8733">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1.为落实政府采购政策需满足的要求</w:t>
      </w:r>
    </w:p>
    <w:p w14:paraId="7D95DF10">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（1）本招标文件所称中小企业必须符合《政府采购促进中小企业发展管理办法》（财库〔2020〕46号）的规定。</w:t>
      </w:r>
    </w:p>
    <w:p w14:paraId="71306815">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2.“实质性要求”是指招标文件中已经指明不满足则投标无效的条款，或者不能负偏离的条款，或者采购需求中带“▲”的条款。</w:t>
      </w:r>
    </w:p>
    <w:p w14:paraId="18E63F1D">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3.投标人必须自行为其投标产品侵犯他人的知识产权或者专利成果的行为承担相应法律责任。</w:t>
      </w:r>
    </w:p>
    <w:p w14:paraId="6F47467A">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highlight w:val="none"/>
          <w:lang w:val="en-US" w:eastAsia="zh-CN"/>
        </w:rPr>
        <w:t>4.</w:t>
      </w:r>
      <w:r>
        <w:rPr>
          <w:rFonts w:hint="eastAsia" w:ascii="宋体" w:hAnsi="宋体" w:eastAsia="宋体" w:cs="宋体"/>
          <w:b/>
          <w:bCs w:val="0"/>
          <w:color w:val="auto"/>
          <w:highlight w:val="none"/>
        </w:rPr>
        <w:t>采购标的对应的中小企业划准所属行业：</w:t>
      </w:r>
      <w:r>
        <w:rPr>
          <w:rFonts w:hint="eastAsia" w:ascii="宋体" w:hAnsi="宋体" w:eastAsia="宋体" w:cs="宋体"/>
          <w:b/>
          <w:bCs w:val="0"/>
          <w:color w:val="auto"/>
          <w:highlight w:val="none"/>
          <w:lang w:val="en-US" w:eastAsia="zh-CN"/>
        </w:rPr>
        <w:t>金融</w:t>
      </w:r>
      <w:r>
        <w:rPr>
          <w:rFonts w:hint="eastAsia" w:ascii="宋体" w:hAnsi="宋体" w:eastAsia="宋体" w:cs="宋体"/>
          <w:b/>
          <w:bCs w:val="0"/>
          <w:color w:val="auto"/>
          <w:highlight w:val="none"/>
        </w:rPr>
        <w:t>业</w:t>
      </w:r>
      <w:r>
        <w:rPr>
          <w:rFonts w:hint="eastAsia" w:ascii="宋体" w:hAnsi="宋体" w:eastAsia="宋体" w:cs="宋体"/>
          <w:b/>
          <w:bCs w:val="0"/>
          <w:color w:val="auto"/>
          <w:highlight w:val="none"/>
          <w:lang w:eastAsia="zh-CN"/>
        </w:rPr>
        <w:t>。</w:t>
      </w:r>
    </w:p>
    <w:p w14:paraId="14B34583">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2" w:firstLineChars="2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5.</w:t>
      </w:r>
      <w:r>
        <w:rPr>
          <w:rFonts w:hint="eastAsia" w:ascii="宋体" w:hAnsi="宋体" w:eastAsia="宋体" w:cs="宋体"/>
          <w:b/>
          <w:bCs w:val="0"/>
          <w:color w:val="auto"/>
          <w:highlight w:val="none"/>
        </w:rPr>
        <w:t>采购预算：1346万元（最高限价金额：1346万元）</w:t>
      </w:r>
    </w:p>
    <w:p w14:paraId="1F1C31C0">
      <w:pPr>
        <w:keepNext w:val="0"/>
        <w:keepLines w:val="0"/>
        <w:pageBreakBefore w:val="0"/>
        <w:widowControl w:val="0"/>
        <w:kinsoku/>
        <w:wordWrap/>
        <w:overflowPunct/>
        <w:topLinePunct w:val="0"/>
        <w:autoSpaceDE/>
        <w:autoSpaceDN/>
        <w:bidi w:val="0"/>
        <w:adjustRightInd/>
        <w:snapToGrid/>
        <w:spacing w:line="500" w:lineRule="exact"/>
        <w:ind w:left="-10" w:leftChars="-5" w:right="2" w:rightChars="1" w:firstLine="420" w:firstLineChars="200"/>
        <w:textAlignment w:val="auto"/>
        <w:rPr>
          <w:rFonts w:hint="eastAsia"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6.</w:t>
      </w:r>
      <w:r>
        <w:rPr>
          <w:rFonts w:hint="eastAsia" w:ascii="宋体" w:hAnsi="宋体" w:eastAsia="宋体" w:cs="宋体"/>
          <w:b w:val="0"/>
          <w:bCs/>
          <w:color w:val="auto"/>
          <w:highlight w:val="none"/>
          <w:lang w:val="en-US" w:eastAsia="zh-CN"/>
        </w:rPr>
        <w:t>本项目为服务</w:t>
      </w:r>
      <w:r>
        <w:rPr>
          <w:rFonts w:hint="eastAsia" w:ascii="宋体" w:hAnsi="宋体" w:cs="宋体"/>
          <w:b w:val="0"/>
          <w:bCs/>
          <w:color w:val="auto"/>
          <w:highlight w:val="none"/>
          <w:lang w:val="en-US" w:eastAsia="zh-CN"/>
        </w:rPr>
        <w:t>类</w:t>
      </w:r>
      <w:r>
        <w:rPr>
          <w:rFonts w:hint="eastAsia" w:ascii="宋体" w:hAnsi="宋体" w:eastAsia="宋体" w:cs="宋体"/>
          <w:b w:val="0"/>
          <w:bCs/>
          <w:color w:val="auto"/>
          <w:highlight w:val="none"/>
          <w:lang w:val="en-US" w:eastAsia="zh-CN"/>
        </w:rPr>
        <w:t>采购，无核心产品。</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574"/>
        <w:gridCol w:w="817"/>
        <w:gridCol w:w="6836"/>
      </w:tblGrid>
      <w:tr w14:paraId="68C1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8" w:type="dxa"/>
            <w:gridSpan w:val="4"/>
            <w:noWrap w:val="0"/>
            <w:vAlign w:val="center"/>
          </w:tcPr>
          <w:p w14:paraId="12B7E027">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1"/>
                <w:szCs w:val="21"/>
                <w:highlight w:val="none"/>
              </w:rPr>
            </w:pPr>
            <w:bookmarkStart w:id="39" w:name="_Toc96502201"/>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项目要求及技术需求</w:t>
            </w:r>
            <w:bookmarkEnd w:id="39"/>
          </w:p>
        </w:tc>
      </w:tr>
      <w:tr w14:paraId="4CCF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1" w:type="dxa"/>
            <w:noWrap w:val="0"/>
            <w:vAlign w:val="center"/>
          </w:tcPr>
          <w:p w14:paraId="368E1A8F">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1574" w:type="dxa"/>
            <w:noWrap w:val="0"/>
            <w:vAlign w:val="center"/>
          </w:tcPr>
          <w:p w14:paraId="77E7F14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817" w:type="dxa"/>
            <w:noWrap w:val="0"/>
            <w:vAlign w:val="center"/>
          </w:tcPr>
          <w:p w14:paraId="1A7148A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r>
              <w:rPr>
                <w:rFonts w:hint="eastAsia" w:ascii="宋体" w:hAnsi="宋体" w:eastAsia="宋体" w:cs="宋体"/>
                <w:b/>
                <w:color w:val="auto"/>
                <w:sz w:val="21"/>
                <w:szCs w:val="21"/>
                <w:highlight w:val="none"/>
                <w:lang w:val="en-US" w:eastAsia="zh-CN"/>
              </w:rPr>
              <w:t>/单位</w:t>
            </w:r>
          </w:p>
        </w:tc>
        <w:tc>
          <w:tcPr>
            <w:tcW w:w="6836" w:type="dxa"/>
            <w:noWrap w:val="0"/>
            <w:vAlign w:val="center"/>
          </w:tcPr>
          <w:p w14:paraId="53B8BC83">
            <w:pPr>
              <w:keepNext w:val="0"/>
              <w:keepLines w:val="0"/>
              <w:pageBreakBefore w:val="0"/>
              <w:kinsoku/>
              <w:wordWrap/>
              <w:overflowPunct/>
              <w:topLinePunct w:val="0"/>
              <w:autoSpaceDE/>
              <w:autoSpaceDN/>
              <w:bidi w:val="0"/>
              <w:spacing w:line="480" w:lineRule="exact"/>
              <w:ind w:firstLine="2108" w:firstLineChars="10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项目要求及技术需求</w:t>
            </w:r>
          </w:p>
        </w:tc>
      </w:tr>
      <w:tr w14:paraId="4E56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0"/>
            <w:vAlign w:val="center"/>
          </w:tcPr>
          <w:p w14:paraId="2120CA0A">
            <w:pPr>
              <w:keepNext w:val="0"/>
              <w:keepLines w:val="0"/>
              <w:pageBreakBefore w:val="0"/>
              <w:widowControl w:val="0"/>
              <w:kinsoku/>
              <w:wordWrap/>
              <w:overflowPunct/>
              <w:topLinePunct w:val="0"/>
              <w:autoSpaceDE/>
              <w:autoSpaceDN/>
              <w:bidi w:val="0"/>
              <w:adjustRightInd/>
              <w:spacing w:line="48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4" w:type="dxa"/>
            <w:noWrap w:val="0"/>
            <w:vAlign w:val="center"/>
          </w:tcPr>
          <w:p w14:paraId="26942049">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2025—2026年度广西分散供养特困人员住院护理保险试点项目</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3B80EDF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836" w:type="dxa"/>
            <w:tcBorders>
              <w:top w:val="single" w:color="auto" w:sz="4" w:space="0"/>
              <w:left w:val="nil"/>
              <w:bottom w:val="single" w:color="auto" w:sz="4" w:space="0"/>
              <w:right w:val="single" w:color="auto" w:sz="4" w:space="0"/>
            </w:tcBorders>
            <w:noWrap w:val="0"/>
            <w:vAlign w:val="center"/>
          </w:tcPr>
          <w:p w14:paraId="55C27B54">
            <w:pPr>
              <w:shd w:val="clear"/>
              <w:snapToGrid w:val="0"/>
              <w:spacing w:line="580" w:lineRule="exact"/>
              <w:ind w:firstLine="422" w:firstLineChars="200"/>
              <w:jc w:val="left"/>
              <w:outlineLvl w:val="9"/>
              <w:rPr>
                <w:rFonts w:hint="eastAsia" w:ascii="宋体" w:hAnsi="宋体" w:eastAsia="宋体" w:cs="宋体"/>
                <w:b/>
                <w:color w:val="auto"/>
                <w:kern w:val="0"/>
                <w:sz w:val="21"/>
                <w:szCs w:val="21"/>
                <w:highlight w:val="none"/>
                <w:shd w:val="clear" w:color="auto" w:fill="FFFFFF"/>
                <w:lang w:eastAsia="zh-CN"/>
              </w:rPr>
            </w:pPr>
            <w:r>
              <w:rPr>
                <w:rFonts w:hint="eastAsia" w:ascii="宋体" w:hAnsi="宋体" w:eastAsia="宋体" w:cs="宋体"/>
                <w:b/>
                <w:bCs w:val="0"/>
                <w:color w:val="auto"/>
                <w:kern w:val="0"/>
                <w:sz w:val="21"/>
                <w:szCs w:val="21"/>
                <w:highlight w:val="none"/>
                <w:shd w:val="clear" w:color="auto" w:fill="FFFFFF"/>
              </w:rPr>
              <w:t>一、项目概况</w:t>
            </w:r>
          </w:p>
          <w:p w14:paraId="25189491">
            <w:pPr>
              <w:shd w:val="clear"/>
              <w:snapToGrid w:val="0"/>
              <w:spacing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为深入学习贯彻落实习近平总书记对民政工作的指示及第十五次全国民政会议精神，根据《社会救助暂行办法》（国务院令第649号</w:t>
            </w:r>
            <w:r>
              <w:rPr>
                <w:rFonts w:hint="eastAsia" w:ascii="宋体" w:hAnsi="宋体" w:cs="宋体"/>
                <w:color w:val="auto"/>
                <w:sz w:val="21"/>
                <w:szCs w:val="21"/>
                <w:highlight w:val="none"/>
                <w:lang w:val="en-US" w:eastAsia="zh-CN"/>
              </w:rPr>
              <w:t>）</w:t>
            </w:r>
            <w:r>
              <w:rPr>
                <w:rFonts w:hint="eastAsia" w:ascii="宋体" w:hAnsi="宋体" w:eastAsia="宋体" w:cs="宋体"/>
                <w:color w:val="auto"/>
                <w:kern w:val="2"/>
                <w:sz w:val="21"/>
                <w:szCs w:val="21"/>
                <w:highlight w:val="none"/>
                <w:shd w:val="clear" w:color="auto" w:fill="auto"/>
                <w:lang w:val="en-US" w:eastAsia="zh-CN"/>
              </w:rPr>
              <w:t>和</w:t>
            </w:r>
            <w:r>
              <w:rPr>
                <w:rFonts w:hint="eastAsia" w:ascii="宋体" w:hAnsi="宋体" w:eastAsia="宋体" w:cs="宋体"/>
                <w:color w:val="auto"/>
                <w:sz w:val="21"/>
                <w:szCs w:val="21"/>
                <w:highlight w:val="none"/>
                <w:lang w:val="en-US"/>
              </w:rPr>
              <w:t>《自治区人民政府关于进一步健全特困人员救助供养制度的实施意见》（桂政发〔20</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val="en-US"/>
              </w:rPr>
              <w:t>〕79号）精神，推进广西特困人员住院</w:t>
            </w:r>
            <w:r>
              <w:rPr>
                <w:rFonts w:hint="eastAsia" w:ascii="宋体" w:hAnsi="宋体" w:eastAsia="宋体" w:cs="宋体"/>
                <w:color w:val="auto"/>
                <w:sz w:val="21"/>
                <w:szCs w:val="21"/>
                <w:highlight w:val="none"/>
                <w:lang w:val="en-US" w:eastAsia="zh-CN"/>
              </w:rPr>
              <w:t>医疗</w:t>
            </w:r>
            <w:r>
              <w:rPr>
                <w:rFonts w:hint="eastAsia" w:ascii="宋体" w:hAnsi="宋体" w:eastAsia="宋体" w:cs="宋体"/>
                <w:color w:val="auto"/>
                <w:sz w:val="21"/>
                <w:szCs w:val="21"/>
                <w:highlight w:val="none"/>
                <w:lang w:val="en-US"/>
              </w:rPr>
              <w:t>护理保险</w:t>
            </w:r>
            <w:r>
              <w:rPr>
                <w:rFonts w:hint="eastAsia" w:ascii="宋体" w:hAnsi="宋体" w:eastAsia="宋体" w:cs="宋体"/>
                <w:color w:val="auto"/>
                <w:sz w:val="21"/>
                <w:szCs w:val="21"/>
                <w:highlight w:val="none"/>
                <w:lang w:val="en-US" w:eastAsia="zh-CN"/>
              </w:rPr>
              <w:t>试点</w:t>
            </w:r>
            <w:r>
              <w:rPr>
                <w:rFonts w:hint="eastAsia" w:ascii="宋体" w:hAnsi="宋体" w:eastAsia="宋体" w:cs="宋体"/>
                <w:color w:val="auto"/>
                <w:sz w:val="21"/>
                <w:szCs w:val="21"/>
                <w:highlight w:val="none"/>
                <w:lang w:val="en-US"/>
              </w:rPr>
              <w:t>项目，切实缓解特困人员住院医疗期间的照料护理困难，兜牢特困人员看病就医保障底线。</w:t>
            </w:r>
            <w:r>
              <w:rPr>
                <w:rFonts w:hint="eastAsia" w:ascii="宋体" w:hAnsi="宋体" w:eastAsia="宋体" w:cs="宋体"/>
                <w:color w:val="auto"/>
                <w:kern w:val="2"/>
                <w:sz w:val="21"/>
                <w:szCs w:val="21"/>
                <w:highlight w:val="none"/>
                <w:shd w:val="clear" w:color="auto" w:fill="auto"/>
              </w:rPr>
              <w:t>自治区民政厅依照中华人民共和国《</w:t>
            </w:r>
            <w:r>
              <w:rPr>
                <w:rFonts w:hint="eastAsia" w:ascii="宋体" w:hAnsi="宋体" w:eastAsia="宋体" w:cs="宋体"/>
                <w:color w:val="auto"/>
                <w:kern w:val="2"/>
                <w:sz w:val="21"/>
                <w:szCs w:val="21"/>
                <w:highlight w:val="none"/>
                <w:shd w:val="clear" w:color="auto" w:fill="auto"/>
                <w:lang w:eastAsia="zh-CN"/>
              </w:rPr>
              <w:t>中华人民共和国招标投标法</w:t>
            </w:r>
            <w:r>
              <w:rPr>
                <w:rFonts w:hint="eastAsia" w:ascii="宋体" w:hAnsi="宋体" w:eastAsia="宋体" w:cs="宋体"/>
                <w:color w:val="auto"/>
                <w:kern w:val="2"/>
                <w:sz w:val="21"/>
                <w:szCs w:val="21"/>
                <w:highlight w:val="none"/>
                <w:shd w:val="clear" w:color="auto" w:fill="auto"/>
              </w:rPr>
              <w:t>》和《</w:t>
            </w:r>
            <w:r>
              <w:rPr>
                <w:rFonts w:hint="eastAsia" w:ascii="宋体" w:hAnsi="宋体" w:eastAsia="宋体" w:cs="宋体"/>
                <w:color w:val="auto"/>
                <w:kern w:val="2"/>
                <w:sz w:val="21"/>
                <w:szCs w:val="21"/>
                <w:highlight w:val="none"/>
                <w:shd w:val="clear" w:color="auto" w:fill="auto"/>
                <w:lang w:eastAsia="zh-CN"/>
              </w:rPr>
              <w:t>中华人民共和国政府采购法</w:t>
            </w:r>
            <w:r>
              <w:rPr>
                <w:rFonts w:hint="eastAsia" w:ascii="宋体" w:hAnsi="宋体" w:eastAsia="宋体" w:cs="宋体"/>
                <w:color w:val="auto"/>
                <w:kern w:val="2"/>
                <w:sz w:val="21"/>
                <w:szCs w:val="21"/>
                <w:highlight w:val="none"/>
                <w:shd w:val="clear" w:color="auto" w:fill="auto"/>
              </w:rPr>
              <w:t>》</w:t>
            </w:r>
            <w:r>
              <w:rPr>
                <w:rFonts w:hint="eastAsia" w:ascii="宋体" w:hAnsi="宋体" w:eastAsia="宋体" w:cs="宋体"/>
                <w:color w:val="auto"/>
                <w:kern w:val="2"/>
                <w:sz w:val="21"/>
                <w:szCs w:val="21"/>
                <w:highlight w:val="none"/>
                <w:shd w:val="clear" w:color="auto" w:fill="auto"/>
                <w:lang w:val="en-US" w:eastAsia="zh-CN"/>
              </w:rPr>
              <w:t>等</w:t>
            </w:r>
            <w:r>
              <w:rPr>
                <w:rFonts w:hint="eastAsia" w:ascii="宋体" w:hAnsi="宋体" w:eastAsia="宋体" w:cs="宋体"/>
                <w:color w:val="auto"/>
                <w:kern w:val="2"/>
                <w:sz w:val="21"/>
                <w:szCs w:val="21"/>
                <w:highlight w:val="none"/>
                <w:shd w:val="clear" w:color="auto" w:fill="auto"/>
              </w:rPr>
              <w:t>有关规定，</w:t>
            </w:r>
            <w:r>
              <w:rPr>
                <w:rFonts w:hint="eastAsia" w:ascii="宋体" w:hAnsi="宋体" w:eastAsia="宋体" w:cs="宋体"/>
                <w:color w:val="auto"/>
                <w:sz w:val="21"/>
                <w:szCs w:val="21"/>
                <w:highlight w:val="none"/>
              </w:rPr>
              <w:t>通过政府购买服务方式，公开招标择优选取保险人</w:t>
            </w:r>
            <w:r>
              <w:rPr>
                <w:rFonts w:hint="eastAsia" w:ascii="宋体" w:hAnsi="宋体" w:eastAsia="宋体" w:cs="宋体"/>
                <w:color w:val="auto"/>
                <w:sz w:val="21"/>
                <w:szCs w:val="21"/>
                <w:highlight w:val="none"/>
                <w:lang w:val="en-US" w:eastAsia="zh-CN"/>
              </w:rPr>
              <w:t>1家</w:t>
            </w:r>
            <w:r>
              <w:rPr>
                <w:rFonts w:hint="eastAsia" w:ascii="宋体" w:hAnsi="宋体" w:eastAsia="宋体" w:cs="宋体"/>
                <w:color w:val="auto"/>
                <w:sz w:val="21"/>
                <w:szCs w:val="21"/>
                <w:highlight w:val="none"/>
              </w:rPr>
              <w:t>，由中标保险人对</w:t>
            </w:r>
            <w:r>
              <w:rPr>
                <w:rFonts w:hint="eastAsia" w:ascii="宋体" w:hAnsi="宋体" w:eastAsia="宋体" w:cs="宋体"/>
                <w:color w:val="auto"/>
                <w:sz w:val="21"/>
                <w:szCs w:val="21"/>
                <w:highlight w:val="none"/>
                <w:lang w:val="en-US" w:eastAsia="zh-CN"/>
              </w:rPr>
              <w:t>试点县（市、区）</w:t>
            </w:r>
            <w:r>
              <w:rPr>
                <w:rFonts w:hint="eastAsia" w:ascii="宋体" w:hAnsi="宋体" w:eastAsia="宋体" w:cs="宋体"/>
                <w:color w:val="auto"/>
                <w:sz w:val="21"/>
                <w:szCs w:val="21"/>
                <w:highlight w:val="none"/>
              </w:rPr>
              <w:t>因疾病或意外伤害住院的特困人员</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住院医疗护理保险。</w:t>
            </w:r>
          </w:p>
          <w:p w14:paraId="7034529B">
            <w:pPr>
              <w:shd w:val="clear"/>
              <w:snapToGrid w:val="0"/>
              <w:spacing w:line="580" w:lineRule="exact"/>
              <w:ind w:firstLine="422" w:firstLineChars="200"/>
              <w:jc w:val="both"/>
              <w:outlineLvl w:val="9"/>
              <w:rPr>
                <w:rFonts w:hint="eastAsia" w:ascii="宋体" w:hAnsi="宋体" w:eastAsia="宋体" w:cs="宋体"/>
                <w:b/>
                <w:bCs w:val="0"/>
                <w:color w:val="auto"/>
                <w:kern w:val="0"/>
                <w:sz w:val="21"/>
                <w:szCs w:val="21"/>
                <w:highlight w:val="none"/>
                <w:shd w:val="clear" w:color="auto" w:fill="FFFFFF"/>
                <w:lang w:val="en-US" w:eastAsia="zh-CN"/>
              </w:rPr>
            </w:pPr>
            <w:r>
              <w:rPr>
                <w:rFonts w:hint="eastAsia" w:ascii="宋体" w:hAnsi="宋体" w:eastAsia="宋体" w:cs="宋体"/>
                <w:b/>
                <w:bCs w:val="0"/>
                <w:color w:val="auto"/>
                <w:kern w:val="0"/>
                <w:sz w:val="21"/>
                <w:szCs w:val="21"/>
                <w:highlight w:val="none"/>
                <w:shd w:val="clear" w:color="auto" w:fill="FFFFFF"/>
                <w:lang w:val="en-US" w:eastAsia="zh-CN"/>
              </w:rPr>
              <w:t>二、试点区域</w:t>
            </w:r>
          </w:p>
          <w:p w14:paraId="7A13B8D0">
            <w:pPr>
              <w:shd w:val="clear"/>
              <w:snapToGrid w:val="0"/>
              <w:spacing w:line="5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南宁市上林县、马山县、隆安县，桂林永福县、兴安县、灌阳县，北海市，防城港市，百色市，崇左市等6市33县。</w:t>
            </w:r>
          </w:p>
          <w:p w14:paraId="03739487">
            <w:pPr>
              <w:shd w:val="clear"/>
              <w:snapToGrid w:val="0"/>
              <w:spacing w:line="580" w:lineRule="exact"/>
              <w:ind w:firstLine="422" w:firstLineChars="200"/>
              <w:jc w:val="both"/>
              <w:outlineLvl w:val="9"/>
              <w:rPr>
                <w:rFonts w:hint="eastAsia" w:ascii="宋体" w:hAnsi="宋体" w:eastAsia="宋体" w:cs="宋体"/>
                <w:b/>
                <w:bCs w:val="0"/>
                <w:color w:val="auto"/>
                <w:kern w:val="0"/>
                <w:sz w:val="21"/>
                <w:szCs w:val="21"/>
                <w:highlight w:val="none"/>
                <w:shd w:val="clear" w:color="auto" w:fill="FFFFFF"/>
                <w:lang w:eastAsia="zh-CN"/>
              </w:rPr>
            </w:pPr>
            <w:r>
              <w:rPr>
                <w:rFonts w:hint="eastAsia" w:ascii="宋体" w:hAnsi="宋体" w:eastAsia="宋体" w:cs="宋体"/>
                <w:b/>
                <w:bCs w:val="0"/>
                <w:color w:val="auto"/>
                <w:kern w:val="0"/>
                <w:sz w:val="21"/>
                <w:szCs w:val="21"/>
                <w:highlight w:val="none"/>
                <w:shd w:val="clear" w:color="auto" w:fill="FFFFFF"/>
                <w:lang w:val="en-US" w:eastAsia="zh-CN"/>
              </w:rPr>
              <w:t>三</w:t>
            </w:r>
            <w:r>
              <w:rPr>
                <w:rFonts w:hint="eastAsia" w:ascii="宋体" w:hAnsi="宋体" w:eastAsia="宋体" w:cs="宋体"/>
                <w:b/>
                <w:bCs w:val="0"/>
                <w:color w:val="auto"/>
                <w:kern w:val="0"/>
                <w:sz w:val="21"/>
                <w:szCs w:val="21"/>
                <w:highlight w:val="none"/>
                <w:shd w:val="clear" w:color="auto" w:fill="FFFFFF"/>
              </w:rPr>
              <w:t>、采购服务内容</w:t>
            </w:r>
          </w:p>
          <w:p w14:paraId="0DF1EEB3">
            <w:pPr>
              <w:snapToGrid w:val="0"/>
              <w:spacing w:beforeLines="-2147483648" w:afterLines="-2147483648" w:line="580" w:lineRule="exact"/>
              <w:ind w:firstLine="422" w:firstLineChars="200"/>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）保障对象</w:t>
            </w:r>
          </w:p>
          <w:p w14:paraId="5DF82E7B">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特困人员住院护理</w:t>
            </w:r>
            <w:r>
              <w:rPr>
                <w:rFonts w:hint="eastAsia" w:ascii="宋体" w:hAnsi="宋体" w:eastAsia="宋体" w:cs="宋体"/>
                <w:bCs w:val="0"/>
                <w:color w:val="auto"/>
                <w:kern w:val="2"/>
                <w:sz w:val="21"/>
                <w:szCs w:val="21"/>
                <w:highlight w:val="none"/>
                <w:shd w:val="clear" w:color="auto" w:fill="auto"/>
                <w:lang w:val="en-US" w:eastAsia="zh-CN"/>
              </w:rPr>
              <w:t>救助</w:t>
            </w:r>
            <w:r>
              <w:rPr>
                <w:rFonts w:hint="eastAsia" w:ascii="宋体" w:hAnsi="宋体" w:eastAsia="宋体" w:cs="宋体"/>
                <w:color w:val="auto"/>
                <w:sz w:val="21"/>
                <w:szCs w:val="21"/>
                <w:highlight w:val="none"/>
              </w:rPr>
              <w:t>保险采购内容，包括试点</w:t>
            </w:r>
            <w:r>
              <w:rPr>
                <w:rFonts w:hint="eastAsia" w:ascii="宋体" w:hAnsi="宋体" w:eastAsia="宋体" w:cs="宋体"/>
                <w:color w:val="auto"/>
                <w:sz w:val="21"/>
                <w:szCs w:val="21"/>
                <w:highlight w:val="none"/>
                <w:lang w:val="en-US" w:eastAsia="zh-CN"/>
              </w:rPr>
              <w:t>县（市、区）</w:t>
            </w:r>
            <w:r>
              <w:rPr>
                <w:rFonts w:hint="eastAsia" w:ascii="宋体" w:hAnsi="宋体" w:eastAsia="宋体" w:cs="宋体"/>
                <w:color w:val="auto"/>
                <w:sz w:val="21"/>
                <w:szCs w:val="21"/>
                <w:highlight w:val="none"/>
              </w:rPr>
              <w:t>在册散居特困人员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试点</w:t>
            </w:r>
            <w:r>
              <w:rPr>
                <w:rFonts w:hint="eastAsia" w:ascii="宋体" w:hAnsi="宋体" w:eastAsia="宋体" w:cs="宋体"/>
                <w:color w:val="auto"/>
                <w:sz w:val="21"/>
                <w:szCs w:val="21"/>
                <w:highlight w:val="none"/>
                <w:lang w:val="en-US" w:eastAsia="zh-CN"/>
              </w:rPr>
              <w:t>县（市、区）</w:t>
            </w:r>
            <w:r>
              <w:rPr>
                <w:rFonts w:hint="eastAsia" w:ascii="宋体" w:hAnsi="宋体" w:eastAsia="宋体" w:cs="宋体"/>
                <w:color w:val="auto"/>
                <w:sz w:val="21"/>
                <w:szCs w:val="21"/>
                <w:highlight w:val="none"/>
              </w:rPr>
              <w:t>现有特困人员共</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 w:eastAsia="zh-CN"/>
              </w:rPr>
              <w:t>8</w:t>
            </w:r>
            <w:r>
              <w:rPr>
                <w:rFonts w:hint="eastAsia" w:ascii="宋体" w:hAnsi="宋体" w:eastAsia="宋体" w:cs="宋体"/>
                <w:b w:val="0"/>
                <w:bCs w:val="0"/>
                <w:color w:val="auto"/>
                <w:sz w:val="21"/>
                <w:szCs w:val="21"/>
                <w:highlight w:val="none"/>
                <w:lang w:val="en-US" w:eastAsia="zh-CN"/>
              </w:rPr>
              <w:t>万</w:t>
            </w:r>
            <w:r>
              <w:rPr>
                <w:rFonts w:hint="eastAsia" w:ascii="宋体" w:hAnsi="宋体" w:eastAsia="宋体" w:cs="宋体"/>
                <w:color w:val="auto"/>
                <w:sz w:val="21"/>
                <w:szCs w:val="21"/>
                <w:highlight w:val="none"/>
              </w:rPr>
              <w:t>人，具体人数以购买当月实际人数为准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、每月新增特困人员。</w:t>
            </w:r>
          </w:p>
          <w:p w14:paraId="54290FDA">
            <w:pPr>
              <w:snapToGrid w:val="0"/>
              <w:spacing w:beforeLines="-2147483648" w:afterLines="-2147483648" w:line="580" w:lineRule="exact"/>
              <w:ind w:firstLine="420"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保险期间参保对象按月进行动态管理，新增特困人员自审批之日次月起纳入住院护理保险范围，终止救助特困人员自审批之日次月起退出住院护理保险范围。</w:t>
            </w:r>
          </w:p>
          <w:p w14:paraId="49630827">
            <w:pPr>
              <w:snapToGrid w:val="0"/>
              <w:spacing w:beforeLines="-2147483648" w:afterLines="-2147483648" w:line="580" w:lineRule="exact"/>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w:t>
            </w:r>
            <w:r>
              <w:rPr>
                <w:rFonts w:hint="eastAsia" w:ascii="宋体" w:hAnsi="宋体" w:eastAsia="宋体" w:cs="宋体"/>
                <w:b/>
                <w:bCs/>
                <w:color w:val="auto"/>
                <w:sz w:val="21"/>
                <w:szCs w:val="21"/>
                <w:highlight w:val="none"/>
                <w:lang w:eastAsia="zh-CN"/>
              </w:rPr>
              <w:t>期限：</w:t>
            </w:r>
            <w:r>
              <w:rPr>
                <w:rFonts w:hint="eastAsia" w:ascii="宋体" w:hAnsi="宋体" w:eastAsia="宋体" w:cs="宋体"/>
                <w:color w:val="auto"/>
                <w:sz w:val="21"/>
                <w:szCs w:val="21"/>
                <w:highlight w:val="none"/>
                <w:lang w:val="en-US" w:eastAsia="zh-CN"/>
              </w:rPr>
              <w:t>1年</w:t>
            </w:r>
            <w:r>
              <w:rPr>
                <w:rFonts w:hint="eastAsia"/>
                <w:color w:val="auto"/>
                <w:highlight w:val="none"/>
                <w:lang w:val="en-US" w:eastAsia="zh-CN"/>
              </w:rPr>
              <w:t>（自通过政府采购确定承接的保险机构并签署合同之日起计算）</w:t>
            </w:r>
            <w:r>
              <w:rPr>
                <w:rFonts w:hint="eastAsia" w:ascii="宋体" w:hAnsi="宋体" w:eastAsia="宋体" w:cs="宋体"/>
                <w:color w:val="auto"/>
                <w:sz w:val="21"/>
                <w:szCs w:val="21"/>
                <w:highlight w:val="none"/>
                <w:lang w:val="en-US" w:eastAsia="zh-CN"/>
              </w:rPr>
              <w:t>。</w:t>
            </w:r>
          </w:p>
          <w:p w14:paraId="56ED6A8C">
            <w:pPr>
              <w:snapToGrid w:val="0"/>
              <w:spacing w:beforeLines="-2147483648" w:afterLines="-2147483648" w:line="580" w:lineRule="exact"/>
              <w:ind w:firstLine="422" w:firstLineChars="200"/>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）参保形式</w:t>
            </w:r>
          </w:p>
          <w:p w14:paraId="7C4F09CD">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采取政府统一出资参保的形式，为</w:t>
            </w:r>
            <w:r>
              <w:rPr>
                <w:rFonts w:hint="eastAsia" w:ascii="宋体" w:hAnsi="宋体" w:eastAsia="宋体" w:cs="宋体"/>
                <w:color w:val="auto"/>
                <w:sz w:val="21"/>
                <w:szCs w:val="21"/>
                <w:highlight w:val="none"/>
                <w:lang w:val="en-US" w:eastAsia="zh-CN"/>
              </w:rPr>
              <w:t>试点地区的在册散居特困人员</w:t>
            </w:r>
            <w:r>
              <w:rPr>
                <w:rFonts w:hint="eastAsia" w:ascii="宋体" w:hAnsi="宋体" w:eastAsia="宋体" w:cs="宋体"/>
                <w:color w:val="auto"/>
                <w:sz w:val="21"/>
                <w:szCs w:val="21"/>
                <w:highlight w:val="none"/>
              </w:rPr>
              <w:t>购买</w:t>
            </w:r>
            <w:r>
              <w:rPr>
                <w:rFonts w:hint="eastAsia" w:ascii="宋体" w:hAnsi="宋体" w:eastAsia="宋体" w:cs="宋体"/>
                <w:color w:val="auto"/>
                <w:kern w:val="0"/>
                <w:sz w:val="21"/>
                <w:szCs w:val="21"/>
                <w:highlight w:val="none"/>
                <w:shd w:val="clear" w:color="auto" w:fill="FFFFFF"/>
              </w:rPr>
              <w:t>2025—202</w:t>
            </w:r>
            <w:r>
              <w:rPr>
                <w:rFonts w:hint="eastAsia" w:ascii="宋体" w:hAnsi="宋体" w:eastAsia="宋体" w:cs="宋体"/>
                <w:color w:val="auto"/>
                <w:kern w:val="0"/>
                <w:sz w:val="21"/>
                <w:szCs w:val="21"/>
                <w:highlight w:val="none"/>
                <w:shd w:val="clear" w:color="auto" w:fill="FFFFFF"/>
                <w:lang w:val="en-US" w:eastAsia="zh-CN"/>
              </w:rPr>
              <w:t>6</w:t>
            </w:r>
            <w:r>
              <w:rPr>
                <w:rFonts w:hint="eastAsia" w:ascii="宋体" w:hAnsi="宋体" w:eastAsia="宋体" w:cs="宋体"/>
                <w:color w:val="auto"/>
                <w:kern w:val="0"/>
                <w:sz w:val="21"/>
                <w:szCs w:val="21"/>
                <w:highlight w:val="none"/>
                <w:shd w:val="clear" w:color="auto" w:fill="FFFFFF"/>
              </w:rPr>
              <w:t>年度</w:t>
            </w:r>
            <w:r>
              <w:rPr>
                <w:rFonts w:hint="eastAsia" w:ascii="宋体" w:hAnsi="宋体" w:eastAsia="宋体" w:cs="宋体"/>
                <w:color w:val="auto"/>
                <w:sz w:val="21"/>
                <w:szCs w:val="21"/>
                <w:highlight w:val="none"/>
                <w:lang w:val="en-US" w:eastAsia="zh-CN"/>
              </w:rPr>
              <w:t>特困人员住院医疗护理</w:t>
            </w:r>
            <w:r>
              <w:rPr>
                <w:rFonts w:hint="eastAsia" w:ascii="宋体" w:hAnsi="宋体" w:eastAsia="宋体" w:cs="宋体"/>
                <w:bCs w:val="0"/>
                <w:color w:val="auto"/>
                <w:kern w:val="2"/>
                <w:sz w:val="21"/>
                <w:szCs w:val="21"/>
                <w:highlight w:val="none"/>
                <w:shd w:val="clear" w:color="auto" w:fill="auto"/>
                <w:lang w:val="en-US" w:eastAsia="zh-CN"/>
              </w:rPr>
              <w:t>救助</w:t>
            </w:r>
            <w:r>
              <w:rPr>
                <w:rFonts w:hint="eastAsia" w:ascii="宋体" w:hAnsi="宋体" w:eastAsia="宋体" w:cs="宋体"/>
                <w:color w:val="auto"/>
                <w:sz w:val="21"/>
                <w:szCs w:val="21"/>
                <w:highlight w:val="none"/>
              </w:rPr>
              <w:t>保险。</w:t>
            </w:r>
          </w:p>
          <w:p w14:paraId="2391C71F">
            <w:pPr>
              <w:snapToGrid w:val="0"/>
              <w:spacing w:beforeLines="-2147483648" w:afterLines="-2147483648" w:line="580" w:lineRule="exact"/>
              <w:ind w:firstLine="422" w:firstLineChars="200"/>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保险责任</w:t>
            </w:r>
          </w:p>
          <w:p w14:paraId="3346C945">
            <w:pPr>
              <w:keepNext w:val="0"/>
              <w:keepLines w:val="0"/>
              <w:pageBreakBefore w:val="0"/>
              <w:widowControl/>
              <w:kinsoku/>
              <w:wordWrap/>
              <w:overflowPunct/>
              <w:topLinePunct w:val="0"/>
              <w:autoSpaceDE/>
              <w:autoSpaceDN/>
              <w:bidi w:val="0"/>
              <w:adjustRightInd/>
              <w:snapToGrid w:val="0"/>
              <w:spacing w:beforeLines="-2147483648" w:afterLines="-2147483648" w:line="58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保险期间内，保障对象因遭受意外伤害</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罹患疾病等原因导致住院</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住院是指被保险人符合住院指标，正式办理入院及出院手续，并确定入住医保定点医疗机构正式病房接受治疗的过程</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且入住医疗机构必须达二十四小时以上并由医疗机构收取病房床位等费用</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，在本项目试点县（市、区）人民医院治疗，且达到本合同约定的住院护理级别，保险人按照合同约定提供照料护理服务。</w:t>
            </w:r>
          </w:p>
          <w:p w14:paraId="0D76C7CD">
            <w:pPr>
              <w:snapToGrid w:val="0"/>
              <w:spacing w:beforeLines="-2147483648" w:afterLines="-2147483648" w:line="580" w:lineRule="exact"/>
              <w:ind w:firstLine="422" w:firstLineChars="200"/>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（五）赔付标准</w:t>
            </w:r>
          </w:p>
          <w:p w14:paraId="032671C1">
            <w:pPr>
              <w:snapToGrid w:val="0"/>
              <w:spacing w:beforeLines="-2147483648" w:afterLines="-2147483648" w:line="58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1.按保障对象护理级别以及实际住院天数提供照料护理标准如下：</w:t>
            </w:r>
          </w:p>
          <w:tbl>
            <w:tblPr>
              <w:tblStyle w:val="35"/>
              <w:tblW w:w="6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8"/>
              <w:gridCol w:w="1512"/>
              <w:gridCol w:w="1500"/>
              <w:gridCol w:w="1635"/>
            </w:tblGrid>
            <w:tr w14:paraId="246A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1968" w:type="dxa"/>
                  <w:tcBorders>
                    <w:top w:val="single" w:color="000000" w:sz="4" w:space="0"/>
                    <w:left w:val="single" w:color="000000" w:sz="4" w:space="0"/>
                    <w:bottom w:val="single" w:color="000000" w:sz="4" w:space="0"/>
                    <w:right w:val="single" w:color="000000" w:sz="4" w:space="0"/>
                  </w:tcBorders>
                  <w:noWrap/>
                  <w:vAlign w:val="center"/>
                </w:tcPr>
                <w:p w14:paraId="3A02847B">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05AF13C">
                  <w:pPr>
                    <w:keepNext w:val="0"/>
                    <w:keepLines w:val="0"/>
                    <w:widowControl/>
                    <w:suppressLineNumbers w:val="0"/>
                    <w:snapToGrid w:val="0"/>
                    <w:spacing w:line="580" w:lineRule="exact"/>
                    <w:ind w:firstLine="0" w:firstLineChars="0"/>
                    <w:jc w:val="both"/>
                    <w:textAlignment w:val="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住院护理特级</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622FD47">
                  <w:pPr>
                    <w:keepNext w:val="0"/>
                    <w:keepLines w:val="0"/>
                    <w:widowControl/>
                    <w:suppressLineNumbers w:val="0"/>
                    <w:snapToGrid w:val="0"/>
                    <w:spacing w:line="580" w:lineRule="exact"/>
                    <w:ind w:firstLine="0" w:firstLineChars="0"/>
                    <w:jc w:val="both"/>
                    <w:textAlignment w:val="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住院护理Ⅰ级</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B950B9F">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住院护理Ⅱ级</w:t>
                  </w:r>
                </w:p>
              </w:tc>
            </w:tr>
            <w:tr w14:paraId="3888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968" w:type="dxa"/>
                  <w:tcBorders>
                    <w:top w:val="single" w:color="000000" w:sz="4" w:space="0"/>
                    <w:left w:val="single" w:color="000000" w:sz="4" w:space="0"/>
                    <w:bottom w:val="single" w:color="000000" w:sz="4" w:space="0"/>
                    <w:right w:val="single" w:color="000000" w:sz="4" w:space="0"/>
                  </w:tcBorders>
                  <w:noWrap/>
                  <w:vAlign w:val="center"/>
                </w:tcPr>
                <w:p w14:paraId="565CFEB6">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护理费用标准</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57BA0AA">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 w:eastAsia="zh-CN" w:bidi="ar"/>
                    </w:rPr>
                    <w:t>60</w:t>
                  </w:r>
                  <w:r>
                    <w:rPr>
                      <w:rFonts w:hint="eastAsia" w:ascii="宋体" w:hAnsi="宋体" w:eastAsia="宋体" w:cs="宋体"/>
                      <w:i w:val="0"/>
                      <w:iCs w:val="0"/>
                      <w:color w:val="auto"/>
                      <w:kern w:val="0"/>
                      <w:sz w:val="21"/>
                      <w:szCs w:val="21"/>
                      <w:highlight w:val="none"/>
                      <w:u w:val="none"/>
                      <w:lang w:val="en-US" w:eastAsia="zh-CN" w:bidi="ar"/>
                    </w:rPr>
                    <w:t>元/人/天</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7611482">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 w:eastAsia="zh-CN" w:bidi="ar"/>
                    </w:rPr>
                    <w:t>60</w:t>
                  </w:r>
                  <w:r>
                    <w:rPr>
                      <w:rFonts w:hint="eastAsia" w:ascii="宋体" w:hAnsi="宋体" w:eastAsia="宋体" w:cs="宋体"/>
                      <w:i w:val="0"/>
                      <w:iCs w:val="0"/>
                      <w:color w:val="auto"/>
                      <w:kern w:val="0"/>
                      <w:sz w:val="21"/>
                      <w:szCs w:val="21"/>
                      <w:highlight w:val="none"/>
                      <w:u w:val="none"/>
                      <w:lang w:val="en-US" w:eastAsia="zh-CN" w:bidi="ar"/>
                    </w:rPr>
                    <w:t>元/人/天</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C5309F6">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 w:eastAsia="zh-CN" w:bidi="ar"/>
                    </w:rPr>
                    <w:t>2</w:t>
                  </w:r>
                  <w:r>
                    <w:rPr>
                      <w:rFonts w:hint="eastAsia" w:ascii="宋体" w:hAnsi="宋体" w:eastAsia="宋体" w:cs="宋体"/>
                      <w:i w:val="0"/>
                      <w:iCs w:val="0"/>
                      <w:color w:val="auto"/>
                      <w:kern w:val="0"/>
                      <w:sz w:val="21"/>
                      <w:szCs w:val="21"/>
                      <w:highlight w:val="none"/>
                      <w:u w:val="none"/>
                      <w:lang w:val="en-US" w:eastAsia="zh-CN" w:bidi="ar"/>
                    </w:rPr>
                    <w:t>0元/人/天</w:t>
                  </w:r>
                </w:p>
              </w:tc>
            </w:tr>
            <w:tr w14:paraId="209D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968" w:type="dxa"/>
                  <w:tcBorders>
                    <w:top w:val="single" w:color="000000" w:sz="4" w:space="0"/>
                    <w:left w:val="single" w:color="000000" w:sz="4" w:space="0"/>
                    <w:bottom w:val="single" w:color="000000" w:sz="4" w:space="0"/>
                    <w:right w:val="single" w:color="000000" w:sz="4" w:space="0"/>
                  </w:tcBorders>
                  <w:noWrap/>
                  <w:vAlign w:val="center"/>
                </w:tcPr>
                <w:p w14:paraId="205F4AA3">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单次住院赔偿天数</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D6F2C06">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lang w:val="en"/>
                    </w:rPr>
                  </w:pPr>
                  <w:r>
                    <w:rPr>
                      <w:rFonts w:hint="eastAsia" w:ascii="宋体" w:hAnsi="宋体" w:eastAsia="宋体" w:cs="宋体"/>
                      <w:i w:val="0"/>
                      <w:iCs w:val="0"/>
                      <w:color w:val="auto"/>
                      <w:kern w:val="0"/>
                      <w:sz w:val="21"/>
                      <w:szCs w:val="21"/>
                      <w:highlight w:val="none"/>
                      <w:u w:val="none"/>
                      <w:lang w:val="en"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7237655">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lang w:val="en"/>
                    </w:rPr>
                  </w:pPr>
                  <w:r>
                    <w:rPr>
                      <w:rFonts w:hint="eastAsia" w:ascii="宋体" w:hAnsi="宋体" w:eastAsia="宋体" w:cs="宋体"/>
                      <w:i w:val="0"/>
                      <w:iCs w:val="0"/>
                      <w:color w:val="auto"/>
                      <w:kern w:val="0"/>
                      <w:sz w:val="21"/>
                      <w:szCs w:val="21"/>
                      <w:highlight w:val="none"/>
                      <w:u w:val="none"/>
                      <w:lang w:val="en" w:eastAsia="zh-CN" w:bidi="ar"/>
                    </w:rPr>
                    <w:t>6</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A2E3B9A">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0A44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8" w:type="dxa"/>
                  <w:tcBorders>
                    <w:top w:val="single" w:color="000000" w:sz="4" w:space="0"/>
                    <w:left w:val="single" w:color="000000" w:sz="4" w:space="0"/>
                    <w:bottom w:val="single" w:color="000000" w:sz="4" w:space="0"/>
                    <w:right w:val="single" w:color="000000" w:sz="4" w:space="0"/>
                  </w:tcBorders>
                  <w:noWrap/>
                  <w:vAlign w:val="center"/>
                </w:tcPr>
                <w:p w14:paraId="38E63C09">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全年累计赔偿天数</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70B6CDD">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lang w:val="e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8E8B09D">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lang w:val="e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 w:eastAsia="zh-CN" w:bidi="ar"/>
                    </w:rPr>
                    <w:t>8</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33DA01C">
                  <w:pPr>
                    <w:keepNext w:val="0"/>
                    <w:keepLines w:val="0"/>
                    <w:widowControl/>
                    <w:suppressLineNumbers w:val="0"/>
                    <w:snapToGrid w:val="0"/>
                    <w:spacing w:line="580" w:lineRule="exact"/>
                    <w:ind w:firstLine="0" w:firstLineChars="0"/>
                    <w:jc w:val="center"/>
                    <w:textAlignment w:val="auto"/>
                    <w:rPr>
                      <w:rFonts w:hint="eastAsia" w:ascii="宋体" w:hAnsi="宋体" w:eastAsia="宋体" w:cs="宋体"/>
                      <w:i w:val="0"/>
                      <w:iCs w:val="0"/>
                      <w:color w:val="auto"/>
                      <w:sz w:val="21"/>
                      <w:szCs w:val="21"/>
                      <w:highlight w:val="none"/>
                      <w:u w:val="none"/>
                      <w:lang w:val="e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 w:eastAsia="zh-CN" w:bidi="ar"/>
                    </w:rPr>
                    <w:t>8</w:t>
                  </w:r>
                </w:p>
              </w:tc>
            </w:tr>
          </w:tbl>
          <w:p w14:paraId="278BE56F">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赔付天数：</w:t>
            </w:r>
          </w:p>
          <w:p w14:paraId="7B0FA817">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①住院天数以居民医保认定的住院天数为准；</w:t>
            </w:r>
          </w:p>
          <w:p w14:paraId="492FC009">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②单人保期内单次住院天数小于上述约定天数的，赔付标准则按实际住院天数进行赔付；单人保期内累计住院天数大于或等于1</w:t>
            </w:r>
            <w:r>
              <w:rPr>
                <w:rFonts w:hint="eastAsia" w:ascii="宋体" w:hAnsi="宋体" w:eastAsia="宋体" w:cs="宋体"/>
                <w:b w:val="0"/>
                <w:bCs w:val="0"/>
                <w:color w:val="auto"/>
                <w:sz w:val="21"/>
                <w:szCs w:val="21"/>
                <w:highlight w:val="none"/>
                <w:lang w:val="en" w:eastAsia="zh-CN"/>
              </w:rPr>
              <w:t>8</w:t>
            </w:r>
            <w:r>
              <w:rPr>
                <w:rFonts w:hint="eastAsia" w:ascii="宋体" w:hAnsi="宋体" w:eastAsia="宋体" w:cs="宋体"/>
                <w:b w:val="0"/>
                <w:bCs w:val="0"/>
                <w:color w:val="auto"/>
                <w:sz w:val="21"/>
                <w:szCs w:val="21"/>
                <w:highlight w:val="none"/>
                <w:lang w:val="en-US" w:eastAsia="zh-CN"/>
              </w:rPr>
              <w:t>天，赔付标准按1</w:t>
            </w:r>
            <w:r>
              <w:rPr>
                <w:rFonts w:hint="eastAsia" w:ascii="宋体" w:hAnsi="宋体" w:eastAsia="宋体" w:cs="宋体"/>
                <w:b w:val="0"/>
                <w:bCs w:val="0"/>
                <w:color w:val="auto"/>
                <w:sz w:val="21"/>
                <w:szCs w:val="21"/>
                <w:highlight w:val="none"/>
                <w:lang w:val="en" w:eastAsia="zh-CN"/>
              </w:rPr>
              <w:t>8</w:t>
            </w:r>
            <w:r>
              <w:rPr>
                <w:rFonts w:hint="eastAsia" w:ascii="宋体" w:hAnsi="宋体" w:eastAsia="宋体" w:cs="宋体"/>
                <w:b w:val="0"/>
                <w:bCs w:val="0"/>
                <w:color w:val="auto"/>
                <w:sz w:val="21"/>
                <w:szCs w:val="21"/>
                <w:highlight w:val="none"/>
                <w:lang w:val="en-US" w:eastAsia="zh-CN"/>
              </w:rPr>
              <w:t>天。</w:t>
            </w:r>
          </w:p>
          <w:p w14:paraId="4BEDE44D">
            <w:pPr>
              <w:snapToGrid w:val="0"/>
              <w:spacing w:beforeLines="-2147483648" w:afterLines="-2147483648" w:line="580" w:lineRule="exact"/>
              <w:ind w:firstLine="422"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2.赔付情形</w:t>
            </w:r>
            <w:r>
              <w:rPr>
                <w:rFonts w:hint="eastAsia" w:ascii="宋体" w:hAnsi="宋体" w:eastAsia="宋体" w:cs="宋体"/>
                <w:b w:val="0"/>
                <w:bCs w:val="0"/>
                <w:color w:val="auto"/>
                <w:sz w:val="21"/>
                <w:szCs w:val="21"/>
                <w:highlight w:val="none"/>
                <w:lang w:val="en-US" w:eastAsia="zh-CN"/>
              </w:rPr>
              <w:t>：在指定医院住院治疗，根据医嘱评估需要护理，且满足以下情形之一。</w:t>
            </w:r>
          </w:p>
          <w:p w14:paraId="272B91B8">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（1）被保人经医院诊断确定丧失独立完成穿衣、移动、行动、如厕、进食、洗澡等六项“日常生活活动”指标中的一项活动能力，且明确需人员护理的；</w:t>
            </w:r>
          </w:p>
          <w:p w14:paraId="64913779">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（2）骨折：四肢骨折或脊柱骨折，固定手术；</w:t>
            </w:r>
          </w:p>
          <w:p w14:paraId="4014AF23">
            <w:pPr>
              <w:snapToGrid w:val="0"/>
              <w:spacing w:beforeLines="-2147483648" w:afterLines="-2147483648" w:line="580" w:lineRule="exact"/>
              <w:ind w:firstLine="420" w:firstLineChars="20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（3）留有瘫痪、截瘫、单瘫、偏瘫，或肌力低下后遗症的相关疾病；</w:t>
            </w:r>
          </w:p>
          <w:p w14:paraId="1885CD69">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（4）失明、重度白内障患者、高度近视就诊的；</w:t>
            </w:r>
          </w:p>
          <w:p w14:paraId="2F447884">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（5）大面积烧伤、烫伤：</w:t>
            </w:r>
          </w:p>
          <w:p w14:paraId="3C0A0C80">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①符合中度毁容标准之一项者；</w:t>
            </w:r>
          </w:p>
          <w:p w14:paraId="384D061C">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②面部有瘢痕，植皮，异物色素沉着或脱失&gt;2cm</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lang w:val="en-US" w:eastAsia="zh-CN"/>
              </w:rPr>
              <w:t>；</w:t>
            </w:r>
          </w:p>
          <w:p w14:paraId="082278A5">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③全身瘢痕面积&lt;5%，但≥1%</w:t>
            </w:r>
            <w:r>
              <w:rPr>
                <w:rFonts w:hint="eastAsia" w:ascii="宋体" w:hAnsi="宋体" w:cs="宋体"/>
                <w:b w:val="0"/>
                <w:bCs w:val="0"/>
                <w:color w:val="auto"/>
                <w:sz w:val="21"/>
                <w:szCs w:val="21"/>
                <w:highlight w:val="none"/>
                <w:lang w:val="en-US" w:eastAsia="zh-CN"/>
              </w:rPr>
              <w:t>。</w:t>
            </w:r>
          </w:p>
          <w:p w14:paraId="0873903B">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（6）休克、昏迷患者就诊的；</w:t>
            </w:r>
          </w:p>
          <w:p w14:paraId="36B8F529">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（7）住院期间进行内脏器官手术的；</w:t>
            </w:r>
          </w:p>
          <w:p w14:paraId="5C9269AA">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（8）病史记录“抬入、平车推入病房”；</w:t>
            </w:r>
          </w:p>
          <w:p w14:paraId="772F2AB7">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（9）80岁以上的老年患者；</w:t>
            </w:r>
          </w:p>
          <w:p w14:paraId="26DAB03F">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（10）确诊为恶性肿瘤的患者；</w:t>
            </w:r>
          </w:p>
          <w:p w14:paraId="0C6DBFC7">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（11）存在肢体（二级及以上）、智力（三级及以上）、视力（一级）残疾的患者，需提供残疾证；</w:t>
            </w:r>
          </w:p>
          <w:p w14:paraId="633B9913">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（12）已获得民政部门认定的全失能和半失能的特困人员。</w:t>
            </w:r>
          </w:p>
          <w:p w14:paraId="01AB62AB">
            <w:pPr>
              <w:snapToGrid w:val="0"/>
              <w:spacing w:beforeLines="-2147483648" w:afterLines="-2147483648" w:line="58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3.免除护理情形：</w:t>
            </w:r>
          </w:p>
          <w:p w14:paraId="3D47B954">
            <w:pPr>
              <w:numPr>
                <w:ilvl w:val="-1"/>
                <w:numId w:val="0"/>
              </w:num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患有精神疾病、甲类或乙类传染病的特困人员；享受集中失能护理待遇的人员；</w:t>
            </w:r>
            <w:r>
              <w:rPr>
                <w:rFonts w:hint="eastAsia" w:ascii="宋体" w:hAnsi="宋体" w:eastAsia="宋体" w:cs="宋体"/>
                <w:color w:val="auto"/>
                <w:sz w:val="21"/>
                <w:szCs w:val="21"/>
                <w:highlight w:val="none"/>
                <w:lang w:val="en-US" w:eastAsia="zh-CN"/>
              </w:rPr>
              <w:t>特困人员的故意行为；故意挂床行为，即无事实住院发生，以及病情本无需护理但虚构失能等级的住院情形；因医疗事故、自残、自杀等行为导致身故或伤残等情形；被保特困人员一般身体检查、疗养、ICU特别护理、静养、康复性治疗，物理治疗或心理治疗，护理费用不予赔付（因疾病治疗需要配合进行的康复治疗、物理治疗等除外）；被保特困人员受到意外伤害，涉及第三方责任人的由第三方责任人赔付。无法确定第三方责任人或第三方责任人逃逸的，由保险人垫付，保险人负责追偿；其他法律法规规定的免责情形；保险条款约定除外情形。</w:t>
            </w:r>
          </w:p>
          <w:p w14:paraId="1C83C874">
            <w:pPr>
              <w:snapToGrid w:val="0"/>
              <w:spacing w:beforeLines="-2147483648" w:afterLines="-2147483648" w:line="58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4.特困人员住院护理分级</w:t>
            </w:r>
          </w:p>
          <w:p w14:paraId="3DB88D91">
            <w:pPr>
              <w:snapToGrid w:val="0"/>
              <w:spacing w:beforeLines="-2147483648" w:afterLines="-2147483648" w:line="580" w:lineRule="exact"/>
              <w:ind w:firstLine="420" w:firstLineChars="20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特级：针对危重患者，即病危、病重、需要严格卧床休息的患者，如各种大手术后、休克、瘫痪、昏迷、高热、出血、肝肾功能衰竭等患者。</w:t>
            </w:r>
          </w:p>
          <w:p w14:paraId="29F2E815">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Ⅰ级：针对不自理患者，即进食、洗漱、穿衣、洗澡、平地行走完全需要帮助的，大小便完全失禁，完全需要帮助的，上下楼梯、卧床不起，活动完全需要帮助。</w:t>
            </w:r>
          </w:p>
          <w:p w14:paraId="46A091BA">
            <w:pPr>
              <w:snapToGrid w:val="0"/>
              <w:spacing w:beforeLines="-2147483648" w:afterLines="-2147483648" w:line="58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Ⅱ级：针对半自理患者，即进食需要协助，如切碎、搅拌食物等；洗漱，在协助下和适当的时间，能完成部分梳洗；大小便，偶尔/经常失禁，在协助下使用便具；穿衣，需要协助，在适当时间内完成穿衣；上下楼梯，需要借助较大外力才能完成上下楼梯；洗澡，在协助下和适当的时间，能完成洗澡活动；平地行走，借助较大的外力行走。病情较重，生活自理能力下降的患者，如大手术术后病情趋于稳定者、年老体弱、慢性病不宜多活动等患者。符合以上七条任意一条即视为半自理级。</w:t>
            </w:r>
          </w:p>
          <w:p w14:paraId="4A21944C">
            <w:pPr>
              <w:snapToGrid w:val="0"/>
              <w:spacing w:beforeLines="-2147483648" w:afterLines="-2147483648" w:line="58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5.特困人员住院分级护理服务标准</w:t>
            </w:r>
          </w:p>
          <w:p w14:paraId="3330FAFB">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特级（危重患者）：24小时全天候服务，包括陪护护理及生活照料，单日服务标准为1</w:t>
            </w:r>
            <w:r>
              <w:rPr>
                <w:rFonts w:hint="eastAsia" w:ascii="宋体" w:hAnsi="宋体" w:eastAsia="宋体" w:cs="宋体"/>
                <w:b w:val="0"/>
                <w:bCs w:val="0"/>
                <w:color w:val="auto"/>
                <w:sz w:val="21"/>
                <w:szCs w:val="21"/>
                <w:highlight w:val="none"/>
                <w:lang w:val="en" w:eastAsia="zh-CN"/>
              </w:rPr>
              <w:t>6</w:t>
            </w:r>
            <w:r>
              <w:rPr>
                <w:rFonts w:hint="eastAsia" w:ascii="宋体" w:hAnsi="宋体" w:eastAsia="宋体" w:cs="宋体"/>
                <w:b w:val="0"/>
                <w:bCs w:val="0"/>
                <w:color w:val="auto"/>
                <w:sz w:val="21"/>
                <w:szCs w:val="21"/>
                <w:highlight w:val="none"/>
                <w:lang w:val="en-US" w:eastAsia="zh-CN"/>
              </w:rPr>
              <w:t>0元/人。</w:t>
            </w:r>
          </w:p>
          <w:p w14:paraId="6D0107C0">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Ⅰ级（不自理患者）：24小时全天候服务，包括陪护护理及生活照料，单日服务标准为1</w:t>
            </w:r>
            <w:r>
              <w:rPr>
                <w:rFonts w:hint="eastAsia" w:ascii="宋体" w:hAnsi="宋体" w:eastAsia="宋体" w:cs="宋体"/>
                <w:b w:val="0"/>
                <w:bCs w:val="0"/>
                <w:color w:val="auto"/>
                <w:sz w:val="21"/>
                <w:szCs w:val="21"/>
                <w:highlight w:val="none"/>
                <w:lang w:val="en" w:eastAsia="zh-CN"/>
              </w:rPr>
              <w:t>6</w:t>
            </w:r>
            <w:r>
              <w:rPr>
                <w:rFonts w:hint="eastAsia" w:ascii="宋体" w:hAnsi="宋体" w:eastAsia="宋体" w:cs="宋体"/>
                <w:b w:val="0"/>
                <w:bCs w:val="0"/>
                <w:color w:val="auto"/>
                <w:sz w:val="21"/>
                <w:szCs w:val="21"/>
                <w:highlight w:val="none"/>
                <w:lang w:val="en-US" w:eastAsia="zh-CN"/>
              </w:rPr>
              <w:t>0元/人。</w:t>
            </w:r>
          </w:p>
          <w:p w14:paraId="4923DA6C">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Ⅱ级（半自理患者）：每天12-15小时陪护，视病情而定，包括陪护护理及生活照料，单日服务标准为1</w:t>
            </w:r>
            <w:r>
              <w:rPr>
                <w:rFonts w:hint="eastAsia" w:ascii="宋体" w:hAnsi="宋体" w:eastAsia="宋体" w:cs="宋体"/>
                <w:b w:val="0"/>
                <w:bCs w:val="0"/>
                <w:color w:val="auto"/>
                <w:sz w:val="21"/>
                <w:szCs w:val="21"/>
                <w:highlight w:val="none"/>
                <w:lang w:val="en" w:eastAsia="zh-CN"/>
              </w:rPr>
              <w:t>2</w:t>
            </w:r>
            <w:r>
              <w:rPr>
                <w:rFonts w:hint="eastAsia" w:ascii="宋体" w:hAnsi="宋体" w:eastAsia="宋体" w:cs="宋体"/>
                <w:b w:val="0"/>
                <w:bCs w:val="0"/>
                <w:color w:val="auto"/>
                <w:sz w:val="21"/>
                <w:szCs w:val="21"/>
                <w:highlight w:val="none"/>
                <w:lang w:val="en-US" w:eastAsia="zh-CN"/>
              </w:rPr>
              <w:t>0元/人。</w:t>
            </w:r>
          </w:p>
          <w:p w14:paraId="458B778A">
            <w:pPr>
              <w:snapToGrid w:val="0"/>
              <w:spacing w:beforeLines="-2147483648" w:afterLines="-2147483648" w:line="58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6.特困人员住院分级护理内容</w:t>
            </w:r>
          </w:p>
          <w:p w14:paraId="250F5A16">
            <w:pPr>
              <w:keepNext w:val="0"/>
              <w:keepLines w:val="0"/>
              <w:pageBreakBefore w:val="0"/>
              <w:widowControl/>
              <w:kinsoku/>
              <w:wordWrap/>
              <w:overflowPunct/>
              <w:topLinePunct w:val="0"/>
              <w:autoSpaceDE/>
              <w:autoSpaceDN/>
              <w:bidi w:val="0"/>
              <w:adjustRightInd/>
              <w:snapToGrid w:val="0"/>
              <w:spacing w:beforeLines="-2147483648" w:afterLines="-2147483648" w:line="580" w:lineRule="exact"/>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特级（危重患者）</w:t>
            </w:r>
            <w:r>
              <w:rPr>
                <w:rFonts w:hint="eastAsia" w:ascii="宋体" w:hAnsi="宋体" w:eastAsia="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Ⅰ级（不自理患者）：提供</w:t>
            </w:r>
            <w:r>
              <w:rPr>
                <w:rFonts w:hint="eastAsia" w:ascii="宋体" w:hAnsi="宋体" w:eastAsia="宋体" w:cs="宋体"/>
                <w:b w:val="0"/>
                <w:bCs w:val="0"/>
                <w:color w:val="auto"/>
                <w:sz w:val="21"/>
                <w:szCs w:val="21"/>
                <w:highlight w:val="none"/>
                <w:lang w:val="en-US" w:eastAsia="zh-CN"/>
              </w:rPr>
              <w:t>一是</w:t>
            </w:r>
            <w:r>
              <w:rPr>
                <w:rFonts w:hint="eastAsia" w:ascii="宋体" w:hAnsi="宋体" w:eastAsia="宋体" w:cs="宋体"/>
                <w:b w:val="0"/>
                <w:bCs w:val="0"/>
                <w:color w:val="auto"/>
                <w:sz w:val="21"/>
                <w:szCs w:val="21"/>
                <w:highlight w:val="none"/>
              </w:rPr>
              <w:t>陪护护理</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如陪同检查、用药看护、康复辅助等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二是</w:t>
            </w:r>
            <w:r>
              <w:rPr>
                <w:rFonts w:hint="eastAsia" w:ascii="宋体" w:hAnsi="宋体" w:eastAsia="宋体" w:cs="宋体"/>
                <w:b w:val="0"/>
                <w:bCs w:val="0"/>
                <w:color w:val="auto"/>
                <w:sz w:val="21"/>
                <w:szCs w:val="21"/>
                <w:highlight w:val="none"/>
              </w:rPr>
              <w:t>生活照料</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w:t>
            </w:r>
            <w:r>
              <w:rPr>
                <w:rFonts w:hint="eastAsia" w:ascii="宋体" w:hAnsi="宋体" w:eastAsia="宋体" w:cs="宋体"/>
                <w:b w:val="0"/>
                <w:bCs w:val="0"/>
                <w:color w:val="auto"/>
                <w:sz w:val="21"/>
                <w:szCs w:val="21"/>
                <w:highlight w:val="none"/>
              </w:rPr>
              <w:t>整理床铺、协助进食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餐费自理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、个人清洁等。</w:t>
            </w:r>
          </w:p>
          <w:p w14:paraId="60968466">
            <w:pPr>
              <w:keepNext w:val="0"/>
              <w:keepLines w:val="0"/>
              <w:pageBreakBefore w:val="0"/>
              <w:widowControl/>
              <w:kinsoku/>
              <w:wordWrap/>
              <w:overflowPunct/>
              <w:topLinePunct w:val="0"/>
              <w:autoSpaceDE/>
              <w:autoSpaceDN/>
              <w:bidi w:val="0"/>
              <w:adjustRightInd/>
              <w:snapToGrid w:val="0"/>
              <w:spacing w:beforeLines="-2147483648" w:afterLines="-2147483648" w:line="580" w:lineRule="exact"/>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Ⅱ级（半自理患者）：提供</w:t>
            </w:r>
            <w:r>
              <w:rPr>
                <w:rFonts w:hint="eastAsia" w:ascii="宋体" w:hAnsi="宋体" w:eastAsia="宋体" w:cs="宋体"/>
                <w:b w:val="0"/>
                <w:bCs w:val="0"/>
                <w:color w:val="auto"/>
                <w:sz w:val="21"/>
                <w:szCs w:val="21"/>
                <w:highlight w:val="none"/>
                <w:lang w:val="en-US" w:eastAsia="zh-CN"/>
              </w:rPr>
              <w:t>一是较简单的</w:t>
            </w:r>
            <w:r>
              <w:rPr>
                <w:rFonts w:hint="eastAsia" w:ascii="宋体" w:hAnsi="宋体" w:eastAsia="宋体" w:cs="宋体"/>
                <w:b w:val="0"/>
                <w:bCs w:val="0"/>
                <w:color w:val="auto"/>
                <w:sz w:val="21"/>
                <w:szCs w:val="21"/>
                <w:highlight w:val="none"/>
              </w:rPr>
              <w:t>陪护护理</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w:t>
            </w:r>
            <w:r>
              <w:rPr>
                <w:rFonts w:hint="eastAsia" w:ascii="宋体" w:hAnsi="宋体" w:eastAsia="宋体" w:cs="宋体"/>
                <w:b w:val="0"/>
                <w:bCs w:val="0"/>
                <w:color w:val="auto"/>
                <w:sz w:val="21"/>
                <w:szCs w:val="21"/>
                <w:highlight w:val="none"/>
              </w:rPr>
              <w:t>陪同检查、用药看护等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二是较简单的</w:t>
            </w:r>
            <w:r>
              <w:rPr>
                <w:rFonts w:hint="eastAsia" w:ascii="宋体" w:hAnsi="宋体" w:eastAsia="宋体" w:cs="宋体"/>
                <w:b w:val="0"/>
                <w:bCs w:val="0"/>
                <w:color w:val="auto"/>
                <w:sz w:val="21"/>
                <w:szCs w:val="21"/>
                <w:highlight w:val="none"/>
              </w:rPr>
              <w:t>生活照料</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w:t>
            </w:r>
            <w:r>
              <w:rPr>
                <w:rFonts w:hint="eastAsia" w:ascii="宋体" w:hAnsi="宋体" w:eastAsia="宋体" w:cs="宋体"/>
                <w:b w:val="0"/>
                <w:bCs w:val="0"/>
                <w:color w:val="auto"/>
                <w:sz w:val="21"/>
                <w:szCs w:val="21"/>
                <w:highlight w:val="none"/>
              </w:rPr>
              <w:t>整理床铺、协助进食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餐费自理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简单</w:t>
            </w:r>
            <w:r>
              <w:rPr>
                <w:rFonts w:hint="eastAsia" w:ascii="宋体" w:hAnsi="宋体" w:eastAsia="宋体" w:cs="宋体"/>
                <w:b w:val="0"/>
                <w:bCs w:val="0"/>
                <w:color w:val="auto"/>
                <w:sz w:val="21"/>
                <w:szCs w:val="21"/>
                <w:highlight w:val="none"/>
              </w:rPr>
              <w:t>个人清洁等</w:t>
            </w:r>
          </w:p>
          <w:p w14:paraId="7CDD7D6E">
            <w:pPr>
              <w:snapToGrid w:val="0"/>
              <w:spacing w:beforeLines="-2147483648" w:afterLines="-2147483648" w:line="580" w:lineRule="exact"/>
              <w:ind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承保服务</w:t>
            </w:r>
          </w:p>
          <w:p w14:paraId="2655D5B9">
            <w:pPr>
              <w:snapToGrid w:val="0"/>
              <w:spacing w:beforeLines="-2147483648" w:afterLines="-2147483648" w:line="580" w:lineRule="exact"/>
              <w:ind w:firstLine="420"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中标后，中标人应及时与</w:t>
            </w:r>
            <w:r>
              <w:rPr>
                <w:rFonts w:hint="eastAsia" w:ascii="宋体" w:hAnsi="宋体" w:eastAsia="宋体" w:cs="宋体"/>
                <w:color w:val="auto"/>
                <w:sz w:val="21"/>
                <w:szCs w:val="21"/>
                <w:highlight w:val="none"/>
              </w:rPr>
              <w:t>自治区民政厅和各地民政部门</w:t>
            </w:r>
            <w:r>
              <w:rPr>
                <w:rFonts w:hint="eastAsia" w:ascii="宋体" w:hAnsi="宋体" w:eastAsia="宋体" w:cs="宋体"/>
                <w:color w:val="auto"/>
                <w:sz w:val="21"/>
                <w:szCs w:val="21"/>
                <w:highlight w:val="none"/>
                <w:lang w:val="en-US" w:eastAsia="zh-CN"/>
              </w:rPr>
              <w:t>及相关单位进行沟通，在3月内与试点地民政部门及相关医院做好服务衔接。</w:t>
            </w:r>
          </w:p>
          <w:p w14:paraId="2AD3A9DC">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协助自治区民政厅和各地民政部门做好承保</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工作。保险公司协助统计</w:t>
            </w:r>
            <w:r>
              <w:rPr>
                <w:rFonts w:hint="eastAsia" w:ascii="宋体" w:hAnsi="宋体" w:eastAsia="宋体" w:cs="宋体"/>
                <w:color w:val="auto"/>
                <w:sz w:val="21"/>
                <w:szCs w:val="21"/>
                <w:highlight w:val="none"/>
                <w:lang w:val="en-US" w:eastAsia="zh-CN"/>
              </w:rPr>
              <w:t>承保运营数据</w:t>
            </w:r>
            <w:r>
              <w:rPr>
                <w:rFonts w:hint="eastAsia" w:ascii="宋体" w:hAnsi="宋体" w:eastAsia="宋体" w:cs="宋体"/>
                <w:color w:val="auto"/>
                <w:sz w:val="21"/>
                <w:szCs w:val="21"/>
                <w:highlight w:val="none"/>
              </w:rPr>
              <w:t>，每季度向自治区民政厅报告保险工作开展情况。</w:t>
            </w:r>
          </w:p>
          <w:p w14:paraId="1109FE6D">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）协助自治区民政厅和各地民政部门做好对保险对象的宣传和培训工作。</w:t>
            </w:r>
          </w:p>
          <w:p w14:paraId="6064C018">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）保险对象有人员变动时，做好上述事项的保全服务工作。</w:t>
            </w:r>
          </w:p>
          <w:p w14:paraId="17A7ED8D">
            <w:pPr>
              <w:snapToGrid w:val="0"/>
              <w:spacing w:beforeLines="-2147483648" w:afterLines="-2147483648" w:line="580" w:lineRule="exact"/>
              <w:ind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rPr>
              <w:t>理赔服务</w:t>
            </w:r>
          </w:p>
          <w:p w14:paraId="0FF0E35A">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（1）保险公司应当成立专门</w:t>
            </w:r>
            <w:r>
              <w:rPr>
                <w:rFonts w:hint="eastAsia" w:ascii="宋体" w:hAnsi="宋体" w:eastAsia="宋体" w:cs="宋体"/>
                <w:color w:val="auto"/>
                <w:sz w:val="21"/>
                <w:szCs w:val="21"/>
                <w:highlight w:val="none"/>
                <w:lang w:val="en-US" w:eastAsia="zh-CN"/>
              </w:rPr>
              <w:t>特困人员住院护理救助</w:t>
            </w:r>
            <w:r>
              <w:rPr>
                <w:rFonts w:hint="eastAsia" w:ascii="宋体" w:hAnsi="宋体" w:eastAsia="宋体" w:cs="宋体"/>
                <w:color w:val="auto"/>
                <w:sz w:val="21"/>
                <w:szCs w:val="21"/>
                <w:highlight w:val="none"/>
              </w:rPr>
              <w:t>保险理赔服务团队，由有经验的专业理赔人员</w:t>
            </w:r>
            <w:r>
              <w:rPr>
                <w:rFonts w:hint="eastAsia" w:ascii="宋体" w:hAnsi="宋体" w:eastAsia="宋体" w:cs="宋体"/>
                <w:color w:val="auto"/>
                <w:sz w:val="21"/>
                <w:szCs w:val="21"/>
                <w:highlight w:val="none"/>
                <w:lang w:val="en-US" w:eastAsia="zh-CN"/>
              </w:rPr>
              <w:t>及医疗护理服务团队</w:t>
            </w:r>
            <w:r>
              <w:rPr>
                <w:rFonts w:hint="eastAsia" w:ascii="宋体" w:hAnsi="宋体" w:eastAsia="宋体" w:cs="宋体"/>
                <w:color w:val="auto"/>
                <w:sz w:val="21"/>
                <w:szCs w:val="21"/>
                <w:highlight w:val="none"/>
              </w:rPr>
              <w:t>负责理赔服务工作，并配备相应的办公设备。</w:t>
            </w:r>
          </w:p>
          <w:p w14:paraId="41F5A494">
            <w:pPr>
              <w:snapToGrid w:val="0"/>
              <w:spacing w:beforeLines="-2147483648" w:afterLines="-2147483648" w:line="580" w:lineRule="exact"/>
              <w:ind w:firstLine="42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21"/>
                <w:szCs w:val="21"/>
                <w:highlight w:val="none"/>
              </w:rPr>
              <w:t>（2）设立热线电话，负责受理</w:t>
            </w:r>
            <w:r>
              <w:rPr>
                <w:rFonts w:hint="eastAsia" w:ascii="宋体" w:hAnsi="宋体" w:eastAsia="宋体" w:cs="宋体"/>
                <w:color w:val="auto"/>
                <w:sz w:val="21"/>
                <w:szCs w:val="21"/>
                <w:highlight w:val="none"/>
                <w:lang w:val="en-US" w:eastAsia="zh-CN"/>
              </w:rPr>
              <w:t>特困人员住院护理救助保险项目的</w:t>
            </w:r>
            <w:r>
              <w:rPr>
                <w:rFonts w:hint="eastAsia" w:ascii="宋体" w:hAnsi="宋体" w:eastAsia="宋体" w:cs="宋体"/>
                <w:color w:val="auto"/>
                <w:sz w:val="21"/>
                <w:szCs w:val="21"/>
                <w:highlight w:val="none"/>
              </w:rPr>
              <w:t>报案、咨询、疑难解答和投诉处理，向</w:t>
            </w:r>
            <w:r>
              <w:rPr>
                <w:rFonts w:hint="eastAsia" w:ascii="宋体" w:hAnsi="宋体" w:eastAsia="宋体" w:cs="宋体"/>
                <w:color w:val="auto"/>
                <w:sz w:val="21"/>
                <w:szCs w:val="21"/>
                <w:highlight w:val="none"/>
                <w:lang w:val="en-US" w:eastAsia="zh-CN"/>
              </w:rPr>
              <w:t>试点县（市、区）的特困人员本人、相关监护人或属地民政工作对接人、村委、驻点医院等相关人员</w:t>
            </w:r>
            <w:r>
              <w:rPr>
                <w:rFonts w:hint="eastAsia" w:ascii="宋体" w:hAnsi="宋体" w:eastAsia="宋体" w:cs="宋体"/>
                <w:color w:val="auto"/>
                <w:sz w:val="21"/>
                <w:szCs w:val="21"/>
                <w:highlight w:val="none"/>
              </w:rPr>
              <w:t>派发保险理赔负责人员联系方式和名单，解释保险的具体内容。</w:t>
            </w:r>
          </w:p>
          <w:p w14:paraId="5DEE15C5">
            <w:pPr>
              <w:snapToGrid w:val="0"/>
              <w:spacing w:beforeLines="-2147483648" w:afterLines="-2147483648" w:line="58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理赔流程：</w:t>
            </w:r>
          </w:p>
          <w:p w14:paraId="1D46EA3D">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①</w:t>
            </w:r>
            <w:r>
              <w:rPr>
                <w:rFonts w:hint="eastAsia" w:ascii="宋体" w:hAnsi="宋体" w:eastAsia="宋体" w:cs="宋体"/>
                <w:b/>
                <w:bCs/>
                <w:color w:val="auto"/>
                <w:sz w:val="21"/>
                <w:szCs w:val="21"/>
                <w:highlight w:val="none"/>
                <w:lang w:val="en-US" w:eastAsia="zh-CN"/>
              </w:rPr>
              <w:t>理赔对接及信息报备：</w:t>
            </w:r>
            <w:r>
              <w:rPr>
                <w:rFonts w:hint="eastAsia" w:ascii="宋体" w:hAnsi="宋体" w:eastAsia="宋体" w:cs="宋体"/>
                <w:color w:val="auto"/>
                <w:sz w:val="21"/>
                <w:szCs w:val="21"/>
                <w:highlight w:val="none"/>
                <w:lang w:val="en-US" w:eastAsia="zh-CN"/>
              </w:rPr>
              <w:t>当特困人员因遭受意外伤害、罹患疾病等原因导致住院时，其本人、相关监护人或属地民政工作对接人、村委、驻点医院等应及时与保险公司当地理赔服务专员进行信息报备及报案，保险公司接到报案后应第一时间通知驻点服务团队办理登记对接。</w:t>
            </w:r>
          </w:p>
          <w:p w14:paraId="2BC2B8C6">
            <w:pPr>
              <w:numPr>
                <w:ilvl w:val="-1"/>
                <w:numId w:val="0"/>
              </w:num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②</w:t>
            </w:r>
            <w:r>
              <w:rPr>
                <w:rFonts w:hint="eastAsia" w:ascii="宋体" w:hAnsi="宋体" w:eastAsia="宋体" w:cs="宋体"/>
                <w:b/>
                <w:bCs/>
                <w:color w:val="auto"/>
                <w:sz w:val="21"/>
                <w:szCs w:val="21"/>
                <w:highlight w:val="none"/>
                <w:lang w:val="en-US" w:eastAsia="zh-CN"/>
              </w:rPr>
              <w:t>护理评估：</w:t>
            </w:r>
            <w:r>
              <w:rPr>
                <w:rFonts w:hint="eastAsia" w:ascii="宋体" w:hAnsi="宋体" w:eastAsia="宋体" w:cs="宋体"/>
                <w:color w:val="auto"/>
                <w:sz w:val="21"/>
                <w:szCs w:val="21"/>
                <w:highlight w:val="none"/>
                <w:lang w:val="en-US" w:eastAsia="zh-CN"/>
              </w:rPr>
              <w:t>保险机构驻点护理团队评估员在各县（市、区）人民医院进行定点服务，根据认定标准及相关要求，针对特困人员住院期间的失能等级和护理标准进行现场评估。驻点护理团队根据评估结果派工及提供相应的护理服务。单次住院期间可自理的</w:t>
            </w:r>
            <w:r>
              <w:rPr>
                <w:rFonts w:hint="eastAsia" w:ascii="宋体" w:hAnsi="宋体" w:eastAsia="宋体" w:cs="宋体"/>
                <w:b w:val="0"/>
                <w:bCs w:val="0"/>
                <w:color w:val="auto"/>
                <w:sz w:val="21"/>
                <w:szCs w:val="21"/>
                <w:highlight w:val="none"/>
                <w:lang w:val="en-US" w:eastAsia="zh-CN"/>
              </w:rPr>
              <w:t>特困人员因身体健康状况变化，在进行二次评估后符合赔付标准情形的，在保险期</w:t>
            </w:r>
            <w:r>
              <w:rPr>
                <w:rFonts w:hint="eastAsia" w:ascii="宋体" w:hAnsi="宋体" w:cs="宋体"/>
                <w:b w:val="0"/>
                <w:bCs w:val="0"/>
                <w:color w:val="auto"/>
                <w:sz w:val="21"/>
                <w:szCs w:val="21"/>
                <w:highlight w:val="none"/>
                <w:lang w:val="en-US" w:eastAsia="zh-CN"/>
              </w:rPr>
              <w:t>限</w:t>
            </w:r>
            <w:r>
              <w:rPr>
                <w:rFonts w:hint="eastAsia" w:ascii="宋体" w:hAnsi="宋体" w:eastAsia="宋体" w:cs="宋体"/>
                <w:b w:val="0"/>
                <w:bCs w:val="0"/>
                <w:color w:val="auto"/>
                <w:sz w:val="21"/>
                <w:szCs w:val="21"/>
                <w:highlight w:val="none"/>
                <w:lang w:val="en-US" w:eastAsia="zh-CN"/>
              </w:rPr>
              <w:t>内仍按上述赔付标准执行。</w:t>
            </w:r>
          </w:p>
          <w:p w14:paraId="1ABB98B0">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③</w:t>
            </w:r>
            <w:r>
              <w:rPr>
                <w:rFonts w:hint="eastAsia" w:ascii="宋体" w:hAnsi="宋体" w:eastAsia="宋体" w:cs="宋体"/>
                <w:b/>
                <w:bCs/>
                <w:color w:val="auto"/>
                <w:sz w:val="21"/>
                <w:szCs w:val="21"/>
                <w:highlight w:val="none"/>
                <w:lang w:val="en-US" w:eastAsia="zh-CN"/>
              </w:rPr>
              <w:t>护理派工：</w:t>
            </w:r>
            <w:r>
              <w:rPr>
                <w:rFonts w:hint="eastAsia" w:ascii="宋体" w:hAnsi="宋体" w:eastAsia="宋体" w:cs="宋体"/>
                <w:color w:val="auto"/>
                <w:sz w:val="21"/>
                <w:szCs w:val="21"/>
                <w:highlight w:val="none"/>
                <w:lang w:val="en-US" w:eastAsia="zh-CN"/>
              </w:rPr>
              <w:t>驻点护理团队应在收到评估结果后的2小时内完成派工工作，相关护理服务人员应及时到位服务并做好特困病患沟通工作。</w:t>
            </w:r>
          </w:p>
          <w:p w14:paraId="50EF7916">
            <w:pPr>
              <w:snapToGrid w:val="0"/>
              <w:spacing w:beforeLines="-2147483648" w:afterLines="-2147483648" w:line="580" w:lineRule="exact"/>
              <w:ind w:firstLine="420" w:firstLineChars="200"/>
              <w:jc w:val="left"/>
              <w:rPr>
                <w:rFonts w:hint="eastAsia" w:ascii="宋体" w:hAnsi="宋体" w:eastAsia="宋体" w:cs="宋体"/>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④</w:t>
            </w:r>
            <w:r>
              <w:rPr>
                <w:rFonts w:hint="eastAsia" w:ascii="宋体" w:hAnsi="宋体" w:eastAsia="宋体" w:cs="宋体"/>
                <w:b/>
                <w:bCs/>
                <w:color w:val="auto"/>
                <w:sz w:val="21"/>
                <w:szCs w:val="21"/>
                <w:highlight w:val="none"/>
                <w:lang w:val="en-US" w:eastAsia="zh-CN"/>
              </w:rPr>
              <w:t>护理过程：</w:t>
            </w:r>
          </w:p>
          <w:p w14:paraId="2693F5E3">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医疗护理服务人员应按照时效及相关服务要求，保质保量完成服务，期间保险机构及护理服务团队应定期开展巡查工作，对服务过程进行质量管控；</w:t>
            </w:r>
          </w:p>
          <w:p w14:paraId="6DD39C55">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护理人员应在服务过程中做好档案记录，相关记录留底保存。</w:t>
            </w:r>
          </w:p>
          <w:p w14:paraId="290ED275">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⑤</w:t>
            </w:r>
            <w:r>
              <w:rPr>
                <w:rFonts w:hint="eastAsia" w:ascii="宋体" w:hAnsi="宋体" w:eastAsia="宋体" w:cs="宋体"/>
                <w:b/>
                <w:bCs/>
                <w:color w:val="auto"/>
                <w:sz w:val="21"/>
                <w:szCs w:val="21"/>
                <w:highlight w:val="none"/>
                <w:lang w:val="en-US" w:eastAsia="zh-CN"/>
              </w:rPr>
              <w:t>信息、材料收集及服务评价：</w:t>
            </w:r>
            <w:r>
              <w:rPr>
                <w:rFonts w:hint="eastAsia" w:ascii="宋体" w:hAnsi="宋体" w:eastAsia="宋体" w:cs="宋体"/>
                <w:color w:val="auto"/>
                <w:sz w:val="21"/>
                <w:szCs w:val="21"/>
                <w:highlight w:val="none"/>
                <w:lang w:val="en-US" w:eastAsia="zh-CN"/>
              </w:rPr>
              <w:t>驻点护理服务团队应及时整理特困人员住院信息及相关理赔材料，包括但不限于客户信息（包括姓名、身份证号、出险时间）、理赔单证复印件（出院小结、发票、费用清单、伤者身份证正反面、不涉及病人隐私的服务打卡照片、其他相关材料等）。同时，服务结束后，驻点护理服务团队应收集服务对象及其家属的反馈意见，并对服务过程进行评估，记录服务中存在的问题及改进措施，确保服务质量和客户满意度。</w:t>
            </w:r>
          </w:p>
          <w:p w14:paraId="67EDC6A2">
            <w:pPr>
              <w:snapToGrid w:val="0"/>
              <w:spacing w:beforeLines="-2147483648" w:afterLines="-2147483648" w:line="580" w:lineRule="exact"/>
              <w:ind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增值服务</w:t>
            </w:r>
          </w:p>
          <w:p w14:paraId="1A8AE347">
            <w:pPr>
              <w:snapToGrid w:val="0"/>
              <w:spacing w:beforeLines="-2147483648" w:afterLines="-2147483648"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w:t>
            </w:r>
            <w:r>
              <w:rPr>
                <w:rFonts w:hint="eastAsia" w:ascii="宋体" w:hAnsi="宋体" w:eastAsia="宋体" w:cs="宋体"/>
                <w:color w:val="auto"/>
                <w:sz w:val="21"/>
                <w:szCs w:val="21"/>
                <w:highlight w:val="none"/>
                <w:lang w:val="en-US" w:eastAsia="zh-CN"/>
              </w:rPr>
              <w:t>满足特困人员住院护理救助</w:t>
            </w:r>
            <w:r>
              <w:rPr>
                <w:rFonts w:hint="eastAsia" w:ascii="宋体" w:hAnsi="宋体" w:eastAsia="宋体" w:cs="宋体"/>
                <w:color w:val="auto"/>
                <w:sz w:val="21"/>
                <w:szCs w:val="21"/>
                <w:highlight w:val="none"/>
              </w:rPr>
              <w:t>保险</w:t>
            </w:r>
            <w:r>
              <w:rPr>
                <w:rFonts w:hint="eastAsia" w:ascii="宋体" w:hAnsi="宋体" w:eastAsia="宋体" w:cs="宋体"/>
                <w:color w:val="auto"/>
                <w:sz w:val="21"/>
                <w:szCs w:val="21"/>
                <w:highlight w:val="none"/>
                <w:lang w:val="en-US" w:eastAsia="zh-CN"/>
              </w:rPr>
              <w:t>助力特困人员供养服务提质增效的需求</w:t>
            </w:r>
            <w:r>
              <w:rPr>
                <w:rFonts w:hint="eastAsia" w:ascii="宋体" w:hAnsi="宋体" w:eastAsia="宋体" w:cs="宋体"/>
                <w:color w:val="auto"/>
                <w:sz w:val="21"/>
                <w:szCs w:val="21"/>
                <w:highlight w:val="none"/>
              </w:rPr>
              <w:t>，在基础服务项目上增加</w:t>
            </w:r>
            <w:r>
              <w:rPr>
                <w:rFonts w:hint="eastAsia" w:ascii="宋体" w:hAnsi="宋体" w:eastAsia="宋体" w:cs="宋体"/>
                <w:color w:val="auto"/>
                <w:sz w:val="21"/>
                <w:szCs w:val="21"/>
                <w:highlight w:val="none"/>
                <w:lang w:val="en-US" w:eastAsia="zh-CN"/>
              </w:rPr>
              <w:t>针对性的增值</w:t>
            </w:r>
            <w:r>
              <w:rPr>
                <w:rFonts w:hint="eastAsia" w:ascii="宋体" w:hAnsi="宋体" w:eastAsia="宋体" w:cs="宋体"/>
                <w:color w:val="auto"/>
                <w:sz w:val="21"/>
                <w:szCs w:val="21"/>
                <w:highlight w:val="none"/>
              </w:rPr>
              <w:t>服务内容。</w:t>
            </w:r>
          </w:p>
          <w:p w14:paraId="1AD10F74">
            <w:pPr>
              <w:keepNext w:val="0"/>
              <w:keepLines w:val="0"/>
              <w:pageBreakBefore w:val="0"/>
              <w:widowControl/>
              <w:shd w:val="clear"/>
              <w:kinsoku/>
              <w:wordWrap/>
              <w:overflowPunct/>
              <w:topLinePunct w:val="0"/>
              <w:autoSpaceDE/>
              <w:autoSpaceDN/>
              <w:bidi w:val="0"/>
              <w:adjustRightInd/>
              <w:snapToGrid w:val="0"/>
              <w:spacing w:beforeLines="-2147483648" w:afterLines="-2147483648" w:line="580" w:lineRule="exact"/>
              <w:ind w:firstLine="422" w:firstLineChars="200"/>
              <w:jc w:val="left"/>
              <w:textAlignment w:val="auto"/>
              <w:outlineLvl w:val="9"/>
              <w:rPr>
                <w:rFonts w:hint="eastAsia" w:ascii="宋体" w:hAnsi="宋体" w:eastAsia="宋体" w:cs="宋体"/>
                <w:b/>
                <w:bCs w:val="0"/>
                <w:color w:val="auto"/>
                <w:kern w:val="0"/>
                <w:sz w:val="21"/>
                <w:szCs w:val="21"/>
                <w:highlight w:val="none"/>
                <w:shd w:val="clear" w:color="auto" w:fill="FFFFFF"/>
                <w:lang w:eastAsia="zh-CN"/>
              </w:rPr>
            </w:pPr>
            <w:r>
              <w:rPr>
                <w:rFonts w:hint="eastAsia" w:ascii="宋体" w:hAnsi="宋体" w:eastAsia="宋体" w:cs="宋体"/>
                <w:b/>
                <w:bCs w:val="0"/>
                <w:color w:val="auto"/>
                <w:kern w:val="0"/>
                <w:sz w:val="21"/>
                <w:szCs w:val="21"/>
                <w:highlight w:val="none"/>
                <w:shd w:val="clear" w:color="auto" w:fill="FFFFFF"/>
                <w:lang w:val="en-US" w:eastAsia="zh-CN"/>
              </w:rPr>
              <w:t>五</w:t>
            </w:r>
            <w:r>
              <w:rPr>
                <w:rFonts w:hint="eastAsia" w:ascii="宋体" w:hAnsi="宋体" w:eastAsia="宋体" w:cs="宋体"/>
                <w:b/>
                <w:bCs w:val="0"/>
                <w:color w:val="auto"/>
                <w:kern w:val="0"/>
                <w:sz w:val="21"/>
                <w:szCs w:val="21"/>
                <w:highlight w:val="none"/>
                <w:shd w:val="clear" w:color="auto" w:fill="FFFFFF"/>
              </w:rPr>
              <w:t>、项目覆盖的行政区域</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5184"/>
            </w:tblGrid>
            <w:tr w14:paraId="2737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noWrap w:val="0"/>
                  <w:vAlign w:val="center"/>
                </w:tcPr>
                <w:p w14:paraId="500B7957">
                  <w:pPr>
                    <w:widowControl/>
                    <w:snapToGrid w:val="0"/>
                    <w:spacing w:line="580" w:lineRule="exact"/>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南宁市（</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6A385339">
                  <w:pPr>
                    <w:widowControl/>
                    <w:snapToGrid w:val="0"/>
                    <w:spacing w:line="580" w:lineRule="exact"/>
                    <w:ind w:firstLine="420" w:firstLineChars="2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上林县、马山县、隆安县</w:t>
                  </w:r>
                </w:p>
              </w:tc>
            </w:tr>
            <w:tr w14:paraId="5D50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noWrap w:val="0"/>
                  <w:vAlign w:val="center"/>
                </w:tcPr>
                <w:p w14:paraId="4E0B4F18">
                  <w:pPr>
                    <w:widowControl/>
                    <w:snapToGrid w:val="0"/>
                    <w:spacing w:line="58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桂林市（</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0C372571">
                  <w:pPr>
                    <w:widowControl/>
                    <w:snapToGrid w:val="0"/>
                    <w:spacing w:line="580" w:lineRule="exact"/>
                    <w:ind w:firstLine="420" w:firstLineChars="200"/>
                    <w:jc w:val="center"/>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永福县、兴安县、灌阳县</w:t>
                  </w:r>
                </w:p>
              </w:tc>
            </w:tr>
            <w:tr w14:paraId="5474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noWrap w:val="0"/>
                  <w:vAlign w:val="center"/>
                </w:tcPr>
                <w:p w14:paraId="2317DB31">
                  <w:pPr>
                    <w:widowControl/>
                    <w:snapToGrid w:val="0"/>
                    <w:spacing w:line="58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北海市（4）</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197A4CD8">
                  <w:pPr>
                    <w:widowControl/>
                    <w:snapToGrid w:val="0"/>
                    <w:spacing w:line="580" w:lineRule="exact"/>
                    <w:ind w:firstLine="420" w:firstLineChars="200"/>
                    <w:jc w:val="center"/>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海城区、银海区、铁山港区、合浦县</w:t>
                  </w:r>
                </w:p>
              </w:tc>
            </w:tr>
            <w:tr w14:paraId="6685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noWrap w:val="0"/>
                  <w:vAlign w:val="center"/>
                </w:tcPr>
                <w:p w14:paraId="411069FA">
                  <w:pPr>
                    <w:widowControl/>
                    <w:snapToGrid w:val="0"/>
                    <w:spacing w:line="58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防城港市（</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47A33794">
                  <w:pPr>
                    <w:widowControl/>
                    <w:snapToGrid w:val="0"/>
                    <w:spacing w:line="580" w:lineRule="exact"/>
                    <w:ind w:firstLine="420" w:firstLineChars="200"/>
                    <w:jc w:val="center"/>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防城区、港口区、东兴市、上思县</w:t>
                  </w:r>
                </w:p>
              </w:tc>
            </w:tr>
            <w:tr w14:paraId="3805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noWrap w:val="0"/>
                  <w:vAlign w:val="center"/>
                </w:tcPr>
                <w:p w14:paraId="177E0E20">
                  <w:pPr>
                    <w:widowControl/>
                    <w:snapToGrid w:val="0"/>
                    <w:spacing w:line="580" w:lineRule="exact"/>
                    <w:ind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百色市（12）</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6A39C841">
                  <w:pPr>
                    <w:widowControl/>
                    <w:snapToGrid w:val="0"/>
                    <w:spacing w:line="580" w:lineRule="exact"/>
                    <w:ind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右江区、田阳区、田东县、平果县、德保县、</w:t>
                  </w:r>
                  <w:r>
                    <w:rPr>
                      <w:rFonts w:hint="eastAsia" w:ascii="宋体" w:hAnsi="宋体" w:eastAsia="宋体" w:cs="宋体"/>
                      <w:b w:val="0"/>
                      <w:bCs/>
                      <w:color w:val="auto"/>
                      <w:sz w:val="21"/>
                      <w:szCs w:val="21"/>
                      <w:highlight w:val="none"/>
                    </w:rPr>
                    <w:t>靖西市、那坡县</w:t>
                  </w:r>
                  <w:r>
                    <w:rPr>
                      <w:rFonts w:hint="eastAsia" w:ascii="宋体" w:hAnsi="宋体" w:eastAsia="宋体" w:cs="宋体"/>
                      <w:b w:val="0"/>
                      <w:bCs/>
                      <w:color w:val="auto"/>
                      <w:sz w:val="21"/>
                      <w:szCs w:val="21"/>
                      <w:highlight w:val="none"/>
                      <w:lang w:eastAsia="zh-CN"/>
                    </w:rPr>
                    <w:t>、凌云县、乐业县、田林县、</w:t>
                  </w:r>
                  <w:r>
                    <w:rPr>
                      <w:rFonts w:hint="eastAsia" w:ascii="宋体" w:hAnsi="宋体" w:cs="宋体"/>
                      <w:color w:val="auto"/>
                      <w:sz w:val="21"/>
                      <w:szCs w:val="21"/>
                      <w:highlight w:val="none"/>
                      <w:lang w:val="en-US" w:eastAsia="zh-CN"/>
                    </w:rPr>
                    <w:t>隆林各族自治县</w:t>
                  </w:r>
                  <w:r>
                    <w:rPr>
                      <w:rFonts w:hint="eastAsia" w:ascii="宋体" w:hAnsi="宋体" w:eastAsia="宋体" w:cs="宋体"/>
                      <w:b w:val="0"/>
                      <w:bCs/>
                      <w:color w:val="auto"/>
                      <w:sz w:val="21"/>
                      <w:szCs w:val="21"/>
                      <w:highlight w:val="none"/>
                      <w:lang w:eastAsia="zh-CN"/>
                    </w:rPr>
                    <w:t>、西林县</w:t>
                  </w:r>
                </w:p>
              </w:tc>
            </w:tr>
            <w:tr w14:paraId="056F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noWrap w:val="0"/>
                  <w:vAlign w:val="center"/>
                </w:tcPr>
                <w:p w14:paraId="42CE8975">
                  <w:pPr>
                    <w:widowControl/>
                    <w:snapToGrid w:val="0"/>
                    <w:spacing w:line="58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崇左市（7）</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4377CAF9">
                  <w:pPr>
                    <w:widowControl/>
                    <w:snapToGrid w:val="0"/>
                    <w:spacing w:line="580" w:lineRule="exact"/>
                    <w:ind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江州区、扶绥县、宁明县、龙州县、</w:t>
                  </w:r>
                  <w:r>
                    <w:rPr>
                      <w:rFonts w:hint="eastAsia" w:ascii="宋体" w:hAnsi="宋体" w:eastAsia="宋体" w:cs="宋体"/>
                      <w:b w:val="0"/>
                      <w:bCs/>
                      <w:color w:val="auto"/>
                      <w:sz w:val="21"/>
                      <w:szCs w:val="21"/>
                      <w:highlight w:val="none"/>
                    </w:rPr>
                    <w:t>大新县、</w:t>
                  </w:r>
                  <w:r>
                    <w:rPr>
                      <w:rFonts w:hint="eastAsia" w:ascii="宋体" w:hAnsi="宋体" w:eastAsia="宋体" w:cs="宋体"/>
                      <w:b w:val="0"/>
                      <w:bCs/>
                      <w:color w:val="auto"/>
                      <w:sz w:val="21"/>
                      <w:szCs w:val="21"/>
                      <w:highlight w:val="none"/>
                      <w:lang w:eastAsia="zh-CN"/>
                    </w:rPr>
                    <w:t>天等</w:t>
                  </w:r>
                  <w:r>
                    <w:rPr>
                      <w:rFonts w:hint="eastAsia" w:ascii="宋体" w:hAnsi="宋体" w:eastAsia="宋体" w:cs="宋体"/>
                      <w:b w:val="0"/>
                      <w:bCs/>
                      <w:color w:val="auto"/>
                      <w:sz w:val="21"/>
                      <w:szCs w:val="21"/>
                      <w:highlight w:val="none"/>
                    </w:rPr>
                    <w:t>县、凭祥市</w:t>
                  </w:r>
                </w:p>
              </w:tc>
            </w:tr>
            <w:tr w14:paraId="058F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14:paraId="1DFA9073">
                  <w:pPr>
                    <w:widowControl/>
                    <w:snapToGrid w:val="0"/>
                    <w:spacing w:line="5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184" w:type="dxa"/>
                  <w:tcBorders>
                    <w:top w:val="single" w:color="auto" w:sz="4" w:space="0"/>
                    <w:left w:val="single" w:color="auto" w:sz="4" w:space="0"/>
                    <w:bottom w:val="single" w:color="auto" w:sz="4" w:space="0"/>
                    <w:right w:val="single" w:color="auto" w:sz="4" w:space="0"/>
                  </w:tcBorders>
                  <w:noWrap w:val="0"/>
                  <w:vAlign w:val="center"/>
                </w:tcPr>
                <w:p w14:paraId="1EC7A21E">
                  <w:pPr>
                    <w:widowControl/>
                    <w:snapToGrid w:val="0"/>
                    <w:spacing w:line="580" w:lineRule="exact"/>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个设区市，</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个县(市、区</w:t>
                  </w:r>
                  <w:r>
                    <w:rPr>
                      <w:rFonts w:hint="eastAsia" w:ascii="宋体" w:hAnsi="宋体" w:cs="宋体"/>
                      <w:color w:val="auto"/>
                      <w:sz w:val="21"/>
                      <w:szCs w:val="21"/>
                      <w:highlight w:val="none"/>
                      <w:lang w:eastAsia="zh-CN"/>
                    </w:rPr>
                    <w:t>）</w:t>
                  </w:r>
                </w:p>
              </w:tc>
            </w:tr>
          </w:tbl>
          <w:p w14:paraId="15ED5A80">
            <w:pPr>
              <w:keepNext w:val="0"/>
              <w:keepLines w:val="0"/>
              <w:pageBreakBefore w:val="0"/>
              <w:kinsoku/>
              <w:wordWrap/>
              <w:overflowPunct/>
              <w:topLinePunct w:val="0"/>
              <w:autoSpaceDE/>
              <w:autoSpaceDN/>
              <w:bidi w:val="0"/>
              <w:snapToGrid w:val="0"/>
              <w:spacing w:line="580" w:lineRule="exact"/>
              <w:ind w:firstLine="64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32"/>
                <w:szCs w:val="32"/>
                <w:highlight w:val="none"/>
              </w:rPr>
              <w:br w:type="page"/>
            </w:r>
          </w:p>
        </w:tc>
      </w:tr>
      <w:tr w14:paraId="22EC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8" w:type="dxa"/>
            <w:gridSpan w:val="4"/>
            <w:tcBorders>
              <w:right w:val="single" w:color="auto" w:sz="4" w:space="0"/>
            </w:tcBorders>
            <w:noWrap w:val="0"/>
            <w:vAlign w:val="center"/>
          </w:tcPr>
          <w:p w14:paraId="3E8FB657">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z w:val="21"/>
                <w:szCs w:val="21"/>
                <w:highlight w:val="none"/>
                <w:lang w:val="en-US"/>
              </w:rPr>
            </w:pPr>
            <w:bookmarkStart w:id="40" w:name="_Toc96502210"/>
            <w:r>
              <w:rPr>
                <w:rFonts w:hint="eastAsia" w:ascii="宋体" w:hAnsi="宋体" w:eastAsia="宋体" w:cs="宋体"/>
                <w:b/>
                <w:bCs/>
                <w:color w:val="auto"/>
                <w:sz w:val="21"/>
                <w:szCs w:val="21"/>
                <w:highlight w:val="none"/>
                <w:lang w:val="en-US" w:eastAsia="zh-CN"/>
              </w:rPr>
              <w:t>二、商务条款要求</w:t>
            </w:r>
          </w:p>
        </w:tc>
      </w:tr>
      <w:tr w14:paraId="4F3A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6EC97BDF">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6836" w:type="dxa"/>
            <w:tcBorders>
              <w:top w:val="single" w:color="auto" w:sz="4" w:space="0"/>
              <w:left w:val="nil"/>
              <w:bottom w:val="single" w:color="auto" w:sz="4" w:space="0"/>
              <w:right w:val="single" w:color="auto" w:sz="4" w:space="0"/>
            </w:tcBorders>
            <w:noWrap w:val="0"/>
            <w:vAlign w:val="center"/>
          </w:tcPr>
          <w:p w14:paraId="72C953C7">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自中标通知书发出之日起25日内</w:t>
            </w:r>
            <w:r>
              <w:rPr>
                <w:rFonts w:hint="eastAsia" w:ascii="宋体" w:hAnsi="宋体" w:eastAsia="宋体" w:cs="宋体"/>
                <w:color w:val="auto"/>
                <w:sz w:val="21"/>
                <w:szCs w:val="21"/>
                <w:highlight w:val="none"/>
                <w:lang w:eastAsia="zh-CN"/>
              </w:rPr>
              <w:t>。</w:t>
            </w:r>
          </w:p>
        </w:tc>
      </w:tr>
      <w:tr w14:paraId="57C8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244784F0">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服务期限</w:t>
            </w:r>
            <w:r>
              <w:rPr>
                <w:rFonts w:hint="eastAsia" w:ascii="宋体" w:hAnsi="宋体" w:eastAsia="宋体" w:cs="宋体"/>
                <w:color w:val="auto"/>
                <w:sz w:val="21"/>
                <w:szCs w:val="21"/>
                <w:highlight w:val="none"/>
                <w:lang w:eastAsia="zh-CN"/>
              </w:rPr>
              <w:t>（合同履约期限）</w:t>
            </w:r>
            <w:r>
              <w:rPr>
                <w:rFonts w:hint="eastAsia" w:ascii="宋体" w:hAnsi="宋体" w:eastAsia="宋体" w:cs="宋体"/>
                <w:b w:val="0"/>
                <w:bCs w:val="0"/>
                <w:color w:val="auto"/>
                <w:sz w:val="21"/>
                <w:szCs w:val="21"/>
                <w:highlight w:val="none"/>
              </w:rPr>
              <w:t>及地点</w:t>
            </w:r>
          </w:p>
        </w:tc>
        <w:tc>
          <w:tcPr>
            <w:tcW w:w="6836" w:type="dxa"/>
            <w:tcBorders>
              <w:top w:val="single" w:color="auto" w:sz="4" w:space="0"/>
              <w:left w:val="nil"/>
              <w:bottom w:val="single" w:color="auto" w:sz="4" w:space="0"/>
              <w:right w:val="single" w:color="auto" w:sz="4" w:space="0"/>
            </w:tcBorders>
            <w:noWrap w:val="0"/>
            <w:vAlign w:val="center"/>
          </w:tcPr>
          <w:p w14:paraId="201D81CF">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b w:val="0"/>
                <w:bCs w:val="0"/>
                <w:strike w:val="0"/>
                <w:color w:val="auto"/>
                <w:sz w:val="21"/>
                <w:szCs w:val="21"/>
                <w:highlight w:val="none"/>
                <w:lang w:eastAsia="zh-CN"/>
              </w:rPr>
            </w:pPr>
            <w:r>
              <w:rPr>
                <w:rFonts w:hint="eastAsia" w:ascii="宋体" w:hAnsi="宋体" w:eastAsia="宋体" w:cs="宋体"/>
                <w:b w:val="0"/>
                <w:bCs w:val="0"/>
                <w:color w:val="auto"/>
                <w:sz w:val="21"/>
                <w:szCs w:val="21"/>
                <w:highlight w:val="none"/>
              </w:rPr>
              <w:t>服务期限</w:t>
            </w:r>
            <w:r>
              <w:rPr>
                <w:rFonts w:hint="eastAsia" w:ascii="宋体" w:hAnsi="宋体" w:eastAsia="宋体" w:cs="宋体"/>
                <w:color w:val="auto"/>
                <w:sz w:val="21"/>
                <w:szCs w:val="21"/>
                <w:highlight w:val="none"/>
                <w:lang w:eastAsia="zh-CN"/>
              </w:rPr>
              <w:t>（合同履约期限）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1年</w:t>
            </w:r>
            <w:r>
              <w:rPr>
                <w:rFonts w:hint="eastAsia"/>
                <w:color w:val="auto"/>
                <w:highlight w:val="none"/>
                <w:lang w:val="en-US" w:eastAsia="zh-CN"/>
              </w:rPr>
              <w:t>（自通过政府采购确定承接的保险机构并签署合同之日起计算）</w:t>
            </w:r>
            <w:r>
              <w:rPr>
                <w:rFonts w:hint="eastAsia" w:ascii="宋体" w:hAnsi="宋体" w:eastAsia="宋体" w:cs="宋体"/>
                <w:strike w:val="0"/>
                <w:color w:val="auto"/>
                <w:sz w:val="21"/>
                <w:szCs w:val="21"/>
                <w:highlight w:val="none"/>
                <w:lang w:val="en-US" w:eastAsia="zh-CN"/>
              </w:rPr>
              <w:t>。</w:t>
            </w:r>
          </w:p>
          <w:p w14:paraId="48FD4483">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pacing w:val="0"/>
                <w:sz w:val="21"/>
                <w:szCs w:val="21"/>
                <w:highlight w:val="none"/>
              </w:rPr>
              <w:t>广西辖区内采购人指定地点。</w:t>
            </w:r>
          </w:p>
        </w:tc>
      </w:tr>
      <w:tr w14:paraId="1EB8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52F58A8F">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付款条件（进度和方式）</w:t>
            </w:r>
          </w:p>
        </w:tc>
        <w:tc>
          <w:tcPr>
            <w:tcW w:w="6836" w:type="dxa"/>
            <w:tcBorders>
              <w:top w:val="single" w:color="auto" w:sz="4" w:space="0"/>
              <w:left w:val="nil"/>
              <w:bottom w:val="single" w:color="auto" w:sz="4" w:space="0"/>
              <w:right w:val="single" w:color="auto" w:sz="4" w:space="0"/>
            </w:tcBorders>
            <w:noWrap w:val="0"/>
            <w:vAlign w:val="center"/>
          </w:tcPr>
          <w:p w14:paraId="0E496B57">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本项目投保费用标准为280元/人/年，采购总预算1346万元。合同签订后，5个工作日内办结相关投保手续；收到</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保单和</w:t>
            </w:r>
            <w:r>
              <w:rPr>
                <w:rFonts w:hint="eastAsia" w:ascii="宋体" w:hAnsi="宋体" w:cs="宋体"/>
                <w:color w:val="auto"/>
                <w:sz w:val="21"/>
                <w:szCs w:val="21"/>
                <w:highlight w:val="none"/>
                <w:lang w:val="en-US" w:eastAsia="zh-CN"/>
              </w:rPr>
              <w:t>增值税</w:t>
            </w:r>
            <w:r>
              <w:rPr>
                <w:rFonts w:hint="eastAsia" w:ascii="宋体" w:hAnsi="宋体" w:eastAsia="宋体" w:cs="宋体"/>
                <w:color w:val="auto"/>
                <w:sz w:val="21"/>
                <w:szCs w:val="21"/>
                <w:highlight w:val="none"/>
              </w:rPr>
              <w:t>发票后，三十日内</w:t>
            </w:r>
            <w:r>
              <w:rPr>
                <w:rFonts w:hint="eastAsia" w:ascii="宋体" w:hAnsi="宋体" w:cs="宋体"/>
                <w:color w:val="auto"/>
                <w:sz w:val="21"/>
                <w:szCs w:val="21"/>
                <w:highlight w:val="none"/>
                <w:lang w:val="en-US" w:eastAsia="zh-CN"/>
              </w:rPr>
              <w:t>一次性</w:t>
            </w:r>
            <w:r>
              <w:rPr>
                <w:rFonts w:hint="eastAsia" w:ascii="宋体" w:hAnsi="宋体" w:eastAsia="宋体" w:cs="宋体"/>
                <w:color w:val="auto"/>
                <w:sz w:val="21"/>
                <w:szCs w:val="21"/>
                <w:highlight w:val="none"/>
              </w:rPr>
              <w:t>支付</w:t>
            </w:r>
            <w:r>
              <w:rPr>
                <w:rFonts w:hint="eastAsia" w:ascii="宋体" w:hAnsi="宋体" w:cs="宋体"/>
                <w:color w:val="auto"/>
                <w:sz w:val="21"/>
                <w:szCs w:val="21"/>
                <w:highlight w:val="none"/>
                <w:lang w:val="en-US" w:eastAsia="zh-CN"/>
              </w:rPr>
              <w:t>全额</w:t>
            </w:r>
            <w:r>
              <w:rPr>
                <w:rFonts w:hint="eastAsia" w:ascii="宋体" w:hAnsi="宋体" w:eastAsia="宋体" w:cs="宋体"/>
                <w:color w:val="auto"/>
                <w:sz w:val="21"/>
                <w:szCs w:val="21"/>
                <w:highlight w:val="none"/>
              </w:rPr>
              <w:t>保费。</w:t>
            </w:r>
          </w:p>
        </w:tc>
      </w:tr>
      <w:tr w14:paraId="7D5C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7A715A9B">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服务要求</w:t>
            </w:r>
          </w:p>
        </w:tc>
        <w:tc>
          <w:tcPr>
            <w:tcW w:w="6836" w:type="dxa"/>
            <w:tcBorders>
              <w:top w:val="single" w:color="auto" w:sz="4" w:space="0"/>
              <w:left w:val="nil"/>
              <w:bottom w:val="single" w:color="auto" w:sz="4" w:space="0"/>
              <w:right w:val="single" w:color="auto" w:sz="4" w:space="0"/>
            </w:tcBorders>
            <w:noWrap w:val="0"/>
            <w:vAlign w:val="center"/>
          </w:tcPr>
          <w:p w14:paraId="16CF6881">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1.未经投保人、被保险人同意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不得擅自将本项目项下的承保义务、责任转给其他保险机构承担。</w:t>
            </w:r>
          </w:p>
          <w:p w14:paraId="2DD4B16F">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应设立专线服务，派专人负责本项目的业务联系及处理工作，并在接到投保人、被保险人处理问题的通知后24小时内到达指定现场。</w:t>
            </w:r>
          </w:p>
        </w:tc>
      </w:tr>
      <w:tr w14:paraId="4053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42A8FD69">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1"/>
                <w:sz w:val="21"/>
                <w:szCs w:val="21"/>
                <w:highlight w:val="none"/>
              </w:rPr>
              <w:t>报价要求</w:t>
            </w:r>
          </w:p>
        </w:tc>
        <w:tc>
          <w:tcPr>
            <w:tcW w:w="6836" w:type="dxa"/>
            <w:tcBorders>
              <w:top w:val="single" w:color="auto" w:sz="4" w:space="0"/>
              <w:left w:val="nil"/>
              <w:bottom w:val="single" w:color="auto" w:sz="4" w:space="0"/>
              <w:right w:val="single" w:color="auto" w:sz="4" w:space="0"/>
            </w:tcBorders>
            <w:noWrap w:val="0"/>
            <w:vAlign w:val="center"/>
          </w:tcPr>
          <w:p w14:paraId="2A046F65">
            <w:pPr>
              <w:keepNext w:val="0"/>
              <w:keepLines w:val="0"/>
              <w:pageBreakBefore w:val="0"/>
              <w:kinsoku/>
              <w:wordWrap/>
              <w:overflowPunct/>
              <w:topLinePunct w:val="0"/>
              <w:autoSpaceDE/>
              <w:autoSpaceDN/>
              <w:bidi w:val="0"/>
              <w:snapToGrid w:val="0"/>
              <w:spacing w:line="480" w:lineRule="exact"/>
              <w:ind w:left="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1.本项目报价为固定总价（本项目为总价包干方式发包）</w:t>
            </w:r>
            <w:r>
              <w:rPr>
                <w:rFonts w:hint="eastAsia" w:ascii="宋体" w:hAnsi="宋体" w:eastAsia="宋体" w:cs="宋体"/>
                <w:color w:val="auto"/>
                <w:spacing w:val="0"/>
                <w:sz w:val="21"/>
                <w:szCs w:val="21"/>
                <w:highlight w:val="none"/>
                <w:lang w:val="en-US" w:eastAsia="zh-CN"/>
              </w:rPr>
              <w:t>。</w:t>
            </w:r>
          </w:p>
          <w:p w14:paraId="0D258010">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val="en-US" w:eastAsia="zh-CN"/>
              </w:rPr>
              <w:t>2.报价包含本次采购范围内提供的服务、所涉及的人员劳务费、差旅费、履约验收、第三方风险管理服务费、培训及技术资料及其它所有成本费用的总和，在合同实施时，采购人将不予支付中标人没有列入的项目费用，并认为此项目的费用已包括在总报价中。</w:t>
            </w:r>
          </w:p>
        </w:tc>
      </w:tr>
      <w:tr w14:paraId="0865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8" w:type="dxa"/>
            <w:gridSpan w:val="4"/>
            <w:tcBorders>
              <w:right w:val="single" w:color="auto" w:sz="4" w:space="0"/>
            </w:tcBorders>
            <w:noWrap w:val="0"/>
            <w:vAlign w:val="center"/>
          </w:tcPr>
          <w:p w14:paraId="06CA4C48">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三、</w:t>
            </w:r>
            <w:r>
              <w:rPr>
                <w:rFonts w:hint="eastAsia" w:ascii="宋体" w:hAnsi="宋体" w:eastAsia="宋体" w:cs="宋体"/>
                <w:b/>
                <w:bCs/>
                <w:color w:val="auto"/>
                <w:spacing w:val="-1"/>
                <w:sz w:val="21"/>
                <w:szCs w:val="21"/>
                <w:highlight w:val="none"/>
              </w:rPr>
              <w:t>与实现项目目标相关的其他要求</w:t>
            </w:r>
          </w:p>
        </w:tc>
      </w:tr>
      <w:tr w14:paraId="3DCA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8" w:type="dxa"/>
            <w:gridSpan w:val="4"/>
            <w:tcBorders>
              <w:right w:val="single" w:color="auto" w:sz="4" w:space="0"/>
            </w:tcBorders>
            <w:noWrap w:val="0"/>
            <w:vAlign w:val="center"/>
          </w:tcPr>
          <w:p w14:paraId="02C7F8AA">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投标人的履约能力要求</w:t>
            </w:r>
          </w:p>
        </w:tc>
      </w:tr>
      <w:tr w14:paraId="6C71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6682A174">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履约能力或业绩要求</w:t>
            </w:r>
          </w:p>
        </w:tc>
        <w:tc>
          <w:tcPr>
            <w:tcW w:w="6836" w:type="dxa"/>
            <w:tcBorders>
              <w:top w:val="single" w:color="auto" w:sz="4" w:space="0"/>
              <w:left w:val="nil"/>
              <w:bottom w:val="single" w:color="auto" w:sz="4" w:space="0"/>
              <w:right w:val="single" w:color="auto" w:sz="4" w:space="0"/>
            </w:tcBorders>
            <w:noWrap w:val="0"/>
            <w:vAlign w:val="center"/>
          </w:tcPr>
          <w:p w14:paraId="504EB2A9">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见本</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w:t>
            </w:r>
            <w:r>
              <w:rPr>
                <w:rFonts w:hint="eastAsia" w:ascii="宋体" w:hAnsi="宋体" w:eastAsia="宋体" w:cs="宋体"/>
                <w:b w:val="0"/>
                <w:bCs w:val="0"/>
                <w:color w:val="auto"/>
                <w:sz w:val="21"/>
                <w:szCs w:val="21"/>
                <w:highlight w:val="none"/>
                <w:lang w:val="en-US" w:eastAsia="zh-CN"/>
              </w:rPr>
              <w:t>评标方法</w:t>
            </w:r>
            <w:r>
              <w:rPr>
                <w:rFonts w:hint="eastAsia" w:ascii="宋体" w:hAnsi="宋体" w:eastAsia="宋体" w:cs="宋体"/>
                <w:b w:val="0"/>
                <w:bCs w:val="0"/>
                <w:color w:val="auto"/>
                <w:sz w:val="21"/>
                <w:szCs w:val="21"/>
                <w:highlight w:val="none"/>
              </w:rPr>
              <w:t>及评分标准”。</w:t>
            </w:r>
          </w:p>
        </w:tc>
      </w:tr>
      <w:tr w14:paraId="369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8" w:type="dxa"/>
            <w:gridSpan w:val="4"/>
            <w:tcBorders>
              <w:right w:val="single" w:color="auto" w:sz="4" w:space="0"/>
            </w:tcBorders>
            <w:noWrap w:val="0"/>
            <w:vAlign w:val="center"/>
          </w:tcPr>
          <w:p w14:paraId="55DCF810">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二）验收标准</w:t>
            </w:r>
          </w:p>
        </w:tc>
      </w:tr>
      <w:tr w14:paraId="24FB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525B7126">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验收标准</w:t>
            </w:r>
          </w:p>
        </w:tc>
        <w:tc>
          <w:tcPr>
            <w:tcW w:w="6836" w:type="dxa"/>
            <w:tcBorders>
              <w:top w:val="single" w:color="auto" w:sz="4" w:space="0"/>
              <w:left w:val="nil"/>
              <w:bottom w:val="single" w:color="auto" w:sz="4" w:space="0"/>
              <w:right w:val="single" w:color="auto" w:sz="4" w:space="0"/>
            </w:tcBorders>
            <w:noWrap w:val="0"/>
            <w:vAlign w:val="center"/>
          </w:tcPr>
          <w:p w14:paraId="5969C80D">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b w:val="0"/>
                <w:bCs w:val="0"/>
                <w:color w:val="auto"/>
                <w:sz w:val="21"/>
                <w:szCs w:val="21"/>
                <w:highlight w:val="none"/>
              </w:rPr>
              <w:t>符合现行国家相关标准、行业标准、地方标准或者其他标准、规范</w:t>
            </w:r>
          </w:p>
        </w:tc>
      </w:tr>
      <w:tr w14:paraId="72D2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8" w:type="dxa"/>
            <w:gridSpan w:val="4"/>
            <w:tcBorders>
              <w:right w:val="single" w:color="auto" w:sz="4" w:space="0"/>
            </w:tcBorders>
            <w:noWrap w:val="0"/>
            <w:vAlign w:val="center"/>
          </w:tcPr>
          <w:p w14:paraId="301BCB33">
            <w:pPr>
              <w:keepNext w:val="0"/>
              <w:keepLines w:val="0"/>
              <w:pageBreakBefore w:val="0"/>
              <w:kinsoku/>
              <w:wordWrap/>
              <w:overflowPunct/>
              <w:topLinePunct w:val="0"/>
              <w:autoSpaceDE/>
              <w:autoSpaceDN/>
              <w:bidi w:val="0"/>
              <w:snapToGrid w:val="0"/>
              <w:spacing w:line="48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（三）其他要求</w:t>
            </w:r>
          </w:p>
        </w:tc>
      </w:tr>
      <w:tr w14:paraId="2E33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Borders>
              <w:right w:val="single" w:color="auto" w:sz="4" w:space="0"/>
            </w:tcBorders>
            <w:noWrap w:val="0"/>
            <w:vAlign w:val="center"/>
          </w:tcPr>
          <w:p w14:paraId="45E561B0">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其他要求</w:t>
            </w:r>
          </w:p>
        </w:tc>
        <w:tc>
          <w:tcPr>
            <w:tcW w:w="6836" w:type="dxa"/>
            <w:tcBorders>
              <w:top w:val="single" w:color="auto" w:sz="4" w:space="0"/>
              <w:left w:val="nil"/>
              <w:bottom w:val="single" w:color="auto" w:sz="4" w:space="0"/>
              <w:right w:val="single" w:color="auto" w:sz="4" w:space="0"/>
            </w:tcBorders>
            <w:noWrap w:val="0"/>
            <w:vAlign w:val="center"/>
          </w:tcPr>
          <w:p w14:paraId="7BB87A67">
            <w:pPr>
              <w:keepNext w:val="0"/>
              <w:keepLines w:val="0"/>
              <w:pageBreakBefore w:val="0"/>
              <w:numPr>
                <w:ilvl w:val="0"/>
                <w:numId w:val="0"/>
              </w:numPr>
              <w:kinsoku/>
              <w:wordWrap/>
              <w:overflowPunct/>
              <w:topLinePunct w:val="0"/>
              <w:autoSpaceDE/>
              <w:autoSpaceDN/>
              <w:bidi w:val="0"/>
              <w:snapToGrid w:val="0"/>
              <w:spacing w:line="480" w:lineRule="exact"/>
              <w:jc w:val="both"/>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可根据自身情况及第四章“</w:t>
            </w:r>
            <w:r>
              <w:rPr>
                <w:rFonts w:hint="eastAsia" w:ascii="宋体" w:hAnsi="宋体" w:eastAsia="宋体" w:cs="宋体"/>
                <w:b w:val="0"/>
                <w:bCs w:val="0"/>
                <w:color w:val="auto"/>
                <w:sz w:val="21"/>
                <w:szCs w:val="21"/>
                <w:highlight w:val="none"/>
                <w:lang w:val="en-US" w:eastAsia="zh-CN"/>
              </w:rPr>
              <w:t>评标方法</w:t>
            </w:r>
            <w:r>
              <w:rPr>
                <w:rFonts w:hint="eastAsia" w:ascii="宋体" w:hAnsi="宋体" w:eastAsia="宋体" w:cs="宋体"/>
                <w:b w:val="0"/>
                <w:bCs w:val="0"/>
                <w:color w:val="auto"/>
                <w:sz w:val="21"/>
                <w:szCs w:val="21"/>
                <w:highlight w:val="none"/>
              </w:rPr>
              <w:t>及评分标准</w:t>
            </w:r>
            <w:r>
              <w:rPr>
                <w:rFonts w:hint="eastAsia" w:ascii="宋体" w:hAnsi="宋体" w:eastAsia="宋体" w:cs="宋体"/>
                <w:color w:val="auto"/>
                <w:spacing w:val="0"/>
                <w:sz w:val="21"/>
                <w:szCs w:val="21"/>
                <w:highlight w:val="none"/>
              </w:rPr>
              <w:t>”提供有关材料</w:t>
            </w:r>
            <w:r>
              <w:rPr>
                <w:rFonts w:hint="eastAsia" w:ascii="宋体" w:hAnsi="宋体" w:cs="宋体"/>
                <w:color w:val="auto"/>
                <w:spacing w:val="0"/>
                <w:sz w:val="21"/>
                <w:szCs w:val="21"/>
                <w:highlight w:val="none"/>
                <w:lang w:eastAsia="zh-CN"/>
              </w:rPr>
              <w:t>（</w:t>
            </w:r>
            <w:r>
              <w:rPr>
                <w:rFonts w:hint="eastAsia" w:ascii="宋体" w:hAnsi="宋体" w:cs="宋体"/>
                <w:color w:val="auto"/>
                <w:spacing w:val="0"/>
                <w:sz w:val="21"/>
                <w:szCs w:val="21"/>
                <w:highlight w:val="none"/>
                <w:lang w:val="en-US" w:eastAsia="zh-CN"/>
              </w:rPr>
              <w:t>如服务人员配备方案、</w:t>
            </w:r>
            <w:r>
              <w:rPr>
                <w:rFonts w:hint="eastAsia" w:ascii="宋体" w:hAnsi="宋体" w:eastAsia="宋体" w:cs="宋体"/>
                <w:bCs/>
                <w:color w:val="auto"/>
                <w:kern w:val="2"/>
                <w:sz w:val="21"/>
                <w:szCs w:val="21"/>
                <w:highlight w:val="none"/>
                <w:lang w:val="en-US" w:eastAsia="zh-CN" w:bidi="ar-SA"/>
              </w:rPr>
              <w:t>照护人员管理方案</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0"/>
                <w:sz w:val="21"/>
                <w:szCs w:val="21"/>
                <w:highlight w:val="none"/>
              </w:rPr>
              <w:t>2024年综合偿付能力充足率</w:t>
            </w:r>
            <w:r>
              <w:rPr>
                <w:rFonts w:hint="eastAsia" w:ascii="宋体" w:hAnsi="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SA"/>
              </w:rPr>
              <w:t>2024年风险综合评级（IRR）</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2024年风险管理能力</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2024年监管通报保险业消费投诉情况</w:t>
            </w:r>
            <w:r>
              <w:rPr>
                <w:rFonts w:hint="eastAsia" w:ascii="宋体" w:hAnsi="宋体" w:cs="宋体"/>
                <w:color w:val="auto"/>
                <w:kern w:val="0"/>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承保经验（业绩分）</w:t>
            </w:r>
            <w:r>
              <w:rPr>
                <w:rFonts w:hint="eastAsia" w:ascii="宋体" w:hAnsi="宋体" w:cs="宋体"/>
                <w:bCs/>
                <w:color w:val="auto"/>
                <w:kern w:val="2"/>
                <w:sz w:val="21"/>
                <w:szCs w:val="21"/>
                <w:highlight w:val="none"/>
                <w:lang w:val="en-US" w:eastAsia="zh-CN" w:bidi="ar-SA"/>
              </w:rPr>
              <w:t>等</w:t>
            </w:r>
            <w:r>
              <w:rPr>
                <w:rFonts w:hint="eastAsia" w:ascii="宋体" w:hAnsi="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w:t>
            </w:r>
          </w:p>
          <w:p w14:paraId="269F0F19">
            <w:pPr>
              <w:snapToGrid w:val="0"/>
              <w:spacing w:beforeLines="-2147483648" w:afterLines="-2147483648" w:line="580" w:lineRule="exact"/>
              <w:ind w:firstLine="0" w:firstLineChars="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投标人投标文件中必须提供</w:t>
            </w:r>
            <w:r>
              <w:rPr>
                <w:rFonts w:hint="eastAsia" w:ascii="宋体" w:hAnsi="宋体" w:eastAsia="宋体" w:cs="宋体"/>
                <w:b/>
                <w:bCs/>
                <w:color w:val="auto"/>
                <w:sz w:val="21"/>
                <w:szCs w:val="21"/>
                <w:highlight w:val="none"/>
                <w:lang w:val="en-US" w:eastAsia="zh-CN"/>
              </w:rPr>
              <w:t>的材料</w:t>
            </w:r>
          </w:p>
          <w:p w14:paraId="335BD197">
            <w:pPr>
              <w:keepNext w:val="0"/>
              <w:keepLines w:val="0"/>
              <w:pageBreakBefore w:val="0"/>
              <w:widowControl/>
              <w:numPr>
                <w:ilvl w:val="-1"/>
                <w:numId w:val="0"/>
              </w:numPr>
              <w:kinsoku/>
              <w:wordWrap/>
              <w:overflowPunct/>
              <w:topLinePunct w:val="0"/>
              <w:autoSpaceDE/>
              <w:autoSpaceDN/>
              <w:bidi w:val="0"/>
              <w:adjustRightInd/>
              <w:snapToGrid w:val="0"/>
              <w:spacing w:line="5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（1）本项目的</w:t>
            </w:r>
            <w:r>
              <w:rPr>
                <w:rFonts w:hint="eastAsia" w:ascii="宋体" w:hAnsi="宋体" w:eastAsia="宋体" w:cs="宋体"/>
                <w:strike w:val="0"/>
                <w:dstrike w:val="0"/>
                <w:color w:val="auto"/>
                <w:sz w:val="21"/>
                <w:szCs w:val="21"/>
                <w:highlight w:val="none"/>
              </w:rPr>
              <w:t>服务方案</w:t>
            </w:r>
            <w:r>
              <w:rPr>
                <w:rFonts w:hint="eastAsia" w:ascii="宋体" w:hAnsi="宋体" w:cs="宋体"/>
                <w:strike w:val="0"/>
                <w:dstrike w:val="0"/>
                <w:color w:val="auto"/>
                <w:sz w:val="21"/>
                <w:szCs w:val="21"/>
                <w:highlight w:val="none"/>
                <w:lang w:val="en-US" w:eastAsia="zh-CN"/>
              </w:rPr>
              <w:t>等</w:t>
            </w:r>
            <w:r>
              <w:rPr>
                <w:rFonts w:hint="eastAsia" w:ascii="宋体" w:hAnsi="宋体" w:eastAsia="宋体" w:cs="宋体"/>
                <w:color w:val="auto"/>
                <w:sz w:val="21"/>
                <w:szCs w:val="21"/>
                <w:highlight w:val="none"/>
              </w:rPr>
              <w:t>；</w:t>
            </w:r>
          </w:p>
          <w:p w14:paraId="79E31B82">
            <w:pPr>
              <w:keepNext w:val="0"/>
              <w:keepLines w:val="0"/>
              <w:pageBreakBefore w:val="0"/>
              <w:widowControl/>
              <w:numPr>
                <w:ilvl w:val="-1"/>
                <w:numId w:val="0"/>
              </w:numPr>
              <w:kinsoku/>
              <w:wordWrap/>
              <w:overflowPunct/>
              <w:topLinePunct w:val="0"/>
              <w:autoSpaceDE/>
              <w:autoSpaceDN/>
              <w:bidi w:val="0"/>
              <w:adjustRightInd/>
              <w:snapToGrid w:val="0"/>
              <w:spacing w:line="5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项目覆盖的行政区域内分支机构设置一览表</w:t>
            </w:r>
            <w:r>
              <w:rPr>
                <w:rFonts w:hint="eastAsia" w:ascii="宋体" w:hAnsi="宋体" w:eastAsia="宋体" w:cs="宋体"/>
                <w:color w:val="auto"/>
                <w:sz w:val="21"/>
                <w:szCs w:val="21"/>
                <w:highlight w:val="none"/>
                <w:lang w:val="en-US" w:eastAsia="zh-CN"/>
              </w:rPr>
              <w:t>。</w:t>
            </w:r>
          </w:p>
          <w:p w14:paraId="3555211E">
            <w:pPr>
              <w:snapToGrid w:val="0"/>
              <w:spacing w:beforeLines="-2147483648" w:afterLines="-2147483648" w:line="580" w:lineRule="exact"/>
              <w:ind w:firstLine="0" w:firstLineChars="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投标承诺</w:t>
            </w:r>
          </w:p>
          <w:p w14:paraId="2B323E14">
            <w:pPr>
              <w:keepNext w:val="0"/>
              <w:keepLines w:val="0"/>
              <w:pageBreakBefore w:val="0"/>
              <w:numPr>
                <w:ilvl w:val="0"/>
                <w:numId w:val="0"/>
              </w:numPr>
              <w:kinsoku/>
              <w:wordWrap/>
              <w:overflowPunct/>
              <w:topLinePunct w:val="0"/>
              <w:autoSpaceDE/>
              <w:autoSpaceDN/>
              <w:bidi w:val="0"/>
              <w:snapToGrid w:val="0"/>
              <w:spacing w:line="480" w:lineRule="exact"/>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z w:val="21"/>
                <w:szCs w:val="21"/>
                <w:highlight w:val="none"/>
              </w:rPr>
              <w:t>要求投标人对采购人提出的采购项目采购需求，在</w:t>
            </w:r>
            <w:r>
              <w:rPr>
                <w:rFonts w:hint="eastAsia" w:ascii="宋体" w:hAnsi="宋体" w:cs="宋体"/>
                <w:color w:val="auto"/>
                <w:sz w:val="21"/>
                <w:szCs w:val="21"/>
                <w:highlight w:val="none"/>
                <w:lang w:val="en-US" w:eastAsia="zh-CN"/>
              </w:rPr>
              <w:t>服务方案</w:t>
            </w:r>
            <w:r>
              <w:rPr>
                <w:rFonts w:hint="eastAsia" w:ascii="宋体" w:hAnsi="宋体" w:eastAsia="宋体" w:cs="宋体"/>
                <w:color w:val="auto"/>
                <w:sz w:val="21"/>
                <w:szCs w:val="21"/>
                <w:highlight w:val="none"/>
              </w:rPr>
              <w:t>中对所承诺的各项服务内容进行详述，承诺真实、可行，并对承诺的服务内容负全部责任。</w:t>
            </w:r>
          </w:p>
        </w:tc>
      </w:tr>
      <w:bookmarkEnd w:id="40"/>
    </w:tbl>
    <w:p w14:paraId="087BAC95">
      <w:pPr>
        <w:spacing w:line="360" w:lineRule="exact"/>
        <w:ind w:left="-10" w:leftChars="-5" w:right="2" w:rightChars="1" w:firstLine="422" w:firstLineChars="200"/>
        <w:rPr>
          <w:rFonts w:hint="eastAsia" w:ascii="宋体" w:hAnsi="宋体" w:eastAsia="宋体" w:cs="宋体"/>
          <w:b/>
          <w:bCs w:val="0"/>
          <w:color w:val="auto"/>
          <w:highlight w:val="none"/>
          <w:lang w:val="en-US" w:eastAsia="zh-CN"/>
        </w:rPr>
      </w:pPr>
    </w:p>
    <w:bookmarkEnd w:id="37"/>
    <w:bookmarkEnd w:id="38"/>
    <w:p w14:paraId="3CF3DF22">
      <w:pPr>
        <w:pStyle w:val="23"/>
        <w:ind w:left="0" w:leftChars="0" w:right="0" w:rightChars="0" w:firstLine="0" w:firstLineChars="0"/>
        <w:jc w:val="both"/>
        <w:rPr>
          <w:rFonts w:hint="eastAsia" w:ascii="宋体" w:hAnsi="宋体" w:eastAsia="宋体" w:cs="宋体"/>
          <w:color w:val="auto"/>
          <w:highlight w:val="none"/>
        </w:rPr>
      </w:pPr>
    </w:p>
    <w:p w14:paraId="76464798">
      <w:pPr>
        <w:spacing w:line="528"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sz w:val="21"/>
          <w:szCs w:val="21"/>
          <w:highlight w:val="none"/>
        </w:rPr>
        <w:t>附件：</w:t>
      </w:r>
    </w:p>
    <w:p w14:paraId="7E399BCF">
      <w:pPr>
        <w:spacing w:line="528" w:lineRule="exac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sz w:val="32"/>
          <w:szCs w:val="32"/>
          <w:highlight w:val="none"/>
        </w:rPr>
        <w:t>中小微企业划型标准</w:t>
      </w:r>
    </w:p>
    <w:tbl>
      <w:tblPr>
        <w:tblStyle w:val="35"/>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062327CA">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A8E0B5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1A35E0B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21D6AB9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14:paraId="7B7629D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14:paraId="449B4C8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14:paraId="261DDD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07B2CF8B">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4146F43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3FF9764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DAD01A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4370AE4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43" w:type="dxa"/>
            <w:tcBorders>
              <w:top w:val="nil"/>
              <w:left w:val="nil"/>
              <w:bottom w:val="single" w:color="auto" w:sz="4" w:space="0"/>
              <w:right w:val="single" w:color="auto" w:sz="4" w:space="0"/>
            </w:tcBorders>
            <w:noWrap w:val="0"/>
            <w:vAlign w:val="center"/>
          </w:tcPr>
          <w:p w14:paraId="7990264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142" w:type="dxa"/>
            <w:tcBorders>
              <w:top w:val="nil"/>
              <w:left w:val="nil"/>
              <w:bottom w:val="single" w:color="auto" w:sz="4" w:space="0"/>
              <w:right w:val="single" w:color="auto" w:sz="4" w:space="0"/>
            </w:tcBorders>
            <w:noWrap w:val="0"/>
            <w:vAlign w:val="center"/>
          </w:tcPr>
          <w:p w14:paraId="24BFFB2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192C14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C78DA2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384" w:type="dxa"/>
            <w:tcBorders>
              <w:top w:val="nil"/>
              <w:left w:val="nil"/>
              <w:bottom w:val="single" w:color="auto" w:sz="4" w:space="0"/>
              <w:right w:val="single" w:color="auto" w:sz="4" w:space="0"/>
            </w:tcBorders>
            <w:noWrap w:val="0"/>
            <w:vAlign w:val="center"/>
          </w:tcPr>
          <w:p w14:paraId="57E0E3B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0ACA28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3655A57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tcBorders>
              <w:top w:val="nil"/>
              <w:left w:val="nil"/>
              <w:bottom w:val="single" w:color="auto" w:sz="4" w:space="0"/>
              <w:right w:val="single" w:color="auto" w:sz="4" w:space="0"/>
            </w:tcBorders>
            <w:noWrap w:val="0"/>
            <w:vAlign w:val="center"/>
          </w:tcPr>
          <w:p w14:paraId="62A84B5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42" w:type="dxa"/>
            <w:tcBorders>
              <w:top w:val="nil"/>
              <w:left w:val="nil"/>
              <w:bottom w:val="single" w:color="auto" w:sz="4" w:space="0"/>
              <w:right w:val="single" w:color="auto" w:sz="4" w:space="0"/>
            </w:tcBorders>
            <w:noWrap w:val="0"/>
            <w:vAlign w:val="center"/>
          </w:tcPr>
          <w:p w14:paraId="3CB127A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939DDC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D4CA5D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F8B846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B99EE1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509EC16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43" w:type="dxa"/>
            <w:tcBorders>
              <w:top w:val="nil"/>
              <w:left w:val="nil"/>
              <w:bottom w:val="single" w:color="auto" w:sz="4" w:space="0"/>
              <w:right w:val="single" w:color="auto" w:sz="4" w:space="0"/>
            </w:tcBorders>
            <w:noWrap w:val="0"/>
            <w:vAlign w:val="center"/>
          </w:tcPr>
          <w:p w14:paraId="3A40696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142" w:type="dxa"/>
            <w:tcBorders>
              <w:top w:val="nil"/>
              <w:left w:val="nil"/>
              <w:bottom w:val="single" w:color="auto" w:sz="4" w:space="0"/>
              <w:right w:val="single" w:color="auto" w:sz="4" w:space="0"/>
            </w:tcBorders>
            <w:noWrap w:val="0"/>
            <w:vAlign w:val="center"/>
          </w:tcPr>
          <w:p w14:paraId="51152A6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C2362E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B927F4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384" w:type="dxa"/>
            <w:tcBorders>
              <w:top w:val="nil"/>
              <w:left w:val="nil"/>
              <w:bottom w:val="single" w:color="auto" w:sz="4" w:space="0"/>
              <w:right w:val="single" w:color="auto" w:sz="4" w:space="0"/>
            </w:tcBorders>
            <w:noWrap w:val="0"/>
            <w:vAlign w:val="center"/>
          </w:tcPr>
          <w:p w14:paraId="6595DB8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748345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7D31CF1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43" w:type="dxa"/>
            <w:tcBorders>
              <w:top w:val="nil"/>
              <w:left w:val="nil"/>
              <w:bottom w:val="single" w:color="auto" w:sz="4" w:space="0"/>
              <w:right w:val="single" w:color="auto" w:sz="4" w:space="0"/>
            </w:tcBorders>
            <w:noWrap w:val="0"/>
            <w:vAlign w:val="center"/>
          </w:tcPr>
          <w:p w14:paraId="5EDB1C2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142" w:type="dxa"/>
            <w:tcBorders>
              <w:top w:val="nil"/>
              <w:left w:val="nil"/>
              <w:bottom w:val="single" w:color="auto" w:sz="4" w:space="0"/>
              <w:right w:val="single" w:color="auto" w:sz="4" w:space="0"/>
            </w:tcBorders>
            <w:noWrap w:val="0"/>
            <w:vAlign w:val="center"/>
          </w:tcPr>
          <w:p w14:paraId="0FDA6BA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FFF037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F7C037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6ECDD53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536AB1A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13CA243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43" w:type="dxa"/>
            <w:tcBorders>
              <w:top w:val="nil"/>
              <w:left w:val="nil"/>
              <w:bottom w:val="single" w:color="auto" w:sz="4" w:space="0"/>
              <w:right w:val="single" w:color="auto" w:sz="4" w:space="0"/>
            </w:tcBorders>
            <w:noWrap w:val="0"/>
            <w:vAlign w:val="center"/>
          </w:tcPr>
          <w:p w14:paraId="081B25E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142" w:type="dxa"/>
            <w:tcBorders>
              <w:top w:val="nil"/>
              <w:left w:val="nil"/>
              <w:bottom w:val="single" w:color="auto" w:sz="4" w:space="0"/>
              <w:right w:val="single" w:color="auto" w:sz="4" w:space="0"/>
            </w:tcBorders>
            <w:noWrap w:val="0"/>
            <w:vAlign w:val="center"/>
          </w:tcPr>
          <w:p w14:paraId="2A17846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1D72E54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4779EB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384" w:type="dxa"/>
            <w:tcBorders>
              <w:top w:val="nil"/>
              <w:left w:val="nil"/>
              <w:bottom w:val="single" w:color="auto" w:sz="4" w:space="0"/>
              <w:right w:val="single" w:color="auto" w:sz="4" w:space="0"/>
            </w:tcBorders>
            <w:noWrap w:val="0"/>
            <w:vAlign w:val="center"/>
          </w:tcPr>
          <w:p w14:paraId="75C8BEA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ABC7A1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4DD6AD8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43" w:type="dxa"/>
            <w:tcBorders>
              <w:top w:val="nil"/>
              <w:left w:val="nil"/>
              <w:bottom w:val="single" w:color="auto" w:sz="4" w:space="0"/>
              <w:right w:val="single" w:color="auto" w:sz="4" w:space="0"/>
            </w:tcBorders>
            <w:noWrap w:val="0"/>
            <w:vAlign w:val="center"/>
          </w:tcPr>
          <w:p w14:paraId="03958A0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142" w:type="dxa"/>
            <w:tcBorders>
              <w:top w:val="nil"/>
              <w:left w:val="nil"/>
              <w:bottom w:val="single" w:color="auto" w:sz="4" w:space="0"/>
              <w:right w:val="single" w:color="auto" w:sz="4" w:space="0"/>
            </w:tcBorders>
            <w:noWrap w:val="0"/>
            <w:vAlign w:val="center"/>
          </w:tcPr>
          <w:p w14:paraId="68D839D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427DB99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62F968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5A7CE7B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8E3E5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60307E4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43" w:type="dxa"/>
            <w:tcBorders>
              <w:top w:val="nil"/>
              <w:left w:val="nil"/>
              <w:bottom w:val="single" w:color="auto" w:sz="4" w:space="0"/>
              <w:right w:val="single" w:color="auto" w:sz="4" w:space="0"/>
            </w:tcBorders>
            <w:noWrap w:val="0"/>
            <w:vAlign w:val="center"/>
          </w:tcPr>
          <w:p w14:paraId="3EF78D7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142" w:type="dxa"/>
            <w:tcBorders>
              <w:top w:val="nil"/>
              <w:left w:val="nil"/>
              <w:bottom w:val="single" w:color="auto" w:sz="4" w:space="0"/>
              <w:right w:val="single" w:color="auto" w:sz="4" w:space="0"/>
            </w:tcBorders>
            <w:noWrap w:val="0"/>
            <w:vAlign w:val="center"/>
          </w:tcPr>
          <w:p w14:paraId="19BF137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4CA2C13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EEDD87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384" w:type="dxa"/>
            <w:tcBorders>
              <w:top w:val="nil"/>
              <w:left w:val="nil"/>
              <w:bottom w:val="single" w:color="auto" w:sz="4" w:space="0"/>
              <w:right w:val="single" w:color="auto" w:sz="4" w:space="0"/>
            </w:tcBorders>
            <w:noWrap w:val="0"/>
            <w:vAlign w:val="center"/>
          </w:tcPr>
          <w:p w14:paraId="218CD5B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055A93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07AFC25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43" w:type="dxa"/>
            <w:tcBorders>
              <w:top w:val="nil"/>
              <w:left w:val="nil"/>
              <w:bottom w:val="single" w:color="auto" w:sz="4" w:space="0"/>
              <w:right w:val="single" w:color="auto" w:sz="4" w:space="0"/>
            </w:tcBorders>
            <w:noWrap w:val="0"/>
            <w:vAlign w:val="center"/>
          </w:tcPr>
          <w:p w14:paraId="59E30AD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142" w:type="dxa"/>
            <w:tcBorders>
              <w:top w:val="nil"/>
              <w:left w:val="nil"/>
              <w:bottom w:val="single" w:color="auto" w:sz="4" w:space="0"/>
              <w:right w:val="single" w:color="auto" w:sz="4" w:space="0"/>
            </w:tcBorders>
            <w:noWrap w:val="0"/>
            <w:vAlign w:val="center"/>
          </w:tcPr>
          <w:p w14:paraId="5E2EE35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428CFB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916B48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5ABF3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6BCD72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2533AB9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43" w:type="dxa"/>
            <w:tcBorders>
              <w:top w:val="nil"/>
              <w:left w:val="nil"/>
              <w:bottom w:val="single" w:color="auto" w:sz="4" w:space="0"/>
              <w:right w:val="single" w:color="auto" w:sz="4" w:space="0"/>
            </w:tcBorders>
            <w:noWrap w:val="0"/>
            <w:vAlign w:val="center"/>
          </w:tcPr>
          <w:p w14:paraId="6F05B01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142" w:type="dxa"/>
            <w:tcBorders>
              <w:top w:val="nil"/>
              <w:left w:val="nil"/>
              <w:bottom w:val="single" w:color="auto" w:sz="4" w:space="0"/>
              <w:right w:val="single" w:color="auto" w:sz="4" w:space="0"/>
            </w:tcBorders>
            <w:noWrap w:val="0"/>
            <w:vAlign w:val="center"/>
          </w:tcPr>
          <w:p w14:paraId="78A6206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F68DD4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CC830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5035F68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1C05B2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5B15D5D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tcBorders>
              <w:top w:val="nil"/>
              <w:left w:val="nil"/>
              <w:bottom w:val="single" w:color="auto" w:sz="4" w:space="0"/>
              <w:right w:val="single" w:color="auto" w:sz="4" w:space="0"/>
            </w:tcBorders>
            <w:noWrap w:val="0"/>
            <w:vAlign w:val="center"/>
          </w:tcPr>
          <w:p w14:paraId="7BFBD43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42" w:type="dxa"/>
            <w:tcBorders>
              <w:top w:val="nil"/>
              <w:left w:val="nil"/>
              <w:bottom w:val="single" w:color="auto" w:sz="4" w:space="0"/>
              <w:right w:val="single" w:color="auto" w:sz="4" w:space="0"/>
            </w:tcBorders>
            <w:noWrap w:val="0"/>
            <w:vAlign w:val="center"/>
          </w:tcPr>
          <w:p w14:paraId="3F50F74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DF2DB0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318D31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0DAB9EC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5AFFE9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1E76630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43" w:type="dxa"/>
            <w:tcBorders>
              <w:top w:val="nil"/>
              <w:left w:val="nil"/>
              <w:bottom w:val="single" w:color="auto" w:sz="4" w:space="0"/>
              <w:right w:val="single" w:color="auto" w:sz="4" w:space="0"/>
            </w:tcBorders>
            <w:noWrap w:val="0"/>
            <w:vAlign w:val="center"/>
          </w:tcPr>
          <w:p w14:paraId="37B5D03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142" w:type="dxa"/>
            <w:tcBorders>
              <w:top w:val="nil"/>
              <w:left w:val="nil"/>
              <w:bottom w:val="single" w:color="auto" w:sz="4" w:space="0"/>
              <w:right w:val="single" w:color="auto" w:sz="4" w:space="0"/>
            </w:tcBorders>
            <w:noWrap w:val="0"/>
            <w:vAlign w:val="center"/>
          </w:tcPr>
          <w:p w14:paraId="5FC5549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4D03C9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0B426C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384" w:type="dxa"/>
            <w:tcBorders>
              <w:top w:val="nil"/>
              <w:left w:val="nil"/>
              <w:bottom w:val="single" w:color="auto" w:sz="4" w:space="0"/>
              <w:right w:val="single" w:color="auto" w:sz="4" w:space="0"/>
            </w:tcBorders>
            <w:noWrap w:val="0"/>
            <w:vAlign w:val="center"/>
          </w:tcPr>
          <w:p w14:paraId="1DAAE2B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B6D264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3EB6B7A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43" w:type="dxa"/>
            <w:tcBorders>
              <w:top w:val="nil"/>
              <w:left w:val="nil"/>
              <w:bottom w:val="single" w:color="auto" w:sz="4" w:space="0"/>
              <w:right w:val="single" w:color="auto" w:sz="4" w:space="0"/>
            </w:tcBorders>
            <w:noWrap w:val="0"/>
            <w:vAlign w:val="center"/>
          </w:tcPr>
          <w:p w14:paraId="4432E84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142" w:type="dxa"/>
            <w:tcBorders>
              <w:top w:val="nil"/>
              <w:left w:val="nil"/>
              <w:bottom w:val="single" w:color="auto" w:sz="4" w:space="0"/>
              <w:right w:val="single" w:color="auto" w:sz="4" w:space="0"/>
            </w:tcBorders>
            <w:noWrap w:val="0"/>
            <w:vAlign w:val="center"/>
          </w:tcPr>
          <w:p w14:paraId="4A7701F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356EBC8">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B75F4A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5D90D2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7BA86D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7F82FA3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43" w:type="dxa"/>
            <w:tcBorders>
              <w:top w:val="nil"/>
              <w:left w:val="nil"/>
              <w:bottom w:val="single" w:color="auto" w:sz="4" w:space="0"/>
              <w:right w:val="single" w:color="auto" w:sz="4" w:space="0"/>
            </w:tcBorders>
            <w:noWrap w:val="0"/>
            <w:vAlign w:val="center"/>
          </w:tcPr>
          <w:p w14:paraId="222BBFF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42" w:type="dxa"/>
            <w:tcBorders>
              <w:top w:val="nil"/>
              <w:left w:val="nil"/>
              <w:bottom w:val="single" w:color="auto" w:sz="4" w:space="0"/>
              <w:right w:val="single" w:color="auto" w:sz="4" w:space="0"/>
            </w:tcBorders>
            <w:noWrap w:val="0"/>
            <w:vAlign w:val="center"/>
          </w:tcPr>
          <w:p w14:paraId="7E30D74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2A174F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1F8040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384" w:type="dxa"/>
            <w:tcBorders>
              <w:top w:val="nil"/>
              <w:left w:val="nil"/>
              <w:bottom w:val="single" w:color="auto" w:sz="4" w:space="0"/>
              <w:right w:val="single" w:color="auto" w:sz="4" w:space="0"/>
            </w:tcBorders>
            <w:noWrap w:val="0"/>
            <w:vAlign w:val="center"/>
          </w:tcPr>
          <w:p w14:paraId="178D700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B33DE9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57C7285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tcBorders>
              <w:top w:val="nil"/>
              <w:left w:val="nil"/>
              <w:bottom w:val="single" w:color="auto" w:sz="4" w:space="0"/>
              <w:right w:val="single" w:color="auto" w:sz="4" w:space="0"/>
            </w:tcBorders>
            <w:noWrap w:val="0"/>
            <w:vAlign w:val="center"/>
          </w:tcPr>
          <w:p w14:paraId="0B1F0A3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42" w:type="dxa"/>
            <w:tcBorders>
              <w:top w:val="nil"/>
              <w:left w:val="nil"/>
              <w:bottom w:val="single" w:color="auto" w:sz="4" w:space="0"/>
              <w:right w:val="single" w:color="auto" w:sz="4" w:space="0"/>
            </w:tcBorders>
            <w:noWrap w:val="0"/>
            <w:vAlign w:val="center"/>
          </w:tcPr>
          <w:p w14:paraId="20FAADB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5D4AF9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B311A9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68A6C26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8A63EF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402E2B4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43" w:type="dxa"/>
            <w:tcBorders>
              <w:top w:val="nil"/>
              <w:left w:val="nil"/>
              <w:bottom w:val="single" w:color="auto" w:sz="4" w:space="0"/>
              <w:right w:val="single" w:color="auto" w:sz="4" w:space="0"/>
            </w:tcBorders>
            <w:noWrap w:val="0"/>
            <w:vAlign w:val="center"/>
          </w:tcPr>
          <w:p w14:paraId="4FD289A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42" w:type="dxa"/>
            <w:tcBorders>
              <w:top w:val="nil"/>
              <w:left w:val="nil"/>
              <w:bottom w:val="single" w:color="auto" w:sz="4" w:space="0"/>
              <w:right w:val="single" w:color="auto" w:sz="4" w:space="0"/>
            </w:tcBorders>
            <w:noWrap w:val="0"/>
            <w:vAlign w:val="center"/>
          </w:tcPr>
          <w:p w14:paraId="405F236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349AE5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98BE6C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384" w:type="dxa"/>
            <w:tcBorders>
              <w:top w:val="nil"/>
              <w:left w:val="nil"/>
              <w:bottom w:val="single" w:color="auto" w:sz="4" w:space="0"/>
              <w:right w:val="single" w:color="auto" w:sz="4" w:space="0"/>
            </w:tcBorders>
            <w:noWrap w:val="0"/>
            <w:vAlign w:val="center"/>
          </w:tcPr>
          <w:p w14:paraId="2C81C8A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EC6B6D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5005D8D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43" w:type="dxa"/>
            <w:tcBorders>
              <w:top w:val="nil"/>
              <w:left w:val="nil"/>
              <w:bottom w:val="single" w:color="auto" w:sz="4" w:space="0"/>
              <w:right w:val="single" w:color="auto" w:sz="4" w:space="0"/>
            </w:tcBorders>
            <w:noWrap w:val="0"/>
            <w:vAlign w:val="center"/>
          </w:tcPr>
          <w:p w14:paraId="30C913E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42" w:type="dxa"/>
            <w:tcBorders>
              <w:top w:val="nil"/>
              <w:left w:val="nil"/>
              <w:bottom w:val="single" w:color="auto" w:sz="4" w:space="0"/>
              <w:right w:val="single" w:color="auto" w:sz="4" w:space="0"/>
            </w:tcBorders>
            <w:noWrap w:val="0"/>
            <w:vAlign w:val="center"/>
          </w:tcPr>
          <w:p w14:paraId="6FC5113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1E0444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BE547D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07A24E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CBCFB0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23A4349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1FE0EB1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42" w:type="dxa"/>
            <w:tcBorders>
              <w:top w:val="nil"/>
              <w:left w:val="nil"/>
              <w:bottom w:val="single" w:color="auto" w:sz="4" w:space="0"/>
              <w:right w:val="single" w:color="auto" w:sz="4" w:space="0"/>
            </w:tcBorders>
            <w:noWrap w:val="0"/>
            <w:vAlign w:val="center"/>
          </w:tcPr>
          <w:p w14:paraId="0CAB9EB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0F1C2B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72B7D3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384" w:type="dxa"/>
            <w:tcBorders>
              <w:top w:val="nil"/>
              <w:left w:val="nil"/>
              <w:bottom w:val="single" w:color="auto" w:sz="4" w:space="0"/>
              <w:right w:val="single" w:color="auto" w:sz="4" w:space="0"/>
            </w:tcBorders>
            <w:noWrap w:val="0"/>
            <w:vAlign w:val="center"/>
          </w:tcPr>
          <w:p w14:paraId="5649738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745956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393F010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43" w:type="dxa"/>
            <w:tcBorders>
              <w:top w:val="nil"/>
              <w:left w:val="nil"/>
              <w:bottom w:val="single" w:color="auto" w:sz="4" w:space="0"/>
              <w:right w:val="single" w:color="auto" w:sz="4" w:space="0"/>
            </w:tcBorders>
            <w:noWrap w:val="0"/>
            <w:vAlign w:val="center"/>
          </w:tcPr>
          <w:p w14:paraId="5E6C78F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42" w:type="dxa"/>
            <w:tcBorders>
              <w:top w:val="nil"/>
              <w:left w:val="nil"/>
              <w:bottom w:val="single" w:color="auto" w:sz="4" w:space="0"/>
              <w:right w:val="single" w:color="auto" w:sz="4" w:space="0"/>
            </w:tcBorders>
            <w:noWrap w:val="0"/>
            <w:vAlign w:val="center"/>
          </w:tcPr>
          <w:p w14:paraId="284AF1C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D1B7E0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0627EB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1ADAFE2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D9D52C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2E6D700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1A910AC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42" w:type="dxa"/>
            <w:tcBorders>
              <w:top w:val="nil"/>
              <w:left w:val="nil"/>
              <w:bottom w:val="single" w:color="auto" w:sz="4" w:space="0"/>
              <w:right w:val="single" w:color="auto" w:sz="4" w:space="0"/>
            </w:tcBorders>
            <w:noWrap w:val="0"/>
            <w:vAlign w:val="center"/>
          </w:tcPr>
          <w:p w14:paraId="26CA717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B2EEE7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B39798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061EE9D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2882FF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0BFF7CA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43" w:type="dxa"/>
            <w:tcBorders>
              <w:top w:val="nil"/>
              <w:left w:val="nil"/>
              <w:bottom w:val="single" w:color="auto" w:sz="4" w:space="0"/>
              <w:right w:val="single" w:color="auto" w:sz="4" w:space="0"/>
            </w:tcBorders>
            <w:noWrap w:val="0"/>
            <w:vAlign w:val="center"/>
          </w:tcPr>
          <w:p w14:paraId="6CAC605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42" w:type="dxa"/>
            <w:tcBorders>
              <w:top w:val="nil"/>
              <w:left w:val="nil"/>
              <w:bottom w:val="single" w:color="auto" w:sz="4" w:space="0"/>
              <w:right w:val="single" w:color="auto" w:sz="4" w:space="0"/>
            </w:tcBorders>
            <w:noWrap w:val="0"/>
            <w:vAlign w:val="center"/>
          </w:tcPr>
          <w:p w14:paraId="2C79246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38F6AF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50958E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EB58B9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0309DA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7A1F595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43" w:type="dxa"/>
            <w:tcBorders>
              <w:top w:val="nil"/>
              <w:left w:val="nil"/>
              <w:bottom w:val="single" w:color="auto" w:sz="4" w:space="0"/>
              <w:right w:val="single" w:color="auto" w:sz="4" w:space="0"/>
            </w:tcBorders>
            <w:noWrap w:val="0"/>
            <w:vAlign w:val="center"/>
          </w:tcPr>
          <w:p w14:paraId="658ABDD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42" w:type="dxa"/>
            <w:tcBorders>
              <w:top w:val="nil"/>
              <w:left w:val="nil"/>
              <w:bottom w:val="single" w:color="auto" w:sz="4" w:space="0"/>
              <w:right w:val="single" w:color="auto" w:sz="4" w:space="0"/>
            </w:tcBorders>
            <w:noWrap w:val="0"/>
            <w:vAlign w:val="center"/>
          </w:tcPr>
          <w:p w14:paraId="7ABA6E3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AA3A04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F411F3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60EF360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748D8D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32B2BFE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43" w:type="dxa"/>
            <w:tcBorders>
              <w:top w:val="nil"/>
              <w:left w:val="nil"/>
              <w:bottom w:val="single" w:color="auto" w:sz="4" w:space="0"/>
              <w:right w:val="single" w:color="auto" w:sz="4" w:space="0"/>
            </w:tcBorders>
            <w:noWrap w:val="0"/>
            <w:vAlign w:val="center"/>
          </w:tcPr>
          <w:p w14:paraId="3C7A865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42" w:type="dxa"/>
            <w:tcBorders>
              <w:top w:val="nil"/>
              <w:left w:val="nil"/>
              <w:bottom w:val="single" w:color="auto" w:sz="4" w:space="0"/>
              <w:right w:val="single" w:color="auto" w:sz="4" w:space="0"/>
            </w:tcBorders>
            <w:noWrap w:val="0"/>
            <w:vAlign w:val="center"/>
          </w:tcPr>
          <w:p w14:paraId="28CD34D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D58225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78C480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217BA2C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06998E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02A6930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43" w:type="dxa"/>
            <w:tcBorders>
              <w:top w:val="nil"/>
              <w:left w:val="nil"/>
              <w:bottom w:val="single" w:color="auto" w:sz="4" w:space="0"/>
              <w:right w:val="single" w:color="auto" w:sz="4" w:space="0"/>
            </w:tcBorders>
            <w:noWrap w:val="0"/>
            <w:vAlign w:val="center"/>
          </w:tcPr>
          <w:p w14:paraId="54626EE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142" w:type="dxa"/>
            <w:tcBorders>
              <w:top w:val="nil"/>
              <w:left w:val="nil"/>
              <w:bottom w:val="single" w:color="auto" w:sz="4" w:space="0"/>
              <w:right w:val="single" w:color="auto" w:sz="4" w:space="0"/>
            </w:tcBorders>
            <w:noWrap w:val="0"/>
            <w:vAlign w:val="center"/>
          </w:tcPr>
          <w:p w14:paraId="7972253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3E7820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61D00A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65B012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2BF370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196F0C4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43" w:type="dxa"/>
            <w:tcBorders>
              <w:top w:val="nil"/>
              <w:left w:val="nil"/>
              <w:bottom w:val="single" w:color="auto" w:sz="4" w:space="0"/>
              <w:right w:val="single" w:color="auto" w:sz="4" w:space="0"/>
            </w:tcBorders>
            <w:noWrap w:val="0"/>
            <w:vAlign w:val="center"/>
          </w:tcPr>
          <w:p w14:paraId="3929744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142" w:type="dxa"/>
            <w:tcBorders>
              <w:top w:val="nil"/>
              <w:left w:val="nil"/>
              <w:bottom w:val="single" w:color="auto" w:sz="4" w:space="0"/>
              <w:right w:val="single" w:color="auto" w:sz="4" w:space="0"/>
            </w:tcBorders>
            <w:noWrap w:val="0"/>
            <w:vAlign w:val="center"/>
          </w:tcPr>
          <w:p w14:paraId="0CA0CBF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56CD41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22526E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5C4B242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41C2735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nil"/>
              <w:left w:val="nil"/>
              <w:bottom w:val="single" w:color="auto" w:sz="4" w:space="0"/>
              <w:right w:val="single" w:color="auto" w:sz="4" w:space="0"/>
            </w:tcBorders>
            <w:noWrap w:val="0"/>
            <w:vAlign w:val="center"/>
          </w:tcPr>
          <w:p w14:paraId="1185206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43" w:type="dxa"/>
            <w:tcBorders>
              <w:top w:val="nil"/>
              <w:left w:val="nil"/>
              <w:bottom w:val="single" w:color="auto" w:sz="4" w:space="0"/>
              <w:right w:val="single" w:color="auto" w:sz="4" w:space="0"/>
            </w:tcBorders>
            <w:noWrap w:val="0"/>
            <w:vAlign w:val="center"/>
          </w:tcPr>
          <w:p w14:paraId="1451D3A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142" w:type="dxa"/>
            <w:tcBorders>
              <w:top w:val="nil"/>
              <w:left w:val="nil"/>
              <w:bottom w:val="single" w:color="auto" w:sz="4" w:space="0"/>
              <w:right w:val="single" w:color="auto" w:sz="4" w:space="0"/>
            </w:tcBorders>
            <w:noWrap w:val="0"/>
            <w:vAlign w:val="center"/>
          </w:tcPr>
          <w:p w14:paraId="14AE897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6E7C8195">
        <w:tblPrEx>
          <w:tblCellMar>
            <w:top w:w="0" w:type="dxa"/>
            <w:left w:w="108" w:type="dxa"/>
            <w:bottom w:w="0" w:type="dxa"/>
            <w:right w:w="108" w:type="dxa"/>
          </w:tblCellMar>
        </w:tblPrEx>
        <w:trPr>
          <w:trHeight w:val="225" w:hRule="atLeast"/>
          <w:jc w:val="center"/>
        </w:trPr>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70F70E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CDE566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2504371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5ECBC90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4A512E6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D4581E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E724471">
        <w:tblPrEx>
          <w:tblCellMar>
            <w:top w:w="0" w:type="dxa"/>
            <w:left w:w="108" w:type="dxa"/>
            <w:bottom w:w="0" w:type="dxa"/>
            <w:right w:w="108" w:type="dxa"/>
          </w:tblCellMar>
        </w:tblPrEx>
        <w:trPr>
          <w:trHeight w:val="225" w:hRule="atLeast"/>
          <w:jc w:val="center"/>
        </w:trPr>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47D61D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7AA3F3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7D7FC65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157A318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281F023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376B01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225A8538">
        <w:tblPrEx>
          <w:tblCellMar>
            <w:top w:w="0" w:type="dxa"/>
            <w:left w:w="108" w:type="dxa"/>
            <w:bottom w:w="0" w:type="dxa"/>
            <w:right w:w="108" w:type="dxa"/>
          </w:tblCellMar>
        </w:tblPrEx>
        <w:trPr>
          <w:trHeight w:val="225" w:hRule="atLeast"/>
          <w:jc w:val="center"/>
        </w:trPr>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4522D62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882E5C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5BF5AB3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788A9BD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586A005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A72A19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92BDE6F">
        <w:tblPrEx>
          <w:tblCellMar>
            <w:top w:w="0" w:type="dxa"/>
            <w:left w:w="108" w:type="dxa"/>
            <w:bottom w:w="0" w:type="dxa"/>
            <w:right w:w="108" w:type="dxa"/>
          </w:tblCellMar>
        </w:tblPrEx>
        <w:trPr>
          <w:trHeight w:val="225" w:hRule="atLeast"/>
          <w:jc w:val="center"/>
        </w:trPr>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02CF2B1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single" w:color="auto" w:sz="4" w:space="0"/>
              <w:left w:val="nil"/>
              <w:bottom w:val="single" w:color="auto" w:sz="4" w:space="0"/>
              <w:right w:val="single" w:color="auto" w:sz="4" w:space="0"/>
            </w:tcBorders>
            <w:noWrap w:val="0"/>
            <w:vAlign w:val="center"/>
          </w:tcPr>
          <w:p w14:paraId="2814A7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913" w:type="dxa"/>
            <w:tcBorders>
              <w:top w:val="single" w:color="auto" w:sz="4" w:space="0"/>
              <w:left w:val="nil"/>
              <w:bottom w:val="single" w:color="auto" w:sz="4" w:space="0"/>
              <w:right w:val="single" w:color="auto" w:sz="4" w:space="0"/>
            </w:tcBorders>
            <w:noWrap w:val="0"/>
            <w:vAlign w:val="center"/>
          </w:tcPr>
          <w:p w14:paraId="726F169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66" w:type="dxa"/>
            <w:tcBorders>
              <w:top w:val="single" w:color="auto" w:sz="4" w:space="0"/>
              <w:left w:val="nil"/>
              <w:bottom w:val="single" w:color="auto" w:sz="4" w:space="0"/>
              <w:right w:val="single" w:color="auto" w:sz="4" w:space="0"/>
            </w:tcBorders>
            <w:noWrap w:val="0"/>
            <w:vAlign w:val="center"/>
          </w:tcPr>
          <w:p w14:paraId="66382EE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43" w:type="dxa"/>
            <w:tcBorders>
              <w:top w:val="single" w:color="auto" w:sz="4" w:space="0"/>
              <w:left w:val="nil"/>
              <w:bottom w:val="single" w:color="auto" w:sz="4" w:space="0"/>
              <w:right w:val="single" w:color="auto" w:sz="4" w:space="0"/>
            </w:tcBorders>
            <w:noWrap w:val="0"/>
            <w:vAlign w:val="center"/>
          </w:tcPr>
          <w:p w14:paraId="0784BFE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142" w:type="dxa"/>
            <w:tcBorders>
              <w:top w:val="single" w:color="auto" w:sz="4" w:space="0"/>
              <w:left w:val="nil"/>
              <w:bottom w:val="single" w:color="auto" w:sz="4" w:space="0"/>
              <w:right w:val="single" w:color="auto" w:sz="4" w:space="0"/>
            </w:tcBorders>
            <w:noWrap w:val="0"/>
            <w:vAlign w:val="center"/>
          </w:tcPr>
          <w:p w14:paraId="5D3279F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8165BF9">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73CC05A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3A16B33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78E664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66" w:type="dxa"/>
            <w:tcBorders>
              <w:top w:val="nil"/>
              <w:left w:val="nil"/>
              <w:bottom w:val="single" w:color="auto" w:sz="4" w:space="0"/>
              <w:right w:val="single" w:color="auto" w:sz="4" w:space="0"/>
            </w:tcBorders>
            <w:noWrap w:val="0"/>
            <w:vAlign w:val="center"/>
          </w:tcPr>
          <w:p w14:paraId="098C232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43" w:type="dxa"/>
            <w:tcBorders>
              <w:top w:val="nil"/>
              <w:left w:val="nil"/>
              <w:bottom w:val="single" w:color="auto" w:sz="4" w:space="0"/>
              <w:right w:val="single" w:color="auto" w:sz="4" w:space="0"/>
            </w:tcBorders>
            <w:noWrap w:val="0"/>
            <w:vAlign w:val="center"/>
          </w:tcPr>
          <w:p w14:paraId="064CB15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42" w:type="dxa"/>
            <w:tcBorders>
              <w:top w:val="nil"/>
              <w:left w:val="nil"/>
              <w:bottom w:val="single" w:color="auto" w:sz="4" w:space="0"/>
              <w:right w:val="single" w:color="auto" w:sz="4" w:space="0"/>
            </w:tcBorders>
            <w:noWrap w:val="0"/>
            <w:vAlign w:val="center"/>
          </w:tcPr>
          <w:p w14:paraId="516B300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7DA28127">
      <w:pPr>
        <w:keepNext w:val="0"/>
        <w:keepLines w:val="0"/>
        <w:pageBreakBefore w:val="0"/>
        <w:widowControl w:val="0"/>
        <w:kinsoku/>
        <w:wordWrap/>
        <w:overflowPunct/>
        <w:topLinePunct w:val="0"/>
        <w:autoSpaceDE/>
        <w:autoSpaceDN/>
        <w:bidi w:val="0"/>
        <w:adjustRightInd/>
        <w:snapToGrid/>
        <w:spacing w:line="48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eastAsia="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），大型、中型和小型企业须同时满足所列指标的下限，否则下划一档；微型企业只须满足所列指标中的一项即可。</w:t>
      </w:r>
    </w:p>
    <w:p w14:paraId="52D270B6">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7D27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Style w:val="38"/>
          <w:rFonts w:hint="eastAsia" w:ascii="宋体" w:hAnsi="宋体" w:eastAsia="宋体" w:cs="宋体"/>
          <w:b/>
          <w:bCs/>
          <w:i w:val="0"/>
          <w:iCs w:val="0"/>
          <w:caps w:val="0"/>
          <w:color w:val="auto"/>
          <w:spacing w:val="0"/>
          <w:sz w:val="14"/>
          <w:szCs w:val="14"/>
          <w:highlight w:val="none"/>
          <w:shd w:val="clear" w:color="auto" w:fill="FFFFFF"/>
        </w:rPr>
      </w:pPr>
    </w:p>
    <w:p w14:paraId="0102D4AC">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关于印发《金融业企业划型标准规定》的通知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银发〔2015〕309号</w:t>
      </w:r>
    </w:p>
    <w:p w14:paraId="14875F5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66AAE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请人民银行上海总部，各分行、营业管理部、省会（首府）城市中心支行、副省级城市中心支行会同所在省（区、市）银监局、证监局、保监局、统计局将本通知联合转发至辖内相关机构。</w:t>
      </w:r>
    </w:p>
    <w:p w14:paraId="00D3F797">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附件：金融业企业划型标准规定</w:t>
      </w:r>
    </w:p>
    <w:p w14:paraId="78535845">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中国人民银行</w:t>
      </w:r>
    </w:p>
    <w:p w14:paraId="1B51417D">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中国银行业监督管理委员会</w:t>
      </w:r>
    </w:p>
    <w:p w14:paraId="29BBD1A5">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中国证券监督管理委员会</w:t>
      </w:r>
    </w:p>
    <w:p w14:paraId="7900B208">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中国保险监督管理委员会</w:t>
      </w:r>
    </w:p>
    <w:p w14:paraId="6A8E75C6">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中华人民共和国国家统计局</w:t>
      </w:r>
    </w:p>
    <w:p w14:paraId="39A0C785">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2015年9月28日</w:t>
      </w:r>
    </w:p>
    <w:p w14:paraId="4D06324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金融业企业划型标准规定</w:t>
      </w:r>
    </w:p>
    <w:p w14:paraId="72B3F30D">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Cs w:val="21"/>
          <w:highlight w:val="none"/>
        </w:rPr>
        <w:t>根据《中华人民共和国中小企业促进法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国务院关于进一步促进中小企业发展的若干意见》（国发〔2009〕36号）和《国务院办公厅关于金融支持小微企业发展的实施意见》（国办发〔2013〕87号），制定本规定。</w:t>
      </w:r>
    </w:p>
    <w:p w14:paraId="08186D23">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二、适用范围。本规定适用于从事《国民经济行业分类》（GB/T4754-2011）中J门类（金融业）活动的企业。</w:t>
      </w:r>
    </w:p>
    <w:p w14:paraId="1755B433">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2AB905A">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四、划型标准指标。采用一个完整会计年度中四个季度末法人并表口径的资产总额（信托公司为信托资产）平均值作为划型指标，该指标以监管部门数据为准。</w:t>
      </w:r>
    </w:p>
    <w:p w14:paraId="70A9B744">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五、指标标准值。依据指标标准值，将各类金融业企业划分为大、中、小、微四个规模类型，中型企业标准上限及以上的为大型企业。</w:t>
      </w:r>
    </w:p>
    <w:p w14:paraId="7F2DAB17">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204FF4BF">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（二）银行业非存款类金融机构。资产总额1000亿元以下的为中小微企业。其中，资产总额200亿元及以上的为中型企业，资产总额50亿元及以上的为小型企业，资产总额50亿元以下的为微型企业。</w:t>
      </w:r>
    </w:p>
    <w:p w14:paraId="575911ED">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1E9BA2BB">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（四）证券业金融机构。资产总额1000亿元以下的为中小微型企业。其中，资产总额100亿元及以上的为中型企业，资产总额10亿元及以上的为小型企业，资产总额10亿元以下的为微型企业。</w:t>
      </w:r>
    </w:p>
    <w:p w14:paraId="5296A2CD">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（五）保险业金融机构。资产总额5000亿元以下的为中小微型企业。其中，资产总额400亿元及以上的为中型企业，资产总额20亿元及以上的为小型企业，资产总额20亿元以下的为微型企业。</w:t>
      </w:r>
    </w:p>
    <w:p w14:paraId="32395619">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（六）信托公司。信托资产1000亿元以下的为中小微型企业。其中，信托资产400亿元及以上的为中型企业，信托资产20亿元及以上的为小型企业，信托资产20亿元以下的为微型企业。</w:t>
      </w:r>
    </w:p>
    <w:p w14:paraId="32699F8F">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（七）金融控股公司。资产总额40000亿元以下的为中小微企业。其中，资产总额5000亿元及以上的为中型企业，资产总额50亿元及以上的为小型企业，资产总额50亿元以下的为微型企业。</w:t>
      </w:r>
    </w:p>
    <w:p w14:paraId="711ABD6E">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519FFED7">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金融业机构信息管理系统》中增加相应的字段模块。经过认定的金融业企业在系统中进行规模登记，方便政府部门和社会各界查询使用。</w:t>
      </w:r>
    </w:p>
    <w:p w14:paraId="4EBD0ADA">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七、标准值的评估和调整。金融业企业划型标准工作组每五年对划型标准值受经济发展与通货膨胀等因素的影响程度进行评估和调整。</w:t>
      </w:r>
    </w:p>
    <w:p w14:paraId="2AFCD9A3">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八、本规定的中型金融业企业标准上限即为大型金融业企业下限。国务院有关部门据此进行相关数据的统计分析，不得制定与本规定不一致的金融业企业划型标准。</w:t>
      </w:r>
    </w:p>
    <w:p w14:paraId="54BA6513">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九、融资担保公司参照本规定中“除贷款公司、小额贷款公司、典当行以外的其他金融机构”标准划型。</w:t>
      </w:r>
    </w:p>
    <w:p w14:paraId="65C0009C">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十、本规定由人民银行会同银监会、证监会、保监会和统计局负责解释。</w:t>
      </w:r>
    </w:p>
    <w:p w14:paraId="63DB19C5">
      <w:pPr>
        <w:numPr>
          <w:ilvl w:val="0"/>
          <w:numId w:val="0"/>
        </w:num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十一、本规定自发布之日起实施。</w:t>
      </w:r>
    </w:p>
    <w:p w14:paraId="2CF1B6CC">
      <w:pPr>
        <w:spacing w:line="360" w:lineRule="auto"/>
        <w:ind w:firstLine="525" w:firstLineChars="250"/>
        <w:rPr>
          <w:rFonts w:hint="eastAsia" w:ascii="宋体" w:hAnsi="宋体" w:eastAsia="宋体" w:cs="宋体"/>
          <w:color w:val="auto"/>
          <w:szCs w:val="21"/>
          <w:highlight w:val="none"/>
        </w:rPr>
      </w:pPr>
    </w:p>
    <w:p w14:paraId="30B9C29D">
      <w:pPr>
        <w:spacing w:line="360" w:lineRule="auto"/>
        <w:ind w:firstLine="525" w:firstLineChars="250"/>
        <w:rPr>
          <w:rFonts w:hint="eastAsia" w:ascii="宋体" w:hAnsi="宋体" w:eastAsia="宋体" w:cs="宋体"/>
          <w:color w:val="auto"/>
          <w:szCs w:val="21"/>
          <w:highlight w:val="none"/>
        </w:rPr>
      </w:pPr>
    </w:p>
    <w:p w14:paraId="083920F5">
      <w:pPr>
        <w:pStyle w:val="2"/>
        <w:bidi w:val="0"/>
        <w:jc w:val="center"/>
        <w:rPr>
          <w:rFonts w:hint="eastAsia" w:ascii="宋体" w:hAnsi="宋体" w:eastAsia="宋体" w:cs="宋体"/>
          <w:b/>
          <w:color w:val="auto"/>
          <w:sz w:val="36"/>
          <w:szCs w:val="20"/>
          <w:highlight w:val="none"/>
        </w:rPr>
      </w:pPr>
      <w:r>
        <w:rPr>
          <w:rFonts w:hint="eastAsia" w:ascii="宋体" w:hAnsi="宋体" w:eastAsia="宋体" w:cs="宋体"/>
          <w:color w:val="auto"/>
          <w:szCs w:val="21"/>
          <w:highlight w:val="none"/>
        </w:rPr>
        <w:br w:type="page"/>
      </w:r>
      <w:bookmarkStart w:id="41" w:name="_Toc532545044"/>
      <w:bookmarkStart w:id="42" w:name="_Toc17060"/>
      <w:bookmarkStart w:id="43" w:name="_Toc5974"/>
      <w:r>
        <w:rPr>
          <w:rFonts w:hint="eastAsia" w:ascii="宋体" w:hAnsi="宋体" w:eastAsia="宋体" w:cs="宋体"/>
          <w:b/>
          <w:color w:val="auto"/>
          <w:sz w:val="44"/>
          <w:szCs w:val="44"/>
          <w:highlight w:val="none"/>
        </w:rPr>
        <w:t>第三章  投标人须知</w:t>
      </w:r>
      <w:bookmarkEnd w:id="41"/>
      <w:bookmarkEnd w:id="42"/>
      <w:bookmarkEnd w:id="43"/>
    </w:p>
    <w:p w14:paraId="25AB2EC8">
      <w:pPr>
        <w:pStyle w:val="3"/>
        <w:bidi w:val="0"/>
        <w:jc w:val="center"/>
        <w:rPr>
          <w:rFonts w:hint="eastAsia" w:ascii="宋体" w:hAnsi="宋体" w:eastAsia="宋体" w:cs="宋体"/>
          <w:color w:val="auto"/>
          <w:highlight w:val="none"/>
        </w:rPr>
      </w:pPr>
      <w:bookmarkStart w:id="44" w:name="_Toc6847"/>
      <w:r>
        <w:rPr>
          <w:rFonts w:hint="eastAsia" w:ascii="宋体" w:hAnsi="宋体" w:eastAsia="宋体" w:cs="宋体"/>
          <w:color w:val="auto"/>
          <w:highlight w:val="none"/>
        </w:rPr>
        <w:t>第一节 投标人须知前附表</w:t>
      </w:r>
      <w:bookmarkEnd w:id="44"/>
    </w:p>
    <w:tbl>
      <w:tblPr>
        <w:tblStyle w:val="35"/>
        <w:tblW w:w="9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9"/>
        <w:gridCol w:w="8431"/>
      </w:tblGrid>
      <w:tr w14:paraId="02386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772647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B4C4E8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1338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B1D0EE2">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51CBDDB8">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1.投标人的资格要求详见招标公告。</w:t>
            </w:r>
          </w:p>
          <w:p w14:paraId="6F8F7E4F">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14:paraId="5C4FB374">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BACD70">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0FB6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3B48FDF">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8455167">
            <w:pPr>
              <w:keepNext w:val="0"/>
              <w:keepLines w:val="0"/>
              <w:pageBreakBefore w:val="0"/>
              <w:kinsoku/>
              <w:wordWrap/>
              <w:overflowPunct/>
              <w:topLinePunct w:val="0"/>
              <w:bidi w:val="0"/>
              <w:adjustRightInd/>
              <w:spacing w:line="500" w:lineRule="exact"/>
              <w:jc w:val="left"/>
              <w:rPr>
                <w:rFonts w:hint="eastAsia" w:ascii="宋体" w:hAnsi="宋体" w:eastAsia="宋体" w:cs="宋体"/>
                <w:color w:val="auto"/>
                <w:sz w:val="21"/>
                <w:szCs w:val="21"/>
                <w:highlight w:val="none"/>
              </w:rPr>
            </w:pPr>
            <w:bookmarkStart w:id="45" w:name="_8.1"/>
            <w:bookmarkEnd w:id="45"/>
            <w:bookmarkStart w:id="46" w:name="_5"/>
            <w:bookmarkEnd w:id="46"/>
            <w:bookmarkStart w:id="47" w:name="_9.2"/>
            <w:bookmarkEnd w:id="47"/>
            <w:r>
              <w:rPr>
                <w:rFonts w:hint="eastAsia" w:ascii="宋体" w:hAnsi="宋体" w:eastAsia="宋体" w:cs="宋体"/>
                <w:color w:val="auto"/>
                <w:sz w:val="21"/>
                <w:szCs w:val="21"/>
                <w:highlight w:val="none"/>
              </w:rPr>
              <w:t>是否接受联合体投标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tc>
      </w:tr>
      <w:tr w14:paraId="0E6DB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98B48AE">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5444912E">
            <w:pPr>
              <w:keepNext w:val="0"/>
              <w:keepLines w:val="0"/>
              <w:pageBreakBefore w:val="0"/>
              <w:kinsoku/>
              <w:wordWrap/>
              <w:overflowPunct/>
              <w:topLinePunct w:val="0"/>
              <w:bidi w:val="0"/>
              <w:adjustRightInd/>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tc>
      </w:tr>
      <w:tr w14:paraId="538D0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AB4EBDC">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1EAF699A">
            <w:pPr>
              <w:keepNext w:val="0"/>
              <w:keepLines w:val="0"/>
              <w:pageBreakBefore w:val="0"/>
              <w:kinsoku/>
              <w:wordWrap/>
              <w:overflowPunct/>
              <w:topLinePunct w:val="0"/>
              <w:bidi w:val="0"/>
              <w:adjustRightInd/>
              <w:spacing w:line="5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是否允许分包</w:t>
            </w:r>
            <w:r>
              <w:rPr>
                <w:rFonts w:hint="eastAsia" w:ascii="宋体" w:hAnsi="宋体" w:eastAsia="宋体" w:cs="宋体"/>
                <w:color w:val="auto"/>
                <w:sz w:val="21"/>
                <w:szCs w:val="21"/>
                <w:highlight w:val="none"/>
                <w:lang w:eastAsia="zh-CN"/>
              </w:rPr>
              <w:t>：</w:t>
            </w:r>
          </w:p>
          <w:p w14:paraId="7703E431">
            <w:pPr>
              <w:keepNext w:val="0"/>
              <w:keepLines w:val="0"/>
              <w:pageBreakBefore w:val="0"/>
              <w:kinsoku/>
              <w:wordWrap/>
              <w:overflowPunct/>
              <w:topLinePunct w:val="0"/>
              <w:bidi w:val="0"/>
              <w:adjustRightInd/>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不允许分包</w:t>
            </w:r>
          </w:p>
        </w:tc>
      </w:tr>
      <w:tr w14:paraId="6648D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CA4C938">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4</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77F0A21">
            <w:pPr>
              <w:keepNext w:val="0"/>
              <w:keepLines w:val="0"/>
              <w:pageBreakBefore w:val="0"/>
              <w:kinsoku/>
              <w:wordWrap/>
              <w:overflowPunct/>
              <w:topLinePunct w:val="0"/>
              <w:bidi w:val="0"/>
              <w:adjustRightInd/>
              <w:spacing w:line="5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媒体发布渠道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与本项目相关的政府采购业务澄清、更正及与之相关的事项将在原</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公告发布媒体上发布</w:t>
            </w:r>
            <w:r>
              <w:rPr>
                <w:rFonts w:hint="eastAsia" w:ascii="宋体" w:hAnsi="宋体" w:eastAsia="宋体" w:cs="宋体"/>
                <w:color w:val="auto"/>
                <w:kern w:val="0"/>
                <w:sz w:val="21"/>
                <w:szCs w:val="21"/>
                <w:highlight w:val="none"/>
              </w:rPr>
              <w:t>。</w:t>
            </w:r>
          </w:p>
        </w:tc>
      </w:tr>
      <w:tr w14:paraId="69251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vMerge w:val="restart"/>
            <w:tcBorders>
              <w:top w:val="single" w:color="auto" w:sz="4" w:space="0"/>
              <w:left w:val="single" w:color="auto" w:sz="4" w:space="0"/>
              <w:right w:val="single" w:color="auto" w:sz="4" w:space="0"/>
            </w:tcBorders>
            <w:noWrap w:val="0"/>
            <w:vAlign w:val="center"/>
          </w:tcPr>
          <w:p w14:paraId="68143E7E">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5</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54180293">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是否组织标前现场考察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不组织召开开标前现场考察</w:t>
            </w:r>
          </w:p>
        </w:tc>
      </w:tr>
      <w:tr w14:paraId="43ABE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vMerge w:val="continue"/>
            <w:tcBorders>
              <w:left w:val="single" w:color="auto" w:sz="4" w:space="0"/>
              <w:bottom w:val="single" w:color="auto" w:sz="4" w:space="0"/>
              <w:right w:val="single" w:color="auto" w:sz="4" w:space="0"/>
            </w:tcBorders>
            <w:noWrap w:val="0"/>
            <w:vAlign w:val="center"/>
          </w:tcPr>
          <w:p w14:paraId="1348116D">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8E0E13D">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是否组织标前答疑会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tc>
      </w:tr>
      <w:tr w14:paraId="50F75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vMerge w:val="restart"/>
            <w:tcBorders>
              <w:top w:val="single" w:color="auto" w:sz="4" w:space="0"/>
              <w:left w:val="single" w:color="auto" w:sz="4" w:space="0"/>
              <w:right w:val="single" w:color="auto" w:sz="4" w:space="0"/>
            </w:tcBorders>
            <w:noWrap w:val="0"/>
            <w:vAlign w:val="center"/>
          </w:tcPr>
          <w:p w14:paraId="118BD9C5">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3A980CE">
            <w:pPr>
              <w:keepNext w:val="0"/>
              <w:keepLines w:val="0"/>
              <w:pageBreakBefore w:val="0"/>
              <w:numPr>
                <w:ilvl w:val="0"/>
                <w:numId w:val="0"/>
              </w:numPr>
              <w:kinsoku/>
              <w:wordWrap/>
              <w:overflowPunct/>
              <w:topLinePunct w:val="0"/>
              <w:bidi w:val="0"/>
              <w:adjustRightInd/>
              <w:snapToGrid w:val="0"/>
              <w:spacing w:line="500" w:lineRule="exact"/>
              <w:jc w:val="left"/>
              <w:rPr>
                <w:rFonts w:hint="eastAsia" w:ascii="宋体" w:hAnsi="宋体" w:eastAsia="宋体" w:cs="宋体"/>
                <w:b/>
                <w:bCs/>
                <w:color w:val="auto"/>
                <w:kern w:val="2"/>
                <w:sz w:val="21"/>
                <w:szCs w:val="21"/>
                <w:highlight w:val="none"/>
                <w:lang w:val="en-US" w:eastAsia="zh-CN" w:bidi="ar-SA"/>
              </w:rPr>
            </w:pPr>
            <w:bookmarkStart w:id="48" w:name="_13.2"/>
            <w:bookmarkEnd w:id="48"/>
            <w:r>
              <w:rPr>
                <w:rFonts w:hint="eastAsia" w:ascii="宋体" w:hAnsi="宋体" w:eastAsia="宋体" w:cs="宋体"/>
                <w:b/>
                <w:bCs/>
                <w:color w:val="auto"/>
                <w:kern w:val="2"/>
                <w:sz w:val="21"/>
                <w:szCs w:val="21"/>
                <w:highlight w:val="none"/>
                <w:lang w:val="en-US" w:eastAsia="zh-CN" w:bidi="ar-SA"/>
              </w:rPr>
              <w:t>资格证明文件：</w:t>
            </w:r>
          </w:p>
          <w:p w14:paraId="17BF3DC9">
            <w:pPr>
              <w:keepNext w:val="0"/>
              <w:keepLines w:val="0"/>
              <w:pageBreakBefore w:val="0"/>
              <w:numPr>
                <w:ilvl w:val="0"/>
                <w:numId w:val="0"/>
              </w:numPr>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投标人为法人的提供营业执照复印件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如分支机构（包括其省级分公司及其下属分公司或分支机构）参与本项目投标，</w:t>
            </w:r>
            <w:r>
              <w:rPr>
                <w:rFonts w:hint="eastAsia" w:ascii="宋体" w:hAnsi="宋体" w:eastAsia="宋体" w:cs="宋体"/>
                <w:color w:val="auto"/>
                <w:sz w:val="21"/>
                <w:szCs w:val="21"/>
                <w:highlight w:val="none"/>
              </w:rPr>
              <w:t>提供</w:t>
            </w:r>
            <w:r>
              <w:rPr>
                <w:rFonts w:hint="eastAsia" w:ascii="宋体" w:hAnsi="宋体" w:eastAsia="宋体" w:cs="宋体"/>
                <w:b w:val="0"/>
                <w:bCs w:val="0"/>
                <w:color w:val="auto"/>
                <w:sz w:val="21"/>
                <w:szCs w:val="21"/>
                <w:highlight w:val="none"/>
                <w:lang w:val="en-US" w:eastAsia="zh-CN"/>
              </w:rPr>
              <w:t>分支机构</w:t>
            </w:r>
            <w:r>
              <w:rPr>
                <w:rFonts w:hint="eastAsia" w:ascii="宋体" w:hAnsi="宋体" w:eastAsia="宋体" w:cs="宋体"/>
                <w:color w:val="auto"/>
                <w:sz w:val="21"/>
                <w:szCs w:val="21"/>
                <w:highlight w:val="none"/>
              </w:rPr>
              <w:t>营业执照复印件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其他组织的提供事业单位法人证书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投标人为自然人的，提供身份证复印件；（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1B47413">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提交截止日期之前半年内任意连续三个月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6D7EC5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提交截止日期之前半年内任意连续三个月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124C698">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投标人财务状况报告：</w:t>
            </w:r>
            <w:r>
              <w:rPr>
                <w:rFonts w:hint="eastAsia" w:ascii="宋体" w:hAnsi="宋体" w:eastAsia="宋体" w:cs="宋体"/>
                <w:b/>
                <w:bCs/>
                <w:color w:val="auto"/>
                <w:sz w:val="21"/>
                <w:szCs w:val="21"/>
                <w:highlight w:val="none"/>
              </w:rPr>
              <w:t>[2024年</w:t>
            </w:r>
            <w:r>
              <w:rPr>
                <w:rFonts w:hint="eastAsia" w:ascii="宋体" w:hAnsi="宋体" w:eastAsia="宋体" w:cs="宋体"/>
                <w:b/>
                <w:bCs/>
                <w:color w:val="auto"/>
                <w:sz w:val="21"/>
                <w:szCs w:val="21"/>
                <w:highlight w:val="none"/>
                <w:lang w:val="en-US" w:eastAsia="zh-CN"/>
              </w:rPr>
              <w:t>度</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财务报表复印件；供应商成立不满一年的应按提供首次响应文件提交截止时间上一个月的财务报表报告复印件。</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6AC601F">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926B576">
            <w:pPr>
              <w:keepNext w:val="0"/>
              <w:keepLines w:val="0"/>
              <w:pageBreakBefore w:val="0"/>
              <w:numPr>
                <w:ilvl w:val="0"/>
                <w:numId w:val="0"/>
              </w:numPr>
              <w:kinsoku/>
              <w:wordWrap/>
              <w:overflowPunct/>
              <w:topLinePunct w:val="0"/>
              <w:bidi w:val="0"/>
              <w:adjustRightInd/>
              <w:snapToGrid w:val="0"/>
              <w:spacing w:line="50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color w:val="auto"/>
                <w:sz w:val="21"/>
                <w:szCs w:val="21"/>
                <w:highlight w:val="none"/>
              </w:rPr>
              <w:t>投标资格声明函</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26906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val="0"/>
                <w:color w:val="auto"/>
                <w:sz w:val="21"/>
                <w:szCs w:val="21"/>
                <w:highlight w:val="none"/>
                <w:lang w:val="en-US" w:eastAsia="zh-CN"/>
              </w:rPr>
              <w:t>7.本项目的特定资格要求：</w:t>
            </w:r>
            <w:r>
              <w:rPr>
                <w:rFonts w:hint="eastAsia" w:ascii="宋体" w:hAnsi="宋体" w:eastAsia="宋体" w:cs="宋体"/>
                <w:color w:val="auto"/>
                <w:sz w:val="21"/>
                <w:szCs w:val="21"/>
                <w:highlight w:val="none"/>
              </w:rPr>
              <w:t>具有经</w:t>
            </w:r>
            <w:r>
              <w:rPr>
                <w:rFonts w:hint="eastAsia" w:ascii="宋体" w:hAnsi="宋体" w:cs="宋体"/>
                <w:color w:val="auto"/>
                <w:sz w:val="21"/>
                <w:szCs w:val="21"/>
                <w:highlight w:val="none"/>
                <w:lang w:eastAsia="zh-CN"/>
              </w:rPr>
              <w:t>国家金融监督管理总局</w:t>
            </w:r>
            <w:r>
              <w:rPr>
                <w:rFonts w:hint="eastAsia" w:ascii="宋体" w:hAnsi="宋体" w:eastAsia="宋体" w:cs="宋体"/>
                <w:color w:val="auto"/>
                <w:sz w:val="21"/>
                <w:szCs w:val="21"/>
                <w:highlight w:val="none"/>
              </w:rPr>
              <w:t>批准设立并颁发有效的《</w:t>
            </w:r>
            <w:r>
              <w:rPr>
                <w:rFonts w:hint="eastAsia" w:ascii="宋体" w:hAnsi="宋体" w:eastAsia="宋体" w:cs="宋体"/>
                <w:color w:val="auto"/>
                <w:sz w:val="21"/>
                <w:szCs w:val="21"/>
                <w:highlight w:val="none"/>
                <w:lang w:val="en-US" w:eastAsia="zh-CN"/>
              </w:rPr>
              <w:t>中华人民共和国保险许可证</w:t>
            </w:r>
            <w:r>
              <w:rPr>
                <w:rFonts w:hint="eastAsia" w:ascii="宋体" w:hAnsi="宋体" w:eastAsia="宋体" w:cs="宋体"/>
                <w:color w:val="auto"/>
                <w:sz w:val="21"/>
                <w:szCs w:val="21"/>
                <w:highlight w:val="none"/>
              </w:rPr>
              <w:t>》，具有在广西辖区内经营本次采购险种业务资格且业务范围涵盖责任保险的保险机构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本项目允许保险行业的分支机构参与投标，</w:t>
            </w:r>
            <w:r>
              <w:rPr>
                <w:rFonts w:hint="eastAsia" w:ascii="宋体" w:hAnsi="宋体" w:cs="宋体"/>
                <w:color w:val="auto"/>
                <w:sz w:val="21"/>
                <w:szCs w:val="21"/>
                <w:highlight w:val="none"/>
                <w:lang w:eastAsia="zh-CN"/>
              </w:rPr>
              <w:t>同一法人的多个分支机构不得同时投标）</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（必须提供，否则作无效投标处理）</w:t>
            </w:r>
          </w:p>
          <w:p w14:paraId="6B3F462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除招标文件规定必须提供以外，投标人认为需要提供的其他证明材料。</w:t>
            </w:r>
          </w:p>
          <w:p w14:paraId="4FC940A9">
            <w:pPr>
              <w:pStyle w:val="1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注：以上标明“必须提供”的材料属于复印件的扫描件的，必须</w:t>
            </w:r>
            <w:r>
              <w:rPr>
                <w:rFonts w:hint="eastAsia" w:ascii="宋体" w:hAnsi="宋体" w:eastAsia="宋体" w:cs="宋体"/>
                <w:b/>
                <w:bCs/>
                <w:color w:val="auto"/>
                <w:sz w:val="21"/>
                <w:szCs w:val="21"/>
                <w:highlight w:val="none"/>
                <w:lang w:val="en-US" w:eastAsia="zh-CN"/>
              </w:rPr>
              <w:t>每页</w:t>
            </w:r>
            <w:r>
              <w:rPr>
                <w:rFonts w:hint="eastAsia" w:ascii="宋体" w:hAnsi="宋体" w:eastAsia="宋体" w:cs="宋体"/>
                <w:b/>
                <w:bCs/>
                <w:color w:val="auto"/>
                <w:sz w:val="21"/>
                <w:szCs w:val="21"/>
                <w:highlight w:val="none"/>
              </w:rPr>
              <w:t>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w:t>
            </w:r>
            <w:r>
              <w:rPr>
                <w:rFonts w:hint="eastAsia" w:ascii="宋体" w:hAnsi="宋体" w:cs="宋体"/>
                <w:b/>
                <w:bCs/>
                <w:color w:val="auto"/>
                <w:sz w:val="21"/>
                <w:szCs w:val="21"/>
                <w:highlight w:val="none"/>
                <w:lang w:val="en-US" w:eastAsia="zh-CN"/>
              </w:rPr>
              <w:t>作</w:t>
            </w:r>
            <w:r>
              <w:rPr>
                <w:rFonts w:hint="eastAsia" w:ascii="宋体" w:hAnsi="宋体" w:eastAsia="宋体" w:cs="宋体"/>
                <w:b/>
                <w:bCs/>
                <w:color w:val="auto"/>
                <w:sz w:val="21"/>
                <w:szCs w:val="21"/>
                <w:highlight w:val="none"/>
              </w:rPr>
              <w:t>无效响应处理</w:t>
            </w:r>
            <w:r>
              <w:rPr>
                <w:rFonts w:hint="eastAsia" w:ascii="宋体" w:hAnsi="宋体" w:eastAsia="宋体" w:cs="宋体"/>
                <w:b/>
                <w:bCs/>
                <w:color w:val="auto"/>
                <w:sz w:val="21"/>
                <w:szCs w:val="21"/>
                <w:highlight w:val="none"/>
                <w:lang w:eastAsia="zh-CN"/>
              </w:rPr>
              <w:t>。</w:t>
            </w:r>
          </w:p>
        </w:tc>
      </w:tr>
      <w:tr w14:paraId="0D38D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vMerge w:val="continue"/>
            <w:tcBorders>
              <w:left w:val="single" w:color="auto" w:sz="4" w:space="0"/>
              <w:right w:val="single" w:color="auto" w:sz="4" w:space="0"/>
            </w:tcBorders>
            <w:noWrap w:val="0"/>
            <w:vAlign w:val="center"/>
          </w:tcPr>
          <w:p w14:paraId="4D5882E3">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65441BD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bCs/>
                <w:color w:val="auto"/>
                <w:sz w:val="21"/>
                <w:szCs w:val="21"/>
                <w:highlight w:val="none"/>
              </w:rPr>
            </w:pPr>
            <w:bookmarkStart w:id="49" w:name="_13.3"/>
            <w:bookmarkEnd w:id="49"/>
            <w:r>
              <w:rPr>
                <w:rFonts w:hint="eastAsia" w:ascii="宋体" w:hAnsi="宋体" w:eastAsia="宋体" w:cs="宋体"/>
                <w:b/>
                <w:bCs/>
                <w:color w:val="auto"/>
                <w:sz w:val="21"/>
                <w:szCs w:val="21"/>
                <w:highlight w:val="none"/>
              </w:rPr>
              <w:t>商务文件</w:t>
            </w:r>
          </w:p>
          <w:p w14:paraId="494C1CED">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bidi="ar-SA"/>
              </w:rPr>
              <w:t>.无串标行为承诺函</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749B5D9">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法定代表人身份证明及法定代表人有效身份证正反面复印件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如为分支机构(省级分公司及其下属分公司或分支机构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参与投标的则提供负责人身份证明</w:t>
            </w:r>
            <w:r>
              <w:rPr>
                <w:rFonts w:hint="eastAsia" w:ascii="宋体" w:hAnsi="宋体" w:eastAsia="宋体" w:cs="宋体"/>
                <w:color w:val="auto"/>
                <w:sz w:val="21"/>
                <w:szCs w:val="21"/>
                <w:highlight w:val="none"/>
              </w:rPr>
              <w:t>（格式后附）；（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36AFB2C">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法定代表人授权委托书及委托代理人有效身份证正反面复印件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如为分支机构(省级分公司及其下属分公司或分支机构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参与投标的则提供负责人</w:t>
            </w:r>
            <w:r>
              <w:rPr>
                <w:rFonts w:hint="eastAsia" w:ascii="宋体" w:hAnsi="宋体" w:eastAsia="宋体" w:cs="宋体"/>
                <w:color w:val="auto"/>
                <w:sz w:val="21"/>
                <w:szCs w:val="21"/>
                <w:highlight w:val="none"/>
              </w:rPr>
              <w:t>授权委托书（格式后附）；（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433D5DFF">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74FAA48">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投标保证金缴纳证明；</w:t>
            </w:r>
            <w:r>
              <w:rPr>
                <w:rFonts w:hint="eastAsia" w:ascii="宋体" w:hAnsi="宋体" w:eastAsia="宋体" w:cs="宋体"/>
                <w:b/>
                <w:bCs/>
                <w:color w:val="auto"/>
                <w:sz w:val="21"/>
                <w:szCs w:val="21"/>
                <w:highlight w:val="none"/>
                <w:lang w:val="en-US" w:eastAsia="zh-CN"/>
              </w:rPr>
              <w:t>（必须提供，否则作无效投标处理）</w:t>
            </w:r>
          </w:p>
          <w:p w14:paraId="6560D00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投标人情况介绍（格式自拟）；</w:t>
            </w:r>
          </w:p>
          <w:p w14:paraId="77DBC9F7">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投标人类似业绩的证明文件（如有）；</w:t>
            </w:r>
          </w:p>
          <w:p w14:paraId="3B91461F">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评标方法及评标标准”提供有关证明材料）。</w:t>
            </w:r>
          </w:p>
          <w:p w14:paraId="1022C78B">
            <w:pPr>
              <w:keepNext w:val="0"/>
              <w:keepLines w:val="0"/>
              <w:pageBreakBefore w:val="0"/>
              <w:kinsoku/>
              <w:wordWrap/>
              <w:overflowPunct/>
              <w:topLinePunct w:val="0"/>
              <w:bidi w:val="0"/>
              <w:adjustRightInd/>
              <w:snapToGrid w:val="0"/>
              <w:spacing w:line="5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w:t>
            </w:r>
            <w:r>
              <w:rPr>
                <w:rFonts w:hint="eastAsia" w:ascii="宋体" w:hAnsi="宋体" w:eastAsia="宋体" w:cs="宋体"/>
                <w:b/>
                <w:bCs/>
                <w:color w:val="auto"/>
                <w:sz w:val="21"/>
                <w:szCs w:val="21"/>
                <w:highlight w:val="none"/>
                <w:lang w:val="en-US" w:eastAsia="zh-CN"/>
              </w:rPr>
              <w:t>或盖章</w:t>
            </w:r>
            <w:r>
              <w:rPr>
                <w:rFonts w:hint="eastAsia" w:ascii="宋体" w:hAnsi="宋体" w:eastAsia="宋体" w:cs="宋体"/>
                <w:b/>
                <w:bCs/>
                <w:color w:val="auto"/>
                <w:sz w:val="21"/>
                <w:szCs w:val="21"/>
                <w:highlight w:val="none"/>
              </w:rPr>
              <w:t>，并加盖投标人公章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，否则作无效投标处理。</w:t>
            </w:r>
          </w:p>
          <w:p w14:paraId="7A01EB35">
            <w:pPr>
              <w:keepNext w:val="0"/>
              <w:keepLines w:val="0"/>
              <w:pageBreakBefore w:val="0"/>
              <w:kinsoku/>
              <w:wordWrap/>
              <w:overflowPunct/>
              <w:topLinePunct w:val="0"/>
              <w:bidi w:val="0"/>
              <w:adjustRightInd/>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2.以上标明“必须提供”的材料属于复印件的</w:t>
            </w:r>
            <w:r>
              <w:rPr>
                <w:rFonts w:hint="eastAsia" w:ascii="宋体" w:hAnsi="宋体" w:eastAsia="宋体" w:cs="宋体"/>
                <w:b/>
                <w:bCs/>
                <w:color w:val="auto"/>
                <w:sz w:val="21"/>
                <w:szCs w:val="21"/>
                <w:highlight w:val="none"/>
                <w:lang w:val="en-US" w:eastAsia="zh-CN"/>
              </w:rPr>
              <w:t>扫描件的</w:t>
            </w:r>
            <w:r>
              <w:rPr>
                <w:rFonts w:hint="eastAsia" w:ascii="宋体" w:hAnsi="宋体" w:eastAsia="宋体" w:cs="宋体"/>
                <w:b/>
                <w:bCs/>
                <w:color w:val="auto"/>
                <w:sz w:val="21"/>
                <w:szCs w:val="21"/>
                <w:highlight w:val="none"/>
              </w:rPr>
              <w:t>，必须</w:t>
            </w:r>
            <w:r>
              <w:rPr>
                <w:rFonts w:hint="eastAsia" w:ascii="宋体" w:hAnsi="宋体" w:eastAsia="宋体" w:cs="宋体"/>
                <w:b/>
                <w:bCs/>
                <w:color w:val="auto"/>
                <w:sz w:val="21"/>
                <w:szCs w:val="21"/>
                <w:highlight w:val="none"/>
                <w:lang w:val="en-US" w:eastAsia="zh-CN"/>
              </w:rPr>
              <w:t>每页</w:t>
            </w:r>
            <w:r>
              <w:rPr>
                <w:rFonts w:hint="eastAsia" w:ascii="宋体" w:hAnsi="宋体" w:eastAsia="宋体" w:cs="宋体"/>
                <w:b/>
                <w:bCs/>
                <w:color w:val="auto"/>
                <w:sz w:val="21"/>
                <w:szCs w:val="21"/>
                <w:highlight w:val="none"/>
              </w:rPr>
              <w:t>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C967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vMerge w:val="continue"/>
            <w:tcBorders>
              <w:left w:val="single" w:color="auto" w:sz="4" w:space="0"/>
              <w:right w:val="single" w:color="auto" w:sz="4" w:space="0"/>
            </w:tcBorders>
            <w:noWrap w:val="0"/>
            <w:vAlign w:val="center"/>
          </w:tcPr>
          <w:p w14:paraId="7A2E53B2">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699E31AB">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bCs/>
                <w:color w:val="auto"/>
                <w:sz w:val="21"/>
                <w:szCs w:val="21"/>
                <w:highlight w:val="none"/>
              </w:rPr>
            </w:pPr>
            <w:bookmarkStart w:id="50" w:name="_13.4"/>
            <w:bookmarkEnd w:id="50"/>
            <w:r>
              <w:rPr>
                <w:rFonts w:hint="eastAsia" w:ascii="宋体" w:hAnsi="宋体" w:eastAsia="宋体" w:cs="宋体"/>
                <w:b/>
                <w:bCs/>
                <w:color w:val="auto"/>
                <w:sz w:val="21"/>
                <w:szCs w:val="21"/>
                <w:highlight w:val="none"/>
              </w:rPr>
              <w:t>技术文件</w:t>
            </w:r>
          </w:p>
          <w:p w14:paraId="3FF5E1C9">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bidi="ar-SA"/>
              </w:rPr>
              <w:t>.技术要求偏离表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0B75CB7">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服务方案</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895AD8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项目覆盖的行政区域内分支机构设置一览表（格式自拟）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F265003">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服务承诺（格式自拟）；</w:t>
            </w:r>
          </w:p>
          <w:p w14:paraId="283DE37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评标方法及评标标准”提供有关证明材料）</w:t>
            </w:r>
          </w:p>
          <w:p w14:paraId="50CF43A0">
            <w:pPr>
              <w:keepNext w:val="0"/>
              <w:keepLines w:val="0"/>
              <w:pageBreakBefore w:val="0"/>
              <w:kinsoku/>
              <w:wordWrap/>
              <w:overflowPunct/>
              <w:topLinePunct w:val="0"/>
              <w:bidi w:val="0"/>
              <w:adjustRightInd/>
              <w:snapToGrid w:val="0"/>
              <w:spacing w:line="5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w:t>
            </w:r>
            <w:r>
              <w:rPr>
                <w:rFonts w:hint="eastAsia" w:ascii="宋体" w:hAnsi="宋体" w:eastAsia="宋体" w:cs="宋体"/>
                <w:b/>
                <w:bCs/>
                <w:color w:val="auto"/>
                <w:sz w:val="21"/>
                <w:szCs w:val="21"/>
                <w:highlight w:val="none"/>
                <w:lang w:val="en-US" w:eastAsia="zh-CN"/>
              </w:rPr>
              <w:t>扫描件的</w:t>
            </w:r>
            <w:r>
              <w:rPr>
                <w:rFonts w:hint="eastAsia" w:ascii="宋体" w:hAnsi="宋体" w:eastAsia="宋体" w:cs="宋体"/>
                <w:b/>
                <w:bCs/>
                <w:color w:val="auto"/>
                <w:sz w:val="21"/>
                <w:szCs w:val="21"/>
                <w:highlight w:val="none"/>
              </w:rPr>
              <w:t>，必须</w:t>
            </w:r>
            <w:r>
              <w:rPr>
                <w:rFonts w:hint="eastAsia" w:ascii="宋体" w:hAnsi="宋体" w:eastAsia="宋体" w:cs="宋体"/>
                <w:b/>
                <w:bCs/>
                <w:color w:val="auto"/>
                <w:sz w:val="21"/>
                <w:szCs w:val="21"/>
                <w:highlight w:val="none"/>
                <w:lang w:val="en-US" w:eastAsia="zh-CN"/>
              </w:rPr>
              <w:t>每页</w:t>
            </w:r>
            <w:r>
              <w:rPr>
                <w:rFonts w:hint="eastAsia" w:ascii="宋体" w:hAnsi="宋体" w:eastAsia="宋体" w:cs="宋体"/>
                <w:b/>
                <w:bCs/>
                <w:color w:val="auto"/>
                <w:sz w:val="21"/>
                <w:szCs w:val="21"/>
                <w:highlight w:val="none"/>
              </w:rPr>
              <w:t>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D50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vMerge w:val="continue"/>
            <w:tcBorders>
              <w:left w:val="single" w:color="auto" w:sz="4" w:space="0"/>
              <w:bottom w:val="single" w:color="auto" w:sz="4" w:space="0"/>
              <w:right w:val="single" w:color="auto" w:sz="4" w:space="0"/>
            </w:tcBorders>
            <w:noWrap w:val="0"/>
            <w:vAlign w:val="center"/>
          </w:tcPr>
          <w:p w14:paraId="70EEB7E4">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2ABF9373">
            <w:pPr>
              <w:keepNext w:val="0"/>
              <w:keepLines w:val="0"/>
              <w:pageBreakBefore w:val="0"/>
              <w:tabs>
                <w:tab w:val="left" w:pos="459"/>
              </w:tabs>
              <w:kinsoku/>
              <w:wordWrap/>
              <w:overflowPunct/>
              <w:topLinePunct w:val="0"/>
              <w:bidi w:val="0"/>
              <w:adjustRightInd/>
              <w:snapToGrid w:val="0"/>
              <w:spacing w:line="5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05F62866">
            <w:pPr>
              <w:keepNext w:val="0"/>
              <w:keepLines w:val="0"/>
              <w:pageBreakBefore w:val="0"/>
              <w:tabs>
                <w:tab w:val="left" w:pos="459"/>
              </w:tabs>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color w:val="auto"/>
                <w:sz w:val="21"/>
                <w:szCs w:val="21"/>
                <w:highlight w:val="none"/>
              </w:rPr>
              <w:t>（必须提供，否则作无效投标处理）</w:t>
            </w:r>
          </w:p>
          <w:p w14:paraId="124029EB">
            <w:pPr>
              <w:keepNext w:val="0"/>
              <w:keepLines w:val="0"/>
              <w:pageBreakBefore w:val="0"/>
              <w:tabs>
                <w:tab w:val="left" w:pos="459"/>
              </w:tabs>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B0B3D36">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中小企业声明函（格式后附）；</w:t>
            </w:r>
            <w:r>
              <w:rPr>
                <w:rFonts w:hint="eastAsia" w:ascii="宋体" w:hAnsi="宋体" w:eastAsia="宋体" w:cs="宋体"/>
                <w:color w:val="auto"/>
                <w:sz w:val="21"/>
                <w:szCs w:val="21"/>
                <w:highlight w:val="none"/>
                <w:lang w:val="en-US" w:eastAsia="zh-CN"/>
              </w:rPr>
              <w:t>(</w:t>
            </w:r>
            <w:r>
              <w:rPr>
                <w:rFonts w:hint="eastAsia" w:ascii="宋体" w:hAnsi="宋体" w:eastAsia="宋体" w:cs="宋体"/>
                <w:b/>
                <w:color w:val="auto"/>
                <w:sz w:val="21"/>
                <w:szCs w:val="21"/>
                <w:highlight w:val="none"/>
              </w:rPr>
              <w:t>如有，请提供</w:t>
            </w:r>
            <w:r>
              <w:rPr>
                <w:rFonts w:hint="eastAsia" w:ascii="宋体" w:hAnsi="宋体" w:cs="宋体"/>
                <w:b/>
                <w:color w:val="auto"/>
                <w:sz w:val="21"/>
                <w:szCs w:val="21"/>
                <w:highlight w:val="none"/>
                <w:lang w:eastAsia="zh-CN"/>
              </w:rPr>
              <w:t>）</w:t>
            </w:r>
          </w:p>
          <w:p w14:paraId="47C160C2">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投标人针对报价需要说明的其他文件和说明（格式自拟）。</w:t>
            </w:r>
          </w:p>
          <w:p w14:paraId="69A85DC9">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w:t>
            </w:r>
            <w:r>
              <w:rPr>
                <w:rFonts w:hint="eastAsia" w:ascii="宋体" w:hAnsi="宋体" w:eastAsia="宋体" w:cs="宋体"/>
                <w:b/>
                <w:bCs/>
                <w:color w:val="auto"/>
                <w:sz w:val="21"/>
                <w:szCs w:val="21"/>
                <w:highlight w:val="none"/>
                <w:lang w:val="en-US" w:eastAsia="zh-CN"/>
              </w:rPr>
              <w:t>扫描件的</w:t>
            </w:r>
            <w:r>
              <w:rPr>
                <w:rFonts w:hint="eastAsia" w:ascii="宋体" w:hAnsi="宋体" w:eastAsia="宋体" w:cs="宋体"/>
                <w:b/>
                <w:bCs/>
                <w:color w:val="auto"/>
                <w:sz w:val="21"/>
                <w:szCs w:val="21"/>
                <w:highlight w:val="none"/>
              </w:rPr>
              <w:t>，必须</w:t>
            </w:r>
            <w:r>
              <w:rPr>
                <w:rFonts w:hint="eastAsia" w:ascii="宋体" w:hAnsi="宋体" w:eastAsia="宋体" w:cs="宋体"/>
                <w:b/>
                <w:bCs/>
                <w:color w:val="auto"/>
                <w:sz w:val="21"/>
                <w:szCs w:val="21"/>
                <w:highlight w:val="none"/>
                <w:lang w:val="en-US" w:eastAsia="zh-CN"/>
              </w:rPr>
              <w:t>每页</w:t>
            </w:r>
            <w:r>
              <w:rPr>
                <w:rFonts w:hint="eastAsia" w:ascii="宋体" w:hAnsi="宋体" w:eastAsia="宋体" w:cs="宋体"/>
                <w:b/>
                <w:bCs/>
                <w:color w:val="auto"/>
                <w:sz w:val="21"/>
                <w:szCs w:val="21"/>
                <w:highlight w:val="none"/>
              </w:rPr>
              <w:t>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525AC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0B3D906B">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2DB84E6E">
            <w:pPr>
              <w:keepNext w:val="0"/>
              <w:keepLines w:val="0"/>
              <w:pageBreakBefore w:val="0"/>
              <w:widowControl/>
              <w:shd w:val="clear" w:color="auto" w:fill="auto"/>
              <w:kinsoku/>
              <w:wordWrap/>
              <w:overflowPunct/>
              <w:topLinePunct w:val="0"/>
              <w:bidi w:val="0"/>
              <w:adjustRightInd/>
              <w:snapToGrid w:val="0"/>
              <w:spacing w:line="500" w:lineRule="exact"/>
              <w:ind w:firstLine="0" w:firstLineChars="0"/>
              <w:jc w:val="left"/>
              <w:rPr>
                <w:rFonts w:hint="eastAsia" w:ascii="宋体" w:hAnsi="宋体" w:eastAsia="宋体" w:cs="宋体"/>
                <w:b w:val="0"/>
                <w:color w:val="auto"/>
                <w:sz w:val="21"/>
                <w:szCs w:val="21"/>
                <w:highlight w:val="none"/>
                <w:lang w:eastAsia="zh-CN"/>
              </w:rPr>
            </w:pPr>
            <w:bookmarkStart w:id="51" w:name="_16.2"/>
            <w:bookmarkEnd w:id="51"/>
            <w:r>
              <w:rPr>
                <w:rFonts w:hint="eastAsia" w:ascii="宋体" w:hAnsi="宋体" w:eastAsia="宋体" w:cs="宋体"/>
                <w:b w:val="0"/>
                <w:color w:val="auto"/>
                <w:sz w:val="21"/>
                <w:szCs w:val="21"/>
                <w:highlight w:val="none"/>
                <w:lang w:eastAsia="zh-CN"/>
              </w:rPr>
              <w:t>本项目采用固定价格采购。投标报价是履行合同的最终价格，必须包含满足本次投标全部采购需求所应提供的服务，以及伴随的货物和工程（如有）的价格；包含投标服务、货物、工程的成本、运输（含保险）、安装（如有）、调试、检验、技术服务、培训、税费等完成本项目所需的所有费用。（采购需求另有约定的，从其约定；投标报价范围如有不完整，作无效投标处理）</w:t>
            </w:r>
          </w:p>
        </w:tc>
      </w:tr>
      <w:tr w14:paraId="3E75E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585FBB9">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22ABA5D6">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bookmarkStart w:id="52" w:name="_17.1"/>
            <w:bookmarkEnd w:id="52"/>
            <w:r>
              <w:rPr>
                <w:rFonts w:hint="eastAsia" w:ascii="宋体" w:hAnsi="宋体" w:eastAsia="宋体" w:cs="宋体"/>
                <w:color w:val="auto"/>
                <w:sz w:val="21"/>
                <w:szCs w:val="21"/>
                <w:highlight w:val="none"/>
              </w:rPr>
              <w:t>投标有效期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w:t>
            </w:r>
          </w:p>
        </w:tc>
      </w:tr>
      <w:tr w14:paraId="3497D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786012B6">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9F188D7">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lang w:val="en-US" w:eastAsia="zh-CN"/>
              </w:rPr>
            </w:pPr>
            <w:bookmarkStart w:id="53" w:name="_18"/>
            <w:bookmarkEnd w:id="53"/>
            <w:r>
              <w:rPr>
                <w:rFonts w:hint="eastAsia" w:ascii="宋体" w:hAnsi="宋体" w:eastAsia="宋体" w:cs="宋体"/>
                <w:color w:val="auto"/>
                <w:spacing w:val="-5"/>
                <w:sz w:val="21"/>
                <w:szCs w:val="21"/>
                <w:highlight w:val="none"/>
                <w:lang w:val="en-US" w:eastAsia="zh-CN"/>
              </w:rPr>
              <w:t>投标保证金</w:t>
            </w:r>
          </w:p>
          <w:p w14:paraId="11B3A909">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一、</w:t>
            </w:r>
            <w:r>
              <w:rPr>
                <w:rFonts w:hint="eastAsia" w:ascii="宋体" w:hAnsi="宋体" w:eastAsia="宋体" w:cs="宋体"/>
                <w:color w:val="auto"/>
                <w:spacing w:val="-5"/>
                <w:sz w:val="21"/>
                <w:szCs w:val="21"/>
                <w:highlight w:val="none"/>
              </w:rPr>
              <w:t>本项目收取</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，具体规定如下：</w:t>
            </w:r>
          </w:p>
          <w:p w14:paraId="3515FD94">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bCs/>
                <w:color w:val="auto"/>
                <w:sz w:val="21"/>
                <w:szCs w:val="21"/>
                <w:highlight w:val="none"/>
              </w:rPr>
              <w:t>投标保证金</w:t>
            </w:r>
            <w:r>
              <w:rPr>
                <w:rFonts w:hint="eastAsia" w:ascii="宋体" w:hAnsi="宋体" w:eastAsia="宋体" w:cs="宋体"/>
                <w:color w:val="auto"/>
                <w:sz w:val="21"/>
                <w:szCs w:val="21"/>
                <w:highlight w:val="none"/>
              </w:rPr>
              <w:t>（人民币）：</w:t>
            </w:r>
            <w:r>
              <w:rPr>
                <w:rFonts w:hint="eastAsia" w:ascii="宋体" w:hAnsi="宋体" w:eastAsia="宋体" w:cs="宋体"/>
                <w:bCs/>
                <w:color w:val="auto"/>
                <w:sz w:val="21"/>
                <w:szCs w:val="21"/>
                <w:highlight w:val="none"/>
                <w:u w:val="single"/>
                <w:lang w:val="en-US" w:eastAsia="zh-CN"/>
              </w:rPr>
              <w:t>10000.00</w:t>
            </w:r>
            <w:r>
              <w:rPr>
                <w:rFonts w:hint="eastAsia" w:ascii="宋体" w:hAnsi="宋体" w:eastAsia="宋体" w:cs="宋体"/>
                <w:bCs/>
                <w:color w:val="auto"/>
                <w:sz w:val="21"/>
                <w:szCs w:val="21"/>
                <w:highlight w:val="none"/>
              </w:rPr>
              <w:t>元</w:t>
            </w:r>
            <w:r>
              <w:rPr>
                <w:rFonts w:hint="eastAsia" w:ascii="宋体" w:hAnsi="宋体" w:eastAsia="宋体" w:cs="宋体"/>
                <w:color w:val="auto"/>
                <w:sz w:val="21"/>
                <w:szCs w:val="21"/>
                <w:highlight w:val="none"/>
              </w:rPr>
              <w:t>。（须足额</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w:t>
            </w:r>
          </w:p>
          <w:p w14:paraId="7D10FDAE">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二、</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的交纳方式：银行转账、支票、汇票、本票或者银行、保险机构出具的保函， 禁止采用现钞方式。采用银行转账方式的，在响应文件提交截止时间前交至</w:t>
            </w:r>
            <w:r>
              <w:rPr>
                <w:rFonts w:hint="eastAsia" w:ascii="宋体" w:hAnsi="宋体" w:eastAsia="宋体" w:cs="宋体"/>
                <w:color w:val="auto"/>
                <w:sz w:val="21"/>
                <w:szCs w:val="21"/>
                <w:highlight w:val="none"/>
                <w:lang w:val="en-US" w:eastAsia="zh-CN"/>
              </w:rPr>
              <w:t>采购代理机构指定账户并且到账，投标人应将银行转账底单的扫描件作为投标保证金提交凭证，放置于商务文件中，</w:t>
            </w:r>
            <w:r>
              <w:rPr>
                <w:rFonts w:hint="eastAsia" w:ascii="宋体" w:hAnsi="宋体" w:eastAsia="宋体" w:cs="宋体"/>
                <w:b/>
                <w:color w:val="auto"/>
                <w:sz w:val="21"/>
                <w:szCs w:val="21"/>
                <w:highlight w:val="none"/>
                <w:lang w:val="en-US" w:eastAsia="zh-CN"/>
              </w:rPr>
              <w:t>否则投标无效</w:t>
            </w:r>
            <w:r>
              <w:rPr>
                <w:rFonts w:hint="eastAsia" w:ascii="宋体" w:hAnsi="宋体" w:eastAsia="宋体" w:cs="宋体"/>
                <w:color w:val="auto"/>
                <w:sz w:val="21"/>
                <w:szCs w:val="21"/>
                <w:highlight w:val="none"/>
                <w:lang w:val="en-US" w:eastAsia="zh-CN"/>
              </w:rPr>
              <w:t>。</w:t>
            </w:r>
          </w:p>
          <w:p w14:paraId="0DD7613E">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采用支票、汇票、本票或者保函等方式的，在响应文件提交截止时间前，供应商必须提交单独密封的支票、汇票、本票或者保函原件。否则视为无效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0F942E11">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相关要求：</w:t>
            </w:r>
          </w:p>
          <w:p w14:paraId="5A161A90">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采用银行转账交纳方式的，在响应文件提交截止时间前交至指定账户并且到账，供应商应将银行转账底单的</w:t>
            </w:r>
            <w:r>
              <w:rPr>
                <w:rFonts w:hint="eastAsia" w:ascii="宋体" w:hAnsi="宋体" w:eastAsia="宋体" w:cs="宋体"/>
                <w:color w:val="auto"/>
                <w:spacing w:val="-5"/>
                <w:sz w:val="21"/>
                <w:szCs w:val="21"/>
                <w:highlight w:val="none"/>
                <w:lang w:val="en-US" w:eastAsia="zh-CN"/>
              </w:rPr>
              <w:t>扫描</w:t>
            </w:r>
            <w:r>
              <w:rPr>
                <w:rFonts w:hint="eastAsia" w:ascii="宋体" w:hAnsi="宋体" w:eastAsia="宋体" w:cs="宋体"/>
                <w:color w:val="auto"/>
                <w:spacing w:val="-5"/>
                <w:sz w:val="21"/>
                <w:szCs w:val="21"/>
                <w:highlight w:val="none"/>
              </w:rPr>
              <w:t>件作为</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lang w:val="en-US" w:eastAsia="zh-CN"/>
              </w:rPr>
              <w:t>递</w:t>
            </w:r>
            <w:r>
              <w:rPr>
                <w:rFonts w:hint="eastAsia" w:ascii="宋体" w:hAnsi="宋体" w:eastAsia="宋体" w:cs="宋体"/>
                <w:color w:val="auto"/>
                <w:spacing w:val="-5"/>
                <w:sz w:val="21"/>
                <w:szCs w:val="21"/>
                <w:highlight w:val="none"/>
              </w:rPr>
              <w:t>交凭证，放置于商务文件中，否则响应文件按无效响应处理。</w:t>
            </w:r>
          </w:p>
          <w:p w14:paraId="755A176E">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采用支票、汇票、本票或者银行、保险机构出具的保函交纳方式的，供应商应将支票、汇票、本票或者银行、保险机构出具的保函的</w:t>
            </w:r>
            <w:r>
              <w:rPr>
                <w:rFonts w:hint="eastAsia" w:ascii="宋体" w:hAnsi="宋体" w:eastAsia="宋体" w:cs="宋体"/>
                <w:color w:val="auto"/>
                <w:spacing w:val="-5"/>
                <w:sz w:val="21"/>
                <w:szCs w:val="21"/>
                <w:highlight w:val="none"/>
                <w:lang w:val="en-US" w:eastAsia="zh-CN"/>
              </w:rPr>
              <w:t>扫描</w:t>
            </w:r>
            <w:r>
              <w:rPr>
                <w:rFonts w:hint="eastAsia" w:ascii="宋体" w:hAnsi="宋体" w:eastAsia="宋体" w:cs="宋体"/>
                <w:color w:val="auto"/>
                <w:spacing w:val="-5"/>
                <w:sz w:val="21"/>
                <w:szCs w:val="21"/>
                <w:highlight w:val="none"/>
              </w:rPr>
              <w:t>件作为</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lang w:val="en-US" w:eastAsia="zh-CN"/>
              </w:rPr>
              <w:t>递</w:t>
            </w:r>
            <w:r>
              <w:rPr>
                <w:rFonts w:hint="eastAsia" w:ascii="宋体" w:hAnsi="宋体" w:eastAsia="宋体" w:cs="宋体"/>
                <w:color w:val="auto"/>
                <w:spacing w:val="-5"/>
                <w:sz w:val="21"/>
                <w:szCs w:val="21"/>
                <w:highlight w:val="none"/>
              </w:rPr>
              <w:t>交凭证，放置于商务文件中，否则响应文件按无效处理。供应商必须在响应文件提交截止时间前采用现场或邮寄方式（现场提交地址或邮寄地址：南宁市青秀区云景路69号南宁轨道大厦B楼15层。本项目拒收到付邮件，通过邮寄方式送达的，请合理安排邮寄时间，因邮寄原因未能在规定时间内送达的后果由供应商自行承担，逾期送达按无效响应处理，收件人：</w:t>
            </w:r>
            <w:r>
              <w:rPr>
                <w:rFonts w:hint="eastAsia" w:ascii="宋体" w:hAnsi="宋体" w:eastAsia="宋体" w:cs="宋体"/>
                <w:color w:val="auto"/>
                <w:sz w:val="21"/>
                <w:szCs w:val="21"/>
                <w:highlight w:val="none"/>
                <w:u w:val="none"/>
                <w:lang w:val="en-US" w:eastAsia="zh-CN"/>
              </w:rPr>
              <w:t>韦廷富、廖欣蕾、田甜，</w:t>
            </w:r>
            <w:r>
              <w:rPr>
                <w:rFonts w:hint="eastAsia" w:ascii="宋体" w:hAnsi="宋体" w:eastAsia="宋体" w:cs="宋体"/>
                <w:color w:val="auto"/>
                <w:spacing w:val="-5"/>
                <w:sz w:val="21"/>
                <w:szCs w:val="21"/>
                <w:highlight w:val="none"/>
              </w:rPr>
              <w:t>联系方式：0771-5776251）</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将单独密封的支票、汇票、本票或者银行、保险机构出具的保函原件提交给采购人或者采购代理机构，由采购人或者采购代理机构向供应商出具回执（邮寄方式的除外），并妥善保管。</w:t>
            </w:r>
          </w:p>
          <w:p w14:paraId="038D0C03">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三、</w:t>
            </w:r>
            <w:r>
              <w:rPr>
                <w:rFonts w:hint="eastAsia" w:ascii="宋体" w:hAnsi="宋体" w:eastAsia="宋体" w:cs="宋体"/>
                <w:color w:val="auto"/>
                <w:spacing w:val="-5"/>
                <w:sz w:val="21"/>
                <w:szCs w:val="21"/>
                <w:highlight w:val="none"/>
              </w:rPr>
              <w:t>投标保证金</w:t>
            </w:r>
            <w:r>
              <w:rPr>
                <w:rFonts w:hint="eastAsia" w:ascii="宋体" w:hAnsi="宋体" w:eastAsia="宋体" w:cs="宋体"/>
                <w:color w:val="auto"/>
                <w:spacing w:val="-5"/>
                <w:sz w:val="21"/>
                <w:szCs w:val="21"/>
                <w:highlight w:val="none"/>
                <w:lang w:eastAsia="zh-CN"/>
              </w:rPr>
              <w:t>账户</w:t>
            </w:r>
            <w:r>
              <w:rPr>
                <w:rFonts w:hint="eastAsia" w:ascii="宋体" w:hAnsi="宋体" w:eastAsia="宋体" w:cs="宋体"/>
                <w:color w:val="auto"/>
                <w:spacing w:val="-5"/>
                <w:sz w:val="21"/>
                <w:szCs w:val="21"/>
                <w:highlight w:val="none"/>
              </w:rPr>
              <w:t>：广西中信恒泰工程顾问有限公司</w:t>
            </w:r>
          </w:p>
          <w:p w14:paraId="2E8A219E">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开户行名称：建设银行南宁市金湖广场支行</w:t>
            </w:r>
          </w:p>
          <w:p w14:paraId="36B82F06">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银行账号：4500 1604 2660 5250 2851</w:t>
            </w:r>
          </w:p>
          <w:p w14:paraId="788B58FC">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备注：</w:t>
            </w:r>
          </w:p>
          <w:p w14:paraId="61C0F9C1">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在响应文件提交截止时间后提交的，或者不按规定交纳方式交纳的，或者未足额交纳的（包含保函额度不足的），视为无效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0A06ACF5">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2.供应商采用现钞方式或者从个人账户（自然人竞标除外）转出的</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7C286FC9">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3.支票、汇票或者本票出现无效或者背书情形的，视为无效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3613DD4A">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4.保函有效期低于</w:t>
            </w:r>
            <w:r>
              <w:rPr>
                <w:rFonts w:hint="eastAsia" w:ascii="宋体" w:hAnsi="宋体" w:eastAsia="宋体" w:cs="宋体"/>
                <w:color w:val="auto"/>
                <w:spacing w:val="-5"/>
                <w:sz w:val="21"/>
                <w:szCs w:val="21"/>
                <w:highlight w:val="none"/>
                <w:lang w:val="en-US" w:eastAsia="zh-CN"/>
              </w:rPr>
              <w:t>投</w:t>
            </w:r>
            <w:r>
              <w:rPr>
                <w:rFonts w:hint="eastAsia" w:ascii="宋体" w:hAnsi="宋体" w:eastAsia="宋体" w:cs="宋体"/>
                <w:color w:val="auto"/>
                <w:spacing w:val="-5"/>
                <w:sz w:val="21"/>
                <w:szCs w:val="21"/>
                <w:highlight w:val="none"/>
              </w:rPr>
              <w:t>标有效期的，视为无效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p w14:paraId="113A3309">
            <w:pPr>
              <w:pStyle w:val="124"/>
              <w:keepNext w:val="0"/>
              <w:keepLines w:val="0"/>
              <w:pageBreakBefore w:val="0"/>
              <w:widowControl w:val="0"/>
              <w:kinsoku/>
              <w:wordWrap/>
              <w:overflowPunct/>
              <w:topLinePunct w:val="0"/>
              <w:autoSpaceDE/>
              <w:autoSpaceDN/>
              <w:bidi w:val="0"/>
              <w:adjustRightInd/>
              <w:snapToGrid/>
              <w:spacing w:line="500" w:lineRule="exact"/>
              <w:ind w:left="113" w:right="102" w:firstLine="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1"/>
                <w:szCs w:val="21"/>
                <w:highlight w:val="none"/>
              </w:rPr>
              <w:t>5.采用银行、保险机构出具保函的，必须为无条件保函，否则视为无效</w:t>
            </w:r>
            <w:r>
              <w:rPr>
                <w:rFonts w:hint="eastAsia" w:ascii="宋体" w:hAnsi="宋体" w:eastAsia="宋体" w:cs="宋体"/>
                <w:color w:val="auto"/>
                <w:spacing w:val="-5"/>
                <w:sz w:val="21"/>
                <w:szCs w:val="21"/>
                <w:highlight w:val="none"/>
                <w:lang w:eastAsia="zh-CN"/>
              </w:rPr>
              <w:t>投标保证金</w:t>
            </w:r>
            <w:r>
              <w:rPr>
                <w:rFonts w:hint="eastAsia" w:ascii="宋体" w:hAnsi="宋体" w:eastAsia="宋体" w:cs="宋体"/>
                <w:color w:val="auto"/>
                <w:spacing w:val="-5"/>
                <w:sz w:val="21"/>
                <w:szCs w:val="21"/>
                <w:highlight w:val="none"/>
              </w:rPr>
              <w:t>。</w:t>
            </w:r>
          </w:p>
        </w:tc>
      </w:tr>
      <w:tr w14:paraId="06B5C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B1C19C9">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20107A2C">
            <w:pPr>
              <w:keepNext w:val="0"/>
              <w:keepLines w:val="0"/>
              <w:pageBreakBefore w:val="0"/>
              <w:kinsoku/>
              <w:wordWrap/>
              <w:overflowPunct/>
              <w:topLinePunct w:val="0"/>
              <w:bidi w:val="0"/>
              <w:adjustRightInd/>
              <w:spacing w:line="500" w:lineRule="exact"/>
              <w:ind w:firstLine="0" w:firstLineChars="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投标文件编制要求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投标文件应按资格证明文件、商务文件、技术文件、报价文件、分别编制，资格证明文件、报价文件分别</w:t>
            </w:r>
            <w:r>
              <w:rPr>
                <w:rFonts w:hint="eastAsia" w:ascii="宋体" w:hAnsi="宋体" w:eastAsia="宋体" w:cs="宋体"/>
                <w:color w:val="auto"/>
                <w:sz w:val="21"/>
                <w:szCs w:val="21"/>
                <w:highlight w:val="none"/>
                <w:lang w:eastAsia="zh-CN"/>
              </w:rPr>
              <w:t>生成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eastAsia="宋体" w:cs="宋体"/>
                <w:b/>
                <w:color w:val="auto"/>
                <w:sz w:val="21"/>
                <w:szCs w:val="21"/>
                <w:highlight w:val="none"/>
                <w:u w:val="single"/>
              </w:rPr>
              <w:t>电子版投标文件制作方式</w:t>
            </w:r>
            <w:r>
              <w:rPr>
                <w:rFonts w:hint="eastAsia" w:ascii="宋体" w:hAnsi="宋体" w:eastAsia="宋体" w:cs="宋体"/>
                <w:b/>
                <w:color w:val="auto"/>
                <w:sz w:val="21"/>
                <w:szCs w:val="21"/>
                <w:highlight w:val="none"/>
                <w:u w:val="single"/>
                <w:lang w:val="en-US" w:eastAsia="zh-CN"/>
              </w:rPr>
              <w:t>注意事项</w:t>
            </w:r>
            <w:r>
              <w:rPr>
                <w:rFonts w:hint="eastAsia" w:ascii="宋体" w:hAnsi="宋体" w:eastAsia="宋体" w:cs="宋体"/>
                <w:b/>
                <w:color w:val="auto"/>
                <w:sz w:val="21"/>
                <w:szCs w:val="21"/>
                <w:highlight w:val="none"/>
                <w:u w:val="single"/>
              </w:rPr>
              <w:t>见招标公告</w:t>
            </w:r>
            <w:r>
              <w:rPr>
                <w:rFonts w:hint="eastAsia" w:ascii="宋体" w:hAnsi="宋体" w:eastAsia="宋体" w:cs="宋体"/>
                <w:b/>
                <w:color w:val="auto"/>
                <w:sz w:val="21"/>
                <w:szCs w:val="21"/>
                <w:highlight w:val="none"/>
                <w:u w:val="single"/>
                <w:lang w:val="en-US" w:eastAsia="zh-CN"/>
              </w:rPr>
              <w:t>中的相关指引信息</w:t>
            </w:r>
            <w:r>
              <w:rPr>
                <w:rFonts w:hint="eastAsia" w:ascii="宋体" w:hAnsi="宋体" w:eastAsia="宋体" w:cs="宋体"/>
                <w:b/>
                <w:color w:val="auto"/>
                <w:sz w:val="21"/>
                <w:szCs w:val="21"/>
                <w:highlight w:val="none"/>
                <w:u w:val="single"/>
              </w:rPr>
              <w:t>。</w:t>
            </w:r>
          </w:p>
        </w:tc>
      </w:tr>
      <w:tr w14:paraId="790C4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A970F87">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18EE212C">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项目不接受电子备份投标文件。</w:t>
            </w:r>
          </w:p>
        </w:tc>
      </w:tr>
      <w:tr w14:paraId="0A935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3677486F">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78CC9BF">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u w:val="single"/>
              </w:rPr>
            </w:pPr>
            <w:bookmarkStart w:id="54" w:name="_21.1"/>
            <w:bookmarkEnd w:id="54"/>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tc>
      </w:tr>
      <w:tr w14:paraId="42623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59" w:type="dxa"/>
            <w:vMerge w:val="continue"/>
            <w:tcBorders>
              <w:left w:val="single" w:color="auto" w:sz="4" w:space="0"/>
              <w:right w:val="single" w:color="auto" w:sz="4" w:space="0"/>
            </w:tcBorders>
            <w:noWrap w:val="0"/>
            <w:vAlign w:val="center"/>
          </w:tcPr>
          <w:p w14:paraId="72BCBCBD">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42DB65D5">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tc>
      </w:tr>
      <w:tr w14:paraId="7A4AF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59" w:type="dxa"/>
            <w:vMerge w:val="continue"/>
            <w:tcBorders>
              <w:left w:val="single" w:color="auto" w:sz="4" w:space="0"/>
              <w:right w:val="single" w:color="auto" w:sz="4" w:space="0"/>
            </w:tcBorders>
            <w:noWrap w:val="0"/>
            <w:vAlign w:val="center"/>
          </w:tcPr>
          <w:p w14:paraId="41A24C26">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293B6B8B">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tc>
      </w:tr>
      <w:tr w14:paraId="142E1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59" w:type="dxa"/>
            <w:vMerge w:val="continue"/>
            <w:tcBorders>
              <w:left w:val="single" w:color="auto" w:sz="4" w:space="0"/>
              <w:right w:val="single" w:color="auto" w:sz="4" w:space="0"/>
            </w:tcBorders>
            <w:noWrap w:val="0"/>
            <w:vAlign w:val="center"/>
          </w:tcPr>
          <w:p w14:paraId="46B38302">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4F589FC4">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投标人递交投标样品截止时间及地点</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本项目不需要递交投标样品</w:t>
            </w:r>
          </w:p>
        </w:tc>
      </w:tr>
      <w:tr w14:paraId="6A8CE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C593573">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1CB8E2B5">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bookmarkStart w:id="55" w:name="_23"/>
            <w:bookmarkEnd w:id="55"/>
            <w:r>
              <w:rPr>
                <w:rFonts w:hint="eastAsia" w:ascii="宋体" w:hAnsi="宋体" w:eastAsia="宋体" w:cs="宋体"/>
                <w:color w:val="auto"/>
                <w:sz w:val="21"/>
                <w:szCs w:val="21"/>
                <w:highlight w:val="none"/>
              </w:rPr>
              <w:t>开标时间、地点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tc>
      </w:tr>
      <w:tr w14:paraId="46524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A8A5E2B">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7A05457">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电子投标文件解密时间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30分钟</w:t>
            </w:r>
          </w:p>
        </w:tc>
      </w:tr>
      <w:tr w14:paraId="1367A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133A3E54">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75F69092">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bookmarkStart w:id="56" w:name="_25.3"/>
            <w:bookmarkEnd w:id="56"/>
            <w:r>
              <w:rPr>
                <w:rFonts w:hint="eastAsia" w:ascii="宋体" w:hAnsi="宋体" w:eastAsia="宋体" w:cs="宋体"/>
                <w:color w:val="auto"/>
                <w:sz w:val="21"/>
                <w:szCs w:val="21"/>
                <w:highlight w:val="none"/>
              </w:rPr>
              <w:t>采购人或者采购代理机构在资格审查结束前，对投标人进行信用查询。</w:t>
            </w:r>
          </w:p>
          <w:p w14:paraId="0B09759D">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p w14:paraId="3CF7BC35">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53BD57FA">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查询记录和证据留存方式：在查询网站中直接截图查询记录，截图作为在</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作为附件上传保存。</w:t>
            </w:r>
          </w:p>
          <w:p w14:paraId="0E54FFBE">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DB9A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E092B16">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71C85A52">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 w:val="21"/>
                <w:szCs w:val="21"/>
                <w:highlight w:val="none"/>
              </w:rPr>
            </w:pPr>
            <w:bookmarkStart w:id="57" w:name="_28.3"/>
            <w:bookmarkEnd w:id="57"/>
            <w:bookmarkStart w:id="58" w:name="_26"/>
            <w:bookmarkEnd w:id="58"/>
            <w:r>
              <w:rPr>
                <w:rFonts w:hint="eastAsia" w:ascii="宋体" w:hAnsi="宋体" w:eastAsia="宋体" w:cs="宋体"/>
                <w:color w:val="auto"/>
                <w:sz w:val="21"/>
                <w:szCs w:val="21"/>
                <w:highlight w:val="none"/>
              </w:rPr>
              <w:t>评标委员会的人数：</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人</w:t>
            </w:r>
          </w:p>
        </w:tc>
      </w:tr>
      <w:tr w14:paraId="12FEF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864CCDC">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CF489B0">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评标方法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tc>
      </w:tr>
      <w:tr w14:paraId="49AA5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51BC71C">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0AD5F6C">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商务要求评审中允许负偏离的条款数为0项。</w:t>
            </w:r>
          </w:p>
          <w:p w14:paraId="6FDD9E12">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技术要求评审中允许负偏离的条款数为</w:t>
            </w:r>
            <w:r>
              <w:rPr>
                <w:rFonts w:hint="eastAsia" w:ascii="宋体" w:hAnsi="宋体" w:cs="宋体"/>
                <w:color w:val="auto"/>
                <w:highlight w:val="none"/>
                <w:lang w:val="en-US" w:eastAsia="zh-CN"/>
              </w:rPr>
              <w:t>0</w:t>
            </w:r>
            <w:r>
              <w:rPr>
                <w:rFonts w:hint="eastAsia" w:ascii="宋体" w:hAnsi="宋体" w:eastAsia="宋体" w:cs="宋体"/>
                <w:color w:val="auto"/>
                <w:sz w:val="21"/>
                <w:szCs w:val="21"/>
                <w:highlight w:val="none"/>
              </w:rPr>
              <w:t>项。</w:t>
            </w:r>
          </w:p>
        </w:tc>
      </w:tr>
      <w:tr w14:paraId="1D620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B1C0FFB">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29.3</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18482785">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名</w:t>
            </w:r>
          </w:p>
          <w:p w14:paraId="5ECA098D">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根据[总得分由高到低]排列次序并全部推荐为中标候选人</w:t>
            </w:r>
          </w:p>
        </w:tc>
      </w:tr>
      <w:tr w14:paraId="5E223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CB032D4">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76C7F64A">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w:t>
            </w:r>
            <w:r>
              <w:rPr>
                <w:rFonts w:hint="eastAsia" w:ascii="宋体" w:hAnsi="宋体" w:cs="宋体"/>
                <w:color w:val="auto"/>
                <w:sz w:val="21"/>
                <w:szCs w:val="21"/>
                <w:highlight w:val="none"/>
                <w:lang w:eastAsia="zh-CN"/>
              </w:rPr>
              <w:t>以下</w:t>
            </w:r>
            <w:r>
              <w:rPr>
                <w:rFonts w:hint="eastAsia" w:ascii="宋体" w:hAnsi="宋体" w:eastAsia="宋体" w:cs="宋体"/>
                <w:color w:val="auto"/>
                <w:sz w:val="21"/>
                <w:szCs w:val="21"/>
                <w:highlight w:val="none"/>
              </w:rPr>
              <w:t>方式确定中标人：</w:t>
            </w:r>
          </w:p>
          <w:p w14:paraId="3DE6A6CF">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得分相同的，依次按</w:t>
            </w:r>
            <w:r>
              <w:rPr>
                <w:rFonts w:hint="eastAsia" w:ascii="宋体" w:hAnsi="宋体" w:cs="宋体"/>
                <w:bCs/>
                <w:color w:val="auto"/>
                <w:kern w:val="2"/>
                <w:sz w:val="21"/>
                <w:szCs w:val="21"/>
                <w:highlight w:val="none"/>
                <w:lang w:val="en-US" w:eastAsia="zh-CN" w:bidi="ar-SA"/>
              </w:rPr>
              <w:t>承保服务方案得分</w:t>
            </w: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bidi="ar-SA"/>
              </w:rPr>
              <w:t>服务人员</w:t>
            </w:r>
            <w:r>
              <w:rPr>
                <w:rFonts w:hint="eastAsia" w:ascii="宋体" w:hAnsi="宋体" w:cs="宋体"/>
                <w:bCs/>
                <w:color w:val="auto"/>
                <w:kern w:val="2"/>
                <w:sz w:val="21"/>
                <w:szCs w:val="21"/>
                <w:highlight w:val="none"/>
                <w:lang w:val="en-US" w:eastAsia="zh-CN" w:bidi="ar-SA"/>
              </w:rPr>
              <w:t>配备方案得分</w:t>
            </w: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bidi="ar-SA"/>
              </w:rPr>
              <w:t>照护人员管理方案</w:t>
            </w:r>
            <w:r>
              <w:rPr>
                <w:rFonts w:hint="eastAsia" w:ascii="宋体" w:hAnsi="宋体" w:cs="宋体"/>
                <w:bCs/>
                <w:color w:val="auto"/>
                <w:kern w:val="2"/>
                <w:sz w:val="21"/>
                <w:szCs w:val="21"/>
                <w:highlight w:val="none"/>
                <w:lang w:val="en-US" w:eastAsia="zh-CN" w:bidi="ar-SA"/>
              </w:rPr>
              <w:t>得分</w:t>
            </w:r>
            <w:r>
              <w:rPr>
                <w:rFonts w:hint="eastAsia" w:ascii="宋体" w:hAnsi="宋体" w:eastAsia="宋体" w:cs="宋体"/>
                <w:color w:val="auto"/>
                <w:sz w:val="21"/>
                <w:szCs w:val="21"/>
                <w:highlight w:val="none"/>
              </w:rPr>
              <w:t>→理赔服务方案</w:t>
            </w:r>
            <w:r>
              <w:rPr>
                <w:rFonts w:hint="eastAsia" w:ascii="宋体" w:hAnsi="宋体" w:cs="宋体"/>
                <w:bCs/>
                <w:color w:val="auto"/>
                <w:kern w:val="2"/>
                <w:sz w:val="21"/>
                <w:szCs w:val="21"/>
                <w:highlight w:val="none"/>
                <w:lang w:val="en-US" w:eastAsia="zh-CN" w:bidi="ar-SA"/>
              </w:rPr>
              <w:t>得分</w:t>
            </w:r>
            <w:r>
              <w:rPr>
                <w:rFonts w:hint="eastAsia" w:ascii="宋体" w:hAnsi="宋体" w:eastAsia="宋体" w:cs="宋体"/>
                <w:color w:val="auto"/>
                <w:sz w:val="21"/>
                <w:szCs w:val="21"/>
                <w:highlight w:val="none"/>
              </w:rPr>
              <w:t>→增值服务方案</w:t>
            </w:r>
            <w:r>
              <w:rPr>
                <w:rFonts w:hint="eastAsia" w:ascii="宋体" w:hAnsi="宋体" w:cs="宋体"/>
                <w:bCs/>
                <w:color w:val="auto"/>
                <w:kern w:val="2"/>
                <w:sz w:val="21"/>
                <w:szCs w:val="21"/>
                <w:highlight w:val="none"/>
                <w:lang w:val="en-US" w:eastAsia="zh-CN" w:bidi="ar-SA"/>
              </w:rPr>
              <w:t>得分</w:t>
            </w:r>
            <w:r>
              <w:rPr>
                <w:rFonts w:hint="eastAsia" w:ascii="宋体" w:hAnsi="宋体" w:eastAsia="宋体" w:cs="宋体"/>
                <w:color w:val="auto"/>
                <w:sz w:val="21"/>
                <w:szCs w:val="21"/>
                <w:highlight w:val="none"/>
              </w:rPr>
              <w:t>顺序排列，如以上都一致时则由评标委员会推荐代表随机抽取。</w:t>
            </w:r>
          </w:p>
        </w:tc>
      </w:tr>
      <w:tr w14:paraId="797A5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050A25A8">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49538844">
            <w:pPr>
              <w:keepNext w:val="0"/>
              <w:keepLines w:val="0"/>
              <w:pageBreakBefore w:val="0"/>
              <w:kinsoku/>
              <w:wordWrap/>
              <w:overflowPunct/>
              <w:topLinePunct w:val="0"/>
              <w:autoSpaceDE w:val="0"/>
              <w:autoSpaceDN w:val="0"/>
              <w:bidi w:val="0"/>
              <w:adjustRightInd/>
              <w:snapToGrid w:val="0"/>
              <w:spacing w:line="500" w:lineRule="exact"/>
              <w:ind w:left="0" w:leftChars="0" w:right="0" w:rightChars="0" w:firstLine="0" w:firstLineChars="0"/>
              <w:jc w:val="both"/>
              <w:textAlignment w:val="bottom"/>
              <w:rPr>
                <w:rFonts w:hint="eastAsia" w:ascii="宋体" w:hAnsi="宋体" w:eastAsia="宋体" w:cs="宋体"/>
                <w:color w:val="auto"/>
                <w:sz w:val="21"/>
                <w:szCs w:val="21"/>
                <w:highlight w:val="none"/>
              </w:rPr>
            </w:pPr>
            <w:bookmarkStart w:id="59" w:name="_39.1"/>
            <w:bookmarkEnd w:id="59"/>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tc>
      </w:tr>
      <w:tr w14:paraId="29A54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3E0EE9D">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A483EFD">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 w:val="21"/>
                <w:szCs w:val="21"/>
                <w:highlight w:val="none"/>
              </w:rPr>
            </w:pPr>
            <w:bookmarkStart w:id="60" w:name="_40.1"/>
            <w:bookmarkEnd w:id="60"/>
            <w:r>
              <w:rPr>
                <w:rFonts w:hint="eastAsia" w:ascii="宋体" w:hAnsi="宋体" w:eastAsia="宋体" w:cs="宋体"/>
                <w:color w:val="auto"/>
                <w:sz w:val="21"/>
                <w:szCs w:val="21"/>
                <w:highlight w:val="none"/>
              </w:rPr>
              <w:t xml:space="preserve">签订合同携带的证明材料： </w:t>
            </w:r>
          </w:p>
          <w:p w14:paraId="1AFA96A2">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38C95CD0">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负责签订合同的，须携带法定代表人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身份证明原件及身份证原件等其他证明材料。</w:t>
            </w:r>
          </w:p>
        </w:tc>
      </w:tr>
      <w:tr w14:paraId="04E45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2AACD008">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07F0B36">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以书面形式</w:t>
            </w:r>
          </w:p>
        </w:tc>
      </w:tr>
      <w:tr w14:paraId="6539E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159" w:type="dxa"/>
            <w:vMerge w:val="continue"/>
            <w:tcBorders>
              <w:left w:val="single" w:color="auto" w:sz="4" w:space="0"/>
              <w:right w:val="single" w:color="auto" w:sz="4" w:space="0"/>
            </w:tcBorders>
            <w:noWrap w:val="0"/>
            <w:vAlign w:val="center"/>
          </w:tcPr>
          <w:p w14:paraId="3D6B2DC0">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52856FF9">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质疑联系部门及联系方式</w:t>
            </w:r>
          </w:p>
          <w:p w14:paraId="60CB9781">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（1）采购代理机构：</w:t>
            </w:r>
            <w:r>
              <w:rPr>
                <w:rFonts w:hint="eastAsia" w:ascii="宋体" w:hAnsi="宋体" w:eastAsia="宋体" w:cs="宋体"/>
                <w:color w:val="auto"/>
                <w:sz w:val="21"/>
                <w:szCs w:val="21"/>
                <w:highlight w:val="none"/>
                <w:u w:val="none"/>
                <w:lang w:eastAsia="zh-CN"/>
              </w:rPr>
              <w:t>广西中信恒泰工程顾问有限公司</w:t>
            </w:r>
            <w:r>
              <w:rPr>
                <w:rFonts w:hint="eastAsia" w:ascii="宋体" w:hAnsi="宋体" w:eastAsia="宋体" w:cs="宋体"/>
                <w:color w:val="auto"/>
                <w:sz w:val="21"/>
                <w:szCs w:val="21"/>
                <w:highlight w:val="none"/>
                <w:u w:val="none"/>
              </w:rPr>
              <w:t>；</w:t>
            </w:r>
          </w:p>
          <w:p w14:paraId="644F1FEF">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联系电话：0771-5776251，项目联系人：韦廷富、廖欣蕾、田甜</w:t>
            </w:r>
          </w:p>
          <w:p w14:paraId="52B3AFC9">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通讯地址：南宁市青秀区云景路69号南宁轨道大厦B座15层</w:t>
            </w:r>
          </w:p>
          <w:p w14:paraId="4A1AFD31">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（2）采购人</w:t>
            </w:r>
            <w:r>
              <w:rPr>
                <w:rFonts w:hint="eastAsia" w:ascii="宋体" w:hAnsi="宋体" w:eastAsia="宋体" w:cs="宋体"/>
                <w:color w:val="auto"/>
                <w:sz w:val="21"/>
                <w:szCs w:val="21"/>
                <w:highlight w:val="none"/>
              </w:rPr>
              <w:t>：广西壮族自治区民政厅；</w:t>
            </w:r>
          </w:p>
          <w:p w14:paraId="737DF321">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联系电话：0771-2635389</w:t>
            </w:r>
            <w:bookmarkStart w:id="164" w:name="_GoBack"/>
            <w:bookmarkEnd w:id="164"/>
          </w:p>
          <w:p w14:paraId="718ECF09">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通讯地址：南宁市青秀区长虹路1号</w:t>
            </w:r>
          </w:p>
        </w:tc>
      </w:tr>
      <w:tr w14:paraId="27C37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159" w:type="dxa"/>
            <w:vMerge w:val="continue"/>
            <w:tcBorders>
              <w:left w:val="single" w:color="auto" w:sz="4" w:space="0"/>
              <w:bottom w:val="single" w:color="auto" w:sz="4" w:space="0"/>
              <w:right w:val="single" w:color="auto" w:sz="4" w:space="0"/>
            </w:tcBorders>
            <w:noWrap w:val="0"/>
            <w:vAlign w:val="center"/>
          </w:tcPr>
          <w:p w14:paraId="111E2BC0">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06DF1645">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p w14:paraId="6EF686D6">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lang w:val="en-US" w:eastAsia="zh-CN"/>
              </w:rPr>
              <w:t>08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tc>
      </w:tr>
      <w:tr w14:paraId="110AB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159" w:type="dxa"/>
            <w:tcBorders>
              <w:left w:val="single" w:color="auto" w:sz="4" w:space="0"/>
              <w:bottom w:val="single" w:color="auto" w:sz="4" w:space="0"/>
              <w:right w:val="single" w:color="auto" w:sz="4" w:space="0"/>
            </w:tcBorders>
            <w:noWrap w:val="0"/>
            <w:vAlign w:val="center"/>
          </w:tcPr>
          <w:p w14:paraId="5D55B349">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5</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7728956F">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投诉受理方式</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受理方式：纸质方式受理，投诉书正、副本（经过质疑的事项才可投诉）。</w:t>
            </w:r>
          </w:p>
          <w:p w14:paraId="2AA71FF3">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受理单位：</w:t>
            </w:r>
            <w:r>
              <w:rPr>
                <w:rFonts w:hint="eastAsia" w:ascii="宋体" w:hAnsi="宋体" w:cs="宋体"/>
                <w:color w:val="auto"/>
                <w:sz w:val="21"/>
                <w:szCs w:val="21"/>
                <w:highlight w:val="none"/>
                <w:lang w:val="en-US" w:eastAsia="zh-CN"/>
              </w:rPr>
              <w:t>广西壮族自治区财政厅</w:t>
            </w:r>
            <w:r>
              <w:rPr>
                <w:rFonts w:hint="eastAsia" w:ascii="宋体" w:hAnsi="宋体" w:eastAsia="宋体" w:cs="宋体"/>
                <w:bCs/>
                <w:color w:val="auto"/>
                <w:sz w:val="21"/>
                <w:szCs w:val="21"/>
                <w:highlight w:val="none"/>
              </w:rPr>
              <w:t xml:space="preserve">政府采购监督管理处   0771-5331810 </w:t>
            </w:r>
          </w:p>
        </w:tc>
      </w:tr>
      <w:tr w14:paraId="4A407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159" w:type="dxa"/>
            <w:vMerge w:val="restart"/>
            <w:tcBorders>
              <w:top w:val="single" w:color="auto" w:sz="4" w:space="0"/>
              <w:left w:val="single" w:color="auto" w:sz="4" w:space="0"/>
              <w:right w:val="single" w:color="auto" w:sz="4" w:space="0"/>
            </w:tcBorders>
            <w:noWrap w:val="0"/>
            <w:vAlign w:val="center"/>
          </w:tcPr>
          <w:p w14:paraId="4F2E102C">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141562E5">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bookmarkStart w:id="61" w:name="_42"/>
            <w:bookmarkEnd w:id="61"/>
            <w:bookmarkStart w:id="62" w:name="_41"/>
            <w:bookmarkEnd w:id="62"/>
            <w:r>
              <w:rPr>
                <w:rFonts w:hint="eastAsia" w:ascii="宋体" w:hAnsi="宋体" w:eastAsia="宋体" w:cs="宋体"/>
                <w:color w:val="auto"/>
                <w:sz w:val="21"/>
                <w:szCs w:val="21"/>
                <w:highlight w:val="none"/>
              </w:rPr>
              <w:t>采购代理费支付方式</w:t>
            </w:r>
          </w:p>
          <w:p w14:paraId="05F08E23">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lang w:eastAsia="zh-CN"/>
              </w:rPr>
              <w:t>中标人</w:t>
            </w:r>
            <w:r>
              <w:rPr>
                <w:rFonts w:hint="eastAsia" w:ascii="宋体" w:hAnsi="宋体" w:eastAsia="宋体" w:cs="宋体"/>
                <w:color w:val="auto"/>
                <w:sz w:val="21"/>
                <w:szCs w:val="21"/>
                <w:highlight w:val="none"/>
              </w:rPr>
              <w:t>在领取中标通知书前，一次性向采购代理机构支付。</w:t>
            </w:r>
          </w:p>
        </w:tc>
      </w:tr>
      <w:tr w14:paraId="13D3C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1159" w:type="dxa"/>
            <w:vMerge w:val="continue"/>
            <w:tcBorders>
              <w:left w:val="single" w:color="auto" w:sz="4" w:space="0"/>
              <w:right w:val="single" w:color="auto" w:sz="4" w:space="0"/>
            </w:tcBorders>
            <w:noWrap w:val="0"/>
            <w:vAlign w:val="center"/>
          </w:tcPr>
          <w:p w14:paraId="52ECD153">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16FFFA56">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p w14:paraId="7D84AD8C">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以中标金额为计费额，按</w:t>
            </w:r>
            <w:r>
              <w:rPr>
                <w:rFonts w:hint="eastAsia" w:ascii="宋体" w:hAnsi="宋体" w:eastAsia="宋体" w:cs="宋体"/>
                <w:b/>
                <w:color w:val="auto"/>
                <w:sz w:val="21"/>
                <w:szCs w:val="21"/>
                <w:highlight w:val="none"/>
              </w:rPr>
              <w:t>服务招标</w:t>
            </w:r>
            <w:r>
              <w:rPr>
                <w:rFonts w:hint="eastAsia" w:ascii="宋体" w:hAnsi="宋体" w:eastAsia="宋体" w:cs="宋体"/>
                <w:color w:val="auto"/>
                <w:sz w:val="21"/>
                <w:szCs w:val="21"/>
                <w:highlight w:val="none"/>
              </w:rPr>
              <w:t>采用差额定率累进法计算出收费基准价格，采购代理收费以（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收费基准价格/□收费基准价格下浮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6531E1F6">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本项目代理服务费</w:t>
            </w:r>
            <w:r>
              <w:rPr>
                <w:rFonts w:hint="eastAsia" w:ascii="宋体" w:hAnsi="宋体" w:eastAsia="宋体" w:cs="宋体"/>
                <w:color w:val="auto"/>
                <w:sz w:val="21"/>
                <w:szCs w:val="21"/>
                <w:highlight w:val="none"/>
                <w:lang w:val="en-US" w:eastAsia="zh-CN"/>
              </w:rPr>
              <w:t>参</w:t>
            </w:r>
            <w:r>
              <w:rPr>
                <w:rFonts w:hint="eastAsia" w:ascii="宋体" w:hAnsi="宋体" w:eastAsia="宋体" w:cs="宋体"/>
                <w:color w:val="auto"/>
                <w:sz w:val="21"/>
                <w:szCs w:val="21"/>
                <w:highlight w:val="none"/>
              </w:rPr>
              <w:t>照《招标代理服务费管理暂行办法》(计价格﹝2002﹞1980号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、《国家发展改革委关于降低部分建设项目收费标准规范收费行为等有关问题的通知》(发改价格﹝2011﹞534号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的规定采用差额定率累进法计算。</w:t>
            </w:r>
          </w:p>
        </w:tc>
      </w:tr>
      <w:tr w14:paraId="6AD8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1159" w:type="dxa"/>
            <w:vMerge w:val="continue"/>
            <w:tcBorders>
              <w:left w:val="single" w:color="auto" w:sz="4" w:space="0"/>
              <w:bottom w:val="single" w:color="auto" w:sz="4" w:space="0"/>
              <w:right w:val="single" w:color="auto" w:sz="4" w:space="0"/>
            </w:tcBorders>
            <w:noWrap w:val="0"/>
            <w:vAlign w:val="center"/>
          </w:tcPr>
          <w:p w14:paraId="7E6FDE85">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 w:val="21"/>
                <w:szCs w:val="21"/>
                <w:highlight w:val="none"/>
              </w:rPr>
            </w:pPr>
          </w:p>
        </w:tc>
        <w:tc>
          <w:tcPr>
            <w:tcW w:w="8431" w:type="dxa"/>
            <w:tcBorders>
              <w:top w:val="single" w:color="auto" w:sz="4" w:space="0"/>
              <w:left w:val="single" w:color="auto" w:sz="4" w:space="0"/>
              <w:bottom w:val="single" w:color="auto" w:sz="4" w:space="0"/>
              <w:right w:val="single" w:color="auto" w:sz="4" w:space="0"/>
            </w:tcBorders>
            <w:noWrap w:val="0"/>
            <w:vAlign w:val="center"/>
          </w:tcPr>
          <w:p w14:paraId="51E09E29">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p w14:paraId="21517AE8">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开户名称：广西中信恒泰工程顾问有限公司</w:t>
            </w:r>
          </w:p>
          <w:p w14:paraId="7AE264E8">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开户银行：建行南宁金湖广场支行</w:t>
            </w:r>
          </w:p>
          <w:p w14:paraId="03F92D3D">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银行账号：4500 1604 2660 5250 2851 </w:t>
            </w:r>
          </w:p>
        </w:tc>
      </w:tr>
      <w:tr w14:paraId="00935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04DF2C1">
            <w:pPr>
              <w:keepNext w:val="0"/>
              <w:keepLines w:val="0"/>
              <w:pageBreakBefore w:val="0"/>
              <w:kinsoku/>
              <w:wordWrap/>
              <w:overflowPunct/>
              <w:topLinePunct w:val="0"/>
              <w:bidi w:val="0"/>
              <w:adjustRightInd/>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3C274392">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DDC7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25EC5A3B">
            <w:pPr>
              <w:keepNext w:val="0"/>
              <w:keepLines w:val="0"/>
              <w:pageBreakBefore w:val="0"/>
              <w:kinsoku/>
              <w:wordWrap/>
              <w:overflowPunct/>
              <w:topLinePunct w:val="0"/>
              <w:bidi w:val="0"/>
              <w:adjustRightInd/>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w:t>
            </w:r>
          </w:p>
        </w:tc>
        <w:tc>
          <w:tcPr>
            <w:tcW w:w="8431" w:type="dxa"/>
            <w:tcBorders>
              <w:top w:val="single" w:color="auto" w:sz="4" w:space="0"/>
              <w:left w:val="single" w:color="auto" w:sz="4" w:space="0"/>
              <w:bottom w:val="single" w:color="auto" w:sz="4" w:space="0"/>
              <w:right w:val="single" w:color="auto" w:sz="4" w:space="0"/>
            </w:tcBorders>
            <w:noWrap w:val="0"/>
            <w:vAlign w:val="center"/>
          </w:tcPr>
          <w:p w14:paraId="24F1A957">
            <w:pPr>
              <w:pStyle w:val="18"/>
              <w:keepNext w:val="0"/>
              <w:keepLines w:val="0"/>
              <w:pageBreakBefore w:val="0"/>
              <w:kinsoku/>
              <w:wordWrap/>
              <w:overflowPunct/>
              <w:topLinePunct w:val="0"/>
              <w:bidi w:val="0"/>
              <w:adjustRightInd/>
              <w:snapToGrid w:val="0"/>
              <w:spacing w:line="5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84473BE">
            <w:pPr>
              <w:pStyle w:val="18"/>
              <w:keepNext w:val="0"/>
              <w:keepLines w:val="0"/>
              <w:pageBreakBefore w:val="0"/>
              <w:kinsoku/>
              <w:wordWrap/>
              <w:overflowPunct/>
              <w:topLinePunct w:val="0"/>
              <w:bidi w:val="0"/>
              <w:adjustRightInd/>
              <w:snapToGrid w:val="0"/>
              <w:spacing w:line="5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169DA479">
            <w:pPr>
              <w:pStyle w:val="18"/>
              <w:keepNext w:val="0"/>
              <w:keepLines w:val="0"/>
              <w:pageBreakBefore w:val="0"/>
              <w:kinsoku/>
              <w:wordWrap/>
              <w:overflowPunct/>
              <w:topLinePunct w:val="0"/>
              <w:bidi w:val="0"/>
              <w:adjustRightInd/>
              <w:snapToGrid w:val="0"/>
              <w:spacing w:line="5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936CD1">
            <w:pPr>
              <w:pStyle w:val="18"/>
              <w:keepNext w:val="0"/>
              <w:keepLines w:val="0"/>
              <w:pageBreakBefore w:val="0"/>
              <w:kinsoku/>
              <w:wordWrap/>
              <w:overflowPunct/>
              <w:topLinePunct w:val="0"/>
              <w:bidi w:val="0"/>
              <w:adjustRightInd/>
              <w:snapToGrid w:val="0"/>
              <w:spacing w:line="5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4.本招标文件中描述投标人的“签字”是指投标人的法定代表人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或者委托代理人亲自在文件规定签字处亲笔写上个人的名字的行为，私章、签字章、印鉴、影印等其他形式均不能代替亲笔签字。</w:t>
            </w:r>
          </w:p>
          <w:p w14:paraId="09FED5D9">
            <w:pPr>
              <w:keepNext w:val="0"/>
              <w:keepLines w:val="0"/>
              <w:pageBreakBefore w:val="0"/>
              <w:kinsoku/>
              <w:wordWrap/>
              <w:overflowPunct/>
              <w:topLinePunct w:val="0"/>
              <w:bidi w:val="0"/>
              <w:adjustRightInd/>
              <w:spacing w:line="5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kern w:val="0"/>
                <w:sz w:val="21"/>
                <w:szCs w:val="21"/>
                <w:highlight w:val="none"/>
              </w:rPr>
              <w:t>本招标文件所称的“以上”“以下”“以内”“届满”，包括本数；所称的“不满”“超过”“以外”，不包括本数。</w:t>
            </w:r>
          </w:p>
        </w:tc>
      </w:tr>
    </w:tbl>
    <w:p w14:paraId="5FC07405">
      <w:pPr>
        <w:keepNext/>
        <w:keepLines/>
        <w:spacing w:before="260" w:after="260" w:line="413" w:lineRule="auto"/>
        <w:outlineLvl w:val="1"/>
        <w:rPr>
          <w:rFonts w:hint="eastAsia" w:ascii="宋体" w:hAnsi="宋体" w:eastAsia="宋体" w:cs="宋体"/>
          <w:b/>
          <w:bCs/>
          <w:color w:val="auto"/>
          <w:sz w:val="32"/>
          <w:szCs w:val="32"/>
          <w:highlight w:val="none"/>
        </w:rPr>
        <w:sectPr>
          <w:footerReference r:id="rId8" w:type="default"/>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6E11350">
      <w:pPr>
        <w:rPr>
          <w:rFonts w:hint="eastAsia" w:ascii="宋体" w:hAnsi="宋体" w:eastAsia="宋体" w:cs="宋体"/>
          <w:color w:val="auto"/>
          <w:highlight w:val="none"/>
        </w:rPr>
      </w:pPr>
    </w:p>
    <w:p w14:paraId="00CAD12A">
      <w:pPr>
        <w:pStyle w:val="3"/>
        <w:bidi w:val="0"/>
        <w:jc w:val="center"/>
        <w:rPr>
          <w:rFonts w:hint="eastAsia" w:ascii="宋体" w:hAnsi="宋体" w:eastAsia="宋体" w:cs="宋体"/>
          <w:color w:val="auto"/>
          <w:highlight w:val="none"/>
        </w:rPr>
      </w:pPr>
      <w:bookmarkStart w:id="63" w:name="_Toc15321"/>
      <w:r>
        <w:rPr>
          <w:rFonts w:hint="eastAsia" w:ascii="宋体" w:hAnsi="宋体" w:eastAsia="宋体" w:cs="宋体"/>
          <w:color w:val="auto"/>
          <w:highlight w:val="none"/>
        </w:rPr>
        <w:t>第二节 投标人须知正文</w:t>
      </w:r>
      <w:bookmarkEnd w:id="63"/>
    </w:p>
    <w:p w14:paraId="701A6BDF">
      <w:pPr>
        <w:pStyle w:val="4"/>
        <w:bidi w:val="0"/>
        <w:jc w:val="center"/>
        <w:rPr>
          <w:rFonts w:hint="eastAsia" w:ascii="宋体" w:hAnsi="宋体" w:eastAsia="宋体" w:cs="宋体"/>
          <w:color w:val="auto"/>
          <w:highlight w:val="none"/>
        </w:rPr>
      </w:pPr>
      <w:bookmarkStart w:id="64" w:name="_Toc17272"/>
      <w:r>
        <w:rPr>
          <w:rFonts w:hint="eastAsia" w:ascii="宋体" w:hAnsi="宋体" w:eastAsia="宋体" w:cs="宋体"/>
          <w:color w:val="auto"/>
          <w:highlight w:val="none"/>
        </w:rPr>
        <w:t>一、总  则</w:t>
      </w:r>
      <w:bookmarkEnd w:id="64"/>
    </w:p>
    <w:p w14:paraId="6C64CE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65" w:name="_Toc254970668"/>
      <w:bookmarkStart w:id="66" w:name="_Toc254970527"/>
      <w:r>
        <w:rPr>
          <w:rFonts w:hint="eastAsia" w:ascii="宋体" w:hAnsi="宋体" w:eastAsia="宋体" w:cs="宋体"/>
          <w:color w:val="auto"/>
          <w:sz w:val="21"/>
          <w:szCs w:val="21"/>
          <w:highlight w:val="none"/>
        </w:rPr>
        <w:t>1.适用范围</w:t>
      </w:r>
      <w:bookmarkEnd w:id="65"/>
      <w:bookmarkEnd w:id="66"/>
    </w:p>
    <w:p w14:paraId="36F5054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D181A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18B542C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67" w:name="_Toc254970669"/>
      <w:bookmarkStart w:id="68" w:name="_Toc254970528"/>
      <w:r>
        <w:rPr>
          <w:rFonts w:hint="eastAsia" w:ascii="宋体" w:hAnsi="宋体" w:eastAsia="宋体" w:cs="宋体"/>
          <w:color w:val="auto"/>
          <w:sz w:val="21"/>
          <w:szCs w:val="21"/>
          <w:highlight w:val="none"/>
        </w:rPr>
        <w:t>2.定义</w:t>
      </w:r>
      <w:bookmarkEnd w:id="67"/>
      <w:bookmarkEnd w:id="68"/>
    </w:p>
    <w:p w14:paraId="6CE390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2.1“采购人”是指依法进行政府采购的国家机关、事业单位、团体组织。</w:t>
      </w:r>
    </w:p>
    <w:p w14:paraId="7C78904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2.2“采购代理机构”指政府采购集中采购机构和集中采购机构以外的采购代理机构。</w:t>
      </w:r>
    </w:p>
    <w:p w14:paraId="5BE419D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2.3“供应商”是指向采购人提供货物、工程或者服务的法人、其他组织或者自然人。</w:t>
      </w:r>
    </w:p>
    <w:p w14:paraId="0DE780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2.4“投标人”是指响应招标、参加投标竞争的法人、非法人组织或者自然人。</w:t>
      </w:r>
    </w:p>
    <w:p w14:paraId="2BE8EC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2.5“服务”是指除货物和工程以外的其他政府采购对象。</w:t>
      </w:r>
    </w:p>
    <w:p w14:paraId="1F226E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2.6“书面形式”是指合同书、信件和数据电文（包括电报、电传、传真、短信、电子数据交换和电子邮件）等可以有形地表现所载内容的形式。</w:t>
      </w:r>
    </w:p>
    <w:p w14:paraId="63A47CB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2.7“实质性要求”是指招标文件中已经指明不满足则投标无效的条款，或者不能负偏离的条款，或者采购需求中带“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”的条款。</w:t>
      </w:r>
    </w:p>
    <w:p w14:paraId="00432E4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2.8“正偏离”，是指投标文件对</w:t>
      </w:r>
      <w:r>
        <w:rPr>
          <w:rFonts w:hint="eastAsia" w:ascii="宋体" w:hAnsi="宋体" w:eastAsia="宋体" w:cs="宋体"/>
          <w:color w:val="auto"/>
          <w:sz w:val="21"/>
          <w:szCs w:val="21"/>
          <w:highlight w:val="none"/>
        </w:rPr>
        <w:t>招标文件“采购需求”中有关条款作出的响应优于条款要求并有利于采购人的情形。</w:t>
      </w:r>
    </w:p>
    <w:p w14:paraId="15F5B5C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2.9“负偏离”，是指投标文件对招标文件“采购需求”中有关条款作出的响应不满足条款要求，导致采购人要求不能得到满足的情形。</w:t>
      </w:r>
    </w:p>
    <w:p w14:paraId="7596E12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2.10“允许负偏离的条款”是指采购需求中的不属于“实质性要求”的条款。</w:t>
      </w:r>
      <w:bookmarkStart w:id="69" w:name="_Toc254970670"/>
      <w:bookmarkStart w:id="70" w:name="_Toc254970529"/>
    </w:p>
    <w:p w14:paraId="46CB01D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69"/>
      <w:bookmarkEnd w:id="70"/>
      <w:r>
        <w:rPr>
          <w:rFonts w:hint="eastAsia" w:ascii="宋体" w:hAnsi="宋体" w:eastAsia="宋体" w:cs="宋体"/>
          <w:color w:val="auto"/>
          <w:sz w:val="21"/>
          <w:szCs w:val="21"/>
          <w:highlight w:val="none"/>
        </w:rPr>
        <w:t>投标人的资格要求</w:t>
      </w:r>
    </w:p>
    <w:p w14:paraId="4DF53EE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投标人的资格要求详见“招标公告”。</w:t>
      </w:r>
    </w:p>
    <w:p w14:paraId="3C2281C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71" w:name="_Toc254970530"/>
      <w:bookmarkStart w:id="72" w:name="_Toc254970671"/>
      <w:r>
        <w:rPr>
          <w:rFonts w:hint="eastAsia" w:ascii="宋体" w:hAnsi="宋体" w:eastAsia="宋体" w:cs="宋体"/>
          <w:color w:val="auto"/>
          <w:sz w:val="21"/>
          <w:szCs w:val="21"/>
          <w:highlight w:val="none"/>
        </w:rPr>
        <w:t>4.投标委托</w:t>
      </w:r>
      <w:bookmarkEnd w:id="71"/>
      <w:bookmarkEnd w:id="72"/>
    </w:p>
    <w:p w14:paraId="031D538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授权委托书（正本用原件，副本用复印件，按第六章要求格式填写）。</w:t>
      </w:r>
    </w:p>
    <w:p w14:paraId="446497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73" w:name="_5.投标费用"/>
      <w:bookmarkEnd w:id="73"/>
      <w:bookmarkStart w:id="74" w:name="_Toc254970531"/>
      <w:bookmarkStart w:id="75" w:name="_Toc254970672"/>
      <w:r>
        <w:rPr>
          <w:rFonts w:hint="eastAsia" w:ascii="宋体" w:hAnsi="宋体" w:eastAsia="宋体" w:cs="宋体"/>
          <w:color w:val="auto"/>
          <w:sz w:val="21"/>
          <w:szCs w:val="21"/>
          <w:highlight w:val="none"/>
        </w:rPr>
        <w:t>5.投标费用</w:t>
      </w:r>
      <w:bookmarkEnd w:id="74"/>
      <w:bookmarkEnd w:id="75"/>
    </w:p>
    <w:p w14:paraId="2C671D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投标费用：投标人应承担参与本次采购活动有关的所有费用，包括但不限于勘查现场、编制投标文件、参加澄清说明、签订合同等，不论投标结果如何，均应自行承担。</w:t>
      </w:r>
    </w:p>
    <w:p w14:paraId="68EE656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7799C88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14:paraId="59FAF7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14:paraId="59858D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6%的扣除，用扣除后的价格参加评审。</w:t>
      </w:r>
    </w:p>
    <w:p w14:paraId="46B08A8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7.转包与分包             </w:t>
      </w:r>
    </w:p>
    <w:p w14:paraId="7367012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rPr>
        <w:t>7.1本项目不允许转包。</w:t>
      </w:r>
    </w:p>
    <w:p w14:paraId="3943885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07461C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rPr>
        <w:t>7.3投标人根据招标文件的规定和采购项目的实际情况，拟在中标后将中</w:t>
      </w:r>
      <w:r>
        <w:rPr>
          <w:rFonts w:hint="eastAsia" w:ascii="宋体" w:hAnsi="宋体" w:eastAsia="宋体" w:cs="宋体"/>
          <w:b w:val="0"/>
          <w:bCs w:val="0"/>
          <w:color w:val="auto"/>
          <w:sz w:val="21"/>
          <w:szCs w:val="21"/>
          <w:highlight w:val="none"/>
          <w:lang w:val="en-US"/>
        </w:rPr>
        <w:t>标项</w:t>
      </w:r>
      <w:r>
        <w:rPr>
          <w:rFonts w:hint="eastAsia" w:ascii="宋体" w:hAnsi="宋体" w:eastAsia="宋体" w:cs="宋体"/>
          <w:b w:val="0"/>
          <w:bCs w:val="0"/>
          <w:color w:val="auto"/>
          <w:sz w:val="21"/>
          <w:szCs w:val="21"/>
          <w:highlight w:val="none"/>
        </w:rPr>
        <w:t>目的非主体、非关键性工作分包的，应当在投标文件中载明分包承担主体，分包承担主体应当具备相 应资质条件且不得再次分包。</w:t>
      </w:r>
    </w:p>
    <w:p w14:paraId="144F72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76" w:name="_Toc254970673"/>
      <w:bookmarkStart w:id="77" w:name="_Toc254970532"/>
      <w:r>
        <w:rPr>
          <w:rFonts w:hint="eastAsia" w:ascii="宋体" w:hAnsi="宋体" w:eastAsia="宋体" w:cs="宋体"/>
          <w:color w:val="auto"/>
          <w:sz w:val="21"/>
          <w:szCs w:val="21"/>
          <w:highlight w:val="none"/>
        </w:rPr>
        <w:t>8.特别说明：</w:t>
      </w:r>
      <w:bookmarkEnd w:id="76"/>
      <w:bookmarkEnd w:id="77"/>
      <w:bookmarkStart w:id="78" w:name="_8.1提供相同品牌产品且通过资格审查、符合性审查的不同投标人参加同一合"/>
      <w:bookmarkEnd w:id="78"/>
    </w:p>
    <w:p w14:paraId="19A4518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8.1如果本招标文件要求投标人提供资格、信誉、荣誉、业绩与企业认证等材料的，则投标人所提供的以上材料必须为投标人所拥有。</w:t>
      </w:r>
    </w:p>
    <w:p w14:paraId="0CBCC39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8.2投标人应仔细阅读招标文件的所有内容，按照招标文件的要求提交投标文件，并对所提供的全部资料的真实性承担法律责任。</w:t>
      </w:r>
    </w:p>
    <w:p w14:paraId="3D6E9DD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8.3投标人在投标活动中提供任何虚假材料，将报监管部门查处；中标后发现的，</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须依照《中华人民共和国消费者权益保护法</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规定赔偿采购人，且民事赔偿并不免除违法投标人的行政与刑事责任。</w:t>
      </w:r>
    </w:p>
    <w:p w14:paraId="56B4F91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2DD1EFF8">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9.1在政府采购活动中，采购人员及相关人员与供应商有下列利害关系之一的，应当回避：</w:t>
      </w:r>
    </w:p>
    <w:p w14:paraId="65D57D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1333B3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21E419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7D2A4B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2EA87B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37F6723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3D11D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16E71186">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（1）不同投标人的投标文件由同一单位或者个人编制；或者不同投标人报名的IP地址一致的；</w:t>
      </w:r>
    </w:p>
    <w:p w14:paraId="381F3E0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（2）不同投标人委托同一单位或者个人办理投标事宜；</w:t>
      </w:r>
    </w:p>
    <w:p w14:paraId="69DE313D">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（3）不同的投标人的投标文件载明的项目管理员为同一个人；</w:t>
      </w:r>
    </w:p>
    <w:p w14:paraId="0C1418DB">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（4）不同投标人的电子或纸质投标文件异常一致或者投标报价呈规律性差异；</w:t>
      </w:r>
    </w:p>
    <w:p w14:paraId="114028E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（5）不同投标人的纸质投标文件相互混装</w:t>
      </w:r>
      <w:r>
        <w:rPr>
          <w:rFonts w:hint="eastAsia" w:ascii="宋体" w:hAnsi="宋体" w:eastAsia="宋体" w:cs="宋体"/>
          <w:b/>
          <w:color w:val="auto"/>
          <w:sz w:val="21"/>
          <w:szCs w:val="21"/>
          <w:highlight w:val="none"/>
          <w:lang w:eastAsia="zh-CN"/>
        </w:rPr>
        <w:t>。</w:t>
      </w:r>
    </w:p>
    <w:p w14:paraId="4746609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9.3供应商有下列情形之一的，属于恶意串通行为，将报同级监督管理部门：</w:t>
      </w:r>
    </w:p>
    <w:p w14:paraId="4A673A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（1）供应商直接或者间接从采购人或者采购代理机构处获得其他供应商的相关信息并修改其投标文件或者投标文件；</w:t>
      </w:r>
    </w:p>
    <w:p w14:paraId="3BE6D50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（2）供应商按照采购人或者采购代理机构的授意撤换、修改投标文件或者投标文件；</w:t>
      </w:r>
    </w:p>
    <w:p w14:paraId="4E90AC0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（3）供应商之间协商报价、技术方案等投标文件或者投标文件的实质性内容；</w:t>
      </w:r>
    </w:p>
    <w:p w14:paraId="637DCD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3DF8E5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（5）供应商之间事先约定一致抬高或者压低投标报价，或者在招标项目中事先约定轮流以高价位或者低价位中标，或者事先约定由某一特定供应商中标，然后再参加投标；</w:t>
      </w:r>
    </w:p>
    <w:p w14:paraId="2850B6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（6）供应商之间商定部分供应商放弃参加政府采购活动或者放弃中标；</w:t>
      </w:r>
    </w:p>
    <w:p w14:paraId="67C3D7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（7）供应商与采购人或者采购代理机构之间、供应商相互之间，为谋求特定供应商中标或者排斥其他供应商的其他串通行为。</w:t>
      </w:r>
    </w:p>
    <w:p w14:paraId="072088A1">
      <w:pPr>
        <w:keepNext w:val="0"/>
        <w:keepLines w:val="0"/>
        <w:pageBreakBefore w:val="0"/>
        <w:widowControl w:val="0"/>
        <w:kinsoku/>
        <w:wordWrap/>
        <w:overflowPunct/>
        <w:topLinePunct w:val="0"/>
        <w:autoSpaceDE/>
        <w:autoSpaceDN/>
        <w:bidi w:val="0"/>
        <w:adjustRightInd/>
        <w:snapToGrid w:val="0"/>
        <w:spacing w:line="500" w:lineRule="exact"/>
        <w:ind w:left="2" w:leftChars="1" w:firstLine="482" w:firstLineChars="200"/>
        <w:textAlignment w:val="auto"/>
        <w:rPr>
          <w:rFonts w:hint="eastAsia" w:ascii="宋体" w:hAnsi="宋体" w:eastAsia="宋体" w:cs="宋体"/>
          <w:b/>
          <w:color w:val="auto"/>
          <w:sz w:val="24"/>
          <w:szCs w:val="24"/>
          <w:highlight w:val="none"/>
        </w:rPr>
      </w:pPr>
    </w:p>
    <w:p w14:paraId="4ECD9DFC">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79" w:name="_Toc25861"/>
      <w:bookmarkStart w:id="80" w:name="_Toc254970675"/>
      <w:bookmarkStart w:id="81" w:name="_Toc254970534"/>
      <w:r>
        <w:rPr>
          <w:rFonts w:hint="eastAsia" w:ascii="宋体" w:hAnsi="宋体" w:eastAsia="宋体" w:cs="宋体"/>
          <w:color w:val="auto"/>
          <w:highlight w:val="none"/>
        </w:rPr>
        <w:t>二、招标文件</w:t>
      </w:r>
      <w:bookmarkEnd w:id="79"/>
      <w:bookmarkEnd w:id="80"/>
      <w:bookmarkEnd w:id="81"/>
    </w:p>
    <w:p w14:paraId="3DE4EA1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707079F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49FA3D3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第二章 采购需求； </w:t>
      </w:r>
    </w:p>
    <w:p w14:paraId="04A245A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投标人须知；</w:t>
      </w:r>
    </w:p>
    <w:p w14:paraId="09E20BC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评标方法及评标标准；</w:t>
      </w:r>
    </w:p>
    <w:p w14:paraId="2C40556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拟签订的合同文本；</w:t>
      </w:r>
    </w:p>
    <w:p w14:paraId="542BC69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投标文件格式；</w:t>
      </w:r>
    </w:p>
    <w:p w14:paraId="5295603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质疑、投诉材料格式</w:t>
      </w:r>
    </w:p>
    <w:p w14:paraId="5572283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第八章 政府采购合同验收</w:t>
      </w:r>
      <w:r>
        <w:rPr>
          <w:rFonts w:hint="eastAsia" w:ascii="宋体" w:hAnsi="宋体"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范本</w:t>
      </w:r>
    </w:p>
    <w:p w14:paraId="147D6CD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1BD30D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11.招标文件的澄清、修改、现场考察和答疑会</w:t>
      </w:r>
    </w:p>
    <w:p w14:paraId="72331FE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182391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11.2投标人应认真审阅本公开招标文件，如有疑问，或发现其中有误或有要求不合理的，应在投标人须知前附表规定的</w:t>
      </w: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sz w:val="21"/>
          <w:szCs w:val="21"/>
          <w:highlight w:val="none"/>
        </w:rPr>
        <w:t>前以书面形式要求采购人或采购代理机构对招标文件予以澄清；否则，由此产生的后果由投标人自行负责。</w:t>
      </w:r>
    </w:p>
    <w:p w14:paraId="44241B0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BD510C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11.4采购人和采购代理机构可以视采购具体情况，变更投标截止时间和开标时间，将变更时间将在“投标人须知前附表”</w:t>
      </w:r>
      <w:r>
        <w:rPr>
          <w:rFonts w:hint="eastAsia" w:ascii="宋体" w:hAnsi="宋体" w:eastAsia="宋体" w:cs="宋体"/>
          <w:color w:val="auto"/>
          <w:kern w:val="0"/>
          <w:sz w:val="21"/>
          <w:szCs w:val="21"/>
          <w:highlight w:val="none"/>
        </w:rPr>
        <w:t>规定的政府采购信息发布媒体上</w:t>
      </w:r>
      <w:r>
        <w:rPr>
          <w:rFonts w:hint="eastAsia" w:ascii="宋体" w:hAnsi="宋体" w:eastAsia="宋体" w:cs="宋体"/>
          <w:color w:val="auto"/>
          <w:sz w:val="21"/>
          <w:szCs w:val="21"/>
          <w:highlight w:val="none"/>
        </w:rPr>
        <w:t>发布更正公告。</w:t>
      </w:r>
    </w:p>
    <w:p w14:paraId="0452E43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bookmarkStart w:id="82" w:name="_Hlk53134511"/>
      <w:r>
        <w:rPr>
          <w:rFonts w:hint="eastAsia" w:ascii="宋体" w:hAnsi="宋体" w:eastAsia="宋体" w:cs="宋体"/>
          <w:color w:val="auto"/>
          <w:sz w:val="21"/>
          <w:szCs w:val="21"/>
          <w:highlight w:val="none"/>
        </w:rPr>
        <w:t>5采购人或者采购代理机构可以在招标文件提供期限截止后，组织已获取招标文件的潜在投标人现场考察或者召开开标前答疑会，具体详见“投标人须知前附表”。</w:t>
      </w:r>
    </w:p>
    <w:p w14:paraId="6F5FA5C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p>
    <w:bookmarkEnd w:id="82"/>
    <w:p w14:paraId="53E49DD1">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83" w:name="_Toc11150"/>
      <w:bookmarkStart w:id="84" w:name="_Toc254970535"/>
      <w:bookmarkStart w:id="85" w:name="_Toc254970676"/>
      <w:r>
        <w:rPr>
          <w:rFonts w:hint="eastAsia" w:ascii="宋体" w:hAnsi="宋体" w:eastAsia="宋体" w:cs="宋体"/>
          <w:color w:val="auto"/>
          <w:highlight w:val="none"/>
        </w:rPr>
        <w:t>三、投标文件的编制</w:t>
      </w:r>
      <w:bookmarkEnd w:id="83"/>
      <w:bookmarkEnd w:id="84"/>
      <w:bookmarkEnd w:id="85"/>
    </w:p>
    <w:p w14:paraId="004396C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86" w:name="_Toc254970677"/>
      <w:bookmarkStart w:id="87" w:name="_Toc254970536"/>
      <w:r>
        <w:rPr>
          <w:rFonts w:hint="eastAsia" w:ascii="宋体" w:hAnsi="宋体" w:eastAsia="宋体" w:cs="宋体"/>
          <w:color w:val="auto"/>
          <w:sz w:val="21"/>
          <w:szCs w:val="21"/>
          <w:highlight w:val="none"/>
        </w:rPr>
        <w:t>12.投标文件的编制原则</w:t>
      </w:r>
    </w:p>
    <w:p w14:paraId="27B6F8A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12.1投标人必须按照招标文件的要求编制投标文件。投标文件必须对招标文件提出的要求和条件作出明确响应。</w:t>
      </w:r>
    </w:p>
    <w:p w14:paraId="08EC488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3CC866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86"/>
      <w:bookmarkEnd w:id="87"/>
    </w:p>
    <w:p w14:paraId="34191B2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13.1投标文件由资格证明文件、商务文件、技术文件、报价文件四部分组成。</w:t>
      </w:r>
    </w:p>
    <w:p w14:paraId="4D2636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bookmarkStart w:id="88" w:name="_13.1报价文件:_具体材料见“投标人须知前附表”。"/>
      <w:bookmarkEnd w:id="88"/>
      <w:bookmarkStart w:id="89" w:name="_13.2资格证明文件：具体材料见“投标人须知前附表”。"/>
      <w:bookmarkEnd w:id="89"/>
      <w:r>
        <w:rPr>
          <w:rFonts w:hint="eastAsia" w:ascii="宋体" w:hAnsi="宋体" w:eastAsia="宋体" w:cs="宋体"/>
          <w:bCs/>
          <w:color w:val="auto"/>
          <w:sz w:val="21"/>
          <w:szCs w:val="21"/>
          <w:highlight w:val="none"/>
        </w:rPr>
        <w:t>（1）资格证明文件：具体材料见“投标人须知前附表”。</w:t>
      </w:r>
    </w:p>
    <w:p w14:paraId="57F029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bookmarkStart w:id="90" w:name="_13.3商务文件:_具体材料见“投标人须知前附表”。"/>
      <w:bookmarkEnd w:id="90"/>
      <w:r>
        <w:rPr>
          <w:rFonts w:hint="eastAsia" w:ascii="宋体" w:hAnsi="宋体" w:eastAsia="宋体" w:cs="宋体"/>
          <w:bCs/>
          <w:color w:val="auto"/>
          <w:sz w:val="21"/>
          <w:szCs w:val="21"/>
          <w:highlight w:val="none"/>
        </w:rPr>
        <w:t>（2）商务文件：具体材料见“投标人须知前附表”。</w:t>
      </w:r>
    </w:p>
    <w:p w14:paraId="6BFF08E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bookmarkStart w:id="91" w:name="_13.4技术文件：具体材料见“投标人须知前附表”。"/>
      <w:bookmarkEnd w:id="91"/>
      <w:r>
        <w:rPr>
          <w:rFonts w:hint="eastAsia" w:ascii="宋体" w:hAnsi="宋体" w:eastAsia="宋体" w:cs="宋体"/>
          <w:bCs/>
          <w:color w:val="auto"/>
          <w:sz w:val="21"/>
          <w:szCs w:val="21"/>
          <w:highlight w:val="none"/>
        </w:rPr>
        <w:t xml:space="preserve">（3）技术文件：具体材料见“投标人须知前附表”。 </w:t>
      </w:r>
    </w:p>
    <w:p w14:paraId="553262E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（4）报价文件：具体材料见“投标人须知前附表”。</w:t>
      </w:r>
    </w:p>
    <w:p w14:paraId="3748AE8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bookmarkStart w:id="92" w:name="_13.5投标文件电子版：具体材料见“投标人须知前附表”。"/>
      <w:bookmarkEnd w:id="92"/>
      <w:r>
        <w:rPr>
          <w:rFonts w:hint="eastAsia" w:ascii="宋体" w:hAnsi="宋体" w:eastAsia="宋体" w:cs="宋体"/>
          <w:bCs/>
          <w:color w:val="auto"/>
          <w:sz w:val="21"/>
          <w:szCs w:val="21"/>
          <w:highlight w:val="none"/>
        </w:rPr>
        <w:t>13.2投标文件电子版：具体要求见本节19投标文件编制。</w:t>
      </w:r>
    </w:p>
    <w:p w14:paraId="7C41186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93" w:name="_Toc254970537"/>
      <w:bookmarkStart w:id="94" w:name="_Toc254970678"/>
      <w:r>
        <w:rPr>
          <w:rFonts w:hint="eastAsia" w:ascii="宋体" w:hAnsi="宋体" w:eastAsia="宋体" w:cs="宋体"/>
          <w:color w:val="auto"/>
          <w:sz w:val="21"/>
          <w:szCs w:val="21"/>
          <w:highlight w:val="none"/>
        </w:rPr>
        <w:t>14.投标文件的语言及计量</w:t>
      </w:r>
      <w:bookmarkEnd w:id="93"/>
      <w:bookmarkEnd w:id="94"/>
    </w:p>
    <w:p w14:paraId="672E0E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14.1语言文字</w:t>
      </w:r>
    </w:p>
    <w:p w14:paraId="245A0C4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108734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14.2投标计量单位</w:t>
      </w:r>
    </w:p>
    <w:p w14:paraId="6C83F2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4148E4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7588F5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投标文件分为资格</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投标文件没有按照招标文件要求提供全部资料、没有对招标文件作出实质性响应，投标无效；</w:t>
      </w:r>
    </w:p>
    <w:p w14:paraId="0A14E14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95" w:name="_Toc254970538"/>
      <w:bookmarkStart w:id="96" w:name="_Toc254970679"/>
      <w:r>
        <w:rPr>
          <w:rFonts w:hint="eastAsia" w:ascii="宋体" w:hAnsi="宋体" w:eastAsia="宋体" w:cs="宋体"/>
          <w:color w:val="auto"/>
          <w:sz w:val="21"/>
          <w:szCs w:val="21"/>
          <w:highlight w:val="none"/>
        </w:rPr>
        <w:t>16.投标报价</w:t>
      </w:r>
      <w:bookmarkEnd w:id="95"/>
      <w:bookmarkEnd w:id="96"/>
    </w:p>
    <w:p w14:paraId="5C49DB1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16.1投标报价应按“第六章　投标文件格式”中“开标一览表”格式填写。</w:t>
      </w:r>
    </w:p>
    <w:p w14:paraId="291534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bookmarkStart w:id="97" w:name="_16.2投标报价具体定义见投标人须知前附表。"/>
      <w:bookmarkEnd w:id="97"/>
      <w:r>
        <w:rPr>
          <w:rFonts w:hint="eastAsia" w:ascii="宋体" w:hAnsi="宋体" w:eastAsia="宋体" w:cs="宋体"/>
          <w:bCs/>
          <w:color w:val="auto"/>
          <w:sz w:val="21"/>
          <w:szCs w:val="21"/>
          <w:highlight w:val="none"/>
        </w:rPr>
        <w:t>16.2投标报价具体包括内容详见“投标人须知前附表”。</w:t>
      </w:r>
    </w:p>
    <w:p w14:paraId="2C13682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16.3投标人必须就每个分标的全部内容分别作完整唯一总价报价，不得存在漏项报价；投标人必须就所投分标的单项内容作唯一报价。</w:t>
      </w:r>
    </w:p>
    <w:p w14:paraId="7A17AA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623C67D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bookmarkStart w:id="98" w:name="_17.1投标有效期应按“投标人须知中的前附表”规定的期限。"/>
      <w:bookmarkEnd w:id="98"/>
      <w:r>
        <w:rPr>
          <w:rFonts w:hint="eastAsia" w:ascii="宋体" w:hAnsi="宋体" w:eastAsia="宋体" w:cs="宋体"/>
          <w:bCs/>
          <w:color w:val="auto"/>
          <w:sz w:val="21"/>
          <w:szCs w:val="21"/>
          <w:highlight w:val="none"/>
        </w:rPr>
        <w:t>17.1投标有效期是指为保证采购人有足够的时间在开标后完成评标、定标、合同签订等工作而要求投标人提交的投标文件在一定时间内保持有效的期限。</w:t>
      </w:r>
    </w:p>
    <w:p w14:paraId="6128B9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17.2</w:t>
      </w:r>
      <w:bookmarkStart w:id="99" w:name="_Toc254970540"/>
      <w:bookmarkStart w:id="100" w:name="_Toc254970681"/>
      <w:r>
        <w:rPr>
          <w:rFonts w:hint="eastAsia" w:ascii="宋体" w:hAnsi="宋体" w:eastAsia="宋体" w:cs="宋体"/>
          <w:bCs/>
          <w:color w:val="auto"/>
          <w:sz w:val="21"/>
          <w:szCs w:val="21"/>
          <w:highlight w:val="none"/>
        </w:rPr>
        <w:t>投标有效期应按规定的期限作出承诺，详见“投标人须知前附表”。</w:t>
      </w:r>
    </w:p>
    <w:p w14:paraId="4988C94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17.3投标人的投标文件在投标有效期内均保持有效。</w:t>
      </w:r>
      <w:bookmarkEnd w:id="99"/>
      <w:bookmarkEnd w:id="100"/>
    </w:p>
    <w:p w14:paraId="23BE940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101" w:name="_18.投标保证金"/>
      <w:bookmarkEnd w:id="101"/>
      <w:bookmarkStart w:id="102" w:name="_Toc254970541"/>
      <w:bookmarkStart w:id="103" w:name="_Toc254970682"/>
      <w:r>
        <w:rPr>
          <w:rFonts w:hint="eastAsia" w:ascii="宋体" w:hAnsi="宋体" w:eastAsia="宋体" w:cs="宋体"/>
          <w:color w:val="auto"/>
          <w:sz w:val="21"/>
          <w:szCs w:val="21"/>
          <w:highlight w:val="none"/>
        </w:rPr>
        <w:t>18.投标保证金</w:t>
      </w:r>
      <w:bookmarkEnd w:id="102"/>
      <w:bookmarkEnd w:id="103"/>
    </w:p>
    <w:p w14:paraId="73C684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104" w:name="_Toc254970542"/>
      <w:bookmarkStart w:id="105" w:name="_Toc254970683"/>
      <w:r>
        <w:rPr>
          <w:rFonts w:hint="eastAsia" w:ascii="宋体" w:hAnsi="宋体" w:eastAsia="宋体" w:cs="宋体"/>
          <w:color w:val="auto"/>
          <w:sz w:val="21"/>
          <w:szCs w:val="21"/>
          <w:highlight w:val="none"/>
        </w:rPr>
        <w:t>详见“投标人须知前附表”。</w:t>
      </w:r>
    </w:p>
    <w:p w14:paraId="3B99EE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19.投标文件的</w:t>
      </w:r>
      <w:bookmarkEnd w:id="104"/>
      <w:bookmarkEnd w:id="105"/>
      <w:r>
        <w:rPr>
          <w:rFonts w:hint="eastAsia" w:ascii="宋体" w:hAnsi="宋体" w:eastAsia="宋体" w:cs="宋体"/>
          <w:color w:val="auto"/>
          <w:sz w:val="21"/>
          <w:szCs w:val="21"/>
          <w:highlight w:val="none"/>
        </w:rPr>
        <w:t>编制</w:t>
      </w:r>
    </w:p>
    <w:p w14:paraId="2E6F29C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1475DB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19.2为确保网上操作合法、有效和安全，投标人应当在投标截止时间前完成在广西政府采购云平台的身份认证，确保在电子投标过程中能够对相关数据电文进行加密和使用电子签章。 </w:t>
      </w:r>
    </w:p>
    <w:p w14:paraId="6FF652F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19.3投标文件须由投标人在规定位置签字（或者电子签名）、盖章（具体以投标人须知前附表或投标文件格式规定为准），否则按无效投标处理。 </w:t>
      </w:r>
    </w:p>
    <w:p w14:paraId="606310D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否则按无效投标处理。 </w:t>
      </w:r>
    </w:p>
    <w:p w14:paraId="47B2F72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19.5投标文件应尽量避免涂改、行间插字或者删除。如果出现上述情况，改动之处应由投标人的法定代表人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或者其委托代理人签字（或者电子签名）或者加盖公章或者加盖电子签章。投标文件因字迹潦草或者表达不清所引起的后果由投标人承担。</w:t>
      </w:r>
    </w:p>
    <w:p w14:paraId="417350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20.备份投标文件</w:t>
      </w:r>
    </w:p>
    <w:p w14:paraId="45427B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电子备份投标文件是指通过在线编制生成且后缀名为“bfbs”的文件，是否接受电子备份投标文件详见“投标人须知前附表”。</w:t>
      </w:r>
    </w:p>
    <w:p w14:paraId="5194A10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3CE57B67">
      <w:pPr>
        <w:keepNext w:val="0"/>
        <w:keepLines w:val="0"/>
        <w:pageBreakBefore w:val="0"/>
        <w:widowControl w:val="0"/>
        <w:kinsoku/>
        <w:wordWrap/>
        <w:overflowPunct/>
        <w:topLinePunct w:val="0"/>
        <w:autoSpaceDE/>
        <w:autoSpaceDN/>
        <w:bidi w:val="0"/>
        <w:adjustRightInd/>
        <w:snapToGrid/>
        <w:spacing w:line="500" w:lineRule="exact"/>
        <w:ind w:firstLine="367" w:firstLineChars="175"/>
        <w:textAlignment w:val="auto"/>
        <w:rPr>
          <w:rFonts w:hint="eastAsia" w:ascii="宋体" w:hAnsi="宋体" w:eastAsia="宋体" w:cs="宋体"/>
          <w:color w:val="auto"/>
          <w:sz w:val="21"/>
          <w:szCs w:val="21"/>
          <w:highlight w:val="none"/>
        </w:rPr>
      </w:pPr>
      <w:bookmarkStart w:id="106" w:name="_21.1投标人必须在“投标人须知中的前附表”规定的投标文件接收时间和投"/>
      <w:bookmarkEnd w:id="106"/>
      <w:r>
        <w:rPr>
          <w:rFonts w:hint="eastAsia" w:ascii="宋体" w:hAnsi="宋体" w:eastAsia="宋体" w:cs="宋体"/>
          <w:color w:val="auto"/>
          <w:sz w:val="21"/>
          <w:szCs w:val="21"/>
          <w:highlight w:val="none"/>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西政府采购云平台。</w:t>
      </w:r>
    </w:p>
    <w:p w14:paraId="54C800D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21.2未在规定时间内提交或者未按照招标文件要求加密的电子投标文件，广西政府采购云平台将拒收。</w:t>
      </w:r>
    </w:p>
    <w:p w14:paraId="4336FEB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bookmarkStart w:id="107" w:name="_Toc254970543"/>
      <w:bookmarkStart w:id="108" w:name="_Toc254970684"/>
    </w:p>
    <w:bookmarkEnd w:id="107"/>
    <w:bookmarkEnd w:id="108"/>
    <w:p w14:paraId="314DD6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中查看“电子投标文件制作与投送教程”）</w:t>
      </w:r>
    </w:p>
    <w:p w14:paraId="5958517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F9F17F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22.3在投标截止时间后，采购人和采购代理机构对已提交的投标文件概不退回</w:t>
      </w:r>
    </w:p>
    <w:p w14:paraId="4DA8D6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color w:val="auto"/>
          <w:spacing w:val="0"/>
          <w:sz w:val="21"/>
          <w:szCs w:val="21"/>
          <w:highlight w:val="none"/>
        </w:rPr>
      </w:pPr>
    </w:p>
    <w:p w14:paraId="10686347">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109" w:name="_Toc6417"/>
      <w:bookmarkStart w:id="110" w:name="_Toc254970685"/>
      <w:bookmarkStart w:id="111" w:name="_Toc254970544"/>
      <w:r>
        <w:rPr>
          <w:rFonts w:hint="eastAsia" w:ascii="宋体" w:hAnsi="宋体" w:eastAsia="宋体" w:cs="宋体"/>
          <w:color w:val="auto"/>
          <w:highlight w:val="none"/>
        </w:rPr>
        <w:t>四、开  标</w:t>
      </w:r>
      <w:bookmarkEnd w:id="109"/>
      <w:bookmarkEnd w:id="110"/>
      <w:bookmarkEnd w:id="111"/>
    </w:p>
    <w:p w14:paraId="4CA41DD8">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112" w:name="_23.开标时间和地点"/>
      <w:bookmarkEnd w:id="112"/>
      <w:r>
        <w:rPr>
          <w:rFonts w:hint="eastAsia" w:ascii="宋体" w:hAnsi="宋体" w:eastAsia="宋体" w:cs="宋体"/>
          <w:color w:val="auto"/>
          <w:sz w:val="21"/>
          <w:szCs w:val="21"/>
          <w:highlight w:val="none"/>
        </w:rPr>
        <w:t>23.开标时间和地点</w:t>
      </w:r>
    </w:p>
    <w:p w14:paraId="0FD94620">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开标时间及地点详见“投标人须知前附表”</w:t>
      </w:r>
    </w:p>
    <w:p w14:paraId="56F8190D">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372C1B4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14:paraId="0E52216E">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46D33B4">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14:paraId="0E63F96C">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广西政府采购云平台按开标时间自动提取所有投标文件。采购代理机构依托广西政府采购云平台向各投标人发出电子加密投标文件【开始解密】通知，由投标人按“投标人须知前附表”规定的时间内自行进行投标文件解密。投标人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或其委托代理人须凭加密时所用的CA锁准时登录到广西政府采购云平台电子开标大厅签到并对电子投标文件解密。投标人未在规定的时间内解密投标文件或者解密失败的，投标人的投标文件作无效处理。</w:t>
      </w:r>
    </w:p>
    <w:p w14:paraId="5A5A7EA2">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（2）电子唱标。投标文件解密结束，宣布的内容均在广西政府采购云平台远程开标大厅展示，具体详见“投标人须知前附表”；</w:t>
      </w:r>
    </w:p>
    <w:p w14:paraId="5DE005CC">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2F6962E">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C530BFB">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4E684982">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特别说明：如遇广西政府采购云平台电子化开标或评审程序调整的，按调整后执行。</w:t>
      </w:r>
    </w:p>
    <w:p w14:paraId="29468B30">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p>
    <w:p w14:paraId="6ADF20DF">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113" w:name="_Toc1313"/>
      <w:r>
        <w:rPr>
          <w:rFonts w:hint="eastAsia" w:ascii="宋体" w:hAnsi="宋体" w:eastAsia="宋体" w:cs="宋体"/>
          <w:color w:val="auto"/>
          <w:highlight w:val="none"/>
        </w:rPr>
        <w:t>五、资格审查</w:t>
      </w:r>
      <w:bookmarkEnd w:id="113"/>
    </w:p>
    <w:p w14:paraId="22447C1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25.1开标结束后，采购人或者采购代理机构通过电子开评标系统依据招标文件对电子投标文件进行线上资格审查。 </w:t>
      </w:r>
    </w:p>
    <w:p w14:paraId="682757B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5832510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25.3投标人有下列情形之一的，资格审查不通过，作无效投标处理：</w:t>
      </w:r>
    </w:p>
    <w:p w14:paraId="55287F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（1）不具备招标文件中规定的资格要求的； </w:t>
      </w:r>
    </w:p>
    <w:p w14:paraId="69DEF7B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59F73A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737AA8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（4）投标文件中的资格证明文件缺少任一项“投标人须知前附表”资格证明文件规定“必须提供”的文件资料的；</w:t>
      </w:r>
    </w:p>
    <w:p w14:paraId="3523D18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（5）投标文件中的资格证明文件出现任一项不符合“投标人须知前附表”资格证明文件规定“必须提供”的文件资料要求或者无效的。</w:t>
      </w:r>
    </w:p>
    <w:p w14:paraId="27A233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25.4合格投标人不足3家的，不得评标。</w:t>
      </w:r>
    </w:p>
    <w:p w14:paraId="4DC5CCC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color w:val="auto"/>
          <w:sz w:val="21"/>
          <w:szCs w:val="21"/>
          <w:highlight w:val="none"/>
        </w:rPr>
      </w:pPr>
    </w:p>
    <w:p w14:paraId="51F5A0C5">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114" w:name="_Toc31576"/>
      <w:r>
        <w:rPr>
          <w:rFonts w:hint="eastAsia" w:ascii="宋体" w:hAnsi="宋体" w:eastAsia="宋体" w:cs="宋体"/>
          <w:color w:val="auto"/>
          <w:highlight w:val="none"/>
        </w:rPr>
        <w:t>六、评  标</w:t>
      </w:r>
      <w:bookmarkEnd w:id="114"/>
    </w:p>
    <w:p w14:paraId="32A593C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bookmarkStart w:id="115" w:name="_26.组建评标委员会"/>
      <w:bookmarkEnd w:id="115"/>
      <w:r>
        <w:rPr>
          <w:rFonts w:hint="eastAsia" w:ascii="宋体" w:hAnsi="宋体" w:eastAsia="宋体" w:cs="宋体"/>
          <w:color w:val="auto"/>
          <w:sz w:val="21"/>
          <w:szCs w:val="21"/>
          <w:highlight w:val="none"/>
        </w:rPr>
        <w:t>26.组建评标委员会</w:t>
      </w:r>
    </w:p>
    <w:p w14:paraId="106836B4">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评标委员会由采购人代表和评审专家组成，人数为5人以上单数，其中评审专家不得少于成员总数的三分之二。</w:t>
      </w:r>
      <w:r>
        <w:rPr>
          <w:rFonts w:hint="eastAsia" w:ascii="宋体" w:hAnsi="宋体" w:eastAsia="宋体" w:cs="宋体"/>
          <w:bCs/>
          <w:color w:val="auto"/>
          <w:kern w:val="0"/>
          <w:szCs w:val="21"/>
          <w:highlight w:val="none"/>
        </w:rPr>
        <w:t>采购项目符合下列情形之一的，评标委员会成员人数应当为7人以上单数：（1）采购预算金额在1000万元以上；（2）技术复杂；（3）社会影响较大。</w:t>
      </w:r>
    </w:p>
    <w:p w14:paraId="40562570">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704CFF9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评标委员会以招标文件为依据对投标文件进行评审，“第四章 评标方法和评标标准”没有规定的方法、评审因素和标准，不作为评标依据。</w:t>
      </w:r>
    </w:p>
    <w:p w14:paraId="4686D4C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38495AA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D126E5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6" w:name="_28.3评标方法。本项目将按须知前附表规定的评标办法进行评标，具体评标"/>
      <w:bookmarkEnd w:id="116"/>
    </w:p>
    <w:p w14:paraId="531380D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657C903">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28.4评标过程的监控。本项目电子评标过程实行网上留痕、全程录音、录像监控，投标人在评标过程中所进行的试图影响评标结果的不公正活动，可能导致其投标按无效处理。</w:t>
      </w:r>
    </w:p>
    <w:p w14:paraId="1FA5BC7D">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29.评标方法及评标标准</w:t>
      </w:r>
    </w:p>
    <w:p w14:paraId="2312A8DD">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29.1本项目的评标方法详见“投标人须知前附表”。</w:t>
      </w:r>
    </w:p>
    <w:p w14:paraId="25C573D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29.2商务/技术要求允许负偏离的条款数详见“投标人须知前附表”。</w:t>
      </w:r>
    </w:p>
    <w:p w14:paraId="1EF6630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29.3中标候选人推荐数量详见“投标人须知前附表”。 </w:t>
      </w:r>
    </w:p>
    <w:p w14:paraId="3030838D">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29.4电子交易活动的中止。采购过程中出现以下情形，导致电子交易平台无法正常运行，或者无法保证电子交易的公平、公正和安全时，采购代理机构可以中止电子交易活动： </w:t>
      </w:r>
    </w:p>
    <w:p w14:paraId="711CF53D">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（1）电子交易平台发生故障而无法登录访问的； </w:t>
      </w:r>
    </w:p>
    <w:p w14:paraId="2C0B0E7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（2）电子交易平台应用或数据库出现错误，不能进行正常操作的；</w:t>
      </w:r>
    </w:p>
    <w:p w14:paraId="5AF6288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（3）电子交易平台发现严重安全漏洞，有潜在泄密危险的； </w:t>
      </w:r>
    </w:p>
    <w:p w14:paraId="048CD5B3">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（4）病毒发作导致不能进行正常操作的； </w:t>
      </w:r>
    </w:p>
    <w:p w14:paraId="7F353D5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（5）其他无法保证电子交易的公平、公正和安全的情况。</w:t>
      </w:r>
    </w:p>
    <w:p w14:paraId="1B6F42E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 </w:t>
      </w:r>
    </w:p>
    <w:p w14:paraId="21411B71">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29.5出现下列情形之一的，应予废标： </w:t>
      </w:r>
    </w:p>
    <w:p w14:paraId="19C1C4B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（1）符合专业条件的供应商或者对招标文件作实质响应的供应商不足三家的；</w:t>
      </w:r>
    </w:p>
    <w:p w14:paraId="4625934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（2）出现影响采购公正的违法、违规行为的；</w:t>
      </w:r>
    </w:p>
    <w:p w14:paraId="7560A21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（3）投标人的报价均超过了采购预算，采购人不能支付的；</w:t>
      </w:r>
    </w:p>
    <w:p w14:paraId="2AF6FCF0">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（4）因重大变故，采购任务取消的。废标后，采购人应当将废标理由通知所有投标人。</w:t>
      </w:r>
    </w:p>
    <w:p w14:paraId="4381E421">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p>
    <w:p w14:paraId="1200BCC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p>
    <w:p w14:paraId="7F24A970">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117" w:name="_Toc254970687"/>
      <w:bookmarkStart w:id="118" w:name="_Toc254970546"/>
      <w:bookmarkStart w:id="119" w:name="_Toc8428"/>
      <w:r>
        <w:rPr>
          <w:rFonts w:hint="eastAsia" w:ascii="宋体" w:hAnsi="宋体" w:eastAsia="宋体" w:cs="宋体"/>
          <w:color w:val="auto"/>
          <w:highlight w:val="none"/>
        </w:rPr>
        <w:t>七、</w:t>
      </w:r>
      <w:bookmarkEnd w:id="117"/>
      <w:bookmarkEnd w:id="118"/>
      <w:r>
        <w:rPr>
          <w:rFonts w:hint="eastAsia" w:ascii="宋体" w:hAnsi="宋体" w:eastAsia="宋体" w:cs="宋体"/>
          <w:color w:val="auto"/>
          <w:highlight w:val="none"/>
        </w:rPr>
        <w:t>中标和合同</w:t>
      </w:r>
      <w:bookmarkEnd w:id="119"/>
    </w:p>
    <w:p w14:paraId="1810B6B6">
      <w:pPr>
        <w:keepNext w:val="0"/>
        <w:keepLines w:val="0"/>
        <w:pageBreakBefore w:val="0"/>
        <w:widowControl w:val="0"/>
        <w:kinsoku/>
        <w:wordWrap/>
        <w:overflowPunct/>
        <w:topLinePunct w:val="0"/>
        <w:autoSpaceDE/>
        <w:autoSpaceDN/>
        <w:bidi w:val="0"/>
        <w:spacing w:line="500" w:lineRule="exact"/>
        <w:ind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30.确定中标人</w:t>
      </w:r>
    </w:p>
    <w:p w14:paraId="4CCB0F96">
      <w:pPr>
        <w:keepNext w:val="0"/>
        <w:keepLines w:val="0"/>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30.1本项目授权评标委员会直接按第四章“评标方法及标准”的规定排列中标候选人顺序，并依照次序确定中标人。</w:t>
      </w:r>
    </w:p>
    <w:p w14:paraId="368863B1">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E0C0D7E">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无正当理由拒签合同的，根据《中华人民共和国政府采购法》第七十七条第一款规定处理。</w:t>
      </w:r>
    </w:p>
    <w:p w14:paraId="53411FEE">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30.4根据《中华人民共和国民法典》第五百六十三条，因不可抗力致使不能实现合同目的的，当事人可以解除合同。</w:t>
      </w:r>
    </w:p>
    <w:p w14:paraId="1AB170B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31.结果公告</w:t>
      </w:r>
    </w:p>
    <w:p w14:paraId="0788D21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31.1在</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确定之日起2个工作日内，由采购代理机构</w:t>
      </w:r>
      <w:r>
        <w:rPr>
          <w:rFonts w:hint="eastAsia" w:ascii="宋体" w:hAnsi="宋体" w:eastAsia="宋体" w:cs="宋体"/>
          <w:b/>
          <w:color w:val="auto"/>
          <w:sz w:val="21"/>
          <w:szCs w:val="21"/>
          <w:highlight w:val="none"/>
        </w:rPr>
        <w:t>在招标公告发布媒体上</w:t>
      </w:r>
      <w:r>
        <w:rPr>
          <w:rFonts w:hint="eastAsia" w:ascii="宋体" w:hAnsi="宋体" w:eastAsia="宋体" w:cs="宋体"/>
          <w:color w:val="auto"/>
          <w:sz w:val="21"/>
          <w:szCs w:val="21"/>
          <w:highlight w:val="none"/>
        </w:rPr>
        <w:t>发布中标结果公告，中标结果公告期限为1个工作日，发布中标结果公告的同时向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发出中标通知书。</w:t>
      </w:r>
      <w:r>
        <w:rPr>
          <w:rFonts w:hint="eastAsia" w:ascii="宋体" w:hAnsi="宋体" w:eastAsia="宋体" w:cs="宋体"/>
          <w:b/>
          <w:color w:val="auto"/>
          <w:sz w:val="21"/>
          <w:szCs w:val="21"/>
          <w:highlight w:val="none"/>
        </w:rPr>
        <w:t>采购代理机构发出中标通知书前，应当对中标人信用进行核实，对列入失信被执行人、</w:t>
      </w:r>
      <w:r>
        <w:rPr>
          <w:rFonts w:hint="eastAsia" w:ascii="宋体" w:hAnsi="宋体" w:eastAsia="宋体" w:cs="宋体"/>
          <w:b/>
          <w:color w:val="auto"/>
          <w:sz w:val="21"/>
          <w:szCs w:val="21"/>
          <w:highlight w:val="none"/>
          <w:lang w:eastAsia="zh-CN"/>
        </w:rPr>
        <w:t>重大税收违法失信主体</w:t>
      </w:r>
      <w:r>
        <w:rPr>
          <w:rFonts w:hint="eastAsia" w:ascii="宋体" w:hAnsi="宋体" w:eastAsia="宋体" w:cs="宋体"/>
          <w:b/>
          <w:color w:val="auto"/>
          <w:sz w:val="21"/>
          <w:szCs w:val="21"/>
          <w:highlight w:val="none"/>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 w:val="21"/>
          <w:szCs w:val="21"/>
          <w:highlight w:val="none"/>
        </w:rPr>
        <w:t>排名第二的中标候选人因前款规定的同样原因被取消中标资格的，授权的评标委员会可以确定排名第三的中标候选人为中标人，以此类推。</w:t>
      </w:r>
    </w:p>
    <w:p w14:paraId="0D95E8A5">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485CCDD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31.2中小企业在政府采购活动过程中，请根据企业的真实情况出具《中小企业声明函》。依法享受中小企业优惠政策的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采购项目不适用的除外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，采购人或者采购代理机构在公告中标结果时，同时公告其《中小企业声明函》，接受社会监督。</w:t>
      </w:r>
    </w:p>
    <w:p w14:paraId="3D3556A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15475E36">
      <w:pPr>
        <w:keepNext w:val="0"/>
        <w:keepLines w:val="0"/>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0E3EC1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41AA56F3">
      <w:pPr>
        <w:keepNext w:val="0"/>
        <w:keepLines w:val="0"/>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采购代理机构无义务向未中标的投标人解释未中标原因和退还投标文件。</w:t>
      </w:r>
    </w:p>
    <w:p w14:paraId="0B8CF58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0A6BCE95">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合同将授予被确定实质上响应招标文件要求，具备履行合同能力的中标人。</w:t>
      </w:r>
    </w:p>
    <w:p w14:paraId="6F910CB8">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5EE6DEC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bookmarkStart w:id="120" w:name="_39.1中标人须于签订合同前按本须知前附表规定的金额转账或电汇到指定账"/>
      <w:bookmarkEnd w:id="120"/>
      <w:r>
        <w:rPr>
          <w:rFonts w:hint="eastAsia" w:ascii="宋体" w:hAnsi="宋体" w:eastAsia="宋体" w:cs="宋体"/>
          <w:color w:val="auto"/>
          <w:sz w:val="21"/>
          <w:szCs w:val="21"/>
          <w:highlight w:val="none"/>
        </w:rPr>
        <w:t>见“投标人须知前附表”。</w:t>
      </w:r>
    </w:p>
    <w:p w14:paraId="2AAB7FD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2D44E3BD">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color w:val="auto"/>
          <w:kern w:val="0"/>
          <w:sz w:val="21"/>
          <w:szCs w:val="21"/>
          <w:highlight w:val="none"/>
          <w:lang w:val="zh-CN"/>
        </w:rPr>
      </w:pPr>
      <w:bookmarkStart w:id="121" w:name="_40.1投标人接到中标通知书后，按须知前附表规定向采购人出示相关资格证"/>
      <w:bookmarkEnd w:id="121"/>
      <w:r>
        <w:rPr>
          <w:rFonts w:hint="eastAsia" w:ascii="宋体" w:hAnsi="宋体" w:eastAsia="宋体" w:cs="宋体"/>
          <w:b/>
          <w:color w:val="auto"/>
          <w:sz w:val="21"/>
          <w:szCs w:val="21"/>
          <w:highlight w:val="none"/>
        </w:rPr>
        <w:t>36.1中标人领取电子中标通知书后，</w:t>
      </w:r>
      <w:r>
        <w:rPr>
          <w:rFonts w:hint="eastAsia" w:ascii="宋体" w:hAnsi="宋体" w:eastAsia="宋体" w:cs="宋体"/>
          <w:color w:val="auto"/>
          <w:kern w:val="0"/>
          <w:sz w:val="21"/>
          <w:szCs w:val="21"/>
          <w:highlight w:val="none"/>
          <w:lang w:val="zh-CN"/>
        </w:rPr>
        <w:t>按规定的日期、时间、地点，由法定代表人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zh-CN"/>
        </w:rPr>
        <w:t>或其授权代表与采购人代表签订电子采购合同。如中标人为联合体的，由联合体成员各方法定代表人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zh-CN"/>
        </w:rPr>
        <w:t>或其授权代表与采购人代表签订合同，签订携带资料详见“投标人须知前附表”。</w:t>
      </w:r>
    </w:p>
    <w:p w14:paraId="1F55604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0B61B9F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027A246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36.4中标人拒绝与采购人签订合同的，采购人可以按照评审报告推荐的中标候选人名单排序，确定下一候选人为中标人，也可以重新开展政府采购活动。如采购人无正当理由拒签合同的，给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造成损失的，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可追究采购人承担相应的法律责任。</w:t>
      </w:r>
    </w:p>
    <w:p w14:paraId="5A7F89C1">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36.5政府采购合同是政府采购项目验收的依据，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D81AF1">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36.6采购人或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不得单方面向合同另一方提出任何招标文件没有约定的条件或不合理的要求，作为签订合同的条件；也不得协商另行订立背离招标文件和合同实质性内容的协议。</w:t>
      </w:r>
    </w:p>
    <w:p w14:paraId="4ADEC7D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36.7如签订合同并生效后，供应商无故拒绝或延期，除按照合同条款处理外，将承担相应的法律责任。</w:t>
      </w:r>
    </w:p>
    <w:p w14:paraId="524F5D13">
      <w:pPr>
        <w:keepNext w:val="0"/>
        <w:keepLines w:val="0"/>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36.8采购人需追加与合同标的相同的货物或者服务的，在不改变原合同条款且已报财政部门批准落实资金的前提下，可从原</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处添购，所签订的补充添置合同的采购资金总额不超过原采购合同金额的10%。</w:t>
      </w:r>
    </w:p>
    <w:p w14:paraId="17B336F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bookmarkStart w:id="122" w:name="_41.政府采购合同公告"/>
      <w:bookmarkEnd w:id="122"/>
      <w:r>
        <w:rPr>
          <w:rFonts w:hint="eastAsia" w:ascii="宋体" w:hAnsi="宋体" w:eastAsia="宋体" w:cs="宋体"/>
          <w:color w:val="auto"/>
          <w:sz w:val="21"/>
          <w:szCs w:val="21"/>
          <w:highlight w:val="none"/>
        </w:rPr>
        <w:t>37.政府采购合同公告</w:t>
      </w:r>
    </w:p>
    <w:p w14:paraId="4A48D6C1">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w:t>
      </w:r>
      <w:r>
        <w:rPr>
          <w:rFonts w:hint="eastAsia" w:ascii="宋体" w:hAnsi="宋体" w:eastAsia="宋体" w:cs="宋体"/>
          <w:bCs/>
          <w:color w:val="auto"/>
          <w:sz w:val="21"/>
          <w:szCs w:val="21"/>
          <w:highlight w:val="none"/>
        </w:rPr>
        <w:t>在以下媒体上发布：</w:t>
      </w:r>
      <w:r>
        <w:rPr>
          <w:rFonts w:hint="eastAsia" w:ascii="宋体" w:hAnsi="宋体" w:eastAsia="宋体" w:cs="宋体"/>
          <w:color w:val="auto"/>
          <w:kern w:val="0"/>
          <w:sz w:val="21"/>
          <w:szCs w:val="21"/>
          <w:highlight w:val="none"/>
        </w:rPr>
        <w:t>广西政府采购网(http://zfcg.gxzf.gov.cn)</w:t>
      </w:r>
      <w:r>
        <w:rPr>
          <w:rFonts w:hint="eastAsia" w:ascii="宋体" w:hAnsi="宋体" w:eastAsia="宋体" w:cs="宋体"/>
          <w:color w:val="auto"/>
          <w:sz w:val="21"/>
          <w:szCs w:val="21"/>
          <w:highlight w:val="none"/>
        </w:rPr>
        <w:t>上公告，但政府采购合同中涉及国家秘密、商业秘密的内容除外。</w:t>
      </w:r>
    </w:p>
    <w:p w14:paraId="3DDF4BEE">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38.询问、质疑和投诉</w:t>
      </w:r>
    </w:p>
    <w:p w14:paraId="128EC7D8">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1AA8D7E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70883C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（1）对可以质疑的招标文件提出质疑的，为收到招标文件之日或者招标文件公告期限届满之日；</w:t>
      </w:r>
    </w:p>
    <w:p w14:paraId="07DDC14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1A5AD0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6F8A0DF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38.3供应商提出质疑应当提交质疑函和必要的证明材料，针对同一采购程序环节的质疑必须在法定质疑期内一次性提出。质疑函应当包括下列内容（质疑函格式后附）：</w:t>
      </w:r>
    </w:p>
    <w:p w14:paraId="62D3277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6C82FA7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317755C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61894F5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03FBBE3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4FA28E8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4D0BC9E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2B08898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38.4采购人、采购代理机构认为供应商质疑不成立，或者成立但未对中标结果构成影响的，继续开展采购活动；认为供应商质疑成立且影响或者可能影响中标结果的，按照下列情况处理：</w:t>
      </w:r>
    </w:p>
    <w:p w14:paraId="68DD099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（一）对招标文件提出的质疑，依法通过澄清或者修改可以继续开展采购活动的，澄清或者修改招标文件后继续开展采购活动；否则应当修改招标文件后重新开展采购活动。</w:t>
      </w:r>
    </w:p>
    <w:p w14:paraId="59ADBB05">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（二）对采购过程、中标结果提出的质疑，合格供应商符合法定数量时，可以从合格的中标候选人中另行确定中标供应商的，应当依法另行确定中标供应商；否则应当重新开展采购活动。</w:t>
      </w:r>
    </w:p>
    <w:p w14:paraId="1EA51E88">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质疑答复导致中标结果改变的，采购人或者采购代理机构应当将有关情况书面报告本级财政部门。</w:t>
      </w:r>
    </w:p>
    <w:p w14:paraId="2A8585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D6A2DC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p>
    <w:p w14:paraId="1721D868">
      <w:pPr>
        <w:pStyle w:val="4"/>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highlight w:val="none"/>
        </w:rPr>
      </w:pPr>
      <w:bookmarkStart w:id="123" w:name="_Toc12593"/>
      <w:r>
        <w:rPr>
          <w:rFonts w:hint="eastAsia" w:ascii="宋体" w:hAnsi="宋体" w:eastAsia="宋体" w:cs="宋体"/>
          <w:color w:val="auto"/>
          <w:highlight w:val="none"/>
        </w:rPr>
        <w:t>八、其他事项</w:t>
      </w:r>
      <w:bookmarkEnd w:id="123"/>
    </w:p>
    <w:p w14:paraId="65D0BD81">
      <w:pPr>
        <w:keepNext w:val="0"/>
        <w:keepLines w:val="0"/>
        <w:pageBreakBefore w:val="0"/>
        <w:widowControl w:val="0"/>
        <w:kinsoku/>
        <w:wordWrap/>
        <w:overflowPunct/>
        <w:topLinePunct w:val="0"/>
        <w:autoSpaceDE/>
        <w:autoSpaceDN/>
        <w:bidi w:val="0"/>
        <w:adjustRightInd/>
        <w:snapToGrid/>
        <w:spacing w:before="0" w:after="0" w:line="50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39.代理服务费</w:t>
      </w:r>
    </w:p>
    <w:p w14:paraId="61A2C2BC">
      <w:pPr>
        <w:keepNext w:val="0"/>
        <w:keepLines w:val="0"/>
        <w:pageBreakBefore w:val="0"/>
        <w:widowControl w:val="0"/>
        <w:kinsoku/>
        <w:wordWrap/>
        <w:overflowPunct/>
        <w:topLinePunct w:val="0"/>
        <w:autoSpaceDE/>
        <w:autoSpaceDN/>
        <w:bidi w:val="0"/>
        <w:adjustRightInd/>
        <w:snapToGrid/>
        <w:spacing w:before="0" w:after="0" w:line="500" w:lineRule="exact"/>
        <w:ind w:left="420" w:left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39.1代理服</w:t>
      </w:r>
      <w:r>
        <w:rPr>
          <w:rFonts w:hint="eastAsia" w:ascii="宋体" w:hAnsi="宋体" w:cs="宋体"/>
          <w:b w:val="0"/>
          <w:color w:val="auto"/>
          <w:sz w:val="21"/>
          <w:szCs w:val="21"/>
          <w:highlight w:val="none"/>
          <w:lang w:eastAsia="zh-CN"/>
        </w:rPr>
        <w:t>务费</w:t>
      </w:r>
      <w:r>
        <w:rPr>
          <w:rFonts w:hint="eastAsia" w:ascii="宋体" w:hAnsi="宋体" w:eastAsia="宋体" w:cs="宋体"/>
          <w:b w:val="0"/>
          <w:color w:val="auto"/>
          <w:sz w:val="21"/>
          <w:szCs w:val="21"/>
          <w:highlight w:val="none"/>
        </w:rPr>
        <w:t>收取标准及缴费账户详见“投标人须知前附表”，投标人为联合体的，可以由联合体中的一方或者多方共同交纳代理服务费。</w:t>
      </w:r>
    </w:p>
    <w:p w14:paraId="6D932AAF">
      <w:pPr>
        <w:pageBreakBefore w:val="0"/>
        <w:widowControl w:val="0"/>
        <w:kinsoku/>
        <w:wordWrap/>
        <w:overflowPunct/>
        <w:topLinePunct w:val="0"/>
        <w:autoSpaceDE/>
        <w:autoSpaceDN/>
        <w:bidi w:val="0"/>
        <w:adjustRightInd/>
        <w:snapToGrid/>
        <w:spacing w:line="50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39.2代理服务收费标准：</w:t>
      </w:r>
    </w:p>
    <w:tbl>
      <w:tblPr>
        <w:tblStyle w:val="3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F3D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4B43DB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6FC30181">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noWrap w:val="0"/>
            <w:vAlign w:val="center"/>
          </w:tcPr>
          <w:p w14:paraId="1BA7E947">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687" w:type="dxa"/>
            <w:noWrap w:val="0"/>
            <w:vAlign w:val="center"/>
          </w:tcPr>
          <w:p w14:paraId="7EC368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659" w:type="dxa"/>
            <w:noWrap w:val="0"/>
            <w:vAlign w:val="center"/>
          </w:tcPr>
          <w:p w14:paraId="5F1074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35B2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7A9836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center"/>
          </w:tcPr>
          <w:p w14:paraId="5D14E2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87" w:type="dxa"/>
            <w:noWrap w:val="0"/>
            <w:vAlign w:val="center"/>
          </w:tcPr>
          <w:p w14:paraId="6BC52871">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9" w:type="dxa"/>
            <w:noWrap w:val="0"/>
            <w:vAlign w:val="center"/>
          </w:tcPr>
          <w:p w14:paraId="6B76CD7B">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5E50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C91C0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noWrap w:val="0"/>
            <w:vAlign w:val="center"/>
          </w:tcPr>
          <w:p w14:paraId="53A69807">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687" w:type="dxa"/>
            <w:noWrap w:val="0"/>
            <w:vAlign w:val="center"/>
          </w:tcPr>
          <w:p w14:paraId="07DAA263">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9" w:type="dxa"/>
            <w:noWrap w:val="0"/>
            <w:vAlign w:val="center"/>
          </w:tcPr>
          <w:p w14:paraId="69C80298">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1DC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103C2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noWrap w:val="0"/>
            <w:vAlign w:val="center"/>
          </w:tcPr>
          <w:p w14:paraId="4AF5A9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87" w:type="dxa"/>
            <w:noWrap w:val="0"/>
            <w:vAlign w:val="center"/>
          </w:tcPr>
          <w:p w14:paraId="18648BA4">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9" w:type="dxa"/>
            <w:noWrap w:val="0"/>
            <w:vAlign w:val="center"/>
          </w:tcPr>
          <w:p w14:paraId="1205BD54">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2BE3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9864B5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noWrap w:val="0"/>
            <w:vAlign w:val="center"/>
          </w:tcPr>
          <w:p w14:paraId="600B549E">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687" w:type="dxa"/>
            <w:noWrap w:val="0"/>
            <w:vAlign w:val="center"/>
          </w:tcPr>
          <w:p w14:paraId="4705ADA7">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9" w:type="dxa"/>
            <w:noWrap w:val="0"/>
            <w:vAlign w:val="center"/>
          </w:tcPr>
          <w:p w14:paraId="5057A523">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1AA2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EE945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center"/>
          </w:tcPr>
          <w:p w14:paraId="6B168E8A">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87" w:type="dxa"/>
            <w:noWrap w:val="0"/>
            <w:vAlign w:val="center"/>
          </w:tcPr>
          <w:p w14:paraId="062BA37A">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9" w:type="dxa"/>
            <w:noWrap w:val="0"/>
            <w:vAlign w:val="center"/>
          </w:tcPr>
          <w:p w14:paraId="4576328A">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525C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5945D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9" w:type="dxa"/>
            <w:noWrap w:val="0"/>
            <w:vAlign w:val="center"/>
          </w:tcPr>
          <w:p w14:paraId="6437F61B">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687" w:type="dxa"/>
            <w:noWrap w:val="0"/>
            <w:vAlign w:val="center"/>
          </w:tcPr>
          <w:p w14:paraId="120330E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659" w:type="dxa"/>
            <w:noWrap w:val="0"/>
            <w:vAlign w:val="center"/>
          </w:tcPr>
          <w:p w14:paraId="5DB02A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5C2F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D82E0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9" w:type="dxa"/>
            <w:noWrap w:val="0"/>
            <w:vAlign w:val="center"/>
          </w:tcPr>
          <w:p w14:paraId="412BCED9">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687" w:type="dxa"/>
            <w:noWrap w:val="0"/>
            <w:vAlign w:val="center"/>
          </w:tcPr>
          <w:p w14:paraId="2D897A0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659" w:type="dxa"/>
            <w:noWrap w:val="0"/>
            <w:vAlign w:val="center"/>
          </w:tcPr>
          <w:p w14:paraId="51558BC5">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18B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56CB3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9" w:type="dxa"/>
            <w:noWrap w:val="0"/>
            <w:vAlign w:val="center"/>
          </w:tcPr>
          <w:p w14:paraId="09DD4009">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687" w:type="dxa"/>
            <w:noWrap w:val="0"/>
            <w:vAlign w:val="center"/>
          </w:tcPr>
          <w:p w14:paraId="57C796D6">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659" w:type="dxa"/>
            <w:noWrap w:val="0"/>
            <w:vAlign w:val="center"/>
          </w:tcPr>
          <w:p w14:paraId="436D1E8C">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5C9C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9DFFF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9" w:type="dxa"/>
            <w:noWrap w:val="0"/>
            <w:vAlign w:val="center"/>
          </w:tcPr>
          <w:p w14:paraId="3008DB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687" w:type="dxa"/>
            <w:noWrap w:val="0"/>
            <w:vAlign w:val="center"/>
          </w:tcPr>
          <w:p w14:paraId="5EF0F922">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659" w:type="dxa"/>
            <w:noWrap w:val="0"/>
            <w:vAlign w:val="center"/>
          </w:tcPr>
          <w:p w14:paraId="351138B6">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3A6E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1B8B93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9" w:type="dxa"/>
            <w:noWrap w:val="0"/>
            <w:vAlign w:val="center"/>
          </w:tcPr>
          <w:p w14:paraId="1F934BB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687" w:type="dxa"/>
            <w:noWrap w:val="0"/>
            <w:vAlign w:val="center"/>
          </w:tcPr>
          <w:p w14:paraId="045D6840">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659" w:type="dxa"/>
            <w:noWrap w:val="0"/>
            <w:vAlign w:val="center"/>
          </w:tcPr>
          <w:p w14:paraId="5E66BE07">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5959A18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p w14:paraId="2D3E28AC">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（1）按本表费率计算的收费为采购代理的收费基准价格；</w:t>
      </w:r>
    </w:p>
    <w:p w14:paraId="0091EE34">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（2）采购代理收费按差额定率累进法计算。</w:t>
      </w:r>
    </w:p>
    <w:p w14:paraId="409E4674">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例如：某服务采购代理业务中标金额或者暂定价为200万元，计算采购代理收费额如下：</w:t>
      </w:r>
    </w:p>
    <w:p w14:paraId="0B9E14B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265AB23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（200－100）万元×0.8%＝0.8万元</w:t>
      </w:r>
    </w:p>
    <w:p w14:paraId="49DC4129">
      <w:pPr>
        <w:pStyle w:val="18"/>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合计收费＝1.5+0.8＝2.3（万元）</w:t>
      </w:r>
    </w:p>
    <w:p w14:paraId="2A006E9A">
      <w:pPr>
        <w:keepNext w:val="0"/>
        <w:keepLines w:val="0"/>
        <w:pageBreakBefore w:val="0"/>
        <w:widowControl w:val="0"/>
        <w:kinsoku/>
        <w:wordWrap/>
        <w:overflowPunct/>
        <w:topLinePunct w:val="0"/>
        <w:autoSpaceDE/>
        <w:autoSpaceDN/>
        <w:bidi w:val="0"/>
        <w:adjustRightInd/>
        <w:spacing w:before="0" w:after="0" w:line="50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40.需要补充的其他内容</w:t>
      </w:r>
    </w:p>
    <w:p w14:paraId="7E3B40C2">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40.1本招标文件解释规则详见“投标人须知前附表”。</w:t>
      </w:r>
    </w:p>
    <w:p w14:paraId="15E51F7E">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585FA426">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6D41D77">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679E1BEF">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3F6F2FE0">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ED3E22C">
      <w:pPr>
        <w:pStyle w:val="18"/>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B76A900">
      <w:pPr>
        <w:keepNext w:val="0"/>
        <w:keepLines w:val="0"/>
        <w:pageBreakBefore w:val="0"/>
        <w:widowControl w:val="0"/>
        <w:kinsoku/>
        <w:wordWrap/>
        <w:overflowPunct/>
        <w:topLinePunct w:val="0"/>
        <w:autoSpaceDE/>
        <w:autoSpaceDN/>
        <w:bidi w:val="0"/>
        <w:adjustRightInd/>
        <w:spacing w:line="500" w:lineRule="exact"/>
        <w:jc w:val="left"/>
        <w:textAlignment w:val="auto"/>
        <w:outlineLvl w:val="9"/>
        <w:rPr>
          <w:rFonts w:hint="eastAsia" w:ascii="宋体" w:hAnsi="宋体" w:eastAsia="宋体" w:cs="宋体"/>
          <w:color w:val="auto"/>
          <w:sz w:val="21"/>
          <w:szCs w:val="21"/>
          <w:highlight w:val="none"/>
        </w:rPr>
      </w:pPr>
      <w:bookmarkStart w:id="124" w:name="_Toc28756"/>
      <w:r>
        <w:rPr>
          <w:rFonts w:hint="eastAsia" w:ascii="宋体" w:hAnsi="宋体" w:eastAsia="宋体" w:cs="宋体"/>
          <w:color w:val="auto"/>
          <w:sz w:val="21"/>
          <w:szCs w:val="21"/>
          <w:highlight w:val="none"/>
        </w:rPr>
        <w:t>依据本招标文件规定享受扶持政策获得政府采购合同的，小微企业不得将合同分包给大中型企业，中型企业不得将合同分包给大型企业。</w:t>
      </w:r>
      <w:bookmarkEnd w:id="124"/>
    </w:p>
    <w:p w14:paraId="245116BC">
      <w:pPr>
        <w:pStyle w:val="2"/>
        <w:bidi w:val="0"/>
        <w:jc w:val="center"/>
        <w:rPr>
          <w:rFonts w:hint="eastAsia" w:ascii="宋体" w:hAnsi="宋体" w:eastAsia="宋体" w:cs="宋体"/>
          <w:b/>
          <w:color w:val="auto"/>
          <w:sz w:val="36"/>
          <w:szCs w:val="20"/>
          <w:highlight w:val="none"/>
        </w:rPr>
      </w:pPr>
      <w:r>
        <w:rPr>
          <w:rFonts w:hint="eastAsia" w:ascii="宋体" w:hAnsi="宋体" w:eastAsia="宋体" w:cs="宋体"/>
          <w:color w:val="auto"/>
          <w:sz w:val="21"/>
          <w:szCs w:val="21"/>
          <w:highlight w:val="none"/>
        </w:rPr>
        <w:br w:type="page"/>
      </w:r>
      <w:bookmarkStart w:id="125" w:name="_Toc532545043"/>
      <w:bookmarkStart w:id="126" w:name="_Toc27236"/>
      <w:bookmarkStart w:id="127" w:name="_Toc19018"/>
      <w:r>
        <w:rPr>
          <w:rFonts w:hint="eastAsia" w:ascii="宋体" w:hAnsi="宋体" w:eastAsia="宋体" w:cs="宋体"/>
          <w:b/>
          <w:color w:val="auto"/>
          <w:sz w:val="36"/>
          <w:szCs w:val="20"/>
          <w:highlight w:val="none"/>
        </w:rPr>
        <w:t>第四章  评标方法</w:t>
      </w:r>
      <w:bookmarkEnd w:id="125"/>
      <w:r>
        <w:rPr>
          <w:rFonts w:hint="eastAsia" w:ascii="宋体" w:hAnsi="宋体" w:eastAsia="宋体" w:cs="宋体"/>
          <w:b/>
          <w:color w:val="auto"/>
          <w:sz w:val="36"/>
          <w:szCs w:val="20"/>
          <w:highlight w:val="none"/>
        </w:rPr>
        <w:t>及评分标准</w:t>
      </w:r>
      <w:bookmarkEnd w:id="126"/>
      <w:bookmarkEnd w:id="127"/>
    </w:p>
    <w:p w14:paraId="3CCDD5D1">
      <w:pPr>
        <w:pStyle w:val="3"/>
        <w:bidi w:val="0"/>
        <w:jc w:val="center"/>
        <w:rPr>
          <w:rFonts w:hint="eastAsia" w:ascii="宋体" w:hAnsi="宋体" w:eastAsia="宋体" w:cs="宋体"/>
          <w:color w:val="auto"/>
          <w:highlight w:val="none"/>
        </w:rPr>
      </w:pPr>
      <w:bookmarkStart w:id="128" w:name="_Toc184"/>
      <w:r>
        <w:rPr>
          <w:rFonts w:hint="eastAsia" w:ascii="宋体" w:hAnsi="宋体" w:eastAsia="宋体" w:cs="宋体"/>
          <w:color w:val="auto"/>
          <w:highlight w:val="none"/>
        </w:rPr>
        <w:t>第一节 评标方法</w:t>
      </w:r>
      <w:bookmarkEnd w:id="128"/>
    </w:p>
    <w:p w14:paraId="69E9CE3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w:t>
      </w:r>
    </w:p>
    <w:p w14:paraId="1E5B9521">
      <w:pPr>
        <w:keepNext w:val="0"/>
        <w:keepLines w:val="0"/>
        <w:pageBreakBefore w:val="0"/>
        <w:widowControl w:val="0"/>
        <w:kinsoku/>
        <w:wordWrap/>
        <w:overflowPunct/>
        <w:topLinePunct w:val="0"/>
        <w:bidi w:val="0"/>
        <w:snapToGrid/>
        <w:spacing w:line="480" w:lineRule="exact"/>
        <w:ind w:firstLine="420"/>
        <w:textAlignment w:val="auto"/>
        <w:rPr>
          <w:rFonts w:hint="eastAsia" w:ascii="宋体" w:hAnsi="宋体" w:eastAsia="宋体" w:cs="宋体"/>
          <w:color w:val="auto"/>
          <w:sz w:val="21"/>
          <w:szCs w:val="21"/>
          <w:highlight w:val="none"/>
        </w:rPr>
      </w:pPr>
    </w:p>
    <w:p w14:paraId="6BDC7514">
      <w:pPr>
        <w:pStyle w:val="3"/>
        <w:bidi w:val="0"/>
        <w:jc w:val="center"/>
        <w:rPr>
          <w:rFonts w:hint="eastAsia" w:ascii="宋体" w:hAnsi="宋体" w:eastAsia="宋体" w:cs="宋体"/>
          <w:color w:val="auto"/>
          <w:highlight w:val="none"/>
        </w:rPr>
      </w:pPr>
      <w:bookmarkStart w:id="129" w:name="_Toc12589"/>
      <w:r>
        <w:rPr>
          <w:rFonts w:hint="eastAsia" w:ascii="宋体" w:hAnsi="宋体" w:eastAsia="宋体" w:cs="宋体"/>
          <w:color w:val="auto"/>
          <w:highlight w:val="none"/>
        </w:rPr>
        <w:t>第二节 评标程序</w:t>
      </w:r>
      <w:bookmarkEnd w:id="129"/>
    </w:p>
    <w:p w14:paraId="5EB07920">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0102C746">
      <w:pPr>
        <w:pStyle w:val="18"/>
        <w:keepNext w:val="0"/>
        <w:keepLines w:val="0"/>
        <w:pageBreakBefore w:val="0"/>
        <w:widowControl w:val="0"/>
        <w:kinsoku/>
        <w:wordWrap/>
        <w:overflowPunct/>
        <w:topLinePunct w:val="0"/>
        <w:autoSpaceDE/>
        <w:autoSpaceDN/>
        <w:bidi w:val="0"/>
        <w:adjustRightInd/>
        <w:snapToGrid w:val="0"/>
        <w:spacing w:line="480" w:lineRule="exact"/>
        <w:ind w:left="1" w:firstLine="420"/>
        <w:textAlignment w:val="auto"/>
        <w:outlineLvl w:val="9"/>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10381B01">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441A4DA8">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投标人的投标文件中存在对招标文件的任何实质性要求和条件的负偏离，将被视为投标无效。</w:t>
      </w:r>
    </w:p>
    <w:p w14:paraId="0B3E80D2">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5CB963C7">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firstLine="398" w:firstLineChars="200"/>
        <w:textAlignment w:val="auto"/>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kern w:val="2"/>
          <w:sz w:val="21"/>
          <w:szCs w:val="21"/>
          <w:highlight w:val="none"/>
          <w:lang w:val="en-US" w:eastAsia="zh-CN" w:bidi="ar-SA"/>
        </w:rPr>
        <w:t>（1）</w:t>
      </w:r>
      <w:r>
        <w:rPr>
          <w:rFonts w:hint="eastAsia" w:ascii="宋体" w:hAnsi="宋体" w:eastAsia="宋体" w:cs="宋体"/>
          <w:b/>
          <w:color w:val="auto"/>
          <w:spacing w:val="-6"/>
          <w:szCs w:val="21"/>
          <w:highlight w:val="none"/>
        </w:rPr>
        <w:t>报价文件未提供“投标人须知前附表”第13.1条规定中“必须提供”的文件资料的；</w:t>
      </w:r>
    </w:p>
    <w:p w14:paraId="611A7ED0">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Cs w:val="21"/>
          <w:highlight w:val="none"/>
        </w:rPr>
        <w:t>未采用人民币报价或者未按照招标文件标明的币种报价的；</w:t>
      </w:r>
    </w:p>
    <w:p w14:paraId="0DFDED59">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left="-2" w:leftChars="0" w:firstLine="422" w:firstLineChars="0"/>
        <w:textAlignment w:val="auto"/>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kern w:val="2"/>
          <w:sz w:val="21"/>
          <w:szCs w:val="21"/>
          <w:highlight w:val="none"/>
          <w:lang w:val="en-US" w:eastAsia="zh-CN" w:bidi="ar-SA"/>
        </w:rPr>
        <w:t>（3）</w:t>
      </w:r>
      <w:r>
        <w:rPr>
          <w:rFonts w:hint="eastAsia" w:ascii="宋体" w:hAnsi="宋体" w:eastAsia="宋体" w:cs="宋体"/>
          <w:b/>
          <w:color w:val="auto"/>
          <w:spacing w:val="-6"/>
          <w:szCs w:val="21"/>
          <w:highlight w:val="none"/>
        </w:rPr>
        <w:t>各分标报价超出招标文件相应分标规定最高限价，或者超出相应分标采购预算金额的；</w:t>
      </w:r>
    </w:p>
    <w:p w14:paraId="6BE828BD">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（4）</w:t>
      </w:r>
      <w:r>
        <w:rPr>
          <w:rFonts w:hint="eastAsia" w:ascii="宋体" w:hAnsi="宋体" w:eastAsia="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4333382">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（5）</w:t>
      </w:r>
      <w:r>
        <w:rPr>
          <w:rFonts w:hint="eastAsia" w:ascii="宋体" w:hAnsi="宋体" w:eastAsia="宋体" w:cs="宋体"/>
          <w:b/>
          <w:color w:val="auto"/>
          <w:szCs w:val="21"/>
          <w:highlight w:val="none"/>
        </w:rPr>
        <w:t>修正后的报价，投标人不确认的；</w:t>
      </w:r>
    </w:p>
    <w:p w14:paraId="3F0AF2D2">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（6）</w:t>
      </w:r>
      <w:r>
        <w:rPr>
          <w:rFonts w:hint="eastAsia" w:ascii="宋体" w:hAnsi="宋体" w:eastAsia="宋体" w:cs="宋体"/>
          <w:b/>
          <w:color w:val="auto"/>
          <w:szCs w:val="21"/>
          <w:highlight w:val="none"/>
        </w:rPr>
        <w:t>投标人属于本章第5.1条（2）或者第5.2条（2）项情形的。</w:t>
      </w:r>
    </w:p>
    <w:p w14:paraId="016109BC">
      <w:pPr>
        <w:pStyle w:val="7"/>
        <w:keepNext w:val="0"/>
        <w:keepLines w:val="0"/>
        <w:pageBreakBefore w:val="0"/>
        <w:widowControl w:val="0"/>
        <w:numPr>
          <w:ilvl w:val="0"/>
          <w:numId w:val="0"/>
        </w:numPr>
        <w:kinsoku/>
        <w:wordWrap/>
        <w:overflowPunct/>
        <w:topLinePunct w:val="0"/>
        <w:autoSpaceDE/>
        <w:autoSpaceDN/>
        <w:bidi w:val="0"/>
        <w:adjustRightInd/>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pacing w:val="-6"/>
          <w:szCs w:val="21"/>
          <w:highlight w:val="none"/>
        </w:rPr>
        <w:t>报价文件</w:t>
      </w:r>
      <w:r>
        <w:rPr>
          <w:rFonts w:hint="eastAsia" w:ascii="宋体" w:hAnsi="宋体" w:eastAsia="宋体" w:cs="宋体"/>
          <w:b/>
          <w:color w:val="auto"/>
          <w:szCs w:val="21"/>
          <w:highlight w:val="none"/>
        </w:rPr>
        <w:t>响应的标的数量及单位与招标文件要求实质性不一致的。</w:t>
      </w:r>
    </w:p>
    <w:p w14:paraId="53BA474D">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675DC89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Cs w:val="21"/>
          <w:highlight w:val="none"/>
        </w:rPr>
        <w:t>投标文件未按招标文件要求签署、盖章的；</w:t>
      </w:r>
    </w:p>
    <w:p w14:paraId="35BEB1C3">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Cs w:val="21"/>
          <w:highlight w:val="none"/>
        </w:rPr>
        <w:t xml:space="preserve">委托代理人未能出具有效身份证或者出具的身份证与授权委托书中的信息不符的； </w:t>
      </w:r>
    </w:p>
    <w:p w14:paraId="60C045F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（3）</w:t>
      </w:r>
      <w:r>
        <w:rPr>
          <w:rFonts w:hint="eastAsia" w:ascii="宋体" w:hAnsi="宋体" w:eastAsia="宋体" w:cs="宋体"/>
          <w:b/>
          <w:color w:val="auto"/>
          <w:szCs w:val="21"/>
          <w:highlight w:val="none"/>
        </w:rPr>
        <w:t>为无效投标保证金的或者未按照招标文件的规定提交投标保证金的；</w:t>
      </w:r>
    </w:p>
    <w:p w14:paraId="4138245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（4）</w:t>
      </w:r>
      <w:r>
        <w:rPr>
          <w:rFonts w:hint="eastAsia" w:ascii="宋体" w:hAnsi="宋体" w:eastAsia="宋体" w:cs="宋体"/>
          <w:b/>
          <w:color w:val="auto"/>
          <w:szCs w:val="21"/>
          <w:highlight w:val="none"/>
        </w:rPr>
        <w:t>投标文件未提供“投标人须知前附表”第13.1条规定中“必须提供”或者“委托时必须提供”的文件资料的；</w:t>
      </w:r>
    </w:p>
    <w:p w14:paraId="0366A30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（5）</w:t>
      </w:r>
      <w:r>
        <w:rPr>
          <w:rFonts w:hint="eastAsia" w:ascii="宋体" w:hAnsi="宋体" w:eastAsia="宋体" w:cs="宋体"/>
          <w:b/>
          <w:color w:val="auto"/>
          <w:szCs w:val="21"/>
          <w:highlight w:val="none"/>
        </w:rPr>
        <w:t>商务要求评审允许负偏离的条款数超过“投标人须知前附表”规定项数的；</w:t>
      </w:r>
    </w:p>
    <w:p w14:paraId="4E0A24B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（6）</w:t>
      </w:r>
      <w:r>
        <w:rPr>
          <w:rFonts w:hint="eastAsia" w:ascii="宋体" w:hAnsi="宋体" w:eastAsia="宋体" w:cs="宋体"/>
          <w:b/>
          <w:color w:val="auto"/>
          <w:szCs w:val="21"/>
          <w:highlight w:val="none"/>
        </w:rPr>
        <w:t>投标文件的实质性内容未使用中文表述、使用计量单位不符合招标文件要求的；</w:t>
      </w:r>
    </w:p>
    <w:p w14:paraId="391621A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zCs w:val="21"/>
          <w:highlight w:val="none"/>
        </w:rPr>
        <w:t>投标文件中的文件资料因填写不齐全或者内容虚假或者出现其他情形而导致被评标委员会认定无效的；</w:t>
      </w:r>
    </w:p>
    <w:p w14:paraId="57392E6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（8）</w:t>
      </w:r>
      <w:r>
        <w:rPr>
          <w:rFonts w:hint="eastAsia" w:ascii="宋体" w:hAnsi="宋体" w:eastAsia="宋体" w:cs="宋体"/>
          <w:b/>
          <w:color w:val="auto"/>
          <w:szCs w:val="21"/>
          <w:highlight w:val="none"/>
        </w:rPr>
        <w:t>投标文件含有采购人不能接受的附加条件的；</w:t>
      </w:r>
    </w:p>
    <w:p w14:paraId="5C97423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（9）</w:t>
      </w:r>
      <w:r>
        <w:rPr>
          <w:rFonts w:hint="eastAsia" w:ascii="宋体" w:hAnsi="宋体" w:eastAsia="宋体" w:cs="宋体"/>
          <w:b/>
          <w:color w:val="auto"/>
          <w:szCs w:val="21"/>
          <w:highlight w:val="none"/>
        </w:rPr>
        <w:t>属于投标人须知正文第9.2条情形的；</w:t>
      </w:r>
    </w:p>
    <w:p w14:paraId="05A2107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（10）</w:t>
      </w:r>
      <w:r>
        <w:rPr>
          <w:rFonts w:hint="eastAsia" w:ascii="宋体" w:hAnsi="宋体" w:eastAsia="宋体" w:cs="宋体"/>
          <w:b/>
          <w:color w:val="auto"/>
          <w:szCs w:val="21"/>
          <w:highlight w:val="none"/>
        </w:rPr>
        <w:t>投标文件标注的项目名称或者项目编号与招标文件标注的项目名称或者项目编号不一致的；</w:t>
      </w:r>
    </w:p>
    <w:p w14:paraId="7D34B8E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（11）</w:t>
      </w:r>
      <w:r>
        <w:rPr>
          <w:rFonts w:hint="eastAsia" w:ascii="宋体" w:hAnsi="宋体" w:eastAsia="宋体" w:cs="宋体"/>
          <w:b/>
          <w:color w:val="auto"/>
          <w:szCs w:val="21"/>
          <w:highlight w:val="none"/>
        </w:rPr>
        <w:t>招标文件明确不允许分包，投标文件拟分包的；</w:t>
      </w:r>
    </w:p>
    <w:p w14:paraId="098404F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（12）</w:t>
      </w:r>
      <w:r>
        <w:rPr>
          <w:rFonts w:hint="eastAsia" w:ascii="宋体" w:hAnsi="宋体" w:eastAsia="宋体" w:cs="宋体"/>
          <w:b/>
          <w:color w:val="auto"/>
          <w:szCs w:val="21"/>
          <w:highlight w:val="none"/>
        </w:rPr>
        <w:t>未响应招标文件实质性要求的；</w:t>
      </w:r>
    </w:p>
    <w:p w14:paraId="5760FAB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（13）</w:t>
      </w:r>
      <w:r>
        <w:rPr>
          <w:rFonts w:hint="eastAsia" w:ascii="宋体" w:hAnsi="宋体" w:eastAsia="宋体" w:cs="宋体"/>
          <w:b/>
          <w:color w:val="auto"/>
          <w:szCs w:val="21"/>
          <w:highlight w:val="none"/>
        </w:rPr>
        <w:t>法律、法规和招标文件规定的其他无效情形。</w:t>
      </w:r>
    </w:p>
    <w:p w14:paraId="2ABA5BA5">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620B1B46">
      <w:pPr>
        <w:pStyle w:val="14"/>
        <w:keepNext w:val="0"/>
        <w:keepLines w:val="0"/>
        <w:pageBreakBefore w:val="0"/>
        <w:widowControl w:val="0"/>
        <w:kinsoku/>
        <w:wordWrap/>
        <w:overflowPunct/>
        <w:topLinePunct w:val="0"/>
        <w:autoSpaceDE/>
        <w:autoSpaceDN/>
        <w:bidi w:val="0"/>
        <w:adjustRightInd/>
        <w:snapToGrid w:val="0"/>
        <w:spacing w:line="480" w:lineRule="exact"/>
        <w:ind w:firstLine="398" w:firstLineChars="196"/>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15ABEA14">
      <w:pPr>
        <w:pStyle w:val="14"/>
        <w:keepNext w:val="0"/>
        <w:keepLines w:val="0"/>
        <w:pageBreakBefore w:val="0"/>
        <w:widowControl w:val="0"/>
        <w:kinsoku/>
        <w:wordWrap/>
        <w:overflowPunct/>
        <w:topLinePunct w:val="0"/>
        <w:autoSpaceDE/>
        <w:autoSpaceDN/>
        <w:bidi w:val="0"/>
        <w:adjustRightInd/>
        <w:snapToGrid w:val="0"/>
        <w:spacing w:line="480" w:lineRule="exact"/>
        <w:ind w:firstLine="398" w:firstLineChars="196"/>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4F19192F">
      <w:pPr>
        <w:pStyle w:val="14"/>
        <w:keepNext w:val="0"/>
        <w:keepLines w:val="0"/>
        <w:pageBreakBefore w:val="0"/>
        <w:widowControl w:val="0"/>
        <w:kinsoku/>
        <w:wordWrap/>
        <w:overflowPunct/>
        <w:topLinePunct w:val="0"/>
        <w:autoSpaceDE/>
        <w:autoSpaceDN/>
        <w:bidi w:val="0"/>
        <w:adjustRightInd/>
        <w:snapToGrid w:val="0"/>
        <w:spacing w:line="480" w:lineRule="exact"/>
        <w:ind w:firstLine="398" w:firstLineChars="196"/>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39D44980">
      <w:pPr>
        <w:pStyle w:val="14"/>
        <w:keepNext w:val="0"/>
        <w:keepLines w:val="0"/>
        <w:pageBreakBefore w:val="0"/>
        <w:widowControl w:val="0"/>
        <w:kinsoku/>
        <w:wordWrap/>
        <w:overflowPunct/>
        <w:topLinePunct w:val="0"/>
        <w:autoSpaceDE/>
        <w:autoSpaceDN/>
        <w:bidi w:val="0"/>
        <w:adjustRightInd/>
        <w:snapToGrid w:val="0"/>
        <w:spacing w:line="480" w:lineRule="exact"/>
        <w:ind w:firstLine="398" w:firstLineChars="196"/>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0"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0"/>
    </w:p>
    <w:p w14:paraId="4F871666">
      <w:pPr>
        <w:pStyle w:val="14"/>
        <w:keepNext w:val="0"/>
        <w:keepLines w:val="0"/>
        <w:pageBreakBefore w:val="0"/>
        <w:widowControl w:val="0"/>
        <w:kinsoku/>
        <w:wordWrap/>
        <w:overflowPunct/>
        <w:topLinePunct w:val="0"/>
        <w:autoSpaceDE/>
        <w:autoSpaceDN/>
        <w:bidi w:val="0"/>
        <w:adjustRightInd/>
        <w:snapToGrid w:val="0"/>
        <w:spacing w:line="480" w:lineRule="exact"/>
        <w:ind w:firstLine="398" w:firstLineChars="196"/>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75548AE3">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02BDD20D">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331FBE5">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或者其授权的代表签字。</w:t>
      </w:r>
    </w:p>
    <w:p w14:paraId="0CF62783">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未按评标委员会的要求作出明确澄清、说明或者更正的投标人的投标文件将按照有利于采购人的原则由评标委员会进行判定。</w:t>
      </w:r>
    </w:p>
    <w:p w14:paraId="08A03EF3">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6814F00A">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33425B7F">
      <w:pPr>
        <w:pStyle w:val="18"/>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（1）投标文件中开标一览表（报价表）内容与投标文件中相应内容不一致的，以开标一览表（报价表）为准；</w:t>
      </w:r>
    </w:p>
    <w:p w14:paraId="4CCEAE16">
      <w:pPr>
        <w:pStyle w:val="18"/>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（2）大写金额和小写金额不一致的，以大写金额为准；</w:t>
      </w:r>
    </w:p>
    <w:p w14:paraId="32AAC786">
      <w:pPr>
        <w:pStyle w:val="18"/>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（3）单价金额小数点或者百分比有明显错位的，以开标一览表的总价为准，并修改单价；</w:t>
      </w:r>
    </w:p>
    <w:p w14:paraId="1071B715">
      <w:pPr>
        <w:pStyle w:val="18"/>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（4）总价金额与按单价汇总金额不一致的，以单价金额计算结果为准。</w:t>
      </w:r>
    </w:p>
    <w:p w14:paraId="111D8420">
      <w:pPr>
        <w:pStyle w:val="18"/>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同时出现两种以上不一致的，按照以上（1）</w:t>
      </w:r>
      <w:r>
        <w:rPr>
          <w:rFonts w:hint="eastAsia" w:cs="宋体" w:asciiTheme="minorEastAsia" w:hAnsiTheme="minorEastAsia" w:eastAsiaTheme="minorEastAsia"/>
          <w:color w:val="auto"/>
          <w:szCs w:val="21"/>
          <w:highlight w:val="none"/>
        </w:rPr>
        <w:t>～</w:t>
      </w:r>
      <w:r>
        <w:rPr>
          <w:rFonts w:hint="eastAsia" w:ascii="宋体" w:hAnsi="宋体" w:eastAsia="宋体" w:cs="宋体"/>
          <w:color w:val="auto"/>
          <w:sz w:val="21"/>
          <w:highlight w:val="none"/>
        </w:rPr>
        <w:t>（4）规定的顺序修正。修正后的报价经投标人确认后产生约束力，投标人不确认的，</w:t>
      </w:r>
      <w:r>
        <w:rPr>
          <w:rFonts w:hint="eastAsia" w:ascii="宋体" w:hAnsi="宋体" w:eastAsia="宋体" w:cs="宋体"/>
          <w:b/>
          <w:color w:val="auto"/>
          <w:kern w:val="2"/>
          <w:sz w:val="21"/>
          <w:highlight w:val="none"/>
        </w:rPr>
        <w:t>其投标无效</w:t>
      </w:r>
      <w:r>
        <w:rPr>
          <w:rFonts w:hint="eastAsia" w:ascii="宋体" w:hAnsi="宋体" w:eastAsia="宋体" w:cs="宋体"/>
          <w:color w:val="auto"/>
          <w:sz w:val="21"/>
          <w:highlight w:val="none"/>
        </w:rPr>
        <w:t>。</w:t>
      </w:r>
    </w:p>
    <w:p w14:paraId="3FC45159">
      <w:pPr>
        <w:keepNext w:val="0"/>
        <w:keepLines w:val="0"/>
        <w:pageBreakBefore w:val="0"/>
        <w:widowControl w:val="0"/>
        <w:kinsoku/>
        <w:wordWrap/>
        <w:overflowPunct/>
        <w:topLinePunct w:val="0"/>
        <w:autoSpaceDE/>
        <w:autoSpaceDN/>
        <w:bidi w:val="0"/>
        <w:adjustRightInd/>
        <w:spacing w:before="0" w:after="0" w:line="4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37E4DD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7D6188DE">
      <w:pPr>
        <w:keepNext w:val="0"/>
        <w:keepLines w:val="0"/>
        <w:pageBreakBefore w:val="0"/>
        <w:widowControl w:val="0"/>
        <w:kinsoku/>
        <w:wordWrap/>
        <w:overflowPunct/>
        <w:topLinePunct w:val="0"/>
        <w:autoSpaceDE/>
        <w:autoSpaceDN/>
        <w:bidi w:val="0"/>
        <w:adjustRightInd/>
        <w:spacing w:before="0" w:after="0" w:line="480" w:lineRule="exact"/>
        <w:ind w:left="420" w:left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14A4D38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5.1采用综合评分法的</w:t>
      </w:r>
    </w:p>
    <w:p w14:paraId="3534701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（1）评标委员会按照招标文件中规定的评标方法及评标标准，对符合性审查合格的投标文件进行商务和技术评估，综合比较与评价。</w:t>
      </w:r>
    </w:p>
    <w:p w14:paraId="5C86C27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（2）评标委员会独立对每个投标人的投标文件进行评价，并汇总每个投标人的得分。</w:t>
      </w:r>
    </w:p>
    <w:p w14:paraId="4676A64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Cs w:val="21"/>
          <w:highlight w:val="none"/>
        </w:rPr>
        <w:t>投标人不能证明其报价合理性的，评标委员会将其作为无效投标处理。</w:t>
      </w:r>
    </w:p>
    <w:p w14:paraId="5009906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（3）评标委员会按照招标文件中规定的评标方法和标准计算各投标人的报价得分。在计算过程中，不得去掉最高报价或者最低报价。</w:t>
      </w:r>
    </w:p>
    <w:p w14:paraId="1197685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（4）各投标人的得分为所有评委的有效评分的算术平均数。</w:t>
      </w:r>
    </w:p>
    <w:p w14:paraId="75866A1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（5）评标委员会按照招标文件中的规定推荐中标候选人。</w:t>
      </w:r>
    </w:p>
    <w:p w14:paraId="03A6044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BBA12A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5.2采用</w:t>
      </w:r>
      <w:r>
        <w:rPr>
          <w:rFonts w:hint="eastAsia" w:ascii="宋体" w:hAnsi="宋体" w:eastAsia="宋体" w:cs="宋体"/>
          <w:color w:val="auto"/>
          <w:highlight w:val="none"/>
        </w:rPr>
        <w:t>最低评标法</w:t>
      </w:r>
      <w:r>
        <w:rPr>
          <w:rFonts w:hint="eastAsia" w:ascii="宋体" w:hAnsi="宋体" w:eastAsia="宋体" w:cs="宋体"/>
          <w:color w:val="auto"/>
          <w:szCs w:val="21"/>
          <w:highlight w:val="none"/>
        </w:rPr>
        <w:t>的</w:t>
      </w:r>
    </w:p>
    <w:p w14:paraId="36F29778">
      <w:pPr>
        <w:keepNext w:val="0"/>
        <w:keepLines w:val="0"/>
        <w:pageBreakBefore w:val="0"/>
        <w:widowControl w:val="0"/>
        <w:kinsoku/>
        <w:wordWrap/>
        <w:overflowPunct/>
        <w:topLinePunct w:val="0"/>
        <w:autoSpaceDE/>
        <w:autoSpaceDN/>
        <w:bidi w:val="0"/>
        <w:adjustRightInd/>
        <w:snapToGrid w:val="0"/>
        <w:spacing w:line="480" w:lineRule="exact"/>
        <w:ind w:firstLine="424" w:firstLineChars="202"/>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（1）评标委员会按照招标文件中规定的评标方法及评标标准，对符合性审查合格的投标文件报价进行比较。</w:t>
      </w:r>
    </w:p>
    <w:p w14:paraId="2CCB115C">
      <w:pPr>
        <w:keepNext w:val="0"/>
        <w:keepLines w:val="0"/>
        <w:pageBreakBefore w:val="0"/>
        <w:widowControl w:val="0"/>
        <w:kinsoku/>
        <w:wordWrap/>
        <w:overflowPunct/>
        <w:topLinePunct w:val="0"/>
        <w:autoSpaceDE/>
        <w:autoSpaceDN/>
        <w:bidi w:val="0"/>
        <w:adjustRightInd/>
        <w:snapToGrid w:val="0"/>
        <w:spacing w:line="480" w:lineRule="exact"/>
        <w:ind w:firstLine="424" w:firstLineChars="202"/>
        <w:jc w:val="left"/>
        <w:textAlignment w:val="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Cs w:val="21"/>
          <w:highlight w:val="none"/>
        </w:rPr>
        <w:t>投标人不能证明其报价合理性的，评标委员会将其作为无效投标处理。</w:t>
      </w:r>
    </w:p>
    <w:p w14:paraId="2E317399">
      <w:pPr>
        <w:keepNext w:val="0"/>
        <w:keepLines w:val="0"/>
        <w:pageBreakBefore w:val="0"/>
        <w:widowControl w:val="0"/>
        <w:kinsoku/>
        <w:wordWrap/>
        <w:overflowPunct/>
        <w:topLinePunct w:val="0"/>
        <w:autoSpaceDE/>
        <w:autoSpaceDN/>
        <w:bidi w:val="0"/>
        <w:adjustRightInd/>
        <w:snapToGrid w:val="0"/>
        <w:spacing w:line="480" w:lineRule="exact"/>
        <w:ind w:firstLine="424" w:firstLineChars="202"/>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（3）评标委员会按照招标文件中的规定推荐中标候选人。</w:t>
      </w:r>
    </w:p>
    <w:p w14:paraId="091B51B9">
      <w:pPr>
        <w:keepNext w:val="0"/>
        <w:keepLines w:val="0"/>
        <w:pageBreakBefore w:val="0"/>
        <w:widowControl w:val="0"/>
        <w:kinsoku/>
        <w:wordWrap/>
        <w:overflowPunct/>
        <w:topLinePunct w:val="0"/>
        <w:autoSpaceDE/>
        <w:autoSpaceDN/>
        <w:bidi w:val="0"/>
        <w:adjustRightInd/>
        <w:snapToGrid w:val="0"/>
        <w:spacing w:line="480" w:lineRule="exact"/>
        <w:ind w:firstLine="424" w:firstLineChars="202"/>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87111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56794FE">
      <w:pPr>
        <w:pStyle w:val="3"/>
        <w:bidi w:val="0"/>
        <w:jc w:val="center"/>
        <w:rPr>
          <w:rFonts w:hint="eastAsia" w:ascii="宋体" w:hAnsi="宋体" w:eastAsia="宋体" w:cs="宋体"/>
          <w:color w:val="auto"/>
          <w:highlight w:val="none"/>
        </w:rPr>
      </w:pPr>
      <w:bookmarkStart w:id="131" w:name="_Toc643"/>
      <w:r>
        <w:rPr>
          <w:rFonts w:hint="eastAsia" w:ascii="宋体" w:hAnsi="宋体" w:eastAsia="宋体" w:cs="宋体"/>
          <w:color w:val="auto"/>
          <w:highlight w:val="none"/>
        </w:rPr>
        <w:t>第三节 评分标准</w:t>
      </w:r>
      <w:bookmarkEnd w:id="131"/>
    </w:p>
    <w:p w14:paraId="52B68748">
      <w:pPr>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综合评分法</w:t>
      </w:r>
    </w:p>
    <w:p w14:paraId="330B57E3">
      <w:pPr>
        <w:pStyle w:val="18"/>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注:</w:t>
      </w:r>
    </w:p>
    <w:p w14:paraId="60BA24AC">
      <w:pPr>
        <w:pStyle w:val="18"/>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1.本项目为服务项目，无节能产品、环境标志产品要求。</w:t>
      </w:r>
    </w:p>
    <w:p w14:paraId="08BA2DE4">
      <w:pPr>
        <w:pStyle w:val="18"/>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2.计分方法按四舍五入取至百分位</w:t>
      </w:r>
    </w:p>
    <w:tbl>
      <w:tblPr>
        <w:tblStyle w:val="35"/>
        <w:tblpPr w:leftFromText="180" w:rightFromText="180" w:vertAnchor="text" w:horzAnchor="page" w:tblpX="1080" w:tblpY="486"/>
        <w:tblOverlap w:val="never"/>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163"/>
        <w:gridCol w:w="6692"/>
        <w:gridCol w:w="1256"/>
      </w:tblGrid>
      <w:tr w14:paraId="2BF8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51A93614">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84" w:type="pct"/>
            <w:noWrap w:val="0"/>
            <w:vAlign w:val="center"/>
          </w:tcPr>
          <w:p w14:paraId="1334F4D7">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w:t>
            </w:r>
          </w:p>
          <w:p w14:paraId="392510CF">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因素</w:t>
            </w:r>
          </w:p>
        </w:tc>
        <w:tc>
          <w:tcPr>
            <w:tcW w:w="3361" w:type="pct"/>
            <w:noWrap w:val="0"/>
            <w:vAlign w:val="center"/>
          </w:tcPr>
          <w:p w14:paraId="0C9454F9">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629" w:type="pct"/>
            <w:noWrap w:val="0"/>
            <w:vAlign w:val="center"/>
          </w:tcPr>
          <w:p w14:paraId="2BC0316B">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3D66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0C23E33B">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584" w:type="pct"/>
            <w:noWrap w:val="0"/>
            <w:vAlign w:val="center"/>
          </w:tcPr>
          <w:p w14:paraId="5FEF564A">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w:t>
            </w:r>
          </w:p>
        </w:tc>
        <w:tc>
          <w:tcPr>
            <w:tcW w:w="3361" w:type="pct"/>
            <w:noWrap w:val="0"/>
            <w:vAlign w:val="center"/>
          </w:tcPr>
          <w:p w14:paraId="2BE3C527">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本次项目采用固定价格采购项目，固定经费为人民币1346万元整，依据《政府采购货物和服务招标投标管理办法》（财政部令第87号）第五十五条</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采用固定价格采购的项目，其价格不列为评审因素”</w:t>
            </w:r>
            <w:r>
              <w:rPr>
                <w:rFonts w:hint="eastAsia" w:ascii="宋体" w:hAnsi="宋体" w:eastAsia="宋体" w:cs="宋体"/>
                <w:b w:val="0"/>
                <w:bCs w:val="0"/>
                <w:color w:val="auto"/>
                <w:kern w:val="0"/>
                <w:sz w:val="21"/>
                <w:szCs w:val="21"/>
                <w:highlight w:val="none"/>
              </w:rPr>
              <w:t>，本次项目价格不列为评审因素。</w:t>
            </w:r>
          </w:p>
        </w:tc>
        <w:tc>
          <w:tcPr>
            <w:tcW w:w="629" w:type="pct"/>
            <w:noWrap w:val="0"/>
            <w:vAlign w:val="center"/>
          </w:tcPr>
          <w:p w14:paraId="7FE32313">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0分</w:t>
            </w:r>
          </w:p>
        </w:tc>
      </w:tr>
      <w:tr w14:paraId="66A7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4D00853D">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2</w:t>
            </w:r>
          </w:p>
        </w:tc>
        <w:tc>
          <w:tcPr>
            <w:tcW w:w="584" w:type="pct"/>
            <w:noWrap w:val="0"/>
            <w:vAlign w:val="center"/>
          </w:tcPr>
          <w:p w14:paraId="4981DB86">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技术分</w:t>
            </w:r>
          </w:p>
        </w:tc>
        <w:tc>
          <w:tcPr>
            <w:tcW w:w="3990" w:type="pct"/>
            <w:gridSpan w:val="2"/>
            <w:noWrap w:val="0"/>
            <w:vAlign w:val="top"/>
          </w:tcPr>
          <w:p w14:paraId="0EF0F5B9">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r>
      <w:tr w14:paraId="3DFE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shd w:val="clear" w:color="auto" w:fill="auto"/>
            <w:noWrap w:val="0"/>
            <w:vAlign w:val="center"/>
          </w:tcPr>
          <w:p w14:paraId="753DA15F">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p>
        </w:tc>
        <w:tc>
          <w:tcPr>
            <w:tcW w:w="584" w:type="pct"/>
            <w:shd w:val="clear" w:color="auto" w:fill="auto"/>
            <w:noWrap w:val="0"/>
            <w:vAlign w:val="center"/>
          </w:tcPr>
          <w:p w14:paraId="04A12589">
            <w:pPr>
              <w:keepNext w:val="0"/>
              <w:keepLines w:val="0"/>
              <w:pageBreakBefore w:val="0"/>
              <w:kinsoku/>
              <w:wordWrap w:val="0"/>
              <w:overflowPunct/>
              <w:topLinePunct w:val="0"/>
              <w:autoSpaceDE/>
              <w:autoSpaceDN/>
              <w:bidi w:val="0"/>
              <w:spacing w:line="4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承保服务方案</w:t>
            </w:r>
          </w:p>
        </w:tc>
        <w:tc>
          <w:tcPr>
            <w:tcW w:w="3361" w:type="pct"/>
            <w:shd w:val="clear" w:color="auto" w:fill="auto"/>
            <w:noWrap w:val="0"/>
            <w:vAlign w:val="center"/>
          </w:tcPr>
          <w:p w14:paraId="3F6C2A2B">
            <w:pPr>
              <w:pStyle w:val="126"/>
              <w:adjustRightInd w:val="0"/>
              <w:snapToGrid w:val="0"/>
              <w:spacing w:line="44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kern w:val="0"/>
                <w:szCs w:val="21"/>
                <w:highlight w:val="none"/>
                <w:lang w:val="en-US" w:eastAsia="zh-CN"/>
              </w:rPr>
              <w:t>由评标委员会根据投标人提交的</w:t>
            </w:r>
            <w:r>
              <w:rPr>
                <w:rFonts w:hint="eastAsia" w:cs="宋体"/>
                <w:bCs/>
                <w:color w:val="auto"/>
                <w:kern w:val="2"/>
                <w:sz w:val="21"/>
                <w:szCs w:val="21"/>
                <w:highlight w:val="none"/>
                <w:lang w:val="en-US" w:eastAsia="zh-CN" w:bidi="ar-SA"/>
              </w:rPr>
              <w:t>承保</w:t>
            </w:r>
            <w:r>
              <w:rPr>
                <w:rFonts w:hint="eastAsia" w:eastAsia="宋体" w:cs="宋体"/>
                <w:bCs/>
                <w:color w:val="auto"/>
                <w:kern w:val="2"/>
                <w:sz w:val="21"/>
                <w:szCs w:val="21"/>
                <w:highlight w:val="none"/>
                <w:lang w:val="en-US" w:eastAsia="zh-CN" w:bidi="ar-SA"/>
              </w:rPr>
              <w:t>服务方案</w:t>
            </w:r>
            <w:r>
              <w:rPr>
                <w:rFonts w:hint="eastAsia" w:ascii="Times New Roman" w:hAnsi="Times New Roman" w:eastAsia="宋体" w:cs="Times New Roman"/>
                <w:bCs/>
                <w:color w:val="auto"/>
                <w:kern w:val="0"/>
                <w:szCs w:val="21"/>
                <w:highlight w:val="none"/>
                <w:lang w:val="en-US" w:eastAsia="zh-CN"/>
              </w:rPr>
              <w:t>进行综合比较，</w:t>
            </w:r>
            <w:r>
              <w:rPr>
                <w:rFonts w:hint="eastAsia" w:eastAsia="宋体" w:cs="宋体"/>
                <w:color w:val="auto"/>
                <w:sz w:val="21"/>
                <w:szCs w:val="21"/>
                <w:highlight w:val="none"/>
                <w:lang w:val="en-US" w:eastAsia="zh-CN"/>
              </w:rPr>
              <w:t>评选标准包括对</w:t>
            </w:r>
            <w:r>
              <w:rPr>
                <w:rFonts w:hint="eastAsia" w:ascii="宋体" w:hAnsi="宋体" w:eastAsia="宋体" w:cs="宋体"/>
                <w:bCs/>
                <w:color w:val="auto"/>
                <w:kern w:val="2"/>
                <w:sz w:val="21"/>
                <w:szCs w:val="21"/>
                <w:highlight w:val="none"/>
                <w:lang w:val="en-US" w:eastAsia="zh-CN" w:bidi="ar-SA"/>
              </w:rPr>
              <w:t>项目理解的透彻性和全面性，重点难点分析的精准性和详尽性，以及能否提供具有针对性的解决方案和工作思路。此外，还需考察投标</w:t>
            </w:r>
            <w:r>
              <w:rPr>
                <w:rFonts w:hint="eastAsia" w:cs="宋体"/>
                <w:bCs/>
                <w:color w:val="auto"/>
                <w:kern w:val="2"/>
                <w:sz w:val="21"/>
                <w:szCs w:val="21"/>
                <w:highlight w:val="none"/>
                <w:lang w:val="en-US" w:eastAsia="zh-CN" w:bidi="ar-SA"/>
              </w:rPr>
              <w:t>人</w:t>
            </w:r>
            <w:r>
              <w:rPr>
                <w:rFonts w:hint="eastAsia" w:ascii="宋体" w:hAnsi="宋体" w:eastAsia="宋体" w:cs="宋体"/>
                <w:bCs/>
                <w:color w:val="auto"/>
                <w:kern w:val="2"/>
                <w:sz w:val="21"/>
                <w:szCs w:val="21"/>
                <w:highlight w:val="none"/>
                <w:lang w:val="en-US" w:eastAsia="zh-CN" w:bidi="ar-SA"/>
              </w:rPr>
              <w:t>对服务人员的管理办法和管理体系，以确保服务质量，并依据方案内容的合理性和可操作性进行</w:t>
            </w:r>
            <w:r>
              <w:rPr>
                <w:rFonts w:hint="eastAsia" w:cs="宋体"/>
                <w:bCs/>
                <w:color w:val="auto"/>
                <w:kern w:val="2"/>
                <w:sz w:val="21"/>
                <w:szCs w:val="21"/>
                <w:highlight w:val="none"/>
                <w:lang w:val="en-US" w:eastAsia="zh-CN" w:bidi="ar-SA"/>
              </w:rPr>
              <w:t>评审</w:t>
            </w:r>
            <w:r>
              <w:rPr>
                <w:rFonts w:hint="eastAsia" w:ascii="宋体" w:hAnsi="宋体" w:eastAsia="宋体" w:cs="宋体"/>
                <w:bCs/>
                <w:color w:val="auto"/>
                <w:kern w:val="2"/>
                <w:sz w:val="21"/>
                <w:szCs w:val="21"/>
                <w:highlight w:val="none"/>
                <w:lang w:val="en-US" w:eastAsia="zh-CN" w:bidi="ar-SA"/>
              </w:rPr>
              <w:t>。</w:t>
            </w:r>
          </w:p>
          <w:p w14:paraId="2782C479">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eastAsia="宋体"/>
                <w:color w:val="auto"/>
                <w:highlight w:val="none"/>
                <w:lang w:eastAsia="zh-CN"/>
              </w:rPr>
            </w:pPr>
            <w:r>
              <w:rPr>
                <w:rFonts w:hint="eastAsia" w:ascii="宋体" w:hAnsi="宋体" w:eastAsia="宋体" w:cs="宋体"/>
                <w:bCs/>
                <w:color w:val="auto"/>
                <w:kern w:val="2"/>
                <w:sz w:val="21"/>
                <w:szCs w:val="21"/>
                <w:highlight w:val="none"/>
                <w:lang w:val="en-US" w:eastAsia="zh-CN" w:bidi="ar-SA"/>
              </w:rPr>
              <w:t>一档（1分）：方案中对本项目实际情况理解较为欠缺，</w:t>
            </w:r>
            <w:r>
              <w:rPr>
                <w:rFonts w:hint="eastAsia" w:ascii="宋体" w:hAnsi="宋体" w:cs="宋体"/>
                <w:bCs/>
                <w:color w:val="auto"/>
                <w:kern w:val="2"/>
                <w:sz w:val="21"/>
                <w:szCs w:val="21"/>
                <w:highlight w:val="none"/>
                <w:lang w:val="en-US" w:eastAsia="zh-CN" w:bidi="ar-SA"/>
              </w:rPr>
              <w:t>未能针对本项目实际情况制定，</w:t>
            </w:r>
            <w:r>
              <w:rPr>
                <w:rFonts w:hint="eastAsia" w:ascii="宋体" w:hAnsi="宋体" w:eastAsia="宋体" w:cs="宋体"/>
                <w:bCs/>
                <w:color w:val="auto"/>
                <w:kern w:val="2"/>
                <w:sz w:val="21"/>
                <w:szCs w:val="21"/>
                <w:highlight w:val="none"/>
                <w:lang w:val="en-US" w:eastAsia="zh-CN" w:bidi="ar-SA"/>
              </w:rPr>
              <w:t>可操作性</w:t>
            </w:r>
            <w:r>
              <w:rPr>
                <w:rFonts w:hint="eastAsia" w:ascii="宋体" w:hAnsi="宋体" w:cs="宋体"/>
                <w:bCs/>
                <w:color w:val="auto"/>
                <w:kern w:val="2"/>
                <w:sz w:val="21"/>
                <w:szCs w:val="21"/>
                <w:highlight w:val="none"/>
                <w:lang w:val="en-US" w:eastAsia="zh-CN" w:bidi="ar-SA"/>
              </w:rPr>
              <w:t>较弱。</w:t>
            </w:r>
          </w:p>
          <w:p w14:paraId="1D1A0EC5">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二档（4分）：方案对本项目的实际情况有理解</w:t>
            </w:r>
            <w:r>
              <w:rPr>
                <w:rFonts w:hint="eastAsia" w:ascii="宋体" w:hAnsi="宋体" w:cs="宋体"/>
                <w:bCs/>
                <w:color w:val="auto"/>
                <w:kern w:val="2"/>
                <w:sz w:val="21"/>
                <w:szCs w:val="21"/>
                <w:highlight w:val="none"/>
                <w:lang w:val="en-US" w:eastAsia="zh-CN" w:bidi="ar-SA"/>
              </w:rPr>
              <w:t>且理解</w:t>
            </w:r>
            <w:r>
              <w:rPr>
                <w:rFonts w:hint="eastAsia" w:ascii="宋体" w:hAnsi="宋体" w:eastAsia="宋体" w:cs="宋体"/>
                <w:bCs/>
                <w:color w:val="auto"/>
                <w:kern w:val="2"/>
                <w:sz w:val="21"/>
                <w:szCs w:val="21"/>
                <w:highlight w:val="none"/>
                <w:lang w:val="en-US" w:eastAsia="zh-CN" w:bidi="ar-SA"/>
              </w:rPr>
              <w:t>较透彻，具备较强的针对性和可操作性。</w:t>
            </w:r>
          </w:p>
          <w:p w14:paraId="215519EC">
            <w:pPr>
              <w:pStyle w:val="126"/>
              <w:adjustRightInd w:val="0"/>
              <w:snapToGrid w:val="0"/>
              <w:spacing w:line="440" w:lineRule="exact"/>
              <w:ind w:firstLine="420" w:firstLineChars="200"/>
              <w:rPr>
                <w:rFonts w:hint="eastAsia" w:eastAsia="宋体"/>
                <w:color w:val="auto"/>
                <w:highlight w:val="none"/>
                <w:lang w:eastAsia="zh-CN"/>
              </w:rPr>
            </w:pPr>
            <w:r>
              <w:rPr>
                <w:rFonts w:hint="eastAsia" w:ascii="宋体" w:hAnsi="宋体" w:eastAsia="宋体" w:cs="宋体"/>
                <w:bCs/>
                <w:color w:val="auto"/>
                <w:kern w:val="2"/>
                <w:sz w:val="21"/>
                <w:szCs w:val="21"/>
                <w:highlight w:val="none"/>
                <w:lang w:val="en-US" w:eastAsia="zh-CN" w:bidi="ar-SA"/>
              </w:rPr>
              <w:t>三档（</w:t>
            </w:r>
            <w:r>
              <w:rPr>
                <w:rFonts w:hint="eastAsia" w:eastAsia="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分）：方案</w:t>
            </w:r>
            <w:r>
              <w:rPr>
                <w:rFonts w:hint="eastAsia" w:eastAsia="宋体" w:cs="宋体"/>
                <w:bCs/>
                <w:color w:val="auto"/>
                <w:kern w:val="2"/>
                <w:sz w:val="21"/>
                <w:szCs w:val="21"/>
                <w:highlight w:val="none"/>
                <w:lang w:val="en-US" w:eastAsia="zh-CN" w:bidi="ar-SA"/>
              </w:rPr>
              <w:t>能够深入理解</w:t>
            </w:r>
            <w:r>
              <w:rPr>
                <w:rFonts w:hint="eastAsia" w:ascii="宋体" w:hAnsi="宋体" w:eastAsia="宋体" w:cs="宋体"/>
                <w:bCs/>
                <w:color w:val="auto"/>
                <w:kern w:val="2"/>
                <w:sz w:val="21"/>
                <w:szCs w:val="21"/>
                <w:highlight w:val="none"/>
                <w:lang w:val="en-US" w:eastAsia="zh-CN" w:bidi="ar-SA"/>
              </w:rPr>
              <w:t>本项目的实际情况，具有较强的</w:t>
            </w:r>
            <w:r>
              <w:rPr>
                <w:rFonts w:hint="eastAsia" w:cs="宋体"/>
                <w:bCs/>
                <w:color w:val="auto"/>
                <w:kern w:val="2"/>
                <w:sz w:val="21"/>
                <w:szCs w:val="21"/>
                <w:highlight w:val="none"/>
                <w:lang w:val="en-US" w:eastAsia="zh-CN" w:bidi="ar-SA"/>
              </w:rPr>
              <w:t>针对性，</w:t>
            </w:r>
            <w:r>
              <w:rPr>
                <w:rFonts w:hint="eastAsia" w:ascii="宋体" w:hAnsi="宋体" w:eastAsia="宋体" w:cs="宋体"/>
                <w:bCs/>
                <w:color w:val="auto"/>
                <w:kern w:val="2"/>
                <w:sz w:val="21"/>
                <w:szCs w:val="21"/>
                <w:highlight w:val="none"/>
                <w:lang w:val="en-US" w:eastAsia="zh-CN" w:bidi="ar-SA"/>
              </w:rPr>
              <w:t>设计科学且合理，具备较高的可操作性。</w:t>
            </w:r>
          </w:p>
          <w:p w14:paraId="0DF41BA0">
            <w:pPr>
              <w:pStyle w:val="126"/>
              <w:adjustRightInd w:val="0"/>
              <w:snapToGrid w:val="0"/>
              <w:spacing w:line="440" w:lineRule="exact"/>
              <w:ind w:firstLine="420" w:firstLineChars="200"/>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四档（</w:t>
            </w:r>
            <w:r>
              <w:rPr>
                <w:rFonts w:hint="eastAsia" w:eastAsia="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分）：方案对本项目的实际情况理解深刻且透彻，</w:t>
            </w:r>
            <w:r>
              <w:rPr>
                <w:rFonts w:hint="eastAsia" w:cs="宋体"/>
                <w:bCs/>
                <w:color w:val="auto"/>
                <w:kern w:val="2"/>
                <w:sz w:val="21"/>
                <w:szCs w:val="21"/>
                <w:highlight w:val="none"/>
                <w:lang w:val="en-US" w:eastAsia="zh-CN" w:bidi="ar-SA"/>
              </w:rPr>
              <w:t>针对性强，</w:t>
            </w:r>
            <w:r>
              <w:rPr>
                <w:rFonts w:hint="eastAsia" w:ascii="宋体" w:hAnsi="宋体" w:eastAsia="宋体" w:cs="宋体"/>
                <w:bCs/>
                <w:color w:val="auto"/>
                <w:kern w:val="2"/>
                <w:sz w:val="21"/>
                <w:szCs w:val="21"/>
                <w:highlight w:val="none"/>
                <w:lang w:val="en-US" w:eastAsia="zh-CN" w:bidi="ar-SA"/>
              </w:rPr>
              <w:t>设计科学且合理，紧密契合实际需求，具备高度可操作性</w:t>
            </w:r>
            <w:r>
              <w:rPr>
                <w:rFonts w:hint="eastAsia" w:eastAsia="宋体" w:cs="宋体"/>
                <w:bCs/>
                <w:color w:val="auto"/>
                <w:kern w:val="2"/>
                <w:sz w:val="21"/>
                <w:szCs w:val="21"/>
                <w:highlight w:val="none"/>
                <w:lang w:val="en-US" w:eastAsia="zh-CN" w:bidi="ar-SA"/>
              </w:rPr>
              <w:t>。</w:t>
            </w:r>
          </w:p>
        </w:tc>
        <w:tc>
          <w:tcPr>
            <w:tcW w:w="629" w:type="pct"/>
            <w:shd w:val="clear" w:color="auto" w:fill="auto"/>
            <w:noWrap w:val="0"/>
            <w:vAlign w:val="center"/>
          </w:tcPr>
          <w:p w14:paraId="0DC9DC7E">
            <w:pPr>
              <w:keepNext w:val="0"/>
              <w:keepLines w:val="0"/>
              <w:widowControl/>
              <w:suppressLineNumbers w:val="0"/>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此项满分10分</w:t>
            </w:r>
          </w:p>
        </w:tc>
      </w:tr>
      <w:tr w14:paraId="07FB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shd w:val="clear" w:color="auto" w:fill="auto"/>
            <w:noWrap w:val="0"/>
            <w:vAlign w:val="center"/>
          </w:tcPr>
          <w:p w14:paraId="7FEDB858">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584" w:type="pct"/>
            <w:shd w:val="clear" w:color="auto" w:fill="auto"/>
            <w:noWrap w:val="0"/>
            <w:vAlign w:val="center"/>
          </w:tcPr>
          <w:p w14:paraId="233EBE7B">
            <w:pPr>
              <w:keepNext w:val="0"/>
              <w:keepLines w:val="0"/>
              <w:pageBreakBefore w:val="0"/>
              <w:kinsoku/>
              <w:wordWrap w:val="0"/>
              <w:overflowPunct/>
              <w:topLinePunct w:val="0"/>
              <w:autoSpaceDE/>
              <w:autoSpaceDN/>
              <w:bidi w:val="0"/>
              <w:spacing w:line="480" w:lineRule="exact"/>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服务人员</w:t>
            </w:r>
            <w:r>
              <w:rPr>
                <w:rFonts w:hint="eastAsia" w:ascii="宋体" w:hAnsi="宋体" w:cs="宋体"/>
                <w:bCs/>
                <w:color w:val="auto"/>
                <w:kern w:val="2"/>
                <w:sz w:val="21"/>
                <w:szCs w:val="21"/>
                <w:highlight w:val="none"/>
                <w:lang w:val="en-US" w:eastAsia="zh-CN" w:bidi="ar-SA"/>
              </w:rPr>
              <w:t>配备方案</w:t>
            </w:r>
          </w:p>
        </w:tc>
        <w:tc>
          <w:tcPr>
            <w:tcW w:w="3361" w:type="pct"/>
            <w:shd w:val="clear" w:color="auto" w:fill="auto"/>
            <w:noWrap w:val="0"/>
            <w:vAlign w:val="center"/>
          </w:tcPr>
          <w:p w14:paraId="66D421A8">
            <w:pPr>
              <w:pStyle w:val="126"/>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本项目需要配备专门的服务团队，根据</w:t>
            </w:r>
            <w:r>
              <w:rPr>
                <w:rFonts w:hint="eastAsia" w:cs="宋体"/>
                <w:bCs/>
                <w:color w:val="auto"/>
                <w:kern w:val="2"/>
                <w:sz w:val="21"/>
                <w:szCs w:val="21"/>
                <w:highlight w:val="none"/>
                <w:lang w:val="en-US" w:eastAsia="zh-CN" w:bidi="ar-SA"/>
              </w:rPr>
              <w:t>团队配置情况</w:t>
            </w:r>
            <w:r>
              <w:rPr>
                <w:rFonts w:hint="eastAsia" w:ascii="宋体" w:hAnsi="宋体" w:cs="宋体"/>
                <w:bCs/>
                <w:color w:val="auto"/>
                <w:kern w:val="2"/>
                <w:sz w:val="21"/>
                <w:szCs w:val="21"/>
                <w:highlight w:val="none"/>
                <w:lang w:val="en-US" w:eastAsia="zh-CN" w:bidi="ar-SA"/>
              </w:rPr>
              <w:t>进行评分</w:t>
            </w:r>
            <w:r>
              <w:rPr>
                <w:rFonts w:hint="eastAsia" w:ascii="宋体" w:hAnsi="宋体" w:eastAsia="宋体" w:cs="宋体"/>
                <w:bCs/>
                <w:color w:val="auto"/>
                <w:kern w:val="2"/>
                <w:sz w:val="21"/>
                <w:szCs w:val="21"/>
                <w:highlight w:val="none"/>
                <w:lang w:val="en-US" w:eastAsia="zh-CN" w:bidi="ar-SA"/>
              </w:rPr>
              <w:t>：</w:t>
            </w:r>
          </w:p>
          <w:p w14:paraId="6736E940">
            <w:pPr>
              <w:pStyle w:val="126"/>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一档（</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投标人</w:t>
            </w:r>
            <w:r>
              <w:rPr>
                <w:rFonts w:hint="eastAsia" w:cs="宋体"/>
                <w:bCs/>
                <w:color w:val="auto"/>
                <w:kern w:val="2"/>
                <w:sz w:val="21"/>
                <w:szCs w:val="21"/>
                <w:highlight w:val="none"/>
                <w:lang w:val="en-US" w:eastAsia="zh-CN" w:bidi="ar-SA"/>
              </w:rPr>
              <w:t>仅</w:t>
            </w:r>
            <w:r>
              <w:rPr>
                <w:rFonts w:hint="eastAsia" w:ascii="宋体" w:hAnsi="宋体" w:cs="宋体"/>
                <w:bCs/>
                <w:color w:val="auto"/>
                <w:kern w:val="2"/>
                <w:sz w:val="21"/>
                <w:szCs w:val="21"/>
                <w:highlight w:val="none"/>
                <w:lang w:val="en-US" w:eastAsia="zh-CN" w:bidi="ar-SA"/>
              </w:rPr>
              <w:t>针对本项目建立专门的服务团队，但未配备医学背景的服务人员；</w:t>
            </w:r>
          </w:p>
          <w:p w14:paraId="2C04F668">
            <w:pPr>
              <w:pStyle w:val="126"/>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default" w:ascii="宋体" w:hAnsi="宋体" w:cs="宋体" w:eastAsiaTheme="minorEastAsia"/>
                <w:bCs/>
                <w:color w:val="auto"/>
                <w:kern w:val="2"/>
                <w:sz w:val="21"/>
                <w:szCs w:val="21"/>
                <w:highlight w:val="none"/>
                <w:lang w:val="en-US" w:eastAsia="zh-CN" w:bidi="ar-SA"/>
              </w:rPr>
            </w:pPr>
            <w:r>
              <w:rPr>
                <w:rFonts w:hint="eastAsia" w:eastAsia="宋体" w:cs="宋体"/>
                <w:bCs/>
                <w:color w:val="auto"/>
                <w:kern w:val="2"/>
                <w:sz w:val="21"/>
                <w:szCs w:val="21"/>
                <w:highlight w:val="none"/>
                <w:lang w:val="en-US" w:eastAsia="zh-CN" w:bidi="ar-SA"/>
              </w:rPr>
              <w:t>二</w:t>
            </w:r>
            <w:r>
              <w:rPr>
                <w:rFonts w:hint="eastAsia" w:ascii="宋体" w:hAnsi="宋体" w:eastAsia="宋体" w:cs="宋体"/>
                <w:bCs/>
                <w:color w:val="auto"/>
                <w:kern w:val="2"/>
                <w:sz w:val="21"/>
                <w:szCs w:val="21"/>
                <w:highlight w:val="none"/>
                <w:lang w:val="en-US" w:eastAsia="zh-CN" w:bidi="ar-SA"/>
              </w:rPr>
              <w:t>档</w:t>
            </w:r>
            <w:r>
              <w:rPr>
                <w:rFonts w:hint="eastAsia" w:ascii="宋体" w:hAnsi="宋体" w:cs="宋体"/>
                <w:bCs/>
                <w:color w:val="auto"/>
                <w:kern w:val="2"/>
                <w:sz w:val="21"/>
                <w:szCs w:val="21"/>
                <w:highlight w:val="none"/>
                <w:lang w:val="en-US" w:eastAsia="zh-CN" w:bidi="ar-SA"/>
              </w:rPr>
              <w:t>（4分）：投标人针对本项目建立专门的服务团队，并配备</w:t>
            </w:r>
            <w:r>
              <w:rPr>
                <w:rFonts w:hint="eastAsia" w:cs="宋体" w:asciiTheme="minorEastAsia" w:hAnsiTheme="minorEastAsia" w:eastAsiaTheme="minorEastAsia"/>
                <w:color w:val="auto"/>
                <w:szCs w:val="21"/>
                <w:highlight w:val="none"/>
                <w:lang w:val="en-US" w:eastAsia="zh-CN"/>
              </w:rPr>
              <w:t>2人（含）到3人（含）</w:t>
            </w:r>
            <w:r>
              <w:rPr>
                <w:rFonts w:hint="eastAsia" w:ascii="宋体" w:hAnsi="宋体" w:cs="宋体" w:eastAsiaTheme="minorEastAsia"/>
                <w:bCs/>
                <w:color w:val="auto"/>
                <w:kern w:val="2"/>
                <w:sz w:val="21"/>
                <w:szCs w:val="21"/>
                <w:highlight w:val="none"/>
                <w:lang w:val="en-US" w:eastAsia="zh-CN" w:bidi="ar-SA"/>
              </w:rPr>
              <w:t>具有</w:t>
            </w:r>
            <w:r>
              <w:rPr>
                <w:rFonts w:hint="eastAsia" w:cs="宋体"/>
                <w:bCs/>
                <w:color w:val="auto"/>
                <w:kern w:val="2"/>
                <w:sz w:val="21"/>
                <w:szCs w:val="21"/>
                <w:highlight w:val="none"/>
                <w:lang w:val="en-US" w:eastAsia="zh-CN" w:bidi="ar-SA"/>
              </w:rPr>
              <w:t>临床医院或护理学教育</w:t>
            </w:r>
            <w:r>
              <w:rPr>
                <w:rFonts w:hint="eastAsia" w:ascii="宋体" w:hAnsi="宋体" w:cs="宋体" w:eastAsiaTheme="minorEastAsia"/>
                <w:bCs/>
                <w:color w:val="auto"/>
                <w:kern w:val="2"/>
                <w:sz w:val="21"/>
                <w:szCs w:val="21"/>
                <w:highlight w:val="none"/>
                <w:lang w:val="en-US" w:eastAsia="zh-CN" w:bidi="ar-SA"/>
              </w:rPr>
              <w:t>背景的服务人员；</w:t>
            </w:r>
            <w:r>
              <w:rPr>
                <w:rFonts w:hint="eastAsia" w:eastAsia="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专职服务人员</w:t>
            </w:r>
            <w:r>
              <w:rPr>
                <w:rFonts w:hint="eastAsia" w:ascii="宋体" w:hAnsi="宋体" w:cs="宋体"/>
                <w:bCs/>
                <w:color w:val="auto"/>
                <w:kern w:val="2"/>
                <w:sz w:val="21"/>
                <w:szCs w:val="21"/>
                <w:highlight w:val="none"/>
                <w:lang w:val="en-US" w:eastAsia="zh-CN" w:bidi="ar-SA"/>
              </w:rPr>
              <w:t>须提交相关证明材料，包括但不限于毕业证书、职称证书以及相关执业资格证书等</w:t>
            </w:r>
            <w:r>
              <w:rPr>
                <w:rFonts w:hint="eastAsia" w:eastAsia="宋体" w:cs="宋体"/>
                <w:bCs/>
                <w:color w:val="auto"/>
                <w:kern w:val="2"/>
                <w:sz w:val="21"/>
                <w:szCs w:val="21"/>
                <w:highlight w:val="none"/>
                <w:lang w:val="en-US" w:eastAsia="zh-CN" w:bidi="ar-SA"/>
              </w:rPr>
              <w:t>）</w:t>
            </w:r>
          </w:p>
          <w:p w14:paraId="52AC1480">
            <w:pPr>
              <w:pStyle w:val="126"/>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三档（7分）：投标人针对本项目建立专门的服务团队，</w:t>
            </w:r>
            <w:r>
              <w:rPr>
                <w:rFonts w:hint="eastAsia" w:cs="宋体"/>
                <w:bCs/>
                <w:color w:val="auto"/>
                <w:kern w:val="2"/>
                <w:sz w:val="21"/>
                <w:szCs w:val="21"/>
                <w:highlight w:val="none"/>
                <w:lang w:val="en-US" w:eastAsia="zh-CN" w:bidi="ar-SA"/>
              </w:rPr>
              <w:t>团队配置设置合理</w:t>
            </w:r>
            <w:r>
              <w:rPr>
                <w:rFonts w:hint="eastAsia" w:ascii="宋体" w:hAnsi="宋体" w:cs="宋体"/>
                <w:bCs/>
                <w:color w:val="auto"/>
                <w:kern w:val="2"/>
                <w:sz w:val="21"/>
                <w:szCs w:val="21"/>
                <w:highlight w:val="none"/>
                <w:lang w:val="en-US" w:eastAsia="zh-CN" w:bidi="ar-SA"/>
              </w:rPr>
              <w:t>并配备</w:t>
            </w:r>
            <w:r>
              <w:rPr>
                <w:rFonts w:hint="eastAsia" w:cs="宋体" w:asciiTheme="minorEastAsia" w:hAnsiTheme="minorEastAsia" w:eastAsiaTheme="minorEastAsia"/>
                <w:color w:val="auto"/>
                <w:szCs w:val="21"/>
                <w:highlight w:val="none"/>
                <w:lang w:val="en-US" w:eastAsia="zh-CN"/>
              </w:rPr>
              <w:t>4人及以上</w:t>
            </w:r>
            <w:r>
              <w:rPr>
                <w:rFonts w:hint="eastAsia" w:ascii="宋体" w:hAnsi="宋体" w:cs="宋体" w:eastAsiaTheme="minorEastAsia"/>
                <w:bCs/>
                <w:color w:val="auto"/>
                <w:kern w:val="2"/>
                <w:sz w:val="21"/>
                <w:szCs w:val="21"/>
                <w:highlight w:val="none"/>
                <w:lang w:val="en-US" w:eastAsia="zh-CN" w:bidi="ar-SA"/>
              </w:rPr>
              <w:t>具有</w:t>
            </w:r>
            <w:r>
              <w:rPr>
                <w:rFonts w:hint="eastAsia" w:cs="宋体"/>
                <w:bCs/>
                <w:color w:val="auto"/>
                <w:kern w:val="2"/>
                <w:sz w:val="21"/>
                <w:szCs w:val="21"/>
                <w:highlight w:val="none"/>
                <w:lang w:val="en-US" w:eastAsia="zh-CN" w:bidi="ar-SA"/>
              </w:rPr>
              <w:t>临床医院或护理学教育</w:t>
            </w:r>
            <w:r>
              <w:rPr>
                <w:rFonts w:hint="eastAsia" w:ascii="宋体" w:hAnsi="宋体" w:cs="宋体" w:eastAsiaTheme="minorEastAsia"/>
                <w:bCs/>
                <w:color w:val="auto"/>
                <w:kern w:val="2"/>
                <w:sz w:val="21"/>
                <w:szCs w:val="21"/>
                <w:highlight w:val="none"/>
                <w:lang w:val="en-US" w:eastAsia="zh-CN" w:bidi="ar-SA"/>
              </w:rPr>
              <w:t>背景的服务人员；</w:t>
            </w:r>
            <w:r>
              <w:rPr>
                <w:rFonts w:hint="eastAsia" w:eastAsia="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专职服务人员</w:t>
            </w:r>
            <w:r>
              <w:rPr>
                <w:rFonts w:hint="eastAsia" w:ascii="宋体" w:hAnsi="宋体" w:cs="宋体"/>
                <w:bCs/>
                <w:color w:val="auto"/>
                <w:kern w:val="2"/>
                <w:sz w:val="21"/>
                <w:szCs w:val="21"/>
                <w:highlight w:val="none"/>
                <w:lang w:val="en-US" w:eastAsia="zh-CN" w:bidi="ar-SA"/>
              </w:rPr>
              <w:t>须提交相关证明材料，包括但不限于毕业证书、职称证书以及相关执业资格证书等</w:t>
            </w:r>
            <w:r>
              <w:rPr>
                <w:rFonts w:hint="eastAsia" w:eastAsia="宋体" w:cs="宋体"/>
                <w:bCs/>
                <w:color w:val="auto"/>
                <w:kern w:val="2"/>
                <w:sz w:val="21"/>
                <w:szCs w:val="21"/>
                <w:highlight w:val="none"/>
                <w:lang w:val="en-US" w:eastAsia="zh-CN" w:bidi="ar-SA"/>
              </w:rPr>
              <w:t>）</w:t>
            </w:r>
          </w:p>
          <w:p w14:paraId="74883B6F">
            <w:pPr>
              <w:pStyle w:val="126"/>
              <w:adjustRightInd w:val="0"/>
              <w:snapToGrid w:val="0"/>
              <w:spacing w:line="44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四</w:t>
            </w:r>
            <w:r>
              <w:rPr>
                <w:rFonts w:hint="eastAsia" w:ascii="宋体" w:hAnsi="宋体" w:eastAsia="宋体" w:cs="宋体"/>
                <w:bCs/>
                <w:color w:val="auto"/>
                <w:kern w:val="2"/>
                <w:sz w:val="21"/>
                <w:szCs w:val="21"/>
                <w:highlight w:val="none"/>
                <w:lang w:val="en-US" w:eastAsia="zh-CN" w:bidi="ar-SA"/>
              </w:rPr>
              <w:t>档（</w:t>
            </w:r>
            <w:r>
              <w:rPr>
                <w:rFonts w:hint="eastAsia" w:eastAsia="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投标人针对本项目建立专门的服务团队，</w:t>
            </w:r>
            <w:r>
              <w:rPr>
                <w:rFonts w:hint="eastAsia" w:cs="宋体"/>
                <w:bCs/>
                <w:color w:val="auto"/>
                <w:kern w:val="2"/>
                <w:sz w:val="21"/>
                <w:szCs w:val="21"/>
                <w:highlight w:val="none"/>
                <w:lang w:val="en-US" w:eastAsia="zh-CN" w:bidi="ar-SA"/>
              </w:rPr>
              <w:t>团队配置体系完善且科学、合理，</w:t>
            </w:r>
            <w:r>
              <w:rPr>
                <w:rFonts w:hint="eastAsia" w:ascii="宋体" w:hAnsi="宋体" w:cs="宋体"/>
                <w:bCs/>
                <w:color w:val="auto"/>
                <w:kern w:val="2"/>
                <w:sz w:val="21"/>
                <w:szCs w:val="21"/>
                <w:highlight w:val="none"/>
                <w:lang w:val="en-US" w:eastAsia="zh-CN" w:bidi="ar-SA"/>
              </w:rPr>
              <w:t>并配备</w:t>
            </w:r>
            <w:r>
              <w:rPr>
                <w:rFonts w:hint="eastAsia" w:cs="宋体"/>
                <w:bCs/>
                <w:color w:val="auto"/>
                <w:kern w:val="2"/>
                <w:sz w:val="21"/>
                <w:szCs w:val="21"/>
                <w:highlight w:val="none"/>
                <w:lang w:val="en-US" w:eastAsia="zh-CN" w:bidi="ar-SA"/>
              </w:rPr>
              <w:t>6人</w:t>
            </w:r>
            <w:r>
              <w:rPr>
                <w:rFonts w:hint="eastAsia" w:ascii="宋体" w:hAnsi="宋体" w:cs="宋体" w:eastAsiaTheme="minorEastAsia"/>
                <w:bCs/>
                <w:color w:val="auto"/>
                <w:kern w:val="2"/>
                <w:sz w:val="21"/>
                <w:szCs w:val="21"/>
                <w:highlight w:val="none"/>
                <w:lang w:val="en-US" w:eastAsia="zh-CN" w:bidi="ar-SA"/>
              </w:rPr>
              <w:t>（含）以上具有</w:t>
            </w:r>
            <w:r>
              <w:rPr>
                <w:rFonts w:hint="eastAsia" w:cs="宋体"/>
                <w:bCs/>
                <w:color w:val="auto"/>
                <w:kern w:val="2"/>
                <w:sz w:val="21"/>
                <w:szCs w:val="21"/>
                <w:highlight w:val="none"/>
                <w:lang w:val="en-US" w:eastAsia="zh-CN" w:bidi="ar-SA"/>
              </w:rPr>
              <w:t>临床医院或护理学教育</w:t>
            </w:r>
            <w:r>
              <w:rPr>
                <w:rFonts w:hint="eastAsia" w:ascii="宋体" w:hAnsi="宋体" w:cs="宋体" w:eastAsiaTheme="minorEastAsia"/>
                <w:bCs/>
                <w:color w:val="auto"/>
                <w:kern w:val="2"/>
                <w:sz w:val="21"/>
                <w:szCs w:val="21"/>
                <w:highlight w:val="none"/>
                <w:lang w:val="en-US" w:eastAsia="zh-CN" w:bidi="ar-SA"/>
              </w:rPr>
              <w:t>背景的服务人员</w:t>
            </w:r>
            <w:r>
              <w:rPr>
                <w:rFonts w:hint="eastAsia" w:cs="宋体" w:eastAsiaTheme="minorEastAsia"/>
                <w:bCs/>
                <w:color w:val="auto"/>
                <w:kern w:val="2"/>
                <w:sz w:val="21"/>
                <w:szCs w:val="21"/>
                <w:highlight w:val="none"/>
                <w:lang w:val="en-US" w:eastAsia="zh-CN" w:bidi="ar-SA"/>
              </w:rPr>
              <w:t>。</w:t>
            </w:r>
            <w:r>
              <w:rPr>
                <w:rFonts w:hint="eastAsia" w:eastAsia="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专职服务人员</w:t>
            </w:r>
            <w:r>
              <w:rPr>
                <w:rFonts w:hint="eastAsia" w:ascii="宋体" w:hAnsi="宋体" w:cs="宋体"/>
                <w:bCs/>
                <w:color w:val="auto"/>
                <w:kern w:val="2"/>
                <w:sz w:val="21"/>
                <w:szCs w:val="21"/>
                <w:highlight w:val="none"/>
                <w:lang w:val="en-US" w:eastAsia="zh-CN" w:bidi="ar-SA"/>
              </w:rPr>
              <w:t>须提交相关证明材料，包括但不限于毕业证书、职称证书以及相关执业资格证书等</w:t>
            </w:r>
            <w:r>
              <w:rPr>
                <w:rFonts w:hint="eastAsia" w:eastAsia="宋体" w:cs="宋体"/>
                <w:bCs/>
                <w:color w:val="auto"/>
                <w:kern w:val="2"/>
                <w:sz w:val="21"/>
                <w:szCs w:val="21"/>
                <w:highlight w:val="none"/>
                <w:lang w:val="en-US" w:eastAsia="zh-CN" w:bidi="ar-SA"/>
              </w:rPr>
              <w:t>）。</w:t>
            </w:r>
          </w:p>
        </w:tc>
        <w:tc>
          <w:tcPr>
            <w:tcW w:w="629" w:type="pct"/>
            <w:shd w:val="clear" w:color="auto" w:fill="auto"/>
            <w:noWrap w:val="0"/>
            <w:vAlign w:val="center"/>
          </w:tcPr>
          <w:p w14:paraId="5F451FAF">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此项满分10分</w:t>
            </w:r>
          </w:p>
        </w:tc>
      </w:tr>
      <w:tr w14:paraId="5865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24" w:type="pct"/>
            <w:shd w:val="clear" w:color="auto" w:fill="auto"/>
            <w:noWrap w:val="0"/>
            <w:vAlign w:val="center"/>
          </w:tcPr>
          <w:p w14:paraId="4F956EF6">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584" w:type="pct"/>
            <w:shd w:val="clear" w:color="auto" w:fill="auto"/>
            <w:noWrap w:val="0"/>
            <w:vAlign w:val="center"/>
          </w:tcPr>
          <w:p w14:paraId="53FC1990">
            <w:pPr>
              <w:keepNext w:val="0"/>
              <w:keepLines w:val="0"/>
              <w:pageBreakBefore w:val="0"/>
              <w:kinsoku/>
              <w:wordWrap w:val="0"/>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照护人员管理方案</w:t>
            </w:r>
          </w:p>
        </w:tc>
        <w:tc>
          <w:tcPr>
            <w:tcW w:w="3361" w:type="pct"/>
            <w:shd w:val="clear" w:color="auto" w:fill="auto"/>
            <w:noWrap w:val="0"/>
            <w:vAlign w:val="center"/>
          </w:tcPr>
          <w:p w14:paraId="7786C63B">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1.服务质量承诺：方案</w:t>
            </w:r>
            <w:r>
              <w:rPr>
                <w:rFonts w:hint="eastAsia" w:ascii="宋体" w:hAnsi="宋体" w:cs="宋体"/>
                <w:bCs/>
                <w:color w:val="auto"/>
                <w:kern w:val="2"/>
                <w:sz w:val="21"/>
                <w:szCs w:val="21"/>
                <w:highlight w:val="none"/>
                <w:lang w:val="en-US" w:eastAsia="zh-CN" w:bidi="ar-SA"/>
              </w:rPr>
              <w:t>中承诺</w:t>
            </w:r>
            <w:r>
              <w:rPr>
                <w:rFonts w:hint="eastAsia" w:ascii="宋体" w:hAnsi="宋体" w:eastAsia="宋体" w:cs="宋体"/>
                <w:bCs/>
                <w:color w:val="auto"/>
                <w:kern w:val="2"/>
                <w:sz w:val="21"/>
                <w:szCs w:val="21"/>
                <w:highlight w:val="none"/>
                <w:lang w:val="en-US" w:eastAsia="zh-CN" w:bidi="ar-SA"/>
              </w:rPr>
              <w:t>满足对照护人员的监督检查的抽查比例不低于30%，且每季度对照护人员的照护质量跟踪回访率达到90%以上的，得5分</w:t>
            </w:r>
            <w:r>
              <w:rPr>
                <w:rFonts w:hint="eastAsia" w:ascii="宋体" w:hAnsi="宋体" w:cs="宋体"/>
                <w:bCs/>
                <w:color w:val="auto"/>
                <w:kern w:val="2"/>
                <w:sz w:val="21"/>
                <w:szCs w:val="21"/>
                <w:highlight w:val="none"/>
                <w:lang w:val="en-US" w:eastAsia="zh-CN" w:bidi="ar-SA"/>
              </w:rPr>
              <w:t>，此项满分5分（投标人须提供加盖公章（或电子公章）</w:t>
            </w:r>
            <w:r>
              <w:rPr>
                <w:rFonts w:hint="eastAsia" w:ascii="宋体" w:hAnsi="宋体" w:eastAsia="宋体" w:cs="宋体"/>
                <w:bCs/>
                <w:color w:val="auto"/>
                <w:kern w:val="2"/>
                <w:sz w:val="21"/>
                <w:szCs w:val="21"/>
                <w:highlight w:val="none"/>
                <w:lang w:val="en-US" w:eastAsia="zh-CN" w:bidi="ar-SA"/>
              </w:rPr>
              <w:t>章书面承诺，否则不给予加分</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w:t>
            </w:r>
          </w:p>
          <w:p w14:paraId="3B8A1232">
            <w:pPr>
              <w:keepNext w:val="0"/>
              <w:keepLines w:val="0"/>
              <w:pageBreakBefore w:val="0"/>
              <w:kinsoku/>
              <w:wordWrap w:val="0"/>
              <w:overflowPunct/>
              <w:topLinePunct w:val="0"/>
              <w:autoSpaceDE/>
              <w:autoSpaceDN/>
              <w:bidi w:val="0"/>
              <w:spacing w:line="480" w:lineRule="exact"/>
              <w:ind w:firstLine="420" w:firstLineChars="200"/>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eastAsia" w:ascii="Times New Roman" w:hAnsi="Times New Roman" w:eastAsia="宋体" w:cs="Times New Roman"/>
                <w:bCs/>
                <w:color w:val="auto"/>
                <w:kern w:val="0"/>
                <w:szCs w:val="21"/>
                <w:highlight w:val="none"/>
                <w:lang w:val="en-US" w:eastAsia="zh-CN"/>
              </w:rPr>
              <w:t>由评标委员会根据</w:t>
            </w:r>
            <w:r>
              <w:rPr>
                <w:rFonts w:hint="eastAsia" w:ascii="宋体" w:hAnsi="宋体" w:eastAsia="宋体" w:cs="宋体"/>
                <w:bCs/>
                <w:color w:val="auto"/>
                <w:kern w:val="2"/>
                <w:sz w:val="21"/>
                <w:szCs w:val="21"/>
                <w:highlight w:val="none"/>
                <w:lang w:val="en-US" w:eastAsia="zh-CN" w:bidi="ar-SA"/>
              </w:rPr>
              <w:t>投标人提供的照护人员管理方案</w:t>
            </w:r>
            <w:r>
              <w:rPr>
                <w:rFonts w:hint="eastAsia" w:ascii="宋体" w:hAnsi="宋体" w:cs="宋体"/>
                <w:bCs/>
                <w:color w:val="auto"/>
                <w:kern w:val="2"/>
                <w:sz w:val="21"/>
                <w:szCs w:val="21"/>
                <w:highlight w:val="none"/>
                <w:lang w:val="en-US" w:eastAsia="zh-CN" w:bidi="ar-SA"/>
              </w:rPr>
              <w:t>进行评审，</w:t>
            </w:r>
            <w:r>
              <w:rPr>
                <w:rFonts w:hint="eastAsia" w:ascii="宋体" w:hAnsi="宋体" w:eastAsia="宋体" w:cs="宋体"/>
                <w:bCs/>
                <w:color w:val="auto"/>
                <w:kern w:val="2"/>
                <w:sz w:val="21"/>
                <w:szCs w:val="21"/>
                <w:highlight w:val="none"/>
                <w:lang w:val="en-US" w:eastAsia="zh-CN" w:bidi="ar-SA"/>
              </w:rPr>
              <w:t>方案内容包括对照护人员照护行为监督检查和照护质量跟踪巡查</w:t>
            </w:r>
            <w:r>
              <w:rPr>
                <w:rFonts w:hint="eastAsia" w:ascii="宋体" w:hAnsi="宋体" w:cs="宋体"/>
                <w:bCs/>
                <w:color w:val="auto"/>
                <w:kern w:val="2"/>
                <w:sz w:val="21"/>
                <w:szCs w:val="21"/>
                <w:highlight w:val="none"/>
                <w:lang w:val="en-US" w:eastAsia="zh-CN" w:bidi="ar-SA"/>
              </w:rPr>
              <w:t>等，此项满分5分。</w:t>
            </w:r>
          </w:p>
          <w:p w14:paraId="0182B50B">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eastAsia="宋体"/>
                <w:color w:val="auto"/>
                <w:highlight w:val="none"/>
                <w:lang w:eastAsia="zh-CN"/>
              </w:rPr>
            </w:pPr>
            <w:r>
              <w:rPr>
                <w:rFonts w:hint="eastAsia" w:ascii="宋体" w:hAnsi="宋体" w:cs="宋体"/>
                <w:bCs/>
                <w:color w:val="auto"/>
                <w:kern w:val="2"/>
                <w:sz w:val="21"/>
                <w:szCs w:val="21"/>
                <w:highlight w:val="none"/>
                <w:lang w:val="en-US" w:eastAsia="zh-CN" w:bidi="ar-SA"/>
              </w:rPr>
              <w:t>一</w:t>
            </w:r>
            <w:r>
              <w:rPr>
                <w:rFonts w:hint="eastAsia" w:ascii="宋体" w:hAnsi="宋体" w:eastAsia="宋体" w:cs="宋体"/>
                <w:bCs/>
                <w:color w:val="auto"/>
                <w:kern w:val="2"/>
                <w:sz w:val="21"/>
                <w:szCs w:val="21"/>
                <w:highlight w:val="none"/>
                <w:lang w:val="en-US" w:eastAsia="zh-CN" w:bidi="ar-SA"/>
              </w:rPr>
              <w:t>档（</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分）：照护人员管理方案能针对本项目具体情况进行制定</w:t>
            </w:r>
            <w:r>
              <w:rPr>
                <w:rFonts w:hint="eastAsia" w:ascii="宋体" w:hAnsi="宋体" w:cs="宋体"/>
                <w:bCs/>
                <w:color w:val="auto"/>
                <w:kern w:val="2"/>
                <w:sz w:val="21"/>
                <w:szCs w:val="21"/>
                <w:highlight w:val="none"/>
                <w:lang w:val="en-US" w:eastAsia="zh-CN" w:bidi="ar-SA"/>
              </w:rPr>
              <w:t>。</w:t>
            </w:r>
          </w:p>
          <w:p w14:paraId="79BA6B91">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eastAsia="宋体"/>
                <w:color w:val="auto"/>
                <w:highlight w:val="none"/>
                <w:lang w:eastAsia="zh-CN"/>
              </w:rPr>
            </w:pPr>
            <w:r>
              <w:rPr>
                <w:rFonts w:hint="eastAsia" w:ascii="宋体" w:hAnsi="宋体" w:cs="宋体"/>
                <w:bCs/>
                <w:color w:val="auto"/>
                <w:kern w:val="2"/>
                <w:sz w:val="21"/>
                <w:szCs w:val="21"/>
                <w:highlight w:val="none"/>
                <w:lang w:val="en-US" w:eastAsia="zh-CN" w:bidi="ar-SA"/>
              </w:rPr>
              <w:t>二</w:t>
            </w:r>
            <w:r>
              <w:rPr>
                <w:rFonts w:hint="eastAsia" w:ascii="宋体" w:hAnsi="宋体" w:eastAsia="宋体" w:cs="宋体"/>
                <w:bCs/>
                <w:color w:val="auto"/>
                <w:kern w:val="2"/>
                <w:sz w:val="21"/>
                <w:szCs w:val="21"/>
                <w:highlight w:val="none"/>
                <w:lang w:val="en-US" w:eastAsia="zh-CN" w:bidi="ar-SA"/>
              </w:rPr>
              <w:t>档（</w:t>
            </w:r>
            <w:r>
              <w:rPr>
                <w:rFonts w:hint="eastAsia"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分）：照护人员管理方案较科学合理、较切合本项目实际且能针对本项目具体情况进行制定，可操作性较强</w:t>
            </w:r>
            <w:r>
              <w:rPr>
                <w:rFonts w:hint="eastAsia" w:ascii="宋体" w:hAnsi="宋体" w:cs="宋体"/>
                <w:bCs/>
                <w:color w:val="auto"/>
                <w:kern w:val="2"/>
                <w:sz w:val="21"/>
                <w:szCs w:val="21"/>
                <w:highlight w:val="none"/>
                <w:lang w:val="en-US" w:eastAsia="zh-CN" w:bidi="ar-SA"/>
              </w:rPr>
              <w:t>。</w:t>
            </w:r>
          </w:p>
          <w:p w14:paraId="0020ECE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三</w:t>
            </w:r>
            <w:r>
              <w:rPr>
                <w:rFonts w:hint="eastAsia" w:ascii="宋体" w:hAnsi="宋体" w:eastAsia="宋体" w:cs="宋体"/>
                <w:bCs/>
                <w:color w:val="auto"/>
                <w:kern w:val="2"/>
                <w:sz w:val="21"/>
                <w:szCs w:val="21"/>
                <w:highlight w:val="none"/>
                <w:lang w:val="en-US" w:eastAsia="zh-CN" w:bidi="ar-SA"/>
              </w:rPr>
              <w:t>档（</w:t>
            </w:r>
            <w:r>
              <w:rPr>
                <w:rFonts w:hint="eastAsia" w:eastAsia="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分）：照护人员管理方案较科学合理、较切合本项目实际且能针对本项目具体情况进行制定，监督检查和照护质量跟踪巡查内容具体详细，可操作性强。</w:t>
            </w:r>
          </w:p>
          <w:p w14:paraId="7EBAA92D">
            <w:pPr>
              <w:keepNext w:val="0"/>
              <w:keepLines w:val="0"/>
              <w:pageBreakBefore w:val="0"/>
              <w:kinsoku/>
              <w:wordWrap w:val="0"/>
              <w:overflowPunct/>
              <w:topLinePunct w:val="0"/>
              <w:autoSpaceDE/>
              <w:autoSpaceDN/>
              <w:bidi w:val="0"/>
              <w:spacing w:line="480" w:lineRule="exact"/>
              <w:ind w:firstLine="420" w:firstLineChars="200"/>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注：不满足一档要求的不得分。</w:t>
            </w:r>
          </w:p>
        </w:tc>
        <w:tc>
          <w:tcPr>
            <w:tcW w:w="629" w:type="pct"/>
            <w:shd w:val="clear" w:color="auto" w:fill="auto"/>
            <w:noWrap w:val="0"/>
            <w:vAlign w:val="center"/>
          </w:tcPr>
          <w:p w14:paraId="286A0BB2">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此项满分10分</w:t>
            </w:r>
          </w:p>
        </w:tc>
      </w:tr>
      <w:tr w14:paraId="2592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shd w:val="clear" w:color="auto" w:fill="auto"/>
            <w:noWrap w:val="0"/>
            <w:vAlign w:val="center"/>
          </w:tcPr>
          <w:p w14:paraId="4E8C2EA8">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584" w:type="pct"/>
            <w:shd w:val="clear" w:color="auto" w:fill="auto"/>
            <w:noWrap w:val="0"/>
            <w:vAlign w:val="center"/>
          </w:tcPr>
          <w:p w14:paraId="672E75E5">
            <w:pPr>
              <w:keepNext w:val="0"/>
              <w:keepLines w:val="0"/>
              <w:pageBreakBefore w:val="0"/>
              <w:kinsoku/>
              <w:wordWrap w:val="0"/>
              <w:overflowPunct/>
              <w:topLinePunct w:val="0"/>
              <w:autoSpaceDE/>
              <w:autoSpaceDN/>
              <w:bidi w:val="0"/>
              <w:spacing w:line="4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理赔服务方案</w:t>
            </w:r>
          </w:p>
        </w:tc>
        <w:tc>
          <w:tcPr>
            <w:tcW w:w="3361" w:type="pct"/>
            <w:shd w:val="clear" w:color="auto" w:fill="auto"/>
            <w:noWrap w:val="0"/>
            <w:vAlign w:val="center"/>
          </w:tcPr>
          <w:p w14:paraId="734AA9D1">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kern w:val="0"/>
                <w:szCs w:val="21"/>
                <w:highlight w:val="none"/>
                <w:lang w:val="en-US" w:eastAsia="zh-CN"/>
              </w:rPr>
              <w:t>由评标委员会根据</w:t>
            </w:r>
            <w:r>
              <w:rPr>
                <w:rFonts w:hint="eastAsia" w:ascii="宋体" w:hAnsi="宋体" w:eastAsia="宋体" w:cs="宋体"/>
                <w:bCs/>
                <w:color w:val="auto"/>
                <w:kern w:val="2"/>
                <w:sz w:val="21"/>
                <w:szCs w:val="21"/>
                <w:highlight w:val="none"/>
                <w:lang w:val="en-US" w:eastAsia="zh-CN" w:bidi="ar-SA"/>
              </w:rPr>
              <w:t>投标人提供理赔服务承诺、流程简明且符合本项目需求等内容进行评审</w:t>
            </w:r>
            <w:r>
              <w:rPr>
                <w:rFonts w:hint="eastAsia" w:ascii="宋体" w:hAnsi="宋体" w:cs="宋体"/>
                <w:bCs/>
                <w:color w:val="auto"/>
                <w:kern w:val="2"/>
                <w:sz w:val="21"/>
                <w:szCs w:val="21"/>
                <w:highlight w:val="none"/>
                <w:lang w:val="en-US" w:eastAsia="zh-CN" w:bidi="ar-SA"/>
              </w:rPr>
              <w:t>，具体内容如下</w:t>
            </w:r>
            <w:r>
              <w:rPr>
                <w:rFonts w:hint="eastAsia" w:ascii="宋体" w:hAnsi="宋体" w:eastAsia="宋体" w:cs="宋体"/>
                <w:bCs/>
                <w:color w:val="auto"/>
                <w:kern w:val="2"/>
                <w:sz w:val="21"/>
                <w:szCs w:val="21"/>
                <w:highlight w:val="none"/>
                <w:lang w:val="en-US" w:eastAsia="zh-CN" w:bidi="ar-SA"/>
              </w:rPr>
              <w:t>：</w:t>
            </w:r>
          </w:p>
          <w:p w14:paraId="26814354">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1.理赔服务承诺：设置统一的理赔服务专线、服务投诉专线，且在2小时内响应。同时成立疑难复杂案件小组，发生疑难复杂案件，需1个工作日内出具解决方案</w:t>
            </w:r>
            <w:r>
              <w:rPr>
                <w:rFonts w:hint="eastAsia" w:ascii="宋体" w:hAnsi="宋体" w:cs="宋体"/>
                <w:bCs/>
                <w:color w:val="auto"/>
                <w:kern w:val="2"/>
                <w:sz w:val="21"/>
                <w:szCs w:val="21"/>
                <w:highlight w:val="none"/>
                <w:lang w:val="en-US" w:eastAsia="zh-CN" w:bidi="ar-SA"/>
              </w:rPr>
              <w:t>（投标人须提供加盖电子公</w:t>
            </w:r>
            <w:r>
              <w:rPr>
                <w:rFonts w:hint="eastAsia" w:ascii="宋体" w:hAnsi="宋体" w:eastAsia="宋体" w:cs="宋体"/>
                <w:bCs/>
                <w:color w:val="auto"/>
                <w:kern w:val="2"/>
                <w:sz w:val="21"/>
                <w:szCs w:val="21"/>
                <w:highlight w:val="none"/>
                <w:lang w:val="en-US" w:eastAsia="zh-CN" w:bidi="ar-SA"/>
              </w:rPr>
              <w:t>章书面承诺，否则不给予加分</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w:t>
            </w:r>
          </w:p>
          <w:p w14:paraId="72C099C5">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2.要求流程简明且符合本项目需求，明确赔付需提供详细方案，方案对于发生理赔时从申请、受理、审核、赔付等关键环节进行描述，根据其内容的合理性、可行性及时效性等方面进行</w:t>
            </w:r>
            <w:r>
              <w:rPr>
                <w:rFonts w:hint="eastAsia" w:ascii="宋体" w:hAnsi="宋体" w:cs="宋体"/>
                <w:bCs/>
                <w:color w:val="auto"/>
                <w:kern w:val="2"/>
                <w:sz w:val="21"/>
                <w:szCs w:val="21"/>
                <w:highlight w:val="none"/>
                <w:lang w:val="en-US" w:eastAsia="zh-CN" w:bidi="ar-SA"/>
              </w:rPr>
              <w:t>评审。</w:t>
            </w:r>
          </w:p>
          <w:p w14:paraId="420B03CA">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一档（</w:t>
            </w:r>
            <w:r>
              <w:rPr>
                <w:rFonts w:hint="eastAsia" w:ascii="宋体" w:hAnsi="宋体"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lang w:val="en-US" w:eastAsia="zh-CN" w:bidi="ar-SA"/>
              </w:rPr>
              <w:t>分）：该方案未针对本项目具体情况进行专门制定，承诺设置统一的理赔服务专线、服务投诉专线，且在2小时内响应</w:t>
            </w:r>
            <w:r>
              <w:rPr>
                <w:rFonts w:hint="eastAsia" w:ascii="宋体" w:hAnsi="宋体" w:cs="宋体"/>
                <w:bCs/>
                <w:color w:val="auto"/>
                <w:kern w:val="2"/>
                <w:sz w:val="21"/>
                <w:szCs w:val="21"/>
                <w:highlight w:val="none"/>
                <w:lang w:val="en-US" w:eastAsia="zh-CN" w:bidi="ar-SA"/>
              </w:rPr>
              <w:t>。</w:t>
            </w:r>
          </w:p>
          <w:p w14:paraId="660393A1">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eastAsia="宋体"/>
                <w:color w:val="auto"/>
                <w:highlight w:val="none"/>
                <w:lang w:eastAsia="zh-CN"/>
              </w:rPr>
            </w:pPr>
            <w:r>
              <w:rPr>
                <w:rFonts w:hint="eastAsia" w:ascii="宋体" w:hAnsi="宋体" w:eastAsia="宋体" w:cs="宋体"/>
                <w:bCs/>
                <w:color w:val="auto"/>
                <w:kern w:val="2"/>
                <w:sz w:val="21"/>
                <w:szCs w:val="21"/>
                <w:highlight w:val="none"/>
                <w:lang w:val="en-US" w:eastAsia="zh-CN" w:bidi="ar-SA"/>
              </w:rPr>
              <w:t>二档（</w:t>
            </w:r>
            <w:r>
              <w:rPr>
                <w:rFonts w:hint="eastAsia" w:ascii="宋体" w:hAnsi="宋体"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lang w:val="en-US" w:eastAsia="zh-CN" w:bidi="ar-SA"/>
              </w:rPr>
              <w:t>分）：该方案针对本项目具体情况进行专门制定，承诺设置统一的理赔服务专线、服务投诉专线，且在</w:t>
            </w:r>
            <w:r>
              <w:rPr>
                <w:rFonts w:hint="eastAsia" w:ascii="宋体" w:hAnsi="宋体" w:cs="宋体"/>
                <w:bCs/>
                <w:color w:val="auto"/>
                <w:kern w:val="2"/>
                <w:sz w:val="21"/>
                <w:szCs w:val="21"/>
                <w:highlight w:val="none"/>
                <w:lang w:val="en-US" w:eastAsia="zh-CN" w:bidi="ar-SA"/>
              </w:rPr>
              <w:t>1.5</w:t>
            </w:r>
            <w:r>
              <w:rPr>
                <w:rFonts w:hint="eastAsia" w:ascii="宋体" w:hAnsi="宋体" w:eastAsia="宋体" w:cs="宋体"/>
                <w:bCs/>
                <w:color w:val="auto"/>
                <w:kern w:val="2"/>
                <w:sz w:val="21"/>
                <w:szCs w:val="21"/>
                <w:highlight w:val="none"/>
                <w:lang w:val="en-US" w:eastAsia="zh-CN" w:bidi="ar-SA"/>
              </w:rPr>
              <w:t>小时内响应。发生疑难复杂案件，承诺1个工作日内出具解决方案</w:t>
            </w:r>
            <w:r>
              <w:rPr>
                <w:rFonts w:hint="eastAsia" w:ascii="宋体" w:hAnsi="宋体" w:cs="宋体"/>
                <w:bCs/>
                <w:color w:val="auto"/>
                <w:kern w:val="2"/>
                <w:sz w:val="21"/>
                <w:szCs w:val="21"/>
                <w:highlight w:val="none"/>
                <w:lang w:val="en-US" w:eastAsia="zh-CN" w:bidi="ar-SA"/>
              </w:rPr>
              <w:t>。</w:t>
            </w:r>
          </w:p>
          <w:p w14:paraId="4A1F3810">
            <w:pPr>
              <w:keepNext w:val="0"/>
              <w:keepLines w:val="0"/>
              <w:pageBreakBefore w:val="0"/>
              <w:kinsoku/>
              <w:wordWrap w:val="0"/>
              <w:overflowPunct/>
              <w:topLinePunct w:val="0"/>
              <w:autoSpaceDE/>
              <w:autoSpaceDN/>
              <w:bidi w:val="0"/>
              <w:spacing w:line="480" w:lineRule="exact"/>
              <w:ind w:firstLine="420" w:firstLineChars="200"/>
              <w:textAlignment w:val="auto"/>
              <w:rPr>
                <w:rFonts w:hint="default" w:eastAsia="宋体"/>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三档（</w:t>
            </w:r>
            <w:r>
              <w:rPr>
                <w:rFonts w:hint="eastAsia" w:cs="宋体"/>
                <w:bCs/>
                <w:color w:val="auto"/>
                <w:kern w:val="2"/>
                <w:sz w:val="21"/>
                <w:szCs w:val="21"/>
                <w:highlight w:val="none"/>
                <w:lang w:val="en-US" w:eastAsia="zh-CN" w:bidi="ar-SA"/>
              </w:rPr>
              <w:t>12</w:t>
            </w:r>
            <w:r>
              <w:rPr>
                <w:rFonts w:hint="eastAsia" w:ascii="宋体" w:hAnsi="宋体" w:eastAsia="宋体" w:cs="宋体"/>
                <w:bCs/>
                <w:color w:val="auto"/>
                <w:kern w:val="2"/>
                <w:sz w:val="21"/>
                <w:szCs w:val="21"/>
                <w:highlight w:val="none"/>
                <w:lang w:val="en-US" w:eastAsia="zh-CN" w:bidi="ar-SA"/>
              </w:rPr>
              <w:t>分）：该方案针对本项目具体情况进行专门制定，承诺设置统一的理赔服务专线、服务投诉专线，且在</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小时内响应。方案中体现成立疑难复杂案件小组，发生疑难复杂案件，承诺1个工作日内出具解决方案；流程简洁且契合本项目需求，配备了详尽的赔付方案，该方案对理赔过程中的申请、受理、审核、赔付等关键环节进行了细致描述。</w:t>
            </w:r>
          </w:p>
          <w:p w14:paraId="3672C756">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四档（</w:t>
            </w:r>
            <w:r>
              <w:rPr>
                <w:rFonts w:hint="eastAsia" w:ascii="宋体" w:hAnsi="宋体" w:cs="宋体"/>
                <w:bCs/>
                <w:color w:val="auto"/>
                <w:kern w:val="2"/>
                <w:sz w:val="21"/>
                <w:szCs w:val="21"/>
                <w:highlight w:val="none"/>
                <w:lang w:val="en-US" w:eastAsia="zh-CN" w:bidi="ar-SA"/>
              </w:rPr>
              <w:t>15</w:t>
            </w:r>
            <w:r>
              <w:rPr>
                <w:rFonts w:hint="eastAsia" w:ascii="宋体" w:hAnsi="宋体" w:eastAsia="宋体" w:cs="宋体"/>
                <w:bCs/>
                <w:color w:val="auto"/>
                <w:kern w:val="2"/>
                <w:sz w:val="21"/>
                <w:szCs w:val="21"/>
                <w:highlight w:val="none"/>
                <w:lang w:val="en-US" w:eastAsia="zh-CN" w:bidi="ar-SA"/>
              </w:rPr>
              <w:t>分）：该方案针对本项目的具体情况进行量身定制，承诺设立统一的理赔服务专线和投诉服务专线，确保在</w:t>
            </w:r>
            <w:r>
              <w:rPr>
                <w:rFonts w:hint="eastAsia" w:ascii="宋体" w:hAnsi="宋体" w:cs="宋体"/>
                <w:bCs/>
                <w:color w:val="auto"/>
                <w:kern w:val="2"/>
                <w:sz w:val="21"/>
                <w:szCs w:val="21"/>
                <w:highlight w:val="none"/>
                <w:lang w:val="en-US" w:eastAsia="zh-CN" w:bidi="ar-SA"/>
              </w:rPr>
              <w:t>0.5</w:t>
            </w:r>
            <w:r>
              <w:rPr>
                <w:rFonts w:hint="eastAsia" w:ascii="宋体" w:hAnsi="宋体" w:eastAsia="宋体" w:cs="宋体"/>
                <w:bCs/>
                <w:color w:val="auto"/>
                <w:kern w:val="2"/>
                <w:sz w:val="21"/>
                <w:szCs w:val="21"/>
                <w:highlight w:val="none"/>
                <w:lang w:val="en-US" w:eastAsia="zh-CN" w:bidi="ar-SA"/>
              </w:rPr>
              <w:t>小时内予以响应。方案中明确成立了疑难复杂案件处理小组，详细列出了小组成员的具体信息及其职责范围。一旦发生疑难复杂案件，承诺在1个工作日内提供解决方案。整个流程简洁高效，完全契合本项目需求，并配备了详尽的赔付方案，对理赔过程中的申请、受理、审核、赔付等关键环节进行了细致入微</w:t>
            </w:r>
            <w:r>
              <w:rPr>
                <w:rFonts w:hint="eastAsia" w:ascii="宋体" w:hAnsi="宋体" w:cs="宋体"/>
                <w:bCs/>
                <w:color w:val="auto"/>
                <w:kern w:val="2"/>
                <w:sz w:val="21"/>
                <w:szCs w:val="21"/>
                <w:highlight w:val="none"/>
                <w:lang w:val="en-US" w:eastAsia="zh-CN" w:bidi="ar-SA"/>
              </w:rPr>
              <w:t>地</w:t>
            </w:r>
            <w:r>
              <w:rPr>
                <w:rFonts w:hint="eastAsia" w:ascii="宋体" w:hAnsi="宋体" w:eastAsia="宋体" w:cs="宋体"/>
                <w:bCs/>
                <w:color w:val="auto"/>
                <w:kern w:val="2"/>
                <w:sz w:val="21"/>
                <w:szCs w:val="21"/>
                <w:highlight w:val="none"/>
                <w:lang w:val="en-US" w:eastAsia="zh-CN" w:bidi="ar-SA"/>
              </w:rPr>
              <w:t>描述。</w:t>
            </w:r>
          </w:p>
          <w:p w14:paraId="502A4E84">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Cs/>
                <w:color w:val="auto"/>
                <w:kern w:val="2"/>
                <w:sz w:val="21"/>
                <w:szCs w:val="21"/>
                <w:highlight w:val="none"/>
                <w:lang w:val="en-US" w:eastAsia="zh-CN" w:bidi="ar-SA"/>
              </w:rPr>
              <w:t>注：不满足一档要求的不得分。</w:t>
            </w:r>
          </w:p>
        </w:tc>
        <w:tc>
          <w:tcPr>
            <w:tcW w:w="629" w:type="pct"/>
            <w:shd w:val="clear" w:color="auto" w:fill="auto"/>
            <w:noWrap w:val="0"/>
            <w:vAlign w:val="center"/>
          </w:tcPr>
          <w:p w14:paraId="1CBF2C8A">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此项满分</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r>
      <w:tr w14:paraId="162D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shd w:val="clear" w:color="auto" w:fill="auto"/>
            <w:noWrap w:val="0"/>
            <w:vAlign w:val="center"/>
          </w:tcPr>
          <w:p w14:paraId="54875BA2">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584" w:type="pct"/>
            <w:shd w:val="clear" w:color="auto" w:fill="auto"/>
            <w:noWrap w:val="0"/>
            <w:vAlign w:val="center"/>
          </w:tcPr>
          <w:p w14:paraId="3F495DF4">
            <w:pPr>
              <w:keepNext w:val="0"/>
              <w:keepLines w:val="0"/>
              <w:pageBreakBefore w:val="0"/>
              <w:kinsoku/>
              <w:wordWrap w:val="0"/>
              <w:overflowPunct/>
              <w:topLinePunct w:val="0"/>
              <w:autoSpaceDE/>
              <w:autoSpaceDN/>
              <w:bidi w:val="0"/>
              <w:spacing w:line="480" w:lineRule="exact"/>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增值服务</w:t>
            </w:r>
            <w:r>
              <w:rPr>
                <w:rFonts w:hint="eastAsia" w:ascii="宋体" w:hAnsi="宋体" w:cs="宋体"/>
                <w:color w:val="auto"/>
                <w:sz w:val="21"/>
                <w:szCs w:val="21"/>
                <w:highlight w:val="none"/>
                <w:lang w:val="en-US" w:eastAsia="zh-CN"/>
              </w:rPr>
              <w:t>方案</w:t>
            </w:r>
          </w:p>
        </w:tc>
        <w:tc>
          <w:tcPr>
            <w:tcW w:w="3361" w:type="pct"/>
            <w:shd w:val="clear" w:color="auto" w:fill="auto"/>
            <w:noWrap w:val="0"/>
            <w:vAlign w:val="center"/>
          </w:tcPr>
          <w:p w14:paraId="2B9C0755">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投标人需提供符合采购需求的增值服务方案：</w:t>
            </w:r>
          </w:p>
          <w:p w14:paraId="5A643EFA">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一档（2分）：针对特困人员住院护理救助保险，助力特困人员供养服务，制定简易的增值服务方案，基本满足项目需求</w:t>
            </w:r>
            <w:r>
              <w:rPr>
                <w:rFonts w:hint="eastAsia" w:ascii="宋体" w:hAnsi="宋体" w:cs="宋体"/>
                <w:bCs/>
                <w:color w:val="auto"/>
                <w:kern w:val="2"/>
                <w:sz w:val="21"/>
                <w:szCs w:val="21"/>
                <w:highlight w:val="none"/>
                <w:lang w:val="en-US" w:eastAsia="zh-CN" w:bidi="ar-SA"/>
              </w:rPr>
              <w:t>。</w:t>
            </w:r>
          </w:p>
          <w:p w14:paraId="4A7ACAAA">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eastAsia="宋体"/>
                <w:color w:val="auto"/>
                <w:highlight w:val="none"/>
                <w:lang w:eastAsia="zh-CN"/>
              </w:rPr>
            </w:pPr>
            <w:r>
              <w:rPr>
                <w:rFonts w:hint="eastAsia" w:ascii="宋体" w:hAnsi="宋体" w:eastAsia="宋体" w:cs="宋体"/>
                <w:bCs/>
                <w:color w:val="auto"/>
                <w:kern w:val="2"/>
                <w:sz w:val="21"/>
                <w:szCs w:val="21"/>
                <w:highlight w:val="none"/>
                <w:lang w:val="en-US" w:eastAsia="zh-CN" w:bidi="ar-SA"/>
              </w:rPr>
              <w:t>二档（3分）：针对特困人员住院护理救助保险，在助力特困人员的供养服</w:t>
            </w:r>
            <w:r>
              <w:rPr>
                <w:rFonts w:hint="eastAsia" w:ascii="宋体" w:hAnsi="宋体" w:cs="宋体"/>
                <w:bCs/>
                <w:color w:val="auto"/>
                <w:kern w:val="2"/>
                <w:sz w:val="21"/>
                <w:szCs w:val="21"/>
                <w:highlight w:val="none"/>
                <w:lang w:val="en-US" w:eastAsia="zh-CN" w:bidi="ar-SA"/>
              </w:rPr>
              <w:t>务中</w:t>
            </w:r>
            <w:r>
              <w:rPr>
                <w:rFonts w:hint="eastAsia" w:ascii="宋体" w:hAnsi="宋体" w:eastAsia="宋体" w:cs="宋体"/>
                <w:bCs/>
                <w:color w:val="auto"/>
                <w:kern w:val="2"/>
                <w:sz w:val="21"/>
                <w:szCs w:val="21"/>
                <w:highlight w:val="none"/>
                <w:lang w:val="en-US" w:eastAsia="zh-CN" w:bidi="ar-SA"/>
              </w:rPr>
              <w:t>，所制定的增值服务方案科学合理且可行性较高。提出的专项保障增值服务内容中，至少有1项增值服务得到了</w:t>
            </w:r>
            <w:r>
              <w:rPr>
                <w:rFonts w:hint="eastAsia" w:ascii="宋体" w:hAnsi="宋体" w:cs="宋体"/>
                <w:color w:val="auto"/>
                <w:sz w:val="21"/>
                <w:szCs w:val="21"/>
                <w:highlight w:val="none"/>
                <w:lang w:val="en-US" w:eastAsia="zh-CN"/>
              </w:rPr>
              <w:t>评标委员会</w:t>
            </w:r>
            <w:r>
              <w:rPr>
                <w:rFonts w:hint="eastAsia" w:ascii="宋体" w:hAnsi="宋体" w:eastAsia="宋体" w:cs="宋体"/>
                <w:bCs/>
                <w:color w:val="auto"/>
                <w:kern w:val="2"/>
                <w:sz w:val="21"/>
                <w:szCs w:val="21"/>
                <w:highlight w:val="none"/>
                <w:lang w:val="en-US" w:eastAsia="zh-CN" w:bidi="ar-SA"/>
              </w:rPr>
              <w:t>的认可。</w:t>
            </w:r>
          </w:p>
          <w:p w14:paraId="68B6C52B">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三档（</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分）：针对特困人员住院护理救助保险</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提升特困人员的供养服务水平，所制定的增值服务方案科学合理且可行性高。提出的专项保障增值服务内容中，至少有2项增值服务得到了</w:t>
            </w:r>
            <w:r>
              <w:rPr>
                <w:rFonts w:hint="eastAsia" w:ascii="宋体" w:hAnsi="宋体" w:cs="宋体"/>
                <w:color w:val="auto"/>
                <w:sz w:val="21"/>
                <w:szCs w:val="21"/>
                <w:highlight w:val="none"/>
                <w:lang w:val="en-US" w:eastAsia="zh-CN"/>
              </w:rPr>
              <w:t>评标委员会</w:t>
            </w:r>
            <w:r>
              <w:rPr>
                <w:rFonts w:hint="eastAsia" w:ascii="宋体" w:hAnsi="宋体" w:eastAsia="宋体" w:cs="宋体"/>
                <w:bCs/>
                <w:color w:val="auto"/>
                <w:kern w:val="2"/>
                <w:sz w:val="21"/>
                <w:szCs w:val="21"/>
                <w:highlight w:val="none"/>
                <w:lang w:val="en-US" w:eastAsia="zh-CN" w:bidi="ar-SA"/>
              </w:rPr>
              <w:t>的认可。</w:t>
            </w:r>
          </w:p>
          <w:p w14:paraId="4200B687">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四</w:t>
            </w:r>
            <w:r>
              <w:rPr>
                <w:rFonts w:hint="eastAsia" w:ascii="宋体" w:hAnsi="宋体" w:eastAsia="宋体" w:cs="宋体"/>
                <w:bCs/>
                <w:color w:val="auto"/>
                <w:kern w:val="2"/>
                <w:sz w:val="21"/>
                <w:szCs w:val="21"/>
                <w:highlight w:val="none"/>
                <w:lang w:val="en-US" w:eastAsia="zh-CN" w:bidi="ar-SA"/>
              </w:rPr>
              <w:t>档（</w:t>
            </w: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分）：针对特困人员住院护理救助保险</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提升特困人员的供养服务水平，所制定的增值服务方案科学合理且可行性高。提出的专项保障增值服务内容中，至少有</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项（含</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项）以上增值服务得到了</w:t>
            </w:r>
            <w:r>
              <w:rPr>
                <w:rFonts w:hint="eastAsia" w:ascii="宋体" w:hAnsi="宋体" w:cs="宋体"/>
                <w:color w:val="auto"/>
                <w:sz w:val="21"/>
                <w:szCs w:val="21"/>
                <w:highlight w:val="none"/>
                <w:lang w:val="en-US" w:eastAsia="zh-CN"/>
              </w:rPr>
              <w:t>评标委员会</w:t>
            </w:r>
            <w:r>
              <w:rPr>
                <w:rFonts w:hint="eastAsia" w:ascii="宋体" w:hAnsi="宋体" w:eastAsia="宋体" w:cs="宋体"/>
                <w:bCs/>
                <w:color w:val="auto"/>
                <w:kern w:val="2"/>
                <w:sz w:val="21"/>
                <w:szCs w:val="21"/>
                <w:highlight w:val="none"/>
                <w:lang w:val="en-US" w:eastAsia="zh-CN" w:bidi="ar-SA"/>
              </w:rPr>
              <w:t>的认可。</w:t>
            </w:r>
          </w:p>
          <w:p w14:paraId="445B254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kern w:val="2"/>
                <w:sz w:val="21"/>
                <w:szCs w:val="21"/>
                <w:highlight w:val="none"/>
                <w:lang w:val="en-US" w:eastAsia="zh-CN" w:bidi="ar-SA"/>
              </w:rPr>
              <w:t>注：未提供相关方案的不得分。</w:t>
            </w:r>
          </w:p>
        </w:tc>
        <w:tc>
          <w:tcPr>
            <w:tcW w:w="629" w:type="pct"/>
            <w:shd w:val="clear" w:color="auto" w:fill="auto"/>
            <w:noWrap w:val="0"/>
            <w:vAlign w:val="center"/>
          </w:tcPr>
          <w:p w14:paraId="6000EDA1">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此项满分</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r>
      <w:tr w14:paraId="42D7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12374570">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w:t>
            </w:r>
          </w:p>
        </w:tc>
        <w:tc>
          <w:tcPr>
            <w:tcW w:w="584" w:type="pct"/>
            <w:noWrap w:val="0"/>
            <w:vAlign w:val="center"/>
          </w:tcPr>
          <w:p w14:paraId="701EB579">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商务分</w:t>
            </w:r>
          </w:p>
        </w:tc>
        <w:tc>
          <w:tcPr>
            <w:tcW w:w="3990" w:type="pct"/>
            <w:gridSpan w:val="2"/>
            <w:noWrap w:val="0"/>
            <w:vAlign w:val="center"/>
          </w:tcPr>
          <w:p w14:paraId="1C7A3E11">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r>
      <w:tr w14:paraId="2F56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1C2A8DD7">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p>
        </w:tc>
        <w:tc>
          <w:tcPr>
            <w:tcW w:w="584" w:type="pct"/>
            <w:shd w:val="clear" w:color="auto" w:fill="auto"/>
            <w:noWrap w:val="0"/>
            <w:vAlign w:val="center"/>
          </w:tcPr>
          <w:p w14:paraId="3BA472A7">
            <w:pPr>
              <w:keepNext w:val="0"/>
              <w:keepLines w:val="0"/>
              <w:pageBreakBefore w:val="0"/>
              <w:kinsoku/>
              <w:wordWrap w:val="0"/>
              <w:overflowPunct/>
              <w:topLinePunct w:val="0"/>
              <w:autoSpaceDE/>
              <w:autoSpaceDN/>
              <w:bidi w:val="0"/>
              <w:adjustRightInd/>
              <w:spacing w:line="480" w:lineRule="exact"/>
              <w:jc w:val="left"/>
              <w:textAlignment w:val="auto"/>
              <w:rPr>
                <w:rFonts w:hint="eastAsia"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bCs/>
                <w:color w:val="auto"/>
                <w:kern w:val="0"/>
                <w:sz w:val="21"/>
                <w:szCs w:val="21"/>
                <w:highlight w:val="none"/>
              </w:rPr>
              <w:t>2024年综合偿付能力充足率</w:t>
            </w:r>
          </w:p>
        </w:tc>
        <w:tc>
          <w:tcPr>
            <w:tcW w:w="3361" w:type="pct"/>
            <w:shd w:val="clear" w:color="auto" w:fill="auto"/>
            <w:noWrap w:val="0"/>
            <w:vAlign w:val="center"/>
          </w:tcPr>
          <w:p w14:paraId="09451768">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投标人总公司2024年</w:t>
            </w:r>
            <w:r>
              <w:rPr>
                <w:rFonts w:hint="eastAsia" w:ascii="宋体" w:hAnsi="宋体" w:eastAsia="宋体" w:cs="宋体"/>
                <w:bCs/>
                <w:color w:val="auto"/>
                <w:kern w:val="0"/>
                <w:sz w:val="21"/>
                <w:szCs w:val="21"/>
                <w:highlight w:val="none"/>
              </w:rPr>
              <w:t>综合偿付能力充足率</w:t>
            </w:r>
            <w:r>
              <w:rPr>
                <w:rFonts w:hint="eastAsia" w:ascii="宋体" w:hAnsi="宋体" w:cs="宋体"/>
                <w:bCs/>
                <w:color w:val="auto"/>
                <w:kern w:val="0"/>
                <w:sz w:val="21"/>
                <w:szCs w:val="21"/>
                <w:highlight w:val="none"/>
                <w:lang w:eastAsia="zh-CN"/>
              </w:rPr>
              <w:t>：</w:t>
            </w:r>
          </w:p>
          <w:p w14:paraId="71C95347">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（1）投标人总公司2024年偿付能力充足率高于200%（不含）得10分；</w:t>
            </w:r>
          </w:p>
          <w:p w14:paraId="44D3BDF4">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（2）投标人总公司2024年偿付能力充足率为100%（不含）到200%（含）之间，得</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p w14:paraId="32EBB337">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（3）其他情况</w:t>
            </w:r>
            <w:r>
              <w:rPr>
                <w:rFonts w:hint="eastAsia" w:ascii="宋体" w:hAnsi="宋体" w:cs="宋体"/>
                <w:b w:val="0"/>
                <w:bCs w:val="0"/>
                <w:color w:val="auto"/>
                <w:kern w:val="0"/>
                <w:sz w:val="21"/>
                <w:szCs w:val="21"/>
                <w:highlight w:val="none"/>
                <w:lang w:val="en-US" w:eastAsia="zh-CN"/>
              </w:rPr>
              <w:t>不得分</w:t>
            </w:r>
            <w:r>
              <w:rPr>
                <w:rFonts w:hint="eastAsia" w:ascii="宋体" w:hAnsi="宋体" w:eastAsia="宋体" w:cs="宋体"/>
                <w:b w:val="0"/>
                <w:bCs w:val="0"/>
                <w:color w:val="auto"/>
                <w:kern w:val="0"/>
                <w:sz w:val="21"/>
                <w:szCs w:val="21"/>
                <w:highlight w:val="none"/>
                <w:lang w:val="en-US" w:eastAsia="zh-CN"/>
              </w:rPr>
              <w:t>。</w:t>
            </w:r>
          </w:p>
          <w:p w14:paraId="020E3F2D">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eastAsia"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注：投标人需提供总公司偿付能力报告相关证明材料并加盖公章，未提供不得分。</w:t>
            </w:r>
          </w:p>
        </w:tc>
        <w:tc>
          <w:tcPr>
            <w:tcW w:w="629" w:type="pct"/>
            <w:shd w:val="clear" w:color="auto" w:fill="auto"/>
            <w:noWrap w:val="0"/>
            <w:vAlign w:val="center"/>
          </w:tcPr>
          <w:p w14:paraId="6B2AA1D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cs="宋体"/>
                <w:color w:val="auto"/>
                <w:kern w:val="0"/>
                <w:sz w:val="21"/>
                <w:szCs w:val="21"/>
                <w:highlight w:val="none"/>
                <w:lang w:val="en-US" w:eastAsia="zh-CN"/>
              </w:rPr>
              <w:t>此项满分10分</w:t>
            </w:r>
          </w:p>
        </w:tc>
      </w:tr>
      <w:tr w14:paraId="0455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0A4B25AA">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584" w:type="pct"/>
            <w:shd w:val="clear" w:color="auto" w:fill="auto"/>
            <w:noWrap w:val="0"/>
            <w:vAlign w:val="center"/>
          </w:tcPr>
          <w:p w14:paraId="68A9A39E">
            <w:pPr>
              <w:keepNext w:val="0"/>
              <w:keepLines w:val="0"/>
              <w:pageBreakBefore w:val="0"/>
              <w:widowControl/>
              <w:kinsoku/>
              <w:wordWrap w:val="0"/>
              <w:overflowPunct/>
              <w:topLinePunct w:val="0"/>
              <w:autoSpaceDE/>
              <w:autoSpaceDN/>
              <w:bidi w:val="0"/>
              <w:spacing w:line="4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2024年风险综合评级（IRR）</w:t>
            </w:r>
          </w:p>
        </w:tc>
        <w:tc>
          <w:tcPr>
            <w:tcW w:w="3361" w:type="pct"/>
            <w:shd w:val="clear" w:color="auto" w:fill="auto"/>
            <w:noWrap w:val="0"/>
            <w:vAlign w:val="center"/>
          </w:tcPr>
          <w:p w14:paraId="1000309A">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投标人总公司</w:t>
            </w:r>
            <w:r>
              <w:rPr>
                <w:rFonts w:hint="eastAsia" w:ascii="宋体" w:hAnsi="宋体" w:eastAsia="宋体" w:cs="宋体"/>
                <w:color w:val="auto"/>
                <w:kern w:val="0"/>
                <w:sz w:val="21"/>
                <w:szCs w:val="21"/>
                <w:highlight w:val="none"/>
                <w:lang w:val="en-US" w:eastAsia="zh-CN" w:bidi="ar-SA"/>
              </w:rPr>
              <w:t>2024年风险综合评级（IRR</w:t>
            </w:r>
            <w:r>
              <w:rPr>
                <w:rFonts w:hint="eastAsia" w:ascii="宋体" w:hAnsi="宋体" w:cs="宋体"/>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rPr>
              <w:t>：</w:t>
            </w:r>
          </w:p>
          <w:p w14:paraId="18F996E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投标人总公司</w:t>
            </w:r>
            <w:r>
              <w:rPr>
                <w:rFonts w:hint="eastAsia" w:ascii="宋体" w:hAnsi="宋体" w:eastAsia="宋体" w:cs="宋体"/>
                <w:color w:val="auto"/>
                <w:sz w:val="21"/>
                <w:szCs w:val="21"/>
                <w:highlight w:val="none"/>
                <w:lang w:val="en-US" w:eastAsia="zh-CN"/>
              </w:rPr>
              <w:t>2024年风险综合评级为A类及以上（含A类、AA类、AAA类）范围内，得10分；</w:t>
            </w:r>
          </w:p>
          <w:p w14:paraId="55515C2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投标人总公司</w:t>
            </w:r>
            <w:r>
              <w:rPr>
                <w:rFonts w:hint="eastAsia" w:ascii="宋体" w:hAnsi="宋体" w:eastAsia="宋体" w:cs="宋体"/>
                <w:color w:val="auto"/>
                <w:sz w:val="21"/>
                <w:szCs w:val="21"/>
                <w:highlight w:val="none"/>
                <w:lang w:val="en-US" w:eastAsia="zh-CN"/>
              </w:rPr>
              <w:t>2024年风险综合评级为B类及以上（含B类、BB类、BBB类）范围内，得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0AC6D9F6">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其他情况不得分。</w:t>
            </w:r>
          </w:p>
          <w:p w14:paraId="41EFF9C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提供国家金融监督管理总局偿二代（C-ROSS）系统的评级截图并加盖公章，未提供不得分。</w:t>
            </w:r>
          </w:p>
        </w:tc>
        <w:tc>
          <w:tcPr>
            <w:tcW w:w="629" w:type="pct"/>
            <w:shd w:val="clear" w:color="auto" w:fill="auto"/>
            <w:noWrap w:val="0"/>
            <w:vAlign w:val="center"/>
          </w:tcPr>
          <w:p w14:paraId="0E525FAB">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此项满分10分</w:t>
            </w:r>
          </w:p>
        </w:tc>
      </w:tr>
      <w:tr w14:paraId="49F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51095CA5">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584" w:type="pct"/>
            <w:shd w:val="clear" w:color="auto" w:fill="auto"/>
            <w:noWrap w:val="0"/>
            <w:vAlign w:val="center"/>
          </w:tcPr>
          <w:p w14:paraId="01BE62BF">
            <w:pPr>
              <w:keepNext w:val="0"/>
              <w:keepLines w:val="0"/>
              <w:pageBreakBefore w:val="0"/>
              <w:widowControl/>
              <w:kinsoku/>
              <w:wordWrap w:val="0"/>
              <w:overflowPunct/>
              <w:topLinePunct w:val="0"/>
              <w:autoSpaceDE/>
              <w:autoSpaceDN/>
              <w:bidi w:val="0"/>
              <w:spacing w:line="4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2024年风险管理能力</w:t>
            </w:r>
          </w:p>
        </w:tc>
        <w:tc>
          <w:tcPr>
            <w:tcW w:w="3361" w:type="pct"/>
            <w:shd w:val="clear" w:color="auto" w:fill="auto"/>
            <w:noWrap w:val="0"/>
            <w:vAlign w:val="center"/>
          </w:tcPr>
          <w:p w14:paraId="6E769F07">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投标人总公司</w:t>
            </w:r>
            <w:r>
              <w:rPr>
                <w:rFonts w:hint="eastAsia" w:ascii="宋体" w:hAnsi="宋体" w:cs="宋体"/>
                <w:bCs/>
                <w:color w:val="auto"/>
                <w:kern w:val="2"/>
                <w:sz w:val="21"/>
                <w:szCs w:val="21"/>
                <w:highlight w:val="none"/>
                <w:lang w:val="en-US" w:eastAsia="zh-CN" w:bidi="ar-SA"/>
              </w:rPr>
              <w:t>2024年</w:t>
            </w:r>
            <w:r>
              <w:rPr>
                <w:rFonts w:hint="eastAsia" w:ascii="宋体" w:hAnsi="宋体" w:eastAsia="宋体" w:cs="宋体"/>
                <w:bCs/>
                <w:color w:val="auto"/>
                <w:kern w:val="2"/>
                <w:sz w:val="21"/>
                <w:szCs w:val="21"/>
                <w:highlight w:val="none"/>
                <w:lang w:val="en-US" w:eastAsia="zh-CN" w:bidi="ar-SA"/>
              </w:rPr>
              <w:t>（SARMRA）偿付能力风险管理要求与评估得分</w:t>
            </w:r>
            <w:r>
              <w:rPr>
                <w:rFonts w:hint="eastAsia"/>
                <w:color w:val="auto"/>
                <w:highlight w:val="none"/>
                <w:lang w:eastAsia="zh-CN"/>
              </w:rPr>
              <w:t>：</w:t>
            </w:r>
          </w:p>
          <w:p w14:paraId="5AF9AED7">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rPr>
              <w:t>投标人总公司</w:t>
            </w:r>
            <w:r>
              <w:rPr>
                <w:rFonts w:hint="eastAsia" w:ascii="宋体" w:hAnsi="宋体" w:cs="宋体"/>
                <w:b w:val="0"/>
                <w:bCs w:val="0"/>
                <w:color w:val="auto"/>
                <w:kern w:val="0"/>
                <w:sz w:val="21"/>
                <w:szCs w:val="21"/>
                <w:highlight w:val="none"/>
                <w:lang w:val="en-US" w:eastAsia="zh-CN"/>
              </w:rPr>
              <w:t>2024年</w:t>
            </w:r>
            <w:r>
              <w:rPr>
                <w:rFonts w:hint="eastAsia" w:ascii="宋体" w:hAnsi="宋体" w:eastAsia="宋体" w:cs="宋体"/>
                <w:bCs/>
                <w:color w:val="auto"/>
                <w:kern w:val="2"/>
                <w:sz w:val="21"/>
                <w:szCs w:val="21"/>
                <w:highlight w:val="none"/>
                <w:lang w:val="en-US" w:eastAsia="zh-CN" w:bidi="ar-SA"/>
              </w:rPr>
              <w:t>偿付能力风险管理要求与评估</w:t>
            </w:r>
            <w:r>
              <w:rPr>
                <w:rFonts w:hint="eastAsia" w:ascii="宋体" w:hAnsi="宋体" w:cs="宋体"/>
                <w:bCs/>
                <w:color w:val="auto"/>
                <w:kern w:val="2"/>
                <w:sz w:val="21"/>
                <w:szCs w:val="21"/>
                <w:highlight w:val="none"/>
                <w:lang w:val="en-US" w:eastAsia="zh-CN" w:bidi="ar-SA"/>
              </w:rPr>
              <w:t>得</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为</w:t>
            </w:r>
            <w:r>
              <w:rPr>
                <w:rFonts w:hint="eastAsia" w:ascii="宋体" w:hAnsi="宋体" w:eastAsia="宋体" w:cs="宋体"/>
                <w:bCs/>
                <w:color w:val="auto"/>
                <w:kern w:val="2"/>
                <w:sz w:val="21"/>
                <w:szCs w:val="21"/>
                <w:highlight w:val="none"/>
                <w:lang w:val="en-US" w:eastAsia="zh-CN" w:bidi="ar-SA"/>
              </w:rPr>
              <w:t>85分（含）以上，得10分；</w:t>
            </w:r>
          </w:p>
          <w:p w14:paraId="55DADDC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rPr>
              <w:t>投标人总公司</w:t>
            </w:r>
            <w:r>
              <w:rPr>
                <w:rFonts w:hint="eastAsia" w:ascii="宋体" w:hAnsi="宋体" w:cs="宋体"/>
                <w:b w:val="0"/>
                <w:bCs w:val="0"/>
                <w:color w:val="auto"/>
                <w:kern w:val="0"/>
                <w:sz w:val="21"/>
                <w:szCs w:val="21"/>
                <w:highlight w:val="none"/>
                <w:lang w:val="en-US" w:eastAsia="zh-CN"/>
              </w:rPr>
              <w:t>2024年</w:t>
            </w:r>
            <w:r>
              <w:rPr>
                <w:rFonts w:hint="eastAsia" w:ascii="宋体" w:hAnsi="宋体" w:eastAsia="宋体" w:cs="宋体"/>
                <w:bCs/>
                <w:color w:val="auto"/>
                <w:kern w:val="2"/>
                <w:sz w:val="21"/>
                <w:szCs w:val="21"/>
                <w:highlight w:val="none"/>
                <w:lang w:val="en-US" w:eastAsia="zh-CN" w:bidi="ar-SA"/>
              </w:rPr>
              <w:t>偿付能力风险管理要求与评估</w:t>
            </w:r>
            <w:r>
              <w:rPr>
                <w:rFonts w:hint="eastAsia" w:ascii="宋体" w:hAnsi="宋体" w:cs="宋体"/>
                <w:bCs/>
                <w:color w:val="auto"/>
                <w:kern w:val="2"/>
                <w:sz w:val="21"/>
                <w:szCs w:val="21"/>
                <w:highlight w:val="none"/>
                <w:lang w:val="en-US" w:eastAsia="zh-CN" w:bidi="ar-SA"/>
              </w:rPr>
              <w:t>得</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为</w:t>
            </w:r>
            <w:r>
              <w:rPr>
                <w:rFonts w:hint="eastAsia" w:ascii="宋体" w:hAnsi="宋体" w:eastAsia="宋体" w:cs="宋体"/>
                <w:bCs/>
                <w:color w:val="auto"/>
                <w:kern w:val="2"/>
                <w:sz w:val="21"/>
                <w:szCs w:val="21"/>
                <w:highlight w:val="none"/>
                <w:lang w:val="en-US" w:eastAsia="zh-CN" w:bidi="ar-SA"/>
              </w:rPr>
              <w:t>（含）80-85分，得</w:t>
            </w:r>
            <w:r>
              <w:rPr>
                <w:rFonts w:hint="eastAsia" w:ascii="宋体"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分；</w:t>
            </w:r>
          </w:p>
          <w:p w14:paraId="7E2429F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rPr>
              <w:t>投标人总公司</w:t>
            </w:r>
            <w:r>
              <w:rPr>
                <w:rFonts w:hint="eastAsia" w:ascii="宋体" w:hAnsi="宋体" w:cs="宋体"/>
                <w:b w:val="0"/>
                <w:bCs w:val="0"/>
                <w:color w:val="auto"/>
                <w:kern w:val="0"/>
                <w:sz w:val="21"/>
                <w:szCs w:val="21"/>
                <w:highlight w:val="none"/>
                <w:lang w:val="en-US" w:eastAsia="zh-CN"/>
              </w:rPr>
              <w:t>2024年</w:t>
            </w:r>
            <w:r>
              <w:rPr>
                <w:rFonts w:hint="eastAsia" w:ascii="宋体" w:hAnsi="宋体" w:eastAsia="宋体" w:cs="宋体"/>
                <w:bCs/>
                <w:color w:val="auto"/>
                <w:kern w:val="2"/>
                <w:sz w:val="21"/>
                <w:szCs w:val="21"/>
                <w:highlight w:val="none"/>
                <w:lang w:val="en-US" w:eastAsia="zh-CN" w:bidi="ar-SA"/>
              </w:rPr>
              <w:t>偿付能力风险管理要求与评估</w:t>
            </w:r>
            <w:r>
              <w:rPr>
                <w:rFonts w:hint="eastAsia" w:ascii="宋体" w:hAnsi="宋体" w:cs="宋体"/>
                <w:bCs/>
                <w:color w:val="auto"/>
                <w:kern w:val="2"/>
                <w:sz w:val="21"/>
                <w:szCs w:val="21"/>
                <w:highlight w:val="none"/>
                <w:lang w:val="en-US" w:eastAsia="zh-CN" w:bidi="ar-SA"/>
              </w:rPr>
              <w:t>得</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为</w:t>
            </w:r>
            <w:r>
              <w:rPr>
                <w:rFonts w:hint="eastAsia" w:ascii="宋体" w:hAnsi="宋体" w:eastAsia="宋体" w:cs="宋体"/>
                <w:bCs/>
                <w:color w:val="auto"/>
                <w:kern w:val="2"/>
                <w:sz w:val="21"/>
                <w:szCs w:val="21"/>
                <w:highlight w:val="none"/>
                <w:lang w:val="en-US" w:eastAsia="zh-CN" w:bidi="ar-SA"/>
              </w:rPr>
              <w:t>（含）</w:t>
            </w:r>
            <w:r>
              <w:rPr>
                <w:rFonts w:hint="eastAsia" w:ascii="宋体" w:hAnsi="宋体" w:cs="宋体"/>
                <w:bCs/>
                <w:color w:val="auto"/>
                <w:kern w:val="2"/>
                <w:sz w:val="21"/>
                <w:szCs w:val="21"/>
                <w:highlight w:val="none"/>
                <w:lang w:val="en-US" w:eastAsia="zh-CN" w:bidi="ar-SA"/>
              </w:rPr>
              <w:t>70</w:t>
            </w:r>
            <w:r>
              <w:rPr>
                <w:rFonts w:hint="eastAsia" w:ascii="宋体" w:hAnsi="宋体" w:eastAsia="宋体" w:cs="宋体"/>
                <w:bCs/>
                <w:color w:val="auto"/>
                <w:kern w:val="2"/>
                <w:sz w:val="21"/>
                <w:szCs w:val="21"/>
                <w:highlight w:val="none"/>
                <w:lang w:val="en-US" w:eastAsia="zh-CN" w:bidi="ar-SA"/>
              </w:rPr>
              <w:t>-8</w:t>
            </w:r>
            <w:r>
              <w:rPr>
                <w:rFonts w:hint="eastAsia" w:ascii="宋体" w:hAnsi="宋体" w:cs="宋体"/>
                <w:bCs/>
                <w:color w:val="auto"/>
                <w:kern w:val="2"/>
                <w:sz w:val="21"/>
                <w:szCs w:val="21"/>
                <w:highlight w:val="none"/>
                <w:lang w:val="en-US" w:eastAsia="zh-CN" w:bidi="ar-SA"/>
              </w:rPr>
              <w:t>0</w:t>
            </w:r>
            <w:r>
              <w:rPr>
                <w:rFonts w:hint="eastAsia" w:ascii="宋体" w:hAnsi="宋体" w:eastAsia="宋体" w:cs="宋体"/>
                <w:bCs/>
                <w:color w:val="auto"/>
                <w:kern w:val="2"/>
                <w:sz w:val="21"/>
                <w:szCs w:val="21"/>
                <w:highlight w:val="none"/>
                <w:lang w:val="en-US" w:eastAsia="zh-CN" w:bidi="ar-SA"/>
              </w:rPr>
              <w:t>分，得</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w:t>
            </w:r>
          </w:p>
          <w:p w14:paraId="6A37AE20">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rPr>
              <w:t>投标人总公司</w:t>
            </w:r>
            <w:r>
              <w:rPr>
                <w:rFonts w:hint="eastAsia" w:ascii="宋体" w:hAnsi="宋体" w:cs="宋体"/>
                <w:b w:val="0"/>
                <w:bCs w:val="0"/>
                <w:color w:val="auto"/>
                <w:kern w:val="0"/>
                <w:sz w:val="21"/>
                <w:szCs w:val="21"/>
                <w:highlight w:val="none"/>
                <w:lang w:val="en-US" w:eastAsia="zh-CN"/>
              </w:rPr>
              <w:t>2024年</w:t>
            </w:r>
            <w:r>
              <w:rPr>
                <w:rFonts w:hint="eastAsia" w:ascii="宋体" w:hAnsi="宋体" w:eastAsia="宋体" w:cs="宋体"/>
                <w:bCs/>
                <w:color w:val="auto"/>
                <w:kern w:val="2"/>
                <w:sz w:val="21"/>
                <w:szCs w:val="21"/>
                <w:highlight w:val="none"/>
                <w:lang w:val="en-US" w:eastAsia="zh-CN" w:bidi="ar-SA"/>
              </w:rPr>
              <w:t>偿付能力风险管理要求与评估</w:t>
            </w:r>
            <w:r>
              <w:rPr>
                <w:rFonts w:hint="eastAsia" w:ascii="宋体" w:hAnsi="宋体" w:cs="宋体"/>
                <w:bCs/>
                <w:color w:val="auto"/>
                <w:kern w:val="2"/>
                <w:sz w:val="21"/>
                <w:szCs w:val="21"/>
                <w:highlight w:val="none"/>
                <w:lang w:val="en-US" w:eastAsia="zh-CN" w:bidi="ar-SA"/>
              </w:rPr>
              <w:t>得</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为7</w:t>
            </w:r>
            <w:r>
              <w:rPr>
                <w:rFonts w:hint="eastAsia" w:ascii="宋体" w:hAnsi="宋体" w:eastAsia="宋体" w:cs="宋体"/>
                <w:bCs/>
                <w:color w:val="auto"/>
                <w:kern w:val="2"/>
                <w:sz w:val="21"/>
                <w:szCs w:val="21"/>
                <w:highlight w:val="none"/>
                <w:lang w:val="en-US" w:eastAsia="zh-CN" w:bidi="ar-SA"/>
              </w:rPr>
              <w:t>0分以下，</w:t>
            </w:r>
            <w:r>
              <w:rPr>
                <w:rFonts w:hint="eastAsia" w:ascii="宋体" w:hAnsi="宋体" w:cs="宋体"/>
                <w:bCs/>
                <w:color w:val="auto"/>
                <w:kern w:val="2"/>
                <w:sz w:val="21"/>
                <w:szCs w:val="21"/>
                <w:highlight w:val="none"/>
                <w:lang w:val="en-US" w:eastAsia="zh-CN" w:bidi="ar-SA"/>
              </w:rPr>
              <w:t>不得分</w:t>
            </w:r>
            <w:r>
              <w:rPr>
                <w:rFonts w:hint="eastAsia" w:ascii="宋体" w:hAnsi="宋体" w:eastAsia="宋体" w:cs="宋体"/>
                <w:bCs/>
                <w:color w:val="auto"/>
                <w:kern w:val="2"/>
                <w:sz w:val="21"/>
                <w:szCs w:val="21"/>
                <w:highlight w:val="none"/>
                <w:lang w:val="en-US" w:eastAsia="zh-CN" w:bidi="ar-SA"/>
              </w:rPr>
              <w:t>。</w:t>
            </w:r>
          </w:p>
          <w:p w14:paraId="2347884F">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w:t>
            </w:r>
            <w:r>
              <w:rPr>
                <w:rFonts w:hint="eastAsia" w:ascii="宋体" w:hAnsi="宋体" w:cs="宋体"/>
                <w:bCs/>
                <w:color w:val="auto"/>
                <w:kern w:val="2"/>
                <w:sz w:val="21"/>
                <w:szCs w:val="21"/>
                <w:highlight w:val="none"/>
                <w:lang w:val="en-US" w:eastAsia="zh-CN" w:bidi="ar-SA"/>
              </w:rPr>
              <w:t>投标人需提供国家金融监督管理总局或其派出机构</w:t>
            </w:r>
            <w:r>
              <w:rPr>
                <w:rFonts w:hint="eastAsia" w:ascii="宋体" w:hAnsi="宋体" w:eastAsia="宋体" w:cs="宋体"/>
                <w:bCs/>
                <w:color w:val="auto"/>
                <w:kern w:val="2"/>
                <w:sz w:val="21"/>
                <w:szCs w:val="21"/>
                <w:highlight w:val="none"/>
                <w:lang w:val="en-US" w:eastAsia="zh-CN" w:bidi="ar-SA"/>
              </w:rPr>
              <w:t>印发的SARMRA评估意见书</w:t>
            </w:r>
            <w:r>
              <w:rPr>
                <w:rFonts w:hint="eastAsia" w:ascii="宋体" w:hAnsi="宋体" w:cs="宋体"/>
                <w:bCs/>
                <w:color w:val="auto"/>
                <w:kern w:val="2"/>
                <w:sz w:val="21"/>
                <w:szCs w:val="21"/>
                <w:highlight w:val="none"/>
                <w:lang w:val="en-US" w:eastAsia="zh-CN" w:bidi="ar-SA"/>
              </w:rPr>
              <w:t>或投标人总公司偿付能力报告相关页截图，并加盖公章</w:t>
            </w:r>
            <w:r>
              <w:rPr>
                <w:rFonts w:hint="eastAsia" w:ascii="宋体" w:hAnsi="宋体" w:eastAsia="宋体" w:cs="宋体"/>
                <w:bCs/>
                <w:color w:val="auto"/>
                <w:kern w:val="2"/>
                <w:sz w:val="21"/>
                <w:szCs w:val="21"/>
                <w:highlight w:val="none"/>
                <w:lang w:val="en-US" w:eastAsia="zh-CN" w:bidi="ar-SA"/>
              </w:rPr>
              <w:t>，未提供不得分。</w:t>
            </w:r>
          </w:p>
        </w:tc>
        <w:tc>
          <w:tcPr>
            <w:tcW w:w="629" w:type="pct"/>
            <w:shd w:val="clear" w:color="auto" w:fill="auto"/>
            <w:noWrap w:val="0"/>
            <w:vAlign w:val="center"/>
          </w:tcPr>
          <w:p w14:paraId="621213A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此项满分10分</w:t>
            </w:r>
          </w:p>
        </w:tc>
      </w:tr>
      <w:tr w14:paraId="0966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05844542">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584" w:type="pct"/>
            <w:shd w:val="clear" w:color="auto" w:fill="auto"/>
            <w:noWrap w:val="0"/>
            <w:vAlign w:val="center"/>
          </w:tcPr>
          <w:p w14:paraId="6A8A9400">
            <w:pPr>
              <w:keepNext w:val="0"/>
              <w:keepLines w:val="0"/>
              <w:pageBreakBefore w:val="0"/>
              <w:widowControl/>
              <w:kinsoku/>
              <w:wordWrap w:val="0"/>
              <w:overflowPunct/>
              <w:topLinePunct w:val="0"/>
              <w:autoSpaceDE/>
              <w:autoSpaceDN/>
              <w:bidi w:val="0"/>
              <w:spacing w:line="4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2024年监管通报保险业消费投诉情况</w:t>
            </w:r>
          </w:p>
        </w:tc>
        <w:tc>
          <w:tcPr>
            <w:tcW w:w="3361" w:type="pct"/>
            <w:shd w:val="clear" w:color="auto" w:fill="auto"/>
            <w:noWrap w:val="0"/>
            <w:vAlign w:val="center"/>
          </w:tcPr>
          <w:p w14:paraId="2FCF28F9">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国家金融监督管理总局金融消保局</w:t>
            </w:r>
            <w:r>
              <w:rPr>
                <w:rFonts w:hint="eastAsia" w:ascii="宋体" w:hAnsi="宋体" w:eastAsia="宋体" w:cs="宋体"/>
                <w:bCs/>
                <w:color w:val="auto"/>
                <w:kern w:val="2"/>
                <w:sz w:val="21"/>
                <w:szCs w:val="21"/>
                <w:highlight w:val="none"/>
                <w:lang w:val="en-US" w:eastAsia="zh-CN" w:bidi="ar-SA"/>
              </w:rPr>
              <w:t>对投标人总公司已</w:t>
            </w:r>
            <w:r>
              <w:rPr>
                <w:rFonts w:hint="eastAsia" w:ascii="宋体" w:hAnsi="宋体" w:cs="宋体"/>
                <w:bCs/>
                <w:color w:val="auto"/>
                <w:kern w:val="2"/>
                <w:sz w:val="21"/>
                <w:szCs w:val="21"/>
                <w:highlight w:val="none"/>
                <w:lang w:val="en-US" w:eastAsia="zh-CN" w:bidi="ar-SA"/>
              </w:rPr>
              <w:t>发布</w:t>
            </w:r>
            <w:r>
              <w:rPr>
                <w:rFonts w:hint="eastAsia" w:ascii="宋体" w:hAnsi="宋体" w:eastAsia="宋体" w:cs="宋体"/>
                <w:bCs/>
                <w:color w:val="auto"/>
                <w:kern w:val="2"/>
                <w:sz w:val="21"/>
                <w:szCs w:val="21"/>
                <w:highlight w:val="none"/>
                <w:lang w:val="en-US" w:eastAsia="zh-CN" w:bidi="ar-SA"/>
              </w:rPr>
              <w:t>的</w:t>
            </w:r>
            <w:r>
              <w:rPr>
                <w:rFonts w:hint="eastAsia" w:ascii="宋体" w:hAnsi="宋体" w:cs="宋体"/>
                <w:bCs/>
                <w:color w:val="auto"/>
                <w:kern w:val="2"/>
                <w:sz w:val="21"/>
                <w:szCs w:val="21"/>
                <w:highlight w:val="none"/>
                <w:lang w:val="en-US" w:eastAsia="zh-CN" w:bidi="ar-SA"/>
              </w:rPr>
              <w:t>2024年保险业消费投诉情况的监管通报结果，按照以下进行评分</w:t>
            </w:r>
            <w:r>
              <w:rPr>
                <w:rFonts w:hint="eastAsia" w:ascii="宋体" w:hAnsi="宋体" w:eastAsia="宋体" w:cs="宋体"/>
                <w:bCs/>
                <w:color w:val="auto"/>
                <w:kern w:val="2"/>
                <w:sz w:val="21"/>
                <w:szCs w:val="21"/>
                <w:highlight w:val="none"/>
                <w:lang w:val="en-US" w:eastAsia="zh-CN" w:bidi="ar-SA"/>
              </w:rPr>
              <w:t>：</w:t>
            </w:r>
          </w:p>
          <w:p w14:paraId="279F0594">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（1）亿元保费投诉量，0.5件（含）以下得5分，0.5-1（含）件得3分，1件（不含）以上得1分</w:t>
            </w:r>
            <w:r>
              <w:rPr>
                <w:rFonts w:hint="eastAsia" w:ascii="宋体" w:hAnsi="宋体" w:cs="宋体"/>
                <w:bCs/>
                <w:color w:val="auto"/>
                <w:kern w:val="2"/>
                <w:sz w:val="21"/>
                <w:szCs w:val="21"/>
                <w:highlight w:val="none"/>
                <w:lang w:val="en-US" w:eastAsia="zh-CN" w:bidi="ar-SA"/>
              </w:rPr>
              <w:t>；</w:t>
            </w:r>
          </w:p>
          <w:p w14:paraId="139CB271">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（2）万张保单投诉量，0.01件（含）以下得5分，0.01-0.05（含）件得3分，0.05件（不含）以上得1分。</w:t>
            </w:r>
          </w:p>
          <w:p w14:paraId="1C015080">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注：需提供</w:t>
            </w:r>
            <w:r>
              <w:rPr>
                <w:rFonts w:hint="eastAsia" w:ascii="宋体" w:hAnsi="宋体" w:cs="宋体"/>
                <w:bCs/>
                <w:color w:val="auto"/>
                <w:kern w:val="2"/>
                <w:sz w:val="21"/>
                <w:szCs w:val="21"/>
                <w:highlight w:val="none"/>
                <w:lang w:val="en-US" w:eastAsia="zh-CN" w:bidi="ar-SA"/>
              </w:rPr>
              <w:t>国家金融监督管理总局金融消保局</w:t>
            </w:r>
            <w:r>
              <w:rPr>
                <w:rFonts w:hint="eastAsia" w:ascii="宋体" w:hAnsi="宋体" w:eastAsia="宋体" w:cs="宋体"/>
                <w:bCs/>
                <w:color w:val="auto"/>
                <w:kern w:val="2"/>
                <w:sz w:val="21"/>
                <w:szCs w:val="21"/>
                <w:highlight w:val="none"/>
                <w:lang w:val="en-US" w:eastAsia="zh-CN" w:bidi="ar-SA"/>
              </w:rPr>
              <w:t>发布的通报文件及附件</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保险业消费投诉</w:t>
            </w:r>
            <w:r>
              <w:rPr>
                <w:rFonts w:hint="eastAsia" w:ascii="宋体" w:hAnsi="宋体" w:cs="宋体"/>
                <w:bCs/>
                <w:color w:val="auto"/>
                <w:kern w:val="2"/>
                <w:sz w:val="21"/>
                <w:szCs w:val="21"/>
                <w:highlight w:val="none"/>
                <w:lang w:val="en-US" w:eastAsia="zh-CN" w:bidi="ar-SA"/>
              </w:rPr>
              <w:t>监管通报数据</w:t>
            </w:r>
            <w:r>
              <w:rPr>
                <w:rFonts w:hint="eastAsia" w:ascii="宋体" w:hAnsi="宋体" w:eastAsia="宋体" w:cs="宋体"/>
                <w:bCs/>
                <w:color w:val="auto"/>
                <w:kern w:val="2"/>
                <w:sz w:val="21"/>
                <w:szCs w:val="21"/>
                <w:highlight w:val="none"/>
                <w:lang w:val="en-US" w:eastAsia="zh-CN" w:bidi="ar-SA"/>
              </w:rPr>
              <w:t>统</w:t>
            </w:r>
            <w:r>
              <w:rPr>
                <w:rFonts w:hint="eastAsia" w:ascii="宋体" w:hAnsi="宋体" w:cs="宋体"/>
                <w:bCs/>
                <w:color w:val="auto"/>
                <w:kern w:val="2"/>
                <w:sz w:val="21"/>
                <w:szCs w:val="21"/>
                <w:highlight w:val="none"/>
                <w:lang w:val="en-US" w:eastAsia="zh-CN" w:bidi="ar-SA"/>
              </w:rPr>
              <w:t>计表》，未提供不得分。</w:t>
            </w:r>
          </w:p>
        </w:tc>
        <w:tc>
          <w:tcPr>
            <w:tcW w:w="629" w:type="pct"/>
            <w:shd w:val="clear" w:color="auto" w:fill="auto"/>
            <w:noWrap w:val="0"/>
            <w:vAlign w:val="center"/>
          </w:tcPr>
          <w:p w14:paraId="3268C43A">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此项满分10分</w:t>
            </w:r>
          </w:p>
        </w:tc>
      </w:tr>
      <w:tr w14:paraId="433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noWrap w:val="0"/>
            <w:vAlign w:val="center"/>
          </w:tcPr>
          <w:p w14:paraId="65CD9C89">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584" w:type="pct"/>
            <w:shd w:val="clear" w:color="auto" w:fill="auto"/>
            <w:noWrap w:val="0"/>
            <w:vAlign w:val="center"/>
          </w:tcPr>
          <w:p w14:paraId="21EFCEAC">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bCs/>
                <w:color w:val="auto"/>
                <w:kern w:val="2"/>
                <w:sz w:val="21"/>
                <w:szCs w:val="21"/>
                <w:highlight w:val="none"/>
                <w:lang w:val="en-US" w:eastAsia="zh-CN" w:bidi="ar-SA"/>
              </w:rPr>
              <w:t>承保经验（业绩分）</w:t>
            </w:r>
          </w:p>
        </w:tc>
        <w:tc>
          <w:tcPr>
            <w:tcW w:w="3361" w:type="pct"/>
            <w:shd w:val="clear" w:color="auto" w:fill="auto"/>
            <w:noWrap w:val="0"/>
            <w:vAlign w:val="center"/>
          </w:tcPr>
          <w:p w14:paraId="4C1E2A1E">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2022年1月1日起至投标截止之日止，投标人或其总公司下辖其他机构具有护理类保险承办业绩的【中标（成交）通知书或保险合同】，每提供一份得2分，最高得10分。</w:t>
            </w:r>
          </w:p>
          <w:p w14:paraId="01B258FB">
            <w:pPr>
              <w:keepNext w:val="0"/>
              <w:keepLines w:val="0"/>
              <w:pageBreakBefore w:val="0"/>
              <w:kinsoku/>
              <w:wordWrap w:val="0"/>
              <w:overflowPunct/>
              <w:topLinePunct w:val="0"/>
              <w:autoSpaceDE/>
              <w:autoSpaceDN/>
              <w:bidi w:val="0"/>
              <w:spacing w:line="480" w:lineRule="exact"/>
              <w:ind w:firstLine="420" w:firstLineChars="200"/>
              <w:textAlignment w:val="auto"/>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宋体" w:hAnsi="宋体" w:eastAsia="宋体" w:cs="宋体"/>
                <w:bCs/>
                <w:color w:val="auto"/>
                <w:kern w:val="2"/>
                <w:sz w:val="21"/>
                <w:szCs w:val="21"/>
                <w:highlight w:val="none"/>
                <w:lang w:val="en-US" w:eastAsia="zh-CN" w:bidi="ar-SA"/>
              </w:rPr>
              <w:t>注：投标人需提供相关业绩的中标（成交）通知书或保险合同或保单复印件。</w:t>
            </w:r>
          </w:p>
        </w:tc>
        <w:tc>
          <w:tcPr>
            <w:tcW w:w="629" w:type="pct"/>
            <w:shd w:val="clear" w:color="auto" w:fill="auto"/>
            <w:noWrap w:val="0"/>
            <w:vAlign w:val="center"/>
          </w:tcPr>
          <w:p w14:paraId="267752D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此项满分10分</w:t>
            </w:r>
          </w:p>
        </w:tc>
      </w:tr>
      <w:tr w14:paraId="4C48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noWrap w:val="0"/>
            <w:vAlign w:val="top"/>
          </w:tcPr>
          <w:p w14:paraId="3E95BDC2">
            <w:pPr>
              <w:keepNext w:val="0"/>
              <w:keepLines w:val="0"/>
              <w:pageBreakBefore w:val="0"/>
              <w:widowControl/>
              <w:kinsoku/>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rPr>
              <w:t>总得分＝</w:t>
            </w:r>
            <w:r>
              <w:rPr>
                <w:rFonts w:hint="eastAsia" w:ascii="宋体" w:hAnsi="宋体" w:eastAsia="宋体" w:cs="宋体"/>
                <w:bCs/>
                <w:color w:val="auto"/>
                <w:sz w:val="21"/>
                <w:szCs w:val="21"/>
                <w:highlight w:val="none"/>
                <w:lang w:val="en-US" w:eastAsia="zh-CN"/>
              </w:rPr>
              <w:t>技术分+商务分</w:t>
            </w:r>
          </w:p>
        </w:tc>
      </w:tr>
    </w:tbl>
    <w:p w14:paraId="1E4D2BAA">
      <w:pPr>
        <w:pStyle w:val="18"/>
        <w:spacing w:line="360" w:lineRule="auto"/>
        <w:ind w:firstLine="420" w:firstLineChars="200"/>
        <w:rPr>
          <w:rFonts w:hint="eastAsia" w:ascii="宋体" w:hAnsi="宋体" w:eastAsia="宋体" w:cs="宋体"/>
          <w:bCs/>
          <w:color w:val="auto"/>
          <w:szCs w:val="21"/>
          <w:highlight w:val="none"/>
          <w:lang w:val="en-US" w:eastAsia="zh-CN"/>
        </w:rPr>
      </w:pPr>
    </w:p>
    <w:p w14:paraId="235963FF">
      <w:pPr>
        <w:keepNext/>
        <w:keepLines/>
        <w:spacing w:before="260" w:after="260" w:line="413" w:lineRule="auto"/>
        <w:jc w:val="center"/>
        <w:outlineLvl w:val="1"/>
        <w:rPr>
          <w:rFonts w:hint="eastAsia" w:ascii="宋体" w:hAnsi="宋体" w:eastAsia="宋体" w:cs="宋体"/>
          <w:bCs/>
          <w:color w:val="auto"/>
          <w:sz w:val="30"/>
          <w:szCs w:val="30"/>
          <w:highlight w:val="none"/>
        </w:rPr>
      </w:pPr>
      <w:bookmarkStart w:id="132" w:name="_Toc3222"/>
      <w:r>
        <w:rPr>
          <w:rFonts w:hint="eastAsia" w:ascii="宋体" w:hAnsi="宋体" w:eastAsia="宋体" w:cs="宋体"/>
          <w:bCs/>
          <w:color w:val="auto"/>
          <w:sz w:val="30"/>
          <w:szCs w:val="30"/>
          <w:highlight w:val="none"/>
        </w:rPr>
        <w:t>第四节 中标候选人推荐原则</w:t>
      </w:r>
      <w:bookmarkEnd w:id="132"/>
    </w:p>
    <w:p w14:paraId="34B21C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37" w:leftChars="0" w:hanging="765" w:firstLineChars="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综合评分法</w:t>
      </w:r>
    </w:p>
    <w:p w14:paraId="309F87C8">
      <w:pPr>
        <w:keepNext w:val="0"/>
        <w:keepLines w:val="0"/>
        <w:pageBreakBefore w:val="0"/>
        <w:tabs>
          <w:tab w:val="left" w:pos="2472"/>
        </w:tabs>
        <w:kinsoku/>
        <w:wordWrap/>
        <w:overflowPunct/>
        <w:topLinePunct w:val="0"/>
        <w:autoSpaceDE/>
        <w:autoSpaceDN/>
        <w:bidi w:val="0"/>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评标委员会将根据得分由高到低排列次序（得分相同的，依次</w:t>
      </w:r>
      <w:r>
        <w:rPr>
          <w:rFonts w:hint="eastAsia" w:ascii="宋体" w:hAnsi="宋体" w:eastAsia="宋体" w:cs="宋体"/>
          <w:color w:val="auto"/>
          <w:sz w:val="21"/>
          <w:szCs w:val="21"/>
          <w:highlight w:val="none"/>
          <w:lang w:val="en-US" w:eastAsia="zh-CN"/>
        </w:rPr>
        <w:t>按</w:t>
      </w:r>
      <w:r>
        <w:rPr>
          <w:rFonts w:hint="eastAsia" w:ascii="宋体" w:hAnsi="宋体" w:cs="宋体"/>
          <w:bCs/>
          <w:color w:val="auto"/>
          <w:kern w:val="2"/>
          <w:sz w:val="21"/>
          <w:szCs w:val="21"/>
          <w:highlight w:val="none"/>
          <w:lang w:val="en-US" w:eastAsia="zh-CN" w:bidi="ar-SA"/>
        </w:rPr>
        <w:t>承保服务方案得分</w:t>
      </w: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bidi="ar-SA"/>
        </w:rPr>
        <w:t>服务人员</w:t>
      </w:r>
      <w:r>
        <w:rPr>
          <w:rFonts w:hint="eastAsia" w:ascii="宋体" w:hAnsi="宋体" w:cs="宋体"/>
          <w:bCs/>
          <w:color w:val="auto"/>
          <w:kern w:val="2"/>
          <w:sz w:val="21"/>
          <w:szCs w:val="21"/>
          <w:highlight w:val="none"/>
          <w:lang w:val="en-US" w:eastAsia="zh-CN" w:bidi="ar-SA"/>
        </w:rPr>
        <w:t>配备方案得分</w:t>
      </w: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bidi="ar-SA"/>
        </w:rPr>
        <w:t>照护人员管理方案</w:t>
      </w:r>
      <w:r>
        <w:rPr>
          <w:rFonts w:hint="eastAsia" w:ascii="宋体" w:hAnsi="宋体" w:cs="宋体"/>
          <w:bCs/>
          <w:color w:val="auto"/>
          <w:kern w:val="2"/>
          <w:sz w:val="21"/>
          <w:szCs w:val="21"/>
          <w:highlight w:val="none"/>
          <w:lang w:val="en-US" w:eastAsia="zh-CN" w:bidi="ar-SA"/>
        </w:rPr>
        <w:t>得分</w:t>
      </w:r>
      <w:r>
        <w:rPr>
          <w:rFonts w:hint="eastAsia" w:ascii="宋体" w:hAnsi="宋体" w:eastAsia="宋体" w:cs="宋体"/>
          <w:color w:val="auto"/>
          <w:sz w:val="21"/>
          <w:szCs w:val="21"/>
          <w:highlight w:val="none"/>
        </w:rPr>
        <w:t>→理赔服务方案</w:t>
      </w:r>
      <w:r>
        <w:rPr>
          <w:rFonts w:hint="eastAsia" w:ascii="宋体" w:hAnsi="宋体" w:cs="宋体"/>
          <w:bCs/>
          <w:color w:val="auto"/>
          <w:kern w:val="2"/>
          <w:sz w:val="21"/>
          <w:szCs w:val="21"/>
          <w:highlight w:val="none"/>
          <w:lang w:val="en-US" w:eastAsia="zh-CN" w:bidi="ar-SA"/>
        </w:rPr>
        <w:t>得分</w:t>
      </w:r>
      <w:r>
        <w:rPr>
          <w:rFonts w:hint="eastAsia" w:ascii="宋体" w:hAnsi="宋体" w:eastAsia="宋体" w:cs="宋体"/>
          <w:color w:val="auto"/>
          <w:sz w:val="21"/>
          <w:szCs w:val="21"/>
          <w:highlight w:val="none"/>
        </w:rPr>
        <w:t>→增值服务方案</w:t>
      </w:r>
      <w:r>
        <w:rPr>
          <w:rFonts w:hint="eastAsia" w:ascii="宋体" w:hAnsi="宋体" w:cs="宋体"/>
          <w:bCs/>
          <w:color w:val="auto"/>
          <w:kern w:val="2"/>
          <w:sz w:val="21"/>
          <w:szCs w:val="21"/>
          <w:highlight w:val="none"/>
          <w:lang w:val="en-US" w:eastAsia="zh-CN" w:bidi="ar-SA"/>
        </w:rPr>
        <w:t>得分</w:t>
      </w:r>
      <w:r>
        <w:rPr>
          <w:rFonts w:hint="eastAsia" w:ascii="宋体" w:hAnsi="宋体" w:eastAsia="宋体" w:cs="宋体"/>
          <w:color w:val="auto"/>
          <w:sz w:val="21"/>
          <w:szCs w:val="21"/>
          <w:highlight w:val="none"/>
        </w:rPr>
        <w:t>顺序排列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如以上都一致时则由评标委员会推荐代表随机抽取</w:t>
      </w:r>
      <w:r>
        <w:rPr>
          <w:rFonts w:hint="eastAsia" w:ascii="宋体" w:hAnsi="宋体" w:eastAsia="宋体" w:cs="宋体"/>
          <w:color w:val="auto"/>
          <w:sz w:val="21"/>
          <w:szCs w:val="21"/>
          <w:highlight w:val="none"/>
        </w:rPr>
        <w:t>）并推荐中标候选人。采购人应当确定评</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委员会推荐排名第一的中标候选人为中标人。排名第一的中标候选人放弃中标、因不可抗力提出不能履行合同，</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可以确定排名第二的中标候选人为中标人。排名第二的中标候选人因前款规定的同样原因不能签订合同的，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可以确定排名第三的中标候选人为中标人，其余以此类推。采购人也可以决定重新采购。</w:t>
      </w:r>
    </w:p>
    <w:p w14:paraId="012894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37" w:leftChars="0" w:hanging="765" w:firstLineChars="0"/>
        <w:contextualSpacing/>
        <w:textAlignment w:val="auto"/>
        <w:rPr>
          <w:rFonts w:hint="eastAsia" w:ascii="宋体" w:hAnsi="宋体" w:eastAsia="宋体" w:cs="宋体"/>
          <w:b/>
          <w:bCs/>
          <w:color w:val="auto"/>
          <w:sz w:val="21"/>
          <w:szCs w:val="21"/>
          <w:highlight w:val="none"/>
        </w:rPr>
      </w:pPr>
    </w:p>
    <w:p w14:paraId="13D7DF3A">
      <w:pPr>
        <w:keepNext/>
        <w:keepLines/>
        <w:spacing w:before="260" w:after="260" w:line="413" w:lineRule="auto"/>
        <w:ind w:firstLine="0" w:firstLineChars="0"/>
        <w:jc w:val="center"/>
        <w:outlineLvl w:val="1"/>
        <w:rPr>
          <w:rFonts w:hint="eastAsia" w:ascii="宋体" w:hAnsi="宋体" w:eastAsia="宋体" w:cs="宋体"/>
          <w:bCs/>
          <w:color w:val="auto"/>
          <w:sz w:val="30"/>
          <w:szCs w:val="30"/>
          <w:highlight w:val="none"/>
        </w:rPr>
      </w:pPr>
      <w:bookmarkStart w:id="133" w:name="_Toc16783"/>
      <w:r>
        <w:rPr>
          <w:rFonts w:hint="eastAsia" w:ascii="宋体" w:hAnsi="宋体" w:eastAsia="宋体" w:cs="宋体"/>
          <w:bCs/>
          <w:color w:val="auto"/>
          <w:sz w:val="30"/>
          <w:szCs w:val="30"/>
          <w:highlight w:val="none"/>
        </w:rPr>
        <w:t>第五节 评标报告</w:t>
      </w:r>
      <w:bookmarkEnd w:id="133"/>
    </w:p>
    <w:p w14:paraId="3A601754">
      <w:pPr>
        <w:keepNext w:val="0"/>
        <w:keepLines w:val="0"/>
        <w:pageBreakBefore w:val="0"/>
        <w:kinsoku/>
        <w:wordWrap/>
        <w:overflowPunct/>
        <w:topLinePunct w:val="0"/>
        <w:autoSpaceDE/>
        <w:autoSpaceDN/>
        <w:bidi w:val="0"/>
        <w:adjustRightInd w:val="0"/>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（一）评标报告与推荐中标候选人</w:t>
      </w:r>
    </w:p>
    <w:p w14:paraId="5026C9C6">
      <w:pPr>
        <w:keepNext w:val="0"/>
        <w:keepLines w:val="0"/>
        <w:pageBreakBefore w:val="0"/>
        <w:tabs>
          <w:tab w:val="left" w:pos="2472"/>
        </w:tabs>
        <w:kinsoku/>
        <w:wordWrap/>
        <w:overflowPunct/>
        <w:topLinePunct w:val="0"/>
        <w:autoSpaceDE/>
        <w:autoSpaceDN/>
        <w:bidi w:val="0"/>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评标委员会根据原始评标记录和评标结果编写评标报告，并通过电子交易平台向采购人、采购代理机构提交。</w:t>
      </w:r>
    </w:p>
    <w:p w14:paraId="5DE2EEF4">
      <w:pPr>
        <w:keepNext w:val="0"/>
        <w:keepLines w:val="0"/>
        <w:pageBreakBefore w:val="0"/>
        <w:widowControl/>
        <w:kinsoku/>
        <w:wordWrap/>
        <w:overflowPunct/>
        <w:topLinePunct w:val="0"/>
        <w:autoSpaceDE/>
        <w:autoSpaceDN/>
        <w:bidi w:val="0"/>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（二）评标争议事项处理</w:t>
      </w:r>
    </w:p>
    <w:p w14:paraId="02EC3499">
      <w:pPr>
        <w:keepNext w:val="0"/>
        <w:keepLines w:val="0"/>
        <w:pageBreakBefore w:val="0"/>
        <w:tabs>
          <w:tab w:val="left" w:pos="2472"/>
        </w:tabs>
        <w:kinsoku/>
        <w:wordWrap/>
        <w:overflowPunct/>
        <w:topLinePunct w:val="0"/>
        <w:autoSpaceDE/>
        <w:autoSpaceDN/>
        <w:bidi w:val="0"/>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A1CFDE8">
      <w:pPr>
        <w:keepNext w:val="0"/>
        <w:keepLines w:val="0"/>
        <w:pageBreakBefore w:val="0"/>
        <w:tabs>
          <w:tab w:val="left" w:pos="2472"/>
        </w:tabs>
        <w:kinsoku/>
        <w:wordWrap/>
        <w:overflowPunct/>
        <w:topLinePunct w:val="0"/>
        <w:autoSpaceDE/>
        <w:autoSpaceDN/>
        <w:bidi w:val="0"/>
        <w:snapToGrid/>
        <w:spacing w:line="480" w:lineRule="exact"/>
        <w:textAlignment w:val="auto"/>
        <w:rPr>
          <w:rFonts w:hint="eastAsia" w:ascii="宋体" w:hAnsi="宋体" w:eastAsia="宋体" w:cs="宋体"/>
          <w:b/>
          <w:color w:val="auto"/>
          <w:sz w:val="21"/>
          <w:szCs w:val="21"/>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86FE8D0">
      <w:pPr>
        <w:tabs>
          <w:tab w:val="left" w:pos="2472"/>
        </w:tabs>
        <w:spacing w:line="460" w:lineRule="exact"/>
        <w:jc w:val="center"/>
        <w:rPr>
          <w:rFonts w:hint="eastAsia" w:ascii="宋体" w:hAnsi="宋体" w:eastAsia="宋体" w:cs="宋体"/>
          <w:b/>
          <w:color w:val="auto"/>
          <w:sz w:val="36"/>
          <w:szCs w:val="20"/>
          <w:highlight w:val="none"/>
        </w:rPr>
      </w:pPr>
    </w:p>
    <w:p w14:paraId="7DF14838">
      <w:pPr>
        <w:tabs>
          <w:tab w:val="left" w:pos="2472"/>
        </w:tabs>
        <w:spacing w:line="460" w:lineRule="exact"/>
        <w:jc w:val="center"/>
        <w:rPr>
          <w:rFonts w:hint="eastAsia" w:ascii="宋体" w:hAnsi="宋体" w:eastAsia="宋体" w:cs="宋体"/>
          <w:b/>
          <w:color w:val="auto"/>
          <w:sz w:val="36"/>
          <w:szCs w:val="20"/>
          <w:highlight w:val="none"/>
        </w:rPr>
      </w:pPr>
    </w:p>
    <w:p w14:paraId="3A1019FA">
      <w:pPr>
        <w:tabs>
          <w:tab w:val="left" w:pos="2472"/>
        </w:tabs>
        <w:spacing w:line="460" w:lineRule="exact"/>
        <w:jc w:val="center"/>
        <w:rPr>
          <w:rFonts w:hint="eastAsia" w:ascii="宋体" w:hAnsi="宋体" w:eastAsia="宋体" w:cs="宋体"/>
          <w:b/>
          <w:color w:val="auto"/>
          <w:sz w:val="36"/>
          <w:szCs w:val="20"/>
          <w:highlight w:val="none"/>
        </w:rPr>
      </w:pPr>
    </w:p>
    <w:p w14:paraId="01A6F74F">
      <w:pPr>
        <w:tabs>
          <w:tab w:val="left" w:pos="2472"/>
        </w:tabs>
        <w:spacing w:line="460" w:lineRule="exact"/>
        <w:jc w:val="center"/>
        <w:rPr>
          <w:rFonts w:hint="eastAsia" w:ascii="宋体" w:hAnsi="宋体" w:eastAsia="宋体" w:cs="宋体"/>
          <w:b/>
          <w:color w:val="auto"/>
          <w:sz w:val="36"/>
          <w:szCs w:val="20"/>
          <w:highlight w:val="none"/>
        </w:rPr>
      </w:pPr>
    </w:p>
    <w:p w14:paraId="3C1FDFA0">
      <w:pPr>
        <w:tabs>
          <w:tab w:val="left" w:pos="2472"/>
        </w:tabs>
        <w:spacing w:line="460" w:lineRule="exact"/>
        <w:jc w:val="center"/>
        <w:rPr>
          <w:rFonts w:hint="eastAsia" w:ascii="宋体" w:hAnsi="宋体" w:eastAsia="宋体" w:cs="宋体"/>
          <w:b/>
          <w:color w:val="auto"/>
          <w:sz w:val="36"/>
          <w:szCs w:val="20"/>
          <w:highlight w:val="none"/>
        </w:rPr>
      </w:pPr>
    </w:p>
    <w:p w14:paraId="22FC3D15">
      <w:pPr>
        <w:tabs>
          <w:tab w:val="left" w:pos="2472"/>
        </w:tabs>
        <w:spacing w:line="460" w:lineRule="exact"/>
        <w:jc w:val="center"/>
        <w:rPr>
          <w:rFonts w:hint="eastAsia" w:ascii="宋体" w:hAnsi="宋体" w:eastAsia="宋体" w:cs="宋体"/>
          <w:b/>
          <w:color w:val="auto"/>
          <w:sz w:val="36"/>
          <w:szCs w:val="20"/>
          <w:highlight w:val="none"/>
        </w:rPr>
      </w:pPr>
    </w:p>
    <w:p w14:paraId="18B4A46C">
      <w:pPr>
        <w:tabs>
          <w:tab w:val="left" w:pos="2472"/>
        </w:tabs>
        <w:spacing w:line="460" w:lineRule="exact"/>
        <w:jc w:val="center"/>
        <w:rPr>
          <w:rFonts w:hint="eastAsia" w:ascii="宋体" w:hAnsi="宋体" w:eastAsia="宋体" w:cs="宋体"/>
          <w:b/>
          <w:color w:val="auto"/>
          <w:sz w:val="36"/>
          <w:szCs w:val="20"/>
          <w:highlight w:val="none"/>
        </w:rPr>
      </w:pPr>
    </w:p>
    <w:p w14:paraId="66255250">
      <w:pPr>
        <w:tabs>
          <w:tab w:val="left" w:pos="2472"/>
        </w:tabs>
        <w:spacing w:line="460" w:lineRule="exact"/>
        <w:jc w:val="center"/>
        <w:rPr>
          <w:rFonts w:hint="eastAsia" w:ascii="宋体" w:hAnsi="宋体" w:eastAsia="宋体" w:cs="宋体"/>
          <w:b/>
          <w:color w:val="auto"/>
          <w:sz w:val="36"/>
          <w:szCs w:val="20"/>
          <w:highlight w:val="none"/>
        </w:rPr>
      </w:pPr>
    </w:p>
    <w:p w14:paraId="1AED8FED">
      <w:pPr>
        <w:tabs>
          <w:tab w:val="left" w:pos="2472"/>
        </w:tabs>
        <w:spacing w:line="460" w:lineRule="exact"/>
        <w:jc w:val="center"/>
        <w:rPr>
          <w:rFonts w:hint="eastAsia" w:ascii="宋体" w:hAnsi="宋体" w:eastAsia="宋体" w:cs="宋体"/>
          <w:b/>
          <w:color w:val="auto"/>
          <w:sz w:val="36"/>
          <w:szCs w:val="20"/>
          <w:highlight w:val="none"/>
        </w:rPr>
      </w:pPr>
    </w:p>
    <w:p w14:paraId="3525C5B0">
      <w:pPr>
        <w:tabs>
          <w:tab w:val="left" w:pos="2472"/>
        </w:tabs>
        <w:spacing w:line="460" w:lineRule="exact"/>
        <w:jc w:val="center"/>
        <w:rPr>
          <w:rFonts w:hint="eastAsia" w:ascii="宋体" w:hAnsi="宋体" w:eastAsia="宋体" w:cs="宋体"/>
          <w:b/>
          <w:color w:val="auto"/>
          <w:sz w:val="36"/>
          <w:szCs w:val="20"/>
          <w:highlight w:val="none"/>
        </w:rPr>
      </w:pPr>
    </w:p>
    <w:p w14:paraId="5C189747">
      <w:pPr>
        <w:tabs>
          <w:tab w:val="left" w:pos="2472"/>
        </w:tabs>
        <w:spacing w:line="460" w:lineRule="exact"/>
        <w:jc w:val="center"/>
        <w:rPr>
          <w:rFonts w:hint="eastAsia" w:ascii="宋体" w:hAnsi="宋体" w:eastAsia="宋体" w:cs="宋体"/>
          <w:b/>
          <w:color w:val="auto"/>
          <w:sz w:val="36"/>
          <w:szCs w:val="20"/>
          <w:highlight w:val="none"/>
        </w:rPr>
      </w:pPr>
    </w:p>
    <w:p w14:paraId="1AAD212A">
      <w:pPr>
        <w:tabs>
          <w:tab w:val="left" w:pos="2472"/>
        </w:tabs>
        <w:spacing w:line="460" w:lineRule="exact"/>
        <w:jc w:val="center"/>
        <w:rPr>
          <w:rFonts w:hint="eastAsia" w:ascii="宋体" w:hAnsi="宋体" w:eastAsia="宋体" w:cs="宋体"/>
          <w:b/>
          <w:color w:val="auto"/>
          <w:sz w:val="36"/>
          <w:szCs w:val="20"/>
          <w:highlight w:val="none"/>
        </w:rPr>
      </w:pPr>
    </w:p>
    <w:p w14:paraId="01161E26">
      <w:pPr>
        <w:tabs>
          <w:tab w:val="left" w:pos="2472"/>
        </w:tabs>
        <w:spacing w:line="460" w:lineRule="exact"/>
        <w:jc w:val="center"/>
        <w:rPr>
          <w:rFonts w:hint="eastAsia" w:ascii="宋体" w:hAnsi="宋体" w:eastAsia="宋体" w:cs="宋体"/>
          <w:b/>
          <w:color w:val="auto"/>
          <w:sz w:val="36"/>
          <w:szCs w:val="20"/>
          <w:highlight w:val="none"/>
        </w:rPr>
      </w:pPr>
    </w:p>
    <w:p w14:paraId="7836DC52">
      <w:pPr>
        <w:pStyle w:val="2"/>
        <w:bidi w:val="0"/>
        <w:jc w:val="center"/>
        <w:rPr>
          <w:rFonts w:hint="eastAsia" w:ascii="宋体" w:hAnsi="宋体" w:eastAsia="宋体" w:cs="宋体"/>
          <w:color w:val="auto"/>
          <w:highlight w:val="none"/>
        </w:rPr>
      </w:pPr>
      <w:bookmarkStart w:id="134" w:name="_Toc17563"/>
      <w:bookmarkStart w:id="135" w:name="_Toc188"/>
      <w:r>
        <w:rPr>
          <w:rFonts w:hint="eastAsia" w:ascii="宋体" w:hAnsi="宋体" w:eastAsia="宋体" w:cs="宋体"/>
          <w:color w:val="auto"/>
          <w:highlight w:val="none"/>
        </w:rPr>
        <w:t>第五章 拟签订的合同文本</w:t>
      </w:r>
      <w:bookmarkEnd w:id="134"/>
      <w:bookmarkEnd w:id="135"/>
    </w:p>
    <w:p w14:paraId="74030966">
      <w:pPr>
        <w:tabs>
          <w:tab w:val="left" w:pos="720"/>
        </w:tabs>
        <w:spacing w:line="460" w:lineRule="exact"/>
        <w:rPr>
          <w:rFonts w:hint="eastAsia" w:ascii="宋体" w:hAnsi="宋体" w:eastAsia="宋体" w:cs="宋体"/>
          <w:bCs/>
          <w:color w:val="auto"/>
          <w:szCs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448D06A6">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《采购合同》</w:t>
      </w:r>
    </w:p>
    <w:p w14:paraId="02CFD3F4">
      <w:pPr>
        <w:snapToGrid w:val="0"/>
        <w:spacing w:line="400" w:lineRule="exact"/>
        <w:ind w:right="480" w:firstLine="5250" w:firstLineChars="2500"/>
        <w:rPr>
          <w:rFonts w:hint="eastAsia" w:ascii="宋体" w:hAnsi="宋体" w:eastAsia="宋体" w:cs="宋体"/>
          <w:bCs/>
          <w:color w:val="auto"/>
          <w:szCs w:val="21"/>
          <w:highlight w:val="none"/>
        </w:rPr>
      </w:pPr>
    </w:p>
    <w:p w14:paraId="6221B87D">
      <w:pPr>
        <w:keepNext w:val="0"/>
        <w:keepLines w:val="0"/>
        <w:pageBreakBefore w:val="0"/>
        <w:widowControl w:val="0"/>
        <w:kinsoku/>
        <w:wordWrap/>
        <w:overflowPunct/>
        <w:topLinePunct w:val="0"/>
        <w:autoSpaceDE/>
        <w:autoSpaceDN/>
        <w:bidi w:val="0"/>
        <w:adjustRightInd/>
        <w:snapToGrid/>
        <w:spacing w:line="480" w:lineRule="exact"/>
        <w:ind w:right="8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344119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712C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p w14:paraId="7642486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p>
    <w:p w14:paraId="0E408B1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p>
    <w:p w14:paraId="19EC8E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》等法律、法规规定，按照招标文件（采购文件）规定条款和中标（成交）供应商承诺，甲乙双方签订本合同。</w:t>
      </w:r>
    </w:p>
    <w:p w14:paraId="7CCB5AB2">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457DC0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项目一览表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13"/>
        <w:gridCol w:w="1320"/>
        <w:gridCol w:w="1200"/>
        <w:gridCol w:w="1300"/>
        <w:gridCol w:w="1207"/>
      </w:tblGrid>
      <w:tr w14:paraId="4893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79AD7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613" w:type="dxa"/>
            <w:tcBorders>
              <w:top w:val="single" w:color="auto" w:sz="4" w:space="0"/>
              <w:left w:val="single" w:color="auto" w:sz="4" w:space="0"/>
              <w:bottom w:val="single" w:color="auto" w:sz="4" w:space="0"/>
              <w:right w:val="single" w:color="auto" w:sz="4" w:space="0"/>
            </w:tcBorders>
            <w:noWrap w:val="0"/>
            <w:vAlign w:val="center"/>
          </w:tcPr>
          <w:p w14:paraId="0FFA3F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261F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4FAD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2C9C2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3F8660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2E71C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7D5161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494C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AE5DC0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c>
          <w:tcPr>
            <w:tcW w:w="3613" w:type="dxa"/>
            <w:tcBorders>
              <w:top w:val="single" w:color="auto" w:sz="4" w:space="0"/>
              <w:left w:val="single" w:color="auto" w:sz="4" w:space="0"/>
              <w:bottom w:val="single" w:color="auto" w:sz="4" w:space="0"/>
              <w:right w:val="single" w:color="auto" w:sz="4" w:space="0"/>
            </w:tcBorders>
            <w:noWrap w:val="0"/>
            <w:vAlign w:val="center"/>
          </w:tcPr>
          <w:p w14:paraId="633533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1C691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41896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379E4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7A8C6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r>
      <w:tr w14:paraId="61AE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5D7A8E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p>
        </w:tc>
      </w:tr>
      <w:tr w14:paraId="12F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79C8C1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人民币合计金额（大写）：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r>
    </w:tbl>
    <w:p w14:paraId="6AB29EA7">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合同合计金额</w:t>
      </w:r>
      <w:r>
        <w:rPr>
          <w:rFonts w:hint="eastAsia" w:ascii="宋体" w:hAnsi="宋体" w:eastAsia="宋体" w:cs="宋体"/>
          <w:color w:val="auto"/>
          <w:spacing w:val="-2"/>
          <w:sz w:val="21"/>
          <w:szCs w:val="21"/>
          <w:highlight w:val="none"/>
        </w:rPr>
        <w:t>包含本次采购范围内提供的服务、所涉及的人员劳务费、差旅费、履约验收、</w:t>
      </w:r>
      <w:r>
        <w:rPr>
          <w:rFonts w:hint="eastAsia" w:ascii="宋体" w:hAnsi="宋体" w:eastAsia="宋体" w:cs="宋体"/>
          <w:color w:val="auto"/>
          <w:spacing w:val="-3"/>
          <w:sz w:val="21"/>
          <w:szCs w:val="21"/>
          <w:highlight w:val="none"/>
        </w:rPr>
        <w:t>第三方风险管理服务费、培训及技术资料、代理服务费及其它所有成本费用的总和，在合同实施</w:t>
      </w:r>
      <w:r>
        <w:rPr>
          <w:rFonts w:hint="eastAsia" w:ascii="宋体" w:hAnsi="宋体" w:eastAsia="宋体" w:cs="宋体"/>
          <w:color w:val="auto"/>
          <w:sz w:val="21"/>
          <w:szCs w:val="21"/>
          <w:highlight w:val="none"/>
        </w:rPr>
        <w:t>时，甲方将不予支付乙方没有列入的项目费用，并认为此项目的费用已包括在总报</w:t>
      </w:r>
      <w:r>
        <w:rPr>
          <w:rFonts w:hint="eastAsia" w:ascii="宋体" w:hAnsi="宋体" w:eastAsia="宋体" w:cs="宋体"/>
          <w:color w:val="auto"/>
          <w:spacing w:val="-1"/>
          <w:sz w:val="21"/>
          <w:szCs w:val="21"/>
          <w:highlight w:val="none"/>
        </w:rPr>
        <w:t>价中。</w:t>
      </w:r>
    </w:p>
    <w:p w14:paraId="4981CFC7">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37B434B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58F4BB0A">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580D700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61195FF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没有甲方事先书面同意，乙方不得将由甲方提供的有关合同或者任何合同条文或者资料提供给与履行本合同无关的任何其他人。即使向履行本合同有关的人员提供，也应注意保密并限于履行合同的必需范围。乙方的保密义务持续有效，不因本合同履行终止、解除或者无效而解除。</w:t>
      </w:r>
    </w:p>
    <w:p w14:paraId="62D2397F">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214F1363">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lang w:val="en-US" w:eastAsia="zh-CN"/>
        </w:rPr>
        <w:t>保险</w:t>
      </w:r>
      <w:r>
        <w:rPr>
          <w:rFonts w:hint="eastAsia" w:ascii="宋体" w:hAnsi="宋体" w:eastAsia="宋体" w:cs="宋体"/>
          <w:color w:val="auto"/>
          <w:szCs w:val="21"/>
          <w:highlight w:val="none"/>
        </w:rPr>
        <w:t>期限：</w:t>
      </w:r>
      <w:r>
        <w:rPr>
          <w:rFonts w:hint="eastAsia" w:ascii="宋体" w:hAnsi="宋体" w:eastAsia="宋体" w:cs="宋体"/>
          <w:color w:val="auto"/>
          <w:szCs w:val="21"/>
          <w:highlight w:val="none"/>
          <w:u w:val="single"/>
        </w:rPr>
        <w:t xml:space="preserve">     年    月   日起至    年    月   日止</w:t>
      </w:r>
      <w:r>
        <w:rPr>
          <w:rFonts w:hint="eastAsia" w:ascii="宋体" w:hAnsi="宋体" w:eastAsia="宋体" w:cs="宋体"/>
          <w:color w:val="auto"/>
          <w:szCs w:val="21"/>
          <w:highlight w:val="none"/>
        </w:rPr>
        <w:t>，服务地点：广西辖区内甲方指定地点。</w:t>
      </w:r>
    </w:p>
    <w:p w14:paraId="0320042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乙方应按投标文件的承诺向甲方提供相应的服务，并提供所服务内容的相关技术资料。</w:t>
      </w:r>
    </w:p>
    <w:p w14:paraId="7D88AC20">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乙方提供不符合投标文件和本合同规定的服务成果，甲方有权拒绝接受。</w:t>
      </w:r>
    </w:p>
    <w:p w14:paraId="1532F2BC">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乙方</w:t>
      </w:r>
      <w:r>
        <w:rPr>
          <w:rFonts w:hint="eastAsia" w:ascii="宋体" w:hAnsi="宋体" w:eastAsia="宋体" w:cs="宋体"/>
          <w:color w:val="auto"/>
          <w:spacing w:val="-4"/>
          <w:sz w:val="21"/>
          <w:szCs w:val="21"/>
          <w:highlight w:val="none"/>
        </w:rPr>
        <w:t>出具投保单</w:t>
      </w:r>
      <w:r>
        <w:rPr>
          <w:rFonts w:hint="eastAsia" w:ascii="宋体" w:hAnsi="宋体" w:eastAsia="宋体" w:cs="宋体"/>
          <w:color w:val="auto"/>
          <w:szCs w:val="21"/>
          <w:highlight w:val="none"/>
        </w:rPr>
        <w:t>及时书面通知甲方进行验收，甲方应在收到通知后七个工作日内进行验收，逾期不开始验收的，乙方可视同验收合格。验收合格后由甲乙双方签署验收单并加盖采购人公章，甲乙双方各执一份。</w:t>
      </w:r>
    </w:p>
    <w:p w14:paraId="7187B44F">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甲乙双方应按照《广西壮族自治区政府采购项目履约验收管理办法》、双方合同、投标文件验收。</w:t>
      </w:r>
    </w:p>
    <w:p w14:paraId="0B23B1CE">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甲方在初步验收或者最终验收过程中如发现乙方提供的</w:t>
      </w:r>
      <w:r>
        <w:rPr>
          <w:rFonts w:hint="eastAsia" w:ascii="宋体" w:hAnsi="宋体" w:eastAsia="宋体" w:cs="宋体"/>
          <w:color w:val="auto"/>
          <w:spacing w:val="-4"/>
          <w:sz w:val="21"/>
          <w:szCs w:val="21"/>
          <w:highlight w:val="none"/>
        </w:rPr>
        <w:t>投保单</w:t>
      </w:r>
      <w:r>
        <w:rPr>
          <w:rFonts w:hint="eastAsia" w:ascii="宋体" w:hAnsi="宋体" w:eastAsia="宋体" w:cs="宋体"/>
          <w:color w:val="auto"/>
          <w:szCs w:val="21"/>
          <w:highlight w:val="none"/>
        </w:rPr>
        <w:t>不满足投标文件及本合同规定的，可暂缓向乙方付款，直到乙方及时完善并提交相应的</w:t>
      </w:r>
      <w:r>
        <w:rPr>
          <w:rFonts w:hint="eastAsia" w:ascii="宋体" w:hAnsi="宋体" w:eastAsia="宋体" w:cs="宋体"/>
          <w:color w:val="auto"/>
          <w:spacing w:val="-4"/>
          <w:sz w:val="21"/>
          <w:szCs w:val="21"/>
          <w:highlight w:val="none"/>
        </w:rPr>
        <w:t>投保单</w:t>
      </w:r>
      <w:r>
        <w:rPr>
          <w:rFonts w:hint="eastAsia" w:ascii="宋体" w:hAnsi="宋体" w:eastAsia="宋体" w:cs="宋体"/>
          <w:color w:val="auto"/>
          <w:szCs w:val="21"/>
          <w:highlight w:val="none"/>
        </w:rPr>
        <w:t>且经甲方验收合格后，方可办理付款。</w:t>
      </w:r>
    </w:p>
    <w:p w14:paraId="71D4DA4E">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甲方验收时以书面形式提出异议的，乙方应自收到甲方书面异议后五个工作日内及时予以解决，否则甲方有权不出具服务验收合格单。</w:t>
      </w:r>
    </w:p>
    <w:p w14:paraId="12F92BFC">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0B42882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乙方应按照国家有关法律法规和本合同所附的《服务承诺》要求为甲方提供相应的服务。</w:t>
      </w:r>
    </w:p>
    <w:p w14:paraId="5FB1CDC1">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4FF7BD6A">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甲乙双方同意本合同金额的支付按以下第</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项约定执行：</w:t>
      </w:r>
    </w:p>
    <w:p w14:paraId="621F08DE">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一次性支付</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37ACD326">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分期支付：</w:t>
      </w:r>
      <w:r>
        <w:rPr>
          <w:rFonts w:hint="eastAsia" w:ascii="宋体" w:hAnsi="宋体" w:eastAsia="宋体" w:cs="宋体"/>
          <w:color w:val="auto"/>
          <w:sz w:val="21"/>
          <w:szCs w:val="21"/>
          <w:highlight w:val="none"/>
          <w:u w:val="single"/>
          <w:lang w:val="en-US" w:eastAsia="zh-CN"/>
        </w:rPr>
        <w:t xml:space="preserve">                              </w:t>
      </w:r>
    </w:p>
    <w:p w14:paraId="333BB834">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47B99D34">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14:paraId="3D1FA32C">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09DBEC40">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6DCC4FEA">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7B444F7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除不可抗力原因外，乙方没有按照合同规定的时间提供服务的，甲方可要求乙方支付违约金。每推迟一天按合同金额的3‰支付违约金，该违约金累计不超过合同金额的10%。</w:t>
      </w:r>
    </w:p>
    <w:p w14:paraId="3E19160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乙方提供的服务如侵犯了第三方合法权益而引发的任何纠纷或者诉讼，均由乙方负责交涉并承担全部责任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给甲方造成损失的，还应向甲方赔偿损失，损失范围包括但不限于直接经济损失及为维权所产生的交通费、诉讼费、公告费、保全保函费、律师费。</w:t>
      </w:r>
    </w:p>
    <w:p w14:paraId="58873F8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甲方延期付款的，每天向乙方偿付延期款额3‰滞纳金，但滞纳金累计不得超过延期款额5%。</w:t>
      </w:r>
    </w:p>
    <w:p w14:paraId="1C46C4B0">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4B58B93B">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14:paraId="650952A2">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不可抗力事件发生后，应立即通知对方，并寄送有关权威机构出具的证明。</w:t>
      </w:r>
    </w:p>
    <w:p w14:paraId="2FD7F11D">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不可抗力事件延续一百二十天以上，双方应通过友好协商，确定是否继续履行合同。</w:t>
      </w:r>
    </w:p>
    <w:p w14:paraId="60D5ABED">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79B38C2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因服务质量问题发生争议的，应邀请国家认可的</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机构进行鉴定。服务符合标准的，鉴定费由甲方承担；服务不符合标准的，鉴定费由乙方承担。</w:t>
      </w:r>
    </w:p>
    <w:p w14:paraId="4288158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因履行本合同引起的或者与本合同有关的争议，甲乙双方应首先通过友好协商解决，如果协商不能解决，可向甲方所在地有管辖权人民法院提起诉讼。</w:t>
      </w:r>
    </w:p>
    <w:p w14:paraId="38D86E4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1458A1E8">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合同生效及其它</w:t>
      </w:r>
    </w:p>
    <w:p w14:paraId="3C06F568">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合同经双方法定代表人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或者授权代表签字并加盖单位公章后生效（委托代理人签字的需后附法定代表人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授权委托书，格式自拟）。</w:t>
      </w:r>
    </w:p>
    <w:p w14:paraId="36EA2888">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eastAsia="宋体" w:cs="宋体"/>
          <w:color w:val="auto"/>
          <w:szCs w:val="21"/>
          <w:highlight w:val="none"/>
        </w:rPr>
        <w:t>书面补充协议报财政部门备案，方可作为主合同不可分割的一部分。</w:t>
      </w:r>
    </w:p>
    <w:p w14:paraId="220F1C6B">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本合同未尽事宜，遵照《中华人民共和国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》有关条文执行。</w:t>
      </w:r>
    </w:p>
    <w:p w14:paraId="69701F51">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302401F5">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14:paraId="2745B02B">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乙方不得擅自转让其应履行的合同义务。</w:t>
      </w:r>
    </w:p>
    <w:p w14:paraId="559363A1">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568EE921">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中标通知书；</w:t>
      </w:r>
    </w:p>
    <w:p w14:paraId="2DD652B2">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开标一览表；</w:t>
      </w:r>
    </w:p>
    <w:p w14:paraId="61046B72">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商务条款偏离表和技术需求偏离表；</w:t>
      </w:r>
    </w:p>
    <w:p w14:paraId="2860FC42">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4.保险服务方案</w:t>
      </w:r>
      <w:r>
        <w:rPr>
          <w:rFonts w:hint="eastAsia" w:ascii="宋体" w:hAnsi="宋体" w:eastAsia="宋体" w:cs="宋体"/>
          <w:color w:val="auto"/>
          <w:szCs w:val="21"/>
          <w:highlight w:val="none"/>
        </w:rPr>
        <w:t>；</w:t>
      </w:r>
    </w:p>
    <w:p w14:paraId="7177D790">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投标文件中的其他相关文件。</w:t>
      </w:r>
    </w:p>
    <w:p w14:paraId="5481DF59">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5A551E50">
      <w:pPr>
        <w:keepNext w:val="0"/>
        <w:keepLines w:val="0"/>
        <w:pageBreakBefore w:val="0"/>
        <w:widowControl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本合同壹式</w:t>
      </w:r>
      <w:r>
        <w:rPr>
          <w:rFonts w:hint="eastAsia" w:ascii="宋体" w:hAnsi="宋体" w:cs="宋体"/>
          <w:color w:val="auto"/>
          <w:szCs w:val="21"/>
          <w:highlight w:val="none"/>
          <w:lang w:val="en-US" w:eastAsia="zh-CN"/>
        </w:rPr>
        <w:t>拾贰</w:t>
      </w:r>
      <w:r>
        <w:rPr>
          <w:rFonts w:hint="eastAsia" w:ascii="宋体" w:hAnsi="宋体" w:eastAsia="宋体" w:cs="宋体"/>
          <w:color w:val="auto"/>
          <w:szCs w:val="21"/>
          <w:highlight w:val="none"/>
        </w:rPr>
        <w:t>份，具有同等法律效力，甲方</w:t>
      </w:r>
      <w:r>
        <w:rPr>
          <w:rFonts w:hint="eastAsia" w:ascii="宋体" w:hAnsi="宋体" w:cs="宋体"/>
          <w:color w:val="auto"/>
          <w:szCs w:val="21"/>
          <w:highlight w:val="none"/>
          <w:lang w:val="en-US" w:eastAsia="zh-CN"/>
        </w:rPr>
        <w:t>捌</w:t>
      </w:r>
      <w:r>
        <w:rPr>
          <w:rFonts w:hint="eastAsia" w:ascii="宋体" w:hAnsi="宋体" w:eastAsia="宋体" w:cs="宋体"/>
          <w:color w:val="auto"/>
          <w:szCs w:val="21"/>
          <w:highlight w:val="none"/>
        </w:rPr>
        <w:t>份、乙方</w:t>
      </w:r>
      <w:r>
        <w:rPr>
          <w:rFonts w:hint="eastAsia" w:ascii="宋体" w:hAnsi="宋体" w:cs="宋体"/>
          <w:color w:val="auto"/>
          <w:szCs w:val="21"/>
          <w:highlight w:val="none"/>
          <w:lang w:val="en-US" w:eastAsia="zh-CN"/>
        </w:rPr>
        <w:t>叁</w:t>
      </w:r>
      <w:r>
        <w:rPr>
          <w:rFonts w:hint="eastAsia" w:ascii="宋体" w:hAnsi="宋体" w:eastAsia="宋体" w:cs="宋体"/>
          <w:color w:val="auto"/>
          <w:szCs w:val="21"/>
          <w:highlight w:val="none"/>
        </w:rPr>
        <w:t>份、采购代理机构各壹份（可根据需要</w:t>
      </w:r>
      <w:r>
        <w:rPr>
          <w:rFonts w:hint="eastAsia" w:ascii="宋体" w:hAnsi="宋体" w:cs="宋体"/>
          <w:color w:val="auto"/>
          <w:szCs w:val="21"/>
          <w:highlight w:val="none"/>
          <w:lang w:eastAsia="zh-CN"/>
        </w:rPr>
        <w:t>另行</w:t>
      </w:r>
      <w:r>
        <w:rPr>
          <w:rFonts w:hint="eastAsia" w:ascii="宋体" w:hAnsi="宋体" w:eastAsia="宋体" w:cs="宋体"/>
          <w:color w:val="auto"/>
          <w:szCs w:val="21"/>
          <w:highlight w:val="none"/>
        </w:rPr>
        <w:t>增加）。</w:t>
      </w:r>
    </w:p>
    <w:p w14:paraId="1A646C6E">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本合同自签订之日起2个工作日内，由采购代理机构将采购合同在广西壮族自治区财政厅指定的媒体上公告。</w:t>
      </w:r>
    </w:p>
    <w:tbl>
      <w:tblPr>
        <w:tblStyle w:val="35"/>
        <w:tblpPr w:leftFromText="180" w:rightFromText="180" w:vertAnchor="text" w:horzAnchor="margin" w:tblpXSpec="center"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7E5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10695F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4671929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p>
          <w:p w14:paraId="195D7CF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p>
          <w:p w14:paraId="57AA314C">
            <w:pPr>
              <w:keepNext w:val="0"/>
              <w:keepLines w:val="0"/>
              <w:pageBreakBefore w:val="0"/>
              <w:widowControl w:val="0"/>
              <w:kinsoku/>
              <w:wordWrap/>
              <w:overflowPunct/>
              <w:topLinePunct w:val="0"/>
              <w:autoSpaceDE/>
              <w:autoSpaceDN/>
              <w:bidi w:val="0"/>
              <w:adjustRightInd/>
              <w:snapToGrid w:val="0"/>
              <w:spacing w:line="480" w:lineRule="exact"/>
              <w:ind w:firstLine="945" w:firstLineChars="450"/>
              <w:jc w:val="right"/>
              <w:textAlignment w:val="auto"/>
              <w:rPr>
                <w:rFonts w:hint="eastAsia" w:ascii="宋体" w:hAnsi="宋体" w:eastAsia="宋体" w:cs="宋体"/>
                <w:color w:val="auto"/>
                <w:sz w:val="21"/>
                <w:szCs w:val="21"/>
                <w:highlight w:val="none"/>
              </w:rPr>
            </w:pPr>
          </w:p>
          <w:p w14:paraId="05B77BBF">
            <w:pPr>
              <w:keepNext w:val="0"/>
              <w:keepLines w:val="0"/>
              <w:pageBreakBefore w:val="0"/>
              <w:widowControl w:val="0"/>
              <w:kinsoku/>
              <w:wordWrap/>
              <w:overflowPunct/>
              <w:topLinePunct w:val="0"/>
              <w:autoSpaceDE/>
              <w:autoSpaceDN/>
              <w:bidi w:val="0"/>
              <w:adjustRightInd/>
              <w:snapToGrid w:val="0"/>
              <w:spacing w:line="480" w:lineRule="exact"/>
              <w:ind w:firstLine="945" w:firstLineChars="4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F27C49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4EAA507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p>
          <w:p w14:paraId="67B648A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A1EA8A8">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宋体" w:hAnsi="宋体" w:eastAsia="宋体" w:cs="宋体"/>
                <w:color w:val="auto"/>
                <w:sz w:val="21"/>
                <w:szCs w:val="21"/>
                <w:highlight w:val="none"/>
              </w:rPr>
            </w:pPr>
          </w:p>
          <w:p w14:paraId="594CA8FE">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4ED6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323A59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54DC28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r>
      <w:tr w14:paraId="0F96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6E31D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0B98B9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592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63F9D7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5A1E4C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250D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3D04DF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F7596D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7A1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1C0A87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41A591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r>
      <w:tr w14:paraId="2CDA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A37BCA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20B4CE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7864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1DF8DB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CEA23F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327A5047">
      <w:pPr>
        <w:snapToGrid w:val="0"/>
        <w:rPr>
          <w:rFonts w:hint="eastAsia" w:ascii="宋体" w:hAnsi="宋体" w:eastAsia="宋体" w:cs="宋体"/>
          <w:color w:val="auto"/>
          <w:sz w:val="21"/>
          <w:szCs w:val="21"/>
          <w:highlight w:val="none"/>
        </w:rPr>
      </w:pPr>
    </w:p>
    <w:p w14:paraId="1282BBC6">
      <w:pPr>
        <w:spacing w:line="360" w:lineRule="auto"/>
        <w:outlineLvl w:val="0"/>
        <w:rPr>
          <w:rFonts w:hint="eastAsia" w:ascii="宋体" w:hAnsi="宋体" w:eastAsia="宋体" w:cs="宋体"/>
          <w:b/>
          <w:color w:val="auto"/>
          <w:sz w:val="21"/>
          <w:szCs w:val="21"/>
          <w:highlight w:val="none"/>
        </w:rPr>
      </w:pPr>
    </w:p>
    <w:p w14:paraId="66951497">
      <w:pPr>
        <w:tabs>
          <w:tab w:val="left" w:pos="7380"/>
        </w:tabs>
        <w:spacing w:line="360" w:lineRule="auto"/>
        <w:jc w:val="both"/>
        <w:rPr>
          <w:rFonts w:hint="eastAsia" w:ascii="宋体" w:hAnsi="宋体" w:eastAsia="宋体" w:cs="宋体"/>
          <w:color w:val="auto"/>
          <w:sz w:val="21"/>
          <w:szCs w:val="21"/>
          <w:highlight w:val="none"/>
        </w:rPr>
      </w:pPr>
    </w:p>
    <w:p w14:paraId="011AF49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合 同 附 件</w:t>
      </w:r>
    </w:p>
    <w:tbl>
      <w:tblPr>
        <w:tblStyle w:val="35"/>
        <w:tblW w:w="0" w:type="auto"/>
        <w:jc w:val="center"/>
        <w:tblLayout w:type="fixed"/>
        <w:tblCellMar>
          <w:top w:w="0" w:type="dxa"/>
          <w:left w:w="108" w:type="dxa"/>
          <w:bottom w:w="0" w:type="dxa"/>
          <w:right w:w="108" w:type="dxa"/>
        </w:tblCellMar>
      </w:tblPr>
      <w:tblGrid>
        <w:gridCol w:w="4788"/>
        <w:gridCol w:w="4680"/>
      </w:tblGrid>
      <w:tr w14:paraId="2422A39E">
        <w:tblPrEx>
          <w:tblCellMar>
            <w:top w:w="0" w:type="dxa"/>
            <w:left w:w="108" w:type="dxa"/>
            <w:bottom w:w="0" w:type="dxa"/>
            <w:right w:w="108" w:type="dxa"/>
          </w:tblCellMar>
        </w:tblPrEx>
        <w:trPr>
          <w:trHeight w:val="3320"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48DA7AF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供应商承诺具体事项：</w:t>
            </w:r>
          </w:p>
        </w:tc>
      </w:tr>
      <w:tr w14:paraId="5522CCD1">
        <w:tblPrEx>
          <w:tblCellMar>
            <w:top w:w="0" w:type="dxa"/>
            <w:left w:w="108" w:type="dxa"/>
            <w:bottom w:w="0" w:type="dxa"/>
            <w:right w:w="108" w:type="dxa"/>
          </w:tblCellMar>
        </w:tblPrEx>
        <w:trPr>
          <w:trHeight w:val="2938"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1403445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售后服务具体事项：</w:t>
            </w:r>
          </w:p>
        </w:tc>
      </w:tr>
      <w:tr w14:paraId="4B9E9C0D">
        <w:tblPrEx>
          <w:tblCellMar>
            <w:top w:w="0" w:type="dxa"/>
            <w:left w:w="108" w:type="dxa"/>
            <w:bottom w:w="0" w:type="dxa"/>
            <w:right w:w="108" w:type="dxa"/>
          </w:tblCellMar>
        </w:tblPrEx>
        <w:trPr>
          <w:trHeight w:val="2948"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705BA3B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其他具体事项：</w:t>
            </w:r>
          </w:p>
        </w:tc>
      </w:tr>
      <w:tr w14:paraId="714A406C">
        <w:tblPrEx>
          <w:tblCellMar>
            <w:top w:w="0" w:type="dxa"/>
            <w:left w:w="108" w:type="dxa"/>
            <w:bottom w:w="0" w:type="dxa"/>
            <w:right w:w="108" w:type="dxa"/>
          </w:tblCellMar>
        </w:tblPrEx>
        <w:trPr>
          <w:trHeight w:val="3421"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14:paraId="005B6B94">
            <w:pPr>
              <w:keepNext w:val="0"/>
              <w:keepLines w:val="0"/>
              <w:pageBreakBefore w:val="0"/>
              <w:widowControl w:val="0"/>
              <w:kinsoku/>
              <w:wordWrap/>
              <w:overflowPunct/>
              <w:topLinePunct w:val="0"/>
              <w:autoSpaceDE/>
              <w:autoSpaceDN/>
              <w:bidi w:val="0"/>
              <w:adjustRightInd/>
              <w:spacing w:line="48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6EB7A0A8">
            <w:pPr>
              <w:keepNext w:val="0"/>
              <w:keepLines w:val="0"/>
              <w:pageBreakBefore w:val="0"/>
              <w:widowControl w:val="0"/>
              <w:kinsoku/>
              <w:wordWrap/>
              <w:overflowPunct/>
              <w:topLinePunct w:val="0"/>
              <w:autoSpaceDE/>
              <w:autoSpaceDN/>
              <w:bidi w:val="0"/>
              <w:adjustRightInd/>
              <w:spacing w:line="480" w:lineRule="exact"/>
              <w:ind w:firstLine="422"/>
              <w:textAlignment w:val="auto"/>
              <w:rPr>
                <w:rFonts w:hint="eastAsia" w:ascii="宋体" w:hAnsi="宋体" w:eastAsia="宋体" w:cs="宋体"/>
                <w:color w:val="auto"/>
                <w:sz w:val="21"/>
                <w:szCs w:val="21"/>
                <w:highlight w:val="none"/>
              </w:rPr>
            </w:pPr>
          </w:p>
          <w:p w14:paraId="0A88161E">
            <w:pPr>
              <w:keepNext w:val="0"/>
              <w:keepLines w:val="0"/>
              <w:pageBreakBefore w:val="0"/>
              <w:widowControl w:val="0"/>
              <w:kinsoku/>
              <w:wordWrap/>
              <w:overflowPunct/>
              <w:topLinePunct w:val="0"/>
              <w:autoSpaceDE/>
              <w:autoSpaceDN/>
              <w:bidi w:val="0"/>
              <w:adjustRightInd/>
              <w:spacing w:line="48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D87AE67">
            <w:pPr>
              <w:keepNext w:val="0"/>
              <w:keepLines w:val="0"/>
              <w:pageBreakBefore w:val="0"/>
              <w:widowControl w:val="0"/>
              <w:kinsoku/>
              <w:wordWrap/>
              <w:overflowPunct/>
              <w:topLinePunct w:val="0"/>
              <w:autoSpaceDE/>
              <w:autoSpaceDN/>
              <w:bidi w:val="0"/>
              <w:adjustRightInd/>
              <w:spacing w:line="48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0D00122F">
            <w:pPr>
              <w:keepNext w:val="0"/>
              <w:keepLines w:val="0"/>
              <w:pageBreakBefore w:val="0"/>
              <w:widowControl w:val="0"/>
              <w:kinsoku/>
              <w:wordWrap/>
              <w:overflowPunct/>
              <w:topLinePunct w:val="0"/>
              <w:autoSpaceDE/>
              <w:autoSpaceDN/>
              <w:bidi w:val="0"/>
              <w:adjustRightInd/>
              <w:spacing w:line="480" w:lineRule="exact"/>
              <w:ind w:firstLine="422"/>
              <w:textAlignment w:val="auto"/>
              <w:rPr>
                <w:rFonts w:hint="eastAsia" w:ascii="宋体" w:hAnsi="宋体" w:eastAsia="宋体" w:cs="宋体"/>
                <w:color w:val="auto"/>
                <w:sz w:val="21"/>
                <w:szCs w:val="21"/>
                <w:highlight w:val="none"/>
              </w:rPr>
            </w:pPr>
          </w:p>
          <w:p w14:paraId="748C0BA3">
            <w:pPr>
              <w:keepNext w:val="0"/>
              <w:keepLines w:val="0"/>
              <w:pageBreakBefore w:val="0"/>
              <w:widowControl w:val="0"/>
              <w:kinsoku/>
              <w:wordWrap/>
              <w:overflowPunct/>
              <w:topLinePunct w:val="0"/>
              <w:autoSpaceDE/>
              <w:autoSpaceDN/>
              <w:bidi w:val="0"/>
              <w:adjustRightInd/>
              <w:spacing w:line="48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bl>
    <w:p w14:paraId="66BE074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注：售后服务事项填不下时可另加附页</w:t>
      </w:r>
    </w:p>
    <w:p w14:paraId="15BA4912">
      <w:pPr>
        <w:keepNext w:val="0"/>
        <w:keepLines w:val="0"/>
        <w:pageBreakBefore w:val="0"/>
        <w:widowControl w:val="0"/>
        <w:tabs>
          <w:tab w:val="left" w:pos="7380"/>
        </w:tabs>
        <w:kinsoku/>
        <w:wordWrap/>
        <w:overflowPunct/>
        <w:topLinePunct w:val="0"/>
        <w:autoSpaceDE/>
        <w:autoSpaceDN/>
        <w:bidi w:val="0"/>
        <w:adjustRightInd/>
        <w:spacing w:line="480" w:lineRule="exact"/>
        <w:jc w:val="both"/>
        <w:textAlignment w:val="auto"/>
        <w:rPr>
          <w:rFonts w:hint="eastAsia" w:ascii="宋体" w:hAnsi="宋体" w:eastAsia="宋体" w:cs="宋体"/>
          <w:color w:val="auto"/>
          <w:sz w:val="21"/>
          <w:szCs w:val="21"/>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4EADEA53">
      <w:pPr>
        <w:tabs>
          <w:tab w:val="left" w:pos="2472"/>
        </w:tabs>
        <w:spacing w:line="460" w:lineRule="exact"/>
        <w:jc w:val="both"/>
        <w:rPr>
          <w:rFonts w:hint="eastAsia" w:ascii="宋体" w:hAnsi="宋体" w:eastAsia="宋体" w:cs="宋体"/>
          <w:b/>
          <w:color w:val="auto"/>
          <w:sz w:val="36"/>
          <w:szCs w:val="20"/>
          <w:highlight w:val="none"/>
        </w:rPr>
      </w:pPr>
    </w:p>
    <w:p w14:paraId="5FFD413A">
      <w:pPr>
        <w:tabs>
          <w:tab w:val="left" w:pos="2472"/>
        </w:tabs>
        <w:spacing w:line="460" w:lineRule="exact"/>
        <w:jc w:val="center"/>
        <w:rPr>
          <w:rFonts w:hint="eastAsia" w:ascii="宋体" w:hAnsi="宋体" w:eastAsia="宋体" w:cs="宋体"/>
          <w:b/>
          <w:color w:val="auto"/>
          <w:sz w:val="36"/>
          <w:szCs w:val="20"/>
          <w:highlight w:val="none"/>
        </w:rPr>
      </w:pPr>
    </w:p>
    <w:p w14:paraId="2F0A409B">
      <w:pPr>
        <w:tabs>
          <w:tab w:val="left" w:pos="2472"/>
        </w:tabs>
        <w:spacing w:line="460" w:lineRule="exact"/>
        <w:jc w:val="center"/>
        <w:rPr>
          <w:rFonts w:hint="eastAsia" w:ascii="宋体" w:hAnsi="宋体" w:eastAsia="宋体" w:cs="宋体"/>
          <w:b/>
          <w:color w:val="auto"/>
          <w:sz w:val="36"/>
          <w:szCs w:val="20"/>
          <w:highlight w:val="none"/>
        </w:rPr>
      </w:pPr>
    </w:p>
    <w:p w14:paraId="6504FAF9">
      <w:pPr>
        <w:tabs>
          <w:tab w:val="left" w:pos="2472"/>
        </w:tabs>
        <w:spacing w:line="460" w:lineRule="exact"/>
        <w:jc w:val="center"/>
        <w:rPr>
          <w:rFonts w:hint="eastAsia" w:ascii="宋体" w:hAnsi="宋体" w:eastAsia="宋体" w:cs="宋体"/>
          <w:b/>
          <w:color w:val="auto"/>
          <w:sz w:val="36"/>
          <w:szCs w:val="20"/>
          <w:highlight w:val="none"/>
        </w:rPr>
      </w:pPr>
    </w:p>
    <w:p w14:paraId="32B0F795">
      <w:pPr>
        <w:tabs>
          <w:tab w:val="left" w:pos="2472"/>
        </w:tabs>
        <w:spacing w:line="460" w:lineRule="exact"/>
        <w:jc w:val="center"/>
        <w:rPr>
          <w:rFonts w:hint="eastAsia" w:ascii="宋体" w:hAnsi="宋体" w:eastAsia="宋体" w:cs="宋体"/>
          <w:b/>
          <w:color w:val="auto"/>
          <w:sz w:val="36"/>
          <w:szCs w:val="20"/>
          <w:highlight w:val="none"/>
        </w:rPr>
      </w:pPr>
    </w:p>
    <w:p w14:paraId="7031F9FE">
      <w:pPr>
        <w:tabs>
          <w:tab w:val="left" w:pos="2472"/>
        </w:tabs>
        <w:spacing w:line="460" w:lineRule="exact"/>
        <w:jc w:val="center"/>
        <w:rPr>
          <w:rFonts w:hint="eastAsia" w:ascii="宋体" w:hAnsi="宋体" w:eastAsia="宋体" w:cs="宋体"/>
          <w:b/>
          <w:color w:val="auto"/>
          <w:sz w:val="36"/>
          <w:szCs w:val="20"/>
          <w:highlight w:val="none"/>
        </w:rPr>
      </w:pPr>
    </w:p>
    <w:p w14:paraId="287067D5">
      <w:pPr>
        <w:tabs>
          <w:tab w:val="left" w:pos="2472"/>
        </w:tabs>
        <w:spacing w:line="460" w:lineRule="exact"/>
        <w:jc w:val="center"/>
        <w:rPr>
          <w:rFonts w:hint="eastAsia" w:ascii="宋体" w:hAnsi="宋体" w:eastAsia="宋体" w:cs="宋体"/>
          <w:b/>
          <w:color w:val="auto"/>
          <w:sz w:val="36"/>
          <w:szCs w:val="20"/>
          <w:highlight w:val="none"/>
        </w:rPr>
      </w:pPr>
    </w:p>
    <w:p w14:paraId="7499D923">
      <w:pPr>
        <w:tabs>
          <w:tab w:val="left" w:pos="2472"/>
        </w:tabs>
        <w:spacing w:line="460" w:lineRule="exact"/>
        <w:jc w:val="center"/>
        <w:rPr>
          <w:rFonts w:hint="eastAsia" w:ascii="宋体" w:hAnsi="宋体" w:eastAsia="宋体" w:cs="宋体"/>
          <w:b/>
          <w:color w:val="auto"/>
          <w:sz w:val="36"/>
          <w:szCs w:val="20"/>
          <w:highlight w:val="none"/>
        </w:rPr>
      </w:pPr>
    </w:p>
    <w:p w14:paraId="015E375B">
      <w:pPr>
        <w:tabs>
          <w:tab w:val="left" w:pos="2472"/>
        </w:tabs>
        <w:spacing w:line="460" w:lineRule="exact"/>
        <w:jc w:val="center"/>
        <w:rPr>
          <w:rFonts w:hint="eastAsia" w:ascii="宋体" w:hAnsi="宋体" w:eastAsia="宋体" w:cs="宋体"/>
          <w:b/>
          <w:color w:val="auto"/>
          <w:sz w:val="36"/>
          <w:szCs w:val="20"/>
          <w:highlight w:val="none"/>
        </w:rPr>
      </w:pPr>
    </w:p>
    <w:p w14:paraId="17E9FC22">
      <w:pPr>
        <w:tabs>
          <w:tab w:val="left" w:pos="2472"/>
        </w:tabs>
        <w:spacing w:line="460" w:lineRule="exact"/>
        <w:jc w:val="center"/>
        <w:rPr>
          <w:rFonts w:hint="eastAsia" w:ascii="宋体" w:hAnsi="宋体" w:eastAsia="宋体" w:cs="宋体"/>
          <w:b/>
          <w:color w:val="auto"/>
          <w:sz w:val="36"/>
          <w:szCs w:val="20"/>
          <w:highlight w:val="none"/>
        </w:rPr>
      </w:pPr>
    </w:p>
    <w:p w14:paraId="779E275B">
      <w:pPr>
        <w:tabs>
          <w:tab w:val="left" w:pos="2472"/>
        </w:tabs>
        <w:spacing w:line="460" w:lineRule="exact"/>
        <w:jc w:val="center"/>
        <w:rPr>
          <w:rFonts w:hint="eastAsia" w:ascii="宋体" w:hAnsi="宋体" w:eastAsia="宋体" w:cs="宋体"/>
          <w:b/>
          <w:color w:val="auto"/>
          <w:sz w:val="36"/>
          <w:szCs w:val="20"/>
          <w:highlight w:val="none"/>
        </w:rPr>
      </w:pPr>
    </w:p>
    <w:p w14:paraId="7274DFDC">
      <w:pPr>
        <w:tabs>
          <w:tab w:val="left" w:pos="2472"/>
        </w:tabs>
        <w:spacing w:line="460" w:lineRule="exact"/>
        <w:jc w:val="center"/>
        <w:rPr>
          <w:rFonts w:hint="eastAsia" w:ascii="宋体" w:hAnsi="宋体" w:eastAsia="宋体" w:cs="宋体"/>
          <w:b/>
          <w:color w:val="auto"/>
          <w:sz w:val="36"/>
          <w:szCs w:val="20"/>
          <w:highlight w:val="none"/>
        </w:rPr>
      </w:pPr>
    </w:p>
    <w:p w14:paraId="353C7478">
      <w:pPr>
        <w:pStyle w:val="2"/>
        <w:bidi w:val="0"/>
        <w:jc w:val="center"/>
        <w:rPr>
          <w:rFonts w:hint="eastAsia" w:ascii="宋体" w:hAnsi="宋体" w:eastAsia="宋体" w:cs="宋体"/>
          <w:color w:val="auto"/>
          <w:highlight w:val="none"/>
        </w:rPr>
      </w:pPr>
      <w:bookmarkStart w:id="136" w:name="_Toc31998"/>
      <w:bookmarkStart w:id="137" w:name="_Toc25048"/>
      <w:r>
        <w:rPr>
          <w:rFonts w:hint="eastAsia" w:ascii="宋体" w:hAnsi="宋体" w:eastAsia="宋体" w:cs="宋体"/>
          <w:color w:val="auto"/>
          <w:highlight w:val="none"/>
        </w:rPr>
        <w:t>第六章 投标文件格式</w:t>
      </w:r>
      <w:bookmarkEnd w:id="136"/>
      <w:bookmarkEnd w:id="137"/>
    </w:p>
    <w:p w14:paraId="3DB7A9A3">
      <w:pPr>
        <w:spacing w:line="240" w:lineRule="auto"/>
        <w:jc w:val="center"/>
        <w:outlineLvl w:val="0"/>
        <w:rPr>
          <w:rFonts w:hint="eastAsia" w:ascii="宋体" w:hAnsi="宋体" w:eastAsia="宋体" w:cs="宋体"/>
          <w:b/>
          <w:color w:val="auto"/>
          <w:sz w:val="36"/>
          <w:szCs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478DC351">
      <w:pPr>
        <w:pStyle w:val="3"/>
        <w:bidi w:val="0"/>
        <w:jc w:val="center"/>
        <w:rPr>
          <w:rFonts w:hint="eastAsia" w:ascii="宋体" w:hAnsi="宋体" w:eastAsia="宋体" w:cs="宋体"/>
          <w:color w:val="auto"/>
          <w:highlight w:val="none"/>
        </w:rPr>
      </w:pPr>
      <w:bookmarkStart w:id="138" w:name="_Toc9993"/>
      <w:bookmarkStart w:id="139" w:name="_Toc30667"/>
      <w:r>
        <w:rPr>
          <w:rFonts w:hint="eastAsia" w:ascii="宋体" w:hAnsi="宋体" w:eastAsia="宋体" w:cs="宋体"/>
          <w:color w:val="auto"/>
          <w:highlight w:val="none"/>
        </w:rPr>
        <w:t>第一节 投标文件外层包装封面格式</w:t>
      </w:r>
      <w:bookmarkEnd w:id="138"/>
      <w:bookmarkEnd w:id="139"/>
    </w:p>
    <w:p w14:paraId="3EC6C3A7">
      <w:pPr>
        <w:spacing w:before="120" w:beforeLines="50" w:after="120" w:afterLines="50"/>
        <w:jc w:val="center"/>
        <w:rPr>
          <w:rFonts w:hint="eastAsia" w:ascii="宋体" w:hAnsi="宋体" w:eastAsia="宋体" w:cs="宋体"/>
          <w:color w:val="auto"/>
          <w:spacing w:val="20"/>
          <w:sz w:val="44"/>
          <w:szCs w:val="44"/>
          <w:highlight w:val="none"/>
        </w:rPr>
      </w:pPr>
    </w:p>
    <w:p w14:paraId="68E8C8F9">
      <w:pPr>
        <w:spacing w:before="120" w:beforeLines="50" w:after="120" w:afterLines="50"/>
        <w:jc w:val="center"/>
        <w:rPr>
          <w:rFonts w:hint="eastAsia" w:ascii="宋体" w:hAnsi="宋体" w:eastAsia="宋体" w:cs="宋体"/>
          <w:color w:val="auto"/>
          <w:spacing w:val="20"/>
          <w:sz w:val="44"/>
          <w:szCs w:val="44"/>
          <w:highlight w:val="none"/>
        </w:rPr>
      </w:pPr>
    </w:p>
    <w:p w14:paraId="14AA19C5">
      <w:pPr>
        <w:spacing w:before="120" w:beforeLines="50" w:after="120" w:afterLines="50"/>
        <w:jc w:val="center"/>
        <w:rPr>
          <w:rFonts w:hint="eastAsia" w:ascii="宋体" w:hAnsi="宋体" w:eastAsia="宋体" w:cs="宋体"/>
          <w:color w:val="auto"/>
          <w:spacing w:val="20"/>
          <w:sz w:val="44"/>
          <w:szCs w:val="44"/>
          <w:highlight w:val="none"/>
        </w:rPr>
      </w:pPr>
    </w:p>
    <w:p w14:paraId="39083646">
      <w:pPr>
        <w:spacing w:before="120" w:beforeLines="50" w:after="120" w:afterLines="50"/>
        <w:jc w:val="center"/>
        <w:rPr>
          <w:rFonts w:hint="eastAsia" w:ascii="宋体" w:hAnsi="宋体" w:eastAsia="宋体" w:cs="宋体"/>
          <w:color w:val="auto"/>
          <w:spacing w:val="20"/>
          <w:sz w:val="44"/>
          <w:szCs w:val="44"/>
          <w:highlight w:val="none"/>
        </w:rPr>
      </w:pPr>
    </w:p>
    <w:p w14:paraId="0262C9BE">
      <w:pPr>
        <w:spacing w:before="120" w:beforeLines="50" w:after="120" w:afterLines="50"/>
        <w:jc w:val="center"/>
        <w:rPr>
          <w:rFonts w:hint="eastAsia"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rPr>
        <w:t>XXXXX（项目名称）</w:t>
      </w:r>
    </w:p>
    <w:p w14:paraId="5E0F77A9">
      <w:pPr>
        <w:spacing w:before="120" w:beforeLines="50" w:after="120" w:afterLines="5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22C13D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35"/>
        <w:tblW w:w="0" w:type="auto"/>
        <w:jc w:val="center"/>
        <w:tblLayout w:type="fixed"/>
        <w:tblCellMar>
          <w:top w:w="0" w:type="dxa"/>
          <w:left w:w="108" w:type="dxa"/>
          <w:bottom w:w="0" w:type="dxa"/>
          <w:right w:w="108" w:type="dxa"/>
        </w:tblCellMar>
      </w:tblPr>
      <w:tblGrid>
        <w:gridCol w:w="1601"/>
        <w:gridCol w:w="6172"/>
      </w:tblGrid>
      <w:tr w14:paraId="5F8BF3D2">
        <w:tblPrEx>
          <w:tblCellMar>
            <w:top w:w="0" w:type="dxa"/>
            <w:left w:w="108" w:type="dxa"/>
            <w:bottom w:w="0" w:type="dxa"/>
            <w:right w:w="108" w:type="dxa"/>
          </w:tblCellMar>
        </w:tblPrEx>
        <w:trPr>
          <w:jc w:val="center"/>
        </w:trPr>
        <w:tc>
          <w:tcPr>
            <w:tcW w:w="1601" w:type="dxa"/>
            <w:noWrap w:val="0"/>
            <w:vAlign w:val="bottom"/>
          </w:tcPr>
          <w:p w14:paraId="30B24DC4">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72" w:type="dxa"/>
            <w:tcBorders>
              <w:bottom w:val="single" w:color="000000" w:sz="4" w:space="0"/>
            </w:tcBorders>
            <w:noWrap w:val="0"/>
            <w:vAlign w:val="bottom"/>
          </w:tcPr>
          <w:p w14:paraId="253C210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p>
        </w:tc>
      </w:tr>
      <w:tr w14:paraId="76824FAF">
        <w:tblPrEx>
          <w:tblCellMar>
            <w:top w:w="0" w:type="dxa"/>
            <w:left w:w="108" w:type="dxa"/>
            <w:bottom w:w="0" w:type="dxa"/>
            <w:right w:w="108" w:type="dxa"/>
          </w:tblCellMar>
        </w:tblPrEx>
        <w:trPr>
          <w:jc w:val="center"/>
        </w:trPr>
        <w:tc>
          <w:tcPr>
            <w:tcW w:w="1601" w:type="dxa"/>
            <w:noWrap w:val="0"/>
            <w:vAlign w:val="bottom"/>
          </w:tcPr>
          <w:p w14:paraId="73F210E8">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6172" w:type="dxa"/>
            <w:tcBorders>
              <w:top w:val="single" w:color="000000" w:sz="4" w:space="0"/>
              <w:bottom w:val="single" w:color="000000" w:sz="4" w:space="0"/>
            </w:tcBorders>
            <w:noWrap w:val="0"/>
            <w:vAlign w:val="bottom"/>
          </w:tcPr>
          <w:p w14:paraId="352CA1C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p>
        </w:tc>
      </w:tr>
      <w:tr w14:paraId="3E5EF90B">
        <w:tblPrEx>
          <w:tblCellMar>
            <w:top w:w="0" w:type="dxa"/>
            <w:left w:w="108" w:type="dxa"/>
            <w:bottom w:w="0" w:type="dxa"/>
            <w:right w:w="108" w:type="dxa"/>
          </w:tblCellMar>
        </w:tblPrEx>
        <w:trPr>
          <w:jc w:val="center"/>
        </w:trPr>
        <w:tc>
          <w:tcPr>
            <w:tcW w:w="1601" w:type="dxa"/>
            <w:noWrap w:val="0"/>
            <w:vAlign w:val="bottom"/>
          </w:tcPr>
          <w:p w14:paraId="257C1042">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172" w:type="dxa"/>
            <w:tcBorders>
              <w:top w:val="single" w:color="000000" w:sz="4" w:space="0"/>
              <w:bottom w:val="single" w:color="000000" w:sz="4" w:space="0"/>
            </w:tcBorders>
            <w:noWrap w:val="0"/>
            <w:vAlign w:val="bottom"/>
          </w:tcPr>
          <w:p w14:paraId="71B2D68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p>
        </w:tc>
      </w:tr>
      <w:tr w14:paraId="6E84D406">
        <w:tblPrEx>
          <w:tblCellMar>
            <w:top w:w="0" w:type="dxa"/>
            <w:left w:w="108" w:type="dxa"/>
            <w:bottom w:w="0" w:type="dxa"/>
            <w:right w:w="108" w:type="dxa"/>
          </w:tblCellMar>
        </w:tblPrEx>
        <w:trPr>
          <w:jc w:val="center"/>
        </w:trPr>
        <w:tc>
          <w:tcPr>
            <w:tcW w:w="1601" w:type="dxa"/>
            <w:noWrap w:val="0"/>
            <w:vAlign w:val="bottom"/>
          </w:tcPr>
          <w:p w14:paraId="44E16DE3">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p>
        </w:tc>
        <w:tc>
          <w:tcPr>
            <w:tcW w:w="6172" w:type="dxa"/>
            <w:tcBorders>
              <w:top w:val="single" w:color="000000" w:sz="4" w:space="0"/>
              <w:bottom w:val="single" w:color="000000" w:sz="4" w:space="0"/>
            </w:tcBorders>
            <w:noWrap w:val="0"/>
            <w:vAlign w:val="bottom"/>
          </w:tcPr>
          <w:p w14:paraId="32530F5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lang w:val="en-US" w:eastAsia="zh-CN"/>
              </w:rPr>
            </w:pPr>
          </w:p>
        </w:tc>
      </w:tr>
      <w:tr w14:paraId="158D47A7">
        <w:tblPrEx>
          <w:tblCellMar>
            <w:top w:w="0" w:type="dxa"/>
            <w:left w:w="108" w:type="dxa"/>
            <w:bottom w:w="0" w:type="dxa"/>
            <w:right w:w="108" w:type="dxa"/>
          </w:tblCellMar>
        </w:tblPrEx>
        <w:trPr>
          <w:jc w:val="center"/>
        </w:trPr>
        <w:tc>
          <w:tcPr>
            <w:tcW w:w="1601" w:type="dxa"/>
            <w:noWrap w:val="0"/>
            <w:vAlign w:val="bottom"/>
          </w:tcPr>
          <w:p w14:paraId="70D6A180">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172" w:type="dxa"/>
            <w:tcBorders>
              <w:top w:val="single" w:color="000000" w:sz="4" w:space="0"/>
              <w:bottom w:val="single" w:color="000000" w:sz="4" w:space="0"/>
            </w:tcBorders>
            <w:noWrap w:val="0"/>
            <w:vAlign w:val="bottom"/>
          </w:tcPr>
          <w:p w14:paraId="4D4807A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p>
        </w:tc>
      </w:tr>
      <w:tr w14:paraId="7747BB09">
        <w:tblPrEx>
          <w:tblCellMar>
            <w:top w:w="0" w:type="dxa"/>
            <w:left w:w="108" w:type="dxa"/>
            <w:bottom w:w="0" w:type="dxa"/>
            <w:right w:w="108" w:type="dxa"/>
          </w:tblCellMar>
        </w:tblPrEx>
        <w:trPr>
          <w:jc w:val="center"/>
        </w:trPr>
        <w:tc>
          <w:tcPr>
            <w:tcW w:w="1601" w:type="dxa"/>
            <w:noWrap w:val="0"/>
            <w:vAlign w:val="bottom"/>
          </w:tcPr>
          <w:p w14:paraId="0C156586">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投标人地址：</w:t>
            </w:r>
          </w:p>
        </w:tc>
        <w:tc>
          <w:tcPr>
            <w:tcW w:w="6172" w:type="dxa"/>
            <w:tcBorders>
              <w:top w:val="single" w:color="000000" w:sz="4" w:space="0"/>
              <w:bottom w:val="single" w:color="000000" w:sz="4" w:space="0"/>
            </w:tcBorders>
            <w:noWrap w:val="0"/>
            <w:vAlign w:val="bottom"/>
          </w:tcPr>
          <w:p w14:paraId="59D8E3E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p>
        </w:tc>
      </w:tr>
    </w:tbl>
    <w:p w14:paraId="755DCA1C">
      <w:pPr>
        <w:ind w:firstLine="4200" w:firstLineChars="1750"/>
        <w:rPr>
          <w:rFonts w:hint="eastAsia" w:ascii="宋体" w:hAnsi="宋体" w:eastAsia="宋体" w:cs="宋体"/>
          <w:color w:val="auto"/>
          <w:sz w:val="24"/>
          <w:highlight w:val="none"/>
        </w:rPr>
      </w:pPr>
    </w:p>
    <w:p w14:paraId="0FE46D38">
      <w:pPr>
        <w:ind w:firstLine="4200" w:firstLineChars="1750"/>
        <w:rPr>
          <w:rFonts w:hint="eastAsia" w:ascii="宋体" w:hAnsi="宋体" w:eastAsia="宋体" w:cs="宋体"/>
          <w:color w:val="auto"/>
          <w:sz w:val="24"/>
          <w:highlight w:val="none"/>
        </w:rPr>
      </w:pPr>
    </w:p>
    <w:p w14:paraId="3C232F59">
      <w:pPr>
        <w:keepNext w:val="0"/>
        <w:keepLines w:val="0"/>
        <w:pageBreakBefore w:val="0"/>
        <w:widowControl w:val="0"/>
        <w:kinsoku/>
        <w:wordWrap/>
        <w:overflowPunct/>
        <w:topLinePunct w:val="0"/>
        <w:autoSpaceDE/>
        <w:autoSpaceDN/>
        <w:bidi w:val="0"/>
        <w:adjustRightInd/>
        <w:snapToGrid/>
        <w:spacing w:line="480" w:lineRule="exact"/>
        <w:ind w:firstLine="3675" w:firstLineChars="1750"/>
        <w:textAlignment w:val="auto"/>
        <w:rPr>
          <w:rFonts w:hint="eastAsia" w:ascii="宋体" w:hAnsi="宋体" w:eastAsia="宋体" w:cs="宋体"/>
          <w:color w:val="auto"/>
          <w:sz w:val="21"/>
          <w:szCs w:val="21"/>
          <w:highlight w:val="none"/>
        </w:rPr>
      </w:pPr>
    </w:p>
    <w:p w14:paraId="4B4D802A">
      <w:pPr>
        <w:keepNext w:val="0"/>
        <w:keepLines w:val="0"/>
        <w:pageBreakBefore w:val="0"/>
        <w:widowControl w:val="0"/>
        <w:kinsoku/>
        <w:wordWrap/>
        <w:overflowPunct/>
        <w:topLinePunct w:val="0"/>
        <w:autoSpaceDE/>
        <w:autoSpaceDN/>
        <w:bidi w:val="0"/>
        <w:adjustRightInd/>
        <w:snapToGrid/>
        <w:spacing w:line="480" w:lineRule="exact"/>
        <w:ind w:firstLine="5145" w:firstLineChars="2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投标截止时间前不得解密</w:t>
      </w:r>
    </w:p>
    <w:p w14:paraId="0BDACF49">
      <w:pPr>
        <w:keepNext w:val="0"/>
        <w:keepLines w:val="0"/>
        <w:pageBreakBefore w:val="0"/>
        <w:widowControl w:val="0"/>
        <w:kinsoku/>
        <w:wordWrap/>
        <w:overflowPunct/>
        <w:topLinePunct w:val="0"/>
        <w:autoSpaceDE/>
        <w:autoSpaceDN/>
        <w:bidi w:val="0"/>
        <w:adjustRightInd/>
        <w:snapToGrid/>
        <w:spacing w:line="480" w:lineRule="exact"/>
        <w:ind w:firstLine="5670" w:firstLineChars="2700"/>
        <w:textAlignment w:val="auto"/>
        <w:rPr>
          <w:rFonts w:hint="eastAsia" w:ascii="宋体" w:hAnsi="宋体" w:eastAsia="宋体" w:cs="宋体"/>
          <w:color w:val="auto"/>
          <w:sz w:val="21"/>
          <w:szCs w:val="21"/>
          <w:highlight w:val="none"/>
        </w:rPr>
        <w:sectPr>
          <w:headerReference r:id="rId9" w:type="default"/>
          <w:footerReference r:id="rId10" w:type="default"/>
          <w:pgSz w:w="11907"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color w:val="auto"/>
          <w:sz w:val="21"/>
          <w:szCs w:val="21"/>
          <w:highlight w:val="none"/>
        </w:rPr>
        <w:t>年   月   日</w:t>
      </w:r>
    </w:p>
    <w:p w14:paraId="40C0C050">
      <w:pPr>
        <w:pStyle w:val="3"/>
        <w:bidi w:val="0"/>
        <w:jc w:val="center"/>
        <w:rPr>
          <w:rFonts w:hint="eastAsia" w:ascii="宋体" w:hAnsi="宋体" w:eastAsia="宋体" w:cs="宋体"/>
          <w:color w:val="auto"/>
          <w:highlight w:val="none"/>
        </w:rPr>
      </w:pPr>
      <w:bookmarkStart w:id="140" w:name="_Toc14389"/>
      <w:bookmarkStart w:id="141" w:name="_Toc2706"/>
      <w:r>
        <w:rPr>
          <w:rFonts w:hint="eastAsia" w:ascii="宋体" w:hAnsi="宋体" w:eastAsia="宋体" w:cs="宋体"/>
          <w:color w:val="auto"/>
          <w:highlight w:val="none"/>
        </w:rPr>
        <w:t>第二节 资格证明文件格式</w:t>
      </w:r>
      <w:bookmarkEnd w:id="140"/>
      <w:bookmarkEnd w:id="141"/>
    </w:p>
    <w:p w14:paraId="696369EA">
      <w:pPr>
        <w:spacing w:line="360" w:lineRule="auto"/>
        <w:ind w:firstLine="420"/>
        <w:rPr>
          <w:rFonts w:hint="eastAsia" w:ascii="宋体" w:hAnsi="宋体" w:eastAsia="宋体" w:cs="宋体"/>
          <w:color w:val="auto"/>
          <w:sz w:val="30"/>
          <w:szCs w:val="20"/>
          <w:highlight w:val="none"/>
        </w:rPr>
      </w:pPr>
    </w:p>
    <w:p w14:paraId="1214D707">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59EA29F">
      <w:pPr>
        <w:snapToGrid w:val="0"/>
        <w:spacing w:before="165" w:beforeLines="50" w:after="50"/>
        <w:rPr>
          <w:rFonts w:hint="eastAsia" w:ascii="宋体" w:hAnsi="宋体" w:eastAsia="宋体" w:cs="宋体"/>
          <w:color w:val="auto"/>
          <w:sz w:val="24"/>
          <w:szCs w:val="20"/>
          <w:highlight w:val="none"/>
        </w:rPr>
      </w:pPr>
    </w:p>
    <w:p w14:paraId="2E3E2EDA">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119DF2B6">
      <w:pPr>
        <w:snapToGrid w:val="0"/>
        <w:spacing w:before="165" w:beforeLines="50" w:after="50"/>
        <w:rPr>
          <w:rFonts w:hint="eastAsia" w:ascii="宋体" w:hAnsi="宋体" w:eastAsia="宋体" w:cs="宋体"/>
          <w:bCs/>
          <w:color w:val="auto"/>
          <w:sz w:val="24"/>
          <w:szCs w:val="20"/>
          <w:highlight w:val="none"/>
        </w:rPr>
      </w:pPr>
    </w:p>
    <w:p w14:paraId="78AD3B69">
      <w:pPr>
        <w:snapToGrid w:val="0"/>
        <w:spacing w:before="165" w:beforeLines="50" w:after="50"/>
        <w:rPr>
          <w:rFonts w:hint="eastAsia" w:ascii="宋体" w:hAnsi="宋体" w:eastAsia="宋体" w:cs="宋体"/>
          <w:bCs/>
          <w:color w:val="auto"/>
          <w:sz w:val="24"/>
          <w:szCs w:val="20"/>
          <w:highlight w:val="none"/>
        </w:rPr>
      </w:pPr>
    </w:p>
    <w:p w14:paraId="55255409">
      <w:pPr>
        <w:snapToGrid w:val="0"/>
        <w:spacing w:before="165" w:beforeLines="50" w:after="50"/>
        <w:rPr>
          <w:rFonts w:hint="eastAsia" w:ascii="宋体" w:hAnsi="宋体" w:eastAsia="宋体" w:cs="宋体"/>
          <w:bCs/>
          <w:color w:val="auto"/>
          <w:sz w:val="24"/>
          <w:szCs w:val="20"/>
          <w:highlight w:val="none"/>
        </w:rPr>
      </w:pPr>
    </w:p>
    <w:p w14:paraId="72F72099">
      <w:pPr>
        <w:snapToGrid w:val="0"/>
        <w:spacing w:before="165" w:beforeLines="50" w:after="50"/>
        <w:rPr>
          <w:rFonts w:hint="eastAsia" w:ascii="宋体" w:hAnsi="宋体" w:eastAsia="宋体" w:cs="宋体"/>
          <w:bCs/>
          <w:color w:val="auto"/>
          <w:sz w:val="24"/>
          <w:szCs w:val="20"/>
          <w:highlight w:val="none"/>
        </w:rPr>
      </w:pPr>
    </w:p>
    <w:p w14:paraId="3376B603">
      <w:pPr>
        <w:snapToGrid w:val="0"/>
        <w:spacing w:before="165" w:beforeLines="50" w:after="50"/>
        <w:rPr>
          <w:rFonts w:hint="eastAsia" w:ascii="宋体" w:hAnsi="宋体" w:eastAsia="宋体" w:cs="宋体"/>
          <w:bCs/>
          <w:color w:val="auto"/>
          <w:sz w:val="24"/>
          <w:szCs w:val="20"/>
          <w:highlight w:val="none"/>
        </w:rPr>
      </w:pPr>
    </w:p>
    <w:p w14:paraId="3CC37FE6">
      <w:pPr>
        <w:snapToGrid w:val="0"/>
        <w:spacing w:before="165" w:beforeLines="50" w:after="50"/>
        <w:rPr>
          <w:rFonts w:hint="eastAsia" w:ascii="宋体" w:hAnsi="宋体" w:eastAsia="宋体" w:cs="宋体"/>
          <w:bCs/>
          <w:color w:val="auto"/>
          <w:sz w:val="24"/>
          <w:szCs w:val="20"/>
          <w:highlight w:val="none"/>
        </w:rPr>
      </w:pPr>
    </w:p>
    <w:p w14:paraId="7D81405D">
      <w:pPr>
        <w:snapToGrid w:val="0"/>
        <w:spacing w:before="165" w:beforeLines="50" w:after="50"/>
        <w:rPr>
          <w:rFonts w:hint="eastAsia" w:ascii="宋体" w:hAnsi="宋体" w:eastAsia="宋体" w:cs="宋体"/>
          <w:bCs/>
          <w:color w:val="auto"/>
          <w:sz w:val="24"/>
          <w:szCs w:val="20"/>
          <w:highlight w:val="none"/>
        </w:rPr>
      </w:pPr>
    </w:p>
    <w:p w14:paraId="481F3A80">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DD6AA2D">
      <w:pPr>
        <w:snapToGrid w:val="0"/>
        <w:spacing w:before="165" w:beforeLines="50" w:after="50"/>
        <w:ind w:firstLine="540" w:firstLineChars="225"/>
        <w:rPr>
          <w:rFonts w:hint="eastAsia" w:ascii="宋体" w:hAnsi="宋体" w:eastAsia="宋体" w:cs="宋体"/>
          <w:bCs/>
          <w:color w:val="auto"/>
          <w:sz w:val="24"/>
          <w:szCs w:val="20"/>
          <w:highlight w:val="none"/>
        </w:rPr>
      </w:pPr>
    </w:p>
    <w:p w14:paraId="0DD2234D">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A98ECE1">
      <w:pP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29F7F5A6">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88845FC">
      <w:pPr>
        <w:snapToGrid w:val="0"/>
        <w:spacing w:before="50" w:after="50"/>
        <w:ind w:firstLine="540" w:firstLineChars="225"/>
        <w:rPr>
          <w:rFonts w:hint="eastAsia" w:ascii="宋体" w:hAnsi="宋体" w:eastAsia="宋体" w:cs="宋体"/>
          <w:bCs/>
          <w:color w:val="auto"/>
          <w:sz w:val="24"/>
          <w:highlight w:val="none"/>
        </w:rPr>
      </w:pPr>
    </w:p>
    <w:p w14:paraId="64EFDB2F">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5DFD593">
      <w:pPr>
        <w:snapToGrid w:val="0"/>
        <w:spacing w:before="50" w:after="50"/>
        <w:ind w:firstLine="540" w:firstLineChars="225"/>
        <w:rPr>
          <w:rFonts w:hint="eastAsia" w:ascii="宋体" w:hAnsi="宋体" w:eastAsia="宋体" w:cs="宋体"/>
          <w:bCs/>
          <w:color w:val="auto"/>
          <w:sz w:val="24"/>
          <w:highlight w:val="none"/>
        </w:rPr>
      </w:pPr>
    </w:p>
    <w:p w14:paraId="7563E2AC">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0A1890D8">
      <w:pPr>
        <w:snapToGrid w:val="0"/>
        <w:spacing w:before="50" w:after="50"/>
        <w:ind w:firstLine="960" w:firstLineChars="400"/>
        <w:rPr>
          <w:rFonts w:hint="eastAsia" w:ascii="宋体" w:hAnsi="宋体" w:eastAsia="宋体" w:cs="宋体"/>
          <w:bCs/>
          <w:color w:val="auto"/>
          <w:sz w:val="24"/>
          <w:highlight w:val="none"/>
        </w:rPr>
      </w:pPr>
    </w:p>
    <w:p w14:paraId="706F5A1D">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F27F302">
      <w:pPr>
        <w:spacing w:line="360" w:lineRule="auto"/>
        <w:ind w:firstLine="420"/>
        <w:rPr>
          <w:rFonts w:hint="eastAsia" w:ascii="宋体" w:hAnsi="宋体" w:eastAsia="宋体" w:cs="宋体"/>
          <w:color w:val="auto"/>
          <w:sz w:val="30"/>
          <w:szCs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79EAB1CF">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5E88D736">
      <w:pPr>
        <w:snapToGrid w:val="0"/>
        <w:spacing w:line="360" w:lineRule="auto"/>
        <w:rPr>
          <w:rFonts w:hint="eastAsia" w:ascii="宋体" w:hAnsi="宋体" w:eastAsia="宋体" w:cs="宋体"/>
          <w:color w:val="auto"/>
          <w:kern w:val="0"/>
          <w:sz w:val="24"/>
          <w:highlight w:val="none"/>
        </w:rPr>
      </w:pPr>
    </w:p>
    <w:p w14:paraId="52BECFF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1"/>
          <w:szCs w:val="21"/>
          <w:highlight w:val="none"/>
        </w:rPr>
        <w:t>投标人为法人的提供营业执照复印件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如分支机构（包括其省级分公司及其下属分公司或分支机构）参与本项目投标，</w:t>
      </w:r>
      <w:r>
        <w:rPr>
          <w:rFonts w:hint="eastAsia" w:ascii="宋体" w:hAnsi="宋体" w:eastAsia="宋体" w:cs="宋体"/>
          <w:color w:val="auto"/>
          <w:sz w:val="21"/>
          <w:szCs w:val="21"/>
          <w:highlight w:val="none"/>
        </w:rPr>
        <w:t>提供</w:t>
      </w:r>
      <w:r>
        <w:rPr>
          <w:rFonts w:hint="eastAsia" w:ascii="宋体" w:hAnsi="宋体" w:eastAsia="宋体" w:cs="宋体"/>
          <w:b w:val="0"/>
          <w:bCs w:val="0"/>
          <w:color w:val="auto"/>
          <w:sz w:val="21"/>
          <w:szCs w:val="21"/>
          <w:highlight w:val="none"/>
          <w:lang w:val="en-US" w:eastAsia="zh-CN"/>
        </w:rPr>
        <w:t>分支机构</w:t>
      </w:r>
      <w:r>
        <w:rPr>
          <w:rFonts w:hint="eastAsia" w:ascii="宋体" w:hAnsi="宋体" w:eastAsia="宋体" w:cs="宋体"/>
          <w:color w:val="auto"/>
          <w:sz w:val="21"/>
          <w:szCs w:val="21"/>
          <w:highlight w:val="none"/>
        </w:rPr>
        <w:t>营业执照复印件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其他组织的提供事业单位法人证书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投标人为自然人的，提供身份证复印件</w:t>
      </w:r>
      <w:r>
        <w:rPr>
          <w:rFonts w:hint="eastAsia" w:ascii="宋体" w:hAnsi="宋体" w:eastAsia="宋体" w:cs="宋体"/>
          <w:color w:val="auto"/>
          <w:kern w:val="0"/>
          <w:sz w:val="24"/>
          <w:highlight w:val="none"/>
        </w:rPr>
        <w:t>…………………………………………………………………………（页码）</w:t>
      </w:r>
    </w:p>
    <w:p w14:paraId="250DF37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w:t>
      </w:r>
      <w:r>
        <w:rPr>
          <w:rFonts w:hint="eastAsia" w:ascii="宋体" w:hAnsi="宋体" w:eastAsia="宋体" w:cs="宋体"/>
          <w:color w:val="auto"/>
          <w:kern w:val="0"/>
          <w:sz w:val="24"/>
          <w:highlight w:val="none"/>
        </w:rPr>
        <w:t>、符合参与政府采购活动的资格条件依法缴纳税收、社会保障资金等方面的材料…………………………………………………………………………………………（页码）</w:t>
      </w:r>
    </w:p>
    <w:p w14:paraId="729BD88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财务状况报告方面的材料…………………………………………………………（页码）</w:t>
      </w:r>
    </w:p>
    <w:p w14:paraId="21FDBE8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、投标人直接控股股东信息</w:t>
      </w:r>
      <w:r>
        <w:rPr>
          <w:rFonts w:hint="eastAsia" w:ascii="宋体" w:hAnsi="宋体" w:eastAsia="宋体" w:cs="宋体"/>
          <w:color w:val="auto"/>
          <w:kern w:val="0"/>
          <w:sz w:val="24"/>
          <w:highlight w:val="none"/>
        </w:rPr>
        <w:t>…………………………………………………………（页码）</w:t>
      </w:r>
    </w:p>
    <w:p w14:paraId="291EECB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投标人直接关联关系信息表</w:t>
      </w:r>
      <w:r>
        <w:rPr>
          <w:rFonts w:hint="eastAsia" w:ascii="宋体" w:hAnsi="宋体" w:eastAsia="宋体" w:cs="宋体"/>
          <w:color w:val="auto"/>
          <w:kern w:val="0"/>
          <w:sz w:val="24"/>
          <w:highlight w:val="none"/>
        </w:rPr>
        <w:t>………………………………………………………（页码）</w:t>
      </w:r>
    </w:p>
    <w:p w14:paraId="3C186AE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、投标资格声明函……………………………………………………………………（页码）</w:t>
      </w:r>
    </w:p>
    <w:p w14:paraId="0813E716">
      <w:pPr>
        <w:wordWrap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1"/>
          <w:szCs w:val="21"/>
          <w:highlight w:val="none"/>
        </w:rPr>
        <w:t>具有经</w:t>
      </w:r>
      <w:r>
        <w:rPr>
          <w:rFonts w:hint="eastAsia" w:ascii="宋体" w:hAnsi="宋体" w:cs="宋体"/>
          <w:color w:val="auto"/>
          <w:sz w:val="21"/>
          <w:szCs w:val="21"/>
          <w:highlight w:val="none"/>
          <w:lang w:eastAsia="zh-CN"/>
        </w:rPr>
        <w:t>国家金融监督管理总局</w:t>
      </w:r>
      <w:r>
        <w:rPr>
          <w:rFonts w:hint="eastAsia" w:ascii="宋体" w:hAnsi="宋体" w:eastAsia="宋体" w:cs="宋体"/>
          <w:color w:val="auto"/>
          <w:sz w:val="21"/>
          <w:szCs w:val="21"/>
          <w:highlight w:val="none"/>
        </w:rPr>
        <w:t>批准设立并颁发有效的《</w:t>
      </w:r>
      <w:r>
        <w:rPr>
          <w:rFonts w:hint="eastAsia" w:ascii="宋体" w:hAnsi="宋体" w:eastAsia="宋体" w:cs="宋体"/>
          <w:color w:val="auto"/>
          <w:sz w:val="21"/>
          <w:szCs w:val="21"/>
          <w:highlight w:val="none"/>
          <w:lang w:val="en-US" w:eastAsia="zh-CN"/>
        </w:rPr>
        <w:t>中华人民共和国保险许可证</w:t>
      </w:r>
      <w:r>
        <w:rPr>
          <w:rFonts w:hint="eastAsia" w:ascii="宋体" w:hAnsi="宋体" w:eastAsia="宋体" w:cs="宋体"/>
          <w:color w:val="auto"/>
          <w:sz w:val="21"/>
          <w:szCs w:val="21"/>
          <w:highlight w:val="none"/>
        </w:rPr>
        <w:t>》，具有在广西辖区内经营本次采购险种业务资格且业务范围涵盖责任保险的保险机构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本项目允许保险行业的分支机构参与投标，</w:t>
      </w:r>
      <w:r>
        <w:rPr>
          <w:rFonts w:hint="eastAsia" w:ascii="宋体" w:hAnsi="宋体" w:cs="宋体"/>
          <w:color w:val="auto"/>
          <w:sz w:val="21"/>
          <w:szCs w:val="21"/>
          <w:highlight w:val="none"/>
          <w:lang w:eastAsia="zh-CN"/>
        </w:rPr>
        <w:t>同一法人的多个分支机构不得同时投标）</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01A93E2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除招标文件规定必须提供以外，投标人认为需要提供的其他证明材料</w:t>
      </w:r>
      <w:r>
        <w:rPr>
          <w:rFonts w:hint="eastAsia" w:ascii="宋体" w:hAnsi="宋体" w:eastAsia="宋体" w:cs="宋体"/>
          <w:color w:val="auto"/>
          <w:kern w:val="0"/>
          <w:sz w:val="24"/>
          <w:highlight w:val="none"/>
        </w:rPr>
        <w:t>……（页码）</w:t>
      </w:r>
    </w:p>
    <w:p w14:paraId="5F8B113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009A89A5">
      <w:pPr>
        <w:spacing w:line="360" w:lineRule="auto"/>
        <w:ind w:firstLine="420"/>
        <w:rPr>
          <w:rFonts w:hint="eastAsia" w:ascii="宋体" w:hAnsi="宋体" w:eastAsia="宋体" w:cs="宋体"/>
          <w:color w:val="auto"/>
          <w:sz w:val="30"/>
          <w:szCs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7BC68700">
      <w:pPr>
        <w:snapToGrid w:val="0"/>
        <w:spacing w:line="360" w:lineRule="auto"/>
        <w:rPr>
          <w:rFonts w:hint="eastAsia" w:ascii="宋体" w:hAnsi="宋体" w:eastAsia="宋体" w:cs="宋体"/>
          <w:b/>
          <w:color w:val="auto"/>
          <w:kern w:val="0"/>
          <w:sz w:val="32"/>
          <w:szCs w:val="32"/>
          <w:highlight w:val="none"/>
          <w:lang w:val="zh-CN"/>
        </w:rPr>
      </w:pPr>
    </w:p>
    <w:p w14:paraId="59A34937">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投标人为法人的提供营业执照复印件；如分支机构（包括其省级分公司及其下属分公司或分支机构）参与本项目投标，提供分支机构营业执照复印件；其他组织的提供事业单位法人证书；投标人为自然人的，提供身份证复印件；</w:t>
      </w:r>
    </w:p>
    <w:p w14:paraId="7363424D">
      <w:pPr>
        <w:spacing w:line="360" w:lineRule="auto"/>
        <w:rPr>
          <w:rFonts w:hint="eastAsia" w:ascii="宋体" w:hAnsi="宋体" w:eastAsia="宋体" w:cs="宋体"/>
          <w:b/>
          <w:color w:val="auto"/>
          <w:sz w:val="30"/>
          <w:szCs w:val="30"/>
          <w:highlight w:val="none"/>
        </w:rPr>
      </w:pPr>
    </w:p>
    <w:p w14:paraId="4C64BEC7">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 xml:space="preserve">：                              </w:t>
      </w:r>
    </w:p>
    <w:p w14:paraId="3E26AAAA">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5314EDE0">
      <w:pPr>
        <w:spacing w:line="360" w:lineRule="auto"/>
        <w:jc w:val="center"/>
        <w:rPr>
          <w:rFonts w:hint="eastAsia" w:ascii="宋体" w:hAnsi="宋体" w:eastAsia="宋体" w:cs="宋体"/>
          <w:b/>
          <w:color w:val="auto"/>
          <w:sz w:val="30"/>
          <w:szCs w:val="30"/>
          <w:highlight w:val="none"/>
        </w:rPr>
      </w:pPr>
    </w:p>
    <w:p w14:paraId="3D175C12">
      <w:pPr>
        <w:widowControl w:val="0"/>
        <w:numPr>
          <w:ilvl w:val="0"/>
          <w:numId w:val="0"/>
        </w:numPr>
        <w:snapToGrid w:val="0"/>
        <w:spacing w:line="360" w:lineRule="auto"/>
        <w:ind w:right="480" w:rightChars="0"/>
        <w:jc w:val="center"/>
        <w:rPr>
          <w:rFonts w:hint="eastAsia" w:ascii="宋体" w:hAnsi="宋体" w:eastAsia="宋体" w:cs="宋体"/>
          <w:b/>
          <w:color w:val="auto"/>
          <w:sz w:val="30"/>
          <w:szCs w:val="30"/>
          <w:highlight w:val="none"/>
        </w:rPr>
      </w:pPr>
    </w:p>
    <w:p w14:paraId="28503812">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5EF5BCBF">
      <w:pPr>
        <w:snapToGrid w:val="0"/>
        <w:spacing w:line="360" w:lineRule="auto"/>
        <w:ind w:firstLine="480" w:firstLineChars="200"/>
        <w:rPr>
          <w:rFonts w:hint="eastAsia" w:ascii="宋体" w:hAnsi="宋体" w:eastAsia="宋体" w:cs="宋体"/>
          <w:color w:val="auto"/>
          <w:sz w:val="24"/>
          <w:highlight w:val="none"/>
        </w:rPr>
      </w:pPr>
    </w:p>
    <w:p w14:paraId="20852D14">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3FE87121">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14721E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DE9DE1E">
      <w:pPr>
        <w:snapToGrid w:val="0"/>
        <w:spacing w:line="360" w:lineRule="auto"/>
        <w:ind w:right="480"/>
        <w:jc w:val="center"/>
        <w:rPr>
          <w:rFonts w:hint="eastAsia" w:ascii="宋体" w:hAnsi="宋体" w:eastAsia="宋体" w:cs="宋体"/>
          <w:b/>
          <w:color w:val="auto"/>
          <w:sz w:val="30"/>
          <w:szCs w:val="30"/>
          <w:highlight w:val="none"/>
          <w:lang w:val="en-US" w:eastAsia="zh-CN"/>
        </w:rPr>
      </w:pPr>
    </w:p>
    <w:p w14:paraId="502A6801">
      <w:pPr>
        <w:snapToGrid w:val="0"/>
        <w:spacing w:line="360" w:lineRule="auto"/>
        <w:ind w:right="480"/>
        <w:jc w:val="center"/>
        <w:rPr>
          <w:rFonts w:hint="eastAsia" w:ascii="宋体" w:hAnsi="宋体" w:eastAsia="宋体" w:cs="宋体"/>
          <w:b/>
          <w:color w:val="auto"/>
          <w:sz w:val="30"/>
          <w:szCs w:val="30"/>
          <w:highlight w:val="none"/>
          <w:lang w:val="en-US" w:eastAsia="zh-CN"/>
        </w:rPr>
      </w:pPr>
    </w:p>
    <w:p w14:paraId="09453B6A">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w:t>
      </w:r>
      <w:r>
        <w:rPr>
          <w:rFonts w:hint="eastAsia" w:ascii="宋体" w:hAnsi="宋体" w:eastAsia="宋体" w:cs="宋体"/>
          <w:b/>
          <w:color w:val="auto"/>
          <w:kern w:val="0"/>
          <w:sz w:val="32"/>
          <w:szCs w:val="32"/>
          <w:highlight w:val="none"/>
        </w:rPr>
        <w:t>财务状况报告方面的材料</w:t>
      </w:r>
    </w:p>
    <w:p w14:paraId="40C041B4">
      <w:pPr>
        <w:snapToGrid w:val="0"/>
        <w:spacing w:line="360" w:lineRule="auto"/>
        <w:ind w:firstLine="480" w:firstLineChars="200"/>
        <w:rPr>
          <w:rFonts w:hint="eastAsia" w:ascii="宋体" w:hAnsi="宋体" w:eastAsia="宋体" w:cs="宋体"/>
          <w:color w:val="auto"/>
          <w:sz w:val="24"/>
          <w:highlight w:val="none"/>
        </w:rPr>
      </w:pPr>
    </w:p>
    <w:p w14:paraId="37625303">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1CE7B7C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1D2217BC">
      <w:pPr>
        <w:snapToGrid w:val="0"/>
        <w:spacing w:line="360" w:lineRule="auto"/>
        <w:ind w:firstLine="5160" w:firstLineChars="2150"/>
        <w:rPr>
          <w:rFonts w:hint="eastAsia" w:ascii="宋体" w:hAnsi="宋体" w:eastAsia="宋体" w:cs="宋体"/>
          <w:b/>
          <w:color w:val="auto"/>
          <w:kern w:val="0"/>
          <w:sz w:val="32"/>
          <w:szCs w:val="32"/>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2AEE286">
      <w:pP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537C7D84">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、投标人直接控股股东信息表</w:t>
      </w:r>
    </w:p>
    <w:tbl>
      <w:tblPr>
        <w:tblStyle w:val="3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D6A846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4ABCC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02568D">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07BCB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CBACA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66CFD3">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A2AF3A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CE30E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49B332">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ADEC1">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49E6B">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BF45DE">
            <w:pPr>
              <w:spacing w:line="360" w:lineRule="auto"/>
              <w:jc w:val="center"/>
              <w:rPr>
                <w:rFonts w:hint="eastAsia" w:ascii="宋体" w:hAnsi="宋体" w:eastAsia="宋体" w:cs="宋体"/>
                <w:color w:val="auto"/>
                <w:kern w:val="0"/>
                <w:sz w:val="24"/>
                <w:highlight w:val="none"/>
              </w:rPr>
            </w:pPr>
          </w:p>
        </w:tc>
      </w:tr>
      <w:tr w14:paraId="3FAFA8C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4514F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956772">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62B337">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E92514">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4E9D6C">
            <w:pPr>
              <w:spacing w:line="360" w:lineRule="auto"/>
              <w:jc w:val="center"/>
              <w:rPr>
                <w:rFonts w:hint="eastAsia" w:ascii="宋体" w:hAnsi="宋体" w:eastAsia="宋体" w:cs="宋体"/>
                <w:color w:val="auto"/>
                <w:kern w:val="0"/>
                <w:sz w:val="24"/>
                <w:highlight w:val="none"/>
              </w:rPr>
            </w:pPr>
          </w:p>
        </w:tc>
      </w:tr>
      <w:tr w14:paraId="1EC09CC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296DFA">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BB7F2">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1D6174">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55B54">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124004">
            <w:pPr>
              <w:spacing w:line="360" w:lineRule="auto"/>
              <w:jc w:val="center"/>
              <w:rPr>
                <w:rFonts w:hint="eastAsia" w:ascii="宋体" w:hAnsi="宋体" w:eastAsia="宋体" w:cs="宋体"/>
                <w:color w:val="auto"/>
                <w:kern w:val="0"/>
                <w:sz w:val="24"/>
                <w:highlight w:val="none"/>
              </w:rPr>
            </w:pPr>
          </w:p>
        </w:tc>
      </w:tr>
      <w:tr w14:paraId="59FFF81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414EB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B7FB9F">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19E2DA">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AEE5AA">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664051">
            <w:pPr>
              <w:spacing w:line="360" w:lineRule="auto"/>
              <w:jc w:val="center"/>
              <w:rPr>
                <w:rFonts w:hint="eastAsia" w:ascii="宋体" w:hAnsi="宋体" w:eastAsia="宋体" w:cs="宋体"/>
                <w:color w:val="auto"/>
                <w:kern w:val="0"/>
                <w:sz w:val="24"/>
                <w:highlight w:val="none"/>
              </w:rPr>
            </w:pPr>
          </w:p>
        </w:tc>
      </w:tr>
    </w:tbl>
    <w:p w14:paraId="2A2A59C5">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54D879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0B1A0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533438E9">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594EFAD1">
      <w:pPr>
        <w:snapToGrid w:val="0"/>
        <w:spacing w:line="360" w:lineRule="auto"/>
        <w:jc w:val="left"/>
        <w:rPr>
          <w:rFonts w:hint="eastAsia" w:ascii="宋体" w:hAnsi="宋体" w:eastAsia="宋体" w:cs="宋体"/>
          <w:color w:val="auto"/>
          <w:sz w:val="24"/>
          <w:highlight w:val="none"/>
        </w:rPr>
      </w:pPr>
    </w:p>
    <w:p w14:paraId="7AE2FB59">
      <w:pPr>
        <w:snapToGrid w:val="0"/>
        <w:spacing w:line="360" w:lineRule="auto"/>
        <w:jc w:val="left"/>
        <w:rPr>
          <w:rFonts w:hint="eastAsia" w:ascii="宋体" w:hAnsi="宋体" w:eastAsia="宋体" w:cs="宋体"/>
          <w:color w:val="auto"/>
          <w:sz w:val="24"/>
          <w:highlight w:val="none"/>
        </w:rPr>
      </w:pPr>
    </w:p>
    <w:p w14:paraId="25C9C0EE">
      <w:pPr>
        <w:snapToGrid w:val="0"/>
        <w:spacing w:line="360" w:lineRule="auto"/>
        <w:jc w:val="left"/>
        <w:rPr>
          <w:rFonts w:hint="eastAsia" w:ascii="宋体" w:hAnsi="宋体" w:eastAsia="宋体" w:cs="宋体"/>
          <w:color w:val="auto"/>
          <w:sz w:val="24"/>
          <w:highlight w:val="none"/>
        </w:rPr>
      </w:pPr>
    </w:p>
    <w:p w14:paraId="45EE1081">
      <w:pPr>
        <w:snapToGrid w:val="0"/>
        <w:spacing w:line="360" w:lineRule="auto"/>
        <w:jc w:val="left"/>
        <w:rPr>
          <w:rFonts w:hint="eastAsia" w:ascii="宋体" w:hAnsi="宋体" w:eastAsia="宋体" w:cs="宋体"/>
          <w:color w:val="auto"/>
          <w:sz w:val="24"/>
          <w:highlight w:val="none"/>
        </w:rPr>
      </w:pPr>
    </w:p>
    <w:p w14:paraId="5980960A">
      <w:pPr>
        <w:snapToGrid w:val="0"/>
        <w:spacing w:line="360" w:lineRule="auto"/>
        <w:jc w:val="left"/>
        <w:rPr>
          <w:rFonts w:hint="eastAsia" w:ascii="宋体" w:hAnsi="宋体" w:eastAsia="宋体" w:cs="宋体"/>
          <w:color w:val="auto"/>
          <w:sz w:val="24"/>
          <w:highlight w:val="none"/>
        </w:rPr>
      </w:pPr>
    </w:p>
    <w:p w14:paraId="3108513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1775D2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2BCAE3A">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B0A75F6">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、投标人直接管理关系信息表</w:t>
      </w:r>
    </w:p>
    <w:tbl>
      <w:tblPr>
        <w:tblStyle w:val="3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7C9082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80E28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A7883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8BCC05">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33BDB9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919FE4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3F4EE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A406C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0D4D2B">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6122D4">
            <w:pPr>
              <w:spacing w:line="360" w:lineRule="auto"/>
              <w:jc w:val="center"/>
              <w:rPr>
                <w:rFonts w:hint="eastAsia" w:ascii="宋体" w:hAnsi="宋体" w:eastAsia="宋体" w:cs="宋体"/>
                <w:color w:val="auto"/>
                <w:kern w:val="0"/>
                <w:sz w:val="24"/>
                <w:highlight w:val="none"/>
              </w:rPr>
            </w:pPr>
          </w:p>
        </w:tc>
      </w:tr>
      <w:tr w14:paraId="561A1F3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CAE67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2C12F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A7397B">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39AD8A">
            <w:pPr>
              <w:spacing w:line="360" w:lineRule="auto"/>
              <w:jc w:val="center"/>
              <w:rPr>
                <w:rFonts w:hint="eastAsia" w:ascii="宋体" w:hAnsi="宋体" w:eastAsia="宋体" w:cs="宋体"/>
                <w:color w:val="auto"/>
                <w:kern w:val="0"/>
                <w:sz w:val="24"/>
                <w:highlight w:val="none"/>
              </w:rPr>
            </w:pPr>
          </w:p>
        </w:tc>
      </w:tr>
      <w:tr w14:paraId="37451E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D496B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D8D5CD">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B20172">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35E4D">
            <w:pPr>
              <w:spacing w:line="360" w:lineRule="auto"/>
              <w:jc w:val="center"/>
              <w:rPr>
                <w:rFonts w:hint="eastAsia" w:ascii="宋体" w:hAnsi="宋体" w:eastAsia="宋体" w:cs="宋体"/>
                <w:color w:val="auto"/>
                <w:kern w:val="0"/>
                <w:sz w:val="24"/>
                <w:highlight w:val="none"/>
              </w:rPr>
            </w:pPr>
          </w:p>
        </w:tc>
      </w:tr>
      <w:tr w14:paraId="39740B9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CF034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A20767">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08517">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7A905">
            <w:pPr>
              <w:spacing w:line="360" w:lineRule="auto"/>
              <w:jc w:val="center"/>
              <w:rPr>
                <w:rFonts w:hint="eastAsia" w:ascii="宋体" w:hAnsi="宋体" w:eastAsia="宋体" w:cs="宋体"/>
                <w:color w:val="auto"/>
                <w:kern w:val="0"/>
                <w:sz w:val="24"/>
                <w:highlight w:val="none"/>
              </w:rPr>
            </w:pPr>
          </w:p>
        </w:tc>
      </w:tr>
    </w:tbl>
    <w:p w14:paraId="0ABA688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E30D3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72F6094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6A83D70A">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0271FFF1">
      <w:pPr>
        <w:snapToGrid w:val="0"/>
        <w:spacing w:line="360" w:lineRule="auto"/>
        <w:jc w:val="left"/>
        <w:rPr>
          <w:rFonts w:hint="eastAsia" w:ascii="宋体" w:hAnsi="宋体" w:eastAsia="宋体" w:cs="宋体"/>
          <w:color w:val="auto"/>
          <w:sz w:val="24"/>
          <w:highlight w:val="none"/>
        </w:rPr>
      </w:pPr>
    </w:p>
    <w:p w14:paraId="23D30E31">
      <w:pPr>
        <w:snapToGrid w:val="0"/>
        <w:spacing w:line="360" w:lineRule="auto"/>
        <w:jc w:val="left"/>
        <w:rPr>
          <w:rFonts w:hint="eastAsia" w:ascii="宋体" w:hAnsi="宋体" w:eastAsia="宋体" w:cs="宋体"/>
          <w:color w:val="auto"/>
          <w:sz w:val="24"/>
          <w:highlight w:val="none"/>
        </w:rPr>
      </w:pPr>
    </w:p>
    <w:p w14:paraId="5B1F16E0">
      <w:pPr>
        <w:snapToGrid w:val="0"/>
        <w:spacing w:line="360" w:lineRule="auto"/>
        <w:jc w:val="left"/>
        <w:rPr>
          <w:rFonts w:hint="eastAsia" w:ascii="宋体" w:hAnsi="宋体" w:eastAsia="宋体" w:cs="宋体"/>
          <w:color w:val="auto"/>
          <w:sz w:val="24"/>
          <w:highlight w:val="none"/>
        </w:rPr>
      </w:pPr>
    </w:p>
    <w:p w14:paraId="3CCF3D98">
      <w:pPr>
        <w:snapToGrid w:val="0"/>
        <w:spacing w:line="360" w:lineRule="auto"/>
        <w:jc w:val="left"/>
        <w:rPr>
          <w:rFonts w:hint="eastAsia" w:ascii="宋体" w:hAnsi="宋体" w:eastAsia="宋体" w:cs="宋体"/>
          <w:color w:val="auto"/>
          <w:sz w:val="24"/>
          <w:highlight w:val="none"/>
        </w:rPr>
      </w:pPr>
    </w:p>
    <w:p w14:paraId="175E26C5">
      <w:pPr>
        <w:snapToGrid w:val="0"/>
        <w:spacing w:line="360" w:lineRule="auto"/>
        <w:jc w:val="left"/>
        <w:rPr>
          <w:rFonts w:hint="eastAsia" w:ascii="宋体" w:hAnsi="宋体" w:eastAsia="宋体" w:cs="宋体"/>
          <w:color w:val="auto"/>
          <w:sz w:val="24"/>
          <w:highlight w:val="none"/>
        </w:rPr>
      </w:pPr>
    </w:p>
    <w:p w14:paraId="6108CC9B">
      <w:pPr>
        <w:snapToGrid w:val="0"/>
        <w:spacing w:line="360" w:lineRule="auto"/>
        <w:jc w:val="left"/>
        <w:rPr>
          <w:rFonts w:hint="eastAsia" w:ascii="宋体" w:hAnsi="宋体" w:eastAsia="宋体" w:cs="宋体"/>
          <w:color w:val="auto"/>
          <w:sz w:val="24"/>
          <w:highlight w:val="none"/>
        </w:rPr>
      </w:pPr>
    </w:p>
    <w:p w14:paraId="248300B1">
      <w:pPr>
        <w:snapToGrid w:val="0"/>
        <w:spacing w:line="360" w:lineRule="auto"/>
        <w:jc w:val="left"/>
        <w:rPr>
          <w:rFonts w:hint="eastAsia" w:ascii="宋体" w:hAnsi="宋体" w:eastAsia="宋体" w:cs="宋体"/>
          <w:color w:val="auto"/>
          <w:sz w:val="24"/>
          <w:highlight w:val="none"/>
        </w:rPr>
      </w:pPr>
    </w:p>
    <w:p w14:paraId="11729116">
      <w:pPr>
        <w:snapToGrid w:val="0"/>
        <w:spacing w:line="360" w:lineRule="auto"/>
        <w:jc w:val="left"/>
        <w:rPr>
          <w:rFonts w:hint="eastAsia" w:ascii="宋体" w:hAnsi="宋体" w:eastAsia="宋体" w:cs="宋体"/>
          <w:color w:val="auto"/>
          <w:sz w:val="24"/>
          <w:highlight w:val="none"/>
        </w:rPr>
      </w:pPr>
    </w:p>
    <w:p w14:paraId="2C016C9B">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6CB366D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436DAE6">
      <w:pPr>
        <w:snapToGrid w:val="0"/>
        <w:spacing w:before="50" w:after="165" w:afterLines="50"/>
        <w:jc w:val="left"/>
        <w:rPr>
          <w:rFonts w:hint="eastAsia" w:ascii="宋体" w:hAnsi="宋体" w:eastAsia="宋体" w:cs="宋体"/>
          <w:color w:val="auto"/>
          <w:szCs w:val="21"/>
          <w:highlight w:val="none"/>
        </w:rPr>
      </w:pPr>
    </w:p>
    <w:p w14:paraId="11399AC1">
      <w:pPr>
        <w:snapToGrid w:val="0"/>
        <w:spacing w:before="165" w:beforeLines="50" w:after="50"/>
        <w:jc w:val="left"/>
        <w:rPr>
          <w:rFonts w:hint="eastAsia" w:ascii="宋体" w:hAnsi="宋体" w:eastAsia="宋体" w:cs="宋体"/>
          <w:b/>
          <w:color w:val="auto"/>
          <w:sz w:val="24"/>
          <w:szCs w:val="20"/>
          <w:highlight w:val="none"/>
        </w:rPr>
      </w:pPr>
    </w:p>
    <w:p w14:paraId="0A084DB7">
      <w:pPr>
        <w:snapToGrid w:val="0"/>
        <w:spacing w:before="165" w:beforeLines="50" w:after="50"/>
        <w:jc w:val="left"/>
        <w:rPr>
          <w:rFonts w:hint="eastAsia" w:ascii="宋体" w:hAnsi="宋体" w:eastAsia="宋体" w:cs="宋体"/>
          <w:b/>
          <w:color w:val="auto"/>
          <w:sz w:val="24"/>
          <w:highlight w:val="none"/>
        </w:rPr>
      </w:pPr>
    </w:p>
    <w:p w14:paraId="7103C973">
      <w:pPr>
        <w:snapToGrid w:val="0"/>
        <w:spacing w:before="165"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7E956D8E">
      <w:pPr>
        <w:snapToGrid w:val="0"/>
        <w:spacing w:before="165" w:beforeLines="50" w:after="50"/>
        <w:jc w:val="left"/>
        <w:rPr>
          <w:rFonts w:hint="eastAsia" w:ascii="宋体" w:hAnsi="宋体" w:eastAsia="宋体" w:cs="宋体"/>
          <w:b/>
          <w:color w:val="auto"/>
          <w:sz w:val="24"/>
          <w:szCs w:val="20"/>
          <w:highlight w:val="none"/>
        </w:rPr>
      </w:pPr>
    </w:p>
    <w:p w14:paraId="5D4CEFAD">
      <w:pPr>
        <w:snapToGrid w:val="0"/>
        <w:spacing w:before="50" w:after="165" w:afterLines="50"/>
        <w:jc w:val="left"/>
        <w:rPr>
          <w:rFonts w:hint="eastAsia" w:ascii="宋体" w:hAnsi="宋体" w:eastAsia="宋体" w:cs="宋体"/>
          <w:color w:val="auto"/>
          <w:highlight w:val="none"/>
        </w:rPr>
      </w:pPr>
    </w:p>
    <w:p w14:paraId="280A7ADE">
      <w:pPr>
        <w:snapToGrid w:val="0"/>
        <w:spacing w:before="50" w:after="165" w:afterLines="50"/>
        <w:jc w:val="left"/>
        <w:rPr>
          <w:rFonts w:hint="eastAsia" w:ascii="宋体" w:hAnsi="宋体" w:eastAsia="宋体" w:cs="宋体"/>
          <w:color w:val="auto"/>
          <w:highlight w:val="none"/>
        </w:rPr>
      </w:pPr>
    </w:p>
    <w:p w14:paraId="32F2D27B">
      <w:pP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、投标资格声明函</w:t>
      </w:r>
    </w:p>
    <w:p w14:paraId="5EAB72AD">
      <w:pPr>
        <w:keepNext w:val="0"/>
        <w:keepLines w:val="0"/>
        <w:pageBreakBefore w:val="0"/>
        <w:widowControl w:val="0"/>
        <w:tabs>
          <w:tab w:val="left" w:pos="7200"/>
        </w:tabs>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547E490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 xml:space="preserve"> (项目名称</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（项目编号：       ）</w:t>
      </w:r>
      <w:r>
        <w:rPr>
          <w:rFonts w:hint="eastAsia" w:ascii="宋体" w:hAnsi="宋体" w:eastAsia="宋体" w:cs="宋体"/>
          <w:color w:val="auto"/>
          <w:sz w:val="21"/>
          <w:szCs w:val="21"/>
          <w:highlight w:val="none"/>
        </w:rPr>
        <w:t>项目的投标，为便于贵方公正、择优地确定中标人，我方就本次投标有关事项郑重声明如下：</w:t>
      </w:r>
    </w:p>
    <w:p w14:paraId="039ADB0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1.我方承诺已经具备《中华人民共和国政府采购法》第二十二条中规定的参加政府采购活动的供应商应当具备的条件：</w:t>
      </w:r>
    </w:p>
    <w:p w14:paraId="6463A2C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4D59250F">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4D2AFF9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29D7C92C">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2934EE7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013C67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1E58999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9086F0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3.经查询，在“信用中国”和“中国政府采购网”网站我方未被列入失信被执行人、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p>
    <w:p w14:paraId="0C5A4B3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4.以上事项如有虚假或隐瞒，我方愿意承担一切后果，并不再寻求任何旨在减轻或免除法律责任的辩解。 </w:t>
      </w:r>
    </w:p>
    <w:p w14:paraId="291D7EFB">
      <w:pPr>
        <w:keepNext w:val="0"/>
        <w:keepLines w:val="0"/>
        <w:pageBreakBefore w:val="0"/>
        <w:widowControl w:val="0"/>
        <w:tabs>
          <w:tab w:val="left" w:pos="7200"/>
        </w:tabs>
        <w:kinsoku/>
        <w:wordWrap/>
        <w:overflowPunct/>
        <w:topLinePunct w:val="0"/>
        <w:autoSpaceDE/>
        <w:autoSpaceDN/>
        <w:bidi w:val="0"/>
        <w:adjustRightInd/>
        <w:spacing w:line="4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F1AE90D">
      <w:pPr>
        <w:keepNext w:val="0"/>
        <w:keepLines w:val="0"/>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1.投标人应当通过“信用中国”（www.creditchina.gov.cn）和“中国政府采购网”网站（www.ccgp.gov.cn）查询投标人相关主体的信用记录。对列入失信被执行人、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、政府采购严重违法失信行为记录名单的投标人，将被拒绝参与本项目政府采购活动。</w:t>
      </w:r>
    </w:p>
    <w:p w14:paraId="05D3299D">
      <w:pPr>
        <w:keepNext w:val="0"/>
        <w:keepLines w:val="0"/>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7B0598F">
      <w:pPr>
        <w:keepNext w:val="0"/>
        <w:keepLines w:val="0"/>
        <w:pageBreakBefore w:val="0"/>
        <w:widowControl w:val="0"/>
        <w:kinsoku/>
        <w:wordWrap/>
        <w:overflowPunct/>
        <w:topLinePunct w:val="0"/>
        <w:autoSpaceDE/>
        <w:autoSpaceDN/>
        <w:bidi w:val="0"/>
        <w:adjustRightInd/>
        <w:snapToGrid w:val="0"/>
        <w:spacing w:line="460" w:lineRule="exact"/>
        <w:ind w:firstLine="491" w:firstLineChars="233"/>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3.如为联合体投标，盖章处须加盖联合体各方公章并由联合体各方法定代表人（或负责人）分别签署，否则投标无效。</w:t>
      </w:r>
    </w:p>
    <w:p w14:paraId="15DC8048">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85B51D">
      <w:pPr>
        <w:keepNext w:val="0"/>
        <w:keepLines w:val="0"/>
        <w:pageBreakBefore w:val="0"/>
        <w:widowControl w:val="0"/>
        <w:kinsoku/>
        <w:wordWrap/>
        <w:overflowPunct/>
        <w:topLinePunct w:val="0"/>
        <w:autoSpaceDE/>
        <w:autoSpaceDN/>
        <w:bidi w:val="0"/>
        <w:adjustRightInd/>
        <w:snapToGrid w:val="0"/>
        <w:spacing w:line="460" w:lineRule="exact"/>
        <w:ind w:left="7083" w:leftChars="2223" w:hanging="2415" w:hangingChars="115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 xml:space="preserve">                                     年    月    日</w:t>
      </w:r>
    </w:p>
    <w:p w14:paraId="6EDCB9F6">
      <w:pPr>
        <w:spacing w:line="600" w:lineRule="exact"/>
        <w:jc w:val="center"/>
        <w:rPr>
          <w:rFonts w:hint="eastAsia" w:ascii="宋体" w:hAnsi="宋体" w:eastAsia="宋体" w:cs="宋体"/>
          <w:b/>
          <w:bCs/>
          <w:color w:val="auto"/>
          <w:sz w:val="30"/>
          <w:szCs w:val="30"/>
          <w:highlight w:val="none"/>
        </w:rPr>
      </w:pPr>
    </w:p>
    <w:p w14:paraId="2A5BAD51">
      <w:pPr>
        <w:spacing w:line="600" w:lineRule="exact"/>
        <w:jc w:val="center"/>
        <w:rPr>
          <w:rFonts w:hint="eastAsia" w:ascii="宋体" w:hAnsi="宋体" w:eastAsia="宋体" w:cs="宋体"/>
          <w:b/>
          <w:bCs/>
          <w:color w:val="auto"/>
          <w:sz w:val="30"/>
          <w:szCs w:val="30"/>
          <w:highlight w:val="none"/>
        </w:rPr>
      </w:pPr>
    </w:p>
    <w:p w14:paraId="55C8EBE5">
      <w:pPr>
        <w:spacing w:line="600" w:lineRule="exact"/>
        <w:jc w:val="center"/>
        <w:rPr>
          <w:rFonts w:hint="eastAsia" w:ascii="宋体" w:hAnsi="宋体" w:eastAsia="宋体" w:cs="宋体"/>
          <w:b/>
          <w:bCs/>
          <w:color w:val="auto"/>
          <w:sz w:val="30"/>
          <w:szCs w:val="30"/>
          <w:highlight w:val="none"/>
        </w:rPr>
      </w:pPr>
    </w:p>
    <w:p w14:paraId="6F810044">
      <w:pPr>
        <w:spacing w:line="600" w:lineRule="exact"/>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、本项目的特定资格要求</w:t>
      </w:r>
      <w:r>
        <w:rPr>
          <w:rFonts w:hint="eastAsia" w:ascii="宋体" w:hAnsi="宋体" w:eastAsia="宋体" w:cs="宋体"/>
          <w:b/>
          <w:bCs/>
          <w:color w:val="auto"/>
          <w:sz w:val="30"/>
          <w:szCs w:val="30"/>
          <w:highlight w:val="none"/>
          <w:lang w:eastAsia="zh-CN"/>
        </w:rPr>
        <w:t>：具有经国家金融监督管理总局批准设立并颁发有效的《中华人民共和国保险许可证》，具有在广西辖区内经营本次采购险种业务资格且业务范围涵盖责任保险的保险机构（本项目允许保险行业的分支机构参与投标，</w:t>
      </w:r>
      <w:r>
        <w:rPr>
          <w:rFonts w:hint="eastAsia" w:ascii="宋体" w:hAnsi="宋体" w:cs="宋体"/>
          <w:b/>
          <w:bCs/>
          <w:color w:val="auto"/>
          <w:sz w:val="30"/>
          <w:szCs w:val="30"/>
          <w:highlight w:val="none"/>
          <w:lang w:eastAsia="zh-CN"/>
        </w:rPr>
        <w:t>同一法人的多个分支机构不得同时投标</w:t>
      </w:r>
      <w:r>
        <w:rPr>
          <w:rFonts w:hint="eastAsia" w:ascii="宋体" w:hAnsi="宋体" w:eastAsia="宋体" w:cs="宋体"/>
          <w:b/>
          <w:bCs/>
          <w:color w:val="auto"/>
          <w:sz w:val="30"/>
          <w:szCs w:val="30"/>
          <w:highlight w:val="none"/>
          <w:lang w:eastAsia="zh-CN"/>
        </w:rPr>
        <w:t>）；</w:t>
      </w:r>
    </w:p>
    <w:p w14:paraId="4F0505D5">
      <w:pPr>
        <w:spacing w:line="600" w:lineRule="exact"/>
        <w:jc w:val="center"/>
        <w:rPr>
          <w:rFonts w:hint="eastAsia" w:ascii="宋体" w:hAnsi="宋体" w:eastAsia="宋体" w:cs="宋体"/>
          <w:b/>
          <w:bCs/>
          <w:color w:val="auto"/>
          <w:sz w:val="30"/>
          <w:szCs w:val="30"/>
          <w:highlight w:val="none"/>
        </w:rPr>
      </w:pPr>
    </w:p>
    <w:p w14:paraId="5656F816">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4B6626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D246B2A">
      <w:pPr>
        <w:snapToGrid w:val="0"/>
        <w:spacing w:line="360" w:lineRule="auto"/>
        <w:ind w:firstLine="5160" w:firstLineChars="2150"/>
        <w:rPr>
          <w:rFonts w:hint="eastAsia" w:ascii="宋体" w:hAnsi="宋体" w:eastAsia="宋体" w:cs="宋体"/>
          <w:color w:val="auto"/>
          <w:kern w:val="0"/>
          <w:sz w:val="24"/>
          <w:highlight w:val="none"/>
          <w:lang w:val="zh-CN"/>
        </w:rPr>
      </w:pPr>
    </w:p>
    <w:p w14:paraId="41A04A19">
      <w:pPr>
        <w:numPr>
          <w:ilvl w:val="0"/>
          <w:numId w:val="0"/>
        </w:numPr>
        <w:spacing w:line="600" w:lineRule="exac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除招标文件规定必须提供以外，投标人认为需要提供的其他证明材料。</w:t>
      </w:r>
    </w:p>
    <w:p w14:paraId="29DEED89">
      <w:pPr>
        <w:widowControl w:val="0"/>
        <w:numPr>
          <w:ilvl w:val="0"/>
          <w:numId w:val="0"/>
        </w:numPr>
        <w:spacing w:line="600" w:lineRule="exact"/>
        <w:jc w:val="center"/>
        <w:rPr>
          <w:rFonts w:hint="eastAsia" w:ascii="宋体" w:hAnsi="宋体" w:eastAsia="宋体" w:cs="宋体"/>
          <w:b/>
          <w:bCs/>
          <w:color w:val="auto"/>
          <w:sz w:val="30"/>
          <w:szCs w:val="30"/>
          <w:highlight w:val="none"/>
        </w:rPr>
      </w:pPr>
    </w:p>
    <w:p w14:paraId="10EBCE7D">
      <w:pPr>
        <w:widowControl w:val="0"/>
        <w:numPr>
          <w:ilvl w:val="0"/>
          <w:numId w:val="0"/>
        </w:numPr>
        <w:spacing w:line="600" w:lineRule="exact"/>
        <w:jc w:val="center"/>
        <w:rPr>
          <w:rFonts w:hint="eastAsia" w:ascii="宋体" w:hAnsi="宋体" w:eastAsia="宋体" w:cs="宋体"/>
          <w:b/>
          <w:bCs/>
          <w:color w:val="auto"/>
          <w:sz w:val="30"/>
          <w:szCs w:val="30"/>
          <w:highlight w:val="none"/>
        </w:rPr>
      </w:pPr>
    </w:p>
    <w:p w14:paraId="16CA2B23">
      <w:pPr>
        <w:widowControl w:val="0"/>
        <w:numPr>
          <w:ilvl w:val="0"/>
          <w:numId w:val="0"/>
        </w:numPr>
        <w:spacing w:line="600" w:lineRule="exact"/>
        <w:jc w:val="center"/>
        <w:rPr>
          <w:rFonts w:hint="eastAsia" w:ascii="宋体" w:hAnsi="宋体" w:eastAsia="宋体" w:cs="宋体"/>
          <w:b/>
          <w:bCs/>
          <w:color w:val="auto"/>
          <w:sz w:val="30"/>
          <w:szCs w:val="30"/>
          <w:highlight w:val="none"/>
        </w:rPr>
      </w:pPr>
    </w:p>
    <w:p w14:paraId="14C66A6A">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166461F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C599921">
      <w:pPr>
        <w:widowControl w:val="0"/>
        <w:numPr>
          <w:ilvl w:val="0"/>
          <w:numId w:val="0"/>
        </w:numPr>
        <w:spacing w:line="600" w:lineRule="exact"/>
        <w:jc w:val="center"/>
        <w:rPr>
          <w:rFonts w:hint="eastAsia" w:ascii="宋体" w:hAnsi="宋体" w:eastAsia="宋体" w:cs="宋体"/>
          <w:b/>
          <w:bCs/>
          <w:color w:val="auto"/>
          <w:sz w:val="30"/>
          <w:szCs w:val="3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0CBDE3A3">
      <w:pPr>
        <w:pStyle w:val="3"/>
        <w:bidi w:val="0"/>
        <w:jc w:val="center"/>
        <w:rPr>
          <w:rFonts w:hint="eastAsia" w:ascii="宋体" w:hAnsi="宋体" w:eastAsia="宋体" w:cs="宋体"/>
          <w:color w:val="auto"/>
          <w:highlight w:val="none"/>
        </w:rPr>
      </w:pPr>
      <w:bookmarkStart w:id="142" w:name="_Toc19686838"/>
      <w:bookmarkStart w:id="143" w:name="_Toc4877"/>
      <w:bookmarkStart w:id="144" w:name="_Toc3097"/>
      <w:r>
        <w:rPr>
          <w:rFonts w:hint="eastAsia" w:ascii="宋体" w:hAnsi="宋体" w:eastAsia="宋体" w:cs="宋体"/>
          <w:color w:val="auto"/>
          <w:highlight w:val="none"/>
        </w:rPr>
        <w:t>第三节 商务文件格式</w:t>
      </w:r>
      <w:bookmarkEnd w:id="142"/>
      <w:bookmarkEnd w:id="143"/>
      <w:bookmarkEnd w:id="144"/>
    </w:p>
    <w:p w14:paraId="754FAD34">
      <w:pPr>
        <w:snapToGrid w:val="0"/>
        <w:spacing w:before="165" w:beforeLines="50" w:after="50"/>
        <w:rPr>
          <w:rFonts w:hint="eastAsia" w:ascii="宋体" w:hAnsi="宋体" w:eastAsia="宋体" w:cs="宋体"/>
          <w:color w:val="auto"/>
          <w:sz w:val="30"/>
          <w:szCs w:val="20"/>
          <w:highlight w:val="none"/>
        </w:rPr>
      </w:pPr>
    </w:p>
    <w:p w14:paraId="285F9ACC">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5987C8DB">
      <w:pPr>
        <w:snapToGrid w:val="0"/>
        <w:spacing w:before="165" w:beforeLines="50" w:after="50"/>
        <w:rPr>
          <w:rFonts w:hint="eastAsia" w:ascii="宋体" w:hAnsi="宋体" w:eastAsia="宋体" w:cs="宋体"/>
          <w:color w:val="auto"/>
          <w:sz w:val="24"/>
          <w:szCs w:val="20"/>
          <w:highlight w:val="none"/>
        </w:rPr>
      </w:pPr>
    </w:p>
    <w:p w14:paraId="5D925671">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3BF33504">
      <w:pPr>
        <w:snapToGrid w:val="0"/>
        <w:spacing w:before="165" w:beforeLines="50" w:after="50"/>
        <w:rPr>
          <w:rFonts w:hint="eastAsia" w:ascii="宋体" w:hAnsi="宋体" w:eastAsia="宋体" w:cs="宋体"/>
          <w:bCs/>
          <w:color w:val="auto"/>
          <w:sz w:val="24"/>
          <w:szCs w:val="20"/>
          <w:highlight w:val="none"/>
        </w:rPr>
      </w:pPr>
    </w:p>
    <w:p w14:paraId="1DEC336B">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41D9CBEB">
      <w:pPr>
        <w:snapToGrid w:val="0"/>
        <w:spacing w:before="165" w:beforeLines="50" w:after="50"/>
        <w:ind w:firstLine="540" w:firstLineChars="225"/>
        <w:rPr>
          <w:rFonts w:hint="eastAsia" w:ascii="宋体" w:hAnsi="宋体" w:eastAsia="宋体" w:cs="宋体"/>
          <w:bCs/>
          <w:color w:val="auto"/>
          <w:sz w:val="24"/>
          <w:szCs w:val="20"/>
          <w:highlight w:val="none"/>
        </w:rPr>
      </w:pPr>
    </w:p>
    <w:p w14:paraId="22E98771">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400110F">
      <w:pP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792FAA5A">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05C4F59">
      <w:pPr>
        <w:snapToGrid w:val="0"/>
        <w:spacing w:before="165" w:beforeLines="50" w:after="50"/>
        <w:ind w:firstLine="540" w:firstLineChars="225"/>
        <w:rPr>
          <w:rFonts w:hint="eastAsia" w:ascii="宋体" w:hAnsi="宋体" w:eastAsia="宋体" w:cs="宋体"/>
          <w:bCs/>
          <w:color w:val="auto"/>
          <w:sz w:val="24"/>
          <w:szCs w:val="20"/>
          <w:highlight w:val="none"/>
        </w:rPr>
      </w:pPr>
    </w:p>
    <w:p w14:paraId="3DC346AB">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13D7A88E">
      <w:pPr>
        <w:snapToGrid w:val="0"/>
        <w:spacing w:before="50" w:after="50"/>
        <w:ind w:firstLine="540" w:firstLineChars="225"/>
        <w:rPr>
          <w:rFonts w:hint="eastAsia" w:ascii="宋体" w:hAnsi="宋体" w:eastAsia="宋体" w:cs="宋体"/>
          <w:bCs/>
          <w:color w:val="auto"/>
          <w:sz w:val="24"/>
          <w:highlight w:val="none"/>
        </w:rPr>
      </w:pPr>
    </w:p>
    <w:p w14:paraId="21B767A8">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5C83E887">
      <w:pPr>
        <w:snapToGrid w:val="0"/>
        <w:spacing w:before="50" w:after="50"/>
        <w:ind w:firstLine="960" w:firstLineChars="400"/>
        <w:rPr>
          <w:rFonts w:hint="eastAsia" w:ascii="宋体" w:hAnsi="宋体" w:eastAsia="宋体" w:cs="宋体"/>
          <w:bCs/>
          <w:color w:val="auto"/>
          <w:sz w:val="24"/>
          <w:highlight w:val="none"/>
        </w:rPr>
      </w:pPr>
    </w:p>
    <w:p w14:paraId="216D6917">
      <w:pPr>
        <w:snapToGrid w:val="0"/>
        <w:spacing w:before="165"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935D252">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b/>
          <w:color w:val="auto"/>
          <w:kern w:val="0"/>
          <w:sz w:val="28"/>
          <w:szCs w:val="28"/>
          <w:highlight w:val="none"/>
        </w:rPr>
        <w:t>商务文件目录</w:t>
      </w:r>
    </w:p>
    <w:p w14:paraId="55DEC74D">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一、无串标行为承诺函………………………………………………………（页码）</w:t>
      </w:r>
    </w:p>
    <w:p w14:paraId="2E04F768">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二、法定代表人授权委托书及委托代理人有效身份证正反面复印件，如为分支机构(省级分公司及其下属分公司或分支机构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参与投标的则提供负责人授权委托书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（页码）</w:t>
      </w:r>
    </w:p>
    <w:p w14:paraId="38F61112">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三、法定代表人授权委托书及委托代理人有效身份证正反面复印件，如为分支机构(省级分公司及其下属分公司或分支机构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参与投标的则提供负责人授权委托书（如有委托时）…………………………………………………………………………………（页码）</w:t>
      </w:r>
    </w:p>
    <w:p w14:paraId="626C4D5C">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val="zh-CN"/>
        </w:rPr>
        <w:t>商务条款偏离表………………………………</w:t>
      </w:r>
      <w:r>
        <w:rPr>
          <w:rFonts w:hint="eastAsia" w:ascii="宋体" w:hAnsi="宋体" w:eastAsia="宋体" w:cs="宋体"/>
          <w:color w:val="auto"/>
          <w:sz w:val="24"/>
          <w:highlight w:val="none"/>
        </w:rPr>
        <w:t>…………………………（页码）</w:t>
      </w:r>
    </w:p>
    <w:p w14:paraId="27CE8714">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、投标保证金缴纳证明</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171BA052">
      <w:pPr>
        <w:adjustRightInd w:val="0"/>
        <w:spacing w:line="360" w:lineRule="auto"/>
        <w:ind w:left="2" w:firstLine="480" w:firstLineChars="200"/>
        <w:rPr>
          <w:rFonts w:hint="eastAsia" w:ascii="宋体" w:hAnsi="宋体" w:eastAsia="宋体" w:cs="宋体"/>
          <w:color w:val="auto"/>
          <w:sz w:val="24"/>
          <w:highlight w:val="none"/>
        </w:rPr>
      </w:pPr>
      <w:bookmarkStart w:id="145" w:name="OLE_LINK7"/>
      <w:bookmarkStart w:id="146" w:name="OLE_LINK6"/>
      <w:bookmarkStart w:id="147" w:name="OLE_LINK5"/>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、投标人情况介绍</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0F7D1E54">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、投标人类似业绩的证明文件（如有要求）</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bookmarkEnd w:id="145"/>
      <w:bookmarkEnd w:id="146"/>
    </w:p>
    <w:p w14:paraId="25ECDCCE">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八、除招标文件规定必须提供以外，投标人认为需要提供的其他证明材料</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bookmarkEnd w:id="147"/>
    <w:p w14:paraId="12258E5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D54E401">
      <w:pPr>
        <w:snapToGrid w:val="0"/>
        <w:spacing w:line="360" w:lineRule="auto"/>
        <w:ind w:firstLine="420" w:firstLineChars="200"/>
        <w:jc w:val="left"/>
        <w:rPr>
          <w:rFonts w:hint="eastAsia" w:ascii="宋体" w:hAnsi="宋体" w:eastAsia="宋体" w:cs="宋体"/>
          <w:color w:val="auto"/>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5FFCE36">
      <w:pPr>
        <w:snapToGrid w:val="0"/>
        <w:spacing w:before="120" w:beforeLines="50" w:after="50"/>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62AB868D">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31D9F8A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color w:val="auto"/>
          <w:sz w:val="21"/>
          <w:szCs w:val="21"/>
          <w:highlight w:val="none"/>
        </w:rPr>
      </w:pPr>
    </w:p>
    <w:p w14:paraId="3D609A99">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一、我方承诺无下列相互串通投标的情形：</w:t>
      </w:r>
    </w:p>
    <w:p w14:paraId="3909FE5F">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1.不同投标人的投标文件由同一单位或者个人编制；或者不同投标人报名的IP地址一致的；</w:t>
      </w:r>
    </w:p>
    <w:p w14:paraId="1C2345F7">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B459FA6">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w:t>
      </w:r>
      <w:r>
        <w:rPr>
          <w:rFonts w:hint="eastAsia" w:ascii="宋体" w:hAnsi="宋体" w:cs="宋体"/>
          <w:color w:val="auto"/>
          <w:sz w:val="21"/>
          <w:szCs w:val="21"/>
          <w:highlight w:val="none"/>
          <w:lang w:eastAsia="zh-CN"/>
        </w:rPr>
        <w:t>理人</w:t>
      </w:r>
      <w:r>
        <w:rPr>
          <w:rFonts w:hint="eastAsia" w:ascii="宋体" w:hAnsi="宋体" w:eastAsia="宋体" w:cs="宋体"/>
          <w:color w:val="auto"/>
          <w:sz w:val="21"/>
          <w:szCs w:val="21"/>
          <w:highlight w:val="none"/>
        </w:rPr>
        <w:t>员为同一个人；</w:t>
      </w:r>
    </w:p>
    <w:p w14:paraId="6999DB41">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3AA7F70D">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3307D853">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34DC3A43">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二、我方承诺无下列恶意串通的情形：</w:t>
      </w:r>
    </w:p>
    <w:p w14:paraId="645CA5DE">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1.投标人直接或者间接从采购人或者采购代理机构处获得其他投标人的相关信息并修改其投标文件或者投标文件；</w:t>
      </w:r>
    </w:p>
    <w:p w14:paraId="50E70B93">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2.投标人按照采购人或者采购代理机构的授意撤换、修改投标文件或者投标文件；</w:t>
      </w:r>
    </w:p>
    <w:p w14:paraId="398067B2">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3.投标人之间协商报价、技术方案等投标文件或者投标文件的实质性内容；</w:t>
      </w:r>
    </w:p>
    <w:p w14:paraId="6801AEC4">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4.属于同一集团、协会、商会等组织成员的投标人按照该组织要求协同参加政府采购活动；</w:t>
      </w:r>
    </w:p>
    <w:p w14:paraId="3FDDACCB">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0319F690">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6.投标人之间商定部分投标人放弃参加政府采购活动或者放弃中标；</w:t>
      </w:r>
    </w:p>
    <w:p w14:paraId="06E6D18B">
      <w:pPr>
        <w:keepNext w:val="0"/>
        <w:keepLines w:val="0"/>
        <w:pageBreakBefore w:val="0"/>
        <w:widowControl w:val="0"/>
        <w:kinsoku/>
        <w:wordWrap/>
        <w:overflowPunct/>
        <w:topLinePunct w:val="0"/>
        <w:autoSpaceDE/>
        <w:autoSpaceDN/>
        <w:bidi w:val="0"/>
        <w:adjustRightInd/>
        <w:snapToGrid w:val="0"/>
        <w:spacing w:line="48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7.投标人与采购人或者采购代理机构之间、投标人相互之间，为谋求特定投标人中标或者排斥其他投标人的其他串通行为。</w:t>
      </w:r>
    </w:p>
    <w:p w14:paraId="774B5EB9">
      <w:pPr>
        <w:keepNext w:val="0"/>
        <w:keepLines w:val="0"/>
        <w:pageBreakBefore w:val="0"/>
        <w:widowControl w:val="0"/>
        <w:kinsoku/>
        <w:wordWrap/>
        <w:overflowPunct/>
        <w:topLinePunct w:val="0"/>
        <w:autoSpaceDE/>
        <w:autoSpaceDN/>
        <w:bidi w:val="0"/>
        <w:adjustRightInd/>
        <w:snapToGrid w:val="0"/>
        <w:spacing w:line="480" w:lineRule="exact"/>
        <w:ind w:firstLine="413" w:firstLineChars="196"/>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741CDC12">
      <w:pPr>
        <w:keepNext w:val="0"/>
        <w:keepLines w:val="0"/>
        <w:pageBreakBefore w:val="0"/>
        <w:widowControl w:val="0"/>
        <w:kinsoku/>
        <w:wordWrap/>
        <w:overflowPunct/>
        <w:topLinePunct w:val="0"/>
        <w:autoSpaceDE/>
        <w:autoSpaceDN/>
        <w:bidi w:val="0"/>
        <w:adjustRightInd/>
        <w:snapToGrid w:val="0"/>
        <w:spacing w:line="480" w:lineRule="exact"/>
        <w:ind w:firstLine="4935" w:firstLineChars="23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p>
    <w:p w14:paraId="091A2562">
      <w:pPr>
        <w:keepNext w:val="0"/>
        <w:keepLines w:val="0"/>
        <w:pageBreakBefore w:val="0"/>
        <w:widowControl w:val="0"/>
        <w:kinsoku/>
        <w:wordWrap/>
        <w:overflowPunct/>
        <w:topLinePunct w:val="0"/>
        <w:autoSpaceDE/>
        <w:autoSpaceDN/>
        <w:bidi w:val="0"/>
        <w:adjustRightInd/>
        <w:snapToGrid w:val="0"/>
        <w:spacing w:line="480" w:lineRule="exact"/>
        <w:ind w:firstLine="4515" w:firstLineChars="215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60449F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1"/>
          <w:szCs w:val="21"/>
          <w:highlight w:val="none"/>
        </w:rPr>
        <w:br w:type="page"/>
      </w:r>
      <w:r>
        <w:rPr>
          <w:rFonts w:hint="eastAsia" w:ascii="宋体" w:hAnsi="宋体" w:eastAsia="宋体" w:cs="宋体"/>
          <w:b/>
          <w:bCs/>
          <w:color w:val="auto"/>
          <w:sz w:val="30"/>
          <w:szCs w:val="30"/>
          <w:highlight w:val="none"/>
        </w:rPr>
        <w:t>二、法定代表人身份证明</w:t>
      </w:r>
      <w:r>
        <w:rPr>
          <w:rFonts w:hint="eastAsia" w:ascii="宋体" w:hAnsi="宋体" w:cs="宋体"/>
          <w:b/>
          <w:bCs/>
          <w:color w:val="auto"/>
          <w:sz w:val="30"/>
          <w:szCs w:val="30"/>
          <w:highlight w:val="none"/>
          <w:lang w:val="en-US" w:eastAsia="zh-CN"/>
        </w:rPr>
        <w:t>或</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rPr>
        <w:t>身份证明</w:t>
      </w:r>
    </w:p>
    <w:p w14:paraId="2C9ED5D4">
      <w:pPr>
        <w:spacing w:before="240" w:beforeLines="100" w:after="120" w:afterLines="50"/>
        <w:ind w:left="540"/>
        <w:jc w:val="center"/>
        <w:rPr>
          <w:rFonts w:hint="eastAsia" w:ascii="宋体" w:hAnsi="宋体" w:eastAsia="宋体" w:cs="宋体"/>
          <w:b/>
          <w:color w:val="auto"/>
          <w:sz w:val="32"/>
          <w:szCs w:val="32"/>
          <w:highlight w:val="none"/>
        </w:rPr>
      </w:pPr>
    </w:p>
    <w:p w14:paraId="627571AA">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3D6F0AB1">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70B52623">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F76DEE9">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EBB536A">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8516E8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A7D4ED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0C96154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DBBBEAD">
      <w:pPr>
        <w:spacing w:line="500" w:lineRule="exact"/>
        <w:ind w:left="540"/>
        <w:rPr>
          <w:rFonts w:hint="eastAsia" w:ascii="宋体" w:hAnsi="宋体" w:eastAsia="宋体" w:cs="宋体"/>
          <w:color w:val="auto"/>
          <w:sz w:val="24"/>
          <w:highlight w:val="none"/>
        </w:rPr>
      </w:pPr>
    </w:p>
    <w:p w14:paraId="5762E412">
      <w:pPr>
        <w:spacing w:line="500" w:lineRule="exact"/>
        <w:ind w:left="540"/>
        <w:rPr>
          <w:rFonts w:hint="eastAsia" w:ascii="宋体" w:hAnsi="宋体" w:eastAsia="宋体" w:cs="宋体"/>
          <w:color w:val="auto"/>
          <w:sz w:val="24"/>
          <w:highlight w:val="none"/>
        </w:rPr>
      </w:pPr>
    </w:p>
    <w:p w14:paraId="54939E05">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03AF53A5">
      <w:pPr>
        <w:spacing w:line="500" w:lineRule="exact"/>
        <w:ind w:left="540"/>
        <w:rPr>
          <w:rFonts w:hint="eastAsia" w:ascii="宋体" w:hAnsi="宋体" w:eastAsia="宋体" w:cs="宋体"/>
          <w:color w:val="auto"/>
          <w:sz w:val="24"/>
          <w:highlight w:val="none"/>
        </w:rPr>
      </w:pPr>
    </w:p>
    <w:p w14:paraId="6616FBE9">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6DA0022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43EBF15">
      <w:pPr>
        <w:snapToGrid w:val="0"/>
        <w:spacing w:before="120" w:beforeLines="50" w:after="50"/>
        <w:jc w:val="center"/>
        <w:rPr>
          <w:rFonts w:hint="eastAsia" w:ascii="宋体" w:hAnsi="宋体" w:eastAsia="宋体" w:cs="宋体"/>
          <w:b/>
          <w:color w:val="auto"/>
          <w:sz w:val="24"/>
          <w:highlight w:val="none"/>
        </w:rPr>
      </w:pPr>
    </w:p>
    <w:p w14:paraId="074EB4DB">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280E172C">
      <w:pPr>
        <w:snapToGrid w:val="0"/>
        <w:spacing w:before="120" w:beforeLines="50" w:after="50"/>
        <w:ind w:firstLine="600" w:firstLineChars="250"/>
        <w:jc w:val="left"/>
        <w:rPr>
          <w:rFonts w:hint="eastAsia" w:ascii="宋体" w:hAnsi="宋体" w:eastAsia="宋体" w:cs="宋体"/>
          <w:color w:val="auto"/>
          <w:sz w:val="24"/>
          <w:highlight w:val="none"/>
        </w:rPr>
      </w:pPr>
    </w:p>
    <w:p w14:paraId="1AFC8517">
      <w:pP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3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3A3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3D59B6CE">
            <w:pPr>
              <w:spacing w:line="360" w:lineRule="auto"/>
              <w:rPr>
                <w:rFonts w:hint="eastAsia" w:ascii="宋体" w:hAnsi="宋体" w:eastAsia="宋体" w:cs="宋体"/>
                <w:b/>
                <w:color w:val="auto"/>
                <w:sz w:val="24"/>
                <w:highlight w:val="none"/>
              </w:rPr>
            </w:pPr>
          </w:p>
          <w:p w14:paraId="68F8BEC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78206D5B">
      <w:pPr>
        <w:spacing w:before="0" w:beforeLines="-2147483648" w:after="0" w:afterLines="-2147483648"/>
        <w:ind w:lef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附件：</w:t>
      </w:r>
      <w:r>
        <w:rPr>
          <w:rFonts w:hint="eastAsia" w:ascii="宋体" w:hAnsi="宋体" w:eastAsia="宋体" w:cs="宋体"/>
          <w:b/>
          <w:color w:val="auto"/>
          <w:sz w:val="24"/>
          <w:szCs w:val="20"/>
          <w:highlight w:val="none"/>
        </w:rPr>
        <w:br w:type="page"/>
      </w:r>
    </w:p>
    <w:p w14:paraId="02321AEE">
      <w:pPr>
        <w:spacing w:before="0" w:beforeLines="-2147483648" w:after="0" w:afterLines="-2147483648"/>
        <w:ind w:left="0"/>
        <w:jc w:val="center"/>
        <w:rPr>
          <w:rFonts w:hint="eastAsia" w:ascii="宋体" w:hAnsi="宋体" w:eastAsia="宋体" w:cs="宋体"/>
          <w:b/>
          <w:color w:val="auto"/>
          <w:sz w:val="24"/>
          <w:szCs w:val="20"/>
          <w:highlight w:val="none"/>
        </w:rPr>
      </w:pPr>
    </w:p>
    <w:p w14:paraId="57D31271">
      <w:pPr>
        <w:spacing w:before="0" w:beforeLines="-2147483648" w:after="0" w:afterLines="-2147483648"/>
        <w:ind w:left="0"/>
        <w:jc w:val="center"/>
        <w:rPr>
          <w:rFonts w:hint="eastAsia" w:ascii="宋体" w:hAnsi="宋体" w:eastAsia="宋体" w:cs="宋体"/>
          <w:b/>
          <w:color w:val="auto"/>
          <w:sz w:val="24"/>
          <w:szCs w:val="20"/>
          <w:highlight w:val="none"/>
        </w:rPr>
      </w:pPr>
    </w:p>
    <w:p w14:paraId="2187D4A3">
      <w:pPr>
        <w:spacing w:before="0" w:beforeLines="-2147483648" w:after="0" w:afterLines="-2147483648"/>
        <w:ind w:left="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rPr>
        <w:t>身份证明</w:t>
      </w:r>
      <w:r>
        <w:rPr>
          <w:rFonts w:hint="eastAsia" w:ascii="宋体" w:hAnsi="宋体" w:eastAsia="宋体" w:cs="宋体"/>
          <w:b/>
          <w:color w:val="auto"/>
          <w:sz w:val="32"/>
          <w:szCs w:val="32"/>
          <w:highlight w:val="none"/>
          <w:lang w:eastAsia="zh-CN"/>
        </w:rPr>
        <w:t>（分支机构参与投标</w:t>
      </w:r>
      <w:r>
        <w:rPr>
          <w:rFonts w:hint="eastAsia" w:ascii="宋体" w:hAnsi="宋体" w:eastAsia="宋体" w:cs="宋体"/>
          <w:b/>
          <w:color w:val="auto"/>
          <w:sz w:val="32"/>
          <w:szCs w:val="32"/>
          <w:highlight w:val="none"/>
          <w:lang w:val="en-US" w:eastAsia="zh-CN"/>
        </w:rPr>
        <w:t>时提供</w:t>
      </w:r>
      <w:r>
        <w:rPr>
          <w:rFonts w:hint="eastAsia" w:ascii="宋体" w:hAnsi="宋体" w:eastAsia="宋体" w:cs="宋体"/>
          <w:b/>
          <w:color w:val="auto"/>
          <w:sz w:val="32"/>
          <w:szCs w:val="32"/>
          <w:highlight w:val="none"/>
          <w:lang w:eastAsia="zh-CN"/>
        </w:rPr>
        <w:t>）</w:t>
      </w:r>
    </w:p>
    <w:p w14:paraId="7B4A130D">
      <w:pPr>
        <w:spacing w:before="0" w:beforeLines="-2147483648" w:after="0" w:afterLines="-2147483648"/>
        <w:ind w:left="0"/>
        <w:jc w:val="center"/>
        <w:rPr>
          <w:rFonts w:hint="eastAsia" w:ascii="宋体" w:hAnsi="宋体" w:eastAsia="宋体" w:cs="宋体"/>
          <w:b/>
          <w:color w:val="auto"/>
          <w:sz w:val="32"/>
          <w:szCs w:val="32"/>
          <w:highlight w:val="none"/>
          <w:lang w:eastAsia="zh-CN"/>
        </w:rPr>
      </w:pPr>
    </w:p>
    <w:p w14:paraId="73B2604C">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715CB74C">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257DB6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89D47A1">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F82BC8C">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78BBF6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负责</w:t>
      </w:r>
      <w:r>
        <w:rPr>
          <w:rFonts w:hint="eastAsia" w:ascii="宋体" w:hAnsi="宋体" w:eastAsia="宋体" w:cs="宋体"/>
          <w:color w:val="auto"/>
          <w:sz w:val="24"/>
          <w:highlight w:val="none"/>
        </w:rPr>
        <w:t>人。</w:t>
      </w:r>
    </w:p>
    <w:p w14:paraId="5BB3CF0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23722DF">
      <w:pPr>
        <w:spacing w:line="500" w:lineRule="exact"/>
        <w:ind w:left="540"/>
        <w:rPr>
          <w:rFonts w:hint="eastAsia" w:ascii="宋体" w:hAnsi="宋体" w:eastAsia="宋体" w:cs="宋体"/>
          <w:color w:val="auto"/>
          <w:sz w:val="24"/>
          <w:highlight w:val="none"/>
        </w:rPr>
      </w:pPr>
    </w:p>
    <w:p w14:paraId="40D763F9">
      <w:pPr>
        <w:spacing w:line="500" w:lineRule="exact"/>
        <w:ind w:left="540"/>
        <w:rPr>
          <w:rFonts w:hint="eastAsia" w:ascii="宋体" w:hAnsi="宋体" w:eastAsia="宋体" w:cs="宋体"/>
          <w:color w:val="auto"/>
          <w:sz w:val="24"/>
          <w:highlight w:val="none"/>
        </w:rPr>
      </w:pPr>
    </w:p>
    <w:p w14:paraId="5BE7BD39">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负责</w:t>
      </w:r>
      <w:r>
        <w:rPr>
          <w:rFonts w:hint="eastAsia" w:ascii="宋体" w:hAnsi="宋体" w:eastAsia="宋体" w:cs="宋体"/>
          <w:color w:val="auto"/>
          <w:sz w:val="24"/>
          <w:highlight w:val="none"/>
        </w:rPr>
        <w:t>人有效身份证正反面复印件</w:t>
      </w:r>
    </w:p>
    <w:p w14:paraId="51C88D1A">
      <w:pPr>
        <w:spacing w:line="500" w:lineRule="exact"/>
        <w:ind w:left="540"/>
        <w:rPr>
          <w:rFonts w:hint="eastAsia" w:ascii="宋体" w:hAnsi="宋体" w:eastAsia="宋体" w:cs="宋体"/>
          <w:color w:val="auto"/>
          <w:sz w:val="24"/>
          <w:highlight w:val="none"/>
        </w:rPr>
      </w:pPr>
    </w:p>
    <w:p w14:paraId="638F6226">
      <w:pPr>
        <w:snapToGrid w:val="0"/>
        <w:spacing w:line="360" w:lineRule="auto"/>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28C9F849">
      <w:pPr>
        <w:snapToGrid w:val="0"/>
        <w:spacing w:line="360" w:lineRule="auto"/>
        <w:ind w:firstLine="0" w:firstLineChars="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3C7B71D">
      <w:pPr>
        <w:snapToGrid/>
        <w:spacing w:line="240" w:lineRule="auto"/>
        <w:ind w:firstLine="0" w:firstLineChars="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tbl>
      <w:tblPr>
        <w:tblStyle w:val="3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CAC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noWrap w:val="0"/>
            <w:vAlign w:val="top"/>
          </w:tcPr>
          <w:p w14:paraId="71DEADCA">
            <w:pPr>
              <w:spacing w:line="360" w:lineRule="auto"/>
              <w:rPr>
                <w:rFonts w:hint="eastAsia" w:ascii="宋体" w:hAnsi="宋体" w:eastAsia="宋体" w:cs="宋体"/>
                <w:b/>
                <w:color w:val="auto"/>
                <w:sz w:val="24"/>
                <w:highlight w:val="none"/>
              </w:rPr>
            </w:pPr>
          </w:p>
          <w:p w14:paraId="0DD471C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负责人身份证复印件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69AC99C4">
      <w:pPr>
        <w:snapToGrid w:val="0"/>
        <w:spacing w:line="360" w:lineRule="auto"/>
        <w:ind w:firstLine="0" w:firstLineChars="0"/>
        <w:jc w:val="center"/>
        <w:rPr>
          <w:rFonts w:hint="eastAsia" w:ascii="宋体" w:hAnsi="宋体" w:eastAsia="宋体" w:cs="宋体"/>
          <w:color w:val="auto"/>
          <w:kern w:val="0"/>
          <w:sz w:val="24"/>
          <w:highlight w:val="none"/>
          <w:lang w:val="zh-CN"/>
        </w:rPr>
      </w:pPr>
    </w:p>
    <w:p w14:paraId="74517615">
      <w:pPr>
        <w:snapToGrid w:val="0"/>
        <w:spacing w:before="120" w:beforeLines="50" w:after="50"/>
        <w:jc w:val="both"/>
        <w:rPr>
          <w:rFonts w:hint="eastAsia" w:ascii="宋体" w:hAnsi="宋体" w:eastAsia="宋体" w:cs="宋体"/>
          <w:b/>
          <w:color w:val="auto"/>
          <w:sz w:val="24"/>
          <w:highlight w:val="none"/>
        </w:rPr>
      </w:pPr>
      <w:r>
        <w:rPr>
          <w:rFonts w:hint="eastAsia" w:ascii="宋体" w:hAnsi="宋体" w:eastAsia="宋体" w:cs="宋体"/>
          <w:b/>
          <w:color w:val="auto"/>
          <w:sz w:val="24"/>
          <w:szCs w:val="20"/>
          <w:highlight w:val="none"/>
        </w:rPr>
        <w:t>附件：</w:t>
      </w:r>
    </w:p>
    <w:p w14:paraId="1CB4EDB0">
      <w:pPr>
        <w:snapToGrid w:val="0"/>
        <w:spacing w:before="120" w:beforeLines="50" w:after="50"/>
        <w:ind w:firstLine="600" w:firstLineChars="250"/>
        <w:jc w:val="left"/>
        <w:rPr>
          <w:rFonts w:hint="eastAsia" w:ascii="宋体" w:hAnsi="宋体" w:eastAsia="宋体" w:cs="宋体"/>
          <w:color w:val="auto"/>
          <w:sz w:val="24"/>
          <w:highlight w:val="none"/>
        </w:rPr>
      </w:pPr>
    </w:p>
    <w:p w14:paraId="2CE8722B">
      <w:pPr>
        <w:snapToGrid/>
        <w:spacing w:before="0" w:beforeLines="-2147483648" w:after="0"/>
        <w:ind w:firstLine="0" w:firstLineChars="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040407D9">
      <w:pPr>
        <w:snapToGrid w:val="0"/>
        <w:spacing w:before="295" w:after="295" w:line="360" w:lineRule="auto"/>
        <w:jc w:val="both"/>
        <w:rPr>
          <w:rFonts w:hint="eastAsia" w:ascii="宋体" w:hAnsi="宋体" w:eastAsia="宋体" w:cs="宋体"/>
          <w:b/>
          <w:color w:val="auto"/>
          <w:sz w:val="24"/>
          <w:szCs w:val="20"/>
          <w:highlight w:val="none"/>
        </w:rPr>
      </w:pPr>
      <w:r>
        <w:rPr>
          <w:rFonts w:hint="eastAsia" w:ascii="宋体" w:hAnsi="宋体" w:eastAsia="宋体" w:cs="宋体"/>
          <w:b/>
          <w:bCs/>
          <w:color w:val="auto"/>
          <w:sz w:val="30"/>
          <w:szCs w:val="30"/>
          <w:highlight w:val="none"/>
        </w:rPr>
        <w:t>三、法定代表人授权委托书</w:t>
      </w:r>
      <w:r>
        <w:rPr>
          <w:rFonts w:hint="eastAsia" w:ascii="宋体" w:hAnsi="宋体" w:cs="宋体"/>
          <w:b/>
          <w:bCs/>
          <w:color w:val="auto"/>
          <w:sz w:val="30"/>
          <w:szCs w:val="30"/>
          <w:highlight w:val="none"/>
          <w:lang w:val="en-US" w:eastAsia="zh-CN"/>
        </w:rPr>
        <w:t>或</w:t>
      </w:r>
      <w:r>
        <w:rPr>
          <w:rFonts w:hint="eastAsia" w:ascii="宋体" w:hAnsi="宋体" w:eastAsia="宋体" w:cs="宋体"/>
          <w:b/>
          <w:color w:val="auto"/>
          <w:sz w:val="32"/>
          <w:szCs w:val="32"/>
          <w:highlight w:val="none"/>
          <w:lang w:val="en-US" w:eastAsia="zh-CN"/>
        </w:rPr>
        <w:t>负责</w:t>
      </w:r>
      <w:r>
        <w:rPr>
          <w:rFonts w:hint="eastAsia" w:ascii="宋体" w:hAnsi="宋体" w:eastAsia="宋体" w:cs="宋体"/>
          <w:b/>
          <w:color w:val="auto"/>
          <w:sz w:val="32"/>
          <w:szCs w:val="32"/>
          <w:highlight w:val="none"/>
        </w:rPr>
        <w:t>人授权委托书</w:t>
      </w:r>
      <w:r>
        <w:rPr>
          <w:rFonts w:hint="eastAsia" w:ascii="宋体" w:hAnsi="宋体" w:eastAsia="宋体" w:cs="宋体"/>
          <w:b/>
          <w:bCs/>
          <w:color w:val="auto"/>
          <w:sz w:val="30"/>
          <w:szCs w:val="30"/>
          <w:highlight w:val="none"/>
        </w:rPr>
        <w:t>（如有委托时）</w:t>
      </w:r>
    </w:p>
    <w:p w14:paraId="654C0015">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008245EB">
      <w:pPr>
        <w:snapToGrid w:val="0"/>
        <w:spacing w:before="120" w:beforeLines="50" w:after="50"/>
        <w:jc w:val="center"/>
        <w:rPr>
          <w:rFonts w:hint="eastAsia" w:ascii="宋体" w:hAnsi="宋体" w:eastAsia="宋体" w:cs="宋体"/>
          <w:b/>
          <w:color w:val="auto"/>
          <w:sz w:val="24"/>
          <w:highlight w:val="none"/>
        </w:rPr>
      </w:pPr>
    </w:p>
    <w:p w14:paraId="222B3970">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68718A25">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（姓名）系</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（投标人名称）的法定代表人，现授权我单位在职正式员工</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（姓名和职务）为我方代理人。代理人根据授权，以我方名义签署、澄清、说明、补正、递交、撤回、修改贵方组织的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）的投标文件、签订合同和处理一切有关事宜，其法律后果由我方承担。</w:t>
      </w:r>
    </w:p>
    <w:p w14:paraId="64F79232">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本授权书于</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年</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月</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日签字生效，委托期限：</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w:t>
      </w:r>
    </w:p>
    <w:p w14:paraId="73F757B0">
      <w:pPr>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代理人无转委托权。</w:t>
      </w:r>
    </w:p>
    <w:p w14:paraId="34B99876">
      <w:pPr>
        <w:spacing w:line="360" w:lineRule="auto"/>
        <w:ind w:firstLine="420"/>
        <w:rPr>
          <w:rFonts w:hint="eastAsia" w:ascii="宋体" w:hAnsi="宋体" w:eastAsia="宋体" w:cs="宋体"/>
          <w:color w:val="auto"/>
          <w:szCs w:val="20"/>
          <w:highlight w:val="none"/>
        </w:rPr>
      </w:pPr>
    </w:p>
    <w:p w14:paraId="0E391FE9">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投标人（盖单位公章</w:t>
      </w:r>
      <w:r>
        <w:rPr>
          <w:rFonts w:hint="eastAsia" w:ascii="宋体" w:hAnsi="宋体" w:eastAsia="宋体" w:cs="宋体"/>
          <w:color w:val="auto"/>
          <w:szCs w:val="20"/>
          <w:highlight w:val="none"/>
          <w:lang w:val="en-US" w:eastAsia="zh-CN"/>
        </w:rPr>
        <w:t>/电子签章</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 xml:space="preserve">                                    </w:t>
      </w:r>
    </w:p>
    <w:p w14:paraId="51C8BABC">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法定代表人（签字</w:t>
      </w:r>
      <w:r>
        <w:rPr>
          <w:rFonts w:hint="eastAsia" w:ascii="宋体" w:hAnsi="宋体" w:eastAsia="宋体" w:cs="宋体"/>
          <w:color w:val="auto"/>
          <w:szCs w:val="20"/>
          <w:highlight w:val="none"/>
          <w:lang w:val="en-US" w:eastAsia="zh-CN"/>
        </w:rPr>
        <w:t>或盖章</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 xml:space="preserve">                                </w:t>
      </w:r>
    </w:p>
    <w:p w14:paraId="2B457ED6">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法定代表人身份证号码：</w:t>
      </w:r>
      <w:r>
        <w:rPr>
          <w:rFonts w:hint="eastAsia" w:ascii="宋体" w:hAnsi="宋体" w:eastAsia="宋体" w:cs="宋体"/>
          <w:color w:val="auto"/>
          <w:szCs w:val="20"/>
          <w:highlight w:val="none"/>
          <w:u w:val="single"/>
        </w:rPr>
        <w:t xml:space="preserve">                                   </w:t>
      </w:r>
    </w:p>
    <w:p w14:paraId="409C3DD5">
      <w:pPr>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委托代理人（签字）：</w:t>
      </w:r>
      <w:r>
        <w:rPr>
          <w:rFonts w:hint="eastAsia" w:ascii="宋体" w:hAnsi="宋体" w:eastAsia="宋体" w:cs="宋体"/>
          <w:color w:val="auto"/>
          <w:szCs w:val="20"/>
          <w:highlight w:val="none"/>
          <w:u w:val="single"/>
        </w:rPr>
        <w:t xml:space="preserve">                                </w:t>
      </w:r>
    </w:p>
    <w:p w14:paraId="400C5E86">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委托代理人身份证号码：</w:t>
      </w:r>
      <w:r>
        <w:rPr>
          <w:rFonts w:hint="eastAsia" w:ascii="宋体" w:hAnsi="宋体" w:eastAsia="宋体" w:cs="宋体"/>
          <w:color w:val="auto"/>
          <w:szCs w:val="20"/>
          <w:highlight w:val="none"/>
          <w:u w:val="single"/>
        </w:rPr>
        <w:t xml:space="preserve">                                   </w:t>
      </w:r>
    </w:p>
    <w:p w14:paraId="7FD192D3">
      <w:pPr>
        <w:spacing w:line="360" w:lineRule="auto"/>
        <w:ind w:firstLine="420"/>
        <w:rPr>
          <w:rFonts w:hint="eastAsia" w:ascii="宋体" w:hAnsi="宋体" w:eastAsia="宋体" w:cs="宋体"/>
          <w:color w:val="auto"/>
          <w:szCs w:val="20"/>
          <w:highlight w:val="none"/>
          <w:u w:val="single"/>
        </w:rPr>
      </w:pPr>
    </w:p>
    <w:p w14:paraId="318B59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DCBF74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.以联合体形式投标的，本授权委托书应由联合体牵头人的法定代表人按上述规定签署。</w:t>
      </w:r>
    </w:p>
    <w:p w14:paraId="35687F2C">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CA0B773">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.若为联合体投标须各方签字或盖章。</w:t>
      </w:r>
    </w:p>
    <w:p w14:paraId="2537DC3D">
      <w:pP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7A76FC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3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13E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4A54A831">
            <w:pPr>
              <w:spacing w:line="360" w:lineRule="auto"/>
              <w:rPr>
                <w:rFonts w:hint="eastAsia" w:ascii="宋体" w:hAnsi="宋体" w:eastAsia="宋体" w:cs="宋体"/>
                <w:b/>
                <w:color w:val="auto"/>
                <w:sz w:val="24"/>
                <w:highlight w:val="none"/>
              </w:rPr>
            </w:pPr>
          </w:p>
          <w:p w14:paraId="42AC8E6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委托代理人身份证复印件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E76070F">
      <w:pPr>
        <w:snapToGrid w:val="0"/>
        <w:spacing w:before="50" w:after="120" w:afterLines="50" w:line="360" w:lineRule="auto"/>
        <w:jc w:val="left"/>
        <w:rPr>
          <w:rFonts w:hint="eastAsia" w:ascii="宋体" w:hAnsi="宋体" w:eastAsia="宋体" w:cs="宋体"/>
          <w:color w:val="auto"/>
          <w:szCs w:val="21"/>
          <w:highlight w:val="none"/>
        </w:rPr>
      </w:pPr>
    </w:p>
    <w:p w14:paraId="48657ACE">
      <w:pPr>
        <w:snapToGrid w:val="0"/>
        <w:spacing w:before="120" w:beforeLines="50" w:after="50"/>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482ED426">
      <w:pPr>
        <w:snapToGrid w:val="0"/>
        <w:spacing w:before="120" w:beforeLines="50" w:after="50"/>
        <w:jc w:val="center"/>
        <w:rPr>
          <w:rFonts w:hint="eastAsia" w:ascii="宋体" w:hAnsi="宋体" w:eastAsia="宋体" w:cs="宋体"/>
          <w:b/>
          <w:color w:val="auto"/>
          <w:sz w:val="32"/>
          <w:szCs w:val="32"/>
          <w:highlight w:val="none"/>
          <w:lang w:val="en-US" w:eastAsia="zh-CN"/>
        </w:rPr>
      </w:pPr>
    </w:p>
    <w:p w14:paraId="64B8C740">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负责</w:t>
      </w:r>
      <w:r>
        <w:rPr>
          <w:rFonts w:hint="eastAsia" w:ascii="宋体" w:hAnsi="宋体" w:eastAsia="宋体" w:cs="宋体"/>
          <w:b/>
          <w:color w:val="auto"/>
          <w:sz w:val="32"/>
          <w:szCs w:val="32"/>
          <w:highlight w:val="none"/>
        </w:rPr>
        <w:t>人授权委托书（分支机构参与投标时提供）</w:t>
      </w:r>
    </w:p>
    <w:p w14:paraId="1D31B904">
      <w:pPr>
        <w:snapToGrid w:val="0"/>
        <w:spacing w:before="120" w:beforeLines="50" w:after="50"/>
        <w:jc w:val="center"/>
        <w:rPr>
          <w:rFonts w:hint="eastAsia" w:ascii="宋体" w:hAnsi="宋体" w:eastAsia="宋体" w:cs="宋体"/>
          <w:b/>
          <w:color w:val="auto"/>
          <w:sz w:val="24"/>
          <w:highlight w:val="none"/>
        </w:rPr>
      </w:pPr>
    </w:p>
    <w:p w14:paraId="57A63EBC">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6349815D">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（姓名）系</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（投标人名称）的</w:t>
      </w:r>
      <w:r>
        <w:rPr>
          <w:rFonts w:hint="eastAsia" w:ascii="宋体" w:hAnsi="宋体" w:eastAsia="宋体" w:cs="宋体"/>
          <w:color w:val="auto"/>
          <w:szCs w:val="20"/>
          <w:highlight w:val="none"/>
          <w:lang w:val="en-US" w:eastAsia="zh-CN"/>
        </w:rPr>
        <w:t>负责</w:t>
      </w:r>
      <w:r>
        <w:rPr>
          <w:rFonts w:hint="eastAsia" w:ascii="宋体" w:hAnsi="宋体" w:eastAsia="宋体" w:cs="宋体"/>
          <w:color w:val="auto"/>
          <w:szCs w:val="20"/>
          <w:highlight w:val="none"/>
        </w:rPr>
        <w:t>人，现授权我单位在职正式员工</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（姓名和职务）为我方代理人。代理人根据授权，以我方名义签署、澄清、说明、补正、递交、撤回、修改贵方组织的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）的投标文件、签订合同和处理一切有关事宜，其法律后果由我方承担。</w:t>
      </w:r>
    </w:p>
    <w:p w14:paraId="006D89DD">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本授权书于</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年</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月</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日签字生效，委托期限：</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w:t>
      </w:r>
    </w:p>
    <w:p w14:paraId="00017C56">
      <w:pPr>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代理人无转委托权。</w:t>
      </w:r>
    </w:p>
    <w:p w14:paraId="52835CC4">
      <w:pPr>
        <w:spacing w:line="360" w:lineRule="auto"/>
        <w:ind w:firstLine="420"/>
        <w:rPr>
          <w:rFonts w:hint="eastAsia" w:ascii="宋体" w:hAnsi="宋体" w:eastAsia="宋体" w:cs="宋体"/>
          <w:color w:val="auto"/>
          <w:szCs w:val="20"/>
          <w:highlight w:val="none"/>
        </w:rPr>
      </w:pPr>
    </w:p>
    <w:p w14:paraId="3A854E78">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投标人（盖单位公章</w:t>
      </w:r>
      <w:r>
        <w:rPr>
          <w:rFonts w:hint="eastAsia" w:ascii="宋体" w:hAnsi="宋体" w:eastAsia="宋体" w:cs="宋体"/>
          <w:color w:val="auto"/>
          <w:szCs w:val="20"/>
          <w:highlight w:val="none"/>
          <w:lang w:val="en-US" w:eastAsia="zh-CN"/>
        </w:rPr>
        <w:t>/电子签章</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 xml:space="preserve">                                    </w:t>
      </w:r>
    </w:p>
    <w:p w14:paraId="4EC3FF5E">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lang w:val="en-US" w:eastAsia="zh-CN"/>
        </w:rPr>
        <w:t>负责</w:t>
      </w:r>
      <w:r>
        <w:rPr>
          <w:rFonts w:hint="eastAsia" w:ascii="宋体" w:hAnsi="宋体" w:eastAsia="宋体" w:cs="宋体"/>
          <w:color w:val="auto"/>
          <w:szCs w:val="20"/>
          <w:highlight w:val="none"/>
        </w:rPr>
        <w:t>人（签字</w:t>
      </w:r>
      <w:r>
        <w:rPr>
          <w:rFonts w:hint="eastAsia" w:ascii="宋体" w:hAnsi="宋体" w:eastAsia="宋体" w:cs="宋体"/>
          <w:color w:val="auto"/>
          <w:szCs w:val="20"/>
          <w:highlight w:val="none"/>
          <w:lang w:val="en-US" w:eastAsia="zh-CN"/>
        </w:rPr>
        <w:t>或盖章</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 xml:space="preserve">                                </w:t>
      </w:r>
    </w:p>
    <w:p w14:paraId="6329F9E7">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lang w:val="en-US" w:eastAsia="zh-CN"/>
        </w:rPr>
        <w:t>负责</w:t>
      </w:r>
      <w:r>
        <w:rPr>
          <w:rFonts w:hint="eastAsia" w:ascii="宋体" w:hAnsi="宋体" w:eastAsia="宋体" w:cs="宋体"/>
          <w:color w:val="auto"/>
          <w:szCs w:val="20"/>
          <w:highlight w:val="none"/>
        </w:rPr>
        <w:t>人身份证号码：</w:t>
      </w:r>
      <w:r>
        <w:rPr>
          <w:rFonts w:hint="eastAsia" w:ascii="宋体" w:hAnsi="宋体" w:eastAsia="宋体" w:cs="宋体"/>
          <w:color w:val="auto"/>
          <w:szCs w:val="20"/>
          <w:highlight w:val="none"/>
          <w:u w:val="single"/>
        </w:rPr>
        <w:t xml:space="preserve">                                   </w:t>
      </w:r>
    </w:p>
    <w:p w14:paraId="603EB46F">
      <w:pPr>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委托代理人（签字）：</w:t>
      </w:r>
      <w:r>
        <w:rPr>
          <w:rFonts w:hint="eastAsia" w:ascii="宋体" w:hAnsi="宋体" w:eastAsia="宋体" w:cs="宋体"/>
          <w:color w:val="auto"/>
          <w:szCs w:val="20"/>
          <w:highlight w:val="none"/>
          <w:u w:val="single"/>
        </w:rPr>
        <w:t xml:space="preserve">                                </w:t>
      </w:r>
    </w:p>
    <w:p w14:paraId="4F396E4F">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委托代理人身份证号码：</w:t>
      </w:r>
      <w:r>
        <w:rPr>
          <w:rFonts w:hint="eastAsia" w:ascii="宋体" w:hAnsi="宋体" w:eastAsia="宋体" w:cs="宋体"/>
          <w:color w:val="auto"/>
          <w:szCs w:val="20"/>
          <w:highlight w:val="none"/>
          <w:u w:val="single"/>
        </w:rPr>
        <w:t xml:space="preserve">                                   </w:t>
      </w:r>
    </w:p>
    <w:p w14:paraId="6C6EF1C9">
      <w:pPr>
        <w:spacing w:line="360" w:lineRule="auto"/>
        <w:ind w:firstLine="420"/>
        <w:rPr>
          <w:rFonts w:hint="eastAsia" w:ascii="宋体" w:hAnsi="宋体" w:eastAsia="宋体" w:cs="宋体"/>
          <w:color w:val="auto"/>
          <w:szCs w:val="20"/>
          <w:highlight w:val="none"/>
          <w:u w:val="single"/>
        </w:rPr>
      </w:pPr>
    </w:p>
    <w:p w14:paraId="4E588C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F8E552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.以联合体形式投标的，本授权委托书应由联合体牵头人的</w:t>
      </w:r>
      <w:r>
        <w:rPr>
          <w:rFonts w:hint="eastAsia" w:ascii="宋体" w:hAnsi="宋体" w:eastAsia="宋体" w:cs="宋体"/>
          <w:color w:val="auto"/>
          <w:szCs w:val="20"/>
          <w:highlight w:val="none"/>
          <w:lang w:val="en-US" w:eastAsia="zh-CN"/>
        </w:rPr>
        <w:t>负责</w:t>
      </w:r>
      <w:r>
        <w:rPr>
          <w:rFonts w:hint="eastAsia" w:ascii="宋体" w:hAnsi="宋体" w:eastAsia="宋体" w:cs="宋体"/>
          <w:color w:val="auto"/>
          <w:szCs w:val="20"/>
          <w:highlight w:val="none"/>
        </w:rPr>
        <w:t>人</w:t>
      </w:r>
      <w:r>
        <w:rPr>
          <w:rFonts w:hint="eastAsia" w:ascii="宋体" w:hAnsi="宋体" w:eastAsia="宋体" w:cs="宋体"/>
          <w:color w:val="auto"/>
          <w:szCs w:val="21"/>
          <w:highlight w:val="none"/>
        </w:rPr>
        <w:t>按上述规定签署。</w:t>
      </w:r>
    </w:p>
    <w:p w14:paraId="2CB374F6">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.供应商为其他组织或者自然人时，本招标文件规定的负责人指</w:t>
      </w:r>
      <w:r>
        <w:rPr>
          <w:rFonts w:hint="eastAsia" w:ascii="宋体" w:hAnsi="宋体" w:eastAsia="宋体" w:cs="宋体"/>
          <w:color w:val="auto"/>
          <w:szCs w:val="21"/>
          <w:highlight w:val="none"/>
          <w:lang w:val="en-US" w:eastAsia="zh-CN"/>
        </w:rPr>
        <w:t>分支机构的</w:t>
      </w:r>
      <w:r>
        <w:rPr>
          <w:rFonts w:hint="eastAsia" w:ascii="宋体" w:hAnsi="宋体" w:eastAsia="宋体" w:cs="宋体"/>
          <w:color w:val="auto"/>
          <w:szCs w:val="21"/>
          <w:highlight w:val="none"/>
        </w:rPr>
        <w:t>负责人或者自然人。本招标文件所称负责人是指参加投标的其他组织营业执照上的负责人，本招标文件所称自然人指参与投标的自然人本人。</w:t>
      </w:r>
    </w:p>
    <w:p w14:paraId="34A6F4F3">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.若为联合体投标须各方签字或盖章。</w:t>
      </w:r>
    </w:p>
    <w:p w14:paraId="3CC349C7">
      <w:pP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309CB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3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F3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0" w:hRule="atLeast"/>
        </w:trPr>
        <w:tc>
          <w:tcPr>
            <w:tcW w:w="7985" w:type="dxa"/>
            <w:noWrap w:val="0"/>
            <w:vAlign w:val="top"/>
          </w:tcPr>
          <w:p w14:paraId="42E0881A">
            <w:pPr>
              <w:spacing w:line="360" w:lineRule="auto"/>
              <w:rPr>
                <w:rFonts w:hint="eastAsia" w:ascii="宋体" w:hAnsi="宋体" w:eastAsia="宋体" w:cs="宋体"/>
                <w:b/>
                <w:color w:val="auto"/>
                <w:sz w:val="24"/>
                <w:highlight w:val="none"/>
              </w:rPr>
            </w:pPr>
          </w:p>
          <w:p w14:paraId="4F2D400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044BE196">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8A1EFA4">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112657EE">
      <w:pPr>
        <w:snapToGrid w:val="0"/>
        <w:spacing w:before="50"/>
        <w:jc w:val="left"/>
        <w:rPr>
          <w:rFonts w:hint="eastAsia" w:ascii="宋体" w:hAnsi="宋体" w:eastAsia="宋体" w:cs="宋体"/>
          <w:color w:val="auto"/>
          <w:sz w:val="24"/>
          <w:highlight w:val="none"/>
        </w:rPr>
      </w:pPr>
    </w:p>
    <w:p w14:paraId="26FD06FB">
      <w:pPr>
        <w:spacing w:line="360" w:lineRule="auto"/>
        <w:ind w:left="-424" w:leftChars="-202" w:firstLine="846"/>
        <w:rPr>
          <w:rFonts w:hint="eastAsia" w:ascii="宋体" w:hAnsi="宋体" w:eastAsia="宋体" w:cs="宋体"/>
          <w:color w:val="auto"/>
          <w:sz w:val="24"/>
          <w:highlight w:val="none"/>
        </w:rPr>
      </w:pPr>
      <w:r>
        <w:rPr>
          <w:rFonts w:hint="eastAsia" w:ascii="宋体" w:hAnsi="宋体" w:eastAsia="宋体" w:cs="宋体"/>
          <w:color w:val="auto"/>
          <w:szCs w:val="20"/>
          <w:highlight w:val="none"/>
        </w:rPr>
        <w:t>请逐条对应本项目招标文件第二章“采购需求”中“商务条款”的要求，详细填写相应的具体内容。“偏离说明”一栏应当选择“正偏离</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负偏离”或“无偏离”进行填写。</w:t>
      </w:r>
    </w:p>
    <w:tbl>
      <w:tblPr>
        <w:tblStyle w:val="3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16D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A90692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86E212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招标文件的商务条款要求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4A2E8E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FD3020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256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4B99AC">
            <w:pPr>
              <w:spacing w:line="340" w:lineRule="exact"/>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top"/>
          </w:tcPr>
          <w:p w14:paraId="15414B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87E231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77B7B8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4EC1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E3596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F2200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AEFE8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6199D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D964EAB">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1647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3312CE">
            <w:pPr>
              <w:spacing w:line="340" w:lineRule="exact"/>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top"/>
          </w:tcPr>
          <w:p w14:paraId="6E6DF3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577AB3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3F23E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F166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415FA7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56E08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9A7F67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2BD37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AE24F6A">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594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D772376">
            <w:pPr>
              <w:spacing w:line="340" w:lineRule="exact"/>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top"/>
          </w:tcPr>
          <w:p w14:paraId="1636AB9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22C225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F864FB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83C560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A0DF4C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EFB7CD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BABF69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CC3852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6E5D22A">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63FA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1703C3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124292AC">
      <w:pPr>
        <w:spacing w:line="360" w:lineRule="auto"/>
        <w:ind w:left="-708" w:leftChars="-337"/>
        <w:rPr>
          <w:rFonts w:hint="eastAsia" w:ascii="宋体" w:hAnsi="宋体" w:eastAsia="宋体" w:cs="宋体"/>
          <w:color w:val="auto"/>
          <w:szCs w:val="20"/>
          <w:highlight w:val="none"/>
        </w:rPr>
      </w:pPr>
    </w:p>
    <w:p w14:paraId="5C65828A">
      <w:pPr>
        <w:spacing w:line="360" w:lineRule="auto"/>
        <w:ind w:left="-708" w:leftChars="-337"/>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w:t>
      </w:r>
    </w:p>
    <w:p w14:paraId="375137CB">
      <w:pPr>
        <w:spacing w:line="360" w:lineRule="auto"/>
        <w:ind w:left="-708" w:leftChars="-337"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1.表格内容均需按要求填写并盖章，不得留空，否则按投标无效处理。</w:t>
      </w:r>
    </w:p>
    <w:p w14:paraId="42F3A12D">
      <w:pPr>
        <w:spacing w:line="360" w:lineRule="auto"/>
        <w:ind w:left="-603" w:leftChars="-287" w:firstLine="315" w:firstLineChars="150"/>
        <w:rPr>
          <w:rFonts w:hint="eastAsia" w:ascii="宋体" w:hAnsi="宋体" w:eastAsia="宋体" w:cs="宋体"/>
          <w:color w:val="auto"/>
          <w:szCs w:val="20"/>
          <w:highlight w:val="none"/>
        </w:rPr>
      </w:pPr>
      <w:r>
        <w:rPr>
          <w:rFonts w:hint="eastAsia" w:ascii="宋体" w:hAnsi="宋体" w:eastAsia="宋体" w:cs="宋体"/>
          <w:color w:val="auto"/>
          <w:szCs w:val="20"/>
          <w:highlight w:val="none"/>
        </w:rPr>
        <w:t>2.如果招标文件需求为小于或大于某个数值标准时，投标文件承诺不得直接复制招标文件需求，投标文件承诺内容应当写明投标服务具体参数或商务响应承诺的具体数值，否则按投标无效处理。</w:t>
      </w:r>
    </w:p>
    <w:p w14:paraId="78F24D65">
      <w:pPr>
        <w:spacing w:line="360" w:lineRule="auto"/>
        <w:ind w:left="-708" w:leftChars="-337"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3.当投标文件的商务内容低于招标文件要求时，投标人应当如实写明“负偏离”，否则视为虚假应标。</w:t>
      </w:r>
    </w:p>
    <w:p w14:paraId="0FD5A303">
      <w:pPr>
        <w:spacing w:line="360" w:lineRule="auto"/>
        <w:ind w:left="-708" w:leftChars="-33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4.采购需求中带“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”的条款，也要分别在本表“投标文件的商务需求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投标文件承诺的商务条款”中标记。</w:t>
      </w:r>
    </w:p>
    <w:p w14:paraId="34262287">
      <w:pPr>
        <w:snapToGrid w:val="0"/>
        <w:spacing w:before="50" w:after="50"/>
        <w:rPr>
          <w:rFonts w:hint="eastAsia" w:ascii="宋体" w:hAnsi="宋体" w:eastAsia="宋体" w:cs="宋体"/>
          <w:color w:val="auto"/>
          <w:sz w:val="21"/>
          <w:szCs w:val="21"/>
          <w:highlight w:val="none"/>
        </w:rPr>
      </w:pPr>
    </w:p>
    <w:p w14:paraId="2693E1C6">
      <w:pPr>
        <w:snapToGrid w:val="0"/>
        <w:spacing w:line="360" w:lineRule="auto"/>
        <w:ind w:firstLine="4935" w:firstLineChars="23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p>
    <w:p w14:paraId="5DC3687C">
      <w:pPr>
        <w:snapToGrid w:val="0"/>
        <w:spacing w:line="360" w:lineRule="auto"/>
        <w:ind w:firstLine="5145" w:firstLineChars="24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6F7F3C87">
      <w:pPr>
        <w:snapToGrid w:val="0"/>
        <w:spacing w:before="165" w:beforeLines="50" w:after="50"/>
        <w:ind w:firstLine="420" w:firstLineChars="200"/>
        <w:jc w:val="center"/>
        <w:rPr>
          <w:rFonts w:hint="eastAsia" w:ascii="宋体" w:hAnsi="宋体" w:eastAsia="宋体" w:cs="宋体"/>
          <w:b/>
          <w:bCs/>
          <w:color w:val="auto"/>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投标保证金缴纳证明</w:t>
      </w:r>
    </w:p>
    <w:p w14:paraId="2FCC2FD2">
      <w:pPr>
        <w:widowControl w:val="0"/>
        <w:numPr>
          <w:ilvl w:val="0"/>
          <w:numId w:val="0"/>
        </w:numPr>
        <w:snapToGrid w:val="0"/>
        <w:spacing w:before="165" w:beforeLines="50" w:after="50"/>
        <w:jc w:val="center"/>
        <w:rPr>
          <w:rFonts w:hint="eastAsia" w:ascii="宋体" w:hAnsi="宋体" w:eastAsia="宋体" w:cs="宋体"/>
          <w:b/>
          <w:bCs/>
          <w:color w:val="auto"/>
          <w:sz w:val="30"/>
          <w:szCs w:val="30"/>
          <w:highlight w:val="none"/>
        </w:rPr>
      </w:pPr>
    </w:p>
    <w:p w14:paraId="36138FCC">
      <w:pPr>
        <w:widowControl w:val="0"/>
        <w:numPr>
          <w:ilvl w:val="0"/>
          <w:numId w:val="0"/>
        </w:numPr>
        <w:snapToGrid w:val="0"/>
        <w:spacing w:before="165" w:beforeLines="50" w:after="50"/>
        <w:jc w:val="center"/>
        <w:rPr>
          <w:rFonts w:hint="eastAsia" w:ascii="宋体" w:hAnsi="宋体" w:eastAsia="宋体" w:cs="宋体"/>
          <w:b/>
          <w:bCs/>
          <w:color w:val="auto"/>
          <w:sz w:val="30"/>
          <w:szCs w:val="30"/>
          <w:highlight w:val="none"/>
        </w:rPr>
      </w:pPr>
    </w:p>
    <w:p w14:paraId="17A3AF2A">
      <w:pPr>
        <w:widowControl w:val="0"/>
        <w:numPr>
          <w:ilvl w:val="0"/>
          <w:numId w:val="0"/>
        </w:numPr>
        <w:snapToGrid w:val="0"/>
        <w:spacing w:before="165" w:beforeLines="50" w:after="50"/>
        <w:jc w:val="center"/>
        <w:rPr>
          <w:rFonts w:hint="eastAsia" w:ascii="宋体" w:hAnsi="宋体" w:eastAsia="宋体" w:cs="宋体"/>
          <w:b/>
          <w:bCs/>
          <w:color w:val="auto"/>
          <w:sz w:val="30"/>
          <w:szCs w:val="30"/>
          <w:highlight w:val="none"/>
        </w:rPr>
      </w:pPr>
    </w:p>
    <w:p w14:paraId="1D1FF440">
      <w:pPr>
        <w:numPr>
          <w:ilvl w:val="0"/>
          <w:numId w:val="3"/>
        </w:num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投标人情况介绍</w:t>
      </w:r>
    </w:p>
    <w:p w14:paraId="00126B18">
      <w:pPr>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4E90C2A4">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0A37C1C">
      <w:pPr>
        <w:snapToGrid w:val="0"/>
        <w:spacing w:line="360" w:lineRule="auto"/>
        <w:ind w:firstLine="4935" w:firstLineChars="2350"/>
        <w:rPr>
          <w:rFonts w:hint="eastAsia" w:ascii="宋体" w:hAnsi="宋体" w:eastAsia="宋体" w:cs="宋体"/>
          <w:color w:val="auto"/>
          <w:szCs w:val="21"/>
          <w:highlight w:val="none"/>
        </w:rPr>
      </w:pPr>
    </w:p>
    <w:p w14:paraId="309845E5">
      <w:pPr>
        <w:snapToGrid w:val="0"/>
        <w:spacing w:line="360" w:lineRule="auto"/>
        <w:ind w:firstLine="4935" w:firstLineChars="2350"/>
        <w:rPr>
          <w:rFonts w:hint="eastAsia" w:ascii="宋体" w:hAnsi="宋体" w:eastAsia="宋体" w:cs="宋体"/>
          <w:color w:val="auto"/>
          <w:szCs w:val="21"/>
          <w:highlight w:val="none"/>
        </w:rPr>
      </w:pPr>
    </w:p>
    <w:p w14:paraId="4D716185">
      <w:pPr>
        <w:snapToGrid w:val="0"/>
        <w:spacing w:line="360" w:lineRule="auto"/>
        <w:ind w:firstLine="4935" w:firstLineChars="2350"/>
        <w:rPr>
          <w:rFonts w:hint="eastAsia" w:ascii="宋体" w:hAnsi="宋体" w:eastAsia="宋体" w:cs="宋体"/>
          <w:color w:val="auto"/>
          <w:szCs w:val="21"/>
          <w:highlight w:val="none"/>
        </w:rPr>
      </w:pPr>
    </w:p>
    <w:p w14:paraId="127459B3">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D0212C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9D7519">
      <w:pPr>
        <w:snapToGrid w:val="0"/>
        <w:spacing w:before="165" w:beforeLines="50" w:after="50"/>
        <w:ind w:firstLine="602" w:firstLineChars="200"/>
        <w:jc w:val="center"/>
        <w:rPr>
          <w:rFonts w:hint="eastAsia" w:ascii="宋体" w:hAnsi="宋体" w:eastAsia="宋体" w:cs="宋体"/>
          <w:b/>
          <w:bCs/>
          <w:color w:val="auto"/>
          <w:sz w:val="30"/>
          <w:szCs w:val="30"/>
          <w:highlight w:val="none"/>
        </w:rPr>
      </w:pPr>
    </w:p>
    <w:p w14:paraId="1D14F60D">
      <w:pPr>
        <w:snapToGrid w:val="0"/>
        <w:spacing w:before="165" w:beforeLines="50" w:after="50"/>
        <w:ind w:firstLine="602" w:firstLineChars="200"/>
        <w:jc w:val="center"/>
        <w:rPr>
          <w:rFonts w:hint="eastAsia" w:ascii="宋体" w:hAnsi="宋体" w:eastAsia="宋体" w:cs="宋体"/>
          <w:b/>
          <w:bCs/>
          <w:color w:val="auto"/>
          <w:sz w:val="30"/>
          <w:szCs w:val="30"/>
          <w:highlight w:val="none"/>
        </w:rPr>
        <w:sectPr>
          <w:footerReference r:id="rId14" w:type="first"/>
          <w:headerReference r:id="rId11" w:type="default"/>
          <w:footerReference r:id="rId12" w:type="default"/>
          <w:footerReference r:id="rId13" w:type="even"/>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2A34EB49">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、投标人类似的业绩证明文件（如有）</w:t>
      </w:r>
    </w:p>
    <w:p w14:paraId="7626203D">
      <w:pPr>
        <w:snapToGrid w:val="0"/>
        <w:ind w:left="480" w:hanging="480" w:hangingChars="200"/>
        <w:rPr>
          <w:rFonts w:hint="eastAsia" w:ascii="宋体" w:hAnsi="宋体" w:eastAsia="宋体" w:cs="宋体"/>
          <w:color w:val="auto"/>
          <w:sz w:val="24"/>
          <w:highlight w:val="none"/>
        </w:rPr>
      </w:pPr>
    </w:p>
    <w:p w14:paraId="243673DF">
      <w:pPr>
        <w:snapToGrid w:val="0"/>
        <w:ind w:left="480" w:hanging="480" w:hangingChars="200"/>
        <w:rPr>
          <w:rFonts w:hint="eastAsia" w:ascii="宋体" w:hAnsi="宋体" w:eastAsia="宋体" w:cs="宋体"/>
          <w:color w:val="auto"/>
          <w:sz w:val="24"/>
          <w:highlight w:val="none"/>
        </w:rPr>
      </w:pPr>
    </w:p>
    <w:p w14:paraId="5C1E6E5B">
      <w:pPr>
        <w:snapToGrid w:val="0"/>
        <w:ind w:left="480" w:hanging="480" w:hangingChars="200"/>
        <w:rPr>
          <w:rFonts w:hint="eastAsia" w:ascii="宋体" w:hAnsi="宋体" w:eastAsia="宋体" w:cs="宋体"/>
          <w:color w:val="auto"/>
          <w:sz w:val="24"/>
          <w:highlight w:val="none"/>
        </w:rPr>
      </w:pPr>
    </w:p>
    <w:p w14:paraId="6EF0219A">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相关项目业绩一览表</w:t>
      </w:r>
    </w:p>
    <w:tbl>
      <w:tblPr>
        <w:tblStyle w:val="35"/>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54"/>
        <w:gridCol w:w="2741"/>
        <w:gridCol w:w="2286"/>
        <w:gridCol w:w="2469"/>
      </w:tblGrid>
      <w:tr w14:paraId="54917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atLeast"/>
        </w:trPr>
        <w:tc>
          <w:tcPr>
            <w:tcW w:w="1195" w:type="pct"/>
            <w:vMerge w:val="restart"/>
            <w:tcBorders>
              <w:top w:val="single" w:color="auto" w:sz="4" w:space="0"/>
              <w:left w:val="single" w:color="auto" w:sz="4" w:space="0"/>
              <w:bottom w:val="single" w:color="auto" w:sz="4" w:space="0"/>
              <w:right w:val="single" w:color="auto" w:sz="4" w:space="0"/>
            </w:tcBorders>
            <w:noWrap w:val="0"/>
            <w:vAlign w:val="center"/>
          </w:tcPr>
          <w:p w14:paraId="7EC7086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391" w:type="pct"/>
            <w:vMerge w:val="restart"/>
            <w:tcBorders>
              <w:top w:val="single" w:color="auto" w:sz="4" w:space="0"/>
              <w:left w:val="single" w:color="auto" w:sz="4" w:space="0"/>
              <w:bottom w:val="single" w:color="auto" w:sz="4" w:space="0"/>
              <w:right w:val="single" w:color="auto" w:sz="4" w:space="0"/>
            </w:tcBorders>
            <w:noWrap w:val="0"/>
            <w:vAlign w:val="center"/>
          </w:tcPr>
          <w:p w14:paraId="64CE940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60" w:type="pct"/>
            <w:vMerge w:val="restart"/>
            <w:tcBorders>
              <w:top w:val="single" w:color="auto" w:sz="4" w:space="0"/>
              <w:left w:val="single" w:color="auto" w:sz="4" w:space="0"/>
              <w:bottom w:val="single" w:color="auto" w:sz="4" w:space="0"/>
              <w:right w:val="single" w:color="auto" w:sz="4" w:space="0"/>
            </w:tcBorders>
            <w:noWrap w:val="0"/>
            <w:vAlign w:val="center"/>
          </w:tcPr>
          <w:p w14:paraId="4FF38D9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p w14:paraId="457D069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253" w:type="pct"/>
            <w:vMerge w:val="restart"/>
            <w:tcBorders>
              <w:top w:val="single" w:color="auto" w:sz="4" w:space="0"/>
              <w:left w:val="single" w:color="auto" w:sz="4" w:space="0"/>
              <w:bottom w:val="single" w:color="auto" w:sz="4" w:space="0"/>
              <w:right w:val="single" w:color="auto" w:sz="4" w:space="0"/>
            </w:tcBorders>
            <w:noWrap w:val="0"/>
            <w:vAlign w:val="center"/>
          </w:tcPr>
          <w:p w14:paraId="574303A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72DE6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95" w:type="pct"/>
            <w:vMerge w:val="continue"/>
            <w:tcBorders>
              <w:top w:val="single" w:color="auto" w:sz="4" w:space="0"/>
              <w:left w:val="single" w:color="auto" w:sz="4" w:space="0"/>
              <w:bottom w:val="single" w:color="auto" w:sz="4" w:space="0"/>
              <w:right w:val="single" w:color="auto" w:sz="4" w:space="0"/>
            </w:tcBorders>
            <w:noWrap w:val="0"/>
            <w:vAlign w:val="center"/>
          </w:tcPr>
          <w:p w14:paraId="67D2B842">
            <w:pPr>
              <w:jc w:val="left"/>
              <w:rPr>
                <w:rFonts w:hint="eastAsia" w:ascii="宋体" w:hAnsi="宋体" w:eastAsia="宋体" w:cs="宋体"/>
                <w:color w:val="auto"/>
                <w:sz w:val="24"/>
                <w:highlight w:val="none"/>
              </w:rPr>
            </w:pPr>
          </w:p>
        </w:tc>
        <w:tc>
          <w:tcPr>
            <w:tcW w:w="1391" w:type="pct"/>
            <w:vMerge w:val="continue"/>
            <w:tcBorders>
              <w:top w:val="single" w:color="auto" w:sz="4" w:space="0"/>
              <w:left w:val="single" w:color="auto" w:sz="4" w:space="0"/>
              <w:bottom w:val="single" w:color="auto" w:sz="4" w:space="0"/>
              <w:right w:val="single" w:color="auto" w:sz="4" w:space="0"/>
            </w:tcBorders>
            <w:noWrap w:val="0"/>
            <w:vAlign w:val="center"/>
          </w:tcPr>
          <w:p w14:paraId="1086A36C">
            <w:pPr>
              <w:jc w:val="left"/>
              <w:rPr>
                <w:rFonts w:hint="eastAsia" w:ascii="宋体" w:hAnsi="宋体" w:eastAsia="宋体" w:cs="宋体"/>
                <w:color w:val="auto"/>
                <w:sz w:val="24"/>
                <w:highlight w:val="none"/>
              </w:rPr>
            </w:pPr>
          </w:p>
        </w:tc>
        <w:tc>
          <w:tcPr>
            <w:tcW w:w="1160" w:type="pct"/>
            <w:vMerge w:val="continue"/>
            <w:tcBorders>
              <w:top w:val="single" w:color="auto" w:sz="4" w:space="0"/>
              <w:left w:val="single" w:color="auto" w:sz="4" w:space="0"/>
              <w:bottom w:val="single" w:color="auto" w:sz="4" w:space="0"/>
              <w:right w:val="single" w:color="auto" w:sz="4" w:space="0"/>
            </w:tcBorders>
            <w:noWrap w:val="0"/>
            <w:vAlign w:val="center"/>
          </w:tcPr>
          <w:p w14:paraId="616B84E4">
            <w:pPr>
              <w:jc w:val="left"/>
              <w:rPr>
                <w:rFonts w:hint="eastAsia" w:ascii="宋体" w:hAnsi="宋体" w:eastAsia="宋体" w:cs="宋体"/>
                <w:color w:val="auto"/>
                <w:sz w:val="24"/>
                <w:highlight w:val="none"/>
              </w:rPr>
            </w:pPr>
          </w:p>
        </w:tc>
        <w:tc>
          <w:tcPr>
            <w:tcW w:w="1253" w:type="pct"/>
            <w:vMerge w:val="continue"/>
            <w:tcBorders>
              <w:top w:val="single" w:color="auto" w:sz="4" w:space="0"/>
              <w:left w:val="single" w:color="auto" w:sz="4" w:space="0"/>
              <w:bottom w:val="single" w:color="auto" w:sz="4" w:space="0"/>
              <w:right w:val="single" w:color="auto" w:sz="4" w:space="0"/>
            </w:tcBorders>
            <w:noWrap w:val="0"/>
            <w:vAlign w:val="center"/>
          </w:tcPr>
          <w:p w14:paraId="2F5C5EC0">
            <w:pPr>
              <w:jc w:val="left"/>
              <w:rPr>
                <w:rFonts w:hint="eastAsia" w:ascii="宋体" w:hAnsi="宋体" w:eastAsia="宋体" w:cs="宋体"/>
                <w:color w:val="auto"/>
                <w:sz w:val="24"/>
                <w:highlight w:val="none"/>
              </w:rPr>
            </w:pPr>
          </w:p>
        </w:tc>
      </w:tr>
      <w:tr w14:paraId="7D165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95" w:type="pct"/>
            <w:tcBorders>
              <w:top w:val="single" w:color="auto" w:sz="4" w:space="0"/>
              <w:left w:val="single" w:color="auto" w:sz="4" w:space="0"/>
              <w:bottom w:val="single" w:color="auto" w:sz="4" w:space="0"/>
              <w:right w:val="single" w:color="auto" w:sz="4" w:space="0"/>
            </w:tcBorders>
            <w:noWrap w:val="0"/>
            <w:vAlign w:val="top"/>
          </w:tcPr>
          <w:p w14:paraId="68234F07">
            <w:pPr>
              <w:snapToGrid w:val="0"/>
              <w:spacing w:line="240" w:lineRule="exact"/>
              <w:jc w:val="left"/>
              <w:rPr>
                <w:rFonts w:hint="eastAsia" w:ascii="宋体" w:hAnsi="宋体" w:eastAsia="宋体" w:cs="宋体"/>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6EFBC1CE">
            <w:pPr>
              <w:snapToGrid w:val="0"/>
              <w:spacing w:line="240" w:lineRule="exact"/>
              <w:jc w:val="left"/>
              <w:rPr>
                <w:rFonts w:hint="eastAsia" w:ascii="宋体" w:hAnsi="宋体" w:eastAsia="宋体" w:cs="宋体"/>
                <w:color w:val="auto"/>
                <w:sz w:val="24"/>
                <w:highlight w:val="none"/>
              </w:rPr>
            </w:pPr>
          </w:p>
        </w:tc>
        <w:tc>
          <w:tcPr>
            <w:tcW w:w="1160" w:type="pct"/>
            <w:tcBorders>
              <w:top w:val="single" w:color="auto" w:sz="4" w:space="0"/>
              <w:left w:val="single" w:color="auto" w:sz="4" w:space="0"/>
              <w:bottom w:val="single" w:color="auto" w:sz="4" w:space="0"/>
              <w:right w:val="single" w:color="auto" w:sz="4" w:space="0"/>
            </w:tcBorders>
            <w:noWrap w:val="0"/>
            <w:vAlign w:val="top"/>
          </w:tcPr>
          <w:p w14:paraId="3A4B96E7">
            <w:pPr>
              <w:snapToGrid w:val="0"/>
              <w:spacing w:line="240" w:lineRule="exact"/>
              <w:jc w:val="left"/>
              <w:rPr>
                <w:rFonts w:hint="eastAsia" w:ascii="宋体" w:hAnsi="宋体" w:eastAsia="宋体" w:cs="宋体"/>
                <w:color w:val="auto"/>
                <w:sz w:val="24"/>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top"/>
          </w:tcPr>
          <w:p w14:paraId="51B9DEC4">
            <w:pPr>
              <w:snapToGrid w:val="0"/>
              <w:spacing w:line="240" w:lineRule="exact"/>
              <w:jc w:val="left"/>
              <w:rPr>
                <w:rFonts w:hint="eastAsia" w:ascii="宋体" w:hAnsi="宋体" w:eastAsia="宋体" w:cs="宋体"/>
                <w:color w:val="auto"/>
                <w:sz w:val="24"/>
                <w:highlight w:val="none"/>
              </w:rPr>
            </w:pPr>
          </w:p>
        </w:tc>
      </w:tr>
      <w:tr w14:paraId="4C893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195" w:type="pct"/>
            <w:tcBorders>
              <w:top w:val="single" w:color="auto" w:sz="4" w:space="0"/>
              <w:left w:val="single" w:color="auto" w:sz="4" w:space="0"/>
              <w:bottom w:val="single" w:color="auto" w:sz="4" w:space="0"/>
              <w:right w:val="single" w:color="auto" w:sz="4" w:space="0"/>
            </w:tcBorders>
            <w:noWrap w:val="0"/>
            <w:vAlign w:val="top"/>
          </w:tcPr>
          <w:p w14:paraId="502818FF">
            <w:pPr>
              <w:snapToGrid w:val="0"/>
              <w:spacing w:before="50" w:after="120" w:afterLines="50" w:line="400" w:lineRule="exact"/>
              <w:jc w:val="left"/>
              <w:rPr>
                <w:rFonts w:hint="eastAsia" w:ascii="宋体" w:hAnsi="宋体" w:eastAsia="宋体" w:cs="宋体"/>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5D5671E2">
            <w:pPr>
              <w:snapToGrid w:val="0"/>
              <w:spacing w:before="50" w:after="120" w:afterLines="50" w:line="400" w:lineRule="exact"/>
              <w:jc w:val="left"/>
              <w:rPr>
                <w:rFonts w:hint="eastAsia" w:ascii="宋体" w:hAnsi="宋体" w:eastAsia="宋体" w:cs="宋体"/>
                <w:color w:val="auto"/>
                <w:sz w:val="24"/>
                <w:highlight w:val="none"/>
              </w:rPr>
            </w:pPr>
          </w:p>
        </w:tc>
        <w:tc>
          <w:tcPr>
            <w:tcW w:w="1160" w:type="pct"/>
            <w:tcBorders>
              <w:top w:val="single" w:color="auto" w:sz="4" w:space="0"/>
              <w:left w:val="single" w:color="auto" w:sz="4" w:space="0"/>
              <w:bottom w:val="single" w:color="auto" w:sz="4" w:space="0"/>
              <w:right w:val="single" w:color="auto" w:sz="4" w:space="0"/>
            </w:tcBorders>
            <w:noWrap w:val="0"/>
            <w:vAlign w:val="top"/>
          </w:tcPr>
          <w:p w14:paraId="10A93135">
            <w:pPr>
              <w:snapToGrid w:val="0"/>
              <w:spacing w:before="50" w:after="120" w:afterLines="50" w:line="400" w:lineRule="exact"/>
              <w:jc w:val="left"/>
              <w:rPr>
                <w:rFonts w:hint="eastAsia" w:ascii="宋体" w:hAnsi="宋体" w:eastAsia="宋体" w:cs="宋体"/>
                <w:color w:val="auto"/>
                <w:sz w:val="24"/>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top"/>
          </w:tcPr>
          <w:p w14:paraId="66963655">
            <w:pPr>
              <w:snapToGrid w:val="0"/>
              <w:spacing w:before="50" w:after="120" w:afterLines="50" w:line="400" w:lineRule="exact"/>
              <w:jc w:val="left"/>
              <w:rPr>
                <w:rFonts w:hint="eastAsia" w:ascii="宋体" w:hAnsi="宋体" w:eastAsia="宋体" w:cs="宋体"/>
                <w:color w:val="auto"/>
                <w:sz w:val="24"/>
                <w:highlight w:val="none"/>
              </w:rPr>
            </w:pPr>
          </w:p>
        </w:tc>
      </w:tr>
      <w:tr w14:paraId="5D321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95" w:type="pct"/>
            <w:tcBorders>
              <w:top w:val="single" w:color="auto" w:sz="4" w:space="0"/>
              <w:left w:val="single" w:color="auto" w:sz="4" w:space="0"/>
              <w:bottom w:val="single" w:color="auto" w:sz="4" w:space="0"/>
              <w:right w:val="single" w:color="auto" w:sz="4" w:space="0"/>
            </w:tcBorders>
            <w:noWrap w:val="0"/>
            <w:vAlign w:val="top"/>
          </w:tcPr>
          <w:p w14:paraId="31F71ECC">
            <w:pPr>
              <w:snapToGrid w:val="0"/>
              <w:spacing w:before="50" w:after="120" w:afterLines="50" w:line="400" w:lineRule="exact"/>
              <w:jc w:val="left"/>
              <w:rPr>
                <w:rFonts w:hint="eastAsia" w:ascii="宋体" w:hAnsi="宋体" w:eastAsia="宋体" w:cs="宋体"/>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638DFC76">
            <w:pPr>
              <w:snapToGrid w:val="0"/>
              <w:spacing w:before="50" w:after="120" w:afterLines="50" w:line="400" w:lineRule="exact"/>
              <w:jc w:val="left"/>
              <w:rPr>
                <w:rFonts w:hint="eastAsia" w:ascii="宋体" w:hAnsi="宋体" w:eastAsia="宋体" w:cs="宋体"/>
                <w:color w:val="auto"/>
                <w:sz w:val="24"/>
                <w:highlight w:val="none"/>
              </w:rPr>
            </w:pPr>
          </w:p>
        </w:tc>
        <w:tc>
          <w:tcPr>
            <w:tcW w:w="1160" w:type="pct"/>
            <w:tcBorders>
              <w:top w:val="single" w:color="auto" w:sz="4" w:space="0"/>
              <w:left w:val="single" w:color="auto" w:sz="4" w:space="0"/>
              <w:bottom w:val="single" w:color="auto" w:sz="4" w:space="0"/>
              <w:right w:val="single" w:color="auto" w:sz="4" w:space="0"/>
            </w:tcBorders>
            <w:noWrap w:val="0"/>
            <w:vAlign w:val="top"/>
          </w:tcPr>
          <w:p w14:paraId="03A90A9A">
            <w:pPr>
              <w:snapToGrid w:val="0"/>
              <w:spacing w:before="50" w:after="120" w:afterLines="50" w:line="400" w:lineRule="exact"/>
              <w:jc w:val="left"/>
              <w:rPr>
                <w:rFonts w:hint="eastAsia" w:ascii="宋体" w:hAnsi="宋体" w:eastAsia="宋体" w:cs="宋体"/>
                <w:color w:val="auto"/>
                <w:sz w:val="24"/>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top"/>
          </w:tcPr>
          <w:p w14:paraId="7E480FBD">
            <w:pPr>
              <w:snapToGrid w:val="0"/>
              <w:spacing w:before="50" w:after="120" w:afterLines="50" w:line="400" w:lineRule="exact"/>
              <w:jc w:val="left"/>
              <w:rPr>
                <w:rFonts w:hint="eastAsia" w:ascii="宋体" w:hAnsi="宋体" w:eastAsia="宋体" w:cs="宋体"/>
                <w:color w:val="auto"/>
                <w:sz w:val="24"/>
                <w:highlight w:val="none"/>
              </w:rPr>
            </w:pPr>
          </w:p>
        </w:tc>
      </w:tr>
      <w:tr w14:paraId="28EE0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95" w:type="pct"/>
            <w:tcBorders>
              <w:top w:val="single" w:color="auto" w:sz="4" w:space="0"/>
              <w:left w:val="single" w:color="auto" w:sz="4" w:space="0"/>
              <w:bottom w:val="single" w:color="auto" w:sz="4" w:space="0"/>
              <w:right w:val="single" w:color="auto" w:sz="4" w:space="0"/>
            </w:tcBorders>
            <w:noWrap w:val="0"/>
            <w:vAlign w:val="top"/>
          </w:tcPr>
          <w:p w14:paraId="2DB0BF59">
            <w:pPr>
              <w:snapToGrid w:val="0"/>
              <w:spacing w:before="50" w:after="120" w:afterLines="50" w:line="400" w:lineRule="exact"/>
              <w:jc w:val="left"/>
              <w:rPr>
                <w:rFonts w:hint="eastAsia" w:ascii="宋体" w:hAnsi="宋体" w:eastAsia="宋体" w:cs="宋体"/>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66D5748F">
            <w:pPr>
              <w:snapToGrid w:val="0"/>
              <w:spacing w:before="50" w:after="120" w:afterLines="50" w:line="400" w:lineRule="exact"/>
              <w:jc w:val="left"/>
              <w:rPr>
                <w:rFonts w:hint="eastAsia" w:ascii="宋体" w:hAnsi="宋体" w:eastAsia="宋体" w:cs="宋体"/>
                <w:color w:val="auto"/>
                <w:sz w:val="24"/>
                <w:highlight w:val="none"/>
              </w:rPr>
            </w:pPr>
          </w:p>
        </w:tc>
        <w:tc>
          <w:tcPr>
            <w:tcW w:w="1160" w:type="pct"/>
            <w:tcBorders>
              <w:top w:val="single" w:color="auto" w:sz="4" w:space="0"/>
              <w:left w:val="single" w:color="auto" w:sz="4" w:space="0"/>
              <w:bottom w:val="single" w:color="auto" w:sz="4" w:space="0"/>
              <w:right w:val="single" w:color="auto" w:sz="4" w:space="0"/>
            </w:tcBorders>
            <w:noWrap w:val="0"/>
            <w:vAlign w:val="top"/>
          </w:tcPr>
          <w:p w14:paraId="1CAAC531">
            <w:pPr>
              <w:snapToGrid w:val="0"/>
              <w:spacing w:before="50" w:after="120" w:afterLines="50" w:line="400" w:lineRule="exact"/>
              <w:jc w:val="left"/>
              <w:rPr>
                <w:rFonts w:hint="eastAsia" w:ascii="宋体" w:hAnsi="宋体" w:eastAsia="宋体" w:cs="宋体"/>
                <w:color w:val="auto"/>
                <w:sz w:val="24"/>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top"/>
          </w:tcPr>
          <w:p w14:paraId="3032C3FB">
            <w:pPr>
              <w:snapToGrid w:val="0"/>
              <w:spacing w:before="50" w:after="120" w:afterLines="50" w:line="400" w:lineRule="exact"/>
              <w:jc w:val="left"/>
              <w:rPr>
                <w:rFonts w:hint="eastAsia" w:ascii="宋体" w:hAnsi="宋体" w:eastAsia="宋体" w:cs="宋体"/>
                <w:color w:val="auto"/>
                <w:sz w:val="24"/>
                <w:highlight w:val="none"/>
              </w:rPr>
            </w:pPr>
          </w:p>
        </w:tc>
      </w:tr>
      <w:tr w14:paraId="2896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95" w:type="pct"/>
            <w:tcBorders>
              <w:top w:val="single" w:color="auto" w:sz="4" w:space="0"/>
              <w:left w:val="single" w:color="auto" w:sz="4" w:space="0"/>
              <w:bottom w:val="single" w:color="auto" w:sz="4" w:space="0"/>
              <w:right w:val="single" w:color="auto" w:sz="4" w:space="0"/>
            </w:tcBorders>
            <w:noWrap w:val="0"/>
            <w:vAlign w:val="top"/>
          </w:tcPr>
          <w:p w14:paraId="68505C81">
            <w:pPr>
              <w:snapToGrid w:val="0"/>
              <w:spacing w:before="50" w:after="120" w:afterLines="50" w:line="400" w:lineRule="exact"/>
              <w:jc w:val="left"/>
              <w:rPr>
                <w:rFonts w:hint="eastAsia" w:ascii="宋体" w:hAnsi="宋体" w:eastAsia="宋体" w:cs="宋体"/>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4EA3BEE1">
            <w:pPr>
              <w:snapToGrid w:val="0"/>
              <w:spacing w:before="50" w:after="120" w:afterLines="50" w:line="400" w:lineRule="exact"/>
              <w:jc w:val="left"/>
              <w:rPr>
                <w:rFonts w:hint="eastAsia" w:ascii="宋体" w:hAnsi="宋体" w:eastAsia="宋体" w:cs="宋体"/>
                <w:color w:val="auto"/>
                <w:sz w:val="24"/>
                <w:highlight w:val="none"/>
              </w:rPr>
            </w:pPr>
          </w:p>
        </w:tc>
        <w:tc>
          <w:tcPr>
            <w:tcW w:w="1160" w:type="pct"/>
            <w:tcBorders>
              <w:top w:val="single" w:color="auto" w:sz="4" w:space="0"/>
              <w:left w:val="single" w:color="auto" w:sz="4" w:space="0"/>
              <w:bottom w:val="single" w:color="auto" w:sz="4" w:space="0"/>
              <w:right w:val="single" w:color="auto" w:sz="4" w:space="0"/>
            </w:tcBorders>
            <w:noWrap w:val="0"/>
            <w:vAlign w:val="top"/>
          </w:tcPr>
          <w:p w14:paraId="74CEB2D0">
            <w:pPr>
              <w:snapToGrid w:val="0"/>
              <w:spacing w:before="50" w:after="120" w:afterLines="50" w:line="400" w:lineRule="exact"/>
              <w:jc w:val="left"/>
              <w:rPr>
                <w:rFonts w:hint="eastAsia" w:ascii="宋体" w:hAnsi="宋体" w:eastAsia="宋体" w:cs="宋体"/>
                <w:color w:val="auto"/>
                <w:sz w:val="24"/>
                <w:highlight w:val="none"/>
              </w:rPr>
            </w:pPr>
          </w:p>
          <w:p w14:paraId="68C82746">
            <w:pPr>
              <w:rPr>
                <w:color w:val="auto"/>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top"/>
          </w:tcPr>
          <w:p w14:paraId="33B7CCFF">
            <w:pPr>
              <w:snapToGrid w:val="0"/>
              <w:spacing w:before="50" w:after="120" w:afterLines="50" w:line="400" w:lineRule="exact"/>
              <w:jc w:val="left"/>
              <w:rPr>
                <w:rFonts w:hint="eastAsia" w:ascii="宋体" w:hAnsi="宋体" w:eastAsia="宋体" w:cs="宋体"/>
                <w:color w:val="auto"/>
                <w:sz w:val="24"/>
                <w:highlight w:val="none"/>
              </w:rPr>
            </w:pPr>
          </w:p>
        </w:tc>
      </w:tr>
    </w:tbl>
    <w:p w14:paraId="578F5104">
      <w:pPr>
        <w:spacing w:line="360" w:lineRule="auto"/>
        <w:ind w:left="72"/>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注：投标人可按</w:t>
      </w:r>
      <w:r>
        <w:rPr>
          <w:rFonts w:hint="eastAsia" w:ascii="宋体" w:hAnsi="宋体" w:cs="宋体"/>
          <w:color w:val="auto"/>
          <w:szCs w:val="20"/>
          <w:highlight w:val="none"/>
          <w:lang w:eastAsia="zh-CN"/>
        </w:rPr>
        <w:t>上述</w:t>
      </w:r>
      <w:r>
        <w:rPr>
          <w:rFonts w:hint="eastAsia" w:ascii="宋体" w:hAnsi="宋体" w:eastAsia="宋体" w:cs="宋体"/>
          <w:color w:val="auto"/>
          <w:szCs w:val="20"/>
          <w:highlight w:val="none"/>
        </w:rPr>
        <w:t>格式自行编制，须随表提交相应的</w:t>
      </w:r>
      <w:r>
        <w:rPr>
          <w:rFonts w:hint="eastAsia" w:ascii="宋体" w:hAnsi="宋体" w:eastAsia="宋体" w:cs="宋体"/>
          <w:color w:val="auto"/>
          <w:szCs w:val="20"/>
          <w:highlight w:val="none"/>
          <w:lang w:val="en-US" w:eastAsia="zh-CN"/>
        </w:rPr>
        <w:t>保险</w:t>
      </w:r>
      <w:r>
        <w:rPr>
          <w:rFonts w:hint="eastAsia" w:ascii="宋体" w:hAnsi="宋体" w:eastAsia="宋体" w:cs="宋体"/>
          <w:color w:val="auto"/>
          <w:szCs w:val="20"/>
          <w:highlight w:val="none"/>
        </w:rPr>
        <w:t>合同复印件并注明所在投标人商务技术文件页码。</w:t>
      </w:r>
    </w:p>
    <w:p w14:paraId="22EB6E1E">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FFC8052">
      <w:pPr>
        <w:snapToGrid w:val="0"/>
        <w:spacing w:line="360" w:lineRule="auto"/>
        <w:ind w:firstLine="4935" w:firstLineChars="2350"/>
        <w:rPr>
          <w:rFonts w:hint="eastAsia" w:ascii="宋体" w:hAnsi="宋体" w:eastAsia="宋体" w:cs="宋体"/>
          <w:color w:val="auto"/>
          <w:szCs w:val="21"/>
          <w:highlight w:val="none"/>
        </w:rPr>
      </w:pPr>
    </w:p>
    <w:p w14:paraId="19CD4882">
      <w:pPr>
        <w:snapToGrid w:val="0"/>
        <w:spacing w:line="360" w:lineRule="auto"/>
        <w:ind w:firstLine="10080" w:firstLineChars="4800"/>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86EE1CD">
      <w:pPr>
        <w:pStyle w:val="11"/>
        <w:rPr>
          <w:rFonts w:hint="default" w:eastAsia="宋体"/>
          <w:color w:val="auto"/>
          <w:highlight w:val="none"/>
          <w:lang w:val="en-US" w:eastAsia="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CFF0A7B">
      <w:pPr>
        <w:snapToGrid w:val="0"/>
        <w:spacing w:line="360" w:lineRule="auto"/>
        <w:ind w:firstLine="11520" w:firstLineChars="4800"/>
        <w:rPr>
          <w:rFonts w:hint="eastAsia" w:ascii="宋体" w:hAnsi="宋体" w:eastAsia="宋体" w:cs="宋体"/>
          <w:color w:val="auto"/>
          <w:kern w:val="0"/>
          <w:sz w:val="24"/>
          <w:highlight w:val="none"/>
        </w:rPr>
      </w:pPr>
    </w:p>
    <w:p w14:paraId="5AE9D61B">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、除招标文件规定必须提供以外，投标人认为需要提供的其他证明材料</w:t>
      </w:r>
    </w:p>
    <w:p w14:paraId="098511F8">
      <w:pPr>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0605D7EF">
      <w:pPr>
        <w:snapToGrid w:val="0"/>
        <w:spacing w:line="360" w:lineRule="auto"/>
        <w:ind w:firstLine="4935" w:firstLineChars="2350"/>
        <w:rPr>
          <w:rFonts w:hint="eastAsia" w:ascii="宋体" w:hAnsi="宋体" w:eastAsia="宋体" w:cs="宋体"/>
          <w:color w:val="auto"/>
          <w:szCs w:val="21"/>
          <w:highlight w:val="none"/>
        </w:rPr>
      </w:pPr>
    </w:p>
    <w:p w14:paraId="794CFBB9">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DDC3B8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02090F">
      <w:pPr>
        <w:snapToGrid w:val="0"/>
        <w:spacing w:line="360" w:lineRule="auto"/>
        <w:ind w:firstLine="10080" w:firstLineChars="4200"/>
        <w:rPr>
          <w:rFonts w:hint="eastAsia" w:ascii="宋体" w:hAnsi="宋体" w:eastAsia="宋体" w:cs="宋体"/>
          <w:color w:val="auto"/>
          <w:kern w:val="0"/>
          <w:sz w:val="24"/>
          <w:highlight w:val="none"/>
          <w:lang w:val="zh-CN"/>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5EA617D7">
      <w:pPr>
        <w:pStyle w:val="3"/>
        <w:bidi w:val="0"/>
        <w:jc w:val="center"/>
        <w:rPr>
          <w:rFonts w:hint="eastAsia" w:ascii="宋体" w:hAnsi="宋体" w:eastAsia="宋体" w:cs="宋体"/>
          <w:color w:val="auto"/>
          <w:highlight w:val="none"/>
        </w:rPr>
      </w:pPr>
      <w:bookmarkStart w:id="148" w:name="_Toc15131"/>
      <w:bookmarkStart w:id="149" w:name="_Toc19686839"/>
      <w:bookmarkStart w:id="150" w:name="_Toc28131"/>
      <w:r>
        <w:rPr>
          <w:rFonts w:hint="eastAsia" w:ascii="宋体" w:hAnsi="宋体" w:eastAsia="宋体" w:cs="宋体"/>
          <w:color w:val="auto"/>
          <w:highlight w:val="none"/>
        </w:rPr>
        <w:t>第四节 技术文件格式</w:t>
      </w:r>
      <w:bookmarkEnd w:id="148"/>
      <w:bookmarkEnd w:id="149"/>
      <w:bookmarkEnd w:id="150"/>
    </w:p>
    <w:p w14:paraId="4F439311">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5B9F53FD">
      <w:pPr>
        <w:snapToGrid w:val="0"/>
        <w:spacing w:before="165" w:beforeLines="50" w:after="50"/>
        <w:rPr>
          <w:rFonts w:hint="eastAsia" w:ascii="宋体" w:hAnsi="宋体" w:eastAsia="宋体" w:cs="宋体"/>
          <w:color w:val="auto"/>
          <w:sz w:val="24"/>
          <w:szCs w:val="20"/>
          <w:highlight w:val="none"/>
        </w:rPr>
      </w:pPr>
    </w:p>
    <w:p w14:paraId="3FAC8032">
      <w:pPr>
        <w:snapToGrid w:val="0"/>
        <w:spacing w:before="165" w:beforeLines="50" w:after="50"/>
        <w:jc w:val="center"/>
        <w:rPr>
          <w:rFonts w:hint="eastAsia" w:ascii="宋体" w:hAnsi="宋体" w:eastAsia="宋体" w:cs="宋体"/>
          <w:b/>
          <w:bCs/>
          <w:color w:val="auto"/>
          <w:sz w:val="32"/>
          <w:szCs w:val="32"/>
          <w:highlight w:val="none"/>
        </w:rPr>
      </w:pPr>
    </w:p>
    <w:p w14:paraId="7428D88D">
      <w:pPr>
        <w:snapToGrid w:val="0"/>
        <w:spacing w:before="165" w:beforeLines="50" w:after="50"/>
        <w:jc w:val="center"/>
        <w:rPr>
          <w:rFonts w:hint="eastAsia" w:ascii="宋体" w:hAnsi="宋体" w:eastAsia="宋体" w:cs="宋体"/>
          <w:b/>
          <w:bCs/>
          <w:color w:val="auto"/>
          <w:sz w:val="32"/>
          <w:szCs w:val="32"/>
          <w:highlight w:val="none"/>
        </w:rPr>
      </w:pPr>
    </w:p>
    <w:p w14:paraId="07015B2D">
      <w:pPr>
        <w:snapToGrid w:val="0"/>
        <w:spacing w:before="165" w:beforeLines="50" w:after="50"/>
        <w:jc w:val="center"/>
        <w:rPr>
          <w:rFonts w:hint="eastAsia" w:ascii="宋体" w:hAnsi="宋体" w:eastAsia="宋体" w:cs="宋体"/>
          <w:b/>
          <w:bCs/>
          <w:color w:val="auto"/>
          <w:sz w:val="32"/>
          <w:szCs w:val="32"/>
          <w:highlight w:val="none"/>
        </w:rPr>
      </w:pPr>
    </w:p>
    <w:p w14:paraId="1B208C3C">
      <w:pP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461F0D83">
      <w:pPr>
        <w:snapToGrid w:val="0"/>
        <w:spacing w:before="165" w:beforeLines="50" w:after="50"/>
        <w:rPr>
          <w:rFonts w:hint="eastAsia" w:ascii="宋体" w:hAnsi="宋体" w:eastAsia="宋体" w:cs="宋体"/>
          <w:bCs/>
          <w:color w:val="auto"/>
          <w:sz w:val="24"/>
          <w:szCs w:val="20"/>
          <w:highlight w:val="none"/>
        </w:rPr>
      </w:pPr>
    </w:p>
    <w:p w14:paraId="59E73A7B">
      <w:pPr>
        <w:snapToGrid w:val="0"/>
        <w:spacing w:before="165" w:beforeLines="50" w:after="50" w:line="400" w:lineRule="exact"/>
        <w:ind w:firstLine="360" w:firstLineChars="15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项目名称： </w:t>
      </w:r>
    </w:p>
    <w:p w14:paraId="2D8110B7">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201979DC">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7AE6FF37">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1CADB57">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4E984859">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61C0E7A">
      <w:pPr>
        <w:snapToGrid w:val="0"/>
        <w:spacing w:before="165" w:beforeLines="50" w:after="50"/>
        <w:ind w:firstLine="645"/>
        <w:jc w:val="center"/>
        <w:rPr>
          <w:rFonts w:hint="eastAsia" w:ascii="宋体" w:hAnsi="宋体" w:eastAsia="宋体" w:cs="宋体"/>
          <w:color w:val="auto"/>
          <w:sz w:val="24"/>
          <w:szCs w:val="20"/>
          <w:highlight w:val="none"/>
        </w:rPr>
      </w:pPr>
    </w:p>
    <w:p w14:paraId="0A0EAC24">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57E1C9F4">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一、技术需求偏离表……………………………………………（页码）</w:t>
      </w:r>
    </w:p>
    <w:p w14:paraId="75AF6638">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服务方案</w:t>
      </w:r>
      <w:r>
        <w:rPr>
          <w:rFonts w:hint="eastAsia" w:ascii="宋体" w:hAnsi="宋体" w:eastAsia="宋体" w:cs="宋体"/>
          <w:color w:val="auto"/>
          <w:sz w:val="24"/>
          <w:highlight w:val="none"/>
        </w:rPr>
        <w:t>……………………………………………………………（页码）</w:t>
      </w:r>
    </w:p>
    <w:p w14:paraId="76C22D1F">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、项目覆盖的行政区域内分支机构设置一览表…………………………（页码）</w:t>
      </w:r>
    </w:p>
    <w:p w14:paraId="5345DF13">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服务承诺</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726182FF">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、除招标文件规定必须提供以外，投标人认为需要提供的其他证明材料</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62D1EC0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5D67C3E3">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p>
    <w:p w14:paraId="582D16AC">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3A8BC742">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一、技术要求偏离表</w:t>
      </w:r>
    </w:p>
    <w:p w14:paraId="2E4B5CCC">
      <w:pPr>
        <w:spacing w:line="440" w:lineRule="exact"/>
        <w:ind w:firstLine="420" w:firstLineChars="200"/>
        <w:rPr>
          <w:rFonts w:hint="eastAsia" w:ascii="宋体" w:hAnsi="宋体" w:eastAsia="宋体" w:cs="宋体"/>
          <w:color w:val="auto"/>
          <w:szCs w:val="20"/>
          <w:highlight w:val="none"/>
        </w:rPr>
      </w:pPr>
    </w:p>
    <w:p w14:paraId="4A9F90F2">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3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C9F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587F23EA">
            <w:pPr>
              <w:pStyle w:val="18"/>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项号</w:t>
            </w:r>
          </w:p>
        </w:tc>
        <w:tc>
          <w:tcPr>
            <w:tcW w:w="2143" w:type="dxa"/>
            <w:noWrap w:val="0"/>
            <w:vAlign w:val="center"/>
          </w:tcPr>
          <w:p w14:paraId="45B92413">
            <w:pPr>
              <w:pStyle w:val="18"/>
              <w:spacing w:line="400" w:lineRule="exact"/>
              <w:jc w:val="center"/>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标的</w:t>
            </w:r>
            <w:r>
              <w:rPr>
                <w:rFonts w:hint="eastAsia" w:ascii="宋体" w:hAnsi="宋体" w:eastAsia="宋体" w:cs="宋体"/>
                <w:color w:val="auto"/>
                <w:kern w:val="2"/>
                <w:sz w:val="24"/>
                <w:szCs w:val="24"/>
                <w:highlight w:val="none"/>
                <w:lang w:val="en-US" w:eastAsia="zh-CN"/>
              </w:rPr>
              <w:t>名称</w:t>
            </w:r>
          </w:p>
        </w:tc>
        <w:tc>
          <w:tcPr>
            <w:tcW w:w="1834" w:type="dxa"/>
            <w:noWrap w:val="0"/>
            <w:vAlign w:val="center"/>
          </w:tcPr>
          <w:p w14:paraId="29C68EEA">
            <w:pPr>
              <w:pStyle w:val="18"/>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招标项目要求及技术需求</w:t>
            </w:r>
          </w:p>
        </w:tc>
        <w:tc>
          <w:tcPr>
            <w:tcW w:w="2181" w:type="dxa"/>
            <w:noWrap w:val="0"/>
            <w:vAlign w:val="center"/>
          </w:tcPr>
          <w:p w14:paraId="203B1D29">
            <w:pPr>
              <w:pStyle w:val="18"/>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投标响应</w:t>
            </w:r>
          </w:p>
        </w:tc>
        <w:tc>
          <w:tcPr>
            <w:tcW w:w="1934" w:type="dxa"/>
            <w:noWrap w:val="0"/>
            <w:vAlign w:val="center"/>
          </w:tcPr>
          <w:p w14:paraId="77DCBA42">
            <w:pPr>
              <w:pStyle w:val="18"/>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偏离说明</w:t>
            </w:r>
          </w:p>
        </w:tc>
      </w:tr>
      <w:tr w14:paraId="64B7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CC213CB">
            <w:pPr>
              <w:pStyle w:val="18"/>
              <w:spacing w:line="600" w:lineRule="exact"/>
              <w:jc w:val="center"/>
              <w:rPr>
                <w:rFonts w:hint="eastAsia" w:ascii="宋体" w:hAnsi="宋体" w:eastAsia="宋体" w:cs="宋体"/>
                <w:color w:val="auto"/>
                <w:kern w:val="2"/>
                <w:sz w:val="24"/>
                <w:szCs w:val="24"/>
                <w:highlight w:val="none"/>
                <w:lang w:val="en-US" w:eastAsia="zh-CN"/>
              </w:rPr>
            </w:pPr>
          </w:p>
        </w:tc>
        <w:tc>
          <w:tcPr>
            <w:tcW w:w="2143" w:type="dxa"/>
            <w:noWrap w:val="0"/>
            <w:vAlign w:val="center"/>
          </w:tcPr>
          <w:p w14:paraId="36A83BBF">
            <w:pPr>
              <w:pStyle w:val="18"/>
              <w:spacing w:line="600" w:lineRule="exact"/>
              <w:jc w:val="center"/>
              <w:rPr>
                <w:rFonts w:hint="eastAsia" w:ascii="宋体" w:hAnsi="宋体" w:eastAsia="宋体" w:cs="宋体"/>
                <w:color w:val="auto"/>
                <w:kern w:val="2"/>
                <w:sz w:val="24"/>
                <w:szCs w:val="24"/>
                <w:highlight w:val="none"/>
                <w:lang w:val="en-US" w:eastAsia="zh-CN"/>
              </w:rPr>
            </w:pPr>
          </w:p>
        </w:tc>
        <w:tc>
          <w:tcPr>
            <w:tcW w:w="1834" w:type="dxa"/>
            <w:noWrap w:val="0"/>
            <w:vAlign w:val="center"/>
          </w:tcPr>
          <w:p w14:paraId="7E5F56E3">
            <w:pPr>
              <w:pStyle w:val="18"/>
              <w:spacing w:line="600" w:lineRule="exact"/>
              <w:jc w:val="center"/>
              <w:rPr>
                <w:rFonts w:hint="eastAsia" w:ascii="宋体" w:hAnsi="宋体" w:eastAsia="宋体" w:cs="宋体"/>
                <w:color w:val="auto"/>
                <w:kern w:val="2"/>
                <w:sz w:val="24"/>
                <w:szCs w:val="24"/>
                <w:highlight w:val="none"/>
                <w:lang w:val="en-US" w:eastAsia="zh-CN"/>
              </w:rPr>
            </w:pPr>
          </w:p>
        </w:tc>
        <w:tc>
          <w:tcPr>
            <w:tcW w:w="2181" w:type="dxa"/>
            <w:noWrap w:val="0"/>
            <w:vAlign w:val="center"/>
          </w:tcPr>
          <w:p w14:paraId="182E3723">
            <w:pPr>
              <w:pStyle w:val="18"/>
              <w:spacing w:line="600" w:lineRule="exact"/>
              <w:jc w:val="center"/>
              <w:rPr>
                <w:rFonts w:hint="eastAsia" w:ascii="宋体" w:hAnsi="宋体" w:eastAsia="宋体" w:cs="宋体"/>
                <w:color w:val="auto"/>
                <w:kern w:val="2"/>
                <w:sz w:val="24"/>
                <w:szCs w:val="24"/>
                <w:highlight w:val="none"/>
                <w:lang w:val="en-US" w:eastAsia="zh-CN"/>
              </w:rPr>
            </w:pPr>
          </w:p>
        </w:tc>
        <w:tc>
          <w:tcPr>
            <w:tcW w:w="1934" w:type="dxa"/>
            <w:noWrap w:val="0"/>
            <w:vAlign w:val="center"/>
          </w:tcPr>
          <w:p w14:paraId="1471EE6F">
            <w:pPr>
              <w:pStyle w:val="18"/>
              <w:spacing w:line="600" w:lineRule="exact"/>
              <w:jc w:val="center"/>
              <w:rPr>
                <w:rFonts w:hint="eastAsia" w:ascii="宋体" w:hAnsi="宋体" w:eastAsia="宋体" w:cs="宋体"/>
                <w:color w:val="auto"/>
                <w:kern w:val="2"/>
                <w:sz w:val="24"/>
                <w:szCs w:val="24"/>
                <w:highlight w:val="none"/>
                <w:lang w:val="en-US" w:eastAsia="zh-CN"/>
              </w:rPr>
            </w:pPr>
          </w:p>
        </w:tc>
      </w:tr>
      <w:tr w14:paraId="3E6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2D35EE2">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5CA709C5">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57AF1FE4">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00D902ED">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08F1261E">
            <w:pPr>
              <w:pStyle w:val="18"/>
              <w:spacing w:line="600" w:lineRule="exact"/>
              <w:rPr>
                <w:rFonts w:hint="eastAsia" w:ascii="宋体" w:hAnsi="宋体" w:eastAsia="宋体" w:cs="宋体"/>
                <w:color w:val="auto"/>
                <w:kern w:val="2"/>
                <w:sz w:val="24"/>
                <w:szCs w:val="24"/>
                <w:highlight w:val="none"/>
                <w:lang w:val="en-US" w:eastAsia="zh-CN"/>
              </w:rPr>
            </w:pPr>
          </w:p>
        </w:tc>
      </w:tr>
      <w:tr w14:paraId="4687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F28F137">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09C8FEFD">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78760484">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5C5B8DE9">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5F81200A">
            <w:pPr>
              <w:pStyle w:val="18"/>
              <w:spacing w:line="600" w:lineRule="exact"/>
              <w:rPr>
                <w:rFonts w:hint="eastAsia" w:ascii="宋体" w:hAnsi="宋体" w:eastAsia="宋体" w:cs="宋体"/>
                <w:color w:val="auto"/>
                <w:kern w:val="2"/>
                <w:sz w:val="24"/>
                <w:szCs w:val="24"/>
                <w:highlight w:val="none"/>
                <w:lang w:val="en-US" w:eastAsia="zh-CN"/>
              </w:rPr>
            </w:pPr>
          </w:p>
        </w:tc>
      </w:tr>
      <w:tr w14:paraId="25ED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9C601BA">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32C688C9">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2038D56B">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2572ACBB">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347E8426">
            <w:pPr>
              <w:pStyle w:val="18"/>
              <w:spacing w:line="600" w:lineRule="exact"/>
              <w:rPr>
                <w:rFonts w:hint="eastAsia" w:ascii="宋体" w:hAnsi="宋体" w:eastAsia="宋体" w:cs="宋体"/>
                <w:color w:val="auto"/>
                <w:kern w:val="2"/>
                <w:sz w:val="24"/>
                <w:szCs w:val="24"/>
                <w:highlight w:val="none"/>
                <w:lang w:val="en-US" w:eastAsia="zh-CN"/>
              </w:rPr>
            </w:pPr>
          </w:p>
        </w:tc>
      </w:tr>
      <w:tr w14:paraId="109C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44C8554">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064DC26A">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60A650B0">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2825BB28">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46AF91EF">
            <w:pPr>
              <w:pStyle w:val="18"/>
              <w:spacing w:line="600" w:lineRule="exact"/>
              <w:rPr>
                <w:rFonts w:hint="eastAsia" w:ascii="宋体" w:hAnsi="宋体" w:eastAsia="宋体" w:cs="宋体"/>
                <w:color w:val="auto"/>
                <w:kern w:val="2"/>
                <w:sz w:val="24"/>
                <w:szCs w:val="24"/>
                <w:highlight w:val="none"/>
                <w:lang w:val="en-US" w:eastAsia="zh-CN"/>
              </w:rPr>
            </w:pPr>
          </w:p>
        </w:tc>
      </w:tr>
      <w:tr w14:paraId="5FD5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732CDF7">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12EB16B8">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15D2291A">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77D01069">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1A797D2B">
            <w:pPr>
              <w:pStyle w:val="18"/>
              <w:spacing w:line="600" w:lineRule="exact"/>
              <w:rPr>
                <w:rFonts w:hint="eastAsia" w:ascii="宋体" w:hAnsi="宋体" w:eastAsia="宋体" w:cs="宋体"/>
                <w:color w:val="auto"/>
                <w:kern w:val="2"/>
                <w:sz w:val="24"/>
                <w:szCs w:val="24"/>
                <w:highlight w:val="none"/>
                <w:lang w:val="en-US" w:eastAsia="zh-CN"/>
              </w:rPr>
            </w:pPr>
          </w:p>
        </w:tc>
      </w:tr>
      <w:tr w14:paraId="79B9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90D05D1">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02C3ECEF">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1CAA3042">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674F4434">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1D96DCB6">
            <w:pPr>
              <w:pStyle w:val="18"/>
              <w:spacing w:line="600" w:lineRule="exact"/>
              <w:rPr>
                <w:rFonts w:hint="eastAsia" w:ascii="宋体" w:hAnsi="宋体" w:eastAsia="宋体" w:cs="宋体"/>
                <w:color w:val="auto"/>
                <w:kern w:val="2"/>
                <w:sz w:val="24"/>
                <w:szCs w:val="24"/>
                <w:highlight w:val="none"/>
                <w:lang w:val="en-US" w:eastAsia="zh-CN"/>
              </w:rPr>
            </w:pPr>
          </w:p>
        </w:tc>
      </w:tr>
      <w:tr w14:paraId="10A4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B6F1F3E">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54434F25">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21996A49">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17E0761F">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0779AAE5">
            <w:pPr>
              <w:pStyle w:val="18"/>
              <w:spacing w:line="600" w:lineRule="exact"/>
              <w:rPr>
                <w:rFonts w:hint="eastAsia" w:ascii="宋体" w:hAnsi="宋体" w:eastAsia="宋体" w:cs="宋体"/>
                <w:color w:val="auto"/>
                <w:kern w:val="2"/>
                <w:sz w:val="24"/>
                <w:szCs w:val="24"/>
                <w:highlight w:val="none"/>
                <w:lang w:val="en-US" w:eastAsia="zh-CN"/>
              </w:rPr>
            </w:pPr>
          </w:p>
        </w:tc>
      </w:tr>
      <w:tr w14:paraId="0FD0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CC4E87">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62F8C4DF">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24CB0ABC">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46EAD75D">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0A6EECDD">
            <w:pPr>
              <w:pStyle w:val="18"/>
              <w:spacing w:line="600" w:lineRule="exact"/>
              <w:rPr>
                <w:rFonts w:hint="eastAsia" w:ascii="宋体" w:hAnsi="宋体" w:eastAsia="宋体" w:cs="宋体"/>
                <w:color w:val="auto"/>
                <w:kern w:val="2"/>
                <w:sz w:val="24"/>
                <w:szCs w:val="24"/>
                <w:highlight w:val="none"/>
                <w:lang w:val="en-US" w:eastAsia="zh-CN"/>
              </w:rPr>
            </w:pPr>
          </w:p>
        </w:tc>
      </w:tr>
      <w:tr w14:paraId="1F92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C31390A">
            <w:pPr>
              <w:pStyle w:val="18"/>
              <w:spacing w:line="600" w:lineRule="exact"/>
              <w:rPr>
                <w:rFonts w:hint="eastAsia" w:ascii="宋体" w:hAnsi="宋体" w:eastAsia="宋体" w:cs="宋体"/>
                <w:color w:val="auto"/>
                <w:kern w:val="2"/>
                <w:sz w:val="24"/>
                <w:szCs w:val="24"/>
                <w:highlight w:val="none"/>
                <w:lang w:val="en-US" w:eastAsia="zh-CN"/>
              </w:rPr>
            </w:pPr>
          </w:p>
        </w:tc>
        <w:tc>
          <w:tcPr>
            <w:tcW w:w="2143" w:type="dxa"/>
            <w:noWrap w:val="0"/>
            <w:vAlign w:val="top"/>
          </w:tcPr>
          <w:p w14:paraId="3A96F66A">
            <w:pPr>
              <w:pStyle w:val="18"/>
              <w:spacing w:line="600" w:lineRule="exact"/>
              <w:rPr>
                <w:rFonts w:hint="eastAsia" w:ascii="宋体" w:hAnsi="宋体" w:eastAsia="宋体" w:cs="宋体"/>
                <w:color w:val="auto"/>
                <w:kern w:val="2"/>
                <w:sz w:val="24"/>
                <w:szCs w:val="24"/>
                <w:highlight w:val="none"/>
                <w:lang w:val="en-US" w:eastAsia="zh-CN"/>
              </w:rPr>
            </w:pPr>
          </w:p>
        </w:tc>
        <w:tc>
          <w:tcPr>
            <w:tcW w:w="1834" w:type="dxa"/>
            <w:noWrap w:val="0"/>
            <w:vAlign w:val="top"/>
          </w:tcPr>
          <w:p w14:paraId="152B1A44">
            <w:pPr>
              <w:pStyle w:val="18"/>
              <w:spacing w:line="600" w:lineRule="exact"/>
              <w:rPr>
                <w:rFonts w:hint="eastAsia" w:ascii="宋体" w:hAnsi="宋体" w:eastAsia="宋体" w:cs="宋体"/>
                <w:color w:val="auto"/>
                <w:kern w:val="2"/>
                <w:sz w:val="24"/>
                <w:szCs w:val="24"/>
                <w:highlight w:val="none"/>
                <w:lang w:val="en-US" w:eastAsia="zh-CN"/>
              </w:rPr>
            </w:pPr>
          </w:p>
        </w:tc>
        <w:tc>
          <w:tcPr>
            <w:tcW w:w="2181" w:type="dxa"/>
            <w:noWrap w:val="0"/>
            <w:vAlign w:val="top"/>
          </w:tcPr>
          <w:p w14:paraId="1C1ACA74">
            <w:pPr>
              <w:pStyle w:val="18"/>
              <w:spacing w:line="600" w:lineRule="exact"/>
              <w:rPr>
                <w:rFonts w:hint="eastAsia" w:ascii="宋体" w:hAnsi="宋体" w:eastAsia="宋体" w:cs="宋体"/>
                <w:color w:val="auto"/>
                <w:kern w:val="2"/>
                <w:sz w:val="24"/>
                <w:szCs w:val="24"/>
                <w:highlight w:val="none"/>
                <w:lang w:val="en-US" w:eastAsia="zh-CN"/>
              </w:rPr>
            </w:pPr>
          </w:p>
        </w:tc>
        <w:tc>
          <w:tcPr>
            <w:tcW w:w="1934" w:type="dxa"/>
            <w:noWrap w:val="0"/>
            <w:vAlign w:val="top"/>
          </w:tcPr>
          <w:p w14:paraId="6B7FE231">
            <w:pPr>
              <w:pStyle w:val="18"/>
              <w:spacing w:line="600" w:lineRule="exact"/>
              <w:rPr>
                <w:rFonts w:hint="eastAsia" w:ascii="宋体" w:hAnsi="宋体" w:eastAsia="宋体" w:cs="宋体"/>
                <w:color w:val="auto"/>
                <w:kern w:val="2"/>
                <w:sz w:val="24"/>
                <w:szCs w:val="24"/>
                <w:highlight w:val="none"/>
                <w:lang w:val="en-US" w:eastAsia="zh-CN"/>
              </w:rPr>
            </w:pPr>
          </w:p>
        </w:tc>
      </w:tr>
    </w:tbl>
    <w:p w14:paraId="4E277B96">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EAF1801">
      <w:pPr>
        <w:pStyle w:val="14"/>
        <w:spacing w:line="52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1.说明：应对照招标文件“第二章 采购需求”中的项目要求及技术需求逐条实质性响应，并作出偏离说明。</w:t>
      </w:r>
    </w:p>
    <w:p w14:paraId="5D1E7586">
      <w:pPr>
        <w:pStyle w:val="12"/>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2.投标人应根据自身的承诺，对照招标文件要求，在“偏离说明”中注明“</w:t>
      </w:r>
      <w:r>
        <w:rPr>
          <w:rFonts w:hint="eastAsia" w:ascii="宋体" w:hAnsi="宋体" w:eastAsia="宋体" w:cs="宋体"/>
          <w:color w:val="auto"/>
          <w:sz w:val="24"/>
          <w:szCs w:val="24"/>
          <w:highlight w:val="none"/>
        </w:rPr>
        <w:t>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”或者“</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”。既不属于“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”也不属于“</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”即为“</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w:t>
      </w:r>
    </w:p>
    <w:p w14:paraId="1F742030">
      <w:pPr>
        <w:snapToGrid w:val="0"/>
        <w:spacing w:line="360" w:lineRule="auto"/>
        <w:ind w:firstLine="5640" w:firstLineChars="2350"/>
        <w:rPr>
          <w:rFonts w:hint="eastAsia" w:ascii="宋体" w:hAnsi="宋体" w:eastAsia="宋体" w:cs="宋体"/>
          <w:color w:val="auto"/>
          <w:kern w:val="0"/>
          <w:sz w:val="24"/>
          <w:highlight w:val="none"/>
          <w:lang w:val="zh-CN"/>
        </w:rPr>
      </w:pPr>
    </w:p>
    <w:p w14:paraId="474100F8">
      <w:pPr>
        <w:pStyle w:val="23"/>
        <w:rPr>
          <w:rFonts w:hint="eastAsia" w:ascii="宋体" w:hAnsi="宋体" w:eastAsia="宋体" w:cs="宋体"/>
          <w:color w:val="auto"/>
          <w:kern w:val="0"/>
          <w:sz w:val="24"/>
          <w:highlight w:val="none"/>
          <w:lang w:val="zh-CN"/>
        </w:rPr>
      </w:pPr>
    </w:p>
    <w:p w14:paraId="1FEB0042">
      <w:pPr>
        <w:rPr>
          <w:rFonts w:hint="eastAsia" w:ascii="宋体" w:hAnsi="宋体" w:eastAsia="宋体" w:cs="宋体"/>
          <w:color w:val="auto"/>
          <w:highlight w:val="none"/>
          <w:lang w:val="zh-CN"/>
        </w:rPr>
      </w:pPr>
    </w:p>
    <w:p w14:paraId="5B3B9257">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B460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8984D01">
      <w:pPr>
        <w:snapToGrid w:val="0"/>
        <w:spacing w:before="165" w:beforeLines="50" w:after="50"/>
        <w:ind w:left="143" w:leftChars="68" w:firstLine="600" w:firstLineChars="200"/>
        <w:jc w:val="left"/>
        <w:rPr>
          <w:rFonts w:hint="eastAsia" w:ascii="宋体" w:hAnsi="宋体" w:eastAsia="宋体" w:cs="宋体"/>
          <w:color w:val="auto"/>
          <w:sz w:val="30"/>
          <w:szCs w:val="20"/>
          <w:highlight w:val="none"/>
        </w:rPr>
        <w:sectPr>
          <w:footerReference r:id="rId18" w:type="first"/>
          <w:headerReference r:id="rId15" w:type="default"/>
          <w:footerReference r:id="rId16" w:type="default"/>
          <w:footerReference r:id="rId17" w:type="even"/>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0B788A5">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二、</w:t>
      </w:r>
      <w:r>
        <w:rPr>
          <w:rFonts w:hint="eastAsia" w:ascii="宋体" w:hAnsi="宋体" w:cs="宋体"/>
          <w:b/>
          <w:bCs/>
          <w:color w:val="auto"/>
          <w:sz w:val="30"/>
          <w:szCs w:val="30"/>
          <w:highlight w:val="none"/>
          <w:lang w:eastAsia="zh-CN"/>
        </w:rPr>
        <w:t>服务方案</w:t>
      </w:r>
    </w:p>
    <w:p w14:paraId="7B6BA09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（由投标人根据采购需求及招标文件要求自拟格式编制）</w:t>
      </w:r>
    </w:p>
    <w:p w14:paraId="00AB6C26">
      <w:pPr>
        <w:autoSpaceDE w:val="0"/>
        <w:autoSpaceDN w:val="0"/>
        <w:spacing w:line="360" w:lineRule="auto"/>
        <w:jc w:val="center"/>
        <w:rPr>
          <w:rFonts w:hint="eastAsia" w:ascii="宋体" w:hAnsi="宋体" w:eastAsia="宋体" w:cs="宋体"/>
          <w:color w:val="auto"/>
          <w:sz w:val="24"/>
          <w:highlight w:val="none"/>
        </w:rPr>
      </w:pPr>
    </w:p>
    <w:p w14:paraId="54B3D744">
      <w:pPr>
        <w:autoSpaceDE w:val="0"/>
        <w:autoSpaceDN w:val="0"/>
        <w:spacing w:line="360" w:lineRule="auto"/>
        <w:jc w:val="center"/>
        <w:rPr>
          <w:rFonts w:hint="eastAsia" w:ascii="宋体" w:hAnsi="宋体" w:eastAsia="宋体" w:cs="宋体"/>
          <w:color w:val="auto"/>
          <w:sz w:val="24"/>
          <w:highlight w:val="none"/>
        </w:rPr>
      </w:pPr>
    </w:p>
    <w:p w14:paraId="4835146C">
      <w:pPr>
        <w:rPr>
          <w:rFonts w:hint="eastAsia" w:ascii="宋体" w:hAnsi="宋体" w:eastAsia="宋体" w:cs="宋体"/>
          <w:b/>
          <w:bCs/>
          <w:color w:val="auto"/>
          <w:kern w:val="0"/>
          <w:sz w:val="24"/>
          <w:highlight w:val="none"/>
          <w:lang w:val="zh-CN"/>
        </w:rPr>
      </w:pPr>
    </w:p>
    <w:p w14:paraId="3F97A886">
      <w:pPr>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投标人名称（电子签名）：</w:t>
      </w:r>
    </w:p>
    <w:p w14:paraId="40A94FCC">
      <w:pPr>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7470EE3C">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BA260A5">
      <w:pPr>
        <w:snapToGrid w:val="0"/>
        <w:spacing w:before="165" w:beforeLines="50" w:after="50"/>
        <w:jc w:val="left"/>
        <w:rPr>
          <w:rFonts w:hint="eastAsia" w:ascii="宋体" w:hAnsi="宋体" w:eastAsia="宋体" w:cs="宋体"/>
          <w:color w:val="auto"/>
          <w:sz w:val="24"/>
          <w:highlight w:val="none"/>
        </w:rPr>
      </w:pPr>
      <w:r>
        <w:rPr>
          <w:rFonts w:hint="eastAsia" w:ascii="宋体" w:hAnsi="宋体" w:eastAsia="宋体" w:cs="宋体"/>
          <w:b/>
          <w:bCs/>
          <w:color w:val="auto"/>
          <w:sz w:val="30"/>
          <w:szCs w:val="30"/>
          <w:highlight w:val="none"/>
        </w:rPr>
        <w:br w:type="page"/>
      </w:r>
    </w:p>
    <w:p w14:paraId="35BCA226">
      <w:pPr>
        <w:numPr>
          <w:ilvl w:val="0"/>
          <w:numId w:val="4"/>
        </w:numPr>
        <w:snapToGrid w:val="0"/>
        <w:spacing w:before="165" w:beforeLines="50" w:after="50"/>
        <w:ind w:left="142"/>
        <w:jc w:val="both"/>
        <w:rPr>
          <w:rFonts w:hint="eastAsia" w:ascii="宋体" w:hAnsi="宋体" w:eastAsia="宋体" w:cs="宋体"/>
          <w:color w:val="auto"/>
          <w:sz w:val="24"/>
          <w:highlight w:val="none"/>
        </w:rPr>
      </w:pPr>
      <w:r>
        <w:rPr>
          <w:rFonts w:hint="eastAsia" w:ascii="宋体" w:hAnsi="宋体" w:eastAsia="宋体" w:cs="宋体"/>
          <w:b/>
          <w:color w:val="auto"/>
          <w:kern w:val="2"/>
          <w:sz w:val="32"/>
          <w:szCs w:val="32"/>
          <w:highlight w:val="none"/>
          <w:lang w:val="en-US" w:eastAsia="zh-CN" w:bidi="ar-SA"/>
        </w:rPr>
        <w:t>项目覆盖的行政区域内分支机构设置一览表</w:t>
      </w:r>
      <w:r>
        <w:rPr>
          <w:rFonts w:hint="eastAsia" w:ascii="宋体" w:hAnsi="宋体" w:eastAsia="宋体" w:cs="宋体"/>
          <w:color w:val="auto"/>
          <w:sz w:val="24"/>
          <w:highlight w:val="none"/>
        </w:rPr>
        <w:t>（格式自拟）</w:t>
      </w:r>
    </w:p>
    <w:p w14:paraId="21C44F51">
      <w:pPr>
        <w:snapToGrid w:val="0"/>
        <w:spacing w:line="360" w:lineRule="auto"/>
        <w:ind w:firstLine="4935" w:firstLineChars="2350"/>
        <w:rPr>
          <w:rFonts w:hint="eastAsia" w:ascii="宋体" w:hAnsi="宋体" w:eastAsia="宋体" w:cs="宋体"/>
          <w:color w:val="auto"/>
          <w:szCs w:val="21"/>
          <w:highlight w:val="none"/>
        </w:rPr>
      </w:pPr>
    </w:p>
    <w:p w14:paraId="7140D49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FC7502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36081D7">
      <w:pPr>
        <w:numPr>
          <w:ilvl w:val="0"/>
          <w:numId w:val="0"/>
        </w:numPr>
        <w:snapToGrid w:val="0"/>
        <w:spacing w:before="165" w:beforeLines="50" w:after="50"/>
        <w:jc w:val="both"/>
        <w:rPr>
          <w:rFonts w:hint="eastAsia" w:ascii="宋体" w:hAnsi="宋体" w:eastAsia="宋体" w:cs="宋体"/>
          <w:b/>
          <w:color w:val="auto"/>
          <w:kern w:val="2"/>
          <w:sz w:val="32"/>
          <w:szCs w:val="32"/>
          <w:highlight w:val="none"/>
          <w:lang w:val="en-US" w:eastAsia="zh-CN" w:bidi="ar-SA"/>
        </w:rPr>
      </w:pPr>
    </w:p>
    <w:p w14:paraId="1662CC82">
      <w:pPr>
        <w:numPr>
          <w:ilvl w:val="0"/>
          <w:numId w:val="0"/>
        </w:numPr>
        <w:snapToGrid w:val="0"/>
        <w:spacing w:before="165" w:beforeLines="50" w:after="50"/>
        <w:ind w:left="142"/>
        <w:jc w:val="both"/>
        <w:rPr>
          <w:rFonts w:hint="eastAsia" w:ascii="宋体" w:hAnsi="宋体" w:eastAsia="宋体" w:cs="宋体"/>
          <w:color w:val="auto"/>
          <w:sz w:val="24"/>
          <w:highlight w:val="none"/>
        </w:rPr>
      </w:pPr>
      <w:r>
        <w:rPr>
          <w:rFonts w:hint="eastAsia" w:ascii="宋体" w:hAnsi="宋体" w:cs="宋体"/>
          <w:b/>
          <w:color w:val="auto"/>
          <w:sz w:val="32"/>
          <w:szCs w:val="32"/>
          <w:highlight w:val="none"/>
          <w:lang w:val="en-US" w:eastAsia="zh-CN"/>
        </w:rPr>
        <w:t>四、</w:t>
      </w:r>
      <w:r>
        <w:rPr>
          <w:rFonts w:hint="eastAsia" w:ascii="宋体" w:hAnsi="宋体" w:eastAsia="宋体" w:cs="宋体"/>
          <w:b/>
          <w:color w:val="auto"/>
          <w:sz w:val="32"/>
          <w:szCs w:val="32"/>
          <w:highlight w:val="none"/>
        </w:rPr>
        <w:t>服务承诺</w:t>
      </w:r>
      <w:r>
        <w:rPr>
          <w:rFonts w:hint="eastAsia" w:ascii="宋体" w:hAnsi="宋体" w:eastAsia="宋体" w:cs="宋体"/>
          <w:color w:val="auto"/>
          <w:sz w:val="24"/>
          <w:highlight w:val="none"/>
        </w:rPr>
        <w:t>（格式自拟）</w:t>
      </w:r>
    </w:p>
    <w:p w14:paraId="2C2C3417">
      <w:pPr>
        <w:snapToGrid w:val="0"/>
        <w:spacing w:line="360" w:lineRule="auto"/>
        <w:ind w:firstLine="4935" w:firstLineChars="2350"/>
        <w:rPr>
          <w:rFonts w:hint="eastAsia" w:ascii="宋体" w:hAnsi="宋体" w:eastAsia="宋体" w:cs="宋体"/>
          <w:color w:val="auto"/>
          <w:szCs w:val="21"/>
          <w:highlight w:val="none"/>
        </w:rPr>
      </w:pPr>
    </w:p>
    <w:p w14:paraId="00128316">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4987BEE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27498B3">
      <w:pPr>
        <w:numPr>
          <w:ilvl w:val="0"/>
          <w:numId w:val="0"/>
        </w:numPr>
        <w:snapToGrid w:val="0"/>
        <w:spacing w:before="165" w:beforeLines="50" w:after="50"/>
        <w:jc w:val="both"/>
        <w:rPr>
          <w:rFonts w:hint="eastAsia" w:ascii="宋体" w:hAnsi="宋体" w:eastAsia="宋体" w:cs="宋体"/>
          <w:b/>
          <w:color w:val="auto"/>
          <w:sz w:val="32"/>
          <w:szCs w:val="32"/>
          <w:highlight w:val="none"/>
        </w:rPr>
      </w:pPr>
    </w:p>
    <w:p w14:paraId="34CAD2D9">
      <w:pPr>
        <w:snapToGrid w:val="0"/>
        <w:spacing w:before="165" w:beforeLines="50" w:after="50"/>
        <w:ind w:left="142"/>
        <w:jc w:val="left"/>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、除招标文件规定必须提供以外，投标人认为需要提供的其他证明材料</w:t>
      </w:r>
    </w:p>
    <w:p w14:paraId="23837BEE">
      <w:pPr>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2B366981">
      <w:pPr>
        <w:snapToGrid w:val="0"/>
        <w:spacing w:line="360" w:lineRule="auto"/>
        <w:ind w:firstLine="4935" w:firstLineChars="2350"/>
        <w:rPr>
          <w:rFonts w:hint="eastAsia" w:ascii="宋体" w:hAnsi="宋体" w:eastAsia="宋体" w:cs="宋体"/>
          <w:color w:val="auto"/>
          <w:szCs w:val="21"/>
          <w:highlight w:val="none"/>
        </w:rPr>
      </w:pPr>
    </w:p>
    <w:p w14:paraId="38AC59AB">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DF794F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8A4E251">
      <w:pPr>
        <w:autoSpaceDE w:val="0"/>
        <w:autoSpaceDN w:val="0"/>
        <w:spacing w:line="360" w:lineRule="auto"/>
        <w:rPr>
          <w:rFonts w:hint="eastAsia" w:ascii="宋体" w:hAnsi="宋体" w:eastAsia="宋体" w:cs="宋体"/>
          <w:b/>
          <w:bCs/>
          <w:color w:val="auto"/>
          <w:sz w:val="30"/>
          <w:szCs w:val="30"/>
          <w:highlight w:val="none"/>
        </w:rPr>
      </w:pPr>
    </w:p>
    <w:p w14:paraId="49592706">
      <w:pPr>
        <w:snapToGrid w:val="0"/>
        <w:spacing w:before="165" w:beforeLines="50" w:after="50"/>
        <w:jc w:val="center"/>
        <w:outlineLvl w:val="1"/>
        <w:rPr>
          <w:rFonts w:hint="eastAsia" w:ascii="宋体" w:hAnsi="宋体" w:eastAsia="宋体" w:cs="宋体"/>
          <w:b/>
          <w:bCs/>
          <w:color w:val="auto"/>
          <w:sz w:val="24"/>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409F5640">
      <w:pPr>
        <w:pStyle w:val="3"/>
        <w:bidi w:val="0"/>
        <w:jc w:val="center"/>
        <w:rPr>
          <w:rFonts w:hint="eastAsia" w:ascii="宋体" w:hAnsi="宋体" w:eastAsia="宋体" w:cs="宋体"/>
          <w:color w:val="auto"/>
          <w:highlight w:val="none"/>
        </w:rPr>
      </w:pPr>
      <w:bookmarkStart w:id="151" w:name="_Toc8297"/>
      <w:bookmarkStart w:id="152" w:name="_Toc19686840"/>
      <w:bookmarkStart w:id="153" w:name="_Toc19186"/>
      <w:r>
        <w:rPr>
          <w:rFonts w:hint="eastAsia" w:ascii="宋体" w:hAnsi="宋体" w:eastAsia="宋体" w:cs="宋体"/>
          <w:color w:val="auto"/>
          <w:highlight w:val="none"/>
        </w:rPr>
        <w:t>第六节 其他文书、文件格式</w:t>
      </w:r>
      <w:bookmarkEnd w:id="151"/>
      <w:bookmarkEnd w:id="152"/>
      <w:bookmarkEnd w:id="153"/>
    </w:p>
    <w:p w14:paraId="4D3296C2">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0CFC2FAE">
      <w:pPr>
        <w:spacing w:line="360" w:lineRule="auto"/>
        <w:jc w:val="center"/>
        <w:rPr>
          <w:rFonts w:hint="eastAsia" w:ascii="宋体" w:hAnsi="宋体" w:eastAsia="宋体" w:cs="宋体"/>
          <w:b/>
          <w:color w:val="auto"/>
          <w:sz w:val="30"/>
          <w:szCs w:val="30"/>
          <w:highlight w:val="none"/>
        </w:rPr>
      </w:pPr>
    </w:p>
    <w:p w14:paraId="69E50BBD">
      <w:pPr>
        <w:spacing w:line="360" w:lineRule="auto"/>
        <w:ind w:firstLine="336" w:firstLineChars="1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eastAsia="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76A72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46D9A246">
      <w:pPr>
        <w:spacing w:line="360" w:lineRule="auto"/>
        <w:jc w:val="left"/>
        <w:rPr>
          <w:rFonts w:hint="eastAsia" w:ascii="宋体" w:hAnsi="宋体" w:eastAsia="宋体" w:cs="宋体"/>
          <w:b/>
          <w:color w:val="auto"/>
          <w:szCs w:val="21"/>
          <w:highlight w:val="none"/>
        </w:rPr>
      </w:pPr>
    </w:p>
    <w:p w14:paraId="19550484">
      <w:pPr>
        <w:spacing w:line="360" w:lineRule="auto"/>
        <w:jc w:val="left"/>
        <w:rPr>
          <w:rFonts w:hint="eastAsia" w:ascii="宋体" w:hAnsi="宋体" w:eastAsia="宋体" w:cs="宋体"/>
          <w:b/>
          <w:color w:val="auto"/>
          <w:szCs w:val="21"/>
          <w:highlight w:val="none"/>
        </w:rPr>
      </w:pPr>
    </w:p>
    <w:p w14:paraId="5523694B">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F258DB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EE37C7B">
      <w:pPr>
        <w:spacing w:line="360" w:lineRule="auto"/>
        <w:ind w:left="5132" w:leftChars="1979" w:hanging="976" w:hangingChars="488"/>
        <w:rPr>
          <w:rFonts w:hint="eastAsia" w:ascii="宋体" w:hAnsi="宋体" w:eastAsia="宋体" w:cs="宋体"/>
          <w:color w:val="auto"/>
          <w:sz w:val="20"/>
          <w:szCs w:val="20"/>
          <w:highlight w:val="none"/>
        </w:rPr>
      </w:pPr>
    </w:p>
    <w:p w14:paraId="21C1EAF7">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eastAsia="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13B2F1E">
      <w:pPr>
        <w:snapToGrid w:val="0"/>
        <w:spacing w:before="50" w:after="165" w:afterLines="50" w:line="360" w:lineRule="auto"/>
        <w:jc w:val="left"/>
        <w:rPr>
          <w:rFonts w:hint="eastAsia" w:ascii="宋体" w:hAnsi="宋体" w:eastAsia="宋体" w:cs="宋体"/>
          <w:color w:val="auto"/>
          <w:sz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1B457F52">
      <w:pPr>
        <w:tabs>
          <w:tab w:val="left" w:pos="2472"/>
        </w:tabs>
        <w:spacing w:line="460" w:lineRule="exact"/>
        <w:jc w:val="both"/>
        <w:rPr>
          <w:rFonts w:hint="eastAsia" w:ascii="宋体" w:hAnsi="宋体" w:eastAsia="宋体" w:cs="宋体"/>
          <w:b/>
          <w:color w:val="auto"/>
          <w:sz w:val="36"/>
          <w:szCs w:val="20"/>
          <w:highlight w:val="none"/>
        </w:rPr>
      </w:pPr>
    </w:p>
    <w:p w14:paraId="09307925">
      <w:pPr>
        <w:tabs>
          <w:tab w:val="left" w:pos="2472"/>
        </w:tabs>
        <w:spacing w:line="460" w:lineRule="exact"/>
        <w:jc w:val="center"/>
        <w:rPr>
          <w:rFonts w:hint="eastAsia" w:ascii="宋体" w:hAnsi="宋体" w:eastAsia="宋体" w:cs="宋体"/>
          <w:b/>
          <w:color w:val="auto"/>
          <w:sz w:val="36"/>
          <w:szCs w:val="20"/>
          <w:highlight w:val="none"/>
        </w:rPr>
      </w:pPr>
    </w:p>
    <w:p w14:paraId="40AB19BC">
      <w:pPr>
        <w:pStyle w:val="3"/>
        <w:bidi w:val="0"/>
        <w:jc w:val="center"/>
        <w:rPr>
          <w:rFonts w:hint="eastAsia" w:ascii="宋体" w:hAnsi="宋体" w:eastAsia="宋体" w:cs="宋体"/>
          <w:color w:val="auto"/>
          <w:highlight w:val="none"/>
        </w:rPr>
      </w:pPr>
      <w:bookmarkStart w:id="154" w:name="_Toc12213"/>
      <w:bookmarkStart w:id="155" w:name="_Toc3182"/>
      <w:r>
        <w:rPr>
          <w:rFonts w:hint="eastAsia" w:ascii="宋体" w:hAnsi="宋体" w:eastAsia="宋体" w:cs="宋体"/>
          <w:color w:val="auto"/>
          <w:highlight w:val="none"/>
        </w:rPr>
        <w:t>第五节 报价文件格式</w:t>
      </w:r>
    </w:p>
    <w:p w14:paraId="15DC4BD2">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087AC645">
      <w:pPr>
        <w:snapToGrid w:val="0"/>
        <w:spacing w:before="165" w:beforeLines="50" w:after="50" w:line="400" w:lineRule="exact"/>
        <w:jc w:val="center"/>
        <w:rPr>
          <w:rFonts w:hint="eastAsia" w:ascii="宋体" w:hAnsi="宋体" w:eastAsia="宋体" w:cs="宋体"/>
          <w:bCs/>
          <w:color w:val="auto"/>
          <w:sz w:val="24"/>
          <w:szCs w:val="20"/>
          <w:highlight w:val="none"/>
        </w:rPr>
      </w:pPr>
    </w:p>
    <w:p w14:paraId="2756C34E">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4656F463">
      <w:pPr>
        <w:snapToGrid w:val="0"/>
        <w:spacing w:before="165" w:beforeLines="50" w:after="50" w:line="400" w:lineRule="exact"/>
        <w:rPr>
          <w:rFonts w:hint="eastAsia" w:ascii="宋体" w:hAnsi="宋体" w:eastAsia="宋体" w:cs="宋体"/>
          <w:bCs/>
          <w:color w:val="auto"/>
          <w:sz w:val="24"/>
          <w:szCs w:val="20"/>
          <w:highlight w:val="none"/>
        </w:rPr>
      </w:pPr>
    </w:p>
    <w:p w14:paraId="220B37A2">
      <w:pPr>
        <w:snapToGrid w:val="0"/>
        <w:spacing w:before="165" w:beforeLines="50" w:after="50" w:line="400" w:lineRule="exact"/>
        <w:rPr>
          <w:rFonts w:hint="eastAsia" w:ascii="宋体" w:hAnsi="宋体" w:eastAsia="宋体" w:cs="宋体"/>
          <w:bCs/>
          <w:color w:val="auto"/>
          <w:sz w:val="24"/>
          <w:szCs w:val="20"/>
          <w:highlight w:val="none"/>
        </w:rPr>
      </w:pPr>
    </w:p>
    <w:p w14:paraId="64FCC2CA">
      <w:pPr>
        <w:snapToGrid w:val="0"/>
        <w:spacing w:before="165" w:beforeLines="50" w:after="50" w:line="400" w:lineRule="exact"/>
        <w:rPr>
          <w:rFonts w:hint="eastAsia" w:ascii="宋体" w:hAnsi="宋体" w:eastAsia="宋体" w:cs="宋体"/>
          <w:bCs/>
          <w:color w:val="auto"/>
          <w:sz w:val="24"/>
          <w:szCs w:val="20"/>
          <w:highlight w:val="none"/>
        </w:rPr>
      </w:pPr>
    </w:p>
    <w:p w14:paraId="4145DA6F">
      <w:pPr>
        <w:snapToGrid w:val="0"/>
        <w:spacing w:before="165" w:beforeLines="50" w:after="50" w:line="400" w:lineRule="exact"/>
        <w:rPr>
          <w:rFonts w:hint="eastAsia" w:ascii="宋体" w:hAnsi="宋体" w:eastAsia="宋体" w:cs="宋体"/>
          <w:bCs/>
          <w:color w:val="auto"/>
          <w:sz w:val="24"/>
          <w:szCs w:val="20"/>
          <w:highlight w:val="none"/>
        </w:rPr>
      </w:pPr>
    </w:p>
    <w:p w14:paraId="7AF99AA9">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51852F36">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35D2EF0A">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08449C12">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3D52A71E">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55E2A69E">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77866AA6">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376DB4EA">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63979D27">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49214B09">
      <w:pPr>
        <w:snapToGrid w:val="0"/>
        <w:spacing w:before="50" w:after="50" w:line="400" w:lineRule="exact"/>
        <w:ind w:firstLine="960" w:firstLineChars="400"/>
        <w:rPr>
          <w:rFonts w:hint="eastAsia" w:ascii="宋体" w:hAnsi="宋体" w:eastAsia="宋体" w:cs="宋体"/>
          <w:bCs/>
          <w:color w:val="auto"/>
          <w:sz w:val="24"/>
          <w:highlight w:val="none"/>
        </w:rPr>
      </w:pPr>
    </w:p>
    <w:p w14:paraId="319FF6BD">
      <w:pPr>
        <w:snapToGrid w:val="0"/>
        <w:spacing w:before="165" w:beforeLines="50" w:after="50" w:line="400" w:lineRule="exact"/>
        <w:rPr>
          <w:rFonts w:hint="eastAsia" w:ascii="宋体" w:hAnsi="宋体" w:eastAsia="宋体" w:cs="宋体"/>
          <w:color w:val="auto"/>
          <w:sz w:val="24"/>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宋体"/>
          <w:color w:val="auto"/>
          <w:sz w:val="24"/>
          <w:highlight w:val="none"/>
        </w:rPr>
        <w:t xml:space="preserve">                                                       年  月  日</w:t>
      </w:r>
    </w:p>
    <w:p w14:paraId="74FECD6A">
      <w:pPr>
        <w:rPr>
          <w:rFonts w:hint="eastAsia" w:ascii="宋体" w:hAnsi="宋体" w:eastAsia="宋体" w:cs="宋体"/>
          <w:color w:val="auto"/>
          <w:highlight w:val="none"/>
        </w:rPr>
      </w:pPr>
    </w:p>
    <w:p w14:paraId="1BFC211B">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76EB7203">
      <w:pPr>
        <w:rPr>
          <w:rFonts w:hint="eastAsia" w:ascii="宋体" w:hAnsi="宋体" w:eastAsia="宋体" w:cs="宋体"/>
          <w:color w:val="auto"/>
          <w:highlight w:val="none"/>
        </w:rPr>
      </w:pPr>
    </w:p>
    <w:p w14:paraId="540CE0E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13D27B9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6EBB64D0">
      <w:pPr>
        <w:snapToGrid/>
        <w:spacing w:before="0" w:beforeLines="0" w:after="0" w:line="360" w:lineRule="auto"/>
        <w:ind w:firstLine="0" w:firstLineChars="0"/>
        <w:rPr>
          <w:rFonts w:hint="eastAsia" w:ascii="宋体" w:hAnsi="宋体" w:eastAsia="宋体" w:cs="宋体"/>
          <w:color w:val="auto"/>
          <w:sz w:val="30"/>
          <w:szCs w:val="20"/>
          <w:highlight w:val="none"/>
        </w:rPr>
      </w:pPr>
      <w:r>
        <w:rPr>
          <w:rFonts w:hint="eastAsia" w:ascii="宋体" w:hAnsi="宋体" w:eastAsia="宋体" w:cs="宋体"/>
          <w:color w:val="auto"/>
          <w:kern w:val="0"/>
          <w:sz w:val="24"/>
          <w:highlight w:val="none"/>
        </w:rPr>
        <w:t>三、中小企业声明函……………………………………………（页码）</w:t>
      </w:r>
    </w:p>
    <w:p w14:paraId="292CEDCD">
      <w:pPr>
        <w:rPr>
          <w:rFonts w:hint="eastAsia" w:ascii="宋体" w:hAnsi="宋体" w:eastAsia="宋体" w:cs="宋体"/>
          <w:color w:val="auto"/>
          <w:kern w:val="0"/>
          <w:sz w:val="24"/>
          <w:highlight w:val="none"/>
          <w:lang w:val="en-US" w:eastAsia="zh-CN"/>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szCs w:val="21"/>
          <w:highlight w:val="none"/>
        </w:rPr>
        <w:t>投标人针对报价需要说明的其他文件和说明</w:t>
      </w:r>
      <w:r>
        <w:rPr>
          <w:rFonts w:hint="eastAsia" w:ascii="宋体" w:hAnsi="宋体" w:eastAsia="宋体" w:cs="宋体"/>
          <w:color w:val="auto"/>
          <w:kern w:val="0"/>
          <w:sz w:val="24"/>
          <w:highlight w:val="none"/>
        </w:rPr>
        <w:t>…………………（页码）</w:t>
      </w:r>
    </w:p>
    <w:p w14:paraId="6D00A405">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0862C990">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78439331">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我方已仔细阅读了贵方组织的</w:t>
      </w:r>
      <w:r>
        <w:rPr>
          <w:rFonts w:hint="eastAsia" w:ascii="宋体" w:hAnsi="宋体" w:eastAsia="宋体" w:cs="宋体"/>
          <w:color w:val="auto"/>
          <w:szCs w:val="20"/>
          <w:highlight w:val="none"/>
          <w:u w:val="single"/>
        </w:rPr>
        <w:t xml:space="preserve">                    项目（项目编号：             ）</w:t>
      </w:r>
      <w:r>
        <w:rPr>
          <w:rFonts w:hint="eastAsia" w:ascii="宋体" w:hAnsi="宋体" w:eastAsia="宋体" w:cs="宋体"/>
          <w:color w:val="auto"/>
          <w:szCs w:val="20"/>
          <w:highlight w:val="none"/>
        </w:rPr>
        <w:t>的招标文件的全部内容，授权</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(全权代表姓名</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(职务、职称</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 xml:space="preserve">为全权代表，现正式递交下述文件参加贵方组织的本次政府采购活动： </w:t>
      </w:r>
    </w:p>
    <w:p w14:paraId="2301DA69">
      <w:pPr>
        <w:spacing w:line="440" w:lineRule="exact"/>
        <w:ind w:firstLine="482"/>
        <w:rPr>
          <w:rFonts w:hint="eastAsia" w:ascii="宋体" w:hAnsi="宋体" w:eastAsia="宋体" w:cs="宋体"/>
          <w:color w:val="auto"/>
          <w:szCs w:val="20"/>
          <w:highlight w:val="none"/>
        </w:rPr>
      </w:pPr>
      <w:r>
        <w:rPr>
          <w:rFonts w:hint="eastAsia" w:ascii="宋体" w:hAnsi="宋体" w:cs="宋体"/>
          <w:color w:val="auto"/>
          <w:szCs w:val="20"/>
          <w:highlight w:val="none"/>
          <w:lang w:val="en-US" w:eastAsia="zh-CN"/>
        </w:rPr>
        <w:t>一、</w:t>
      </w:r>
      <w:r>
        <w:rPr>
          <w:rFonts w:hint="eastAsia" w:ascii="宋体" w:hAnsi="宋体" w:eastAsia="宋体" w:cs="宋体"/>
          <w:color w:val="auto"/>
          <w:szCs w:val="20"/>
          <w:highlight w:val="none"/>
        </w:rPr>
        <w:t>资格</w:t>
      </w:r>
      <w:r>
        <w:rPr>
          <w:rFonts w:hint="eastAsia" w:ascii="宋体" w:hAnsi="宋体" w:cs="宋体"/>
          <w:color w:val="auto"/>
          <w:szCs w:val="20"/>
          <w:highlight w:val="none"/>
          <w:lang w:val="en-US" w:eastAsia="zh-CN"/>
        </w:rPr>
        <w:t>证明</w:t>
      </w:r>
      <w:r>
        <w:rPr>
          <w:rFonts w:hint="eastAsia" w:ascii="宋体" w:hAnsi="宋体" w:eastAsia="宋体" w:cs="宋体"/>
          <w:color w:val="auto"/>
          <w:szCs w:val="20"/>
          <w:highlight w:val="none"/>
        </w:rPr>
        <w:t>文件电子版一份（包含按投标人须知前附表要求提交的全部文件）；</w:t>
      </w:r>
    </w:p>
    <w:p w14:paraId="0AA2A65B">
      <w:pPr>
        <w:spacing w:line="440" w:lineRule="exact"/>
        <w:ind w:firstLine="482"/>
        <w:rPr>
          <w:rFonts w:hint="eastAsia" w:ascii="宋体" w:hAnsi="宋体" w:eastAsia="宋体" w:cs="宋体"/>
          <w:color w:val="auto"/>
          <w:szCs w:val="20"/>
          <w:highlight w:val="none"/>
        </w:rPr>
      </w:pPr>
      <w:r>
        <w:rPr>
          <w:rFonts w:hint="eastAsia" w:ascii="宋体" w:hAnsi="宋体" w:cs="宋体"/>
          <w:color w:val="auto"/>
          <w:szCs w:val="20"/>
          <w:highlight w:val="none"/>
          <w:lang w:val="en-US" w:eastAsia="zh-CN"/>
        </w:rPr>
        <w:t>二</w:t>
      </w:r>
      <w:r>
        <w:rPr>
          <w:rFonts w:hint="eastAsia" w:ascii="宋体" w:hAnsi="宋体" w:eastAsia="宋体" w:cs="宋体"/>
          <w:color w:val="auto"/>
          <w:szCs w:val="20"/>
          <w:highlight w:val="none"/>
        </w:rPr>
        <w:t>、商务文件电子版一份（包含按投标人须知前附表要求提交的全部文件）</w:t>
      </w:r>
    </w:p>
    <w:p w14:paraId="2B133241">
      <w:pPr>
        <w:spacing w:line="440" w:lineRule="exact"/>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三、技术文件电子版一份（包含按投标人须知前附表要求提交的全部文件）；</w:t>
      </w:r>
    </w:p>
    <w:p w14:paraId="37A34DB1">
      <w:pPr>
        <w:spacing w:line="440" w:lineRule="exact"/>
        <w:ind w:firstLine="482"/>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四、报价文件电子版一份（包含按投标人须知前附表要求提交的全部文件）</w:t>
      </w:r>
      <w:r>
        <w:rPr>
          <w:rFonts w:hint="eastAsia" w:ascii="宋体" w:hAnsi="宋体" w:cs="宋体"/>
          <w:color w:val="auto"/>
          <w:szCs w:val="20"/>
          <w:highlight w:val="none"/>
          <w:lang w:eastAsia="zh-CN"/>
        </w:rPr>
        <w:t>。</w:t>
      </w:r>
    </w:p>
    <w:p w14:paraId="500D6DDF">
      <w:pPr>
        <w:spacing w:line="440" w:lineRule="exact"/>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据此函，签字人兹宣布：</w:t>
      </w:r>
    </w:p>
    <w:p w14:paraId="294350F4">
      <w:pPr>
        <w:pStyle w:val="18"/>
        <w:spacing w:line="440" w:lineRule="exact"/>
        <w:ind w:firstLine="420" w:firstLineChars="200"/>
        <w:rPr>
          <w:rFonts w:hint="eastAsia" w:ascii="宋体" w:hAnsi="宋体" w:eastAsia="宋体" w:cs="宋体"/>
          <w:color w:val="auto"/>
          <w:szCs w:val="20"/>
          <w:highlight w:val="none"/>
          <w:u w:val="single"/>
          <w:lang w:val="en-US" w:eastAsia="zh-CN"/>
        </w:rPr>
      </w:pPr>
      <w:r>
        <w:rPr>
          <w:rFonts w:hint="eastAsia" w:hAnsi="宋体" w:cs="宋体"/>
          <w:color w:val="auto"/>
          <w:szCs w:val="20"/>
          <w:highlight w:val="none"/>
          <w:lang w:eastAsia="zh-CN"/>
        </w:rPr>
        <w:t>1.</w:t>
      </w:r>
      <w:r>
        <w:rPr>
          <w:rFonts w:hint="eastAsia" w:ascii="宋体" w:hAnsi="宋体" w:eastAsia="宋体" w:cs="宋体"/>
          <w:color w:val="auto"/>
          <w:highlight w:val="none"/>
        </w:rPr>
        <w:t>我方愿意以报价文件电子版</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开标一览表</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的投标总报价，</w:t>
      </w:r>
      <w:r>
        <w:rPr>
          <w:rFonts w:hint="eastAsia" w:ascii="宋体" w:hAnsi="宋体" w:eastAsia="宋体" w:cs="宋体"/>
          <w:color w:val="auto"/>
          <w:highlight w:val="none"/>
          <w:lang w:val="en-US" w:eastAsia="zh-CN"/>
        </w:rPr>
        <w:t>按照我方承诺的内容</w:t>
      </w:r>
      <w:r>
        <w:rPr>
          <w:rFonts w:hint="eastAsia" w:ascii="宋体" w:hAnsi="宋体" w:eastAsia="宋体" w:cs="宋体"/>
          <w:color w:val="auto"/>
          <w:highlight w:val="none"/>
        </w:rPr>
        <w:t>提供本项目招标文件第二章“</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需求”中的相应的采购内容。</w:t>
      </w:r>
      <w:r>
        <w:rPr>
          <w:rFonts w:hint="eastAsia" w:ascii="宋体" w:hAnsi="宋体" w:eastAsia="宋体" w:cs="宋体"/>
          <w:color w:val="auto"/>
          <w:highlight w:val="none"/>
          <w:lang w:val="en-US" w:eastAsia="zh-CN"/>
        </w:rPr>
        <w:t xml:space="preserve"> </w:t>
      </w:r>
    </w:p>
    <w:p w14:paraId="3C68BB94">
      <w:pPr>
        <w:spacing w:line="360" w:lineRule="exact"/>
        <w:ind w:firstLine="420" w:firstLineChars="200"/>
        <w:rPr>
          <w:rFonts w:hint="eastAsia" w:ascii="宋体" w:hAnsi="宋体" w:eastAsia="宋体" w:cs="宋体"/>
          <w:color w:val="auto"/>
          <w:szCs w:val="20"/>
          <w:highlight w:val="none"/>
          <w:u w:val="single"/>
        </w:rPr>
      </w:pPr>
      <w:r>
        <w:rPr>
          <w:rFonts w:hint="eastAsia" w:ascii="宋体" w:hAnsi="宋体" w:cs="宋体"/>
          <w:color w:val="auto"/>
          <w:szCs w:val="20"/>
          <w:highlight w:val="none"/>
          <w:lang w:eastAsia="zh-CN"/>
        </w:rPr>
        <w:t>2.</w:t>
      </w:r>
      <w:r>
        <w:rPr>
          <w:rFonts w:hint="eastAsia" w:ascii="宋体" w:hAnsi="宋体" w:eastAsia="宋体" w:cs="宋体"/>
          <w:color w:val="auto"/>
          <w:szCs w:val="20"/>
          <w:highlight w:val="none"/>
        </w:rPr>
        <w:t>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3B11E00">
      <w:pPr>
        <w:spacing w:line="360" w:lineRule="exact"/>
        <w:ind w:firstLine="420" w:firstLineChars="200"/>
        <w:rPr>
          <w:rFonts w:hint="eastAsia" w:ascii="宋体" w:hAnsi="宋体" w:eastAsia="宋体" w:cs="宋体"/>
          <w:color w:val="auto"/>
          <w:szCs w:val="20"/>
          <w:highlight w:val="none"/>
          <w:u w:val="single"/>
        </w:rPr>
      </w:pPr>
      <w:r>
        <w:rPr>
          <w:rFonts w:hint="eastAsia" w:ascii="宋体" w:hAnsi="宋体" w:cs="宋体"/>
          <w:color w:val="auto"/>
          <w:szCs w:val="20"/>
          <w:highlight w:val="none"/>
          <w:lang w:eastAsia="zh-CN"/>
        </w:rPr>
        <w:t>3.</w:t>
      </w:r>
      <w:r>
        <w:rPr>
          <w:rFonts w:hint="eastAsia" w:ascii="宋体" w:hAnsi="宋体" w:eastAsia="宋体" w:cs="宋体"/>
          <w:color w:val="auto"/>
          <w:szCs w:val="20"/>
          <w:highlight w:val="none"/>
        </w:rPr>
        <w:t>我方所递交的投标文件及有关资料都是内容完整、真实和准确的。</w:t>
      </w:r>
    </w:p>
    <w:p w14:paraId="47DCD201">
      <w:pPr>
        <w:spacing w:line="360" w:lineRule="exact"/>
        <w:ind w:firstLine="420" w:firstLineChars="200"/>
        <w:rPr>
          <w:rFonts w:hint="eastAsia" w:ascii="宋体" w:hAnsi="宋体" w:eastAsia="宋体" w:cs="宋体"/>
          <w:color w:val="auto"/>
          <w:szCs w:val="20"/>
          <w:highlight w:val="none"/>
          <w:u w:val="single"/>
        </w:rPr>
      </w:pPr>
      <w:r>
        <w:rPr>
          <w:rFonts w:hint="eastAsia" w:ascii="宋体" w:hAnsi="宋体" w:cs="宋体"/>
          <w:color w:val="auto"/>
          <w:szCs w:val="20"/>
          <w:highlight w:val="none"/>
          <w:lang w:eastAsia="zh-CN"/>
        </w:rPr>
        <w:t>4.</w:t>
      </w:r>
      <w:r>
        <w:rPr>
          <w:rFonts w:hint="eastAsia" w:ascii="宋体" w:hAnsi="宋体" w:eastAsia="宋体" w:cs="宋体"/>
          <w:color w:val="auto"/>
          <w:szCs w:val="20"/>
          <w:highlight w:val="none"/>
        </w:rPr>
        <w:t>我方承诺未被列入失信被执行人、</w:t>
      </w:r>
      <w:r>
        <w:rPr>
          <w:rFonts w:hint="eastAsia" w:ascii="宋体" w:hAnsi="宋体" w:eastAsia="宋体" w:cs="宋体"/>
          <w:color w:val="auto"/>
          <w:szCs w:val="20"/>
          <w:highlight w:val="none"/>
          <w:lang w:eastAsia="zh-CN"/>
        </w:rPr>
        <w:t>重大税收违法失信主体</w:t>
      </w:r>
      <w:r>
        <w:rPr>
          <w:rFonts w:hint="eastAsia" w:ascii="宋体" w:hAnsi="宋体" w:eastAsia="宋体" w:cs="宋体"/>
          <w:color w:val="auto"/>
          <w:szCs w:val="20"/>
          <w:highlight w:val="none"/>
        </w:rPr>
        <w:t>、政府采购严重违法失信行为记录名单，并已经具备《中华人民共和国政府采购法》中规定的参加政府采购活动的供应商应当具备的条件：</w:t>
      </w:r>
    </w:p>
    <w:p w14:paraId="6158BC95">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1</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具有独立承担民事责任的能力；</w:t>
      </w:r>
    </w:p>
    <w:p w14:paraId="0E4C4CB4">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2</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具有良好的商业信誉和健全的财务会计制度；</w:t>
      </w:r>
    </w:p>
    <w:p w14:paraId="22E482E3">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3</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具有履行合同所必需的设备和专业技术能力；</w:t>
      </w:r>
    </w:p>
    <w:p w14:paraId="520157DF">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4</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有依法缴纳税收和社会保障资金的良好记录；</w:t>
      </w:r>
    </w:p>
    <w:p w14:paraId="514C64CB">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参加政府采购活动前三年内，在经营活动中没有重大违法记录；</w:t>
      </w:r>
    </w:p>
    <w:p w14:paraId="2FDDE641">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6</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法律、行政法规规定的其他条件。</w:t>
      </w:r>
    </w:p>
    <w:p w14:paraId="7AC12B3C">
      <w:pPr>
        <w:spacing w:line="440" w:lineRule="exact"/>
        <w:ind w:firstLine="482"/>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5.</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70C2A702">
      <w:pPr>
        <w:spacing w:line="440" w:lineRule="exact"/>
        <w:ind w:firstLine="420" w:firstLineChars="20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6.</w:t>
      </w:r>
      <w:r>
        <w:rPr>
          <w:rFonts w:hint="eastAsia" w:ascii="宋体" w:hAnsi="宋体" w:eastAsia="宋体" w:cs="宋体"/>
          <w:color w:val="auto"/>
          <w:szCs w:val="20"/>
          <w:highlight w:val="none"/>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4305D073">
      <w:pPr>
        <w:spacing w:line="440" w:lineRule="exact"/>
        <w:ind w:firstLine="420" w:firstLineChars="20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7.</w:t>
      </w:r>
      <w:r>
        <w:rPr>
          <w:rFonts w:hint="eastAsia" w:ascii="宋体" w:hAnsi="宋体" w:eastAsia="宋体" w:cs="宋体"/>
          <w:color w:val="auto"/>
          <w:szCs w:val="20"/>
          <w:highlight w:val="none"/>
        </w:rPr>
        <w:t>我方已详细审核招标文件，我方知道必须放弃提出含糊不清或误解问题的权利。</w:t>
      </w:r>
    </w:p>
    <w:p w14:paraId="794EAFE8">
      <w:pPr>
        <w:spacing w:line="440" w:lineRule="exact"/>
        <w:ind w:firstLine="420" w:firstLineChars="20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8.</w:t>
      </w:r>
      <w:r>
        <w:rPr>
          <w:rFonts w:hint="eastAsia" w:ascii="宋体" w:hAnsi="宋体" w:eastAsia="宋体" w:cs="宋体"/>
          <w:color w:val="auto"/>
          <w:szCs w:val="20"/>
          <w:highlight w:val="none"/>
        </w:rPr>
        <w:t>我方同意应贵方要求提供与本投标有关的任何数据或资料。若贵方需要，我方愿意提供我方作出的一切承诺的证明材料。</w:t>
      </w:r>
    </w:p>
    <w:p w14:paraId="644F14AE">
      <w:pPr>
        <w:spacing w:line="440" w:lineRule="exact"/>
        <w:ind w:firstLine="420" w:firstLineChars="20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9.</w:t>
      </w:r>
      <w:r>
        <w:rPr>
          <w:rFonts w:hint="eastAsia" w:ascii="宋体" w:hAnsi="宋体" w:eastAsia="宋体" w:cs="宋体"/>
          <w:color w:val="auto"/>
          <w:szCs w:val="20"/>
          <w:highlight w:val="none"/>
        </w:rPr>
        <w:t>我方完全理解贵方不一定接受投标报价最低的投标人为</w:t>
      </w:r>
      <w:r>
        <w:rPr>
          <w:rFonts w:hint="eastAsia" w:ascii="宋体" w:hAnsi="宋体" w:eastAsia="宋体" w:cs="宋体"/>
          <w:color w:val="auto"/>
          <w:szCs w:val="20"/>
          <w:highlight w:val="none"/>
          <w:lang w:eastAsia="zh-CN"/>
        </w:rPr>
        <w:t>中标人</w:t>
      </w:r>
      <w:r>
        <w:rPr>
          <w:rFonts w:hint="eastAsia" w:ascii="宋体" w:hAnsi="宋体" w:eastAsia="宋体" w:cs="宋体"/>
          <w:color w:val="auto"/>
          <w:szCs w:val="20"/>
          <w:highlight w:val="none"/>
        </w:rPr>
        <w:t>的行为。</w:t>
      </w:r>
    </w:p>
    <w:p w14:paraId="735A2C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w:t>
      </w:r>
      <w:r>
        <w:rPr>
          <w:rFonts w:hint="eastAsia" w:ascii="宋体" w:hAnsi="宋体" w:eastAsia="宋体" w:cs="宋体"/>
          <w:color w:val="auto"/>
          <w:szCs w:val="21"/>
          <w:highlight w:val="none"/>
        </w:rPr>
        <w:t>本投标有效期自开标日起____日（自然日）。</w:t>
      </w:r>
    </w:p>
    <w:p w14:paraId="24D00710">
      <w:pPr>
        <w:spacing w:line="440" w:lineRule="exact"/>
        <w:ind w:firstLine="420" w:firstLineChars="20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11.</w:t>
      </w:r>
      <w:r>
        <w:rPr>
          <w:rFonts w:hint="eastAsia" w:ascii="宋体" w:hAnsi="宋体" w:eastAsia="宋体" w:cs="宋体"/>
          <w:color w:val="auto"/>
          <w:szCs w:val="20"/>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2F02B2">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1</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提供虚假材料谋取中标、成交的；</w:t>
      </w:r>
    </w:p>
    <w:p w14:paraId="5FB52D9D">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2</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采取不正当手段诋毁、排挤其他供应商的；</w:t>
      </w:r>
    </w:p>
    <w:p w14:paraId="482BC011">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3</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与采购人、其他供应商或者采购代理机构恶意串通的；</w:t>
      </w:r>
    </w:p>
    <w:p w14:paraId="02389878">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4</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向采购人、采购代理机构行贿或者提供其他不正当利益的；</w:t>
      </w:r>
    </w:p>
    <w:p w14:paraId="3CD45E86">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在招标采购过程中与采购人进行协商谈判的；</w:t>
      </w:r>
    </w:p>
    <w:p w14:paraId="2A3E293B">
      <w:pPr>
        <w:numPr>
          <w:ilvl w:val="0"/>
          <w:numId w:val="0"/>
        </w:numPr>
        <w:spacing w:line="440" w:lineRule="exact"/>
        <w:ind w:left="420" w:leftChars="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6</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拒绝有关部门监督检查或提供虚假情况的。</w:t>
      </w:r>
    </w:p>
    <w:p w14:paraId="0664376A">
      <w:pPr>
        <w:spacing w:line="440" w:lineRule="exact"/>
        <w:ind w:left="42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12.</w:t>
      </w:r>
      <w:r>
        <w:rPr>
          <w:rFonts w:hint="eastAsia" w:ascii="宋体" w:hAnsi="宋体" w:eastAsia="宋体" w:cs="宋体"/>
          <w:color w:val="auto"/>
          <w:szCs w:val="20"/>
          <w:highlight w:val="none"/>
        </w:rPr>
        <w:t>我方及由本人担任法定代表人的其他机构最近三年内被处罚的违法行为有：</w:t>
      </w:r>
      <w:r>
        <w:rPr>
          <w:rFonts w:hint="eastAsia" w:ascii="宋体" w:hAnsi="宋体" w:eastAsia="宋体" w:cs="宋体"/>
          <w:color w:val="auto"/>
          <w:szCs w:val="20"/>
          <w:highlight w:val="none"/>
          <w:u w:val="single"/>
        </w:rPr>
        <w:t xml:space="preserve">                                        </w:t>
      </w:r>
    </w:p>
    <w:p w14:paraId="0E1FDE30">
      <w:pPr>
        <w:spacing w:line="440" w:lineRule="exact"/>
        <w:ind w:left="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u w:val="single"/>
        </w:rPr>
        <w:t xml:space="preserve">                                                                                        </w:t>
      </w:r>
    </w:p>
    <w:p w14:paraId="56DB7536">
      <w:pPr>
        <w:spacing w:line="360" w:lineRule="auto"/>
        <w:ind w:firstLine="42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13.</w:t>
      </w:r>
      <w:r>
        <w:rPr>
          <w:rFonts w:hint="eastAsia" w:ascii="宋体" w:hAnsi="宋体" w:eastAsia="宋体" w:cs="宋体"/>
          <w:color w:val="auto"/>
          <w:szCs w:val="20"/>
          <w:highlight w:val="none"/>
        </w:rPr>
        <w:t>以上事项如有虚假或隐瞒，我方愿意承担一切后果，并不再寻求任何旨在减轻或免除法律责任的辩解。</w:t>
      </w:r>
    </w:p>
    <w:p w14:paraId="00782386">
      <w:pPr>
        <w:spacing w:line="360" w:lineRule="auto"/>
        <w:ind w:firstLine="420"/>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14.</w:t>
      </w:r>
      <w:r>
        <w:rPr>
          <w:rFonts w:hint="eastAsia" w:ascii="宋体" w:hAnsi="宋体" w:eastAsia="宋体" w:cs="宋体"/>
          <w:color w:val="auto"/>
          <w:szCs w:val="20"/>
          <w:highlight w:val="none"/>
        </w:rPr>
        <w:t>与本投标有关的一切正式往来信函请寄：</w:t>
      </w:r>
    </w:p>
    <w:p w14:paraId="2C2A6E98">
      <w:pPr>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288049DB">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p>
    <w:p w14:paraId="3720A795">
      <w:pPr>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w:t>
      </w:r>
    </w:p>
    <w:p w14:paraId="08C23ADF">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p>
    <w:p w14:paraId="5088405C">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开户名称：</w:t>
      </w:r>
      <w:r>
        <w:rPr>
          <w:rFonts w:hint="eastAsia" w:ascii="宋体" w:hAnsi="宋体" w:eastAsia="宋体" w:cs="宋体"/>
          <w:color w:val="auto"/>
          <w:szCs w:val="20"/>
          <w:highlight w:val="none"/>
          <w:u w:val="single"/>
        </w:rPr>
        <w:t xml:space="preserve">                                                    </w:t>
      </w:r>
    </w:p>
    <w:p w14:paraId="0A3E51ED">
      <w:pPr>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Cs w:val="20"/>
          <w:highlight w:val="none"/>
        </w:rPr>
        <w:t>开户银行：</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 w:val="21"/>
          <w:szCs w:val="21"/>
          <w:highlight w:val="none"/>
          <w:u w:val="single"/>
        </w:rPr>
        <w:t xml:space="preserve">                                 </w:t>
      </w:r>
    </w:p>
    <w:p w14:paraId="3CAD8CA7">
      <w:pPr>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789E0159">
      <w:pPr>
        <w:snapToGrid w:val="0"/>
        <w:spacing w:line="36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p>
    <w:p w14:paraId="5F0AA57F">
      <w:pPr>
        <w:snapToGrid w:val="0"/>
        <w:spacing w:line="36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7B19DC10">
      <w:pPr>
        <w:snapToGrid w:val="0"/>
        <w:spacing w:line="360" w:lineRule="auto"/>
        <w:ind w:firstLine="5160" w:firstLineChars="2150"/>
        <w:rPr>
          <w:rFonts w:hint="eastAsia" w:ascii="宋体" w:hAnsi="宋体" w:eastAsia="宋体" w:cs="宋体"/>
          <w:color w:val="auto"/>
          <w:kern w:val="0"/>
          <w:sz w:val="24"/>
          <w:highlight w:val="none"/>
          <w:lang w:val="zh-CN"/>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CE25131">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0"/>
          <w:szCs w:val="20"/>
          <w:highlight w:val="none"/>
        </w:rPr>
        <w:t>二、</w:t>
      </w: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2"/>
          <w:sz w:val="30"/>
          <w:szCs w:val="30"/>
          <w:highlight w:val="none"/>
          <w:lang w:val="zh-CN"/>
        </w:rPr>
        <w:t>(单位均为人民币元</w:t>
      </w:r>
      <w:r>
        <w:rPr>
          <w:rFonts w:hint="eastAsia" w:ascii="宋体" w:hAnsi="宋体" w:cs="宋体"/>
          <w:b/>
          <w:color w:val="auto"/>
          <w:kern w:val="2"/>
          <w:sz w:val="30"/>
          <w:szCs w:val="30"/>
          <w:highlight w:val="none"/>
          <w:lang w:val="zh-CN"/>
        </w:rPr>
        <w:t>）</w:t>
      </w:r>
    </w:p>
    <w:p w14:paraId="5F95CC7C">
      <w:pPr>
        <w:snapToGrid w:val="0"/>
        <w:spacing w:before="50" w:after="5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开标一览表</w:t>
      </w:r>
    </w:p>
    <w:p w14:paraId="35817839">
      <w:pPr>
        <w:snapToGrid w:val="0"/>
        <w:spacing w:before="50" w:after="50"/>
        <w:jc w:val="center"/>
        <w:rPr>
          <w:rFonts w:hint="eastAsia" w:ascii="宋体" w:hAnsi="宋体" w:eastAsia="宋体" w:cs="宋体"/>
          <w:b/>
          <w:color w:val="auto"/>
          <w:sz w:val="30"/>
          <w:szCs w:val="20"/>
          <w:highlight w:val="none"/>
        </w:rPr>
      </w:pPr>
    </w:p>
    <w:p w14:paraId="675D7B84">
      <w:pPr>
        <w:snapToGrid w:val="0"/>
        <w:spacing w:before="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分标：</w:t>
      </w:r>
      <w:r>
        <w:rPr>
          <w:rFonts w:hint="eastAsia" w:ascii="宋体" w:hAnsi="宋体" w:eastAsia="宋体" w:cs="宋体"/>
          <w:color w:val="auto"/>
          <w:szCs w:val="21"/>
          <w:highlight w:val="none"/>
          <w:u w:val="single"/>
        </w:rPr>
        <w:t xml:space="preserve">           </w:t>
      </w:r>
    </w:p>
    <w:p w14:paraId="285345E5">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单位：元</w:t>
      </w:r>
    </w:p>
    <w:p w14:paraId="5E4D0191">
      <w:pPr>
        <w:snapToGrid w:val="0"/>
        <w:spacing w:before="50" w:after="50" w:line="360" w:lineRule="auto"/>
        <w:rPr>
          <w:rFonts w:hint="eastAsia" w:ascii="宋体" w:hAnsi="宋体" w:eastAsia="宋体" w:cs="宋体"/>
          <w:color w:val="auto"/>
          <w:szCs w:val="21"/>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3216"/>
        <w:gridCol w:w="912"/>
        <w:gridCol w:w="1638"/>
        <w:gridCol w:w="1639"/>
        <w:gridCol w:w="1807"/>
      </w:tblGrid>
      <w:tr w14:paraId="2EE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490D4AD">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3216" w:type="dxa"/>
            <w:tcBorders>
              <w:top w:val="single" w:color="auto" w:sz="4" w:space="0"/>
              <w:left w:val="single" w:color="auto" w:sz="4" w:space="0"/>
              <w:bottom w:val="single" w:color="auto" w:sz="4" w:space="0"/>
              <w:right w:val="single" w:color="auto" w:sz="4" w:space="0"/>
            </w:tcBorders>
            <w:noWrap w:val="0"/>
            <w:vAlign w:val="center"/>
          </w:tcPr>
          <w:p w14:paraId="63850E9D">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标的名称</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3484660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数量及单位</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44FE5">
            <w:pPr>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单</w:t>
            </w:r>
            <w:r>
              <w:rPr>
                <w:rFonts w:hint="eastAsia" w:ascii="宋体" w:hAnsi="宋体" w:eastAsia="宋体" w:cs="宋体"/>
                <w:b w:val="0"/>
                <w:bCs w:val="0"/>
                <w:color w:val="auto"/>
                <w:sz w:val="21"/>
                <w:szCs w:val="21"/>
                <w:highlight w:val="none"/>
              </w:rPr>
              <w:t>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元</w:t>
            </w:r>
            <w:r>
              <w:rPr>
                <w:rFonts w:hint="eastAsia" w:ascii="宋体" w:hAnsi="宋体" w:eastAsia="宋体" w:cs="宋体"/>
                <w:b w:val="0"/>
                <w:bCs w:val="0"/>
                <w:color w:val="auto"/>
                <w:sz w:val="21"/>
                <w:szCs w:val="21"/>
                <w:highlight w:val="none"/>
                <w:lang w:eastAsia="zh-CN"/>
              </w:rPr>
              <w:t>）</w:t>
            </w:r>
          </w:p>
        </w:tc>
        <w:tc>
          <w:tcPr>
            <w:tcW w:w="16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D453E">
            <w:pPr>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总价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元</w:t>
            </w:r>
            <w:r>
              <w:rPr>
                <w:rFonts w:hint="eastAsia" w:ascii="宋体" w:hAnsi="宋体" w:eastAsia="宋体" w:cs="宋体"/>
                <w:b w:val="0"/>
                <w:bCs w:val="0"/>
                <w:color w:val="auto"/>
                <w:sz w:val="21"/>
                <w:szCs w:val="21"/>
                <w:highlight w:val="none"/>
                <w:lang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D49D071">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投标响应</w:t>
            </w:r>
          </w:p>
        </w:tc>
      </w:tr>
      <w:tr w14:paraId="3247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7C68EC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16" w:type="dxa"/>
            <w:tcBorders>
              <w:top w:val="single" w:color="auto" w:sz="4" w:space="0"/>
              <w:left w:val="single" w:color="auto" w:sz="4" w:space="0"/>
              <w:bottom w:val="single" w:color="auto" w:sz="4" w:space="0"/>
              <w:right w:val="single" w:color="auto" w:sz="4" w:space="0"/>
            </w:tcBorders>
            <w:noWrap w:val="0"/>
            <w:vAlign w:val="center"/>
          </w:tcPr>
          <w:p w14:paraId="09E76EE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2025—2026年度广西分散供养特困人员住院护理保险试点项目</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8EC350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B25B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13460000.00</w:t>
            </w:r>
          </w:p>
        </w:tc>
        <w:tc>
          <w:tcPr>
            <w:tcW w:w="16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09D8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13460000.00</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AC2CF88">
            <w:pPr>
              <w:spacing w:line="360" w:lineRule="auto"/>
              <w:jc w:val="center"/>
              <w:rPr>
                <w:rFonts w:hint="eastAsia" w:ascii="宋体" w:hAnsi="宋体" w:eastAsia="宋体" w:cs="宋体"/>
                <w:color w:val="auto"/>
                <w:sz w:val="21"/>
                <w:szCs w:val="21"/>
                <w:highlight w:val="none"/>
                <w:lang w:val="en-US" w:eastAsia="zh-CN"/>
              </w:rPr>
            </w:pPr>
          </w:p>
        </w:tc>
      </w:tr>
      <w:tr w14:paraId="72E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854" w:type="dxa"/>
            <w:gridSpan w:val="6"/>
            <w:tcBorders>
              <w:top w:val="single" w:color="auto" w:sz="4" w:space="0"/>
              <w:left w:val="single" w:color="auto" w:sz="4" w:space="0"/>
              <w:bottom w:val="single" w:color="auto" w:sz="4" w:space="0"/>
              <w:right w:val="single" w:color="auto" w:sz="4" w:space="0"/>
            </w:tcBorders>
            <w:noWrap w:val="0"/>
            <w:vAlign w:val="center"/>
          </w:tcPr>
          <w:p w14:paraId="7DA982A6">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金额大写：人民币</w:t>
            </w:r>
            <w:r>
              <w:rPr>
                <w:rFonts w:hint="eastAsia" w:ascii="宋体" w:hAnsi="宋体" w:eastAsia="宋体" w:cs="宋体"/>
                <w:color w:val="auto"/>
                <w:sz w:val="21"/>
                <w:szCs w:val="21"/>
                <w:highlight w:val="none"/>
                <w:u w:val="single"/>
                <w:lang w:val="en-US" w:eastAsia="zh-CN"/>
              </w:rPr>
              <w:t>壹仟叁佰肆拾陆万元整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13460000.00</w:t>
            </w:r>
            <w:r>
              <w:rPr>
                <w:rFonts w:hint="eastAsia" w:ascii="宋体" w:hAnsi="宋体" w:eastAsia="宋体" w:cs="宋体"/>
                <w:color w:val="auto"/>
                <w:sz w:val="21"/>
                <w:szCs w:val="21"/>
                <w:highlight w:val="none"/>
              </w:rPr>
              <w:t>）</w:t>
            </w:r>
          </w:p>
          <w:p w14:paraId="40EB4591">
            <w:pPr>
              <w:snapToGrid w:val="0"/>
              <w:spacing w:before="50" w:after="50"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服务期限</w:t>
            </w:r>
            <w:r>
              <w:rPr>
                <w:rFonts w:hint="eastAsia" w:ascii="宋体" w:hAnsi="宋体" w:eastAsia="宋体" w:cs="宋体"/>
                <w:color w:val="auto"/>
                <w:sz w:val="21"/>
                <w:szCs w:val="21"/>
                <w:highlight w:val="none"/>
                <w:lang w:eastAsia="zh-CN"/>
              </w:rPr>
              <w:t>（合同履约期限）：1年</w:t>
            </w:r>
            <w:r>
              <w:rPr>
                <w:rFonts w:hint="eastAsia"/>
                <w:color w:val="auto"/>
                <w:highlight w:val="none"/>
                <w:lang w:val="en-US" w:eastAsia="zh-CN"/>
              </w:rPr>
              <w:t>（自通过政府采购确定承接的保险机构并签署合同之日起计算）</w:t>
            </w:r>
            <w:r>
              <w:rPr>
                <w:rFonts w:hint="eastAsia" w:ascii="宋体" w:hAnsi="宋体" w:eastAsia="宋体" w:cs="宋体"/>
                <w:color w:val="auto"/>
                <w:sz w:val="21"/>
                <w:szCs w:val="21"/>
                <w:highlight w:val="none"/>
                <w:lang w:eastAsia="zh-CN"/>
              </w:rPr>
              <w:t>。</w:t>
            </w:r>
          </w:p>
        </w:tc>
      </w:tr>
    </w:tbl>
    <w:p w14:paraId="5BB5D577">
      <w:pPr>
        <w:snapToGrid w:val="0"/>
        <w:spacing w:before="50" w:after="50" w:line="360" w:lineRule="auto"/>
        <w:jc w:val="left"/>
        <w:rPr>
          <w:rFonts w:hint="eastAsia" w:ascii="宋体" w:hAnsi="宋体" w:eastAsia="宋体" w:cs="宋体"/>
          <w:color w:val="auto"/>
          <w:szCs w:val="21"/>
          <w:highlight w:val="none"/>
        </w:rPr>
      </w:pPr>
    </w:p>
    <w:p w14:paraId="65733DCD">
      <w:pPr>
        <w:snapToGrid w:val="0"/>
        <w:spacing w:before="50" w:after="50" w:line="360" w:lineRule="auto"/>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w:t>
      </w:r>
    </w:p>
    <w:p w14:paraId="49764148">
      <w:pPr>
        <w:snapToGrid w:val="0"/>
        <w:spacing w:before="50" w:after="50"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1.本项目报价为固定总价（本项目为总价包干方式发包），</w:t>
      </w:r>
      <w:r>
        <w:rPr>
          <w:rFonts w:hint="eastAsia" w:ascii="宋体" w:hAnsi="宋体" w:eastAsia="宋体" w:cs="宋体"/>
          <w:color w:val="auto"/>
          <w:kern w:val="0"/>
          <w:sz w:val="21"/>
          <w:szCs w:val="21"/>
          <w:highlight w:val="none"/>
        </w:rPr>
        <w:t>供应商应根据自身的承诺，对照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kern w:val="0"/>
          <w:sz w:val="21"/>
          <w:szCs w:val="21"/>
          <w:highlight w:val="none"/>
        </w:rPr>
        <w:t>文件要求在“</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响应”中</w:t>
      </w:r>
      <w:r>
        <w:rPr>
          <w:rFonts w:hint="eastAsia" w:ascii="宋体" w:hAnsi="宋体" w:eastAsia="宋体" w:cs="宋体"/>
          <w:b/>
          <w:bCs/>
          <w:color w:val="auto"/>
          <w:kern w:val="0"/>
          <w:sz w:val="21"/>
          <w:szCs w:val="21"/>
          <w:highlight w:val="none"/>
        </w:rPr>
        <w:t>注明“</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或者“</w:t>
      </w:r>
      <w:r>
        <w:rPr>
          <w:rFonts w:hint="eastAsia" w:ascii="宋体" w:hAnsi="宋体" w:eastAsia="宋体" w:cs="宋体"/>
          <w:b/>
          <w:bCs/>
          <w:color w:val="auto"/>
          <w:kern w:val="0"/>
          <w:sz w:val="21"/>
          <w:szCs w:val="21"/>
          <w:highlight w:val="none"/>
          <w:lang w:val="en-US" w:eastAsia="zh-CN"/>
        </w:rPr>
        <w:t>不响应</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如填写为</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不响应</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的投标</w:t>
      </w:r>
      <w:r>
        <w:rPr>
          <w:rFonts w:hint="eastAsia" w:ascii="宋体" w:hAnsi="宋体" w:eastAsia="宋体" w:cs="宋体"/>
          <w:b/>
          <w:bCs/>
          <w:color w:val="auto"/>
          <w:kern w:val="0"/>
          <w:sz w:val="21"/>
          <w:szCs w:val="21"/>
          <w:highlight w:val="none"/>
        </w:rPr>
        <w:t>文件作无效投标处理</w:t>
      </w:r>
      <w:r>
        <w:rPr>
          <w:rFonts w:hint="eastAsia" w:ascii="宋体" w:hAnsi="宋体" w:eastAsia="宋体" w:cs="宋体"/>
          <w:color w:val="auto"/>
          <w:kern w:val="0"/>
          <w:sz w:val="21"/>
          <w:szCs w:val="21"/>
          <w:highlight w:val="none"/>
        </w:rPr>
        <w:t>。</w:t>
      </w:r>
    </w:p>
    <w:p w14:paraId="6FBC4E7E">
      <w:pPr>
        <w:snapToGrid w:val="0"/>
        <w:spacing w:before="50" w:after="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.投标人的开标一览表必须加盖投标人公章并由法定代表人或者</w:t>
      </w:r>
      <w:r>
        <w:rPr>
          <w:rFonts w:hint="eastAsia" w:ascii="宋体" w:hAnsi="宋体" w:eastAsia="宋体" w:cs="宋体"/>
          <w:color w:val="auto"/>
          <w:szCs w:val="21"/>
          <w:highlight w:val="none"/>
          <w:lang w:val="en-US" w:eastAsia="zh-CN"/>
        </w:rPr>
        <w:t>负责人或者</w:t>
      </w:r>
      <w:r>
        <w:rPr>
          <w:rFonts w:hint="eastAsia" w:ascii="宋体" w:hAnsi="宋体" w:eastAsia="宋体" w:cs="宋体"/>
          <w:color w:val="auto"/>
          <w:szCs w:val="21"/>
          <w:highlight w:val="none"/>
        </w:rPr>
        <w:t>委托代理人签字或签章或盖章，</w:t>
      </w:r>
      <w:r>
        <w:rPr>
          <w:rFonts w:hint="eastAsia" w:ascii="宋体" w:hAnsi="宋体" w:eastAsia="宋体" w:cs="宋体"/>
          <w:b/>
          <w:color w:val="auto"/>
          <w:szCs w:val="21"/>
          <w:highlight w:val="none"/>
        </w:rPr>
        <w:t>否则其投标作无效标处理</w:t>
      </w:r>
      <w:r>
        <w:rPr>
          <w:rFonts w:hint="eastAsia" w:ascii="宋体" w:hAnsi="宋体" w:eastAsia="宋体" w:cs="宋体"/>
          <w:color w:val="auto"/>
          <w:szCs w:val="21"/>
          <w:highlight w:val="none"/>
        </w:rPr>
        <w:t>。</w:t>
      </w:r>
    </w:p>
    <w:p w14:paraId="522BDC78">
      <w:pPr>
        <w:snapToGrid w:val="0"/>
        <w:spacing w:before="50" w:after="50"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报价一经涂改，应在涂改处加盖投标人公章或者由法定代表人或者</w:t>
      </w:r>
      <w:r>
        <w:rPr>
          <w:rFonts w:hint="eastAsia" w:ascii="宋体" w:hAnsi="宋体" w:eastAsia="宋体" w:cs="宋体"/>
          <w:color w:val="auto"/>
          <w:szCs w:val="21"/>
          <w:highlight w:val="none"/>
          <w:lang w:val="en-US" w:eastAsia="zh-CN"/>
        </w:rPr>
        <w:t>负责人或者</w:t>
      </w:r>
      <w:r>
        <w:rPr>
          <w:rFonts w:hint="eastAsia" w:ascii="宋体" w:hAnsi="宋体" w:eastAsia="宋体" w:cs="宋体"/>
          <w:color w:val="auto"/>
          <w:szCs w:val="21"/>
          <w:highlight w:val="none"/>
        </w:rPr>
        <w:t>委托代理人签字或者盖章</w:t>
      </w:r>
      <w:r>
        <w:rPr>
          <w:rFonts w:hint="eastAsia" w:ascii="宋体" w:hAnsi="宋体" w:eastAsia="宋体" w:cs="宋体"/>
          <w:b/>
          <w:color w:val="auto"/>
          <w:szCs w:val="21"/>
          <w:highlight w:val="none"/>
        </w:rPr>
        <w:t>，否则其投标作无效标处理。</w:t>
      </w:r>
    </w:p>
    <w:p w14:paraId="20433FC6">
      <w:pPr>
        <w:snapToGrid w:val="0"/>
        <w:spacing w:before="50" w:after="50" w:line="360" w:lineRule="auto"/>
        <w:ind w:firstLine="422" w:firstLineChars="200"/>
        <w:rPr>
          <w:rFonts w:hint="eastAsia" w:ascii="宋体" w:hAnsi="宋体" w:eastAsia="宋体" w:cs="宋体"/>
          <w:b/>
          <w:color w:val="auto"/>
          <w:szCs w:val="21"/>
          <w:highlight w:val="none"/>
          <w:lang w:val="en-US" w:eastAsia="zh-CN"/>
        </w:rPr>
      </w:pPr>
    </w:p>
    <w:p w14:paraId="4D87DEFD">
      <w:pPr>
        <w:snapToGrid w:val="0"/>
        <w:spacing w:before="50" w:after="50" w:line="360" w:lineRule="auto"/>
        <w:ind w:left="-2" w:leftChars="-1" w:right="-817" w:rightChars="-389"/>
        <w:rPr>
          <w:rFonts w:hint="eastAsia" w:ascii="宋体" w:hAnsi="宋体" w:eastAsia="宋体" w:cs="宋体"/>
          <w:color w:val="auto"/>
          <w:szCs w:val="21"/>
          <w:highlight w:val="none"/>
        </w:rPr>
      </w:pPr>
    </w:p>
    <w:p w14:paraId="2930CF05">
      <w:pPr>
        <w:snapToGrid w:val="0"/>
        <w:spacing w:line="360" w:lineRule="auto"/>
        <w:ind w:firstLine="422" w:firstLineChars="200"/>
        <w:rPr>
          <w:rFonts w:hint="eastAsia" w:ascii="宋体" w:hAnsi="宋体" w:eastAsia="宋体" w:cs="宋体"/>
          <w:b/>
          <w:color w:val="auto"/>
          <w:szCs w:val="21"/>
          <w:highlight w:val="none"/>
          <w:lang w:val="en-US" w:eastAsia="zh-CN"/>
        </w:rPr>
      </w:pPr>
    </w:p>
    <w:p w14:paraId="472FC7DB">
      <w:pPr>
        <w:snapToGrid w:val="0"/>
        <w:spacing w:line="360" w:lineRule="auto"/>
        <w:ind w:firstLine="4410" w:firstLineChars="2100"/>
        <w:rPr>
          <w:rFonts w:hint="eastAsia" w:ascii="宋体" w:hAnsi="宋体" w:eastAsia="宋体" w:cs="宋体"/>
          <w:color w:val="auto"/>
          <w:kern w:val="0"/>
          <w:sz w:val="21"/>
          <w:szCs w:val="21"/>
          <w:highlight w:val="none"/>
          <w:lang w:val="zh-CN"/>
        </w:rPr>
      </w:pPr>
    </w:p>
    <w:p w14:paraId="68593F74">
      <w:pPr>
        <w:snapToGrid w:val="0"/>
        <w:spacing w:line="360" w:lineRule="auto"/>
        <w:ind w:firstLine="4410" w:firstLineChars="2100"/>
        <w:rPr>
          <w:rFonts w:hint="eastAsia" w:ascii="宋体" w:hAnsi="宋体" w:eastAsia="宋体" w:cs="宋体"/>
          <w:color w:val="auto"/>
          <w:kern w:val="0"/>
          <w:sz w:val="21"/>
          <w:szCs w:val="21"/>
          <w:highlight w:val="none"/>
          <w:lang w:val="zh-CN"/>
        </w:rPr>
      </w:pPr>
    </w:p>
    <w:p w14:paraId="7595BA02">
      <w:pPr>
        <w:snapToGrid w:val="0"/>
        <w:spacing w:line="36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p>
    <w:p w14:paraId="28AD1F71">
      <w:pPr>
        <w:snapToGrid w:val="0"/>
        <w:spacing w:line="36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2D3B60E8">
      <w:pPr>
        <w:spacing w:line="500" w:lineRule="exact"/>
        <w:ind w:firstLine="450" w:firstLineChars="150"/>
        <w:rPr>
          <w:rFonts w:hint="eastAsia" w:ascii="宋体" w:hAnsi="宋体" w:eastAsia="宋体" w:cs="宋体"/>
          <w:color w:val="auto"/>
          <w:sz w:val="30"/>
          <w:szCs w:val="20"/>
          <w:highlight w:val="none"/>
        </w:rPr>
      </w:pPr>
    </w:p>
    <w:p w14:paraId="6803221A">
      <w:pPr>
        <w:snapToGrid w:val="0"/>
        <w:spacing w:line="360" w:lineRule="auto"/>
        <w:ind w:firstLine="6475" w:firstLineChars="2150"/>
        <w:rPr>
          <w:rFonts w:hint="eastAsia" w:ascii="宋体" w:hAnsi="宋体" w:eastAsia="宋体" w:cs="宋体"/>
          <w:color w:val="auto"/>
          <w:kern w:val="0"/>
          <w:sz w:val="24"/>
          <w:highlight w:val="none"/>
          <w:lang w:val="zh-CN"/>
        </w:rPr>
      </w:pPr>
      <w:r>
        <w:rPr>
          <w:rFonts w:hint="eastAsia" w:ascii="宋体" w:hAnsi="宋体" w:eastAsia="宋体" w:cs="宋体"/>
          <w:b/>
          <w:color w:val="auto"/>
          <w:sz w:val="30"/>
          <w:szCs w:val="30"/>
          <w:highlight w:val="none"/>
        </w:rPr>
        <w:br w:type="page"/>
      </w:r>
    </w:p>
    <w:p w14:paraId="29A886EC">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26D4BA47">
      <w:pPr>
        <w:spacing w:after="120"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388BC279">
      <w:pPr>
        <w:tabs>
          <w:tab w:val="left" w:pos="1384"/>
          <w:tab w:val="left" w:pos="4562"/>
          <w:tab w:val="left" w:pos="6803"/>
        </w:tabs>
        <w:spacing w:before="13" w:line="500" w:lineRule="exact"/>
        <w:ind w:right="142" w:firstLine="600" w:firstLineChars="286"/>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083D1CD9">
      <w:pPr>
        <w:tabs>
          <w:tab w:val="left" w:pos="1065"/>
          <w:tab w:val="left" w:pos="4262"/>
          <w:tab w:val="left" w:pos="6477"/>
        </w:tabs>
        <w:spacing w:before="20" w:line="500" w:lineRule="exact"/>
        <w:ind w:right="84" w:firstLine="600" w:firstLineChars="28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0CD99E68">
      <w:pPr>
        <w:spacing w:before="34" w:after="120" w:line="500" w:lineRule="exact"/>
        <w:ind w:left="765" w:right="142" w:hanging="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422C5A6">
      <w:pPr>
        <w:spacing w:before="34" w:after="120"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FA7F292">
      <w:pPr>
        <w:spacing w:before="34" w:after="120"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D6D9CA">
      <w:pPr>
        <w:spacing w:line="360" w:lineRule="auto"/>
        <w:ind w:firstLine="420" w:firstLineChars="200"/>
        <w:rPr>
          <w:rFonts w:hint="eastAsia" w:ascii="宋体" w:hAnsi="宋体" w:eastAsia="宋体" w:cs="宋体"/>
          <w:color w:val="auto"/>
          <w:sz w:val="21"/>
          <w:szCs w:val="21"/>
          <w:highlight w:val="none"/>
        </w:rPr>
      </w:pPr>
    </w:p>
    <w:p w14:paraId="578776C7">
      <w:pPr>
        <w:spacing w:line="360" w:lineRule="auto"/>
        <w:ind w:firstLine="420" w:firstLineChars="200"/>
        <w:rPr>
          <w:rFonts w:hint="eastAsia" w:ascii="宋体" w:hAnsi="宋体" w:eastAsia="宋体" w:cs="宋体"/>
          <w:color w:val="auto"/>
          <w:sz w:val="21"/>
          <w:szCs w:val="21"/>
          <w:highlight w:val="none"/>
        </w:rPr>
      </w:pPr>
    </w:p>
    <w:p w14:paraId="399E2E57">
      <w:pPr>
        <w:snapToGrid w:val="0"/>
        <w:spacing w:line="36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p>
    <w:p w14:paraId="1B02D389">
      <w:pPr>
        <w:snapToGrid w:val="0"/>
        <w:spacing w:line="36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4515ED63">
      <w:pPr>
        <w:spacing w:line="360" w:lineRule="auto"/>
        <w:ind w:firstLine="420" w:firstLineChars="200"/>
        <w:rPr>
          <w:rFonts w:hint="eastAsia" w:ascii="宋体" w:hAnsi="宋体" w:eastAsia="宋体" w:cs="宋体"/>
          <w:color w:val="auto"/>
          <w:szCs w:val="21"/>
          <w:highlight w:val="none"/>
        </w:rPr>
      </w:pPr>
    </w:p>
    <w:p w14:paraId="3A94C1E6">
      <w:pPr>
        <w:snapToGrid w:val="0"/>
        <w:spacing w:before="50" w:after="165" w:after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D63EE70">
      <w:pPr>
        <w:numPr>
          <w:ilvl w:val="0"/>
          <w:numId w:val="0"/>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2FB112F5">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请根据自己的真实情况出具《中小企业声明函》。依法享受中小企业优惠政策的，采购人或者采购代理机构在公告中标结果时，同时公告其《中小企业声明函》，接受社会监督。</w:t>
      </w:r>
    </w:p>
    <w:p w14:paraId="784E72C8">
      <w:pPr>
        <w:snapToGrid/>
        <w:spacing w:before="0" w:after="0" w:afterLines="0" w:line="24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color w:val="auto"/>
          <w:sz w:val="20"/>
          <w:highlight w:val="none"/>
        </w:rPr>
        <w:br w:type="page"/>
      </w:r>
      <w:r>
        <w:rPr>
          <w:rFonts w:hint="eastAsia" w:ascii="宋体" w:hAnsi="宋体" w:eastAsia="宋体" w:cs="宋体"/>
          <w:b/>
          <w:color w:val="auto"/>
          <w:kern w:val="2"/>
          <w:sz w:val="30"/>
          <w:szCs w:val="30"/>
          <w:highlight w:val="none"/>
          <w:lang w:val="en-US" w:eastAsia="zh-CN"/>
        </w:rPr>
        <w:t>四、</w:t>
      </w:r>
      <w:r>
        <w:rPr>
          <w:rFonts w:hint="eastAsia" w:ascii="宋体" w:hAnsi="宋体" w:eastAsia="宋体" w:cs="宋体"/>
          <w:b/>
          <w:color w:val="auto"/>
          <w:sz w:val="30"/>
          <w:szCs w:val="30"/>
          <w:highlight w:val="none"/>
        </w:rPr>
        <w:t>投标人针对报价需要说明的其他文件和说明</w:t>
      </w:r>
    </w:p>
    <w:p w14:paraId="60A08973">
      <w:pPr>
        <w:snapToGrid/>
        <w:spacing w:before="0" w:after="0" w:afterLines="0" w:line="24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（格式自拟）</w:t>
      </w:r>
    </w:p>
    <w:p w14:paraId="10BCB002">
      <w:pPr>
        <w:snapToGrid/>
        <w:spacing w:before="0" w:after="0" w:afterLines="0" w:line="240" w:lineRule="auto"/>
        <w:ind w:firstLine="0" w:firstLineChars="0"/>
        <w:jc w:val="center"/>
        <w:rPr>
          <w:rFonts w:hint="eastAsia" w:ascii="宋体" w:hAnsi="宋体" w:eastAsia="宋体" w:cs="宋体"/>
          <w:b/>
          <w:color w:val="auto"/>
          <w:sz w:val="30"/>
          <w:szCs w:val="30"/>
          <w:highlight w:val="none"/>
        </w:rPr>
      </w:pPr>
    </w:p>
    <w:p w14:paraId="65371F60">
      <w:pPr>
        <w:snapToGrid w:val="0"/>
        <w:spacing w:line="36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p>
    <w:p w14:paraId="13209BEC">
      <w:pPr>
        <w:snapToGrid w:val="0"/>
        <w:spacing w:line="36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A2C704F">
      <w:pPr>
        <w:snapToGrid/>
        <w:spacing w:before="0" w:after="0" w:afterLines="0" w:line="240" w:lineRule="auto"/>
        <w:ind w:firstLine="0" w:firstLineChars="0"/>
        <w:jc w:val="center"/>
        <w:rPr>
          <w:rFonts w:hint="eastAsia" w:ascii="宋体" w:hAnsi="宋体" w:eastAsia="宋体" w:cs="宋体"/>
          <w:b/>
          <w:color w:val="auto"/>
          <w:sz w:val="30"/>
          <w:szCs w:val="3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CE6B960">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第七章 质疑、投诉证明材料格式</w:t>
      </w:r>
      <w:bookmarkEnd w:id="154"/>
      <w:bookmarkEnd w:id="155"/>
    </w:p>
    <w:p w14:paraId="7A7A1EC2">
      <w:pPr>
        <w:snapToGrid/>
        <w:spacing w:before="0" w:after="0" w:afterLines="0" w:line="240" w:lineRule="auto"/>
        <w:ind w:firstLine="0" w:firstLineChars="0"/>
        <w:jc w:val="center"/>
        <w:outlineLvl w:val="0"/>
        <w:rPr>
          <w:rFonts w:hint="eastAsia" w:ascii="宋体" w:hAnsi="宋体" w:eastAsia="宋体" w:cs="宋体"/>
          <w:b/>
          <w:color w:val="auto"/>
          <w:sz w:val="36"/>
          <w:szCs w:val="20"/>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4E40DCD9">
      <w:pPr>
        <w:widowControl/>
        <w:shd w:val="clear" w:color="auto" w:fill="FFFFFF"/>
        <w:spacing w:line="260" w:lineRule="exact"/>
        <w:jc w:val="left"/>
        <w:rPr>
          <w:rFonts w:hint="eastAsia" w:ascii="宋体" w:hAnsi="宋体" w:eastAsia="宋体" w:cs="宋体"/>
          <w:b/>
          <w:bCs/>
          <w:color w:val="auto"/>
          <w:sz w:val="28"/>
          <w:szCs w:val="28"/>
          <w:highlight w:val="none"/>
        </w:rPr>
      </w:pPr>
    </w:p>
    <w:p w14:paraId="24051753">
      <w:pPr>
        <w:pStyle w:val="3"/>
        <w:bidi w:val="0"/>
        <w:jc w:val="center"/>
        <w:rPr>
          <w:rFonts w:hint="eastAsia" w:ascii="宋体" w:hAnsi="宋体" w:eastAsia="宋体" w:cs="宋体"/>
          <w:color w:val="auto"/>
          <w:highlight w:val="none"/>
        </w:rPr>
      </w:pPr>
      <w:bookmarkStart w:id="156" w:name="_Toc30370"/>
      <w:bookmarkStart w:id="157" w:name="_Toc14039"/>
      <w:r>
        <w:rPr>
          <w:rFonts w:hint="eastAsia" w:ascii="宋体" w:hAnsi="宋体" w:eastAsia="宋体" w:cs="宋体"/>
          <w:color w:val="auto"/>
          <w:highlight w:val="none"/>
        </w:rPr>
        <w:t>第一节 质疑函（格式）</w:t>
      </w:r>
      <w:bookmarkEnd w:id="156"/>
      <w:bookmarkEnd w:id="157"/>
    </w:p>
    <w:p w14:paraId="0FF952D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质疑函范本</w:t>
      </w:r>
    </w:p>
    <w:p w14:paraId="25FF7C20">
      <w:pPr>
        <w:adjustRightInd w:val="0"/>
        <w:snapToGrid w:val="0"/>
        <w:spacing w:before="331" w:beforeLines="10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307DD5A4">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28F3A07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4662B0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3EC802A5">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5F0273B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12D1340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0463C7CF">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0E3DCA9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031EED6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0544F2BD">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3C545BD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773538F8">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0B6881FF">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13C3EF09">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C282FE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6A24312D">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7E022C7">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53892691">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071DD86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317C5A1">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1E30DD3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24F3609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公章：                      </w:t>
      </w:r>
    </w:p>
    <w:p w14:paraId="22EF19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1E049A9A">
      <w:pPr>
        <w:jc w:val="center"/>
        <w:rPr>
          <w:rFonts w:hint="eastAsia" w:ascii="宋体" w:hAnsi="宋体" w:eastAsia="宋体" w:cs="宋体"/>
          <w:b/>
          <w:bCs/>
          <w:color w:val="auto"/>
          <w:sz w:val="21"/>
          <w:szCs w:val="21"/>
          <w:highlight w:val="none"/>
        </w:rPr>
      </w:pPr>
    </w:p>
    <w:p w14:paraId="5EEB1628">
      <w:pPr>
        <w:rPr>
          <w:rFonts w:hint="eastAsia" w:ascii="宋体" w:hAnsi="宋体" w:eastAsia="宋体" w:cs="宋体"/>
          <w:b/>
          <w:color w:val="auto"/>
          <w:sz w:val="21"/>
          <w:szCs w:val="21"/>
          <w:highlight w:val="none"/>
        </w:rPr>
      </w:pPr>
    </w:p>
    <w:p w14:paraId="67370D48">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05B28EC2">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1C071BBF">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3082D4FF">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4DCA530A">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1F350F01">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5D36CC6D">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268B4700">
      <w:pPr>
        <w:widowControl/>
        <w:ind w:firstLine="420" w:firstLineChars="200"/>
        <w:jc w:val="left"/>
        <w:rPr>
          <w:rFonts w:hint="eastAsia" w:ascii="宋体" w:hAnsi="宋体" w:eastAsia="宋体" w:cs="宋体"/>
          <w:color w:val="auto"/>
          <w:sz w:val="21"/>
          <w:szCs w:val="21"/>
          <w:highlight w:val="none"/>
        </w:rPr>
      </w:pPr>
    </w:p>
    <w:p w14:paraId="07BA4ED9">
      <w:pPr>
        <w:snapToGrid w:val="0"/>
        <w:spacing w:before="50" w:after="165" w:afterLines="50" w:line="360" w:lineRule="auto"/>
        <w:ind w:firstLine="420" w:firstLineChars="200"/>
        <w:jc w:val="left"/>
        <w:rPr>
          <w:rFonts w:hint="eastAsia" w:ascii="宋体" w:hAnsi="宋体" w:eastAsia="宋体" w:cs="宋体"/>
          <w:color w:val="auto"/>
          <w:kern w:val="0"/>
          <w:sz w:val="21"/>
          <w:szCs w:val="21"/>
          <w:highlight w:val="none"/>
        </w:rPr>
        <w:sectPr>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155E5C66">
      <w:pPr>
        <w:pStyle w:val="3"/>
        <w:bidi w:val="0"/>
        <w:jc w:val="center"/>
        <w:rPr>
          <w:rFonts w:hint="eastAsia" w:ascii="宋体" w:hAnsi="宋体" w:eastAsia="宋体" w:cs="宋体"/>
          <w:color w:val="auto"/>
          <w:highlight w:val="none"/>
        </w:rPr>
      </w:pPr>
      <w:bookmarkStart w:id="158" w:name="_Toc1422"/>
      <w:bookmarkStart w:id="159" w:name="_Toc10001"/>
      <w:r>
        <w:rPr>
          <w:rFonts w:hint="eastAsia" w:ascii="宋体" w:hAnsi="宋体" w:eastAsia="宋体" w:cs="宋体"/>
          <w:color w:val="auto"/>
          <w:highlight w:val="none"/>
        </w:rPr>
        <w:t>第二节 投诉书（格式）</w:t>
      </w:r>
      <w:bookmarkEnd w:id="158"/>
      <w:bookmarkEnd w:id="159"/>
    </w:p>
    <w:p w14:paraId="4B5035B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投诉书范本</w:t>
      </w:r>
    </w:p>
    <w:p w14:paraId="3E52F89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3D7D2854">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3A011040">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FDE6EC5">
      <w:pPr>
        <w:tabs>
          <w:tab w:val="left" w:pos="651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2E4D87E">
      <w:pPr>
        <w:tabs>
          <w:tab w:val="left" w:pos="6510"/>
        </w:tabs>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30A3379">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3FA1FBD">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66E320C2">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B04F7D7">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8E8243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9F237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795C1360">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3F7FD308">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4C8F0CE">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5159F221">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4D570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06B614F7">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2A79FBD4">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6734937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50601F3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7A3610DD">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566D61B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1AFF15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403078F5">
      <w:pPr>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15CD705A">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21BEA0D6">
      <w:pPr>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就质疑事项作出了答复/没有在法定期限内作出答复。</w:t>
      </w:r>
    </w:p>
    <w:p w14:paraId="3FA3A0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2B8B99F8">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0A2595F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4965AABD">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9DD9A7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060C3264">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440776C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56F66A6D">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01E8DB7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45B5ACB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512AFEA">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7DEE5B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公章：                      </w:t>
      </w:r>
    </w:p>
    <w:p w14:paraId="7CA0EF3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378AF8DE">
      <w:pPr>
        <w:rPr>
          <w:rFonts w:hint="eastAsia" w:ascii="宋体" w:hAnsi="宋体" w:eastAsia="宋体" w:cs="宋体"/>
          <w:b/>
          <w:color w:val="auto"/>
          <w:sz w:val="21"/>
          <w:szCs w:val="21"/>
          <w:highlight w:val="none"/>
        </w:rPr>
      </w:pPr>
    </w:p>
    <w:p w14:paraId="7DBA95E8">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66105CD0">
      <w:pPr>
        <w:widowControl/>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76D62736">
      <w:pPr>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29515A75">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74AD02C4">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65D91CD0">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56BF7C1B">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40D494C3">
      <w:pPr>
        <w:widowControl/>
        <w:ind w:firstLine="42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4454335E">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29E0F325">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63A73F05">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1BE3FD96">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414F8FD7">
      <w:pPr>
        <w:bidi w:val="0"/>
        <w:jc w:val="center"/>
        <w:outlineLvl w:val="0"/>
        <w:rPr>
          <w:rFonts w:hint="eastAsia" w:ascii="宋体" w:hAnsi="宋体" w:eastAsia="宋体" w:cs="宋体"/>
          <w:b/>
          <w:bCs/>
          <w:color w:val="auto"/>
          <w:kern w:val="44"/>
          <w:sz w:val="44"/>
          <w:szCs w:val="44"/>
          <w:highlight w:val="none"/>
          <w:lang w:val="en-US" w:eastAsia="zh-CN" w:bidi="ar-SA"/>
        </w:rPr>
      </w:pPr>
      <w:bookmarkStart w:id="160" w:name="_Toc12838"/>
      <w:bookmarkStart w:id="161" w:name="_Toc8819"/>
    </w:p>
    <w:p w14:paraId="0A6773D0">
      <w:pPr>
        <w:bidi w:val="0"/>
        <w:jc w:val="center"/>
        <w:outlineLvl w:val="0"/>
        <w:rPr>
          <w:rFonts w:hint="eastAsia" w:ascii="宋体" w:hAnsi="宋体" w:eastAsia="宋体" w:cs="宋体"/>
          <w:b/>
          <w:bCs/>
          <w:color w:val="auto"/>
          <w:kern w:val="44"/>
          <w:sz w:val="44"/>
          <w:szCs w:val="44"/>
          <w:highlight w:val="none"/>
          <w:lang w:val="en-US" w:eastAsia="zh-CN" w:bidi="ar-SA"/>
        </w:rPr>
      </w:pPr>
    </w:p>
    <w:p w14:paraId="665C61E5">
      <w:pPr>
        <w:bidi w:val="0"/>
        <w:jc w:val="center"/>
        <w:outlineLvl w:val="0"/>
        <w:rPr>
          <w:rFonts w:hint="eastAsia" w:ascii="宋体" w:hAnsi="宋体" w:eastAsia="宋体" w:cs="宋体"/>
          <w:b/>
          <w:bCs/>
          <w:color w:val="auto"/>
          <w:kern w:val="44"/>
          <w:sz w:val="44"/>
          <w:szCs w:val="44"/>
          <w:highlight w:val="none"/>
          <w:lang w:val="en-US" w:eastAsia="zh-CN" w:bidi="ar-SA"/>
        </w:rPr>
      </w:pPr>
    </w:p>
    <w:p w14:paraId="30CC607A">
      <w:pPr>
        <w:bidi w:val="0"/>
        <w:jc w:val="center"/>
        <w:outlineLvl w:val="0"/>
        <w:rPr>
          <w:rFonts w:hint="eastAsia" w:ascii="宋体" w:hAnsi="宋体" w:eastAsia="宋体" w:cs="宋体"/>
          <w:b/>
          <w:bCs/>
          <w:color w:val="auto"/>
          <w:kern w:val="44"/>
          <w:sz w:val="44"/>
          <w:szCs w:val="44"/>
          <w:highlight w:val="none"/>
          <w:lang w:val="en-US" w:eastAsia="zh-CN" w:bidi="ar-SA"/>
        </w:rPr>
      </w:pPr>
    </w:p>
    <w:p w14:paraId="176576D5">
      <w:pPr>
        <w:bidi w:val="0"/>
        <w:jc w:val="center"/>
        <w:outlineLvl w:val="0"/>
        <w:rPr>
          <w:rFonts w:hint="eastAsia" w:ascii="宋体" w:hAnsi="宋体" w:eastAsia="宋体" w:cs="宋体"/>
          <w:b/>
          <w:bCs/>
          <w:color w:val="auto"/>
          <w:kern w:val="44"/>
          <w:sz w:val="44"/>
          <w:szCs w:val="44"/>
          <w:highlight w:val="none"/>
          <w:lang w:val="en-US" w:eastAsia="zh-CN" w:bidi="ar-SA"/>
        </w:rPr>
      </w:pPr>
    </w:p>
    <w:p w14:paraId="1D450EF7">
      <w:pPr>
        <w:bidi w:val="0"/>
        <w:jc w:val="center"/>
        <w:outlineLvl w:val="0"/>
        <w:rPr>
          <w:rFonts w:hint="eastAsia" w:ascii="宋体" w:hAnsi="宋体" w:eastAsia="宋体" w:cs="宋体"/>
          <w:b/>
          <w:bCs/>
          <w:color w:val="auto"/>
          <w:kern w:val="44"/>
          <w:sz w:val="44"/>
          <w:szCs w:val="44"/>
          <w:highlight w:val="none"/>
          <w:lang w:val="en-US" w:eastAsia="zh-CN" w:bidi="ar-SA"/>
        </w:rPr>
      </w:pPr>
    </w:p>
    <w:p w14:paraId="20CA5162">
      <w:pPr>
        <w:bidi w:val="0"/>
        <w:jc w:val="center"/>
        <w:outlineLvl w:val="0"/>
        <w:rPr>
          <w:rFonts w:hint="eastAsia" w:ascii="宋体" w:hAnsi="宋体" w:eastAsia="宋体" w:cs="宋体"/>
          <w:b/>
          <w:bCs/>
          <w:color w:val="auto"/>
          <w:kern w:val="44"/>
          <w:sz w:val="44"/>
          <w:szCs w:val="44"/>
          <w:highlight w:val="none"/>
          <w:lang w:val="en-US" w:eastAsia="zh-CN" w:bidi="ar-SA"/>
        </w:rPr>
      </w:pPr>
    </w:p>
    <w:p w14:paraId="6CEC36D7">
      <w:pPr>
        <w:bidi w:val="0"/>
        <w:jc w:val="center"/>
        <w:outlineLvl w:val="0"/>
        <w:rPr>
          <w:rFonts w:hint="eastAsia" w:ascii="宋体" w:hAnsi="宋体" w:eastAsia="宋体" w:cs="宋体"/>
          <w:b/>
          <w:bCs/>
          <w:color w:val="auto"/>
          <w:kern w:val="44"/>
          <w:sz w:val="44"/>
          <w:szCs w:val="44"/>
          <w:highlight w:val="none"/>
          <w:lang w:val="en-US" w:eastAsia="zh-CN" w:bidi="ar-SA"/>
        </w:rPr>
      </w:pPr>
    </w:p>
    <w:p w14:paraId="5FCA0F7C">
      <w:pPr>
        <w:bidi w:val="0"/>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br w:type="page"/>
      </w:r>
    </w:p>
    <w:p w14:paraId="38E9FBF1">
      <w:pPr>
        <w:bidi w:val="0"/>
        <w:jc w:val="center"/>
        <w:outlineLvl w:val="0"/>
        <w:rPr>
          <w:rFonts w:hint="eastAsia" w:ascii="宋体" w:hAnsi="宋体" w:eastAsia="宋体" w:cs="宋体"/>
          <w:b/>
          <w:bCs/>
          <w:color w:val="auto"/>
          <w:kern w:val="44"/>
          <w:sz w:val="44"/>
          <w:szCs w:val="44"/>
          <w:highlight w:val="none"/>
          <w:lang w:val="en-US" w:eastAsia="zh-CN" w:bidi="ar-SA"/>
        </w:rPr>
      </w:pPr>
    </w:p>
    <w:p w14:paraId="594928B7">
      <w:pPr>
        <w:bidi w:val="0"/>
        <w:jc w:val="center"/>
        <w:outlineLvl w:val="0"/>
        <w:rPr>
          <w:rFonts w:hint="eastAsia" w:ascii="宋体" w:hAnsi="宋体" w:eastAsia="宋体" w:cs="宋体"/>
          <w:b/>
          <w:bCs/>
          <w:color w:val="auto"/>
          <w:kern w:val="44"/>
          <w:sz w:val="44"/>
          <w:szCs w:val="44"/>
          <w:highlight w:val="none"/>
          <w:lang w:val="en-US" w:eastAsia="zh-CN" w:bidi="ar-SA"/>
        </w:rPr>
      </w:pPr>
    </w:p>
    <w:p w14:paraId="13EFB0C1">
      <w:pPr>
        <w:bidi w:val="0"/>
        <w:jc w:val="center"/>
        <w:outlineLvl w:val="0"/>
        <w:rPr>
          <w:rFonts w:hint="eastAsia" w:ascii="宋体" w:hAnsi="宋体" w:eastAsia="宋体" w:cs="宋体"/>
          <w:b/>
          <w:bCs/>
          <w:color w:val="auto"/>
          <w:kern w:val="44"/>
          <w:sz w:val="44"/>
          <w:szCs w:val="44"/>
          <w:highlight w:val="none"/>
          <w:lang w:val="en-US" w:eastAsia="zh-CN" w:bidi="ar-SA"/>
        </w:rPr>
      </w:pPr>
    </w:p>
    <w:p w14:paraId="50B7C286">
      <w:pPr>
        <w:bidi w:val="0"/>
        <w:jc w:val="center"/>
        <w:outlineLvl w:val="0"/>
        <w:rPr>
          <w:rFonts w:hint="eastAsia" w:ascii="宋体" w:hAnsi="宋体" w:eastAsia="宋体" w:cs="宋体"/>
          <w:b/>
          <w:bCs/>
          <w:color w:val="auto"/>
          <w:kern w:val="44"/>
          <w:sz w:val="44"/>
          <w:szCs w:val="44"/>
          <w:highlight w:val="none"/>
          <w:lang w:val="en-US" w:eastAsia="zh-CN" w:bidi="ar-SA"/>
        </w:rPr>
      </w:pPr>
    </w:p>
    <w:p w14:paraId="761BB199">
      <w:pPr>
        <w:bidi w:val="0"/>
        <w:jc w:val="center"/>
        <w:outlineLvl w:val="0"/>
        <w:rPr>
          <w:rFonts w:hint="eastAsia" w:ascii="宋体" w:hAnsi="宋体" w:eastAsia="宋体" w:cs="宋体"/>
          <w:b/>
          <w:bCs/>
          <w:color w:val="auto"/>
          <w:kern w:val="44"/>
          <w:sz w:val="44"/>
          <w:szCs w:val="44"/>
          <w:highlight w:val="none"/>
          <w:lang w:val="en-US" w:eastAsia="zh-CN" w:bidi="ar-SA"/>
        </w:rPr>
      </w:pPr>
    </w:p>
    <w:p w14:paraId="53345D0A">
      <w:pPr>
        <w:bidi w:val="0"/>
        <w:jc w:val="center"/>
        <w:outlineLvl w:val="0"/>
        <w:rPr>
          <w:rFonts w:hint="eastAsia" w:ascii="宋体" w:hAnsi="宋体" w:eastAsia="宋体" w:cs="宋体"/>
          <w:b/>
          <w:bCs/>
          <w:color w:val="auto"/>
          <w:kern w:val="44"/>
          <w:sz w:val="44"/>
          <w:szCs w:val="44"/>
          <w:highlight w:val="none"/>
          <w:lang w:val="en-US" w:eastAsia="zh-CN" w:bidi="ar-SA"/>
        </w:rPr>
      </w:pPr>
    </w:p>
    <w:p w14:paraId="638A891F">
      <w:pPr>
        <w:bidi w:val="0"/>
        <w:jc w:val="center"/>
        <w:outlineLvl w:val="0"/>
        <w:rPr>
          <w:rFonts w:hint="eastAsia" w:ascii="宋体" w:hAnsi="宋体" w:eastAsia="宋体" w:cs="宋体"/>
          <w:b/>
          <w:bCs/>
          <w:color w:val="auto"/>
          <w:kern w:val="44"/>
          <w:sz w:val="44"/>
          <w:szCs w:val="44"/>
          <w:highlight w:val="none"/>
          <w:lang w:val="en-US" w:eastAsia="zh-CN" w:bidi="ar-SA"/>
        </w:rPr>
      </w:pPr>
      <w:bookmarkStart w:id="162" w:name="_Toc9096"/>
      <w:bookmarkStart w:id="163" w:name="_Toc19267"/>
      <w:r>
        <w:rPr>
          <w:rFonts w:hint="eastAsia" w:ascii="宋体" w:hAnsi="宋体" w:eastAsia="宋体" w:cs="宋体"/>
          <w:b/>
          <w:bCs/>
          <w:color w:val="auto"/>
          <w:kern w:val="44"/>
          <w:sz w:val="44"/>
          <w:szCs w:val="44"/>
          <w:highlight w:val="none"/>
          <w:lang w:val="en-US" w:eastAsia="zh-CN" w:bidi="ar-SA"/>
        </w:rPr>
        <w:t>第八章 政府采购合同验收书范本</w:t>
      </w:r>
      <w:bookmarkEnd w:id="160"/>
      <w:bookmarkEnd w:id="161"/>
      <w:bookmarkEnd w:id="162"/>
      <w:bookmarkEnd w:id="163"/>
    </w:p>
    <w:p w14:paraId="6E196F6F">
      <w:pPr>
        <w:tabs>
          <w:tab w:val="left" w:pos="576"/>
        </w:tabs>
        <w:jc w:val="center"/>
        <w:outlineLvl w:val="9"/>
        <w:rPr>
          <w:rFonts w:hint="eastAsia" w:ascii="宋体" w:hAnsi="宋体" w:eastAsia="宋体" w:cs="宋体"/>
          <w:color w:val="auto"/>
          <w:kern w:val="0"/>
          <w:sz w:val="32"/>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广西壮族自治区政府采购项目合同验收书（格式）</w:t>
      </w:r>
    </w:p>
    <w:p w14:paraId="39CFB3BE">
      <w:pPr>
        <w:keepNext w:val="0"/>
        <w:keepLines w:val="0"/>
        <w:pageBreakBefore w:val="0"/>
        <w:widowControl/>
        <w:kinsoku/>
        <w:wordWrap/>
        <w:overflowPunct/>
        <w:topLinePunct w:val="0"/>
        <w:autoSpaceDE/>
        <w:autoSpaceDN/>
        <w:bidi w:val="0"/>
        <w:adjustRightInd/>
        <w:snapToGrid w:val="0"/>
        <w:spacing w:before="100" w:beforeAutospacing="1" w:after="100" w:afterAutospacing="1" w:line="480" w:lineRule="exact"/>
        <w:ind w:left="-359" w:leftChars="-171"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采购合同编号：</w:t>
      </w:r>
      <w:r>
        <w:rPr>
          <w:rFonts w:hint="eastAsia" w:ascii="宋体" w:hAnsi="宋体" w:eastAsia="宋体" w:cs="宋体"/>
          <w:color w:val="auto"/>
          <w:kern w:val="0"/>
          <w:sz w:val="21"/>
          <w:szCs w:val="21"/>
          <w:highlight w:val="none"/>
          <w:u w:val="single"/>
        </w:rPr>
        <w:softHyphen/>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政府采购项目中标（或成交）供应商（</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提供的货物（或工程、服务）进行了验收，验收情况如下：</w:t>
      </w:r>
    </w:p>
    <w:tbl>
      <w:tblPr>
        <w:tblStyle w:val="35"/>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6D140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18D6ADEF">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 w:firstLineChars="2"/>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28A26686">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6A475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0F8AFC74">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2" w:firstLineChars="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0AC789A4">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2" w:firstLineChars="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AAE12F1">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2" w:firstLineChars="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7B31F2E">
            <w:pPr>
              <w:keepNext w:val="0"/>
              <w:keepLines w:val="0"/>
              <w:pageBreakBefore w:val="0"/>
              <w:widowControl/>
              <w:kinsoku/>
              <w:wordWrap/>
              <w:overflowPunct/>
              <w:topLinePunct w:val="0"/>
              <w:autoSpaceDE/>
              <w:autoSpaceDN/>
              <w:bidi w:val="0"/>
              <w:adjustRightInd/>
              <w:snapToGrid w:val="0"/>
              <w:spacing w:beforeAutospacing="0" w:afterAutospacing="0"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E8264FF">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2" w:firstLineChars="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  额</w:t>
            </w:r>
          </w:p>
        </w:tc>
      </w:tr>
      <w:tr w14:paraId="4B6B0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73704AC4">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 w:firstLineChars="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3E8E1F95">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A54109B">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CBFDCAA">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5CADC9C">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6EB8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5C3B11D">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74A40284">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5B77C40">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8EC5B79">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B4E63D5">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867C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2248E5F">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706D3EE2">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AF6F1C1">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34A2BEB9">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227DCE13">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917B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123D23F2">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left="-3" w:firstLine="4" w:firstLineChars="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2BD2E14">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7FBF85D3">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4159D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7CE11939">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2" w:firstLineChars="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7EA90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7DB9F3D5">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2" w:firstLineChars="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4853C451">
            <w:pPr>
              <w:keepNext w:val="0"/>
              <w:keepLines w:val="0"/>
              <w:pageBreakBefore w:val="0"/>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4677C694">
            <w:pPr>
              <w:keepNext w:val="0"/>
              <w:keepLines w:val="0"/>
              <w:pageBreakBefore w:val="0"/>
              <w:kinsoku/>
              <w:wordWrap/>
              <w:overflowPunct/>
              <w:topLinePunct w:val="0"/>
              <w:autoSpaceDE/>
              <w:autoSpaceDN/>
              <w:bidi w:val="0"/>
              <w:adjustRightInd/>
              <w:snapToGrid w:val="0"/>
              <w:spacing w:beforeAutospacing="0" w:afterAutospacing="0" w:line="480" w:lineRule="exact"/>
              <w:ind w:firstLine="39" w:firstLineChars="19"/>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6CCA0C0C">
            <w:pPr>
              <w:keepNext w:val="0"/>
              <w:keepLines w:val="0"/>
              <w:pageBreakBefore w:val="0"/>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p>
        </w:tc>
      </w:tr>
      <w:tr w14:paraId="34A0A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3A33206">
            <w:pPr>
              <w:keepNext w:val="0"/>
              <w:keepLines w:val="0"/>
              <w:pageBreakBefore w:val="0"/>
              <w:widowControl/>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74771FD0">
            <w:pPr>
              <w:keepNext w:val="0"/>
              <w:keepLines w:val="0"/>
              <w:pageBreakBefore w:val="0"/>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53F75679">
            <w:pPr>
              <w:keepNext w:val="0"/>
              <w:keepLines w:val="0"/>
              <w:pageBreakBefore w:val="0"/>
              <w:kinsoku/>
              <w:wordWrap/>
              <w:overflowPunct/>
              <w:topLinePunct w:val="0"/>
              <w:autoSpaceDE/>
              <w:autoSpaceDN/>
              <w:bidi w:val="0"/>
              <w:adjustRightInd/>
              <w:snapToGrid w:val="0"/>
              <w:spacing w:beforeAutospacing="0" w:afterAutospacing="0" w:line="480" w:lineRule="exact"/>
              <w:ind w:left="590" w:firstLine="420" w:firstLineChars="200"/>
              <w:jc w:val="left"/>
              <w:textAlignment w:val="auto"/>
              <w:rPr>
                <w:rFonts w:hint="eastAsia" w:ascii="宋体" w:hAnsi="宋体" w:eastAsia="宋体" w:cs="宋体"/>
                <w:color w:val="auto"/>
                <w:kern w:val="0"/>
                <w:sz w:val="21"/>
                <w:szCs w:val="21"/>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30F7EAAE">
            <w:pPr>
              <w:keepNext w:val="0"/>
              <w:keepLines w:val="0"/>
              <w:pageBreakBefore w:val="0"/>
              <w:kinsoku/>
              <w:wordWrap/>
              <w:overflowPunct/>
              <w:topLinePunct w:val="0"/>
              <w:autoSpaceDE/>
              <w:autoSpaceDN/>
              <w:bidi w:val="0"/>
              <w:adjustRightInd/>
              <w:snapToGrid w:val="0"/>
              <w:spacing w:beforeAutospacing="0" w:afterAutospacing="0" w:line="480" w:lineRule="exact"/>
              <w:ind w:firstLine="420" w:firstLineChars="200"/>
              <w:jc w:val="left"/>
              <w:textAlignment w:val="auto"/>
              <w:rPr>
                <w:rFonts w:hint="eastAsia" w:ascii="宋体" w:hAnsi="宋体" w:eastAsia="宋体" w:cs="宋体"/>
                <w:color w:val="auto"/>
                <w:kern w:val="0"/>
                <w:sz w:val="21"/>
                <w:szCs w:val="21"/>
                <w:highlight w:val="none"/>
              </w:rPr>
            </w:pPr>
          </w:p>
        </w:tc>
      </w:tr>
      <w:tr w14:paraId="775C0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D8F7D2">
            <w:pPr>
              <w:keepNext w:val="0"/>
              <w:keepLines w:val="0"/>
              <w:pageBreakBefore w:val="0"/>
              <w:widowControl/>
              <w:kinsoku/>
              <w:wordWrap/>
              <w:overflowPunct/>
              <w:topLinePunct w:val="0"/>
              <w:autoSpaceDE/>
              <w:autoSpaceDN/>
              <w:bidi w:val="0"/>
              <w:adjustRightInd/>
              <w:snapToGrid w:val="0"/>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176ED4">
            <w:pPr>
              <w:keepNext w:val="0"/>
              <w:keepLines w:val="0"/>
              <w:pageBreakBefore w:val="0"/>
              <w:widowControl/>
              <w:kinsoku/>
              <w:wordWrap/>
              <w:overflowPunct/>
              <w:topLinePunct w:val="0"/>
              <w:autoSpaceDE/>
              <w:autoSpaceDN/>
              <w:bidi w:val="0"/>
              <w:adjustRightInd/>
              <w:snapToGrid w:val="0"/>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w:t>
            </w:r>
            <w:r>
              <w:rPr>
                <w:rFonts w:hint="eastAsia" w:ascii="宋体" w:hAnsi="宋体" w:eastAsia="宋体" w:cs="宋体"/>
                <w:color w:val="auto"/>
                <w:kern w:val="0"/>
                <w:sz w:val="21"/>
                <w:szCs w:val="21"/>
                <w:highlight w:val="none"/>
              </w:rPr>
              <w:t>按采购合同、采购文件、投标响应文件及验收方案等进行验收；并核对</w:t>
            </w:r>
            <w:r>
              <w:rPr>
                <w:rFonts w:hint="eastAsia" w:ascii="宋体" w:hAnsi="宋体" w:eastAsia="宋体" w:cs="宋体"/>
                <w:color w:val="auto"/>
                <w:sz w:val="21"/>
                <w:szCs w:val="21"/>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1"/>
                <w:szCs w:val="21"/>
                <w:highlight w:val="none"/>
              </w:rPr>
              <w:t>。可附件</w:t>
            </w:r>
            <w:r>
              <w:rPr>
                <w:rFonts w:hint="eastAsia" w:ascii="宋体" w:hAnsi="宋体" w:cs="宋体"/>
                <w:color w:val="auto"/>
                <w:kern w:val="0"/>
                <w:sz w:val="21"/>
                <w:szCs w:val="21"/>
                <w:highlight w:val="none"/>
                <w:lang w:eastAsia="zh-CN"/>
              </w:rPr>
              <w:t>）</w:t>
            </w:r>
          </w:p>
        </w:tc>
      </w:tr>
      <w:tr w14:paraId="76315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8EFF2D">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C928B38">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验收结论性意见：</w:t>
            </w:r>
          </w:p>
          <w:p w14:paraId="7EEDDD4C">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p>
        </w:tc>
      </w:tr>
      <w:tr w14:paraId="7E0C9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12AF566">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419EBB41">
            <w:pPr>
              <w:keepNext w:val="0"/>
              <w:keepLines w:val="0"/>
              <w:pageBreakBefore w:val="0"/>
              <w:kinsoku/>
              <w:wordWrap/>
              <w:overflowPunct/>
              <w:topLinePunct w:val="0"/>
              <w:autoSpaceDE/>
              <w:autoSpaceDN/>
              <w:bidi w:val="0"/>
              <w:adjustRightInd/>
              <w:spacing w:beforeAutospacing="0" w:afterAutospacing="0" w:line="480" w:lineRule="exact"/>
              <w:ind w:firstLine="84" w:firstLineChars="4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02860D33">
            <w:pPr>
              <w:keepNext w:val="0"/>
              <w:keepLines w:val="0"/>
              <w:pageBreakBefore w:val="0"/>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签字：</w:t>
            </w:r>
          </w:p>
        </w:tc>
      </w:tr>
      <w:tr w14:paraId="0D68D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2E9750">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1A95E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BB1F8D">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监督人员或其他相关人员签字：</w:t>
            </w:r>
          </w:p>
          <w:p w14:paraId="02BA22D3">
            <w:pPr>
              <w:keepNext w:val="0"/>
              <w:keepLines w:val="0"/>
              <w:pageBreakBefore w:val="0"/>
              <w:widowControl/>
              <w:kinsoku/>
              <w:wordWrap/>
              <w:overflowPunct/>
              <w:topLinePunct w:val="0"/>
              <w:autoSpaceDE/>
              <w:autoSpaceDN/>
              <w:bidi w:val="0"/>
              <w:adjustRightInd/>
              <w:spacing w:beforeAutospacing="0" w:afterAutospacing="0" w:line="480" w:lineRule="exact"/>
              <w:ind w:firstLine="65" w:firstLineChars="3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或受邀机构的意见（盖章）：</w:t>
            </w:r>
          </w:p>
        </w:tc>
      </w:tr>
      <w:tr w14:paraId="4B3DC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09009608">
            <w:pPr>
              <w:keepNext w:val="0"/>
              <w:keepLines w:val="0"/>
              <w:pageBreakBefore w:val="0"/>
              <w:widowControl/>
              <w:kinsoku/>
              <w:wordWrap/>
              <w:overflowPunct/>
              <w:topLinePunct w:val="0"/>
              <w:autoSpaceDE/>
              <w:autoSpaceDN/>
              <w:bidi w:val="0"/>
              <w:adjustRightInd/>
              <w:spacing w:beforeAutospacing="0" w:afterAutospacing="0" w:line="480" w:lineRule="exact"/>
              <w:ind w:firstLine="65" w:firstLineChars="3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中标或者成交供应商负责人签字或盖章：</w:t>
            </w:r>
          </w:p>
          <w:p w14:paraId="15508325">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579A8A93">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采购人或受托机构的意见（盖章）：</w:t>
            </w:r>
          </w:p>
          <w:p w14:paraId="58495155">
            <w:pPr>
              <w:keepNext w:val="0"/>
              <w:keepLines w:val="0"/>
              <w:pageBreakBefore w:val="0"/>
              <w:widowControl/>
              <w:kinsoku/>
              <w:wordWrap/>
              <w:overflowPunct/>
              <w:topLinePunct w:val="0"/>
              <w:autoSpaceDE/>
              <w:autoSpaceDN/>
              <w:bidi w:val="0"/>
              <w:adjustRightInd/>
              <w:spacing w:beforeAutospacing="0" w:afterAutospacing="0"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31013EB6">
      <w:pPr>
        <w:rPr>
          <w:rFonts w:hint="eastAsia" w:ascii="宋体" w:hAnsi="宋体" w:eastAsia="宋体" w:cs="宋体"/>
          <w:color w:val="auto"/>
          <w:highlight w:val="none"/>
        </w:rPr>
      </w:pPr>
    </w:p>
    <w:sectPr>
      <w:footerReference r:id="rId22" w:type="first"/>
      <w:headerReference r:id="rId19" w:type="default"/>
      <w:footerReference r:id="rId20" w:type="default"/>
      <w:footerReference r:id="rId21"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93FA">
    <w:pPr>
      <w:pStyle w:val="23"/>
      <w:framePr w:wrap="around" w:vAnchor="text" w:hAnchor="margin" w:xAlign="center" w:y="1"/>
      <w:rPr>
        <w:rStyle w:val="39"/>
      </w:rPr>
    </w:pPr>
    <w:r>
      <w:rPr>
        <w:sz w:val="21"/>
      </w:rPr>
      <w:fldChar w:fldCharType="begin"/>
    </w:r>
    <w:r>
      <w:rPr>
        <w:rStyle w:val="39"/>
      </w:rPr>
      <w:instrText xml:space="preserve">PAGE  </w:instrText>
    </w:r>
    <w:r>
      <w:rPr>
        <w:sz w:val="21"/>
      </w:rPr>
      <w:fldChar w:fldCharType="separate"/>
    </w:r>
    <w:r>
      <w:rPr>
        <w:rStyle w:val="39"/>
      </w:rPr>
      <w:t>0</w:t>
    </w:r>
    <w:r>
      <w:rPr>
        <w:sz w:val="21"/>
      </w:rPr>
      <w:fldChar w:fldCharType="end"/>
    </w:r>
  </w:p>
  <w:p w14:paraId="230EF21F">
    <w:pPr>
      <w:pStyle w:val="23"/>
      <w:rPr>
        <w:sz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3432">
    <w:pPr>
      <w:pStyle w:val="23"/>
      <w:framePr w:wrap="around" w:vAnchor="text" w:hAnchor="margin" w:xAlign="center" w:y="1"/>
      <w:rPr>
        <w:rStyle w:val="39"/>
      </w:rPr>
    </w:pPr>
    <w:r>
      <w:fldChar w:fldCharType="begin"/>
    </w:r>
    <w:r>
      <w:rPr>
        <w:rStyle w:val="39"/>
      </w:rPr>
      <w:instrText xml:space="preserve">PAGE  </w:instrText>
    </w:r>
    <w:r>
      <w:fldChar w:fldCharType="end"/>
    </w:r>
  </w:p>
  <w:p w14:paraId="300DF7D9">
    <w:pPr>
      <w:pStyle w:val="2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D66A">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41132E23">
    <w:pPr>
      <w:pStyle w:val="23"/>
      <w:ind w:right="360"/>
      <w:jc w:val="both"/>
      <w:rPr>
        <w:rFonts w:hint="eastAsia"/>
      </w:rPr>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2238">
    <w:pPr>
      <w:pStyle w:val="23"/>
      <w:jc w:val="center"/>
    </w:pPr>
    <w:r>
      <w:fldChar w:fldCharType="begin"/>
    </w:r>
    <w:r>
      <w:instrText xml:space="preserve"> PAGE   \* MERGEFORMAT </w:instrText>
    </w:r>
    <w:r>
      <w:fldChar w:fldCharType="separate"/>
    </w:r>
    <w:r>
      <w:rPr>
        <w:lang w:val="zh-CN"/>
      </w:rPr>
      <w:t>100</w:t>
    </w:r>
    <w:r>
      <w:fldChar w:fldCharType="end"/>
    </w:r>
  </w:p>
  <w:p w14:paraId="10AD8BE6">
    <w:pPr>
      <w:pStyle w:val="2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45EF">
    <w:pPr>
      <w:pStyle w:val="23"/>
      <w:framePr w:wrap="around" w:vAnchor="text" w:hAnchor="margin" w:xAlign="center" w:y="1"/>
      <w:rPr>
        <w:rStyle w:val="39"/>
      </w:rPr>
    </w:pPr>
    <w:r>
      <w:fldChar w:fldCharType="begin"/>
    </w:r>
    <w:r>
      <w:rPr>
        <w:rStyle w:val="39"/>
      </w:rPr>
      <w:instrText xml:space="preserve">PAGE  </w:instrText>
    </w:r>
    <w:r>
      <w:fldChar w:fldCharType="end"/>
    </w:r>
  </w:p>
  <w:p w14:paraId="51A6E77F">
    <w:pPr>
      <w:pStyle w:val="2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99C9">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1C7599B8">
    <w:pPr>
      <w:pStyle w:val="23"/>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2760">
    <w:pPr>
      <w:pStyle w:val="23"/>
      <w:tabs>
        <w:tab w:val="left" w:pos="77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368A">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11F8C">
                          <w:pPr>
                            <w:pStyle w:val="2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6B111F8C">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D61B">
    <w:pPr>
      <w:pStyle w:val="23"/>
      <w:tabs>
        <w:tab w:val="center" w:pos="4439"/>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872B8">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78s8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k78s8oBAACcAwAADgAAAAAAAAABACAAAAAeAQAAZHJzL2Uyb0Rv&#10;Yy54bWxQSwUGAAAAAAYABgBZAQAAWgUAAAAA&#10;">
              <v:fill on="f" focussize="0,0"/>
              <v:stroke on="f"/>
              <v:imagedata o:title=""/>
              <o:lock v:ext="edit" aspectratio="f"/>
              <v:textbox inset="0mm,0mm,0mm,0mm" style="mso-fit-shape-to-text:t;">
                <w:txbxContent>
                  <w:p w14:paraId="22F872B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0CC2">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0F1EE">
                          <w:pPr>
                            <w:pStyle w:val="23"/>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NnBc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DZwXLAQAAnAMAAA4AAAAAAAAAAQAgAAAAHgEAAGRycy9lMm9E&#10;b2MueG1sUEsFBgAAAAAGAAYAWQEAAFsFAAAAAA==&#10;">
              <v:fill on="f" focussize="0,0"/>
              <v:stroke on="f"/>
              <v:imagedata o:title=""/>
              <o:lock v:ext="edit" aspectratio="f"/>
              <v:textbox inset="0mm,0mm,0mm,0mm" style="mso-fit-shape-to-text:t;">
                <w:txbxContent>
                  <w:p w14:paraId="0D30F1EE">
                    <w:pPr>
                      <w:pStyle w:val="2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63A4">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2735B9">
                          <w:pPr>
                            <w:pStyle w:val="23"/>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Klc8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CpXPLAQAAnAMAAA4AAAAAAAAAAQAgAAAAHgEAAGRycy9lMm9E&#10;b2MueG1sUEsFBgAAAAAGAAYAWQEAAFsFAAAAAA==&#10;">
              <v:fill on="f" focussize="0,0"/>
              <v:stroke on="f"/>
              <v:imagedata o:title=""/>
              <o:lock v:ext="edit" aspectratio="f"/>
              <v:textbox inset="0mm,0mm,0mm,0mm" style="mso-fit-shape-to-text:t;">
                <w:txbxContent>
                  <w:p w14:paraId="732735B9">
                    <w:pPr>
                      <w:pStyle w:val="2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0916">
    <w:pPr>
      <w:pStyle w:val="23"/>
      <w:framePr w:wrap="around" w:vAnchor="text" w:hAnchor="margin" w:xAlign="center" w:y="1"/>
      <w:rPr>
        <w:rStyle w:val="39"/>
      </w:rPr>
    </w:pPr>
    <w:r>
      <w:fldChar w:fldCharType="begin"/>
    </w:r>
    <w:r>
      <w:rPr>
        <w:rStyle w:val="39"/>
      </w:rPr>
      <w:instrText xml:space="preserve">PAGE  </w:instrText>
    </w:r>
    <w:r>
      <w:fldChar w:fldCharType="end"/>
    </w:r>
  </w:p>
  <w:p w14:paraId="67A181B2">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6BED">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3598CB5C">
    <w:pPr>
      <w:pStyle w:val="23"/>
      <w:ind w:right="360"/>
      <w:jc w:val="both"/>
      <w:rPr>
        <w:rFonts w:hint="eastAsia"/>
      </w:rPr>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3E96">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A7A14">
                          <w:pPr>
                            <w:pStyle w:val="23"/>
                          </w:pPr>
                          <w:r>
                            <w:fldChar w:fldCharType="begin"/>
                          </w:r>
                          <w:r>
                            <w:instrText xml:space="preserve"> PAGE  \* MERGEFORMAT </w:instrText>
                          </w:r>
                          <w:r>
                            <w:fldChar w:fldCharType="separate"/>
                          </w:r>
                          <w:r>
                            <w:t>82</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WY88sBAACc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KFmPPLAQAAnAMAAA4AAAAAAAAAAQAgAAAAHgEAAGRycy9lMm9E&#10;b2MueG1sUEsFBgAAAAAGAAYAWQEAAFsFAAAAAA==&#10;">
              <v:fill on="f" focussize="0,0"/>
              <v:stroke on="f"/>
              <v:imagedata o:title=""/>
              <o:lock v:ext="edit" aspectratio="f"/>
              <v:textbox inset="0mm,0mm,0mm,0mm" style="mso-fit-shape-to-text:t;">
                <w:txbxContent>
                  <w:p w14:paraId="2FBA7A14">
                    <w:pPr>
                      <w:pStyle w:val="2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E5D">
    <w:pPr>
      <w:pStyle w:val="24"/>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432D">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1F56">
    <w:pPr>
      <w:pStyle w:val="24"/>
      <w:tabs>
        <w:tab w:val="center" w:pos="0"/>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8F20">
    <w:pPr>
      <w:pStyle w:val="24"/>
      <w:tabs>
        <w:tab w:val="center" w:pos="0"/>
        <w:tab w:val="clear" w:pos="415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0E4B3">
    <w:pPr>
      <w:pStyle w:val="24"/>
      <w:tabs>
        <w:tab w:val="center" w:pos="0"/>
        <w:tab w:val="clear" w:pos="415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450D">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BE15C"/>
    <w:multiLevelType w:val="singleLevel"/>
    <w:tmpl w:val="890BE15C"/>
    <w:lvl w:ilvl="0" w:tentative="0">
      <w:start w:val="1"/>
      <w:numFmt w:val="chineseCounting"/>
      <w:suff w:val="space"/>
      <w:lvlText w:val="第%1章"/>
      <w:lvlJc w:val="left"/>
      <w:rPr>
        <w:rFonts w:hint="eastAsia"/>
      </w:rPr>
    </w:lvl>
  </w:abstractNum>
  <w:abstractNum w:abstractNumId="1">
    <w:nsid w:val="0000002A"/>
    <w:multiLevelType w:val="multilevel"/>
    <w:tmpl w:val="0000002A"/>
    <w:lvl w:ilvl="0" w:tentative="0">
      <w:start w:val="1"/>
      <w:numFmt w:val="bullet"/>
      <w:pStyle w:val="15"/>
      <w:lvlText w:val=""/>
      <w:lvlJc w:val="left"/>
      <w:pPr>
        <w:tabs>
          <w:tab w:val="left" w:pos="360"/>
        </w:tabs>
        <w:ind w:left="360" w:hanging="360"/>
      </w:pPr>
      <w:rPr>
        <w:rFonts w:hint="default" w:ascii="Wingdings" w:hAnsi="Wingdings" w:eastAsia="宋体"/>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13D22F5"/>
    <w:multiLevelType w:val="singleLevel"/>
    <w:tmpl w:val="013D22F5"/>
    <w:lvl w:ilvl="0" w:tentative="0">
      <w:start w:val="3"/>
      <w:numFmt w:val="chineseCounting"/>
      <w:suff w:val="nothing"/>
      <w:lvlText w:val="%1、"/>
      <w:lvlJc w:val="left"/>
      <w:rPr>
        <w:rFonts w:hint="eastAsia"/>
      </w:rPr>
    </w:lvl>
  </w:abstractNum>
  <w:abstractNum w:abstractNumId="3">
    <w:nsid w:val="5032B258"/>
    <w:multiLevelType w:val="singleLevel"/>
    <w:tmpl w:val="5032B258"/>
    <w:lvl w:ilvl="0" w:tentative="0">
      <w:start w:val="6"/>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ZjUxZDQ5NTU1ZDA2NmZjYzRhZDNkYWQ0NjMzZTM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7A4B"/>
    <w:rsid w:val="000C302E"/>
    <w:rsid w:val="000C5D44"/>
    <w:rsid w:val="000C79CA"/>
    <w:rsid w:val="000D5F48"/>
    <w:rsid w:val="000D7284"/>
    <w:rsid w:val="000F1BBE"/>
    <w:rsid w:val="000F741C"/>
    <w:rsid w:val="001031E7"/>
    <w:rsid w:val="00104245"/>
    <w:rsid w:val="001108AC"/>
    <w:rsid w:val="00110DD2"/>
    <w:rsid w:val="00116FC9"/>
    <w:rsid w:val="00120C46"/>
    <w:rsid w:val="00121904"/>
    <w:rsid w:val="00125837"/>
    <w:rsid w:val="00140B14"/>
    <w:rsid w:val="00140CE8"/>
    <w:rsid w:val="00143DA6"/>
    <w:rsid w:val="00151CEE"/>
    <w:rsid w:val="0015209C"/>
    <w:rsid w:val="001551E7"/>
    <w:rsid w:val="00166CDF"/>
    <w:rsid w:val="00170AA7"/>
    <w:rsid w:val="001726F0"/>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5753A"/>
    <w:rsid w:val="00263510"/>
    <w:rsid w:val="002738BD"/>
    <w:rsid w:val="002867CF"/>
    <w:rsid w:val="00293976"/>
    <w:rsid w:val="00297271"/>
    <w:rsid w:val="002B3400"/>
    <w:rsid w:val="002B4610"/>
    <w:rsid w:val="002C1328"/>
    <w:rsid w:val="002C27F2"/>
    <w:rsid w:val="002C38A0"/>
    <w:rsid w:val="002D2EF2"/>
    <w:rsid w:val="002E0A18"/>
    <w:rsid w:val="002E350B"/>
    <w:rsid w:val="002E6D9F"/>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925A4"/>
    <w:rsid w:val="004A0443"/>
    <w:rsid w:val="004A5F2A"/>
    <w:rsid w:val="004A6736"/>
    <w:rsid w:val="004B5C38"/>
    <w:rsid w:val="004E126C"/>
    <w:rsid w:val="004E5A78"/>
    <w:rsid w:val="004F5BCD"/>
    <w:rsid w:val="005033B8"/>
    <w:rsid w:val="00503A40"/>
    <w:rsid w:val="00506840"/>
    <w:rsid w:val="00506FAB"/>
    <w:rsid w:val="00511A25"/>
    <w:rsid w:val="00517D40"/>
    <w:rsid w:val="00520861"/>
    <w:rsid w:val="00521880"/>
    <w:rsid w:val="005279FB"/>
    <w:rsid w:val="00532BF5"/>
    <w:rsid w:val="0053418F"/>
    <w:rsid w:val="0053494D"/>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420D"/>
    <w:rsid w:val="00596F89"/>
    <w:rsid w:val="005B53A3"/>
    <w:rsid w:val="005C06FA"/>
    <w:rsid w:val="005C1383"/>
    <w:rsid w:val="005D54D6"/>
    <w:rsid w:val="005E671C"/>
    <w:rsid w:val="005F6F86"/>
    <w:rsid w:val="00600743"/>
    <w:rsid w:val="00603D18"/>
    <w:rsid w:val="006048A4"/>
    <w:rsid w:val="00605362"/>
    <w:rsid w:val="006064F7"/>
    <w:rsid w:val="006068F0"/>
    <w:rsid w:val="00606C3B"/>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07FB"/>
    <w:rsid w:val="006831E3"/>
    <w:rsid w:val="00691B1A"/>
    <w:rsid w:val="00694EF7"/>
    <w:rsid w:val="00695425"/>
    <w:rsid w:val="006A101B"/>
    <w:rsid w:val="006A53A9"/>
    <w:rsid w:val="006A6DC8"/>
    <w:rsid w:val="006B38DD"/>
    <w:rsid w:val="006C015A"/>
    <w:rsid w:val="006C2360"/>
    <w:rsid w:val="006C55A9"/>
    <w:rsid w:val="006C5999"/>
    <w:rsid w:val="006D0A1B"/>
    <w:rsid w:val="006D6A62"/>
    <w:rsid w:val="006F0015"/>
    <w:rsid w:val="006F4267"/>
    <w:rsid w:val="006F68C0"/>
    <w:rsid w:val="006F77B6"/>
    <w:rsid w:val="00707FF2"/>
    <w:rsid w:val="00715456"/>
    <w:rsid w:val="00717D53"/>
    <w:rsid w:val="0072351B"/>
    <w:rsid w:val="00730FBB"/>
    <w:rsid w:val="00736625"/>
    <w:rsid w:val="00744B4B"/>
    <w:rsid w:val="00745BFF"/>
    <w:rsid w:val="0074683F"/>
    <w:rsid w:val="00750CA6"/>
    <w:rsid w:val="0075377D"/>
    <w:rsid w:val="007549ED"/>
    <w:rsid w:val="0075643C"/>
    <w:rsid w:val="00756DD1"/>
    <w:rsid w:val="00757B36"/>
    <w:rsid w:val="00761289"/>
    <w:rsid w:val="00761EA6"/>
    <w:rsid w:val="00767154"/>
    <w:rsid w:val="00771A8B"/>
    <w:rsid w:val="00773B6C"/>
    <w:rsid w:val="0078187A"/>
    <w:rsid w:val="00781DF2"/>
    <w:rsid w:val="00790B95"/>
    <w:rsid w:val="007937A3"/>
    <w:rsid w:val="007C09EA"/>
    <w:rsid w:val="007C3614"/>
    <w:rsid w:val="007C3B9F"/>
    <w:rsid w:val="007D5273"/>
    <w:rsid w:val="007D6581"/>
    <w:rsid w:val="007D6EBC"/>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B146B"/>
    <w:rsid w:val="008C4798"/>
    <w:rsid w:val="008D3FFB"/>
    <w:rsid w:val="008D43F8"/>
    <w:rsid w:val="008E3451"/>
    <w:rsid w:val="008E53FF"/>
    <w:rsid w:val="00904A9B"/>
    <w:rsid w:val="00920D6C"/>
    <w:rsid w:val="009276D5"/>
    <w:rsid w:val="00942D58"/>
    <w:rsid w:val="00942FDE"/>
    <w:rsid w:val="00952863"/>
    <w:rsid w:val="009528FA"/>
    <w:rsid w:val="0096166D"/>
    <w:rsid w:val="009911B9"/>
    <w:rsid w:val="009924D4"/>
    <w:rsid w:val="009961B0"/>
    <w:rsid w:val="009963BC"/>
    <w:rsid w:val="009A6C00"/>
    <w:rsid w:val="009B5EA8"/>
    <w:rsid w:val="009B644A"/>
    <w:rsid w:val="009B67C7"/>
    <w:rsid w:val="009C3D9F"/>
    <w:rsid w:val="009C55D3"/>
    <w:rsid w:val="009C60E6"/>
    <w:rsid w:val="009D5E30"/>
    <w:rsid w:val="009D64B0"/>
    <w:rsid w:val="009D78FE"/>
    <w:rsid w:val="009E2765"/>
    <w:rsid w:val="009E2C4C"/>
    <w:rsid w:val="009E509B"/>
    <w:rsid w:val="009E5F55"/>
    <w:rsid w:val="009F48CE"/>
    <w:rsid w:val="009F5431"/>
    <w:rsid w:val="009F5C57"/>
    <w:rsid w:val="00A07462"/>
    <w:rsid w:val="00A11791"/>
    <w:rsid w:val="00A15437"/>
    <w:rsid w:val="00A207B9"/>
    <w:rsid w:val="00A24156"/>
    <w:rsid w:val="00A31C07"/>
    <w:rsid w:val="00A31E32"/>
    <w:rsid w:val="00A3334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968DB"/>
    <w:rsid w:val="00AA0FBE"/>
    <w:rsid w:val="00AA43B6"/>
    <w:rsid w:val="00AA4479"/>
    <w:rsid w:val="00AA48D1"/>
    <w:rsid w:val="00AA5D30"/>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42870"/>
    <w:rsid w:val="00C54574"/>
    <w:rsid w:val="00C67F26"/>
    <w:rsid w:val="00C72985"/>
    <w:rsid w:val="00C73607"/>
    <w:rsid w:val="00C7749B"/>
    <w:rsid w:val="00C77A4C"/>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6A82"/>
    <w:rsid w:val="00DC7AB8"/>
    <w:rsid w:val="00DD180D"/>
    <w:rsid w:val="00DD525D"/>
    <w:rsid w:val="00DD5508"/>
    <w:rsid w:val="00DE0E0D"/>
    <w:rsid w:val="00DE5E63"/>
    <w:rsid w:val="00DE675A"/>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43758F"/>
    <w:rsid w:val="01583FA6"/>
    <w:rsid w:val="01C30FD8"/>
    <w:rsid w:val="023E346F"/>
    <w:rsid w:val="035C7952"/>
    <w:rsid w:val="04253F8F"/>
    <w:rsid w:val="04AC5B71"/>
    <w:rsid w:val="04B43341"/>
    <w:rsid w:val="05461BDC"/>
    <w:rsid w:val="058235F5"/>
    <w:rsid w:val="059874F0"/>
    <w:rsid w:val="05B3330C"/>
    <w:rsid w:val="06163B39"/>
    <w:rsid w:val="06251602"/>
    <w:rsid w:val="06262C95"/>
    <w:rsid w:val="06627D3D"/>
    <w:rsid w:val="073730F6"/>
    <w:rsid w:val="077706A0"/>
    <w:rsid w:val="07DC105A"/>
    <w:rsid w:val="085258DD"/>
    <w:rsid w:val="08711CAB"/>
    <w:rsid w:val="08AF4D90"/>
    <w:rsid w:val="096D58B6"/>
    <w:rsid w:val="0A7669ED"/>
    <w:rsid w:val="0B265D55"/>
    <w:rsid w:val="0B350D3C"/>
    <w:rsid w:val="0BB56E77"/>
    <w:rsid w:val="0BB73467"/>
    <w:rsid w:val="0BCA5823"/>
    <w:rsid w:val="0BCD206B"/>
    <w:rsid w:val="0C5502A8"/>
    <w:rsid w:val="0CCB5F18"/>
    <w:rsid w:val="0DB5782C"/>
    <w:rsid w:val="0F021D53"/>
    <w:rsid w:val="0F672DA8"/>
    <w:rsid w:val="0FC204BE"/>
    <w:rsid w:val="103F496A"/>
    <w:rsid w:val="10771710"/>
    <w:rsid w:val="116F5A66"/>
    <w:rsid w:val="11DD1260"/>
    <w:rsid w:val="11F272A1"/>
    <w:rsid w:val="12406003"/>
    <w:rsid w:val="12B2769E"/>
    <w:rsid w:val="12C428F3"/>
    <w:rsid w:val="132238B8"/>
    <w:rsid w:val="133745F5"/>
    <w:rsid w:val="136E0BA9"/>
    <w:rsid w:val="14002D3F"/>
    <w:rsid w:val="14030296"/>
    <w:rsid w:val="14133020"/>
    <w:rsid w:val="14C76F80"/>
    <w:rsid w:val="15333580"/>
    <w:rsid w:val="15A13EC5"/>
    <w:rsid w:val="15A16358"/>
    <w:rsid w:val="15AE1730"/>
    <w:rsid w:val="16D15647"/>
    <w:rsid w:val="17072153"/>
    <w:rsid w:val="179B2FB7"/>
    <w:rsid w:val="1814088F"/>
    <w:rsid w:val="18951A4B"/>
    <w:rsid w:val="18D303A9"/>
    <w:rsid w:val="18F80FD7"/>
    <w:rsid w:val="195022A1"/>
    <w:rsid w:val="19CF1C75"/>
    <w:rsid w:val="1A023DF9"/>
    <w:rsid w:val="1ABC1092"/>
    <w:rsid w:val="1BD75223"/>
    <w:rsid w:val="1C1C5551"/>
    <w:rsid w:val="1C3547FE"/>
    <w:rsid w:val="1C7D5357"/>
    <w:rsid w:val="1D0B0E49"/>
    <w:rsid w:val="1D84052E"/>
    <w:rsid w:val="1EA840E5"/>
    <w:rsid w:val="1EB61656"/>
    <w:rsid w:val="1EC441B5"/>
    <w:rsid w:val="1EE00481"/>
    <w:rsid w:val="1F0E4FEE"/>
    <w:rsid w:val="1F636061"/>
    <w:rsid w:val="1FA12402"/>
    <w:rsid w:val="201E5AEE"/>
    <w:rsid w:val="201F1A70"/>
    <w:rsid w:val="20686C00"/>
    <w:rsid w:val="219F0AAA"/>
    <w:rsid w:val="21AD230E"/>
    <w:rsid w:val="21AD4F92"/>
    <w:rsid w:val="221531C6"/>
    <w:rsid w:val="22B308E0"/>
    <w:rsid w:val="22F8223D"/>
    <w:rsid w:val="231449BC"/>
    <w:rsid w:val="245B3C6C"/>
    <w:rsid w:val="24EA2059"/>
    <w:rsid w:val="256A05ED"/>
    <w:rsid w:val="25B82704"/>
    <w:rsid w:val="25CE3729"/>
    <w:rsid w:val="26B47DA6"/>
    <w:rsid w:val="271D48AB"/>
    <w:rsid w:val="27F951A3"/>
    <w:rsid w:val="28650F30"/>
    <w:rsid w:val="292A336C"/>
    <w:rsid w:val="29963E43"/>
    <w:rsid w:val="29D63D26"/>
    <w:rsid w:val="2A421A2A"/>
    <w:rsid w:val="2A4F2C95"/>
    <w:rsid w:val="2A766529"/>
    <w:rsid w:val="2B650FCD"/>
    <w:rsid w:val="2BBF5FEE"/>
    <w:rsid w:val="2C4032A0"/>
    <w:rsid w:val="2DEF2BDC"/>
    <w:rsid w:val="2E425882"/>
    <w:rsid w:val="2EC16437"/>
    <w:rsid w:val="2F526AD5"/>
    <w:rsid w:val="2FA61D42"/>
    <w:rsid w:val="2FF761B2"/>
    <w:rsid w:val="31B71C9E"/>
    <w:rsid w:val="31DD5420"/>
    <w:rsid w:val="32235DA5"/>
    <w:rsid w:val="323C72FE"/>
    <w:rsid w:val="323E5792"/>
    <w:rsid w:val="32732A73"/>
    <w:rsid w:val="327B21AE"/>
    <w:rsid w:val="3287538B"/>
    <w:rsid w:val="32FA790B"/>
    <w:rsid w:val="33010C9A"/>
    <w:rsid w:val="343E6181"/>
    <w:rsid w:val="348F6779"/>
    <w:rsid w:val="3598464A"/>
    <w:rsid w:val="35B629AE"/>
    <w:rsid w:val="35D16D87"/>
    <w:rsid w:val="36AB772B"/>
    <w:rsid w:val="36DA1F2E"/>
    <w:rsid w:val="373D526A"/>
    <w:rsid w:val="37C11C43"/>
    <w:rsid w:val="381E7142"/>
    <w:rsid w:val="38213B8C"/>
    <w:rsid w:val="38514865"/>
    <w:rsid w:val="387901C8"/>
    <w:rsid w:val="38CF6D59"/>
    <w:rsid w:val="38FF3ECD"/>
    <w:rsid w:val="395F0B7B"/>
    <w:rsid w:val="3A317D8E"/>
    <w:rsid w:val="3A6619DD"/>
    <w:rsid w:val="3AEE4C1B"/>
    <w:rsid w:val="3BBA639E"/>
    <w:rsid w:val="3CF379FB"/>
    <w:rsid w:val="3D002CB8"/>
    <w:rsid w:val="3D171B93"/>
    <w:rsid w:val="3DA168FD"/>
    <w:rsid w:val="3E587BDC"/>
    <w:rsid w:val="3FD55040"/>
    <w:rsid w:val="40724A02"/>
    <w:rsid w:val="40FF6A1D"/>
    <w:rsid w:val="41E3545A"/>
    <w:rsid w:val="426D34FB"/>
    <w:rsid w:val="42E67EAC"/>
    <w:rsid w:val="433D7719"/>
    <w:rsid w:val="43963AFB"/>
    <w:rsid w:val="43E25D79"/>
    <w:rsid w:val="44672707"/>
    <w:rsid w:val="44CA4BFA"/>
    <w:rsid w:val="44CB1108"/>
    <w:rsid w:val="45083078"/>
    <w:rsid w:val="457B4294"/>
    <w:rsid w:val="45B23944"/>
    <w:rsid w:val="46761A29"/>
    <w:rsid w:val="467B2C5D"/>
    <w:rsid w:val="472F3E13"/>
    <w:rsid w:val="474243A5"/>
    <w:rsid w:val="47F76F19"/>
    <w:rsid w:val="484C2EDE"/>
    <w:rsid w:val="4854035E"/>
    <w:rsid w:val="488C13C5"/>
    <w:rsid w:val="48C0061A"/>
    <w:rsid w:val="491B50C9"/>
    <w:rsid w:val="4976670C"/>
    <w:rsid w:val="4981092F"/>
    <w:rsid w:val="49897920"/>
    <w:rsid w:val="499B42CB"/>
    <w:rsid w:val="49C102E1"/>
    <w:rsid w:val="4BBD4701"/>
    <w:rsid w:val="4C0229B1"/>
    <w:rsid w:val="4C545E87"/>
    <w:rsid w:val="4CD564BF"/>
    <w:rsid w:val="4D720CBA"/>
    <w:rsid w:val="4E5D33C0"/>
    <w:rsid w:val="4E914A98"/>
    <w:rsid w:val="4F5F2F6A"/>
    <w:rsid w:val="507638F5"/>
    <w:rsid w:val="50A63574"/>
    <w:rsid w:val="50FD11A1"/>
    <w:rsid w:val="51452242"/>
    <w:rsid w:val="516B057D"/>
    <w:rsid w:val="5172691E"/>
    <w:rsid w:val="52B458D1"/>
    <w:rsid w:val="532A7CF8"/>
    <w:rsid w:val="53346859"/>
    <w:rsid w:val="544C7B49"/>
    <w:rsid w:val="549445ED"/>
    <w:rsid w:val="54CC26F2"/>
    <w:rsid w:val="553B384A"/>
    <w:rsid w:val="56715625"/>
    <w:rsid w:val="581F5323"/>
    <w:rsid w:val="59093785"/>
    <w:rsid w:val="596F0C2C"/>
    <w:rsid w:val="59D44365"/>
    <w:rsid w:val="5AD14B46"/>
    <w:rsid w:val="5B4A5024"/>
    <w:rsid w:val="5B500161"/>
    <w:rsid w:val="5BFFC607"/>
    <w:rsid w:val="5D2D3561"/>
    <w:rsid w:val="5D4405B5"/>
    <w:rsid w:val="5D827B95"/>
    <w:rsid w:val="5DC015CE"/>
    <w:rsid w:val="5DCD37B6"/>
    <w:rsid w:val="5E525A0B"/>
    <w:rsid w:val="5EA7685B"/>
    <w:rsid w:val="5EC57B6F"/>
    <w:rsid w:val="5F2A46E1"/>
    <w:rsid w:val="5F6B35E8"/>
    <w:rsid w:val="5FA06C50"/>
    <w:rsid w:val="606800CD"/>
    <w:rsid w:val="61261567"/>
    <w:rsid w:val="62222B0A"/>
    <w:rsid w:val="62623226"/>
    <w:rsid w:val="62FA5DFC"/>
    <w:rsid w:val="64065861"/>
    <w:rsid w:val="64A21FD2"/>
    <w:rsid w:val="64C526D1"/>
    <w:rsid w:val="66B337FA"/>
    <w:rsid w:val="670D1E72"/>
    <w:rsid w:val="67335397"/>
    <w:rsid w:val="67A123E4"/>
    <w:rsid w:val="686040F4"/>
    <w:rsid w:val="68D5638D"/>
    <w:rsid w:val="68E04B7D"/>
    <w:rsid w:val="68E0603A"/>
    <w:rsid w:val="69B06DEE"/>
    <w:rsid w:val="69DE136E"/>
    <w:rsid w:val="6AD36AFF"/>
    <w:rsid w:val="6B66073E"/>
    <w:rsid w:val="6C133210"/>
    <w:rsid w:val="6CEE0F2A"/>
    <w:rsid w:val="6D436528"/>
    <w:rsid w:val="6DED4477"/>
    <w:rsid w:val="6E76033D"/>
    <w:rsid w:val="6E7A0468"/>
    <w:rsid w:val="6EDD1D32"/>
    <w:rsid w:val="6F2E04AE"/>
    <w:rsid w:val="6FE27182"/>
    <w:rsid w:val="70001CFE"/>
    <w:rsid w:val="70893D25"/>
    <w:rsid w:val="72816D82"/>
    <w:rsid w:val="72D62DCE"/>
    <w:rsid w:val="72DE036B"/>
    <w:rsid w:val="72EC4D49"/>
    <w:rsid w:val="73766DF9"/>
    <w:rsid w:val="738A37A9"/>
    <w:rsid w:val="73970283"/>
    <w:rsid w:val="73986A62"/>
    <w:rsid w:val="73CA3859"/>
    <w:rsid w:val="74160DBC"/>
    <w:rsid w:val="74CC3179"/>
    <w:rsid w:val="74D6302D"/>
    <w:rsid w:val="75BB555C"/>
    <w:rsid w:val="76031F44"/>
    <w:rsid w:val="780433C3"/>
    <w:rsid w:val="783F20A6"/>
    <w:rsid w:val="786E326B"/>
    <w:rsid w:val="788219D6"/>
    <w:rsid w:val="78D8023F"/>
    <w:rsid w:val="7998162A"/>
    <w:rsid w:val="79FB7CCE"/>
    <w:rsid w:val="7A010B4C"/>
    <w:rsid w:val="7AB52F20"/>
    <w:rsid w:val="7AD8374A"/>
    <w:rsid w:val="7AEB769F"/>
    <w:rsid w:val="7B603119"/>
    <w:rsid w:val="7BA34989"/>
    <w:rsid w:val="7C994994"/>
    <w:rsid w:val="7CA01CE2"/>
    <w:rsid w:val="7CC60DF8"/>
    <w:rsid w:val="7D132AA5"/>
    <w:rsid w:val="7D807FDA"/>
    <w:rsid w:val="7E241701"/>
    <w:rsid w:val="7EB80BC2"/>
    <w:rsid w:val="7EC02D84"/>
    <w:rsid w:val="7F1D6663"/>
    <w:rsid w:val="7F4C0ABC"/>
    <w:rsid w:val="7F87107D"/>
    <w:rsid w:val="7F8E16D9"/>
    <w:rsid w:val="7F9B5D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4"/>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5"/>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6"/>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7"/>
    <w:unhideWhenUsed/>
    <w:qFormat/>
    <w:uiPriority w:val="0"/>
    <w:pPr>
      <w:keepNext/>
      <w:keepLines/>
      <w:spacing w:before="280" w:after="290" w:line="376" w:lineRule="auto"/>
      <w:outlineLvl w:val="4"/>
    </w:pPr>
    <w:rPr>
      <w:b/>
      <w:bCs/>
      <w:sz w:val="28"/>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toc 7"/>
    <w:basedOn w:val="1"/>
    <w:next w:val="1"/>
    <w:qFormat/>
    <w:uiPriority w:val="0"/>
    <w:pPr>
      <w:jc w:val="left"/>
    </w:pPr>
    <w:rPr>
      <w:rFonts w:ascii="Calibri" w:hAnsi="Calibri"/>
      <w:sz w:val="22"/>
      <w:szCs w:val="22"/>
    </w:rPr>
  </w:style>
  <w:style w:type="paragraph" w:styleId="9">
    <w:name w:val="caption"/>
    <w:basedOn w:val="1"/>
    <w:next w:val="1"/>
    <w:unhideWhenUsed/>
    <w:qFormat/>
    <w:uiPriority w:val="0"/>
    <w:pPr>
      <w:spacing w:before="152" w:after="160"/>
    </w:pPr>
    <w:rPr>
      <w:rFonts w:ascii="Arial" w:hAnsi="Arial" w:eastAsia="黑体" w:cs="Arial"/>
      <w:sz w:val="20"/>
      <w:szCs w:val="20"/>
    </w:rPr>
  </w:style>
  <w:style w:type="paragraph" w:styleId="10">
    <w:name w:val="Document Map"/>
    <w:basedOn w:val="1"/>
    <w:link w:val="48"/>
    <w:qFormat/>
    <w:uiPriority w:val="0"/>
    <w:rPr>
      <w:rFonts w:ascii="宋体"/>
      <w:sz w:val="18"/>
      <w:szCs w:val="18"/>
    </w:rPr>
  </w:style>
  <w:style w:type="paragraph" w:styleId="11">
    <w:name w:val="annotation text"/>
    <w:basedOn w:val="1"/>
    <w:link w:val="49"/>
    <w:qFormat/>
    <w:uiPriority w:val="0"/>
    <w:pPr>
      <w:jc w:val="left"/>
    </w:pPr>
  </w:style>
  <w:style w:type="paragraph" w:styleId="12">
    <w:name w:val="Body Text 3"/>
    <w:basedOn w:val="1"/>
    <w:link w:val="50"/>
    <w:qFormat/>
    <w:uiPriority w:val="0"/>
    <w:pPr>
      <w:spacing w:after="120"/>
    </w:pPr>
    <w:rPr>
      <w:sz w:val="16"/>
      <w:szCs w:val="16"/>
    </w:rPr>
  </w:style>
  <w:style w:type="paragraph" w:styleId="13">
    <w:name w:val="Body Text"/>
    <w:basedOn w:val="1"/>
    <w:link w:val="51"/>
    <w:qFormat/>
    <w:uiPriority w:val="99"/>
    <w:pPr>
      <w:spacing w:after="120"/>
    </w:pPr>
  </w:style>
  <w:style w:type="paragraph" w:styleId="14">
    <w:name w:val="Body Text Indent"/>
    <w:basedOn w:val="1"/>
    <w:link w:val="52"/>
    <w:qFormat/>
    <w:uiPriority w:val="0"/>
    <w:pPr>
      <w:spacing w:line="200" w:lineRule="exact"/>
      <w:ind w:firstLine="301"/>
    </w:pPr>
    <w:rPr>
      <w:rFonts w:ascii="宋体" w:hAnsi="Courier New"/>
      <w:spacing w:val="-4"/>
      <w:sz w:val="18"/>
      <w:szCs w:val="20"/>
    </w:rPr>
  </w:style>
  <w:style w:type="paragraph" w:styleId="15">
    <w:name w:val="Block Text"/>
    <w:basedOn w:val="1"/>
    <w:unhideWhenUsed/>
    <w:qFormat/>
    <w:uiPriority w:val="0"/>
    <w:pPr>
      <w:numPr>
        <w:ilvl w:val="0"/>
        <w:numId w:val="1"/>
      </w:numPr>
      <w:spacing w:after="120"/>
      <w:ind w:right="1440"/>
    </w:pPr>
    <w:rPr>
      <w:rFonts w:hint="eastAsia" w:ascii="Times New Roman" w:hAnsi="Times New Roman" w:eastAsia="宋体" w:cs="Times New Roman"/>
      <w:sz w:val="24"/>
    </w:rPr>
  </w:style>
  <w:style w:type="paragraph" w:styleId="16">
    <w:name w:val="toc 5"/>
    <w:basedOn w:val="1"/>
    <w:next w:val="1"/>
    <w:qFormat/>
    <w:uiPriority w:val="0"/>
    <w:pPr>
      <w:jc w:val="left"/>
    </w:pPr>
    <w:rPr>
      <w:rFonts w:ascii="Calibri" w:hAnsi="Calibri"/>
      <w:sz w:val="22"/>
      <w:szCs w:val="22"/>
    </w:rPr>
  </w:style>
  <w:style w:type="paragraph" w:styleId="17">
    <w:name w:val="toc 3"/>
    <w:basedOn w:val="1"/>
    <w:next w:val="1"/>
    <w:qFormat/>
    <w:uiPriority w:val="0"/>
    <w:pPr>
      <w:jc w:val="left"/>
    </w:pPr>
    <w:rPr>
      <w:rFonts w:ascii="Calibri" w:hAnsi="Calibri"/>
      <w:smallCaps/>
      <w:sz w:val="22"/>
      <w:szCs w:val="22"/>
    </w:rPr>
  </w:style>
  <w:style w:type="paragraph" w:styleId="18">
    <w:name w:val="Plain Text"/>
    <w:basedOn w:val="1"/>
    <w:link w:val="53"/>
    <w:qFormat/>
    <w:uiPriority w:val="0"/>
    <w:rPr>
      <w:rFonts w:ascii="宋体" w:hAnsi="Courier New"/>
      <w:szCs w:val="20"/>
    </w:rPr>
  </w:style>
  <w:style w:type="paragraph" w:styleId="19">
    <w:name w:val="toc 8"/>
    <w:basedOn w:val="1"/>
    <w:next w:val="1"/>
    <w:qFormat/>
    <w:uiPriority w:val="0"/>
    <w:pPr>
      <w:jc w:val="left"/>
    </w:pPr>
    <w:rPr>
      <w:rFonts w:ascii="Calibri" w:hAnsi="Calibri"/>
      <w:sz w:val="22"/>
      <w:szCs w:val="22"/>
    </w:rPr>
  </w:style>
  <w:style w:type="paragraph" w:styleId="20">
    <w:name w:val="Date"/>
    <w:basedOn w:val="1"/>
    <w:next w:val="1"/>
    <w:link w:val="54"/>
    <w:qFormat/>
    <w:uiPriority w:val="0"/>
    <w:pPr>
      <w:ind w:left="100" w:leftChars="2500"/>
    </w:pPr>
  </w:style>
  <w:style w:type="paragraph" w:styleId="21">
    <w:name w:val="Body Text Indent 2"/>
    <w:basedOn w:val="1"/>
    <w:link w:val="55"/>
    <w:qFormat/>
    <w:uiPriority w:val="0"/>
    <w:pPr>
      <w:spacing w:after="120" w:afterLines="0" w:line="480" w:lineRule="auto"/>
      <w:ind w:left="420" w:leftChars="200"/>
    </w:pPr>
  </w:style>
  <w:style w:type="paragraph" w:styleId="22">
    <w:name w:val="Balloon Text"/>
    <w:basedOn w:val="1"/>
    <w:link w:val="56"/>
    <w:qFormat/>
    <w:uiPriority w:val="0"/>
    <w:rPr>
      <w:sz w:val="18"/>
      <w:szCs w:val="18"/>
    </w:rPr>
  </w:style>
  <w:style w:type="paragraph" w:styleId="23">
    <w:name w:val="footer"/>
    <w:basedOn w:val="1"/>
    <w:next w:val="1"/>
    <w:link w:val="57"/>
    <w:qFormat/>
    <w:uiPriority w:val="0"/>
    <w:pPr>
      <w:tabs>
        <w:tab w:val="center" w:pos="4153"/>
        <w:tab w:val="right" w:pos="8306"/>
      </w:tabs>
      <w:snapToGrid w:val="0"/>
      <w:jc w:val="left"/>
    </w:pPr>
    <w:rPr>
      <w:sz w:val="18"/>
      <w:szCs w:val="18"/>
    </w:rPr>
  </w:style>
  <w:style w:type="paragraph" w:styleId="24">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360" w:after="360"/>
      <w:jc w:val="left"/>
    </w:pPr>
    <w:rPr>
      <w:rFonts w:ascii="Calibri" w:hAnsi="Calibri"/>
      <w:b/>
      <w:bCs/>
      <w:caps/>
      <w:sz w:val="22"/>
      <w:szCs w:val="22"/>
      <w:u w:val="single"/>
    </w:rPr>
  </w:style>
  <w:style w:type="paragraph" w:styleId="26">
    <w:name w:val="toc 4"/>
    <w:basedOn w:val="1"/>
    <w:next w:val="1"/>
    <w:qFormat/>
    <w:uiPriority w:val="0"/>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qFormat/>
    <w:uiPriority w:val="0"/>
    <w:pPr>
      <w:jc w:val="left"/>
    </w:pPr>
    <w:rPr>
      <w:rFonts w:ascii="Calibri" w:hAnsi="Calibri"/>
      <w:sz w:val="22"/>
      <w:szCs w:val="22"/>
    </w:rPr>
  </w:style>
  <w:style w:type="paragraph" w:styleId="29">
    <w:name w:val="Body Text Indent 3"/>
    <w:basedOn w:val="1"/>
    <w:qFormat/>
    <w:uiPriority w:val="0"/>
    <w:pPr>
      <w:spacing w:after="156" w:afterLines="50" w:afterAutospacing="0" w:line="300" w:lineRule="auto"/>
      <w:ind w:firstLine="600" w:firstLineChars="200"/>
    </w:pPr>
    <w:rPr>
      <w:rFonts w:ascii="宋体" w:hAnsi="宋体" w:eastAsia="宋体" w:cs="Times New Roman"/>
      <w:sz w:val="30"/>
      <w:szCs w:val="20"/>
    </w:rPr>
  </w:style>
  <w:style w:type="paragraph" w:styleId="30">
    <w:name w:val="toc 2"/>
    <w:basedOn w:val="1"/>
    <w:next w:val="1"/>
    <w:qFormat/>
    <w:uiPriority w:val="0"/>
    <w:pPr>
      <w:jc w:val="left"/>
    </w:pPr>
    <w:rPr>
      <w:rFonts w:ascii="Calibri" w:hAnsi="Calibri"/>
      <w:b/>
      <w:bCs/>
      <w:smallCaps/>
      <w:sz w:val="22"/>
      <w:szCs w:val="22"/>
    </w:rPr>
  </w:style>
  <w:style w:type="paragraph" w:styleId="31">
    <w:name w:val="toc 9"/>
    <w:basedOn w:val="1"/>
    <w:next w:val="1"/>
    <w:qFormat/>
    <w:uiPriority w:val="0"/>
    <w:pPr>
      <w:jc w:val="left"/>
    </w:pPr>
    <w:rPr>
      <w:rFonts w:ascii="Calibri" w:hAnsi="Calibri"/>
      <w:sz w:val="22"/>
      <w:szCs w:val="22"/>
    </w:r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annotation subject"/>
    <w:basedOn w:val="11"/>
    <w:next w:val="11"/>
    <w:link w:val="59"/>
    <w:qFormat/>
    <w:uiPriority w:val="0"/>
    <w:rPr>
      <w:b/>
      <w:bCs/>
    </w:rPr>
  </w:style>
  <w:style w:type="paragraph" w:styleId="34">
    <w:name w:val="Body Text First Indent"/>
    <w:basedOn w:val="13"/>
    <w:qFormat/>
    <w:uiPriority w:val="0"/>
    <w:pPr>
      <w:spacing w:after="120" w:line="240" w:lineRule="auto"/>
      <w:ind w:firstLine="420" w:firstLineChars="100"/>
    </w:pPr>
    <w:rPr>
      <w:sz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字符2"/>
    <w:link w:val="2"/>
    <w:qFormat/>
    <w:uiPriority w:val="0"/>
    <w:rPr>
      <w:b/>
      <w:bCs/>
      <w:kern w:val="44"/>
      <w:sz w:val="44"/>
      <w:szCs w:val="44"/>
    </w:rPr>
  </w:style>
  <w:style w:type="character" w:customStyle="1" w:styleId="44">
    <w:name w:val="标题 2 字符2"/>
    <w:link w:val="3"/>
    <w:qFormat/>
    <w:uiPriority w:val="0"/>
    <w:rPr>
      <w:rFonts w:ascii="Arial" w:hAnsi="Arial" w:eastAsia="黑体"/>
      <w:b/>
      <w:bCs/>
      <w:kern w:val="2"/>
      <w:sz w:val="32"/>
      <w:szCs w:val="32"/>
    </w:rPr>
  </w:style>
  <w:style w:type="character" w:customStyle="1" w:styleId="45">
    <w:name w:val="标题 3 字符2"/>
    <w:link w:val="4"/>
    <w:qFormat/>
    <w:uiPriority w:val="0"/>
    <w:rPr>
      <w:b/>
      <w:bCs/>
      <w:kern w:val="2"/>
      <w:sz w:val="32"/>
      <w:szCs w:val="32"/>
    </w:rPr>
  </w:style>
  <w:style w:type="character" w:customStyle="1" w:styleId="46">
    <w:name w:val="标题 4 字符2"/>
    <w:link w:val="5"/>
    <w:qFormat/>
    <w:uiPriority w:val="0"/>
    <w:rPr>
      <w:rFonts w:ascii="Arial" w:eastAsia="黑体"/>
      <w:sz w:val="28"/>
    </w:rPr>
  </w:style>
  <w:style w:type="character" w:customStyle="1" w:styleId="47">
    <w:name w:val="标题 5 字符2"/>
    <w:link w:val="6"/>
    <w:qFormat/>
    <w:uiPriority w:val="9"/>
    <w:rPr>
      <w:b/>
      <w:bCs/>
      <w:kern w:val="2"/>
      <w:sz w:val="28"/>
      <w:szCs w:val="28"/>
    </w:rPr>
  </w:style>
  <w:style w:type="character" w:customStyle="1" w:styleId="48">
    <w:name w:val="文档结构图 字符1"/>
    <w:link w:val="10"/>
    <w:qFormat/>
    <w:uiPriority w:val="0"/>
    <w:rPr>
      <w:rFonts w:ascii="宋体"/>
      <w:kern w:val="2"/>
      <w:sz w:val="18"/>
      <w:szCs w:val="18"/>
    </w:rPr>
  </w:style>
  <w:style w:type="character" w:customStyle="1" w:styleId="49">
    <w:name w:val="批注文字 字符2"/>
    <w:link w:val="11"/>
    <w:qFormat/>
    <w:uiPriority w:val="0"/>
    <w:rPr>
      <w:kern w:val="2"/>
      <w:sz w:val="21"/>
      <w:szCs w:val="24"/>
    </w:rPr>
  </w:style>
  <w:style w:type="character" w:customStyle="1" w:styleId="50">
    <w:name w:val="正文文本 3 字符1"/>
    <w:link w:val="12"/>
    <w:qFormat/>
    <w:uiPriority w:val="99"/>
    <w:rPr>
      <w:kern w:val="2"/>
      <w:sz w:val="16"/>
      <w:szCs w:val="16"/>
    </w:rPr>
  </w:style>
  <w:style w:type="character" w:customStyle="1" w:styleId="51">
    <w:name w:val="正文文本 字符1"/>
    <w:link w:val="13"/>
    <w:qFormat/>
    <w:uiPriority w:val="99"/>
    <w:rPr>
      <w:kern w:val="2"/>
      <w:sz w:val="21"/>
      <w:szCs w:val="24"/>
    </w:rPr>
  </w:style>
  <w:style w:type="character" w:customStyle="1" w:styleId="52">
    <w:name w:val="正文文本缩进 字符1"/>
    <w:link w:val="14"/>
    <w:qFormat/>
    <w:uiPriority w:val="0"/>
    <w:rPr>
      <w:rFonts w:ascii="宋体" w:hAnsi="Courier New" w:eastAsia="宋体"/>
      <w:spacing w:val="-4"/>
      <w:kern w:val="2"/>
      <w:sz w:val="18"/>
      <w:lang w:val="en-US" w:eastAsia="zh-CN" w:bidi="ar-SA"/>
    </w:rPr>
  </w:style>
  <w:style w:type="character" w:customStyle="1" w:styleId="53">
    <w:name w:val="纯文本 字符3"/>
    <w:link w:val="18"/>
    <w:qFormat/>
    <w:uiPriority w:val="0"/>
    <w:rPr>
      <w:rFonts w:ascii="宋体" w:hAnsi="Courier New" w:eastAsia="宋体"/>
      <w:kern w:val="2"/>
      <w:sz w:val="21"/>
      <w:lang w:val="en-US" w:eastAsia="zh-CN" w:bidi="ar-SA"/>
    </w:rPr>
  </w:style>
  <w:style w:type="character" w:customStyle="1" w:styleId="54">
    <w:name w:val="日期 字符1"/>
    <w:link w:val="20"/>
    <w:qFormat/>
    <w:uiPriority w:val="0"/>
    <w:rPr>
      <w:kern w:val="2"/>
      <w:sz w:val="21"/>
      <w:szCs w:val="24"/>
    </w:rPr>
  </w:style>
  <w:style w:type="character" w:customStyle="1" w:styleId="55">
    <w:name w:val="正文文本缩进 2 字符1"/>
    <w:link w:val="21"/>
    <w:qFormat/>
    <w:uiPriority w:val="0"/>
    <w:rPr>
      <w:kern w:val="2"/>
      <w:sz w:val="21"/>
      <w:szCs w:val="24"/>
    </w:rPr>
  </w:style>
  <w:style w:type="character" w:customStyle="1" w:styleId="56">
    <w:name w:val="批注框文本 字符1"/>
    <w:link w:val="22"/>
    <w:qFormat/>
    <w:uiPriority w:val="0"/>
    <w:rPr>
      <w:kern w:val="2"/>
      <w:sz w:val="18"/>
      <w:szCs w:val="18"/>
    </w:rPr>
  </w:style>
  <w:style w:type="character" w:customStyle="1" w:styleId="57">
    <w:name w:val="页脚 字符2"/>
    <w:link w:val="23"/>
    <w:qFormat/>
    <w:uiPriority w:val="99"/>
    <w:rPr>
      <w:kern w:val="2"/>
      <w:sz w:val="18"/>
      <w:szCs w:val="18"/>
    </w:rPr>
  </w:style>
  <w:style w:type="character" w:customStyle="1" w:styleId="58">
    <w:name w:val="页眉 字符2"/>
    <w:link w:val="24"/>
    <w:qFormat/>
    <w:uiPriority w:val="99"/>
    <w:rPr>
      <w:kern w:val="2"/>
      <w:sz w:val="18"/>
      <w:szCs w:val="18"/>
    </w:rPr>
  </w:style>
  <w:style w:type="character" w:customStyle="1" w:styleId="59">
    <w:name w:val="批注主题 字符1"/>
    <w:link w:val="33"/>
    <w:qFormat/>
    <w:uiPriority w:val="99"/>
    <w:rPr>
      <w:b/>
      <w:bCs/>
      <w:kern w:val="2"/>
      <w:sz w:val="21"/>
      <w:szCs w:val="24"/>
    </w:rPr>
  </w:style>
  <w:style w:type="character" w:customStyle="1" w:styleId="60">
    <w:name w:val="正文文本_"/>
    <w:link w:val="61"/>
    <w:qFormat/>
    <w:uiPriority w:val="0"/>
    <w:rPr>
      <w:rFonts w:ascii="MingLiU" w:hAnsi="MingLiU" w:eastAsia="MingLiU" w:cs="MingLiU"/>
      <w:spacing w:val="9"/>
      <w:sz w:val="19"/>
      <w:szCs w:val="19"/>
      <w:shd w:val="clear" w:color="auto" w:fill="FFFFFF"/>
    </w:rPr>
  </w:style>
  <w:style w:type="paragraph" w:customStyle="1" w:styleId="61">
    <w:name w:val="正文文本1"/>
    <w:basedOn w:val="1"/>
    <w:link w:val="6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2">
    <w:name w:val="纯文本 Char1"/>
    <w:link w:val="63"/>
    <w:qFormat/>
    <w:uiPriority w:val="0"/>
    <w:rPr>
      <w:rFonts w:ascii="宋体" w:hAnsi="Courier New" w:eastAsia="宋体"/>
      <w:kern w:val="2"/>
      <w:sz w:val="21"/>
      <w:lang w:val="en-US" w:eastAsia="zh-CN" w:bidi="ar-SA"/>
    </w:rPr>
  </w:style>
  <w:style w:type="paragraph" w:customStyle="1" w:styleId="63">
    <w:name w:val="纯文本1"/>
    <w:basedOn w:val="1"/>
    <w:link w:val="62"/>
    <w:qFormat/>
    <w:uiPriority w:val="0"/>
    <w:rPr>
      <w:rFonts w:ascii="宋体" w:hAnsi="Courier New"/>
      <w:szCs w:val="20"/>
    </w:rPr>
  </w:style>
  <w:style w:type="character" w:customStyle="1" w:styleId="6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5">
    <w:name w:val="Char Char1"/>
    <w:qFormat/>
    <w:uiPriority w:val="0"/>
    <w:rPr>
      <w:rFonts w:ascii="宋体" w:hAnsi="Courier New" w:eastAsia="宋体"/>
      <w:kern w:val="2"/>
      <w:sz w:val="21"/>
      <w:lang w:val="en-US" w:eastAsia="zh-CN" w:bidi="ar-SA"/>
    </w:rPr>
  </w:style>
  <w:style w:type="character" w:customStyle="1" w:styleId="6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页脚 字符"/>
    <w:qFormat/>
    <w:uiPriority w:val="99"/>
    <w:rPr>
      <w:sz w:val="18"/>
      <w:szCs w:val="18"/>
    </w:rPr>
  </w:style>
  <w:style w:type="character" w:customStyle="1" w:styleId="68">
    <w:name w:val="页眉 字符"/>
    <w:qFormat/>
    <w:uiPriority w:val="99"/>
    <w:rPr>
      <w:rFonts w:ascii="Times New Roman" w:hAnsi="Times New Roman"/>
      <w:kern w:val="2"/>
      <w:sz w:val="18"/>
      <w:szCs w:val="18"/>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纯文本 字符2"/>
    <w:qFormat/>
    <w:uiPriority w:val="0"/>
    <w:rPr>
      <w:rFonts w:ascii="宋体" w:hAnsi="Courier New" w:eastAsia="宋体" w:cs="Courier New"/>
      <w:szCs w:val="21"/>
    </w:rPr>
  </w:style>
  <w:style w:type="paragraph" w:customStyle="1" w:styleId="71">
    <w:name w:val=" Char"/>
    <w:basedOn w:val="1"/>
    <w:qFormat/>
    <w:uiPriority w:val="0"/>
    <w:rPr>
      <w:szCs w:val="21"/>
    </w:rPr>
  </w:style>
  <w:style w:type="paragraph" w:customStyle="1" w:styleId="72">
    <w:name w:val=" Char Char Char Char Char Char Char"/>
    <w:basedOn w:val="1"/>
    <w:qFormat/>
    <w:uiPriority w:val="0"/>
  </w:style>
  <w:style w:type="paragraph" w:customStyle="1" w:styleId="73">
    <w:name w:val="_Style 71"/>
    <w:qFormat/>
    <w:uiPriority w:val="0"/>
    <w:rPr>
      <w:rFonts w:ascii="Times New Roman" w:hAnsi="Times New Roman" w:eastAsia="宋体" w:cs="Times New Roman"/>
      <w:kern w:val="2"/>
      <w:sz w:val="21"/>
      <w:szCs w:val="24"/>
      <w:lang w:val="en-US" w:eastAsia="zh-CN" w:bidi="ar-SA"/>
    </w:rPr>
  </w:style>
  <w:style w:type="paragraph" w:customStyle="1" w:styleId="74">
    <w:name w:val="Char Char Char Char Char Char Char Char Char Char Char Char"/>
    <w:basedOn w:val="1"/>
    <w:qFormat/>
    <w:uiPriority w:val="0"/>
    <w:pPr>
      <w:widowControl/>
      <w:spacing w:after="160" w:afterLines="0" w:line="240" w:lineRule="exact"/>
      <w:jc w:val="left"/>
    </w:pPr>
  </w:style>
  <w:style w:type="paragraph" w:customStyle="1" w:styleId="75">
    <w:name w:val=" Char Char Char Char Char Char Char Char Char Char Char Char"/>
    <w:basedOn w:val="1"/>
    <w:qFormat/>
    <w:uiPriority w:val="0"/>
    <w:pPr>
      <w:widowControl/>
      <w:spacing w:after="160" w:afterLines="0" w:line="240" w:lineRule="exact"/>
      <w:jc w:val="left"/>
    </w:pPr>
  </w:style>
  <w:style w:type="paragraph" w:customStyle="1" w:styleId="76">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p0"/>
    <w:basedOn w:val="1"/>
    <w:qFormat/>
    <w:uiPriority w:val="0"/>
    <w:pPr>
      <w:widowControl/>
    </w:pPr>
    <w:rPr>
      <w:kern w:val="0"/>
      <w:szCs w:val="21"/>
    </w:rPr>
  </w:style>
  <w:style w:type="paragraph" w:customStyle="1" w:styleId="79">
    <w:name w:val="Char Char Char"/>
    <w:basedOn w:val="1"/>
    <w:qFormat/>
    <w:uiPriority w:val="0"/>
    <w:rPr>
      <w:szCs w:val="20"/>
    </w:rPr>
  </w:style>
  <w:style w:type="paragraph" w:customStyle="1" w:styleId="80">
    <w:name w:val="_Style 78"/>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1">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2">
    <w:name w:val="Char Char Char1 Char Char Char Char Char Char Char"/>
    <w:basedOn w:val="1"/>
    <w:qFormat/>
    <w:uiPriority w:val="0"/>
  </w:style>
  <w:style w:type="paragraph" w:customStyle="1" w:styleId="83">
    <w:name w:val="默认段落字体 Para Char Char Char Char Char Char Char Char Char1 Char Char Char Char"/>
    <w:basedOn w:val="1"/>
    <w:qFormat/>
    <w:uiPriority w:val="0"/>
    <w:rPr>
      <w:rFonts w:ascii="Tahoma" w:hAnsi="Tahoma"/>
      <w:sz w:val="24"/>
      <w:szCs w:val="20"/>
    </w:rPr>
  </w:style>
  <w:style w:type="paragraph" w:customStyle="1" w:styleId="84">
    <w:name w:val="Char"/>
    <w:basedOn w:val="1"/>
    <w:qFormat/>
    <w:uiPriority w:val="0"/>
  </w:style>
  <w:style w:type="paragraph" w:styleId="85">
    <w:name w:val="List Paragraph"/>
    <w:basedOn w:val="1"/>
    <w:qFormat/>
    <w:uiPriority w:val="34"/>
    <w:pPr>
      <w:ind w:firstLine="420" w:firstLineChars="200"/>
    </w:pPr>
  </w:style>
  <w:style w:type="paragraph" w:customStyle="1" w:styleId="86">
    <w:name w:val="Char Char Char Char"/>
    <w:basedOn w:val="1"/>
    <w:qFormat/>
    <w:uiPriority w:val="0"/>
    <w:pPr>
      <w:widowControl/>
      <w:spacing w:after="160" w:afterLines="0" w:line="240" w:lineRule="exact"/>
      <w:jc w:val="left"/>
    </w:pPr>
  </w:style>
  <w:style w:type="paragraph" w:customStyle="1" w:styleId="87">
    <w:name w:val=" Char Char Char Char"/>
    <w:basedOn w:val="1"/>
    <w:qFormat/>
    <w:uiPriority w:val="0"/>
    <w:pPr>
      <w:widowControl/>
      <w:spacing w:after="160" w:afterLines="0" w:line="240" w:lineRule="exact"/>
      <w:jc w:val="left"/>
    </w:pPr>
  </w:style>
  <w:style w:type="paragraph" w:customStyle="1" w:styleId="88">
    <w:name w:val="正文段"/>
    <w:basedOn w:val="1"/>
    <w:qFormat/>
    <w:uiPriority w:val="0"/>
    <w:pPr>
      <w:widowControl/>
      <w:snapToGrid w:val="0"/>
      <w:spacing w:after="156" w:afterLines="50"/>
      <w:ind w:firstLine="200" w:firstLineChars="200"/>
    </w:pPr>
    <w:rPr>
      <w:kern w:val="0"/>
      <w:sz w:val="24"/>
      <w:szCs w:val="20"/>
    </w:rPr>
  </w:style>
  <w:style w:type="paragraph" w:customStyle="1" w:styleId="89">
    <w:name w:val="列出段落1"/>
    <w:basedOn w:val="1"/>
    <w:qFormat/>
    <w:uiPriority w:val="34"/>
    <w:pPr>
      <w:spacing w:before="100" w:beforeAutospacing="1" w:after="100" w:afterAutospacing="1" w:line="360" w:lineRule="auto"/>
      <w:ind w:firstLine="420" w:firstLineChars="200"/>
    </w:pPr>
  </w:style>
  <w:style w:type="paragraph" w:customStyle="1" w:styleId="90">
    <w:name w:val="Char Char Char Char Char Char Char"/>
    <w:basedOn w:val="1"/>
    <w:qFormat/>
    <w:uiPriority w:val="0"/>
  </w:style>
  <w:style w:type="character" w:customStyle="1" w:styleId="91">
    <w:name w:val="正文2 Char Char"/>
    <w:link w:val="92"/>
    <w:qFormat/>
    <w:uiPriority w:val="0"/>
    <w:rPr>
      <w:kern w:val="2"/>
      <w:sz w:val="24"/>
    </w:rPr>
  </w:style>
  <w:style w:type="paragraph" w:customStyle="1" w:styleId="92">
    <w:name w:val="正文2"/>
    <w:basedOn w:val="1"/>
    <w:link w:val="91"/>
    <w:qFormat/>
    <w:uiPriority w:val="0"/>
    <w:pPr>
      <w:adjustRightInd w:val="0"/>
      <w:spacing w:before="156" w:line="360" w:lineRule="auto"/>
      <w:ind w:firstLine="510" w:firstLineChars="200"/>
    </w:pPr>
    <w:rPr>
      <w:sz w:val="24"/>
      <w:szCs w:val="20"/>
    </w:rPr>
  </w:style>
  <w:style w:type="paragraph" w:customStyle="1" w:styleId="93">
    <w:name w:val="表格文字"/>
    <w:basedOn w:val="1"/>
    <w:next w:val="13"/>
    <w:qFormat/>
    <w:uiPriority w:val="0"/>
    <w:pPr>
      <w:adjustRightInd w:val="0"/>
      <w:spacing w:line="420" w:lineRule="atLeast"/>
      <w:jc w:val="left"/>
      <w:textAlignment w:val="baseline"/>
    </w:pPr>
    <w:rPr>
      <w:kern w:val="0"/>
    </w:rPr>
  </w:style>
  <w:style w:type="character" w:customStyle="1" w:styleId="94">
    <w:name w:val="纯文本 Char_0"/>
    <w:link w:val="95"/>
    <w:qFormat/>
    <w:uiPriority w:val="0"/>
    <w:rPr>
      <w:rFonts w:ascii="宋体" w:hAnsi="Courier New"/>
      <w:kern w:val="2"/>
      <w:sz w:val="21"/>
      <w:szCs w:val="21"/>
    </w:rPr>
  </w:style>
  <w:style w:type="paragraph" w:customStyle="1" w:styleId="95">
    <w:name w:val="纯文本_0_0"/>
    <w:basedOn w:val="1"/>
    <w:link w:val="94"/>
    <w:qFormat/>
    <w:uiPriority w:val="0"/>
    <w:rPr>
      <w:rFonts w:ascii="宋体" w:hAnsi="Courier New"/>
      <w:szCs w:val="21"/>
    </w:rPr>
  </w:style>
  <w:style w:type="paragraph" w:customStyle="1" w:styleId="9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7">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8">
    <w:name w:val="批注文字 Char1"/>
    <w:qFormat/>
    <w:uiPriority w:val="0"/>
    <w:rPr>
      <w:rFonts w:ascii="Times New Roman" w:hAnsi="Times New Roman"/>
      <w:kern w:val="2"/>
      <w:sz w:val="21"/>
      <w:szCs w:val="24"/>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0"/>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 字符"/>
    <w:qFormat/>
    <w:uiPriority w:val="99"/>
    <w:rPr>
      <w:kern w:val="2"/>
      <w:sz w:val="21"/>
      <w:szCs w:val="24"/>
    </w:rPr>
  </w:style>
  <w:style w:type="character" w:customStyle="1" w:styleId="108">
    <w:name w:val="正文文本缩进 字符"/>
    <w:qFormat/>
    <w:uiPriority w:val="0"/>
    <w:rPr>
      <w:rFonts w:ascii="宋体" w:hAnsi="Courier New"/>
      <w:spacing w:val="-4"/>
      <w:kern w:val="2"/>
      <w:sz w:val="18"/>
    </w:rPr>
  </w:style>
  <w:style w:type="character" w:customStyle="1" w:styleId="109">
    <w:name w:val="纯文本 字符"/>
    <w:qFormat/>
    <w:uiPriority w:val="0"/>
    <w:rPr>
      <w:rFonts w:ascii="宋体" w:hAnsi="Courier New"/>
      <w:kern w:val="2"/>
      <w:sz w:val="21"/>
    </w:rPr>
  </w:style>
  <w:style w:type="character" w:customStyle="1" w:styleId="110">
    <w:name w:val="日期 字符"/>
    <w:qFormat/>
    <w:uiPriority w:val="0"/>
    <w:rPr>
      <w:kern w:val="2"/>
      <w:sz w:val="21"/>
      <w:szCs w:val="24"/>
    </w:rPr>
  </w:style>
  <w:style w:type="character" w:customStyle="1" w:styleId="111">
    <w:name w:val="正文文本缩进 2 字符"/>
    <w:qFormat/>
    <w:uiPriority w:val="0"/>
    <w:rPr>
      <w:kern w:val="2"/>
      <w:sz w:val="21"/>
      <w:szCs w:val="24"/>
    </w:rPr>
  </w:style>
  <w:style w:type="character" w:customStyle="1" w:styleId="112">
    <w:name w:val="批注框文本 字符"/>
    <w:qFormat/>
    <w:uiPriority w:val="0"/>
    <w:rPr>
      <w:kern w:val="2"/>
      <w:sz w:val="18"/>
      <w:szCs w:val="18"/>
    </w:rPr>
  </w:style>
  <w:style w:type="character" w:customStyle="1" w:styleId="113">
    <w:name w:val="页脚 字符1"/>
    <w:qFormat/>
    <w:uiPriority w:val="99"/>
    <w:rPr>
      <w:kern w:val="2"/>
      <w:sz w:val="18"/>
      <w:szCs w:val="18"/>
    </w:rPr>
  </w:style>
  <w:style w:type="character" w:customStyle="1" w:styleId="114">
    <w:name w:val="页眉 字符1"/>
    <w:qFormat/>
    <w:uiPriority w:val="99"/>
    <w:rPr>
      <w:kern w:val="2"/>
      <w:sz w:val="18"/>
      <w:szCs w:val="18"/>
    </w:rPr>
  </w:style>
  <w:style w:type="character" w:customStyle="1" w:styleId="115">
    <w:name w:val="批注主题 字符"/>
    <w:qFormat/>
    <w:uiPriority w:val="99"/>
    <w:rPr>
      <w:b/>
      <w:bCs/>
      <w:kern w:val="2"/>
      <w:sz w:val="21"/>
      <w:szCs w:val="24"/>
    </w:rPr>
  </w:style>
  <w:style w:type="paragraph" w:customStyle="1" w:styleId="116">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纯文本 字符1"/>
    <w:semiHidden/>
    <w:qFormat/>
    <w:locked/>
    <w:uiPriority w:val="0"/>
    <w:rPr>
      <w:rFonts w:ascii="宋体" w:hAnsi="Courier New"/>
      <w:kern w:val="2"/>
      <w:sz w:val="21"/>
    </w:rPr>
  </w:style>
  <w:style w:type="character" w:customStyle="1" w:styleId="119">
    <w:name w:val="标题 4 字符1"/>
    <w:semiHidden/>
    <w:qFormat/>
    <w:locked/>
    <w:uiPriority w:val="0"/>
    <w:rPr>
      <w:rFonts w:ascii="Arial" w:eastAsia="黑体"/>
      <w:sz w:val="28"/>
    </w:rPr>
  </w:style>
  <w:style w:type="character" w:customStyle="1" w:styleId="120">
    <w:name w:val="标题 2 字符1"/>
    <w:semiHidden/>
    <w:qFormat/>
    <w:locked/>
    <w:uiPriority w:val="0"/>
    <w:rPr>
      <w:rFonts w:ascii="Arial" w:hAnsi="Arial" w:eastAsia="黑体"/>
      <w:b/>
      <w:bCs/>
      <w:kern w:val="2"/>
      <w:sz w:val="32"/>
      <w:szCs w:val="32"/>
    </w:rPr>
  </w:style>
  <w:style w:type="character" w:customStyle="1" w:styleId="121">
    <w:name w:val="标题 1 字符1"/>
    <w:qFormat/>
    <w:locked/>
    <w:uiPriority w:val="0"/>
    <w:rPr>
      <w:b/>
      <w:bCs/>
      <w:kern w:val="44"/>
      <w:sz w:val="44"/>
      <w:szCs w:val="44"/>
    </w:rPr>
  </w:style>
  <w:style w:type="character" w:customStyle="1" w:styleId="122">
    <w:name w:val="标题 3 字符1"/>
    <w:semiHidden/>
    <w:qFormat/>
    <w:locked/>
    <w:uiPriority w:val="0"/>
    <w:rPr>
      <w:b/>
      <w:bCs/>
      <w:kern w:val="2"/>
      <w:sz w:val="32"/>
      <w:szCs w:val="32"/>
    </w:rPr>
  </w:style>
  <w:style w:type="character" w:customStyle="1" w:styleId="123">
    <w:name w:val="标题 5 字符1"/>
    <w:semiHidden/>
    <w:qFormat/>
    <w:locked/>
    <w:uiPriority w:val="9"/>
    <w:rPr>
      <w:b/>
      <w:bCs/>
      <w:kern w:val="2"/>
      <w:sz w:val="28"/>
      <w:szCs w:val="28"/>
    </w:rPr>
  </w:style>
  <w:style w:type="paragraph" w:customStyle="1" w:styleId="124">
    <w:name w:val="Table Text"/>
    <w:basedOn w:val="1"/>
    <w:semiHidden/>
    <w:qFormat/>
    <w:uiPriority w:val="0"/>
    <w:rPr>
      <w:rFonts w:ascii="宋体" w:hAnsi="宋体" w:eastAsia="宋体" w:cs="宋体"/>
      <w:sz w:val="21"/>
      <w:szCs w:val="21"/>
      <w:lang w:val="en-US" w:eastAsia="en-US" w:bidi="ar-SA"/>
    </w:rPr>
  </w:style>
  <w:style w:type="table" w:customStyle="1" w:styleId="125">
    <w:name w:val="Table Normal"/>
    <w:unhideWhenUsed/>
    <w:qFormat/>
    <w:uiPriority w:val="0"/>
    <w:tblPr>
      <w:tblCellMar>
        <w:top w:w="0" w:type="dxa"/>
        <w:left w:w="0" w:type="dxa"/>
        <w:bottom w:w="0" w:type="dxa"/>
        <w:right w:w="0" w:type="dxa"/>
      </w:tblCellMar>
    </w:tblPr>
  </w:style>
  <w:style w:type="paragraph" w:customStyle="1" w:styleId="126">
    <w:name w:val="p15"/>
    <w:basedOn w:val="1"/>
    <w:qFormat/>
    <w:uiPriority w:val="99"/>
    <w:pPr>
      <w:widowControl/>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102</Pages>
  <Words>2573</Words>
  <Characters>3315</Characters>
  <Lines>0</Lines>
  <Paragraphs>0</Paragraphs>
  <TotalTime>17</TotalTime>
  <ScaleCrop>false</ScaleCrop>
  <LinksUpToDate>false</LinksUpToDate>
  <CharactersWithSpaces>3435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2024-02-06T12:28:00Z</dcterms:created>
  <dc:creator>Administrator</dc:creator>
  <cp:lastModifiedBy>123</cp:lastModifiedBy>
  <cp:lastPrinted>2021-08-26T16:01:00Z</cp:lastPrinted>
  <dcterms:modified xsi:type="dcterms:W3CDTF">2025-11-26T01:23:35Z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7D05AFE457934938B93AA0252ABAB78E_13</vt:lpwstr>
  </property>
  <property fmtid="{D5CDD505-2E9C-101B-9397-08002B2CF9AE}" pid="4" name="KSOTemplateDocerSaveRecord">
    <vt:lpwstr>eyJoZGlkIjoiMTYzMDM0YTMyN2ZmM2NjMTRmYWQ0ZGE3Y2M2MzNjMTMiLCJ1c2VySWQiOiI1NzY1MDkyMDgifQ==</vt:lpwstr>
  </property>
</Properties>
</file>