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0E558">
      <w:pPr>
        <w:rPr>
          <w:rFonts w:hint="eastAsia" w:ascii="宋体" w:hAnsi="宋体" w:eastAsia="宋体" w:cs="宋体"/>
          <w:b/>
          <w:bCs/>
          <w:color w:val="auto"/>
          <w:sz w:val="52"/>
          <w:highlight w:val="none"/>
        </w:rPr>
      </w:pPr>
      <w:r>
        <w:rPr>
          <w:rFonts w:hint="eastAsia" w:ascii="宋体" w:hAnsi="宋体" w:eastAsia="宋体" w:cs="宋体"/>
          <w:color w:val="auto"/>
          <w:highlight w:val="none"/>
        </w:rPr>
        <w:drawing>
          <wp:anchor distT="0" distB="0" distL="114300" distR="114300" simplePos="0" relativeHeight="251659264" behindDoc="0" locked="0" layoutInCell="1" allowOverlap="1">
            <wp:simplePos x="0" y="0"/>
            <wp:positionH relativeFrom="column">
              <wp:posOffset>2433320</wp:posOffset>
            </wp:positionH>
            <wp:positionV relativeFrom="paragraph">
              <wp:posOffset>354965</wp:posOffset>
            </wp:positionV>
            <wp:extent cx="752475" cy="752475"/>
            <wp:effectExtent l="0" t="0" r="9525" b="9525"/>
            <wp:wrapSquare wrapText="left"/>
            <wp:docPr id="2" name="图片 5" descr="638238BB99A253FEB9BED4DA40F32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638238BB99A253FEB9BED4DA40F32CE"/>
                    <pic:cNvPicPr>
                      <a:picLocks noChangeAspect="1"/>
                    </pic:cNvPicPr>
                  </pic:nvPicPr>
                  <pic:blipFill>
                    <a:blip r:embed="rId14"/>
                    <a:stretch>
                      <a:fillRect/>
                    </a:stretch>
                  </pic:blipFill>
                  <pic:spPr>
                    <a:xfrm>
                      <a:off x="0" y="0"/>
                      <a:ext cx="752475" cy="752475"/>
                    </a:xfrm>
                    <a:prstGeom prst="rect">
                      <a:avLst/>
                    </a:prstGeom>
                    <a:noFill/>
                    <a:ln>
                      <a:noFill/>
                    </a:ln>
                  </pic:spPr>
                </pic:pic>
              </a:graphicData>
            </a:graphic>
          </wp:anchor>
        </w:drawing>
      </w:r>
    </w:p>
    <w:p w14:paraId="29CF2A66">
      <w:pPr>
        <w:rPr>
          <w:rFonts w:hint="eastAsia" w:ascii="宋体" w:hAnsi="宋体" w:eastAsia="宋体" w:cs="宋体"/>
          <w:b/>
          <w:bCs/>
          <w:color w:val="auto"/>
          <w:sz w:val="52"/>
          <w:highlight w:val="none"/>
        </w:rPr>
      </w:pPr>
    </w:p>
    <w:p w14:paraId="676F5095">
      <w:pPr>
        <w:rPr>
          <w:rFonts w:hint="eastAsia" w:ascii="宋体" w:hAnsi="宋体" w:eastAsia="宋体" w:cs="宋体"/>
          <w:color w:val="auto"/>
          <w:highlight w:val="none"/>
        </w:rPr>
      </w:pPr>
    </w:p>
    <w:p w14:paraId="5735B8E9">
      <w:pPr>
        <w:ind w:firstLine="198" w:firstLineChars="41"/>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广西中信恒泰工程顾问有限公司</w:t>
      </w:r>
    </w:p>
    <w:p w14:paraId="15706E43">
      <w:pPr>
        <w:ind w:firstLine="199" w:firstLineChars="66"/>
        <w:jc w:val="center"/>
        <w:rPr>
          <w:rFonts w:hint="eastAsia"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t xml:space="preserve">Guangxi Zhongxinhengtai </w:t>
      </w:r>
      <w:r>
        <w:rPr>
          <w:rFonts w:hint="eastAsia" w:ascii="宋体" w:hAnsi="宋体" w:eastAsia="宋体" w:cs="宋体"/>
          <w:b/>
          <w:caps/>
          <w:color w:val="auto"/>
          <w:sz w:val="30"/>
          <w:szCs w:val="30"/>
          <w:highlight w:val="none"/>
        </w:rPr>
        <w:t>e</w:t>
      </w:r>
      <w:r>
        <w:rPr>
          <w:rFonts w:hint="eastAsia" w:ascii="宋体" w:hAnsi="宋体" w:eastAsia="宋体" w:cs="宋体"/>
          <w:b/>
          <w:color w:val="auto"/>
          <w:sz w:val="30"/>
          <w:szCs w:val="30"/>
          <w:highlight w:val="none"/>
        </w:rPr>
        <w:t xml:space="preserve">ngineering </w:t>
      </w:r>
      <w:r>
        <w:rPr>
          <w:rFonts w:hint="eastAsia" w:ascii="宋体" w:hAnsi="宋体" w:eastAsia="宋体" w:cs="宋体"/>
          <w:b/>
          <w:caps/>
          <w:color w:val="auto"/>
          <w:sz w:val="30"/>
          <w:szCs w:val="30"/>
          <w:highlight w:val="none"/>
        </w:rPr>
        <w:t>c</w:t>
      </w:r>
      <w:r>
        <w:rPr>
          <w:rFonts w:hint="eastAsia" w:ascii="宋体" w:hAnsi="宋体" w:eastAsia="宋体" w:cs="宋体"/>
          <w:b/>
          <w:color w:val="auto"/>
          <w:sz w:val="30"/>
          <w:szCs w:val="30"/>
          <w:highlight w:val="none"/>
        </w:rPr>
        <w:t xml:space="preserve">onsulting </w:t>
      </w:r>
      <w:r>
        <w:rPr>
          <w:rFonts w:hint="eastAsia" w:ascii="宋体" w:hAnsi="宋体" w:eastAsia="宋体" w:cs="宋体"/>
          <w:b/>
          <w:caps/>
          <w:color w:val="auto"/>
          <w:sz w:val="30"/>
          <w:szCs w:val="30"/>
          <w:highlight w:val="none"/>
        </w:rPr>
        <w:t>c</w:t>
      </w:r>
      <w:r>
        <w:rPr>
          <w:rFonts w:hint="eastAsia" w:ascii="宋体" w:hAnsi="宋体" w:eastAsia="宋体" w:cs="宋体"/>
          <w:b/>
          <w:color w:val="auto"/>
          <w:sz w:val="30"/>
          <w:szCs w:val="30"/>
          <w:highlight w:val="none"/>
        </w:rPr>
        <w:t xml:space="preserve">o., </w:t>
      </w:r>
      <w:r>
        <w:rPr>
          <w:rFonts w:hint="eastAsia" w:ascii="宋体" w:hAnsi="宋体" w:eastAsia="宋体" w:cs="宋体"/>
          <w:b/>
          <w:caps/>
          <w:color w:val="auto"/>
          <w:sz w:val="30"/>
          <w:szCs w:val="30"/>
          <w:highlight w:val="none"/>
        </w:rPr>
        <w:t>l</w:t>
      </w:r>
      <w:r>
        <w:rPr>
          <w:rFonts w:hint="eastAsia" w:ascii="宋体" w:hAnsi="宋体" w:eastAsia="宋体" w:cs="宋体"/>
          <w:b/>
          <w:color w:val="auto"/>
          <w:sz w:val="30"/>
          <w:szCs w:val="30"/>
          <w:highlight w:val="none"/>
        </w:rPr>
        <w:t>td</w:t>
      </w:r>
    </w:p>
    <w:p w14:paraId="0E0D3F9E">
      <w:pPr>
        <w:snapToGrid w:val="0"/>
        <w:jc w:val="center"/>
        <w:rPr>
          <w:rFonts w:hint="eastAsia" w:ascii="宋体" w:hAnsi="宋体" w:eastAsia="宋体" w:cs="宋体"/>
          <w:b/>
          <w:color w:val="auto"/>
          <w:sz w:val="72"/>
          <w:szCs w:val="72"/>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-64770</wp:posOffset>
                </wp:positionH>
                <wp:positionV relativeFrom="paragraph">
                  <wp:posOffset>133985</wp:posOffset>
                </wp:positionV>
                <wp:extent cx="6068060" cy="8255"/>
                <wp:effectExtent l="0" t="13970" r="8890" b="15875"/>
                <wp:wrapNone/>
                <wp:docPr id="1" name="直接连接符 1"/>
                <wp:cNvGraphicFramePr/>
                <a:graphic xmlns:a="http://schemas.openxmlformats.org/drawingml/2006/main">
                  <a:graphicData uri="http://schemas.microsoft.com/office/word/2010/wordprocessingShape">
                    <wps:wsp>
                      <wps:cNvCnPr/>
                      <wps:spPr>
                        <a:xfrm flipV="1">
                          <a:off x="0" y="0"/>
                          <a:ext cx="6068060" cy="8255"/>
                        </a:xfrm>
                        <a:prstGeom prst="line">
                          <a:avLst/>
                        </a:prstGeom>
                        <a:ln w="28575">
                          <a:solidFill>
                            <a:srgbClr val="000000"/>
                          </a:solidFill>
                        </a:ln>
                        <a:effectLst/>
                      </wps:spPr>
                      <wps:bodyPr upright="1"/>
                    </wps:wsp>
                  </a:graphicData>
                </a:graphic>
              </wp:anchor>
            </w:drawing>
          </mc:Choice>
          <mc:Fallback>
            <w:pict>
              <v:line id="_x0000_s1026" o:spid="_x0000_s1026" o:spt="20" style="position:absolute;left:0pt;flip:y;margin-left:-5.1pt;margin-top:10.55pt;height:0.65pt;width:477.8pt;z-index:251660288;mso-width-relative:page;mso-height-relative:page;" filled="f" stroked="t" coordsize="21600,21600" o:gfxdata="UEsDBAoAAAAAAIdO4kAAAAAAAAAAAAAAAAAEAAAAZHJzL1BLAwQUAAAACACHTuJAsw+1u9cAAAAJ&#10;AQAADwAAAGRycy9kb3ducmV2LnhtbE2PwU7DMAyG70i8Q2QkLmhLUpVplKY7IIE4cFnhAdwmtBWN&#10;U5ps3fb0mBMcbX/6/f3l7uRHcXRzHAIZ0GsFwlEb7ECdgY/359UWRExIFsdAzsDZRdhV11clFjYs&#10;tHfHOnWCQygWaKBPaSqkjG3vPMZ1mBzx7TPMHhOPcyftjAuH+1FmSm2kx4H4Q4+Te+pd+1UfvIF9&#10;s8W3V/VdhzNtLsulji93U2vM7Y1WjyCSO6U/GH71WR0qdmrCgWwUo4GVVhmjBjKtQTDwkN/nIBpe&#10;ZDnIqpT/G1Q/UEsDBBQAAAAIAIdO4kAYdm4/zAEAAH0DAAAOAAAAZHJzL2Uyb0RvYy54bWytU72O&#10;2zAM3gv0HQTtjZ0ASQMjzg0X3C1FG6A/uyLLsQD9gVTi5CX6AgW6tVPH7n2bXh+jlOwGwXW54TwQ&#10;FEl/5PdRWt2crGFHBai9q/l0UnKmnPSNdvuaf/xw92rJGUbhGmG8UzU/K+Q365cvVn2o1Mx33jQK&#10;GIE4rPpQ8y7GUBUFyk5ZgRMflKNk68GKSEfYFw2IntCtKWZluSh6D00ALxUiRTdDko+I8BRA37Za&#10;qo2XB6tcHFBBGRGJEnY6IF/nadtWyfiubVFFZmpOTGO21IT8XbLFeiWqPYjQaTmOIJ4ywiNOVmhH&#10;TS9QGxEFO4D+D8pqCR59GyfS22IgkhUhFtPykTbvOxFU5kJSY7iIjs8HK98et8B0QzeBMycsLfzh&#10;y8/fn7/9+fWV7MOP72yaROoDVlR767YwnjBsITE+tWBZa3T4lDBShFixU5b4fJFYnSKTFFyUi2W5&#10;IPUl5Zaz+TyBFwNK+jcAxnvlLUtOzY12SQBRieMbjEPpv5IUNo71NZ8t56/nuQy90c2dNiYlEfa7&#10;WwPsKNLy8zd2uyqj3salapVvy9gl0R0IJm/nmzOpdAig9x1NlRUpUoa2kscfb1Ba+/WZ/OtXs/4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w+1u9cAAAAJAQAADwAAAAAAAAABACAAAAAiAAAAZHJz&#10;L2Rvd25yZXYueG1sUEsBAhQAFAAAAAgAh07iQBh2bj/MAQAAfQMAAA4AAAAAAAAAAQAgAAAAJgEA&#10;AGRycy9lMm9Eb2MueG1sUEsFBgAAAAAGAAYAWQEAAGQFAAAAAA==&#10;">
                <v:fill on="f" focussize="0,0"/>
                <v:stroke weight="2.25pt" color="#000000" joinstyle="round"/>
                <v:imagedata o:title=""/>
                <o:lock v:ext="edit" aspectratio="f"/>
              </v:line>
            </w:pict>
          </mc:Fallback>
        </mc:AlternateContent>
      </w:r>
    </w:p>
    <w:p w14:paraId="460858C1">
      <w:pPr>
        <w:snapToGrid w:val="0"/>
        <w:jc w:val="center"/>
        <w:rPr>
          <w:rFonts w:hint="eastAsia" w:ascii="宋体" w:hAnsi="宋体" w:eastAsia="宋体" w:cs="宋体"/>
          <w:b/>
          <w:color w:val="auto"/>
          <w:sz w:val="44"/>
          <w:szCs w:val="44"/>
          <w:highlight w:val="none"/>
        </w:rPr>
      </w:pPr>
      <w:r>
        <w:rPr>
          <w:rFonts w:hint="eastAsia" w:ascii="宋体" w:hAnsi="宋体" w:eastAsia="宋体" w:cs="宋体"/>
          <w:b/>
          <w:color w:val="auto"/>
          <w:sz w:val="72"/>
          <w:szCs w:val="72"/>
          <w:highlight w:val="none"/>
        </w:rPr>
        <w:t>竞争性磋商文件</w:t>
      </w:r>
    </w:p>
    <w:p w14:paraId="1F9FC4F2">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（服务类）</w:t>
      </w:r>
    </w:p>
    <w:p w14:paraId="21633779">
      <w:pPr>
        <w:tabs>
          <w:tab w:val="left" w:pos="770"/>
        </w:tabs>
        <w:jc w:val="left"/>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ab/>
      </w:r>
    </w:p>
    <w:p w14:paraId="572B2AD0">
      <w:pPr>
        <w:snapToGrid w:val="0"/>
        <w:spacing w:before="156" w:beforeLines="50" w:line="360" w:lineRule="auto"/>
        <w:jc w:val="center"/>
        <w:rPr>
          <w:rFonts w:hint="eastAsia" w:ascii="宋体" w:hAnsi="宋体" w:eastAsia="宋体" w:cs="宋体"/>
          <w:color w:val="auto"/>
          <w:sz w:val="30"/>
          <w:szCs w:val="72"/>
          <w:highlight w:val="none"/>
        </w:rPr>
      </w:pPr>
      <w:r>
        <w:rPr>
          <w:rFonts w:hint="eastAsia" w:ascii="宋体" w:hAnsi="宋体" w:eastAsia="宋体" w:cs="宋体"/>
          <w:color w:val="auto"/>
          <w:sz w:val="30"/>
          <w:szCs w:val="72"/>
          <w:highlight w:val="none"/>
        </w:rPr>
        <w:t>（全流程电子化项目）</w:t>
      </w:r>
    </w:p>
    <w:p w14:paraId="1527B1BF">
      <w:pPr>
        <w:jc w:val="center"/>
        <w:rPr>
          <w:rFonts w:hint="eastAsia" w:ascii="宋体" w:hAnsi="宋体" w:eastAsia="宋体" w:cs="宋体"/>
          <w:b/>
          <w:color w:val="auto"/>
          <w:sz w:val="32"/>
          <w:szCs w:val="32"/>
          <w:highlight w:val="none"/>
        </w:rPr>
      </w:pPr>
    </w:p>
    <w:p w14:paraId="432A81EC">
      <w:pPr>
        <w:keepNext w:val="0"/>
        <w:keepLines w:val="0"/>
        <w:pageBreakBefore w:val="0"/>
        <w:widowControl w:val="0"/>
        <w:kinsoku/>
        <w:wordWrap/>
        <w:overflowPunct/>
        <w:topLinePunct w:val="0"/>
        <w:autoSpaceDE/>
        <w:autoSpaceDN/>
        <w:bidi w:val="0"/>
        <w:adjustRightInd/>
        <w:spacing w:line="700" w:lineRule="exact"/>
        <w:ind w:firstLine="602" w:firstLineChars="200"/>
        <w:textAlignment w:val="auto"/>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项目名称：广西财经学院2026年教职工体检项目</w:t>
      </w:r>
    </w:p>
    <w:p w14:paraId="1AFBED26">
      <w:pPr>
        <w:keepNext w:val="0"/>
        <w:keepLines w:val="0"/>
        <w:pageBreakBefore w:val="0"/>
        <w:widowControl w:val="0"/>
        <w:kinsoku/>
        <w:wordWrap/>
        <w:overflowPunct/>
        <w:topLinePunct w:val="0"/>
        <w:autoSpaceDE/>
        <w:autoSpaceDN/>
        <w:bidi w:val="0"/>
        <w:adjustRightInd/>
        <w:spacing w:line="700" w:lineRule="exact"/>
        <w:ind w:firstLine="602" w:firstLineChars="200"/>
        <w:textAlignment w:val="auto"/>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项目编号：</w:t>
      </w:r>
      <w:r>
        <w:rPr>
          <w:rFonts w:hint="eastAsia" w:ascii="宋体" w:hAnsi="宋体" w:eastAsia="宋体" w:cs="宋体"/>
          <w:b/>
          <w:color w:val="auto"/>
          <w:sz w:val="30"/>
          <w:szCs w:val="30"/>
          <w:highlight w:val="none"/>
          <w:lang w:eastAsia="zh-CN"/>
        </w:rPr>
        <w:t>GXZC2026-C3-000278-GXZX</w:t>
      </w:r>
    </w:p>
    <w:p w14:paraId="19BAAF70">
      <w:pPr>
        <w:keepNext w:val="0"/>
        <w:keepLines w:val="0"/>
        <w:pageBreakBefore w:val="0"/>
        <w:widowControl w:val="0"/>
        <w:kinsoku/>
        <w:wordWrap/>
        <w:overflowPunct/>
        <w:topLinePunct w:val="0"/>
        <w:autoSpaceDE/>
        <w:autoSpaceDN/>
        <w:bidi w:val="0"/>
        <w:adjustRightInd/>
        <w:spacing w:line="700" w:lineRule="exact"/>
        <w:textAlignment w:val="auto"/>
        <w:rPr>
          <w:rFonts w:hint="eastAsia" w:ascii="宋体" w:hAnsi="宋体" w:eastAsia="宋体" w:cs="宋体"/>
          <w:color w:val="auto"/>
          <w:highlight w:val="none"/>
        </w:rPr>
      </w:pPr>
    </w:p>
    <w:p w14:paraId="451CAFBE">
      <w:pPr>
        <w:keepNext w:val="0"/>
        <w:keepLines w:val="0"/>
        <w:pageBreakBefore w:val="0"/>
        <w:widowControl w:val="0"/>
        <w:kinsoku/>
        <w:wordWrap/>
        <w:overflowPunct/>
        <w:topLinePunct w:val="0"/>
        <w:autoSpaceDE/>
        <w:autoSpaceDN/>
        <w:bidi w:val="0"/>
        <w:adjustRightInd/>
        <w:spacing w:line="700" w:lineRule="exact"/>
        <w:ind w:firstLine="643" w:firstLineChars="200"/>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采购人：</w:t>
      </w:r>
      <w:r>
        <w:rPr>
          <w:rFonts w:hint="eastAsia" w:ascii="宋体" w:hAnsi="宋体" w:eastAsia="宋体" w:cs="宋体"/>
          <w:b/>
          <w:color w:val="auto"/>
          <w:sz w:val="32"/>
          <w:szCs w:val="32"/>
          <w:highlight w:val="none"/>
          <w:lang w:eastAsia="zh-CN"/>
        </w:rPr>
        <w:t>广西财经学院</w:t>
      </w:r>
    </w:p>
    <w:p w14:paraId="7BA21750">
      <w:pPr>
        <w:keepNext w:val="0"/>
        <w:keepLines w:val="0"/>
        <w:pageBreakBefore w:val="0"/>
        <w:widowControl w:val="0"/>
        <w:kinsoku/>
        <w:wordWrap/>
        <w:overflowPunct/>
        <w:topLinePunct w:val="0"/>
        <w:autoSpaceDE/>
        <w:autoSpaceDN/>
        <w:bidi w:val="0"/>
        <w:adjustRightInd/>
        <w:spacing w:line="700" w:lineRule="exact"/>
        <w:ind w:firstLine="643" w:firstLineChars="200"/>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采购代理机构：广西中信恒泰工程顾问有限公司</w:t>
      </w:r>
    </w:p>
    <w:p w14:paraId="465F0D0D">
      <w:pPr>
        <w:keepNext w:val="0"/>
        <w:keepLines w:val="0"/>
        <w:pageBreakBefore w:val="0"/>
        <w:widowControl w:val="0"/>
        <w:kinsoku/>
        <w:wordWrap/>
        <w:overflowPunct/>
        <w:topLinePunct w:val="0"/>
        <w:autoSpaceDE/>
        <w:autoSpaceDN/>
        <w:bidi w:val="0"/>
        <w:adjustRightInd/>
        <w:spacing w:line="700" w:lineRule="exact"/>
        <w:jc w:val="center"/>
        <w:textAlignment w:val="auto"/>
        <w:rPr>
          <w:rFonts w:hint="eastAsia" w:ascii="宋体" w:hAnsi="宋体" w:eastAsia="宋体" w:cs="宋体"/>
          <w:b/>
          <w:color w:val="auto"/>
          <w:sz w:val="32"/>
          <w:szCs w:val="32"/>
          <w:highlight w:val="none"/>
        </w:rPr>
      </w:pPr>
    </w:p>
    <w:p w14:paraId="23558920">
      <w:pPr>
        <w:keepNext w:val="0"/>
        <w:keepLines w:val="0"/>
        <w:pageBreakBefore w:val="0"/>
        <w:widowControl w:val="0"/>
        <w:kinsoku/>
        <w:wordWrap/>
        <w:overflowPunct/>
        <w:topLinePunct w:val="0"/>
        <w:autoSpaceDE/>
        <w:autoSpaceDN/>
        <w:bidi w:val="0"/>
        <w:adjustRightInd/>
        <w:spacing w:line="70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202</w:t>
      </w:r>
      <w:r>
        <w:rPr>
          <w:rFonts w:hint="eastAsia" w:ascii="宋体" w:hAnsi="宋体" w:eastAsia="宋体" w:cs="宋体"/>
          <w:b/>
          <w:color w:val="auto"/>
          <w:sz w:val="32"/>
          <w:szCs w:val="32"/>
          <w:highlight w:val="none"/>
          <w:lang w:val="en-US" w:eastAsia="zh-CN"/>
        </w:rPr>
        <w:t>6</w:t>
      </w:r>
      <w:r>
        <w:rPr>
          <w:rFonts w:hint="eastAsia" w:ascii="宋体" w:hAnsi="宋体" w:eastAsia="宋体" w:cs="宋体"/>
          <w:b/>
          <w:color w:val="auto"/>
          <w:sz w:val="32"/>
          <w:szCs w:val="32"/>
          <w:highlight w:val="none"/>
        </w:rPr>
        <w:t>年</w:t>
      </w:r>
      <w:r>
        <w:rPr>
          <w:rFonts w:hint="eastAsia" w:ascii="宋体" w:hAnsi="宋体" w:cs="宋体"/>
          <w:b/>
          <w:color w:val="auto"/>
          <w:sz w:val="32"/>
          <w:szCs w:val="32"/>
          <w:highlight w:val="none"/>
          <w:lang w:val="en-US" w:eastAsia="zh-CN"/>
        </w:rPr>
        <w:t>2</w:t>
      </w:r>
      <w:r>
        <w:rPr>
          <w:rFonts w:hint="eastAsia" w:ascii="宋体" w:hAnsi="宋体" w:eastAsia="宋体" w:cs="宋体"/>
          <w:b/>
          <w:color w:val="auto"/>
          <w:sz w:val="32"/>
          <w:szCs w:val="32"/>
          <w:highlight w:val="none"/>
        </w:rPr>
        <w:t>月</w:t>
      </w:r>
    </w:p>
    <w:p w14:paraId="1B39243F">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44"/>
          <w:szCs w:val="44"/>
          <w:highlight w:val="none"/>
        </w:rPr>
        <w:t xml:space="preserve">目 </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录</w:t>
      </w:r>
    </w:p>
    <w:p w14:paraId="2F7EAC0C">
      <w:pPr>
        <w:spacing w:line="400" w:lineRule="exact"/>
        <w:jc w:val="center"/>
        <w:rPr>
          <w:rFonts w:hint="eastAsia" w:ascii="宋体" w:hAnsi="宋体" w:eastAsia="宋体" w:cs="宋体"/>
          <w:b/>
          <w:color w:val="auto"/>
          <w:sz w:val="44"/>
          <w:szCs w:val="44"/>
          <w:highlight w:val="none"/>
        </w:rPr>
      </w:pPr>
    </w:p>
    <w:p w14:paraId="00059B61">
      <w:pPr>
        <w:pStyle w:val="25"/>
        <w:tabs>
          <w:tab w:val="right" w:leader="dot" w:pos="8992"/>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fldChar w:fldCharType="begin"/>
      </w:r>
      <w:r>
        <w:rPr>
          <w:rFonts w:hint="eastAsia" w:ascii="宋体" w:hAnsi="宋体" w:eastAsia="宋体" w:cs="宋体"/>
          <w:b/>
          <w:color w:val="auto"/>
          <w:sz w:val="24"/>
          <w:highlight w:val="none"/>
        </w:rPr>
        <w:instrText xml:space="preserve"> TOC \o "1-3" \h \z \u </w:instrText>
      </w:r>
      <w:r>
        <w:rPr>
          <w:rFonts w:hint="eastAsia" w:ascii="宋体" w:hAnsi="宋体" w:eastAsia="宋体" w:cs="宋体"/>
          <w:b/>
          <w:color w:val="auto"/>
          <w:sz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"_Toc2843"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第一章  竞争性磋商公告</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_Toc2843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3C5786E1">
      <w:pPr>
        <w:pStyle w:val="25"/>
        <w:tabs>
          <w:tab w:val="right" w:leader="dot" w:pos="8992"/>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"_Toc12415"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第二章  供应商须知</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_Toc12415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6</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21C216D7">
      <w:pPr>
        <w:pStyle w:val="25"/>
        <w:tabs>
          <w:tab w:val="right" w:leader="dot" w:pos="8992"/>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"_Toc4409"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第三章  采购需求</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_Toc4409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25</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4AC83025">
      <w:pPr>
        <w:pStyle w:val="25"/>
        <w:tabs>
          <w:tab w:val="right" w:leader="dot" w:pos="8992"/>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"_Toc521"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第四章  评审程序、评审方法和评审标准</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_Toc521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31</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21B14D42">
      <w:pPr>
        <w:pStyle w:val="25"/>
        <w:tabs>
          <w:tab w:val="right" w:leader="dot" w:pos="8992"/>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"_Toc9613"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第五章  响应文件格式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_Toc9613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45</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1B9CAD38">
      <w:pPr>
        <w:pStyle w:val="25"/>
        <w:tabs>
          <w:tab w:val="right" w:leader="dot" w:pos="8992"/>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"_Toc3161"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一、资格证明文件格式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_Toc3161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45</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1D58357C">
      <w:pPr>
        <w:pStyle w:val="25"/>
        <w:tabs>
          <w:tab w:val="right" w:leader="dot" w:pos="8992"/>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"_Toc2654"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二、商务技术文件格式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_Toc2654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53</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77CF2D7C">
      <w:pPr>
        <w:pStyle w:val="25"/>
        <w:tabs>
          <w:tab w:val="right" w:leader="dot" w:pos="8992"/>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"_Toc17854"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三、报价文件格式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_Toc17854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63</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02501479">
      <w:pPr>
        <w:pStyle w:val="25"/>
        <w:tabs>
          <w:tab w:val="right" w:leader="dot" w:pos="8992"/>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"_Toc19781"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第六章 合同文本</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_Toc19781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76</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76B29959">
      <w:pPr>
        <w:pStyle w:val="25"/>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fldChar w:fldCharType="end"/>
      </w:r>
    </w:p>
    <w:p w14:paraId="4A163686">
      <w:pPr>
        <w:spacing w:line="400" w:lineRule="exact"/>
        <w:jc w:val="left"/>
        <w:rPr>
          <w:rFonts w:hint="eastAsia" w:ascii="宋体" w:hAnsi="宋体" w:eastAsia="宋体" w:cs="宋体"/>
          <w:b/>
          <w:color w:val="auto"/>
          <w:sz w:val="32"/>
          <w:szCs w:val="32"/>
          <w:highlight w:val="none"/>
        </w:rPr>
      </w:pPr>
    </w:p>
    <w:p w14:paraId="660E624C">
      <w:pPr>
        <w:spacing w:line="400" w:lineRule="exact"/>
        <w:jc w:val="center"/>
        <w:rPr>
          <w:rFonts w:hint="eastAsia" w:ascii="宋体" w:hAnsi="宋体" w:eastAsia="宋体" w:cs="宋体"/>
          <w:b/>
          <w:color w:val="auto"/>
          <w:sz w:val="32"/>
          <w:szCs w:val="32"/>
          <w:highlight w:val="none"/>
        </w:rPr>
      </w:pPr>
    </w:p>
    <w:p w14:paraId="59531518">
      <w:pPr>
        <w:spacing w:line="400" w:lineRule="exact"/>
        <w:jc w:val="center"/>
        <w:rPr>
          <w:rFonts w:hint="eastAsia" w:ascii="宋体" w:hAnsi="宋体" w:eastAsia="宋体" w:cs="宋体"/>
          <w:b/>
          <w:color w:val="auto"/>
          <w:sz w:val="32"/>
          <w:szCs w:val="32"/>
          <w:highlight w:val="none"/>
        </w:rPr>
      </w:pPr>
    </w:p>
    <w:p w14:paraId="5F70FF66">
      <w:pPr>
        <w:spacing w:line="400" w:lineRule="exact"/>
        <w:jc w:val="center"/>
        <w:rPr>
          <w:rFonts w:hint="eastAsia" w:ascii="宋体" w:hAnsi="宋体" w:eastAsia="宋体" w:cs="宋体"/>
          <w:b/>
          <w:color w:val="auto"/>
          <w:sz w:val="32"/>
          <w:szCs w:val="32"/>
          <w:highlight w:val="none"/>
        </w:rPr>
      </w:pPr>
    </w:p>
    <w:p w14:paraId="1DA43D0B">
      <w:pPr>
        <w:spacing w:line="400" w:lineRule="exact"/>
        <w:jc w:val="center"/>
        <w:rPr>
          <w:rFonts w:hint="eastAsia" w:ascii="宋体" w:hAnsi="宋体" w:eastAsia="宋体" w:cs="宋体"/>
          <w:b/>
          <w:color w:val="auto"/>
          <w:sz w:val="32"/>
          <w:szCs w:val="32"/>
          <w:highlight w:val="none"/>
        </w:rPr>
      </w:pPr>
    </w:p>
    <w:p w14:paraId="0E9170EC">
      <w:pPr>
        <w:spacing w:line="400" w:lineRule="exact"/>
        <w:rPr>
          <w:rFonts w:hint="eastAsia" w:ascii="宋体" w:hAnsi="宋体" w:eastAsia="宋体" w:cs="宋体"/>
          <w:b/>
          <w:color w:val="auto"/>
          <w:sz w:val="32"/>
          <w:szCs w:val="32"/>
          <w:highlight w:val="none"/>
        </w:rPr>
        <w:sectPr>
          <w:headerReference r:id="rId3" w:type="even"/>
          <w:pgSz w:w="11906" w:h="16838"/>
          <w:pgMar w:top="1440" w:right="1440" w:bottom="1440" w:left="1474" w:header="851" w:footer="992" w:gutter="0"/>
          <w:cols w:space="720" w:num="1"/>
          <w:titlePg/>
          <w:docGrid w:type="lines" w:linePitch="312" w:charSpace="0"/>
        </w:sectPr>
      </w:pPr>
    </w:p>
    <w:p w14:paraId="715E0AC9">
      <w:pPr>
        <w:pStyle w:val="3"/>
        <w:pageBreakBefore w:val="0"/>
        <w:widowControl w:val="0"/>
        <w:kinsoku/>
        <w:wordWrap/>
        <w:overflowPunct/>
        <w:topLinePunct w:val="0"/>
        <w:autoSpaceDE/>
        <w:autoSpaceDN/>
        <w:bidi w:val="0"/>
        <w:adjustRightInd/>
        <w:snapToGrid/>
        <w:spacing w:before="0" w:after="0" w:line="500" w:lineRule="exact"/>
        <w:jc w:val="center"/>
        <w:textAlignment w:val="auto"/>
        <w:rPr>
          <w:rFonts w:hint="eastAsia" w:ascii="宋体" w:hAnsi="宋体" w:eastAsia="宋体" w:cs="宋体"/>
          <w:color w:val="auto"/>
          <w:highlight w:val="none"/>
        </w:rPr>
      </w:pPr>
      <w:bookmarkStart w:id="0" w:name="_Toc2843"/>
      <w:r>
        <w:rPr>
          <w:rFonts w:hint="eastAsia" w:ascii="宋体" w:hAnsi="宋体" w:eastAsia="宋体" w:cs="宋体"/>
          <w:color w:val="auto"/>
          <w:highlight w:val="none"/>
        </w:rPr>
        <w:t>第一章  竞争性磋商公告</w:t>
      </w:r>
      <w:bookmarkEnd w:id="0"/>
    </w:p>
    <w:p w14:paraId="692BA3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p w14:paraId="00AC57D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highlight w:val="none"/>
        </w:rPr>
      </w:pPr>
      <w:r>
        <w:rPr>
          <w:rFonts w:hint="eastAsia" w:ascii="宋体" w:hAnsi="宋体" w:eastAsia="宋体" w:cs="宋体"/>
          <w:b/>
          <w:color w:val="auto"/>
          <w:sz w:val="30"/>
          <w:szCs w:val="30"/>
          <w:highlight w:val="none"/>
          <w:lang w:eastAsia="zh-CN"/>
        </w:rPr>
        <w:t>广西中信恒泰工程顾问有限公司</w:t>
      </w:r>
      <w:r>
        <w:rPr>
          <w:rFonts w:hint="eastAsia" w:ascii="宋体" w:hAnsi="宋体" w:eastAsia="宋体" w:cs="宋体"/>
          <w:b/>
          <w:color w:val="auto"/>
          <w:sz w:val="30"/>
          <w:szCs w:val="30"/>
          <w:highlight w:val="none"/>
          <w:lang w:val="en-US" w:eastAsia="zh-CN"/>
        </w:rPr>
        <w:t>关于广西财经学院2026年教职工体检项目</w:t>
      </w:r>
      <w:r>
        <w:rPr>
          <w:rFonts w:hint="eastAsia" w:ascii="宋体" w:hAnsi="宋体" w:eastAsia="宋体" w:cs="宋体"/>
          <w:b/>
          <w:color w:val="auto"/>
          <w:sz w:val="30"/>
          <w:szCs w:val="30"/>
          <w:highlight w:val="none"/>
          <w:lang w:eastAsia="zh-CN"/>
        </w:rPr>
        <w:t>（</w:t>
      </w:r>
      <w:r>
        <w:rPr>
          <w:rFonts w:hint="eastAsia" w:ascii="宋体" w:hAnsi="宋体" w:cs="宋体"/>
          <w:b/>
          <w:color w:val="auto"/>
          <w:sz w:val="30"/>
          <w:szCs w:val="30"/>
          <w:highlight w:val="none"/>
          <w:lang w:eastAsia="zh-CN"/>
        </w:rPr>
        <w:t>GXZC2026-C3-000278-GXZX</w:t>
      </w:r>
      <w:r>
        <w:rPr>
          <w:rFonts w:hint="eastAsia" w:ascii="宋体" w:hAnsi="宋体" w:eastAsia="宋体" w:cs="宋体"/>
          <w:b/>
          <w:color w:val="auto"/>
          <w:sz w:val="30"/>
          <w:szCs w:val="30"/>
          <w:highlight w:val="none"/>
          <w:lang w:eastAsia="zh-CN"/>
        </w:rPr>
        <w:t>）</w:t>
      </w:r>
      <w:r>
        <w:rPr>
          <w:rFonts w:hint="eastAsia" w:ascii="宋体" w:hAnsi="宋体" w:eastAsia="宋体" w:cs="宋体"/>
          <w:b/>
          <w:color w:val="auto"/>
          <w:sz w:val="30"/>
          <w:szCs w:val="30"/>
          <w:highlight w:val="none"/>
          <w:lang w:val="en-US" w:eastAsia="zh-CN"/>
        </w:rPr>
        <w:t>的</w:t>
      </w:r>
      <w:r>
        <w:rPr>
          <w:rFonts w:hint="eastAsia" w:ascii="宋体" w:hAnsi="宋体" w:eastAsia="宋体" w:cs="宋体"/>
          <w:b/>
          <w:color w:val="auto"/>
          <w:sz w:val="30"/>
          <w:szCs w:val="30"/>
          <w:highlight w:val="none"/>
          <w:lang w:eastAsia="zh-CN"/>
        </w:rPr>
        <w:t>竞争性磋商公告</w:t>
      </w:r>
    </w:p>
    <w:p w14:paraId="3227F06A">
      <w:pPr>
        <w:keepNext w:val="0"/>
        <w:keepLines w:val="0"/>
        <w:pageBreakBefore w:val="0"/>
        <w:widowControl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pacing w:line="500" w:lineRule="exact"/>
        <w:textAlignment w:val="auto"/>
        <w:rPr>
          <w:rFonts w:hint="eastAsia" w:ascii="宋体" w:hAnsi="宋体" w:eastAsia="宋体" w:cs="宋体"/>
          <w:color w:val="auto"/>
          <w:szCs w:val="21"/>
          <w:highlight w:val="none"/>
        </w:rPr>
      </w:pPr>
      <w:bookmarkStart w:id="1" w:name="_Hlk37430271"/>
      <w:r>
        <w:rPr>
          <w:rFonts w:hint="eastAsia" w:ascii="宋体" w:hAnsi="宋体" w:eastAsia="宋体" w:cs="宋体"/>
          <w:color w:val="auto"/>
          <w:szCs w:val="21"/>
          <w:highlight w:val="none"/>
        </w:rPr>
        <w:t>项目概况</w:t>
      </w:r>
    </w:p>
    <w:p w14:paraId="5E9F6368">
      <w:pPr>
        <w:keepNext w:val="0"/>
        <w:keepLines w:val="0"/>
        <w:pageBreakBefore w:val="0"/>
        <w:widowControl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val="en-US" w:eastAsia="zh-CN"/>
        </w:rPr>
        <w:t>广西财经学院2026年教职工体检项目</w:t>
      </w:r>
      <w:r>
        <w:rPr>
          <w:rFonts w:hint="eastAsia" w:ascii="宋体" w:hAnsi="宋体" w:eastAsia="宋体" w:cs="宋体"/>
          <w:color w:val="auto"/>
          <w:szCs w:val="21"/>
          <w:highlight w:val="none"/>
          <w:u w:val="none"/>
          <w:lang w:val="en-US" w:eastAsia="zh-CN"/>
        </w:rPr>
        <w:t>项目</w:t>
      </w:r>
      <w:r>
        <w:rPr>
          <w:rFonts w:hint="eastAsia" w:ascii="宋体" w:hAnsi="宋体" w:eastAsia="宋体" w:cs="宋体"/>
          <w:color w:val="auto"/>
          <w:szCs w:val="21"/>
          <w:highlight w:val="none"/>
        </w:rPr>
        <w:t>的潜在供应商应在“广西政府采购云平台”（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"https://www.zcygov.cn/）获取（下载）采购文件，并于2022年%20%20月"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https://www.gcy.zfcg.gxzf.gov.cn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获取（下载）</w:t>
      </w:r>
      <w:r>
        <w:rPr>
          <w:rFonts w:hint="eastAsia" w:ascii="宋体" w:hAnsi="宋体" w:eastAsia="宋体" w:cs="宋体"/>
          <w:color w:val="auto"/>
          <w:szCs w:val="21"/>
          <w:highlight w:val="none"/>
          <w:lang w:val="en-US" w:eastAsia="zh-CN"/>
        </w:rPr>
        <w:t>竞争性磋商</w:t>
      </w:r>
      <w:r>
        <w:rPr>
          <w:rFonts w:hint="eastAsia" w:ascii="宋体" w:hAnsi="宋体" w:eastAsia="宋体" w:cs="宋体"/>
          <w:color w:val="auto"/>
          <w:szCs w:val="21"/>
          <w:highlight w:val="none"/>
        </w:rPr>
        <w:t>文件，并于</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rPr>
        <w:fldChar w:fldCharType="end"/>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日</w:t>
      </w:r>
      <w:r>
        <w:rPr>
          <w:rFonts w:hint="eastAsia" w:ascii="宋体" w:hAnsi="宋体" w:eastAsia="宋体" w:cs="宋体"/>
          <w:color w:val="auto"/>
          <w:highlight w:val="none"/>
          <w:u w:val="single"/>
          <w:lang w:val="en-US" w:eastAsia="zh-CN"/>
        </w:rPr>
        <w:t>09</w:t>
      </w:r>
      <w:r>
        <w:rPr>
          <w:rFonts w:hint="eastAsia" w:ascii="宋体" w:hAnsi="宋体" w:eastAsia="宋体" w:cs="宋体"/>
          <w:color w:val="auto"/>
          <w:highlight w:val="none"/>
          <w:u w:val="single"/>
        </w:rPr>
        <w:t>时</w:t>
      </w:r>
      <w:r>
        <w:rPr>
          <w:rFonts w:hint="eastAsia" w:ascii="宋体" w:hAnsi="宋体" w:eastAsia="宋体" w:cs="宋体"/>
          <w:color w:val="auto"/>
          <w:highlight w:val="none"/>
          <w:u w:val="single"/>
          <w:lang w:val="en-US" w:eastAsia="zh-CN"/>
        </w:rPr>
        <w:t>30</w:t>
      </w:r>
      <w:r>
        <w:rPr>
          <w:rFonts w:hint="eastAsia" w:ascii="宋体" w:hAnsi="宋体" w:eastAsia="宋体" w:cs="宋体"/>
          <w:color w:val="auto"/>
          <w:highlight w:val="none"/>
          <w:u w:val="single"/>
        </w:rPr>
        <w:t>分</w:t>
      </w:r>
      <w:r>
        <w:rPr>
          <w:rFonts w:hint="eastAsia" w:ascii="宋体" w:hAnsi="宋体" w:eastAsia="宋体" w:cs="宋体"/>
          <w:color w:val="auto"/>
          <w:highlight w:val="none"/>
        </w:rPr>
        <w:t>（北京时间）前</w:t>
      </w:r>
      <w:r>
        <w:rPr>
          <w:rFonts w:hint="eastAsia" w:ascii="宋体" w:hAnsi="宋体" w:eastAsia="宋体" w:cs="宋体"/>
          <w:color w:val="auto"/>
          <w:highlight w:val="none"/>
          <w:lang w:val="en-US" w:eastAsia="zh-CN"/>
        </w:rPr>
        <w:t>提</w:t>
      </w:r>
      <w:r>
        <w:rPr>
          <w:rFonts w:hint="eastAsia" w:ascii="宋体" w:hAnsi="宋体" w:eastAsia="宋体" w:cs="宋体"/>
          <w:color w:val="auto"/>
          <w:highlight w:val="none"/>
        </w:rPr>
        <w:t>交（上传）响应文件</w:t>
      </w:r>
      <w:r>
        <w:rPr>
          <w:rFonts w:hint="eastAsia" w:ascii="宋体" w:hAnsi="宋体" w:eastAsia="宋体" w:cs="宋体"/>
          <w:color w:val="auto"/>
          <w:szCs w:val="21"/>
          <w:highlight w:val="none"/>
        </w:rPr>
        <w:t>。</w:t>
      </w:r>
    </w:p>
    <w:p w14:paraId="51926206">
      <w:pPr>
        <w:keepNext w:val="0"/>
        <w:keepLines w:val="0"/>
        <w:pageBreakBefore w:val="0"/>
        <w:widowControl w:val="0"/>
        <w:kinsoku/>
        <w:overflowPunct/>
        <w:topLinePunct w:val="0"/>
        <w:autoSpaceDE/>
        <w:autoSpaceDN/>
        <w:bidi w:val="0"/>
        <w:adjustRightInd/>
        <w:spacing w:line="500" w:lineRule="exact"/>
        <w:ind w:firstLine="422" w:firstLineChars="200"/>
        <w:textAlignment w:val="auto"/>
        <w:rPr>
          <w:rFonts w:hint="eastAsia" w:ascii="宋体" w:hAnsi="宋体" w:eastAsia="宋体" w:cs="宋体"/>
          <w:b/>
          <w:bCs/>
          <w:color w:val="auto"/>
          <w:highlight w:val="none"/>
        </w:rPr>
      </w:pPr>
      <w:bookmarkStart w:id="2" w:name="_Toc35393629"/>
      <w:bookmarkStart w:id="3" w:name="_Toc28359012"/>
      <w:bookmarkStart w:id="4" w:name="_Toc35393798"/>
      <w:bookmarkStart w:id="5" w:name="_Toc44229878"/>
      <w:bookmarkStart w:id="6" w:name="_Toc28359089"/>
      <w:r>
        <w:rPr>
          <w:rFonts w:hint="eastAsia" w:ascii="宋体" w:hAnsi="宋体" w:eastAsia="宋体" w:cs="宋体"/>
          <w:b/>
          <w:bCs/>
          <w:color w:val="auto"/>
          <w:highlight w:val="none"/>
        </w:rPr>
        <w:t>一、项目基本情况</w:t>
      </w:r>
      <w:bookmarkEnd w:id="2"/>
      <w:bookmarkEnd w:id="3"/>
      <w:bookmarkEnd w:id="4"/>
      <w:bookmarkEnd w:id="5"/>
      <w:bookmarkEnd w:id="6"/>
    </w:p>
    <w:p w14:paraId="1311EEDC">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1.项目编号：</w:t>
      </w:r>
      <w:r>
        <w:rPr>
          <w:rFonts w:hint="eastAsia" w:ascii="宋体" w:hAnsi="宋体" w:cs="宋体"/>
          <w:color w:val="auto"/>
          <w:szCs w:val="21"/>
          <w:highlight w:val="none"/>
          <w:lang w:eastAsia="zh-CN"/>
        </w:rPr>
        <w:t>GXZC2026-C3-000278-GXZX</w:t>
      </w:r>
      <w:r>
        <w:rPr>
          <w:rFonts w:hint="eastAsia" w:ascii="宋体" w:hAnsi="宋体" w:eastAsia="宋体" w:cs="宋体"/>
          <w:color w:val="auto"/>
          <w:szCs w:val="21"/>
          <w:highlight w:val="none"/>
          <w:lang w:eastAsia="zh-CN"/>
        </w:rPr>
        <w:t>（采购计划文号：</w:t>
      </w:r>
      <w:r>
        <w:rPr>
          <w:rFonts w:hint="eastAsia" w:ascii="宋体" w:hAnsi="宋体" w:cs="宋体"/>
          <w:color w:val="auto"/>
          <w:szCs w:val="21"/>
          <w:highlight w:val="none"/>
          <w:lang w:eastAsia="zh-CN"/>
        </w:rPr>
        <w:t>广西政采[2026]798</w:t>
      </w:r>
      <w:r>
        <w:rPr>
          <w:rFonts w:hint="eastAsia" w:ascii="宋体" w:hAnsi="宋体" w:cs="宋体"/>
          <w:color w:val="auto"/>
          <w:szCs w:val="21"/>
          <w:highlight w:val="none"/>
          <w:lang w:val="en-US" w:eastAsia="zh-CN"/>
        </w:rPr>
        <w:t>号</w:t>
      </w:r>
      <w:r>
        <w:rPr>
          <w:rFonts w:hint="eastAsia" w:ascii="宋体" w:hAnsi="宋体" w:eastAsia="宋体" w:cs="宋体"/>
          <w:color w:val="auto"/>
          <w:szCs w:val="21"/>
          <w:highlight w:val="none"/>
          <w:lang w:eastAsia="zh-CN"/>
        </w:rPr>
        <w:t>）</w:t>
      </w:r>
    </w:p>
    <w:p w14:paraId="73EE5E50">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2.项目名称：</w:t>
      </w:r>
      <w:r>
        <w:rPr>
          <w:rFonts w:hint="eastAsia" w:ascii="宋体" w:hAnsi="宋体" w:cs="宋体"/>
          <w:color w:val="auto"/>
          <w:szCs w:val="21"/>
          <w:highlight w:val="none"/>
          <w:lang w:val="en-US" w:eastAsia="zh-CN"/>
        </w:rPr>
        <w:t>广西财经学院2026年教职工体检项目</w:t>
      </w:r>
    </w:p>
    <w:p w14:paraId="70F6DF09">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3.采购方式：竞争性磋商</w:t>
      </w:r>
    </w:p>
    <w:p w14:paraId="0CAF03DE">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4.预算金额：人民币</w:t>
      </w:r>
      <w:r>
        <w:rPr>
          <w:rFonts w:hint="eastAsia" w:ascii="宋体" w:hAnsi="宋体" w:eastAsia="宋体" w:cs="宋体"/>
          <w:color w:val="auto"/>
          <w:szCs w:val="21"/>
          <w:highlight w:val="none"/>
          <w:lang w:val="en-US" w:eastAsia="zh-CN"/>
        </w:rPr>
        <w:t>贰佰玖拾叁万元整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2930000</w:t>
      </w:r>
      <w:r>
        <w:rPr>
          <w:rFonts w:hint="eastAsia" w:ascii="宋体" w:hAnsi="宋体" w:eastAsia="宋体" w:cs="宋体"/>
          <w:color w:val="auto"/>
          <w:szCs w:val="21"/>
          <w:highlight w:val="none"/>
          <w:lang w:eastAsia="zh-CN"/>
        </w:rPr>
        <w:t>.00）</w:t>
      </w:r>
    </w:p>
    <w:p w14:paraId="19A3A79F">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5.最高限价：人民币</w:t>
      </w:r>
      <w:r>
        <w:rPr>
          <w:rFonts w:hint="eastAsia" w:ascii="宋体" w:hAnsi="宋体" w:eastAsia="宋体" w:cs="宋体"/>
          <w:color w:val="auto"/>
          <w:szCs w:val="21"/>
          <w:highlight w:val="none"/>
          <w:lang w:val="en-US" w:eastAsia="zh-CN"/>
        </w:rPr>
        <w:t>贰佰玖拾叁万元整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2930000</w:t>
      </w:r>
      <w:r>
        <w:rPr>
          <w:rFonts w:hint="eastAsia" w:ascii="宋体" w:hAnsi="宋体" w:eastAsia="宋体" w:cs="宋体"/>
          <w:color w:val="auto"/>
          <w:szCs w:val="21"/>
          <w:highlight w:val="none"/>
          <w:lang w:eastAsia="zh-CN"/>
        </w:rPr>
        <w:t>.00）</w:t>
      </w:r>
    </w:p>
    <w:p w14:paraId="346D177F">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6.采购需求：</w:t>
      </w:r>
    </w:p>
    <w:tbl>
      <w:tblPr>
        <w:tblStyle w:val="29"/>
        <w:tblW w:w="86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8"/>
        <w:gridCol w:w="3286"/>
        <w:gridCol w:w="1278"/>
        <w:gridCol w:w="3290"/>
      </w:tblGrid>
      <w:tr w14:paraId="23DC0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14:paraId="6F530511">
            <w:pPr>
              <w:keepNext w:val="0"/>
              <w:keepLines w:val="0"/>
              <w:pageBreakBefore w:val="0"/>
              <w:widowControl w:val="0"/>
              <w:kinsoku/>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286" w:type="dxa"/>
            <w:tcBorders>
              <w:top w:val="single" w:color="auto" w:sz="4" w:space="0"/>
              <w:left w:val="single" w:color="auto" w:sz="4" w:space="0"/>
              <w:bottom w:val="single" w:color="auto" w:sz="4" w:space="0"/>
              <w:right w:val="single" w:color="auto" w:sz="4" w:space="0"/>
            </w:tcBorders>
            <w:noWrap w:val="0"/>
            <w:vAlign w:val="center"/>
          </w:tcPr>
          <w:p w14:paraId="6DA47837">
            <w:pPr>
              <w:keepNext w:val="0"/>
              <w:keepLines w:val="0"/>
              <w:pageBreakBefore w:val="0"/>
              <w:widowControl w:val="0"/>
              <w:kinsoku/>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1278" w:type="dxa"/>
            <w:tcBorders>
              <w:top w:val="single" w:color="auto" w:sz="4" w:space="0"/>
              <w:left w:val="single" w:color="auto" w:sz="4" w:space="0"/>
              <w:bottom w:val="single" w:color="auto" w:sz="4" w:space="0"/>
              <w:right w:val="single" w:color="auto" w:sz="4" w:space="0"/>
            </w:tcBorders>
            <w:noWrap w:val="0"/>
            <w:vAlign w:val="center"/>
          </w:tcPr>
          <w:p w14:paraId="6FB108C5">
            <w:pPr>
              <w:keepNext w:val="0"/>
              <w:keepLines w:val="0"/>
              <w:pageBreakBefore w:val="0"/>
              <w:widowControl w:val="0"/>
              <w:kinsoku/>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3290" w:type="dxa"/>
            <w:tcBorders>
              <w:top w:val="single" w:color="auto" w:sz="4" w:space="0"/>
              <w:left w:val="single" w:color="auto" w:sz="4" w:space="0"/>
              <w:bottom w:val="single" w:color="auto" w:sz="4" w:space="0"/>
              <w:right w:val="single" w:color="auto" w:sz="4" w:space="0"/>
            </w:tcBorders>
            <w:noWrap w:val="0"/>
            <w:vAlign w:val="center"/>
          </w:tcPr>
          <w:p w14:paraId="138AE75D">
            <w:pPr>
              <w:keepNext w:val="0"/>
              <w:keepLines w:val="0"/>
              <w:pageBreakBefore w:val="0"/>
              <w:widowControl w:val="0"/>
              <w:kinsoku/>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简要技术需求或者服务要求</w:t>
            </w:r>
          </w:p>
        </w:tc>
      </w:tr>
      <w:tr w14:paraId="3721E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14:paraId="63B58318">
            <w:pPr>
              <w:keepNext w:val="0"/>
              <w:keepLines w:val="0"/>
              <w:pageBreakBefore w:val="0"/>
              <w:widowControl w:val="0"/>
              <w:kinsoku/>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286" w:type="dxa"/>
            <w:tcBorders>
              <w:top w:val="single" w:color="auto" w:sz="4" w:space="0"/>
              <w:left w:val="single" w:color="auto" w:sz="4" w:space="0"/>
              <w:bottom w:val="single" w:color="auto" w:sz="4" w:space="0"/>
              <w:right w:val="single" w:color="auto" w:sz="4" w:space="0"/>
            </w:tcBorders>
            <w:noWrap w:val="0"/>
            <w:vAlign w:val="center"/>
          </w:tcPr>
          <w:p w14:paraId="49DD8903">
            <w:pPr>
              <w:keepNext w:val="0"/>
              <w:keepLines w:val="0"/>
              <w:pageBreakBefore w:val="0"/>
              <w:widowControl w:val="0"/>
              <w:kinsoku/>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2026年教职工体检服务采购</w:t>
            </w:r>
          </w:p>
        </w:tc>
        <w:tc>
          <w:tcPr>
            <w:tcW w:w="1278" w:type="dxa"/>
            <w:tcBorders>
              <w:top w:val="single" w:color="auto" w:sz="4" w:space="0"/>
              <w:left w:val="single" w:color="auto" w:sz="4" w:space="0"/>
              <w:bottom w:val="single" w:color="auto" w:sz="4" w:space="0"/>
              <w:right w:val="single" w:color="auto" w:sz="4" w:space="0"/>
            </w:tcBorders>
            <w:noWrap w:val="0"/>
            <w:vAlign w:val="center"/>
          </w:tcPr>
          <w:p w14:paraId="0145B0DA">
            <w:pPr>
              <w:keepNext w:val="0"/>
              <w:keepLines w:val="0"/>
              <w:pageBreakBefore w:val="0"/>
              <w:widowControl w:val="0"/>
              <w:kinsoku/>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3290" w:type="dxa"/>
            <w:tcBorders>
              <w:top w:val="single" w:color="auto" w:sz="4" w:space="0"/>
              <w:left w:val="single" w:color="auto" w:sz="4" w:space="0"/>
              <w:bottom w:val="single" w:color="auto" w:sz="4" w:space="0"/>
              <w:right w:val="single" w:color="auto" w:sz="4" w:space="0"/>
            </w:tcBorders>
            <w:noWrap w:val="0"/>
            <w:vAlign w:val="center"/>
          </w:tcPr>
          <w:p w14:paraId="25D08C21">
            <w:pPr>
              <w:keepNext w:val="0"/>
              <w:keepLines w:val="0"/>
              <w:pageBreakBefore w:val="0"/>
              <w:widowControl w:val="0"/>
              <w:kinsoku/>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2026年学校教职工体检服务，体检人数约2060人，按实际参检人数据实结算</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具体内容</w:t>
            </w: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文件第三章“采购需求”</w:t>
            </w:r>
          </w:p>
        </w:tc>
      </w:tr>
    </w:tbl>
    <w:p w14:paraId="3E6214CE">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7.合同履行期限：</w:t>
      </w:r>
      <w:r>
        <w:rPr>
          <w:rFonts w:hint="eastAsia" w:ascii="宋体" w:hAnsi="宋体" w:eastAsia="宋体" w:cs="宋体"/>
          <w:color w:val="auto"/>
          <w:szCs w:val="21"/>
          <w:highlight w:val="none"/>
          <w:lang w:eastAsia="zh-CN"/>
        </w:rPr>
        <w:t>自合同签订之日起至2026年12月底前（以采购人具体时间为准）</w:t>
      </w:r>
      <w:r>
        <w:rPr>
          <w:rFonts w:hint="eastAsia" w:ascii="宋体" w:hAnsi="宋体" w:eastAsia="宋体" w:cs="宋体"/>
          <w:color w:val="auto"/>
          <w:szCs w:val="21"/>
          <w:highlight w:val="none"/>
        </w:rPr>
        <w:t>。</w:t>
      </w:r>
    </w:p>
    <w:p w14:paraId="01C7C177">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8.本项目不接受联合体。</w:t>
      </w:r>
    </w:p>
    <w:p w14:paraId="4B771F0E">
      <w:pPr>
        <w:keepNext w:val="0"/>
        <w:keepLines w:val="0"/>
        <w:pageBreakBefore w:val="0"/>
        <w:widowControl w:val="0"/>
        <w:kinsoku/>
        <w:overflowPunct/>
        <w:topLinePunct w:val="0"/>
        <w:autoSpaceDE/>
        <w:autoSpaceDN/>
        <w:bidi w:val="0"/>
        <w:adjustRightInd/>
        <w:spacing w:line="500" w:lineRule="exact"/>
        <w:ind w:firstLine="422" w:firstLineChars="200"/>
        <w:textAlignment w:val="auto"/>
        <w:rPr>
          <w:rFonts w:hint="eastAsia" w:ascii="宋体" w:hAnsi="宋体" w:eastAsia="宋体" w:cs="宋体"/>
          <w:b/>
          <w:bCs/>
          <w:color w:val="auto"/>
          <w:highlight w:val="none"/>
        </w:rPr>
      </w:pPr>
      <w:bookmarkStart w:id="7" w:name="_Toc44229879"/>
      <w:bookmarkStart w:id="8" w:name="_Toc28359090"/>
      <w:bookmarkStart w:id="9" w:name="_Toc35393630"/>
      <w:bookmarkStart w:id="10" w:name="_Toc35393799"/>
      <w:bookmarkStart w:id="11" w:name="_Toc28359013"/>
      <w:r>
        <w:rPr>
          <w:rFonts w:hint="eastAsia" w:ascii="宋体" w:hAnsi="宋体" w:eastAsia="宋体" w:cs="宋体"/>
          <w:b/>
          <w:bCs/>
          <w:color w:val="auto"/>
          <w:highlight w:val="none"/>
        </w:rPr>
        <w:t>二、供应商的资格条件：</w:t>
      </w:r>
      <w:bookmarkEnd w:id="7"/>
      <w:bookmarkEnd w:id="8"/>
      <w:bookmarkEnd w:id="9"/>
      <w:bookmarkEnd w:id="10"/>
      <w:bookmarkEnd w:id="11"/>
    </w:p>
    <w:p w14:paraId="66451FD0">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lang w:eastAsia="zh-CN"/>
        </w:rPr>
      </w:pPr>
      <w:bookmarkStart w:id="12" w:name="PO_3000001867_PM005"/>
      <w:bookmarkStart w:id="13" w:name="_Toc35393631"/>
      <w:bookmarkStart w:id="14" w:name="_Toc28359014"/>
      <w:bookmarkStart w:id="15" w:name="_Toc44229880"/>
      <w:bookmarkStart w:id="16" w:name="_Toc35393800"/>
      <w:bookmarkStart w:id="17" w:name="_Toc28359091"/>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满足</w:t>
      </w:r>
      <w:r>
        <w:rPr>
          <w:rFonts w:hint="eastAsia" w:ascii="宋体" w:hAnsi="宋体" w:eastAsia="宋体" w:cs="宋体"/>
          <w:color w:val="auto"/>
          <w:szCs w:val="21"/>
          <w:highlight w:val="none"/>
        </w:rPr>
        <w:t>《中华人民共和国政府采购法》第二十二条的规定</w:t>
      </w:r>
      <w:r>
        <w:rPr>
          <w:rFonts w:hint="eastAsia" w:ascii="宋体" w:hAnsi="宋体" w:eastAsia="宋体" w:cs="宋体"/>
          <w:color w:val="auto"/>
          <w:szCs w:val="21"/>
          <w:highlight w:val="none"/>
          <w:lang w:val="en-US" w:eastAsia="zh-CN"/>
        </w:rPr>
        <w:t>；</w:t>
      </w:r>
    </w:p>
    <w:p w14:paraId="4AE6BEB9">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bookmarkEnd w:id="12"/>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bidi="ar"/>
        </w:rPr>
        <w:t>落实政府采购政策需满足的资格要求：</w:t>
      </w:r>
    </w:p>
    <w:p w14:paraId="72B5EC7E">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专门面向中小企业采购的项目（供应商应为中小微企业、监狱企业、残疾人福利性单位</w:t>
      </w:r>
      <w:r>
        <w:rPr>
          <w:rFonts w:hint="eastAsia" w:ascii="宋体" w:hAnsi="宋体" w:eastAsia="宋体" w:cs="宋体"/>
          <w:color w:val="auto"/>
          <w:szCs w:val="21"/>
          <w:highlight w:val="none"/>
          <w:lang w:eastAsia="zh-CN" w:bidi="ar"/>
        </w:rPr>
        <w:t>）</w:t>
      </w:r>
    </w:p>
    <w:p w14:paraId="23EE5B19">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非专门面向中小企业采购的项目</w:t>
      </w:r>
      <w:r>
        <w:rPr>
          <w:rFonts w:hint="eastAsia" w:ascii="宋体" w:hAnsi="宋体" w:eastAsia="宋体" w:cs="宋体"/>
          <w:color w:val="auto"/>
          <w:szCs w:val="21"/>
          <w:highlight w:val="none"/>
          <w:lang w:val="en-US" w:eastAsia="zh-CN" w:bidi="ar"/>
        </w:rPr>
        <w:t>；</w:t>
      </w:r>
    </w:p>
    <w:p w14:paraId="293E6E51">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bidi="ar"/>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bidi="ar"/>
        </w:rPr>
        <w:t>本项目的特定资格要求：</w:t>
      </w:r>
      <w:r>
        <w:rPr>
          <w:rFonts w:hint="eastAsia" w:ascii="宋体" w:hAnsi="宋体" w:eastAsia="宋体" w:cs="宋体"/>
          <w:color w:val="auto"/>
          <w:szCs w:val="21"/>
          <w:highlight w:val="none"/>
        </w:rPr>
        <w:t>供应商须具有国家卫生行政主管部门颁发的有效的《医疗机构执业许可证》</w:t>
      </w:r>
      <w:r>
        <w:rPr>
          <w:rFonts w:hint="eastAsia" w:ascii="宋体" w:hAnsi="宋体" w:eastAsia="宋体" w:cs="宋体"/>
          <w:color w:val="auto"/>
          <w:szCs w:val="21"/>
          <w:highlight w:val="none"/>
          <w:lang w:val="en-US" w:eastAsia="zh-CN"/>
        </w:rPr>
        <w:t>；</w:t>
      </w:r>
    </w:p>
    <w:p w14:paraId="25C02CDA">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4.本项目的特定条件：</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lang w:val="en-US" w:eastAsia="zh-CN"/>
        </w:rPr>
        <w:t>；</w:t>
      </w:r>
    </w:p>
    <w:p w14:paraId="1BCF3EFB">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ascii="宋体" w:hAnsi="宋体" w:eastAsia="宋体" w:cs="宋体"/>
          <w:color w:val="auto"/>
          <w:szCs w:val="21"/>
          <w:highlight w:val="none"/>
          <w:lang w:val="en-US" w:eastAsia="zh-CN"/>
        </w:rPr>
        <w:t>；</w:t>
      </w:r>
    </w:p>
    <w:p w14:paraId="1E82C9F1">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6.对在“信用中国”网站(www.creditchina.gov.cn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、中国政府采购网(www.ccgp.gov.cn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被列入失信被执行人、重大税收违法失信主体、政府采购严重违法失信行为记录名单及其他不符合《中华人民共和国政府采购法》第二十二条规定条件的供应商，不得参与政府采购活动。</w:t>
      </w:r>
    </w:p>
    <w:p w14:paraId="3FDDF6DC">
      <w:pPr>
        <w:keepNext w:val="0"/>
        <w:keepLines w:val="0"/>
        <w:pageBreakBefore w:val="0"/>
        <w:widowControl w:val="0"/>
        <w:kinsoku/>
        <w:overflowPunct/>
        <w:topLinePunct w:val="0"/>
        <w:autoSpaceDE/>
        <w:autoSpaceDN/>
        <w:bidi w:val="0"/>
        <w:adjustRightInd/>
        <w:spacing w:line="50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三、获取竞争性磋商文件</w:t>
      </w:r>
      <w:bookmarkEnd w:id="13"/>
      <w:bookmarkEnd w:id="14"/>
      <w:bookmarkEnd w:id="15"/>
      <w:bookmarkEnd w:id="16"/>
      <w:bookmarkEnd w:id="17"/>
    </w:p>
    <w:p w14:paraId="570E985A">
      <w:pPr>
        <w:keepNext w:val="0"/>
        <w:keepLines w:val="0"/>
        <w:pageBreakBefore w:val="0"/>
        <w:widowControl w:val="0"/>
        <w:kinsoku/>
        <w:overflowPunct/>
        <w:topLinePunct w:val="0"/>
        <w:autoSpaceDE/>
        <w:autoSpaceDN/>
        <w:bidi w:val="0"/>
        <w:adjustRightInd/>
        <w:spacing w:line="500" w:lineRule="exact"/>
        <w:ind w:firstLine="540"/>
        <w:textAlignment w:val="auto"/>
        <w:rPr>
          <w:rFonts w:hint="eastAsia" w:ascii="宋体" w:hAnsi="宋体" w:eastAsia="宋体" w:cs="宋体"/>
          <w:color w:val="auto"/>
          <w:kern w:val="0"/>
          <w:highlight w:val="none"/>
          <w:u w:val="none"/>
        </w:rPr>
      </w:pPr>
      <w:bookmarkStart w:id="18" w:name="_Toc35393632"/>
      <w:bookmarkStart w:id="19" w:name="_Toc35393801"/>
      <w:bookmarkStart w:id="20" w:name="_Toc28359015"/>
      <w:bookmarkStart w:id="21" w:name="_Toc44229881"/>
      <w:bookmarkStart w:id="22" w:name="_Toc28359092"/>
      <w:r>
        <w:rPr>
          <w:rFonts w:hint="eastAsia" w:ascii="宋体" w:hAnsi="宋体" w:eastAsia="宋体" w:cs="宋体"/>
          <w:color w:val="auto"/>
          <w:kern w:val="0"/>
          <w:highlight w:val="none"/>
          <w:u w:val="none"/>
          <w:lang w:val="en-US" w:eastAsia="zh-CN"/>
        </w:rPr>
        <w:t>1.</w:t>
      </w:r>
      <w:r>
        <w:rPr>
          <w:rFonts w:hint="eastAsia" w:ascii="宋体" w:hAnsi="宋体" w:eastAsia="宋体" w:cs="宋体"/>
          <w:color w:val="auto"/>
          <w:kern w:val="0"/>
          <w:highlight w:val="none"/>
          <w:u w:val="none"/>
        </w:rPr>
        <w:t>时间：</w:t>
      </w:r>
      <w:r>
        <w:rPr>
          <w:rFonts w:hint="eastAsia" w:ascii="宋体" w:hAnsi="宋体" w:eastAsia="宋体" w:cs="宋体"/>
          <w:color w:val="auto"/>
          <w:kern w:val="0"/>
          <w:szCs w:val="21"/>
          <w:highlight w:val="none"/>
          <w:u w:val="none"/>
        </w:rPr>
        <w:t>202</w:t>
      </w:r>
      <w:r>
        <w:rPr>
          <w:rFonts w:hint="eastAsia" w:ascii="宋体" w:hAnsi="宋体" w:eastAsia="宋体" w:cs="宋体"/>
          <w:color w:val="auto"/>
          <w:kern w:val="0"/>
          <w:szCs w:val="21"/>
          <w:highlight w:val="none"/>
          <w:u w:val="none"/>
          <w:lang w:val="en-US" w:eastAsia="zh-CN"/>
        </w:rPr>
        <w:t>6</w:t>
      </w:r>
      <w:r>
        <w:rPr>
          <w:rFonts w:hint="eastAsia" w:ascii="宋体" w:hAnsi="宋体" w:eastAsia="宋体" w:cs="宋体"/>
          <w:color w:val="auto"/>
          <w:kern w:val="0"/>
          <w:szCs w:val="21"/>
          <w:highlight w:val="none"/>
          <w:u w:val="none"/>
        </w:rPr>
        <w:t>年</w:t>
      </w:r>
      <w:r>
        <w:rPr>
          <w:rFonts w:hint="eastAsia" w:ascii="宋体" w:hAnsi="宋体" w:cs="宋体"/>
          <w:color w:val="auto"/>
          <w:kern w:val="0"/>
          <w:szCs w:val="21"/>
          <w:highlight w:val="none"/>
          <w:u w:val="none"/>
          <w:lang w:val="en-US" w:eastAsia="zh-CN"/>
        </w:rPr>
        <w:t>2</w:t>
      </w:r>
      <w:r>
        <w:rPr>
          <w:rFonts w:hint="eastAsia" w:ascii="宋体" w:hAnsi="宋体" w:eastAsia="宋体" w:cs="宋体"/>
          <w:color w:val="auto"/>
          <w:kern w:val="0"/>
          <w:szCs w:val="21"/>
          <w:highlight w:val="none"/>
          <w:u w:val="none"/>
        </w:rPr>
        <w:t>月</w:t>
      </w:r>
      <w:r>
        <w:rPr>
          <w:rFonts w:hint="eastAsia" w:ascii="宋体" w:hAnsi="宋体" w:cs="宋体"/>
          <w:color w:val="auto"/>
          <w:kern w:val="0"/>
          <w:szCs w:val="21"/>
          <w:highlight w:val="none"/>
          <w:u w:val="none"/>
          <w:lang w:val="en-US" w:eastAsia="zh-CN"/>
        </w:rPr>
        <w:t>27</w:t>
      </w:r>
      <w:r>
        <w:rPr>
          <w:rFonts w:hint="eastAsia" w:ascii="宋体" w:hAnsi="宋体" w:eastAsia="宋体" w:cs="宋体"/>
          <w:color w:val="auto"/>
          <w:kern w:val="0"/>
          <w:szCs w:val="21"/>
          <w:highlight w:val="none"/>
          <w:u w:val="none"/>
        </w:rPr>
        <w:t>日至202</w:t>
      </w:r>
      <w:r>
        <w:rPr>
          <w:rFonts w:hint="eastAsia" w:ascii="宋体" w:hAnsi="宋体" w:eastAsia="宋体" w:cs="宋体"/>
          <w:color w:val="auto"/>
          <w:kern w:val="0"/>
          <w:szCs w:val="21"/>
          <w:highlight w:val="none"/>
          <w:u w:val="none"/>
          <w:lang w:val="en-US" w:eastAsia="zh-CN"/>
        </w:rPr>
        <w:t>6</w:t>
      </w:r>
      <w:r>
        <w:rPr>
          <w:rFonts w:hint="eastAsia" w:ascii="宋体" w:hAnsi="宋体" w:eastAsia="宋体" w:cs="宋体"/>
          <w:color w:val="auto"/>
          <w:kern w:val="0"/>
          <w:szCs w:val="21"/>
          <w:highlight w:val="none"/>
          <w:u w:val="none"/>
        </w:rPr>
        <w:t>年</w:t>
      </w:r>
      <w:r>
        <w:rPr>
          <w:rFonts w:hint="eastAsia" w:ascii="宋体" w:hAnsi="宋体" w:cs="宋体"/>
          <w:color w:val="auto"/>
          <w:kern w:val="0"/>
          <w:szCs w:val="21"/>
          <w:highlight w:val="none"/>
          <w:u w:val="none"/>
          <w:lang w:val="en-US" w:eastAsia="zh-CN"/>
        </w:rPr>
        <w:t>3</w:t>
      </w:r>
      <w:r>
        <w:rPr>
          <w:rFonts w:hint="eastAsia" w:ascii="宋体" w:hAnsi="宋体" w:eastAsia="宋体" w:cs="宋体"/>
          <w:color w:val="auto"/>
          <w:kern w:val="0"/>
          <w:szCs w:val="21"/>
          <w:highlight w:val="none"/>
          <w:u w:val="none"/>
        </w:rPr>
        <w:t>月</w:t>
      </w:r>
      <w:r>
        <w:rPr>
          <w:rFonts w:hint="eastAsia" w:ascii="宋体" w:hAnsi="宋体" w:cs="宋体"/>
          <w:color w:val="auto"/>
          <w:kern w:val="0"/>
          <w:szCs w:val="21"/>
          <w:highlight w:val="none"/>
          <w:u w:val="none"/>
          <w:lang w:val="en-US" w:eastAsia="zh-CN"/>
        </w:rPr>
        <w:t>5</w:t>
      </w:r>
      <w:r>
        <w:rPr>
          <w:rFonts w:hint="eastAsia" w:ascii="宋体" w:hAnsi="宋体" w:eastAsia="宋体" w:cs="宋体"/>
          <w:color w:val="auto"/>
          <w:kern w:val="0"/>
          <w:szCs w:val="21"/>
          <w:highlight w:val="none"/>
          <w:u w:val="none"/>
        </w:rPr>
        <w:t>日</w:t>
      </w:r>
      <w:r>
        <w:rPr>
          <w:rFonts w:hint="eastAsia" w:ascii="宋体" w:hAnsi="宋体" w:eastAsia="宋体" w:cs="宋体"/>
          <w:color w:val="auto"/>
          <w:kern w:val="0"/>
          <w:highlight w:val="none"/>
          <w:u w:val="none"/>
        </w:rPr>
        <w:t>，每天上午00:00至1</w:t>
      </w:r>
      <w:r>
        <w:rPr>
          <w:rFonts w:hint="eastAsia" w:ascii="宋体" w:hAnsi="宋体" w:eastAsia="宋体" w:cs="宋体"/>
          <w:color w:val="auto"/>
          <w:kern w:val="0"/>
          <w:highlight w:val="none"/>
          <w:u w:val="none"/>
          <w:lang w:val="en-US" w:eastAsia="zh-CN"/>
        </w:rPr>
        <w:t>2</w:t>
      </w:r>
      <w:r>
        <w:rPr>
          <w:rFonts w:hint="eastAsia" w:ascii="宋体" w:hAnsi="宋体" w:eastAsia="宋体" w:cs="宋体"/>
          <w:color w:val="auto"/>
          <w:kern w:val="0"/>
          <w:highlight w:val="none"/>
          <w:u w:val="none"/>
        </w:rPr>
        <w:t>:</w:t>
      </w:r>
      <w:r>
        <w:rPr>
          <w:rFonts w:hint="eastAsia" w:ascii="宋体" w:hAnsi="宋体" w:eastAsia="宋体" w:cs="宋体"/>
          <w:color w:val="auto"/>
          <w:kern w:val="0"/>
          <w:highlight w:val="none"/>
          <w:u w:val="none"/>
          <w:lang w:val="en-US" w:eastAsia="zh-CN"/>
        </w:rPr>
        <w:t>00</w:t>
      </w:r>
      <w:r>
        <w:rPr>
          <w:rFonts w:hint="eastAsia" w:ascii="宋体" w:hAnsi="宋体" w:eastAsia="宋体" w:cs="宋体"/>
          <w:color w:val="auto"/>
          <w:kern w:val="0"/>
          <w:highlight w:val="none"/>
          <w:u w:val="none"/>
        </w:rPr>
        <w:t>，下午12:00至23:59（北京时间，法定节假日除外）。</w:t>
      </w:r>
    </w:p>
    <w:p w14:paraId="4E734A16">
      <w:pPr>
        <w:keepNext w:val="0"/>
        <w:keepLines w:val="0"/>
        <w:pageBreakBefore w:val="0"/>
        <w:widowControl w:val="0"/>
        <w:kinsoku/>
        <w:overflowPunct/>
        <w:topLinePunct w:val="0"/>
        <w:autoSpaceDE/>
        <w:autoSpaceDN/>
        <w:bidi w:val="0"/>
        <w:adjustRightInd/>
        <w:spacing w:line="500" w:lineRule="exact"/>
        <w:ind w:firstLine="540"/>
        <w:textAlignment w:val="auto"/>
        <w:rPr>
          <w:rFonts w:hint="eastAsia" w:ascii="宋体" w:hAnsi="宋体" w:eastAsia="宋体" w:cs="宋体"/>
          <w:color w:val="auto"/>
          <w:kern w:val="0"/>
          <w:highlight w:val="none"/>
          <w:u w:val="none"/>
        </w:rPr>
      </w:pPr>
      <w:r>
        <w:rPr>
          <w:rFonts w:hint="eastAsia" w:ascii="宋体" w:hAnsi="宋体" w:eastAsia="宋体" w:cs="宋体"/>
          <w:color w:val="auto"/>
          <w:kern w:val="0"/>
          <w:highlight w:val="none"/>
          <w:u w:val="none"/>
          <w:lang w:val="en-US" w:eastAsia="zh-CN"/>
        </w:rPr>
        <w:t>2.</w:t>
      </w:r>
      <w:r>
        <w:rPr>
          <w:rFonts w:hint="eastAsia" w:ascii="宋体" w:hAnsi="宋体" w:eastAsia="宋体" w:cs="宋体"/>
          <w:color w:val="auto"/>
          <w:kern w:val="0"/>
          <w:highlight w:val="none"/>
          <w:u w:val="none"/>
        </w:rPr>
        <w:t>获取方式：网上下载。本项目不发放纸质文件，潜在供应商可自行在“广西政府采购云平台”（https://www.gcy.zfcg.gxzf.gov.cn</w:t>
      </w:r>
      <w:r>
        <w:rPr>
          <w:rFonts w:hint="eastAsia" w:ascii="宋体" w:hAnsi="宋体" w:eastAsia="宋体" w:cs="宋体"/>
          <w:color w:val="auto"/>
          <w:kern w:val="0"/>
          <w:highlight w:val="none"/>
          <w:u w:val="none"/>
          <w:lang w:eastAsia="zh-CN"/>
        </w:rPr>
        <w:t>）</w:t>
      </w:r>
      <w:r>
        <w:rPr>
          <w:rFonts w:hint="eastAsia" w:ascii="宋体" w:hAnsi="宋体" w:eastAsia="宋体" w:cs="宋体"/>
          <w:color w:val="auto"/>
          <w:kern w:val="0"/>
          <w:highlight w:val="none"/>
          <w:u w:val="none"/>
        </w:rPr>
        <w:t>下载</w:t>
      </w:r>
      <w:r>
        <w:rPr>
          <w:rFonts w:hint="eastAsia" w:ascii="宋体" w:hAnsi="宋体" w:eastAsia="宋体" w:cs="宋体"/>
          <w:color w:val="auto"/>
          <w:kern w:val="0"/>
          <w:highlight w:val="none"/>
          <w:u w:val="none"/>
          <w:lang w:val="en-US" w:eastAsia="zh-CN"/>
        </w:rPr>
        <w:t>磋商</w:t>
      </w:r>
      <w:r>
        <w:rPr>
          <w:rFonts w:hint="eastAsia" w:ascii="宋体" w:hAnsi="宋体" w:eastAsia="宋体" w:cs="宋体"/>
          <w:color w:val="auto"/>
          <w:kern w:val="0"/>
          <w:highlight w:val="none"/>
          <w:u w:val="none"/>
        </w:rPr>
        <w:t>文件（操作路径：登录广西政府采购云平台</w:t>
      </w:r>
      <w:r>
        <w:rPr>
          <w:rFonts w:hint="eastAsia" w:ascii="宋体" w:hAnsi="宋体" w:eastAsia="宋体" w:cs="宋体"/>
          <w:color w:val="auto"/>
          <w:kern w:val="0"/>
          <w:highlight w:val="none"/>
          <w:u w:val="none"/>
          <w:lang w:val="en-US" w:eastAsia="zh-CN"/>
        </w:rPr>
        <w:t>进入</w:t>
      </w:r>
      <w:r>
        <w:rPr>
          <w:rFonts w:hint="eastAsia" w:ascii="宋体" w:hAnsi="宋体" w:eastAsia="宋体" w:cs="宋体"/>
          <w:color w:val="auto"/>
          <w:kern w:val="0"/>
          <w:highlight w:val="none"/>
          <w:u w:val="none"/>
        </w:rPr>
        <w:t>项目采购</w:t>
      </w:r>
      <w:r>
        <w:rPr>
          <w:rFonts w:hint="eastAsia" w:ascii="宋体" w:hAnsi="宋体" w:eastAsia="宋体" w:cs="宋体"/>
          <w:color w:val="auto"/>
          <w:kern w:val="0"/>
          <w:highlight w:val="none"/>
          <w:u w:val="none"/>
          <w:lang w:val="en-US" w:eastAsia="zh-CN"/>
        </w:rPr>
        <w:t>应用，在</w:t>
      </w:r>
      <w:r>
        <w:rPr>
          <w:rFonts w:hint="eastAsia" w:ascii="宋体" w:hAnsi="宋体" w:eastAsia="宋体" w:cs="宋体"/>
          <w:color w:val="auto"/>
          <w:kern w:val="0"/>
          <w:highlight w:val="none"/>
          <w:u w:val="none"/>
        </w:rPr>
        <w:t>获取采购文件</w:t>
      </w:r>
      <w:r>
        <w:rPr>
          <w:rFonts w:hint="eastAsia" w:ascii="宋体" w:hAnsi="宋体" w:eastAsia="宋体" w:cs="宋体"/>
          <w:color w:val="auto"/>
          <w:kern w:val="0"/>
          <w:highlight w:val="none"/>
          <w:u w:val="none"/>
          <w:lang w:val="en-US" w:eastAsia="zh-CN"/>
        </w:rPr>
        <w:t>菜单中选择</w:t>
      </w:r>
      <w:r>
        <w:rPr>
          <w:rFonts w:hint="eastAsia" w:ascii="宋体" w:hAnsi="宋体" w:eastAsia="宋体" w:cs="宋体"/>
          <w:color w:val="auto"/>
          <w:kern w:val="0"/>
          <w:highlight w:val="none"/>
          <w:u w:val="none"/>
        </w:rPr>
        <w:t>项目</w:t>
      </w:r>
      <w:r>
        <w:rPr>
          <w:rFonts w:hint="eastAsia" w:ascii="宋体" w:hAnsi="宋体" w:eastAsia="宋体" w:cs="宋体"/>
          <w:color w:val="auto"/>
          <w:kern w:val="0"/>
          <w:highlight w:val="none"/>
          <w:u w:val="none"/>
          <w:lang w:eastAsia="zh-CN"/>
        </w:rPr>
        <w:t>，</w:t>
      </w:r>
      <w:r>
        <w:rPr>
          <w:rFonts w:hint="eastAsia" w:ascii="宋体" w:hAnsi="宋体" w:eastAsia="宋体" w:cs="宋体"/>
          <w:color w:val="auto"/>
          <w:kern w:val="0"/>
          <w:highlight w:val="none"/>
          <w:u w:val="none"/>
        </w:rPr>
        <w:t>获取</w:t>
      </w:r>
      <w:r>
        <w:rPr>
          <w:rFonts w:hint="eastAsia" w:ascii="宋体" w:hAnsi="宋体" w:eastAsia="宋体" w:cs="宋体"/>
          <w:color w:val="auto"/>
          <w:kern w:val="0"/>
          <w:highlight w:val="none"/>
          <w:u w:val="none"/>
          <w:lang w:val="en-US" w:eastAsia="zh-CN"/>
        </w:rPr>
        <w:t>磋商</w:t>
      </w:r>
      <w:r>
        <w:rPr>
          <w:rFonts w:hint="eastAsia" w:ascii="宋体" w:hAnsi="宋体" w:eastAsia="宋体" w:cs="宋体"/>
          <w:color w:val="auto"/>
          <w:kern w:val="0"/>
          <w:highlight w:val="none"/>
          <w:u w:val="none"/>
        </w:rPr>
        <w:t>文件</w:t>
      </w:r>
      <w:r>
        <w:rPr>
          <w:rFonts w:hint="eastAsia" w:ascii="宋体" w:hAnsi="宋体" w:eastAsia="宋体" w:cs="宋体"/>
          <w:color w:val="auto"/>
          <w:kern w:val="0"/>
          <w:highlight w:val="none"/>
          <w:u w:val="none"/>
          <w:lang w:eastAsia="zh-CN"/>
        </w:rPr>
        <w:t>。</w:t>
      </w:r>
      <w:r>
        <w:rPr>
          <w:rFonts w:hint="eastAsia" w:ascii="宋体" w:hAnsi="宋体" w:eastAsia="宋体" w:cs="宋体"/>
          <w:color w:val="auto"/>
          <w:kern w:val="0"/>
          <w:highlight w:val="none"/>
          <w:u w:val="none"/>
        </w:rPr>
        <w:t>电子响应文件制作需要基于广西政府采购云平台获取的</w:t>
      </w:r>
      <w:r>
        <w:rPr>
          <w:rFonts w:hint="eastAsia" w:ascii="宋体" w:hAnsi="宋体" w:eastAsia="宋体" w:cs="宋体"/>
          <w:color w:val="auto"/>
          <w:kern w:val="0"/>
          <w:highlight w:val="none"/>
          <w:u w:val="none"/>
          <w:lang w:val="en-US" w:eastAsia="zh-CN"/>
        </w:rPr>
        <w:t>磋商</w:t>
      </w:r>
      <w:r>
        <w:rPr>
          <w:rFonts w:hint="eastAsia" w:ascii="宋体" w:hAnsi="宋体" w:eastAsia="宋体" w:cs="宋体"/>
          <w:color w:val="auto"/>
          <w:kern w:val="0"/>
          <w:highlight w:val="none"/>
          <w:u w:val="none"/>
        </w:rPr>
        <w:t>文件编制，通过其他方式获取</w:t>
      </w:r>
      <w:r>
        <w:rPr>
          <w:rFonts w:hint="eastAsia" w:ascii="宋体" w:hAnsi="宋体" w:eastAsia="宋体" w:cs="宋体"/>
          <w:color w:val="auto"/>
          <w:kern w:val="0"/>
          <w:highlight w:val="none"/>
          <w:u w:val="none"/>
          <w:lang w:val="en-US" w:eastAsia="zh-CN"/>
        </w:rPr>
        <w:t>磋商</w:t>
      </w:r>
      <w:r>
        <w:rPr>
          <w:rFonts w:hint="eastAsia" w:ascii="宋体" w:hAnsi="宋体" w:eastAsia="宋体" w:cs="宋体"/>
          <w:color w:val="auto"/>
          <w:kern w:val="0"/>
          <w:highlight w:val="none"/>
          <w:u w:val="none"/>
        </w:rPr>
        <w:t>文件的，将有可能导致供应商无法在广西政府采购云平台编制及上传响应文件。</w:t>
      </w:r>
    </w:p>
    <w:p w14:paraId="245E76C0">
      <w:pPr>
        <w:keepNext w:val="0"/>
        <w:keepLines w:val="0"/>
        <w:pageBreakBefore w:val="0"/>
        <w:widowControl w:val="0"/>
        <w:kinsoku/>
        <w:overflowPunct/>
        <w:topLinePunct w:val="0"/>
        <w:autoSpaceDE/>
        <w:autoSpaceDN/>
        <w:bidi w:val="0"/>
        <w:adjustRightInd/>
        <w:spacing w:line="500" w:lineRule="exact"/>
        <w:ind w:firstLine="540"/>
        <w:textAlignment w:val="auto"/>
        <w:rPr>
          <w:rFonts w:hint="eastAsia" w:ascii="宋体" w:hAnsi="宋体" w:eastAsia="宋体" w:cs="宋体"/>
          <w:color w:val="auto"/>
          <w:highlight w:val="none"/>
          <w:u w:val="none"/>
        </w:rPr>
      </w:pPr>
      <w:r>
        <w:rPr>
          <w:rFonts w:hint="eastAsia" w:ascii="宋体" w:hAnsi="宋体" w:eastAsia="宋体" w:cs="宋体"/>
          <w:color w:val="auto"/>
          <w:kern w:val="0"/>
          <w:highlight w:val="none"/>
          <w:u w:val="none"/>
          <w:lang w:val="en-US" w:eastAsia="zh-CN"/>
        </w:rPr>
        <w:t>3.</w:t>
      </w:r>
      <w:r>
        <w:rPr>
          <w:rFonts w:hint="eastAsia" w:ascii="宋体" w:hAnsi="宋体" w:eastAsia="宋体" w:cs="宋体"/>
          <w:color w:val="auto"/>
          <w:kern w:val="0"/>
          <w:highlight w:val="none"/>
          <w:u w:val="none"/>
        </w:rPr>
        <w:t>售价：0.00元</w:t>
      </w:r>
      <w:r>
        <w:rPr>
          <w:rFonts w:hint="eastAsia" w:ascii="宋体" w:hAnsi="宋体" w:eastAsia="宋体" w:cs="宋体"/>
          <w:color w:val="auto"/>
          <w:highlight w:val="none"/>
          <w:u w:val="none"/>
        </w:rPr>
        <w:t>。</w:t>
      </w:r>
    </w:p>
    <w:p w14:paraId="2BFFBACA">
      <w:pPr>
        <w:keepNext w:val="0"/>
        <w:keepLines w:val="0"/>
        <w:pageBreakBefore w:val="0"/>
        <w:widowControl w:val="0"/>
        <w:kinsoku/>
        <w:overflowPunct/>
        <w:topLinePunct w:val="0"/>
        <w:autoSpaceDE/>
        <w:autoSpaceDN/>
        <w:bidi w:val="0"/>
        <w:adjustRightInd/>
        <w:spacing w:line="50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四、响应文件提交</w:t>
      </w:r>
      <w:bookmarkEnd w:id="18"/>
      <w:bookmarkEnd w:id="19"/>
      <w:bookmarkEnd w:id="20"/>
      <w:bookmarkEnd w:id="21"/>
      <w:bookmarkEnd w:id="22"/>
    </w:p>
    <w:p w14:paraId="7A31EFF0">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截止时间：</w:t>
      </w:r>
      <w:r>
        <w:rPr>
          <w:rFonts w:hint="eastAsia" w:ascii="宋体" w:hAnsi="宋体" w:eastAsia="宋体" w:cs="宋体"/>
          <w:color w:val="auto"/>
          <w:kern w:val="0"/>
          <w:szCs w:val="21"/>
          <w:highlight w:val="none"/>
          <w:u w:val="none"/>
        </w:rPr>
        <w:t>202</w:t>
      </w:r>
      <w:r>
        <w:rPr>
          <w:rFonts w:hint="eastAsia" w:ascii="宋体" w:hAnsi="宋体" w:eastAsia="宋体" w:cs="宋体"/>
          <w:color w:val="auto"/>
          <w:kern w:val="0"/>
          <w:szCs w:val="21"/>
          <w:highlight w:val="none"/>
          <w:u w:val="none"/>
          <w:lang w:val="en-US" w:eastAsia="zh-CN"/>
        </w:rPr>
        <w:t>6</w:t>
      </w:r>
      <w:r>
        <w:rPr>
          <w:rFonts w:hint="eastAsia" w:ascii="宋体" w:hAnsi="宋体" w:eastAsia="宋体" w:cs="宋体"/>
          <w:color w:val="auto"/>
          <w:kern w:val="0"/>
          <w:szCs w:val="21"/>
          <w:highlight w:val="none"/>
          <w:u w:val="none"/>
        </w:rPr>
        <w:t>年</w:t>
      </w:r>
      <w:r>
        <w:rPr>
          <w:rFonts w:hint="eastAsia" w:ascii="宋体" w:hAnsi="宋体" w:cs="宋体"/>
          <w:color w:val="auto"/>
          <w:kern w:val="0"/>
          <w:szCs w:val="21"/>
          <w:highlight w:val="none"/>
          <w:u w:val="none"/>
          <w:lang w:val="en-US" w:eastAsia="zh-CN"/>
        </w:rPr>
        <w:t>3</w:t>
      </w:r>
      <w:r>
        <w:rPr>
          <w:rFonts w:hint="eastAsia" w:ascii="宋体" w:hAnsi="宋体" w:eastAsia="宋体" w:cs="宋体"/>
          <w:color w:val="auto"/>
          <w:kern w:val="0"/>
          <w:szCs w:val="21"/>
          <w:highlight w:val="none"/>
          <w:u w:val="none"/>
        </w:rPr>
        <w:t>月</w:t>
      </w:r>
      <w:r>
        <w:rPr>
          <w:rFonts w:hint="eastAsia" w:ascii="宋体" w:hAnsi="宋体" w:cs="宋体"/>
          <w:color w:val="auto"/>
          <w:kern w:val="0"/>
          <w:szCs w:val="21"/>
          <w:highlight w:val="none"/>
          <w:u w:val="none"/>
          <w:lang w:val="en-US" w:eastAsia="zh-CN"/>
        </w:rPr>
        <w:t>10</w:t>
      </w:r>
      <w:r>
        <w:rPr>
          <w:rFonts w:hint="eastAsia" w:ascii="宋体" w:hAnsi="宋体" w:eastAsia="宋体" w:cs="宋体"/>
          <w:color w:val="auto"/>
          <w:kern w:val="0"/>
          <w:szCs w:val="21"/>
          <w:highlight w:val="none"/>
          <w:u w:val="none"/>
        </w:rPr>
        <w:t>日</w:t>
      </w:r>
      <w:r>
        <w:rPr>
          <w:rFonts w:hint="eastAsia" w:ascii="宋体" w:hAnsi="宋体" w:eastAsia="宋体" w:cs="宋体"/>
          <w:color w:val="auto"/>
          <w:szCs w:val="21"/>
          <w:highlight w:val="none"/>
          <w:u w:val="none"/>
          <w:lang w:val="en-US" w:eastAsia="zh-CN"/>
        </w:rPr>
        <w:t>09</w:t>
      </w:r>
      <w:r>
        <w:rPr>
          <w:rFonts w:hint="eastAsia" w:ascii="宋体" w:hAnsi="宋体" w:eastAsia="宋体" w:cs="宋体"/>
          <w:color w:val="auto"/>
          <w:szCs w:val="21"/>
          <w:highlight w:val="none"/>
          <w:u w:val="none"/>
        </w:rPr>
        <w:t>时</w:t>
      </w:r>
      <w:r>
        <w:rPr>
          <w:rFonts w:hint="eastAsia" w:ascii="宋体" w:hAnsi="宋体" w:eastAsia="宋体" w:cs="宋体"/>
          <w:color w:val="auto"/>
          <w:szCs w:val="21"/>
          <w:highlight w:val="none"/>
          <w:u w:val="none"/>
          <w:lang w:val="en-US" w:eastAsia="zh-CN"/>
        </w:rPr>
        <w:t>30</w:t>
      </w:r>
      <w:r>
        <w:rPr>
          <w:rFonts w:hint="eastAsia" w:ascii="宋体" w:hAnsi="宋体" w:eastAsia="宋体" w:cs="宋体"/>
          <w:color w:val="auto"/>
          <w:szCs w:val="21"/>
          <w:highlight w:val="none"/>
          <w:u w:val="none"/>
        </w:rPr>
        <w:t>分</w:t>
      </w:r>
      <w:r>
        <w:rPr>
          <w:rFonts w:hint="eastAsia" w:ascii="宋体" w:hAnsi="宋体" w:eastAsia="宋体" w:cs="宋体"/>
          <w:bCs/>
          <w:color w:val="auto"/>
          <w:szCs w:val="21"/>
          <w:highlight w:val="none"/>
        </w:rPr>
        <w:t>（北京时间）</w:t>
      </w:r>
    </w:p>
    <w:p w14:paraId="7174FB1D">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2.地点：</w:t>
      </w:r>
      <w:r>
        <w:rPr>
          <w:rFonts w:hint="eastAsia" w:ascii="宋体" w:hAnsi="宋体" w:eastAsia="宋体" w:cs="宋体"/>
          <w:color w:val="auto"/>
          <w:szCs w:val="21"/>
          <w:highlight w:val="none"/>
          <w:u w:val="none"/>
        </w:rPr>
        <w:t>“广西政府采购云平台”（https://www.gcy.zfcg.gxzf.gov.cn</w:t>
      </w:r>
      <w:r>
        <w:rPr>
          <w:rFonts w:hint="eastAsia" w:ascii="宋体" w:hAnsi="宋体" w:eastAsia="宋体" w:cs="宋体"/>
          <w:color w:val="auto"/>
          <w:szCs w:val="21"/>
          <w:highlight w:val="none"/>
          <w:u w:val="none"/>
          <w:lang w:eastAsia="zh-CN"/>
        </w:rPr>
        <w:t>）。</w:t>
      </w:r>
    </w:p>
    <w:p w14:paraId="664ECA23">
      <w:pPr>
        <w:keepNext w:val="0"/>
        <w:keepLines w:val="0"/>
        <w:pageBreakBefore w:val="0"/>
        <w:widowControl w:val="0"/>
        <w:kinsoku/>
        <w:overflowPunct/>
        <w:topLinePunct w:val="0"/>
        <w:autoSpaceDE/>
        <w:autoSpaceDN/>
        <w:bidi w:val="0"/>
        <w:adjustRightInd/>
        <w:spacing w:line="500" w:lineRule="exact"/>
        <w:ind w:firstLine="422" w:firstLineChars="200"/>
        <w:textAlignment w:val="auto"/>
        <w:rPr>
          <w:rFonts w:hint="eastAsia" w:ascii="宋体" w:hAnsi="宋体" w:eastAsia="宋体" w:cs="宋体"/>
          <w:b/>
          <w:bCs/>
          <w:color w:val="auto"/>
          <w:highlight w:val="none"/>
        </w:rPr>
      </w:pPr>
      <w:bookmarkStart w:id="23" w:name="_Toc28359016"/>
      <w:bookmarkStart w:id="24" w:name="_Toc35393802"/>
      <w:bookmarkStart w:id="25" w:name="_Toc44229882"/>
      <w:bookmarkStart w:id="26" w:name="_Toc35393633"/>
      <w:bookmarkStart w:id="27" w:name="_Toc28359093"/>
      <w:r>
        <w:rPr>
          <w:rFonts w:hint="eastAsia" w:ascii="宋体" w:hAnsi="宋体" w:eastAsia="宋体" w:cs="宋体"/>
          <w:b/>
          <w:bCs/>
          <w:color w:val="auto"/>
          <w:highlight w:val="none"/>
        </w:rPr>
        <w:t>五、开启</w:t>
      </w:r>
      <w:bookmarkEnd w:id="23"/>
      <w:bookmarkEnd w:id="24"/>
      <w:bookmarkEnd w:id="25"/>
      <w:bookmarkEnd w:id="26"/>
      <w:bookmarkEnd w:id="27"/>
    </w:p>
    <w:p w14:paraId="53510BDA">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1.</w:t>
      </w:r>
      <w:bookmarkStart w:id="28" w:name="_Toc28359017"/>
      <w:bookmarkStart w:id="29" w:name="_Toc28359094"/>
      <w:bookmarkStart w:id="30" w:name="_Toc44229883"/>
      <w:bookmarkStart w:id="31" w:name="_Toc35393803"/>
      <w:bookmarkStart w:id="32" w:name="_Toc35393634"/>
      <w:r>
        <w:rPr>
          <w:rFonts w:hint="eastAsia" w:ascii="宋体" w:hAnsi="宋体" w:eastAsia="宋体" w:cs="宋体"/>
          <w:color w:val="auto"/>
          <w:szCs w:val="21"/>
          <w:highlight w:val="none"/>
        </w:rPr>
        <w:t>时间：</w:t>
      </w:r>
      <w:r>
        <w:rPr>
          <w:rFonts w:hint="eastAsia" w:ascii="宋体" w:hAnsi="宋体" w:eastAsia="宋体" w:cs="宋体"/>
          <w:color w:val="auto"/>
          <w:kern w:val="0"/>
          <w:szCs w:val="21"/>
          <w:highlight w:val="none"/>
          <w:u w:val="none"/>
        </w:rPr>
        <w:t>202</w:t>
      </w:r>
      <w:r>
        <w:rPr>
          <w:rFonts w:hint="eastAsia" w:ascii="宋体" w:hAnsi="宋体" w:eastAsia="宋体" w:cs="宋体"/>
          <w:color w:val="auto"/>
          <w:kern w:val="0"/>
          <w:szCs w:val="21"/>
          <w:highlight w:val="none"/>
          <w:u w:val="none"/>
          <w:lang w:val="en-US" w:eastAsia="zh-CN"/>
        </w:rPr>
        <w:t>6</w:t>
      </w:r>
      <w:r>
        <w:rPr>
          <w:rFonts w:hint="eastAsia" w:ascii="宋体" w:hAnsi="宋体" w:eastAsia="宋体" w:cs="宋体"/>
          <w:color w:val="auto"/>
          <w:kern w:val="0"/>
          <w:szCs w:val="21"/>
          <w:highlight w:val="none"/>
          <w:u w:val="none"/>
        </w:rPr>
        <w:t>年</w:t>
      </w:r>
      <w:r>
        <w:rPr>
          <w:rFonts w:hint="eastAsia" w:ascii="宋体" w:hAnsi="宋体" w:cs="宋体"/>
          <w:color w:val="auto"/>
          <w:kern w:val="0"/>
          <w:szCs w:val="21"/>
          <w:highlight w:val="none"/>
          <w:u w:val="none"/>
          <w:lang w:val="en-US" w:eastAsia="zh-CN"/>
        </w:rPr>
        <w:t>3</w:t>
      </w:r>
      <w:r>
        <w:rPr>
          <w:rFonts w:hint="eastAsia" w:ascii="宋体" w:hAnsi="宋体" w:eastAsia="宋体" w:cs="宋体"/>
          <w:color w:val="auto"/>
          <w:kern w:val="0"/>
          <w:szCs w:val="21"/>
          <w:highlight w:val="none"/>
          <w:u w:val="none"/>
        </w:rPr>
        <w:t>月</w:t>
      </w:r>
      <w:r>
        <w:rPr>
          <w:rFonts w:hint="eastAsia" w:ascii="宋体" w:hAnsi="宋体" w:cs="宋体"/>
          <w:color w:val="auto"/>
          <w:kern w:val="0"/>
          <w:szCs w:val="21"/>
          <w:highlight w:val="none"/>
          <w:u w:val="none"/>
          <w:lang w:val="en-US" w:eastAsia="zh-CN"/>
        </w:rPr>
        <w:t>10</w:t>
      </w:r>
      <w:r>
        <w:rPr>
          <w:rFonts w:hint="eastAsia" w:ascii="宋体" w:hAnsi="宋体" w:eastAsia="宋体" w:cs="宋体"/>
          <w:color w:val="auto"/>
          <w:kern w:val="0"/>
          <w:szCs w:val="21"/>
          <w:highlight w:val="none"/>
          <w:u w:val="none"/>
        </w:rPr>
        <w:t>日</w:t>
      </w:r>
      <w:r>
        <w:rPr>
          <w:rFonts w:hint="eastAsia" w:ascii="宋体" w:hAnsi="宋体" w:eastAsia="宋体" w:cs="宋体"/>
          <w:color w:val="auto"/>
          <w:szCs w:val="21"/>
          <w:highlight w:val="none"/>
          <w:u w:val="none"/>
          <w:lang w:val="en-US" w:eastAsia="zh-CN"/>
        </w:rPr>
        <w:t>09</w:t>
      </w:r>
      <w:r>
        <w:rPr>
          <w:rFonts w:hint="eastAsia" w:ascii="宋体" w:hAnsi="宋体" w:eastAsia="宋体" w:cs="宋体"/>
          <w:color w:val="auto"/>
          <w:szCs w:val="21"/>
          <w:highlight w:val="none"/>
          <w:u w:val="none"/>
        </w:rPr>
        <w:t>时</w:t>
      </w:r>
      <w:r>
        <w:rPr>
          <w:rFonts w:hint="eastAsia" w:ascii="宋体" w:hAnsi="宋体" w:eastAsia="宋体" w:cs="宋体"/>
          <w:color w:val="auto"/>
          <w:szCs w:val="21"/>
          <w:highlight w:val="none"/>
          <w:u w:val="none"/>
          <w:lang w:val="en-US" w:eastAsia="zh-CN"/>
        </w:rPr>
        <w:t>30</w:t>
      </w:r>
      <w:r>
        <w:rPr>
          <w:rFonts w:hint="eastAsia" w:ascii="宋体" w:hAnsi="宋体" w:eastAsia="宋体" w:cs="宋体"/>
          <w:color w:val="auto"/>
          <w:szCs w:val="21"/>
          <w:highlight w:val="none"/>
          <w:u w:val="none"/>
        </w:rPr>
        <w:t>分后</w:t>
      </w:r>
      <w:r>
        <w:rPr>
          <w:rFonts w:hint="eastAsia" w:ascii="宋体" w:hAnsi="宋体" w:eastAsia="宋体" w:cs="宋体"/>
          <w:bCs/>
          <w:color w:val="auto"/>
          <w:szCs w:val="21"/>
          <w:highlight w:val="none"/>
          <w:u w:val="none"/>
        </w:rPr>
        <w:t>（北京时间）</w:t>
      </w:r>
    </w:p>
    <w:p w14:paraId="7877B846">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2.地点：</w:t>
      </w:r>
      <w:r>
        <w:rPr>
          <w:rFonts w:hint="eastAsia" w:ascii="宋体" w:hAnsi="宋体" w:eastAsia="宋体" w:cs="宋体"/>
          <w:color w:val="auto"/>
          <w:szCs w:val="21"/>
          <w:highlight w:val="none"/>
          <w:u w:val="none"/>
        </w:rPr>
        <w:t>“广西政府采购云平台”（https://www.gcy.zfcg.gxzf.gov.cn</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w:t>
      </w:r>
    </w:p>
    <w:p w14:paraId="5AC02FC3">
      <w:pPr>
        <w:keepNext w:val="0"/>
        <w:keepLines w:val="0"/>
        <w:pageBreakBefore w:val="0"/>
        <w:widowControl w:val="0"/>
        <w:kinsoku/>
        <w:overflowPunct/>
        <w:topLinePunct w:val="0"/>
        <w:autoSpaceDE/>
        <w:autoSpaceDN/>
        <w:bidi w:val="0"/>
        <w:adjustRightInd/>
        <w:spacing w:line="50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六、公告期限</w:t>
      </w:r>
      <w:bookmarkEnd w:id="28"/>
      <w:bookmarkEnd w:id="29"/>
      <w:bookmarkEnd w:id="30"/>
      <w:bookmarkEnd w:id="31"/>
      <w:bookmarkEnd w:id="32"/>
    </w:p>
    <w:p w14:paraId="0028D172">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19601E48">
      <w:pPr>
        <w:keepNext w:val="0"/>
        <w:keepLines w:val="0"/>
        <w:pageBreakBefore w:val="0"/>
        <w:widowControl w:val="0"/>
        <w:kinsoku/>
        <w:overflowPunct/>
        <w:topLinePunct w:val="0"/>
        <w:autoSpaceDE/>
        <w:autoSpaceDN/>
        <w:bidi w:val="0"/>
        <w:adjustRightInd/>
        <w:spacing w:line="500" w:lineRule="exact"/>
        <w:ind w:firstLine="422" w:firstLineChars="200"/>
        <w:textAlignment w:val="auto"/>
        <w:rPr>
          <w:rFonts w:hint="eastAsia" w:ascii="宋体" w:hAnsi="宋体" w:eastAsia="宋体" w:cs="宋体"/>
          <w:b/>
          <w:bCs/>
          <w:color w:val="auto"/>
          <w:highlight w:val="none"/>
        </w:rPr>
      </w:pPr>
      <w:bookmarkStart w:id="33" w:name="_Toc44229884"/>
      <w:bookmarkStart w:id="34" w:name="_Toc35393635"/>
      <w:bookmarkStart w:id="35" w:name="_Toc35393804"/>
      <w:r>
        <w:rPr>
          <w:rFonts w:hint="eastAsia" w:ascii="宋体" w:hAnsi="宋体" w:eastAsia="宋体" w:cs="宋体"/>
          <w:b/>
          <w:bCs/>
          <w:color w:val="auto"/>
          <w:highlight w:val="none"/>
        </w:rPr>
        <w:t>七、其他补充事宜</w:t>
      </w:r>
      <w:bookmarkEnd w:id="33"/>
      <w:bookmarkEnd w:id="34"/>
      <w:bookmarkEnd w:id="35"/>
    </w:p>
    <w:p w14:paraId="4AAF897C">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1.磋商保证金：</w:t>
      </w:r>
    </w:p>
    <w:p w14:paraId="004E0370">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磋商保证金人民币</w:t>
      </w:r>
      <w:r>
        <w:rPr>
          <w:rFonts w:hint="eastAsia" w:ascii="宋体" w:hAnsi="宋体" w:eastAsia="宋体" w:cs="宋体"/>
          <w:color w:val="auto"/>
          <w:kern w:val="0"/>
          <w:szCs w:val="21"/>
          <w:highlight w:val="none"/>
          <w:u w:val="none"/>
          <w:lang w:eastAsia="zh-CN"/>
        </w:rPr>
        <w:t>：</w:t>
      </w:r>
      <w:r>
        <w:rPr>
          <w:rFonts w:hint="eastAsia" w:ascii="宋体" w:hAnsi="宋体" w:eastAsia="宋体" w:cs="宋体"/>
          <w:color w:val="auto"/>
          <w:kern w:val="0"/>
          <w:szCs w:val="21"/>
          <w:highlight w:val="none"/>
          <w:u w:val="none"/>
        </w:rPr>
        <w:t>1</w:t>
      </w:r>
      <w:r>
        <w:rPr>
          <w:rFonts w:hint="eastAsia" w:ascii="宋体" w:hAnsi="宋体" w:eastAsia="宋体" w:cs="宋体"/>
          <w:color w:val="auto"/>
          <w:kern w:val="0"/>
          <w:szCs w:val="21"/>
          <w:highlight w:val="none"/>
          <w:u w:val="none"/>
          <w:lang w:val="en-US" w:eastAsia="zh-CN"/>
        </w:rPr>
        <w:t>0</w:t>
      </w:r>
      <w:r>
        <w:rPr>
          <w:rFonts w:hint="eastAsia" w:ascii="宋体" w:hAnsi="宋体" w:eastAsia="宋体" w:cs="宋体"/>
          <w:color w:val="auto"/>
          <w:kern w:val="0"/>
          <w:szCs w:val="21"/>
          <w:highlight w:val="none"/>
          <w:u w:val="none"/>
        </w:rPr>
        <w:t>000.00</w:t>
      </w:r>
      <w:r>
        <w:rPr>
          <w:rFonts w:hint="eastAsia" w:ascii="宋体" w:hAnsi="宋体" w:eastAsia="宋体" w:cs="宋体"/>
          <w:color w:val="auto"/>
          <w:kern w:val="0"/>
          <w:szCs w:val="21"/>
          <w:highlight w:val="none"/>
        </w:rPr>
        <w:t>元。</w:t>
      </w:r>
    </w:p>
    <w:p w14:paraId="19CBE8ED">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磋商保证金的交纳方式：银行转账、支票、汇票、本票或者金融、担保机构出具的保函，禁止采用现钞方式。采用银行转账方式的，在响应截止时间前交至采购代理机构指定账户并且到账（开户银行：</w:t>
      </w:r>
      <w:r>
        <w:rPr>
          <w:rFonts w:hint="eastAsia" w:ascii="宋体" w:hAnsi="宋体" w:eastAsia="宋体" w:cs="宋体"/>
          <w:color w:val="auto"/>
          <w:kern w:val="0"/>
          <w:szCs w:val="21"/>
          <w:highlight w:val="none"/>
          <w:u w:val="single"/>
        </w:rPr>
        <w:t>建行南宁市金湖广场支行</w:t>
      </w:r>
      <w:r>
        <w:rPr>
          <w:rFonts w:hint="eastAsia" w:ascii="宋体" w:hAnsi="宋体" w:eastAsia="宋体" w:cs="宋体"/>
          <w:color w:val="auto"/>
          <w:kern w:val="0"/>
          <w:szCs w:val="21"/>
          <w:highlight w:val="none"/>
        </w:rPr>
        <w:t>，开户名称：</w:t>
      </w:r>
      <w:r>
        <w:rPr>
          <w:rFonts w:hint="eastAsia" w:ascii="宋体" w:hAnsi="宋体" w:eastAsia="宋体" w:cs="宋体"/>
          <w:color w:val="auto"/>
          <w:kern w:val="0"/>
          <w:szCs w:val="21"/>
          <w:highlight w:val="none"/>
          <w:u w:val="single"/>
        </w:rPr>
        <w:t>广西中信恒泰工程顾问有限公司</w:t>
      </w:r>
      <w:r>
        <w:rPr>
          <w:rFonts w:hint="eastAsia" w:ascii="宋体" w:hAnsi="宋体" w:eastAsia="宋体" w:cs="宋体"/>
          <w:color w:val="auto"/>
          <w:kern w:val="0"/>
          <w:szCs w:val="21"/>
          <w:highlight w:val="none"/>
        </w:rPr>
        <w:t>，银行账号：</w:t>
      </w:r>
      <w:r>
        <w:rPr>
          <w:rFonts w:hint="eastAsia" w:ascii="宋体" w:hAnsi="宋体" w:eastAsia="宋体" w:cs="宋体"/>
          <w:color w:val="auto"/>
          <w:kern w:val="0"/>
          <w:szCs w:val="21"/>
          <w:highlight w:val="none"/>
          <w:u w:val="single"/>
        </w:rPr>
        <w:t>45001604266052502851</w:t>
      </w:r>
      <w:r>
        <w:rPr>
          <w:rFonts w:hint="eastAsia" w:ascii="宋体" w:hAnsi="宋体" w:eastAsia="宋体" w:cs="宋体"/>
          <w:color w:val="auto"/>
          <w:kern w:val="0"/>
          <w:szCs w:val="21"/>
          <w:highlight w:val="none"/>
        </w:rPr>
        <w:t>，开户行行号：</w:t>
      </w:r>
      <w:r>
        <w:rPr>
          <w:rFonts w:hint="eastAsia" w:ascii="宋体" w:hAnsi="宋体" w:eastAsia="宋体" w:cs="宋体"/>
          <w:color w:val="auto"/>
          <w:kern w:val="0"/>
          <w:szCs w:val="21"/>
          <w:highlight w:val="none"/>
          <w:u w:val="single"/>
        </w:rPr>
        <w:t>105611042538</w:t>
      </w:r>
      <w:r>
        <w:rPr>
          <w:rFonts w:hint="eastAsia" w:ascii="宋体" w:hAnsi="宋体" w:eastAsia="宋体" w:cs="宋体"/>
          <w:color w:val="auto"/>
          <w:kern w:val="0"/>
          <w:szCs w:val="21"/>
          <w:highlight w:val="none"/>
        </w:rPr>
        <w:t>）；采用支票、汇票、本票或者保函等方式的，在响应截止时间前，供应商必须递交单独密封的支票、汇票、本票或者保函原件。否则视为无效磋商保证金。</w:t>
      </w:r>
    </w:p>
    <w:p w14:paraId="181B371C">
      <w:pPr>
        <w:keepNext w:val="0"/>
        <w:keepLines w:val="0"/>
        <w:pageBreakBefore w:val="0"/>
        <w:widowControl w:val="0"/>
        <w:numPr>
          <w:ilvl w:val="0"/>
          <w:numId w:val="0"/>
        </w:numPr>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采购意向公开链接：</w:t>
      </w:r>
    </w:p>
    <w:p w14:paraId="6CBE145E">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http://www.ccgp-guangxi.gov.cn/site/detail?parentId=66485&amp;articleId=zQ1BCVU/U+qLif0ojSp54Q==</w:t>
      </w:r>
    </w:p>
    <w:p w14:paraId="35F60CBA">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3.网上查询地址</w:t>
      </w:r>
      <w:r>
        <w:rPr>
          <w:rFonts w:hint="eastAsia" w:ascii="宋体" w:hAnsi="宋体" w:eastAsia="宋体" w:cs="宋体"/>
          <w:color w:val="auto"/>
          <w:kern w:val="0"/>
          <w:szCs w:val="21"/>
          <w:highlight w:val="none"/>
          <w:lang w:eastAsia="zh-CN"/>
        </w:rPr>
        <w:t>：</w:t>
      </w:r>
      <w:bookmarkStart w:id="36" w:name="_Hlk37429674"/>
      <w:r>
        <w:rPr>
          <w:rFonts w:hint="eastAsia" w:ascii="宋体" w:hAnsi="宋体" w:eastAsia="宋体" w:cs="宋体"/>
          <w:color w:val="auto"/>
          <w:kern w:val="0"/>
          <w:szCs w:val="21"/>
          <w:highlight w:val="none"/>
        </w:rPr>
        <w:t>中国政府采购网(http://www.ccgp.gov.cn</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广西政府采购网(http://zfcg.gxzf.gov.cn</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w:t>
      </w:r>
    </w:p>
    <w:p w14:paraId="601AF7E0">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本项目需要落实的政府采购政策</w:t>
      </w:r>
    </w:p>
    <w:p w14:paraId="0E390853">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1B757996">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）政府采购促进残疾人就业政策。</w:t>
      </w:r>
    </w:p>
    <w:p w14:paraId="1722FE9F">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）政府采购支持监狱企业发展。</w:t>
      </w:r>
      <w:bookmarkEnd w:id="36"/>
    </w:p>
    <w:p w14:paraId="24C3FC12">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供应商认为</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文件使自己的权益受到损害的，可以自获取</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文件之日或者</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文件公告期限届满之日（公告期限届满后获取</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文件的，以公告期限届满之日为准）起7个工作日内以书面形式一次性向采购人或采购代理机构提出同一环节的质疑。否则，逾期的质疑采购人及采购代理机构可不予接受。质疑供应商对采购人、采购代理机构的答复不满意或者采购人、采购代理机构未在规定的时间内作出答复的，可以在答复期满后十五个工作日内向同级政府采购监督管理部门投诉。</w:t>
      </w:r>
    </w:p>
    <w:p w14:paraId="43F56E72">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磋商注意事项：</w:t>
      </w:r>
    </w:p>
    <w:p w14:paraId="03D1AFF7">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（1）响应文件提交方式：本项目为全流程电子化项目，通过广西政府采购云平台（https://www.gcy.zfcg.gxzf.gov.cn</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实行在线电子响应，供应商应先安装广西政府采购云平台新版客户端（新版客户端下载路径：广西政府采购网（访问地址http://zfcg.gxzf.gov.cn</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—办事服务—下载专区），并按照本项目</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1CF7ED3B">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（2）供应商应及时熟悉掌握电子标系统操作指南；及时完成CA申领和绑定（见广西壮族自治区政府采购网—办事服务—下载专区</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广西政府采购云平台CA证书办理操作指南）。</w:t>
      </w:r>
    </w:p>
    <w:p w14:paraId="389AA3C8">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建议各供应商抓紧时间办理。</w:t>
      </w:r>
    </w:p>
    <w:p w14:paraId="6B15CEF6">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（4）为确保网上操作合法、有效和安全，请供应商确保在电子竞标过程中能够对相关数据电文进行加密和使用电子签章，妥善保管CA数字证书并使用有效的CA数字证书参与整个采购活动。</w:t>
      </w:r>
    </w:p>
    <w:p w14:paraId="6B22C649">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56DF7D4E">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CA证书在线解密：首次响应文件开启时，需要供应商携带制作响应文件时用来加密的有效数字证书（CA认证）登录“广西政府采购云平台”电子开标大厅现场按规定时间对加密的响应文件进行解密，否则后果自负。</w:t>
      </w:r>
    </w:p>
    <w:p w14:paraId="74B438CE">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8.供应商需要在具备有摄像头及语音功能且互联网网络状况良好的电脑登录“广西政府采购云平台”远程开标大厅参与本次磋商，否则后果自负。</w:t>
      </w:r>
    </w:p>
    <w:p w14:paraId="498BB241">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9.若对项目采购电子交易系统操作有疑问，可登录“广西政府采购云平台”（https://www.gcy.zfcg.gxzf.gov.cn</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，点击右侧咨询小采，获取采小蜜智能服务管家帮助，或拨打广西政府采购云平台服务热线95763获取热线服务帮助。</w:t>
      </w:r>
    </w:p>
    <w:p w14:paraId="7820580C">
      <w:pPr>
        <w:keepNext w:val="0"/>
        <w:keepLines w:val="0"/>
        <w:pageBreakBefore w:val="0"/>
        <w:widowControl w:val="0"/>
        <w:kinsoku/>
        <w:overflowPunct/>
        <w:topLinePunct w:val="0"/>
        <w:autoSpaceDE/>
        <w:autoSpaceDN/>
        <w:bidi w:val="0"/>
        <w:adjustRightInd/>
        <w:spacing w:line="500" w:lineRule="exact"/>
        <w:ind w:firstLine="422" w:firstLineChars="200"/>
        <w:textAlignment w:val="auto"/>
        <w:rPr>
          <w:rFonts w:hint="eastAsia" w:ascii="宋体" w:hAnsi="宋体" w:eastAsia="宋体" w:cs="宋体"/>
          <w:b/>
          <w:bCs/>
          <w:color w:val="auto"/>
          <w:highlight w:val="none"/>
        </w:rPr>
      </w:pPr>
      <w:bookmarkStart w:id="37" w:name="_Toc28359018"/>
      <w:bookmarkStart w:id="38" w:name="_Toc28359095"/>
      <w:bookmarkStart w:id="39" w:name="_Toc35393636"/>
      <w:bookmarkStart w:id="40" w:name="_Toc35393805"/>
      <w:bookmarkStart w:id="41" w:name="_Toc44229885"/>
      <w:r>
        <w:rPr>
          <w:rFonts w:hint="eastAsia" w:ascii="宋体" w:hAnsi="宋体" w:eastAsia="宋体" w:cs="宋体"/>
          <w:b/>
          <w:bCs/>
          <w:color w:val="auto"/>
          <w:highlight w:val="none"/>
        </w:rPr>
        <w:t>八、凡对本次采购提出询问，请按以下方式联系。</w:t>
      </w:r>
      <w:bookmarkEnd w:id="37"/>
      <w:bookmarkEnd w:id="38"/>
      <w:bookmarkEnd w:id="39"/>
      <w:bookmarkEnd w:id="40"/>
      <w:bookmarkEnd w:id="41"/>
    </w:p>
    <w:p w14:paraId="4C7EDBA4">
      <w:pPr>
        <w:keepNext w:val="0"/>
        <w:keepLines w:val="0"/>
        <w:pageBreakBefore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1.</w:t>
      </w:r>
      <w:r>
        <w:rPr>
          <w:rFonts w:hint="eastAsia" w:ascii="宋体" w:hAnsi="宋体" w:eastAsia="宋体" w:cs="宋体"/>
          <w:color w:val="auto"/>
          <w:szCs w:val="21"/>
          <w:highlight w:val="none"/>
        </w:rPr>
        <w:t>采购人信息</w:t>
      </w:r>
    </w:p>
    <w:p w14:paraId="0E0FFC88">
      <w:pPr>
        <w:keepNext w:val="0"/>
        <w:keepLines w:val="0"/>
        <w:pageBreakBefore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名称：</w:t>
      </w:r>
      <w:r>
        <w:rPr>
          <w:rFonts w:hint="eastAsia" w:ascii="宋体" w:hAnsi="宋体" w:eastAsia="宋体" w:cs="宋体"/>
          <w:color w:val="auto"/>
          <w:szCs w:val="21"/>
          <w:highlight w:val="none"/>
          <w:u w:val="none"/>
          <w:lang w:eastAsia="zh-CN"/>
        </w:rPr>
        <w:t>广西财经学院</w:t>
      </w:r>
    </w:p>
    <w:p w14:paraId="281ECEC7">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rPr>
        <w:t>地址：</w:t>
      </w:r>
      <w:r>
        <w:rPr>
          <w:rFonts w:hint="eastAsia" w:ascii="宋体" w:hAnsi="宋体" w:eastAsia="宋体" w:cs="宋体"/>
          <w:color w:val="auto"/>
          <w:highlight w:val="none"/>
          <w:u w:val="none"/>
          <w:lang w:eastAsia="zh-CN"/>
        </w:rPr>
        <w:t>广西南宁市大学西路189号</w:t>
      </w:r>
    </w:p>
    <w:p w14:paraId="269FCF77">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rPr>
        <w:t>联系方式：</w:t>
      </w:r>
      <w:bookmarkStart w:id="42" w:name="_Toc28359009"/>
      <w:bookmarkStart w:id="43" w:name="_Toc28359086"/>
      <w:r>
        <w:rPr>
          <w:rFonts w:hint="eastAsia" w:ascii="宋体" w:hAnsi="宋体" w:eastAsia="宋体" w:cs="宋体"/>
          <w:color w:val="auto"/>
          <w:highlight w:val="none"/>
          <w:u w:val="none"/>
        </w:rPr>
        <w:t>黄苏羽0771-3821448；韦华</w:t>
      </w:r>
      <w:bookmarkStart w:id="167" w:name="_GoBack"/>
      <w:bookmarkEnd w:id="167"/>
      <w:r>
        <w:rPr>
          <w:rFonts w:hint="eastAsia" w:ascii="宋体" w:hAnsi="宋体" w:eastAsia="宋体" w:cs="宋体"/>
          <w:color w:val="auto"/>
          <w:highlight w:val="none"/>
          <w:u w:val="none"/>
        </w:rPr>
        <w:t>18076372763</w:t>
      </w:r>
    </w:p>
    <w:p w14:paraId="281070A0">
      <w:pPr>
        <w:keepNext w:val="0"/>
        <w:keepLines w:val="0"/>
        <w:pageBreakBefore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bookmarkEnd w:id="42"/>
      <w:bookmarkEnd w:id="43"/>
    </w:p>
    <w:p w14:paraId="38487F53">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名称：广西中信恒泰工程顾问有限公司</w:t>
      </w:r>
    </w:p>
    <w:p w14:paraId="3B0B51E7">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地址：</w:t>
      </w:r>
      <w:r>
        <w:rPr>
          <w:rFonts w:hint="eastAsia" w:ascii="宋体" w:hAnsi="宋体" w:eastAsia="宋体" w:cs="宋体"/>
          <w:color w:val="auto"/>
          <w:szCs w:val="21"/>
          <w:highlight w:val="none"/>
          <w:u w:val="none"/>
          <w:lang w:eastAsia="zh-CN"/>
        </w:rPr>
        <w:t>广西南宁市青秀区云景路69号南宁轨道大厦B楼8层</w:t>
      </w:r>
    </w:p>
    <w:p w14:paraId="0AA4C653">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联系方式：</w:t>
      </w:r>
      <w:bookmarkStart w:id="44" w:name="_Toc28359010"/>
      <w:bookmarkStart w:id="45" w:name="_Toc28359087"/>
      <w:r>
        <w:rPr>
          <w:rFonts w:hint="eastAsia" w:ascii="宋体" w:hAnsi="宋体" w:eastAsia="宋体" w:cs="宋体"/>
          <w:color w:val="auto"/>
          <w:szCs w:val="21"/>
          <w:highlight w:val="none"/>
          <w:u w:val="none"/>
          <w:lang w:val="en-US" w:eastAsia="zh-CN"/>
        </w:rPr>
        <w:t>韦廷富、田甜</w:t>
      </w:r>
      <w:r>
        <w:rPr>
          <w:rFonts w:hint="eastAsia" w:ascii="宋体" w:hAnsi="宋体" w:eastAsia="宋体" w:cs="宋体"/>
          <w:color w:val="auto"/>
          <w:sz w:val="21"/>
          <w:highlight w:val="none"/>
          <w:u w:val="none"/>
          <w:lang w:val="en-US" w:eastAsia="zh-CN"/>
        </w:rPr>
        <w:t>，</w:t>
      </w:r>
      <w:r>
        <w:rPr>
          <w:rFonts w:hint="eastAsia" w:ascii="宋体" w:hAnsi="宋体" w:eastAsia="宋体" w:cs="宋体"/>
          <w:color w:val="auto"/>
          <w:szCs w:val="21"/>
          <w:highlight w:val="none"/>
          <w:u w:val="none"/>
        </w:rPr>
        <w:t>0771-5776251</w:t>
      </w:r>
    </w:p>
    <w:bookmarkEnd w:id="44"/>
    <w:bookmarkEnd w:id="45"/>
    <w:p w14:paraId="34A98561">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3.项目联系方式</w:t>
      </w:r>
    </w:p>
    <w:p w14:paraId="604F2089">
      <w:pPr>
        <w:pStyle w:val="19"/>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highlight w:val="none"/>
          <w:u w:val="none"/>
          <w:lang w:val="en-US" w:eastAsia="zh-CN"/>
        </w:rPr>
      </w:pPr>
      <w:r>
        <w:rPr>
          <w:rFonts w:hint="eastAsia" w:ascii="宋体" w:hAnsi="宋体" w:eastAsia="宋体" w:cs="宋体"/>
          <w:color w:val="auto"/>
          <w:sz w:val="21"/>
          <w:highlight w:val="none"/>
        </w:rPr>
        <w:t>项目联</w:t>
      </w:r>
      <w:r>
        <w:rPr>
          <w:rFonts w:hint="eastAsia" w:ascii="宋体" w:hAnsi="宋体" w:eastAsia="宋体" w:cs="宋体"/>
          <w:color w:val="auto"/>
          <w:sz w:val="21"/>
          <w:highlight w:val="none"/>
          <w:u w:val="none"/>
        </w:rPr>
        <w:t>系人：</w:t>
      </w:r>
      <w:r>
        <w:rPr>
          <w:rFonts w:hint="eastAsia" w:ascii="宋体" w:hAnsi="宋体" w:eastAsia="宋体" w:cs="宋体"/>
          <w:color w:val="auto"/>
          <w:sz w:val="21"/>
          <w:highlight w:val="none"/>
          <w:u w:val="none"/>
          <w:lang w:eastAsia="zh-CN"/>
        </w:rPr>
        <w:t>韦廷富、田甜</w:t>
      </w:r>
    </w:p>
    <w:p w14:paraId="30C28D93">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u w:val="none"/>
        </w:rPr>
      </w:pPr>
      <w:r>
        <w:rPr>
          <w:rFonts w:hint="eastAsia" w:ascii="宋体" w:hAnsi="宋体" w:eastAsia="宋体" w:cs="宋体"/>
          <w:color w:val="auto"/>
          <w:highlight w:val="none"/>
          <w:u w:val="none"/>
        </w:rPr>
        <w:t>电话：0771-5776251</w:t>
      </w:r>
    </w:p>
    <w:bookmarkEnd w:id="1"/>
    <w:p w14:paraId="781508EE">
      <w:pPr>
        <w:keepNext w:val="0"/>
        <w:keepLines w:val="0"/>
        <w:pageBreakBefore w:val="0"/>
        <w:widowControl w:val="0"/>
        <w:kinsoku/>
        <w:wordWrap w:val="0"/>
        <w:overflowPunct/>
        <w:topLinePunct w:val="0"/>
        <w:autoSpaceDE/>
        <w:autoSpaceDN/>
        <w:bidi w:val="0"/>
        <w:adjustRightInd/>
        <w:spacing w:line="500" w:lineRule="exact"/>
        <w:jc w:val="right"/>
        <w:textAlignment w:val="auto"/>
        <w:rPr>
          <w:rFonts w:hint="eastAsia" w:ascii="宋体" w:hAnsi="宋体" w:eastAsia="宋体" w:cs="宋体"/>
          <w:color w:val="auto"/>
          <w:szCs w:val="21"/>
          <w:highlight w:val="none"/>
        </w:rPr>
      </w:pPr>
    </w:p>
    <w:p w14:paraId="24A331EE">
      <w:pPr>
        <w:keepNext w:val="0"/>
        <w:keepLines w:val="0"/>
        <w:pageBreakBefore w:val="0"/>
        <w:widowControl w:val="0"/>
        <w:kinsoku/>
        <w:wordWrap w:val="0"/>
        <w:overflowPunct/>
        <w:topLinePunct w:val="0"/>
        <w:autoSpaceDE/>
        <w:autoSpaceDN/>
        <w:bidi w:val="0"/>
        <w:adjustRightInd/>
        <w:spacing w:line="500" w:lineRule="exact"/>
        <w:jc w:val="right"/>
        <w:textAlignment w:val="auto"/>
        <w:rPr>
          <w:rFonts w:hint="eastAsia" w:ascii="宋体" w:hAnsi="宋体" w:eastAsia="宋体" w:cs="宋体"/>
          <w:color w:val="auto"/>
          <w:szCs w:val="21"/>
          <w:highlight w:val="none"/>
        </w:rPr>
      </w:pPr>
    </w:p>
    <w:p w14:paraId="143C8AF6">
      <w:pPr>
        <w:keepNext w:val="0"/>
        <w:keepLines w:val="0"/>
        <w:pageBreakBefore w:val="0"/>
        <w:widowControl w:val="0"/>
        <w:kinsoku/>
        <w:wordWrap w:val="0"/>
        <w:overflowPunct/>
        <w:topLinePunct w:val="0"/>
        <w:autoSpaceDE/>
        <w:autoSpaceDN/>
        <w:bidi w:val="0"/>
        <w:adjustRightInd/>
        <w:spacing w:line="500" w:lineRule="exact"/>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广西中信恒泰工程顾问有限公司</w:t>
      </w:r>
    </w:p>
    <w:p w14:paraId="4FD09873">
      <w:pPr>
        <w:keepNext w:val="0"/>
        <w:keepLines w:val="0"/>
        <w:pageBreakBefore w:val="0"/>
        <w:widowControl w:val="0"/>
        <w:kinsoku/>
        <w:wordWrap w:val="0"/>
        <w:overflowPunct/>
        <w:topLinePunct w:val="0"/>
        <w:autoSpaceDE/>
        <w:autoSpaceDN/>
        <w:bidi w:val="0"/>
        <w:adjustRightInd/>
        <w:spacing w:line="500" w:lineRule="exact"/>
        <w:jc w:val="righ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年</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月</w:t>
      </w:r>
      <w:r>
        <w:rPr>
          <w:rFonts w:hint="eastAsia" w:ascii="宋体" w:hAnsi="宋体" w:cs="宋体"/>
          <w:color w:val="auto"/>
          <w:kern w:val="0"/>
          <w:szCs w:val="21"/>
          <w:highlight w:val="none"/>
          <w:lang w:val="en-US" w:eastAsia="zh-CN"/>
        </w:rPr>
        <w:t>27</w:t>
      </w:r>
      <w:r>
        <w:rPr>
          <w:rFonts w:hint="eastAsia" w:ascii="宋体" w:hAnsi="宋体" w:eastAsia="宋体" w:cs="宋体"/>
          <w:color w:val="auto"/>
          <w:szCs w:val="21"/>
          <w:highlight w:val="none"/>
        </w:rPr>
        <w:t>日</w:t>
      </w:r>
    </w:p>
    <w:p w14:paraId="2A56CFC3">
      <w:pPr>
        <w:rPr>
          <w:rFonts w:hint="eastAsia" w:ascii="宋体" w:hAnsi="宋体" w:eastAsia="宋体" w:cs="宋体"/>
          <w:color w:val="auto"/>
          <w:highlight w:val="none"/>
        </w:rPr>
      </w:pPr>
    </w:p>
    <w:p w14:paraId="778C6A38">
      <w:pPr>
        <w:rPr>
          <w:rFonts w:hint="eastAsia" w:ascii="宋体" w:hAnsi="宋体" w:eastAsia="宋体" w:cs="宋体"/>
          <w:color w:val="auto"/>
          <w:highlight w:val="none"/>
        </w:rPr>
      </w:pPr>
    </w:p>
    <w:p w14:paraId="5C107424">
      <w:pPr>
        <w:pStyle w:val="3"/>
        <w:pageBreakBefore w:val="0"/>
        <w:widowControl w:val="0"/>
        <w:kinsoku/>
        <w:wordWrap/>
        <w:overflowPunct/>
        <w:topLinePunct w:val="0"/>
        <w:autoSpaceDE/>
        <w:autoSpaceDN/>
        <w:bidi w:val="0"/>
        <w:adjustRightInd/>
        <w:snapToGrid/>
        <w:spacing w:before="0" w:after="0" w:line="58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6" w:name="_Toc12415"/>
      <w:r>
        <w:rPr>
          <w:rFonts w:hint="eastAsia" w:ascii="宋体" w:hAnsi="宋体" w:eastAsia="宋体" w:cs="宋体"/>
          <w:color w:val="auto"/>
          <w:highlight w:val="none"/>
        </w:rPr>
        <w:t>第二章  供应商须知</w:t>
      </w:r>
      <w:bookmarkEnd w:id="46"/>
    </w:p>
    <w:p w14:paraId="22DB04F9">
      <w:pPr>
        <w:pStyle w:val="4"/>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color w:val="auto"/>
          <w:highlight w:val="none"/>
        </w:rPr>
      </w:pPr>
      <w:r>
        <w:rPr>
          <w:rFonts w:hint="eastAsia" w:ascii="宋体" w:hAnsi="宋体" w:eastAsia="宋体" w:cs="宋体"/>
          <w:b/>
          <w:color w:val="auto"/>
          <w:sz w:val="30"/>
          <w:szCs w:val="30"/>
          <w:highlight w:val="none"/>
          <w:lang w:val="en-US" w:eastAsia="zh-CN"/>
        </w:rPr>
        <w:t xml:space="preserve"> </w:t>
      </w:r>
      <w:r>
        <w:rPr>
          <w:rFonts w:hint="eastAsia" w:ascii="宋体" w:hAnsi="宋体" w:eastAsia="宋体" w:cs="宋体"/>
          <w:b/>
          <w:color w:val="auto"/>
          <w:sz w:val="30"/>
          <w:szCs w:val="30"/>
          <w:highlight w:val="none"/>
        </w:rPr>
        <w:t>供应商须知前附表</w:t>
      </w:r>
    </w:p>
    <w:tbl>
      <w:tblPr>
        <w:tblStyle w:val="2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43692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tcPr>
          <w:p w14:paraId="79AA89BD">
            <w:pPr>
              <w:keepNext w:val="0"/>
              <w:keepLines w:val="0"/>
              <w:pageBreakBefore w:val="0"/>
              <w:kinsoku/>
              <w:wordWrap/>
              <w:overflowPunct/>
              <w:topLinePunct w:val="0"/>
              <w:bidi w:val="0"/>
              <w:adjustRightInd/>
              <w:spacing w:line="5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7912" w:type="dxa"/>
          </w:tcPr>
          <w:p w14:paraId="687D4073">
            <w:pPr>
              <w:keepNext w:val="0"/>
              <w:keepLines w:val="0"/>
              <w:pageBreakBefore w:val="0"/>
              <w:kinsoku/>
              <w:wordWrap/>
              <w:overflowPunct/>
              <w:topLinePunct w:val="0"/>
              <w:bidi w:val="0"/>
              <w:adjustRightInd/>
              <w:spacing w:line="5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    容</w:t>
            </w:r>
          </w:p>
        </w:tc>
      </w:tr>
      <w:tr w14:paraId="72AED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42076647">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912" w:type="dxa"/>
            <w:vAlign w:val="center"/>
          </w:tcPr>
          <w:p w14:paraId="7085D24E">
            <w:pPr>
              <w:keepNext w:val="0"/>
              <w:keepLines w:val="0"/>
              <w:pageBreakBefore w:val="0"/>
              <w:kinsoku/>
              <w:wordWrap/>
              <w:overflowPunct/>
              <w:topLinePunct w:val="0"/>
              <w:bidi w:val="0"/>
              <w:adjustRightInd/>
              <w:spacing w:line="500" w:lineRule="exact"/>
              <w:rPr>
                <w:rFonts w:hint="eastAsia" w:ascii="宋体" w:hAnsi="宋体" w:eastAsia="宋体" w:cs="宋体"/>
                <w:color w:val="auto"/>
                <w:szCs w:val="21"/>
                <w:highlight w:val="none"/>
                <w:lang w:eastAsia="zh-CN"/>
              </w:rPr>
            </w:pPr>
            <w:r>
              <w:rPr>
                <w:rFonts w:hint="eastAsia" w:ascii="宋体" w:hAnsi="宋体" w:eastAsia="宋体" w:cs="宋体"/>
                <w:bCs/>
                <w:color w:val="auto"/>
                <w:szCs w:val="21"/>
                <w:highlight w:val="none"/>
              </w:rPr>
              <w:t>供应商的资格条件</w:t>
            </w:r>
            <w:r>
              <w:rPr>
                <w:rFonts w:hint="eastAsia" w:ascii="宋体" w:hAnsi="宋体" w:eastAsia="宋体" w:cs="宋体"/>
                <w:color w:val="auto"/>
                <w:szCs w:val="21"/>
                <w:highlight w:val="none"/>
              </w:rPr>
              <w:t>：详见竞争性磋商公告</w:t>
            </w:r>
            <w:r>
              <w:rPr>
                <w:rFonts w:hint="eastAsia" w:ascii="宋体" w:hAnsi="宋体" w:eastAsia="宋体" w:cs="宋体"/>
                <w:color w:val="auto"/>
                <w:szCs w:val="21"/>
                <w:highlight w:val="none"/>
                <w:lang w:eastAsia="zh-CN"/>
              </w:rPr>
              <w:t>。</w:t>
            </w:r>
          </w:p>
        </w:tc>
      </w:tr>
      <w:tr w14:paraId="4CA29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30D98F59">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7912" w:type="dxa"/>
            <w:vAlign w:val="center"/>
          </w:tcPr>
          <w:p w14:paraId="274EA6F1">
            <w:pPr>
              <w:keepNext w:val="0"/>
              <w:keepLines w:val="0"/>
              <w:pageBreakBefore w:val="0"/>
              <w:kinsoku/>
              <w:wordWrap/>
              <w:overflowPunct/>
              <w:topLinePunct w:val="0"/>
              <w:bidi w:val="0"/>
              <w:adjustRightInd/>
              <w:spacing w:line="5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是否接受联合体</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详见竞争性磋商公告</w:t>
            </w:r>
            <w:r>
              <w:rPr>
                <w:rFonts w:hint="eastAsia" w:ascii="宋体" w:hAnsi="宋体" w:eastAsia="宋体" w:cs="宋体"/>
                <w:color w:val="auto"/>
                <w:szCs w:val="21"/>
                <w:highlight w:val="none"/>
                <w:lang w:eastAsia="zh-CN"/>
              </w:rPr>
              <w:t>。</w:t>
            </w:r>
          </w:p>
        </w:tc>
      </w:tr>
      <w:tr w14:paraId="3F144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300841B5">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p>
        </w:tc>
        <w:tc>
          <w:tcPr>
            <w:tcW w:w="7912" w:type="dxa"/>
            <w:vAlign w:val="center"/>
          </w:tcPr>
          <w:p w14:paraId="38FB8B55">
            <w:pPr>
              <w:pStyle w:val="12"/>
              <w:keepNext w:val="0"/>
              <w:keepLines w:val="0"/>
              <w:pageBreakBefore w:val="0"/>
              <w:kinsoku/>
              <w:wordWrap/>
              <w:overflowPunct/>
              <w:topLinePunct w:val="0"/>
              <w:bidi w:val="0"/>
              <w:adjustRightInd/>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☑不允许分包</w:t>
            </w:r>
          </w:p>
          <w:p w14:paraId="0913A2D2">
            <w:pPr>
              <w:pStyle w:val="12"/>
              <w:keepNext w:val="0"/>
              <w:keepLines w:val="0"/>
              <w:pageBreakBefore w:val="0"/>
              <w:kinsoku/>
              <w:wordWrap/>
              <w:overflowPunct/>
              <w:topLinePunct w:val="0"/>
              <w:bidi w:val="0"/>
              <w:adjustRightInd/>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□允许分包</w:t>
            </w:r>
          </w:p>
          <w:p w14:paraId="4C38FBEB">
            <w:pPr>
              <w:pStyle w:val="12"/>
              <w:keepNext w:val="0"/>
              <w:keepLines w:val="0"/>
              <w:pageBreakBefore w:val="0"/>
              <w:kinsoku/>
              <w:wordWrap/>
              <w:overflowPunct/>
              <w:topLinePunct w:val="0"/>
              <w:bidi w:val="0"/>
              <w:adjustRightInd/>
              <w:spacing w:line="5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分包内容：</w:t>
            </w:r>
            <w:r>
              <w:rPr>
                <w:rFonts w:hint="eastAsia" w:ascii="宋体" w:hAnsi="宋体" w:eastAsia="宋体" w:cs="宋体"/>
                <w:color w:val="auto"/>
                <w:szCs w:val="21"/>
                <w:highlight w:val="none"/>
                <w:u w:val="single"/>
              </w:rPr>
              <w:t xml:space="preserve"> / </w:t>
            </w:r>
          </w:p>
          <w:p w14:paraId="6DCE3324">
            <w:pPr>
              <w:pStyle w:val="12"/>
              <w:keepNext w:val="0"/>
              <w:keepLines w:val="0"/>
              <w:pageBreakBefore w:val="0"/>
              <w:kinsoku/>
              <w:wordWrap/>
              <w:overflowPunct/>
              <w:topLinePunct w:val="0"/>
              <w:bidi w:val="0"/>
              <w:adjustRightInd/>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分包金额或者比例：</w:t>
            </w:r>
            <w:r>
              <w:rPr>
                <w:rFonts w:hint="eastAsia" w:ascii="宋体" w:hAnsi="宋体" w:eastAsia="宋体" w:cs="宋体"/>
                <w:color w:val="auto"/>
                <w:szCs w:val="21"/>
                <w:highlight w:val="none"/>
                <w:u w:val="single"/>
              </w:rPr>
              <w:t xml:space="preserve"> / </w:t>
            </w:r>
          </w:p>
        </w:tc>
      </w:tr>
      <w:tr w14:paraId="16AFC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38405BB3">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7912" w:type="dxa"/>
            <w:vAlign w:val="center"/>
          </w:tcPr>
          <w:p w14:paraId="0BFDA42C">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w:t>
            </w:r>
          </w:p>
          <w:p w14:paraId="62AAF497">
            <w:pPr>
              <w:pStyle w:val="12"/>
              <w:keepNext w:val="0"/>
              <w:keepLines w:val="0"/>
              <w:pageBreakBefore w:val="0"/>
              <w:kinsoku/>
              <w:wordWrap/>
              <w:overflowPunct/>
              <w:topLinePunct w:val="0"/>
              <w:bidi w:val="0"/>
              <w:adjustRightInd/>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BF20382">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2.供应商依法缴纳税收的相关材料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kern w:val="2"/>
                <w:sz w:val="21"/>
                <w:szCs w:val="21"/>
                <w:highlight w:val="none"/>
                <w:lang w:val="en-US" w:eastAsia="zh-CN" w:bidi="ar-SA"/>
              </w:rPr>
              <w:t>响应文件提交截止日期之前</w:t>
            </w:r>
            <w:r>
              <w:rPr>
                <w:rFonts w:hint="eastAsia" w:ascii="宋体" w:hAnsi="宋体" w:eastAsia="宋体" w:cs="宋体"/>
                <w:color w:val="auto"/>
                <w:szCs w:val="21"/>
                <w:highlight w:val="none"/>
              </w:rPr>
              <w:t>近半年内任意连续3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10FD2D7">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3.供应商依法缴纳社会保障资金的相关材料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kern w:val="2"/>
                <w:sz w:val="21"/>
                <w:szCs w:val="21"/>
                <w:highlight w:val="none"/>
                <w:lang w:val="en-US" w:eastAsia="zh-CN" w:bidi="ar-SA"/>
              </w:rPr>
              <w:t>响应文件提交截止日期之前</w:t>
            </w:r>
            <w:r>
              <w:rPr>
                <w:rFonts w:hint="eastAsia" w:ascii="宋体" w:hAnsi="宋体" w:eastAsia="宋体" w:cs="宋体"/>
                <w:color w:val="auto"/>
                <w:szCs w:val="21"/>
                <w:highlight w:val="none"/>
              </w:rPr>
              <w:t>近半年内任意连续3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w:t>
            </w:r>
            <w:r>
              <w:rPr>
                <w:rFonts w:hint="eastAsia" w:ascii="宋体" w:hAnsi="宋体" w:eastAsia="宋体" w:cs="宋体"/>
                <w:color w:val="auto"/>
                <w:szCs w:val="21"/>
                <w:highlight w:val="none"/>
                <w:lang w:eastAsia="zh-CN"/>
              </w:rPr>
              <w:t>起</w:t>
            </w:r>
            <w:r>
              <w:rPr>
                <w:rFonts w:hint="eastAsia" w:ascii="宋体" w:hAnsi="宋体" w:eastAsia="宋体" w:cs="宋体"/>
                <w:color w:val="auto"/>
                <w:szCs w:val="21"/>
                <w:highlight w:val="none"/>
              </w:rPr>
              <w:t>依法缴纳社会保障资金的相应证明文件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2BCA975">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4.供应商财务状况报告</w:t>
            </w:r>
            <w:r>
              <w:rPr>
                <w:rFonts w:hint="eastAsia" w:ascii="宋体" w:hAnsi="宋体" w:eastAsia="宋体" w:cs="宋体"/>
                <w:color w:val="auto"/>
                <w:szCs w:val="21"/>
                <w:highlight w:val="none"/>
                <w:lang w:eastAsia="zh-CN"/>
              </w:rPr>
              <w:t>：</w:t>
            </w:r>
            <w:r>
              <w:rPr>
                <w:rFonts w:hint="eastAsia" w:ascii="宋体" w:hAnsi="宋体" w:eastAsia="宋体" w:cs="宋体"/>
                <w:b w:val="0"/>
                <w:bCs w:val="0"/>
                <w:color w:val="auto"/>
                <w:szCs w:val="21"/>
                <w:highlight w:val="none"/>
                <w:lang w:eastAsia="zh-CN"/>
              </w:rPr>
              <w:t>（</w:t>
            </w:r>
            <w:r>
              <w:rPr>
                <w:rFonts w:hint="eastAsia" w:ascii="宋体" w:hAnsi="宋体" w:eastAsia="宋体" w:cs="宋体"/>
                <w:b/>
                <w:bCs/>
                <w:color w:val="auto"/>
                <w:szCs w:val="21"/>
                <w:highlight w:val="none"/>
              </w:rPr>
              <w:t>2024年</w:t>
            </w:r>
            <w:r>
              <w:rPr>
                <w:rFonts w:hint="eastAsia" w:ascii="宋体" w:hAnsi="宋体" w:cs="宋体"/>
                <w:b/>
                <w:bCs/>
                <w:color w:val="auto"/>
                <w:szCs w:val="21"/>
                <w:highlight w:val="none"/>
                <w:lang w:val="en-US" w:eastAsia="zh-CN"/>
              </w:rPr>
              <w:t>或2025年</w:t>
            </w:r>
            <w:r>
              <w:rPr>
                <w:rFonts w:hint="eastAsia" w:ascii="宋体" w:hAnsi="宋体" w:eastAsia="宋体" w:cs="宋体"/>
                <w:b w:val="0"/>
                <w:bCs w:val="0"/>
                <w:color w:val="auto"/>
                <w:szCs w:val="21"/>
                <w:highlight w:val="none"/>
                <w:lang w:eastAsia="zh-CN"/>
              </w:rPr>
              <w:t>）</w:t>
            </w:r>
            <w:r>
              <w:rPr>
                <w:rFonts w:hint="eastAsia" w:ascii="宋体" w:hAnsi="宋体" w:eastAsia="宋体" w:cs="宋体"/>
                <w:color w:val="auto"/>
                <w:szCs w:val="21"/>
                <w:highlight w:val="none"/>
              </w:rPr>
              <w:t>财务报表复印件；供应商成立不满一年的应按提供首次响应文件提交截止时间上一个月的财务报表报告复印件。（上述财务报表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Cs/>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bCs/>
                <w:color w:val="auto"/>
                <w:szCs w:val="21"/>
                <w:highlight w:val="none"/>
              </w:rPr>
              <w:t>）</w:t>
            </w:r>
          </w:p>
          <w:p w14:paraId="01BE87E1">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5.供应商直接控股、管理关系信息表（格式后附）；（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75B4286D">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6.竞标声明（格式后附）；（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FA9F48A">
            <w:pPr>
              <w:keepNext w:val="0"/>
              <w:keepLines w:val="0"/>
              <w:pageBreakBefore w:val="0"/>
              <w:widowControl w:val="0"/>
              <w:kinsoku/>
              <w:wordWrap/>
              <w:overflowPunct/>
              <w:topLinePunct w:val="0"/>
              <w:bidi w:val="0"/>
              <w:adjustRightInd/>
              <w:snapToGrid w:val="0"/>
              <w:spacing w:line="5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竞争性磋商公告对应的特定资格要求及特定条件的资格证明材料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供应商须</w:t>
            </w:r>
            <w:r>
              <w:rPr>
                <w:rFonts w:hint="eastAsia" w:ascii="宋体" w:hAnsi="宋体" w:cs="宋体"/>
                <w:color w:val="auto"/>
                <w:szCs w:val="21"/>
                <w:highlight w:val="none"/>
                <w:lang w:val="en-US" w:eastAsia="zh-CN"/>
              </w:rPr>
              <w:t>具有</w:t>
            </w:r>
            <w:r>
              <w:rPr>
                <w:rFonts w:hint="eastAsia" w:ascii="宋体" w:hAnsi="宋体" w:eastAsia="宋体" w:cs="宋体"/>
                <w:color w:val="auto"/>
                <w:szCs w:val="21"/>
                <w:highlight w:val="none"/>
              </w:rPr>
              <w:t>国家卫生行政主管部门颁发的有效的《医疗机构执业许可证》；</w:t>
            </w:r>
            <w:r>
              <w:rPr>
                <w:rFonts w:hint="eastAsia" w:ascii="宋体" w:hAnsi="宋体" w:eastAsia="宋体" w:cs="宋体"/>
                <w:b w:val="0"/>
                <w:bCs w:val="0"/>
                <w:color w:val="auto"/>
                <w:szCs w:val="21"/>
                <w:highlight w:val="none"/>
              </w:rPr>
              <w:t>（</w:t>
            </w:r>
            <w:r>
              <w:rPr>
                <w:rFonts w:hint="eastAsia" w:ascii="宋体" w:hAnsi="宋体" w:eastAsia="宋体" w:cs="宋体"/>
                <w:b/>
                <w:bCs/>
                <w:color w:val="auto"/>
                <w:szCs w:val="21"/>
                <w:highlight w:val="none"/>
              </w:rPr>
              <w:t>必须提供，否则响应文件按无效响应处理</w:t>
            </w:r>
            <w:r>
              <w:rPr>
                <w:rFonts w:hint="eastAsia" w:ascii="宋体" w:hAnsi="宋体" w:eastAsia="宋体" w:cs="宋体"/>
                <w:b w:val="0"/>
                <w:bCs w:val="0"/>
                <w:color w:val="auto"/>
                <w:szCs w:val="21"/>
                <w:highlight w:val="none"/>
              </w:rPr>
              <w:t>）</w:t>
            </w:r>
          </w:p>
          <w:p w14:paraId="60E502A3">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.除磋商文件规定必须提供以外，供应商认为需要提供的其他证明材料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如有，请提供</w:t>
            </w:r>
            <w:r>
              <w:rPr>
                <w:rFonts w:hint="eastAsia" w:ascii="宋体" w:hAnsi="宋体" w:eastAsia="宋体" w:cs="宋体"/>
                <w:color w:val="auto"/>
                <w:szCs w:val="21"/>
                <w:highlight w:val="none"/>
              </w:rPr>
              <w:t>）</w:t>
            </w:r>
          </w:p>
          <w:p w14:paraId="62E594BB">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注：以上标明“必须提供”的材料属于复印件的扫描件的，必须加盖供应商电子公章，否则响应文件按无效响应处理。</w:t>
            </w:r>
          </w:p>
        </w:tc>
      </w:tr>
      <w:tr w14:paraId="5F736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Merge w:val="restart"/>
            <w:vAlign w:val="center"/>
          </w:tcPr>
          <w:p w14:paraId="220A90A7">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7912" w:type="dxa"/>
            <w:vAlign w:val="center"/>
          </w:tcPr>
          <w:p w14:paraId="160C5260">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商务文件</w:t>
            </w:r>
          </w:p>
          <w:p w14:paraId="2A984EAC">
            <w:pPr>
              <w:keepNext w:val="0"/>
              <w:keepLines w:val="0"/>
              <w:pageBreakBefore w:val="0"/>
              <w:kinsoku/>
              <w:wordWrap/>
              <w:overflowPunct/>
              <w:topLinePunct w:val="0"/>
              <w:bidi w:val="0"/>
              <w:adjustRightInd/>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FEADD06">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w:t>
            </w:r>
            <w:r>
              <w:rPr>
                <w:rFonts w:hint="eastAsia" w:ascii="宋体" w:hAnsi="宋体" w:eastAsia="宋体" w:cs="宋体"/>
                <w:b/>
                <w:bCs/>
                <w:color w:val="auto"/>
                <w:szCs w:val="21"/>
                <w:highlight w:val="none"/>
              </w:rPr>
              <w:t>除自然人竞标外</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其他供应商</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6D50E6C">
            <w:pPr>
              <w:keepNext w:val="0"/>
              <w:keepLines w:val="0"/>
              <w:pageBreakBefore w:val="0"/>
              <w:kinsoku/>
              <w:wordWrap/>
              <w:overflowPunct/>
              <w:topLinePunct w:val="0"/>
              <w:bidi w:val="0"/>
              <w:adjustRightInd/>
              <w:spacing w:line="50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3.法定代表人授权委托书及委托代理人有效身份证正反面复印件（格式后附）；（</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7982C1AA">
            <w:pPr>
              <w:keepNext w:val="0"/>
              <w:keepLines w:val="0"/>
              <w:pageBreakBefore w:val="0"/>
              <w:kinsoku/>
              <w:wordWrap/>
              <w:overflowPunct/>
              <w:topLinePunct w:val="0"/>
              <w:bidi w:val="0"/>
              <w:adjustRightInd/>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4.商务条款偏离表（格式后附）；（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1F065DD">
            <w:pPr>
              <w:keepNext w:val="0"/>
              <w:keepLines w:val="0"/>
              <w:pageBreakBefore w:val="0"/>
              <w:kinsoku/>
              <w:wordWrap/>
              <w:overflowPunct/>
              <w:topLinePunct w:val="0"/>
              <w:bidi w:val="0"/>
              <w:adjustRightInd/>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5.磋商保证金提交凭证；（</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8013253">
            <w:pPr>
              <w:keepNext w:val="0"/>
              <w:keepLines w:val="0"/>
              <w:pageBreakBefore w:val="0"/>
              <w:kinsoku/>
              <w:wordWrap/>
              <w:overflowPunct/>
              <w:topLinePunct w:val="0"/>
              <w:bidi w:val="0"/>
              <w:adjustRightInd/>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6.供应商认为需要提供的其他有关资料。（</w:t>
            </w:r>
            <w:r>
              <w:rPr>
                <w:rFonts w:hint="eastAsia" w:ascii="宋体" w:hAnsi="宋体" w:eastAsia="宋体" w:cs="宋体"/>
                <w:b/>
                <w:bCs/>
                <w:color w:val="auto"/>
                <w:szCs w:val="21"/>
                <w:highlight w:val="none"/>
              </w:rPr>
              <w:t>如有，请提供</w:t>
            </w:r>
            <w:r>
              <w:rPr>
                <w:rFonts w:hint="eastAsia" w:ascii="宋体" w:hAnsi="宋体" w:eastAsia="宋体" w:cs="宋体"/>
                <w:color w:val="auto"/>
                <w:szCs w:val="21"/>
                <w:highlight w:val="none"/>
              </w:rPr>
              <w:t>）</w:t>
            </w:r>
          </w:p>
          <w:p w14:paraId="0ADB8909">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rPr>
              <w:t>注：</w:t>
            </w:r>
            <w:r>
              <w:rPr>
                <w:rFonts w:hint="eastAsia" w:ascii="宋体" w:hAnsi="宋体" w:eastAsia="宋体" w:cs="宋体"/>
                <w:b/>
                <w:color w:val="auto"/>
                <w:kern w:val="2"/>
                <w:sz w:val="21"/>
                <w:szCs w:val="21"/>
                <w:highlight w:val="none"/>
              </w:rPr>
              <w:t>以上标明“必须提供”的材料属于复印件的扫描件的，必须加盖供应商电子公章，否则响应文件按无效响应处理。</w:t>
            </w:r>
          </w:p>
        </w:tc>
      </w:tr>
      <w:tr w14:paraId="73263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Merge w:val="continue"/>
            <w:vAlign w:val="center"/>
          </w:tcPr>
          <w:p w14:paraId="3C68A89F">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Cs w:val="21"/>
                <w:highlight w:val="none"/>
              </w:rPr>
            </w:pPr>
          </w:p>
        </w:tc>
        <w:tc>
          <w:tcPr>
            <w:tcW w:w="7912" w:type="dxa"/>
            <w:vAlign w:val="center"/>
          </w:tcPr>
          <w:p w14:paraId="7794E073">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技术文件</w:t>
            </w:r>
          </w:p>
          <w:p w14:paraId="20B365A2">
            <w:pPr>
              <w:keepNext w:val="0"/>
              <w:keepLines w:val="0"/>
              <w:pageBreakBefore w:val="0"/>
              <w:kinsoku/>
              <w:wordWrap/>
              <w:overflowPunct/>
              <w:topLinePunct w:val="0"/>
              <w:bidi w:val="0"/>
              <w:adjustRightInd/>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技术要求偏离表</w:t>
            </w:r>
            <w:r>
              <w:rPr>
                <w:rFonts w:hint="eastAsia" w:ascii="宋体" w:hAnsi="宋体" w:eastAsia="宋体" w:cs="宋体"/>
                <w:color w:val="auto"/>
                <w:szCs w:val="21"/>
                <w:highlight w:val="none"/>
              </w:rPr>
              <w:t>（格式后附）；（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E47FF0E">
            <w:pPr>
              <w:keepNext w:val="0"/>
              <w:keepLines w:val="0"/>
              <w:pageBreakBefore w:val="0"/>
              <w:kinsoku/>
              <w:wordWrap/>
              <w:overflowPunct/>
              <w:topLinePunct w:val="0"/>
              <w:bidi w:val="0"/>
              <w:adjustRightInd/>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2.服务方案；（</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708C730">
            <w:pPr>
              <w:keepNext w:val="0"/>
              <w:keepLines w:val="0"/>
              <w:pageBreakBefore w:val="0"/>
              <w:kinsoku/>
              <w:wordWrap/>
              <w:overflowPunct/>
              <w:topLinePunct w:val="0"/>
              <w:bidi w:val="0"/>
              <w:adjustRightInd/>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3.项目实施人员一览表（格式后附）；（</w:t>
            </w:r>
            <w:r>
              <w:rPr>
                <w:rFonts w:hint="eastAsia" w:ascii="宋体" w:hAnsi="宋体" w:eastAsia="宋体" w:cs="宋体"/>
                <w:b/>
                <w:bCs/>
                <w:color w:val="auto"/>
                <w:szCs w:val="21"/>
                <w:highlight w:val="none"/>
              </w:rPr>
              <w:t>如有，请提供</w:t>
            </w:r>
            <w:r>
              <w:rPr>
                <w:rFonts w:hint="eastAsia" w:ascii="宋体" w:hAnsi="宋体" w:eastAsia="宋体" w:cs="宋体"/>
                <w:color w:val="auto"/>
                <w:szCs w:val="21"/>
                <w:highlight w:val="none"/>
              </w:rPr>
              <w:t>）</w:t>
            </w:r>
          </w:p>
          <w:p w14:paraId="1E14874E">
            <w:pPr>
              <w:keepNext w:val="0"/>
              <w:keepLines w:val="0"/>
              <w:pageBreakBefore w:val="0"/>
              <w:kinsoku/>
              <w:wordWrap/>
              <w:overflowPunct/>
              <w:topLinePunct w:val="0"/>
              <w:bidi w:val="0"/>
              <w:adjustRightInd/>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4.供应商认为需要提供的其他有关资料。（</w:t>
            </w:r>
            <w:r>
              <w:rPr>
                <w:rFonts w:hint="eastAsia" w:ascii="宋体" w:hAnsi="宋体" w:eastAsia="宋体" w:cs="宋体"/>
                <w:b/>
                <w:bCs/>
                <w:color w:val="auto"/>
                <w:szCs w:val="21"/>
                <w:highlight w:val="none"/>
              </w:rPr>
              <w:t>如有，请提供</w:t>
            </w:r>
            <w:r>
              <w:rPr>
                <w:rFonts w:hint="eastAsia" w:ascii="宋体" w:hAnsi="宋体" w:eastAsia="宋体" w:cs="宋体"/>
                <w:color w:val="auto"/>
                <w:szCs w:val="21"/>
                <w:highlight w:val="none"/>
              </w:rPr>
              <w:t>）</w:t>
            </w:r>
          </w:p>
          <w:p w14:paraId="44268658">
            <w:pPr>
              <w:keepNext w:val="0"/>
              <w:keepLines w:val="0"/>
              <w:pageBreakBefore w:val="0"/>
              <w:kinsoku/>
              <w:wordWrap/>
              <w:overflowPunct/>
              <w:topLinePunct w:val="0"/>
              <w:bidi w:val="0"/>
              <w:adjustRightInd/>
              <w:spacing w:line="500" w:lineRule="exact"/>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注：1.以上标明“必须提供”的材料属于复印件的扫描件的，必须加盖供应商电子公章，否则响应文件按无效响应处理。</w:t>
            </w:r>
          </w:p>
        </w:tc>
      </w:tr>
      <w:tr w14:paraId="22FD9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3E9B15C2">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7912" w:type="dxa"/>
            <w:vAlign w:val="center"/>
          </w:tcPr>
          <w:p w14:paraId="1A147595">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报价文件</w:t>
            </w:r>
          </w:p>
          <w:p w14:paraId="6815A442">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BA37947">
            <w:pPr>
              <w:keepNext w:val="0"/>
              <w:keepLines w:val="0"/>
              <w:pageBreakBefore w:val="0"/>
              <w:kinsoku/>
              <w:wordWrap/>
              <w:overflowPunct/>
              <w:topLinePunct w:val="0"/>
              <w:bidi w:val="0"/>
              <w:adjustRightInd/>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A66878D">
            <w:pPr>
              <w:keepNext w:val="0"/>
              <w:keepLines w:val="0"/>
              <w:pageBreakBefore w:val="0"/>
              <w:kinsoku/>
              <w:wordWrap/>
              <w:overflowPunct/>
              <w:topLinePunct w:val="0"/>
              <w:bidi w:val="0"/>
              <w:adjustRightInd/>
              <w:spacing w:line="5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3.中小企业声明函或者残疾人福利性单位声明函或者供应商属于监狱企业的证明材料。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如有，请提供</w:t>
            </w:r>
            <w:r>
              <w:rPr>
                <w:rFonts w:hint="eastAsia" w:ascii="宋体" w:hAnsi="宋体" w:eastAsia="宋体" w:cs="宋体"/>
                <w:color w:val="auto"/>
                <w:szCs w:val="21"/>
                <w:highlight w:val="none"/>
              </w:rPr>
              <w:t>）</w:t>
            </w:r>
          </w:p>
          <w:p w14:paraId="2C2270B5">
            <w:pPr>
              <w:pStyle w:val="22"/>
              <w:keepNext w:val="0"/>
              <w:keepLines w:val="0"/>
              <w:pageBreakBefore w:val="0"/>
              <w:kinsoku/>
              <w:wordWrap/>
              <w:overflowPunct/>
              <w:topLinePunct w:val="0"/>
              <w:bidi w:val="0"/>
              <w:adjustRightInd/>
              <w:spacing w:line="50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注：以上标明“必须提供”的材料属于复印件的扫描件的，必须加盖供应商电子公章，否则响应文件按无效响应处理。</w:t>
            </w:r>
          </w:p>
        </w:tc>
      </w:tr>
      <w:tr w14:paraId="3F6A5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64ECC62A">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7912" w:type="dxa"/>
            <w:vAlign w:val="center"/>
          </w:tcPr>
          <w:p w14:paraId="3C49226F">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文件“第五章 响应文件格式”编写（第五章未附格式的，由供应商自行拟定），不可涂改并在规定加盖公章处加盖电子公章，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55452137">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2.响应文件电子版密封方式：电子响应文件通过平台有效CA加密后在“广西政府采购云平台”投送。（操作方式见公告附件“电子响应文件制作与投送教程”）</w:t>
            </w:r>
          </w:p>
        </w:tc>
      </w:tr>
      <w:tr w14:paraId="66800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18139267">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7912" w:type="dxa"/>
            <w:vAlign w:val="center"/>
          </w:tcPr>
          <w:p w14:paraId="329A9D0E">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w:t>
            </w:r>
            <w:r>
              <w:rPr>
                <w:rFonts w:hint="eastAsia" w:ascii="宋体" w:hAnsi="宋体" w:eastAsia="宋体" w:cs="宋体"/>
                <w:color w:val="auto"/>
                <w:kern w:val="2"/>
                <w:sz w:val="21"/>
                <w:szCs w:val="21"/>
                <w:highlight w:val="none"/>
                <w:lang w:val="en-US" w:eastAsia="zh-CN" w:bidi="ar"/>
              </w:rPr>
              <w:t>报价是</w:t>
            </w:r>
            <w:r>
              <w:rPr>
                <w:rFonts w:hint="eastAsia" w:ascii="宋体" w:hAnsi="宋体" w:eastAsia="宋体" w:cs="宋体"/>
                <w:color w:val="auto"/>
                <w:szCs w:val="21"/>
                <w:highlight w:val="none"/>
              </w:rPr>
              <w:t>履行合同的最终价格，本项目为整体服务包干项目，报价中包含所有服务内容，成交后采购人不再另行支付额外费用。</w:t>
            </w:r>
          </w:p>
          <w:p w14:paraId="354FC559">
            <w:pPr>
              <w:keepNext w:val="0"/>
              <w:keepLines w:val="0"/>
              <w:pageBreakBefore w:val="0"/>
              <w:kinsoku/>
              <w:wordWrap/>
              <w:overflowPunct/>
              <w:topLinePunct w:val="0"/>
              <w:bidi w:val="0"/>
              <w:adjustRightInd/>
              <w:snapToGrid w:val="0"/>
              <w:spacing w:line="50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竞标报价包含验收费用</w:t>
            </w:r>
          </w:p>
          <w:p w14:paraId="0B212C5D">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□竞标报价不包含验收费用</w:t>
            </w:r>
          </w:p>
        </w:tc>
      </w:tr>
      <w:tr w14:paraId="3663B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6B9BBF56">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7912" w:type="dxa"/>
            <w:vAlign w:val="center"/>
          </w:tcPr>
          <w:p w14:paraId="131E7347">
            <w:pPr>
              <w:pStyle w:val="10"/>
              <w:keepNext w:val="0"/>
              <w:keepLines w:val="0"/>
              <w:pageBreakBefore w:val="0"/>
              <w:widowControl w:val="0"/>
              <w:tabs>
                <w:tab w:val="clear" w:pos="454"/>
              </w:tabs>
              <w:kinsoku/>
              <w:wordWrap/>
              <w:overflowPunct/>
              <w:topLinePunct w:val="0"/>
              <w:bidi w:val="0"/>
              <w:adjustRightInd/>
              <w:snapToGrid w:val="0"/>
              <w:spacing w:after="0" w:afterLines="0" w:line="500" w:lineRule="exact"/>
              <w:ind w:left="284" w:hanging="283" w:hangingChars="13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竞标有效期：自首次响应文件提交截止之日起</w:t>
            </w:r>
            <w:r>
              <w:rPr>
                <w:rFonts w:hint="eastAsia" w:ascii="宋体" w:hAnsi="宋体" w:eastAsia="宋体" w:cs="宋体"/>
                <w:color w:val="auto"/>
                <w:kern w:val="2"/>
                <w:sz w:val="21"/>
                <w:szCs w:val="21"/>
                <w:highlight w:val="none"/>
                <w:u w:val="single"/>
              </w:rPr>
              <w:t>60</w:t>
            </w:r>
            <w:r>
              <w:rPr>
                <w:rFonts w:hint="eastAsia" w:ascii="宋体" w:hAnsi="宋体" w:eastAsia="宋体" w:cs="宋体"/>
                <w:color w:val="auto"/>
                <w:kern w:val="2"/>
                <w:sz w:val="21"/>
                <w:szCs w:val="21"/>
                <w:highlight w:val="none"/>
              </w:rPr>
              <w:t>日。</w:t>
            </w:r>
          </w:p>
        </w:tc>
      </w:tr>
      <w:tr w14:paraId="24B82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3D0D7599">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7912" w:type="dxa"/>
            <w:vAlign w:val="center"/>
          </w:tcPr>
          <w:p w14:paraId="324AF901">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磋商保证金的交纳方式：详见竞争性磋商公告。</w:t>
            </w:r>
          </w:p>
          <w:p w14:paraId="543C0D87">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磋商保证金的金额：详见竞争性磋商公告。</w:t>
            </w:r>
          </w:p>
          <w:p w14:paraId="31528435">
            <w:pPr>
              <w:keepNext w:val="0"/>
              <w:keepLines w:val="0"/>
              <w:pageBreakBefore w:val="0"/>
              <w:kinsoku/>
              <w:wordWrap/>
              <w:overflowPunct/>
              <w:topLinePunct w:val="0"/>
              <w:bidi w:val="0"/>
              <w:adjustRightInd/>
              <w:snapToGrid w:val="0"/>
              <w:spacing w:line="50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相关要求：</w:t>
            </w:r>
            <w:r>
              <w:rPr>
                <w:rFonts w:hint="eastAsia" w:ascii="宋体" w:hAnsi="宋体" w:eastAsia="宋体" w:cs="宋体"/>
                <w:color w:val="auto"/>
                <w:kern w:val="0"/>
                <w:highlight w:val="none"/>
              </w:rPr>
              <w:t>详见</w:t>
            </w:r>
            <w:r>
              <w:rPr>
                <w:rFonts w:hint="eastAsia" w:ascii="宋体" w:hAnsi="宋体" w:eastAsia="宋体" w:cs="宋体"/>
                <w:color w:val="auto"/>
                <w:highlight w:val="none"/>
              </w:rPr>
              <w:t>竞争性磋商公告</w:t>
            </w:r>
            <w:r>
              <w:rPr>
                <w:rFonts w:hint="eastAsia" w:ascii="宋体" w:hAnsi="宋体" w:eastAsia="宋体" w:cs="宋体"/>
                <w:color w:val="auto"/>
                <w:szCs w:val="21"/>
                <w:highlight w:val="none"/>
              </w:rPr>
              <w:t>。</w:t>
            </w:r>
          </w:p>
          <w:p w14:paraId="47BA6617">
            <w:pPr>
              <w:keepNext w:val="0"/>
              <w:keepLines w:val="0"/>
              <w:pageBreakBefore w:val="0"/>
              <w:kinsoku/>
              <w:wordWrap/>
              <w:overflowPunct/>
              <w:topLinePunct w:val="0"/>
              <w:bidi w:val="0"/>
              <w:adjustRightInd/>
              <w:snapToGrid w:val="0"/>
              <w:spacing w:line="5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0C27D722">
            <w:pPr>
              <w:keepNext w:val="0"/>
              <w:keepLines w:val="0"/>
              <w:pageBreakBefore w:val="0"/>
              <w:kinsoku/>
              <w:wordWrap/>
              <w:overflowPunct/>
              <w:topLinePunct w:val="0"/>
              <w:bidi w:val="0"/>
              <w:adjustRightInd/>
              <w:snapToGrid w:val="0"/>
              <w:spacing w:line="5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1.响应文件提交截止时间后提交的，或者未足额交纳的，或者保函额度不足的，视为无效磋商保证金。</w:t>
            </w:r>
          </w:p>
          <w:p w14:paraId="10704458">
            <w:pPr>
              <w:keepNext w:val="0"/>
              <w:keepLines w:val="0"/>
              <w:pageBreakBefore w:val="0"/>
              <w:kinsoku/>
              <w:wordWrap/>
              <w:overflowPunct/>
              <w:topLinePunct w:val="0"/>
              <w:bidi w:val="0"/>
              <w:adjustRightInd/>
              <w:snapToGrid w:val="0"/>
              <w:spacing w:line="5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2.供应商采用现钞方式或者从个人账户（自然人竞标除外）转出的磋商保证金，视为无效磋商保证金。</w:t>
            </w:r>
          </w:p>
          <w:p w14:paraId="1A65F3ED">
            <w:pPr>
              <w:keepNext w:val="0"/>
              <w:keepLines w:val="0"/>
              <w:pageBreakBefore w:val="0"/>
              <w:kinsoku/>
              <w:wordWrap/>
              <w:overflowPunct/>
              <w:topLinePunct w:val="0"/>
              <w:bidi w:val="0"/>
              <w:adjustRightInd/>
              <w:snapToGrid w:val="0"/>
              <w:spacing w:line="5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3.支票、汇票或者本票出现无效或者背书情形的，视为无效磋商保证金。</w:t>
            </w:r>
          </w:p>
          <w:p w14:paraId="1EAF61E1">
            <w:pPr>
              <w:keepNext w:val="0"/>
              <w:keepLines w:val="0"/>
              <w:pageBreakBefore w:val="0"/>
              <w:kinsoku/>
              <w:wordWrap/>
              <w:overflowPunct/>
              <w:topLinePunct w:val="0"/>
              <w:bidi w:val="0"/>
              <w:adjustRightInd/>
              <w:snapToGrid w:val="0"/>
              <w:spacing w:line="5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4.保函有效期低于竞标有效期的，视为无效磋商保证金。</w:t>
            </w:r>
          </w:p>
          <w:p w14:paraId="09280CDE">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5.竞标保证金采用金融、担保机构出具的保函为有条件保函的，视为无效磋商保证金。</w:t>
            </w:r>
          </w:p>
        </w:tc>
      </w:tr>
      <w:tr w14:paraId="1F452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992" w:type="dxa"/>
            <w:vAlign w:val="center"/>
          </w:tcPr>
          <w:p w14:paraId="3A0822C3">
            <w:pPr>
              <w:keepNext w:val="0"/>
              <w:keepLines w:val="0"/>
              <w:pageBreakBefore w:val="0"/>
              <w:kinsoku/>
              <w:wordWrap/>
              <w:overflowPunct/>
              <w:topLinePunct w:val="0"/>
              <w:bidi w:val="0"/>
              <w:adjustRightInd/>
              <w:spacing w:line="500" w:lineRule="exact"/>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19</w:t>
            </w:r>
          </w:p>
        </w:tc>
        <w:tc>
          <w:tcPr>
            <w:tcW w:w="7912" w:type="dxa"/>
            <w:vAlign w:val="center"/>
          </w:tcPr>
          <w:p w14:paraId="68294B0F">
            <w:pPr>
              <w:keepNext w:val="0"/>
              <w:keepLines w:val="0"/>
              <w:pageBreakBefore w:val="0"/>
              <w:kinsoku/>
              <w:wordWrap/>
              <w:overflowPunct/>
              <w:topLinePunct w:val="0"/>
              <w:bidi w:val="0"/>
              <w:adjustRightInd/>
              <w:spacing w:line="500" w:lineRule="exac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本项目不接受</w:t>
            </w:r>
            <w:r>
              <w:rPr>
                <w:rFonts w:hint="eastAsia" w:ascii="宋体" w:hAnsi="宋体" w:eastAsia="宋体" w:cs="宋体"/>
                <w:b w:val="0"/>
                <w:bCs/>
                <w:color w:val="auto"/>
                <w:highlight w:val="none"/>
              </w:rPr>
              <w:t>电子</w:t>
            </w:r>
            <w:r>
              <w:rPr>
                <w:rFonts w:hint="eastAsia" w:ascii="宋体" w:hAnsi="宋体" w:eastAsia="宋体" w:cs="宋体"/>
                <w:b w:val="0"/>
                <w:bCs/>
                <w:color w:val="auto"/>
                <w:szCs w:val="21"/>
                <w:highlight w:val="none"/>
              </w:rPr>
              <w:t>备份响应文件。</w:t>
            </w:r>
          </w:p>
        </w:tc>
      </w:tr>
      <w:tr w14:paraId="491B0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57B00915">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7912" w:type="dxa"/>
            <w:vAlign w:val="center"/>
          </w:tcPr>
          <w:p w14:paraId="13B0F68D">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首次响应文件提交截止时间：详见竞争性磋商公告。</w:t>
            </w:r>
          </w:p>
          <w:p w14:paraId="42266DFE">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首次响应文件提交地点：详见竞争性磋商公告。</w:t>
            </w:r>
          </w:p>
        </w:tc>
      </w:tr>
      <w:tr w14:paraId="6F46B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17C32803">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w:t>
            </w:r>
          </w:p>
        </w:tc>
        <w:tc>
          <w:tcPr>
            <w:tcW w:w="7912" w:type="dxa"/>
            <w:vAlign w:val="center"/>
          </w:tcPr>
          <w:p w14:paraId="42A3DEBD">
            <w:pPr>
              <w:keepNext w:val="0"/>
              <w:keepLines w:val="0"/>
              <w:pageBreakBefore w:val="0"/>
              <w:kinsoku/>
              <w:wordWrap/>
              <w:overflowPunct/>
              <w:topLinePunct w:val="0"/>
              <w:bidi w:val="0"/>
              <w:adjustRightInd/>
              <w:snapToGrid w:val="0"/>
              <w:spacing w:line="500" w:lineRule="exact"/>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磋商小组的人数：</w:t>
            </w:r>
            <w:r>
              <w:rPr>
                <w:rFonts w:hint="eastAsia" w:ascii="宋体" w:hAnsi="宋体" w:eastAsia="宋体" w:cs="宋体"/>
                <w:color w:val="auto"/>
                <w:szCs w:val="21"/>
                <w:highlight w:val="none"/>
                <w:u w:val="single"/>
              </w:rPr>
              <w:t>3</w:t>
            </w:r>
            <w:r>
              <w:rPr>
                <w:rFonts w:hint="eastAsia" w:ascii="宋体" w:hAnsi="宋体" w:eastAsia="宋体" w:cs="宋体"/>
                <w:color w:val="auto"/>
                <w:szCs w:val="21"/>
                <w:highlight w:val="none"/>
              </w:rPr>
              <w:t>人。</w:t>
            </w:r>
          </w:p>
        </w:tc>
      </w:tr>
      <w:tr w14:paraId="14C86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992" w:type="dxa"/>
            <w:vMerge w:val="restart"/>
            <w:vAlign w:val="center"/>
          </w:tcPr>
          <w:p w14:paraId="4780B185">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7912" w:type="dxa"/>
            <w:vAlign w:val="center"/>
          </w:tcPr>
          <w:p w14:paraId="29751F09">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0</w:t>
            </w:r>
            <w:r>
              <w:rPr>
                <w:rFonts w:hint="eastAsia" w:ascii="宋体" w:hAnsi="宋体" w:eastAsia="宋体" w:cs="宋体"/>
                <w:color w:val="auto"/>
                <w:szCs w:val="21"/>
                <w:highlight w:val="none"/>
              </w:rPr>
              <w:t>项。</w:t>
            </w:r>
          </w:p>
          <w:p w14:paraId="4C130D23">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技术要</w:t>
            </w:r>
            <w:r>
              <w:rPr>
                <w:rFonts w:hint="eastAsia" w:ascii="宋体" w:hAnsi="宋体" w:eastAsia="宋体" w:cs="宋体"/>
                <w:color w:val="auto"/>
                <w:szCs w:val="21"/>
                <w:highlight w:val="none"/>
                <w:lang w:eastAsia="zh-CN"/>
              </w:rPr>
              <w:t>求</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rPr>
              <w:t>项。</w:t>
            </w:r>
          </w:p>
        </w:tc>
      </w:tr>
      <w:tr w14:paraId="799D6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Merge w:val="continue"/>
            <w:vAlign w:val="center"/>
          </w:tcPr>
          <w:p w14:paraId="67CA2004">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Cs w:val="21"/>
                <w:highlight w:val="none"/>
              </w:rPr>
            </w:pPr>
          </w:p>
        </w:tc>
        <w:tc>
          <w:tcPr>
            <w:tcW w:w="7912" w:type="dxa"/>
            <w:vAlign w:val="center"/>
          </w:tcPr>
          <w:p w14:paraId="5F3B816C">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144E0707">
            <w:pPr>
              <w:pStyle w:val="12"/>
              <w:keepNext w:val="0"/>
              <w:keepLines w:val="0"/>
              <w:pageBreakBefore w:val="0"/>
              <w:kinsoku/>
              <w:wordWrap/>
              <w:overflowPunct/>
              <w:topLinePunct w:val="0"/>
              <w:bidi w:val="0"/>
              <w:adjustRightInd/>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□按照提交首次响应文件的顺序，通知磋商时，若某供应商不在通知现场时（该供应商排序到最后磋商），按照签到的顺序由其下一位供应商先参与磋商。</w:t>
            </w:r>
          </w:p>
          <w:p w14:paraId="3962DD37">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☑随机排序。</w:t>
            </w:r>
          </w:p>
          <w:p w14:paraId="78608E6F">
            <w:pPr>
              <w:pStyle w:val="12"/>
              <w:keepNext w:val="0"/>
              <w:keepLines w:val="0"/>
              <w:pageBreakBefore w:val="0"/>
              <w:kinsoku/>
              <w:wordWrap/>
              <w:overflowPunct/>
              <w:topLinePunct w:val="0"/>
              <w:bidi w:val="0"/>
              <w:adjustRightInd/>
              <w:spacing w:line="5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参与磋商前，供应商法定代表人或者委托代理人必须通过电脑摄像头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如无法核实磋商对象有效身份证明的，磋商小组将拒绝其磋商。</w:t>
            </w:r>
          </w:p>
        </w:tc>
      </w:tr>
      <w:tr w14:paraId="2C14D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782FA2E0">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w:t>
            </w:r>
          </w:p>
        </w:tc>
        <w:tc>
          <w:tcPr>
            <w:tcW w:w="7912" w:type="dxa"/>
            <w:vAlign w:val="center"/>
          </w:tcPr>
          <w:p w14:paraId="2F525D43">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本项目不收取履约保证金。</w:t>
            </w:r>
          </w:p>
          <w:p w14:paraId="377DCA2F">
            <w:pPr>
              <w:keepNext w:val="0"/>
              <w:keepLines w:val="0"/>
              <w:pageBreakBefore w:val="0"/>
              <w:kinsoku/>
              <w:wordWrap/>
              <w:overflowPunct/>
              <w:topLinePunct w:val="0"/>
              <w:autoSpaceDE w:val="0"/>
              <w:autoSpaceDN w:val="0"/>
              <w:bidi w:val="0"/>
              <w:adjustRightInd/>
              <w:snapToGrid w:val="0"/>
              <w:spacing w:line="5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本项目收取履约保证金，具体规定如下：</w:t>
            </w:r>
          </w:p>
          <w:p w14:paraId="27A4E034">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履约保证金金额：</w:t>
            </w:r>
            <w:r>
              <w:rPr>
                <w:rFonts w:hint="eastAsia" w:ascii="宋体" w:hAnsi="宋体" w:eastAsia="宋体" w:cs="宋体"/>
                <w:color w:val="auto"/>
                <w:sz w:val="21"/>
                <w:szCs w:val="21"/>
                <w:highlight w:val="none"/>
                <w:u w:val="none"/>
                <w:lang w:val="en-US" w:eastAsia="zh-CN"/>
              </w:rPr>
              <w:t>按本项目成交总金额的</w:t>
            </w:r>
            <w:r>
              <w:rPr>
                <w:rFonts w:hint="eastAsia" w:ascii="宋体" w:hAnsi="宋体" w:eastAsia="宋体" w:cs="宋体"/>
                <w:color w:val="auto"/>
                <w:szCs w:val="21"/>
                <w:highlight w:val="none"/>
                <w:u w:val="none"/>
                <w:lang w:val="en-US" w:eastAsia="zh-CN"/>
              </w:rPr>
              <w:t>5%</w:t>
            </w:r>
            <w:r>
              <w:rPr>
                <w:rFonts w:hint="eastAsia" w:ascii="宋体" w:hAnsi="宋体" w:eastAsia="宋体" w:cs="宋体"/>
                <w:color w:val="auto"/>
                <w:szCs w:val="21"/>
                <w:highlight w:val="none"/>
                <w:u w:val="none"/>
              </w:rPr>
              <w:t>（如</w:t>
            </w:r>
            <w:r>
              <w:rPr>
                <w:rFonts w:hint="eastAsia" w:ascii="宋体" w:hAnsi="宋体" w:eastAsia="宋体" w:cs="宋体"/>
                <w:color w:val="auto"/>
                <w:szCs w:val="21"/>
                <w:highlight w:val="none"/>
                <w:u w:val="none"/>
                <w:lang w:val="en-US" w:eastAsia="zh-CN"/>
              </w:rPr>
              <w:t>成交供应商</w:t>
            </w:r>
            <w:r>
              <w:rPr>
                <w:rFonts w:hint="eastAsia" w:ascii="宋体" w:hAnsi="宋体" w:eastAsia="宋体" w:cs="宋体"/>
                <w:color w:val="auto"/>
                <w:szCs w:val="21"/>
                <w:highlight w:val="none"/>
                <w:u w:val="none"/>
              </w:rPr>
              <w:t>为中小企业，履约保证金为合同价款的2%）</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lang w:val="en-US" w:eastAsia="zh-CN"/>
              </w:rPr>
              <w:t>成交</w:t>
            </w:r>
            <w:r>
              <w:rPr>
                <w:rFonts w:hint="eastAsia" w:ascii="宋体" w:hAnsi="宋体" w:eastAsia="宋体" w:cs="宋体"/>
                <w:color w:val="auto"/>
                <w:szCs w:val="21"/>
                <w:highlight w:val="none"/>
                <w:u w:val="none"/>
              </w:rPr>
              <w:t>供应商在签订合同前</w:t>
            </w:r>
            <w:r>
              <w:rPr>
                <w:rFonts w:hint="eastAsia" w:ascii="宋体" w:hAnsi="宋体" w:eastAsia="宋体" w:cs="宋体"/>
                <w:color w:val="auto"/>
                <w:szCs w:val="21"/>
                <w:highlight w:val="none"/>
                <w:u w:val="none"/>
                <w:lang w:val="en-US" w:eastAsia="zh-CN"/>
              </w:rPr>
              <w:t>7个工作日</w:t>
            </w:r>
            <w:r>
              <w:rPr>
                <w:rFonts w:hint="eastAsia" w:ascii="宋体" w:hAnsi="宋体" w:eastAsia="宋体" w:cs="宋体"/>
                <w:color w:val="auto"/>
                <w:szCs w:val="21"/>
                <w:highlight w:val="none"/>
                <w:u w:val="none"/>
              </w:rPr>
              <w:t>交至指定账户</w:t>
            </w:r>
            <w:r>
              <w:rPr>
                <w:rFonts w:hint="eastAsia" w:ascii="宋体" w:hAnsi="宋体" w:eastAsia="宋体" w:cs="宋体"/>
                <w:color w:val="auto"/>
                <w:szCs w:val="21"/>
                <w:highlight w:val="none"/>
              </w:rPr>
              <w:t>。</w:t>
            </w:r>
          </w:p>
          <w:p w14:paraId="0E03256D">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rPr>
              <w:t>履约保证金提交方式</w:t>
            </w:r>
            <w:r>
              <w:rPr>
                <w:rFonts w:hint="eastAsia" w:ascii="宋体" w:hAnsi="宋体" w:eastAsia="宋体" w:cs="宋体"/>
                <w:color w:val="auto"/>
                <w:szCs w:val="21"/>
                <w:highlight w:val="none"/>
                <w:u w:val="none"/>
              </w:rPr>
              <w:t>：</w:t>
            </w:r>
            <w:r>
              <w:rPr>
                <w:rFonts w:hint="eastAsia"/>
                <w:color w:val="auto"/>
                <w:lang w:val="en-US" w:eastAsia="zh-CN"/>
              </w:rPr>
              <w:t>现金、银行转账或银行保函等形式</w:t>
            </w:r>
          </w:p>
          <w:p w14:paraId="5A7F1A43">
            <w:pPr>
              <w:keepNext w:val="0"/>
              <w:keepLines w:val="0"/>
              <w:pageBreakBefore w:val="0"/>
              <w:widowControl/>
              <w:suppressLineNumbers w:val="0"/>
              <w:kinsoku/>
              <w:wordWrap/>
              <w:overflowPunct/>
              <w:topLinePunct w:val="0"/>
              <w:bidi w:val="0"/>
              <w:adjustRightInd/>
              <w:snapToGrid w:val="0"/>
              <w:spacing w:before="0" w:beforeAutospacing="0" w:afterAutospacing="0" w:line="500" w:lineRule="exact"/>
              <w:ind w:left="0" w:right="0"/>
              <w:jc w:val="left"/>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szCs w:val="21"/>
                <w:highlight w:val="none"/>
                <w:u w:val="none"/>
              </w:rPr>
              <w:t>履约保证金退付方式、时间及条件：在成交供应商按合同履约完毕并验收合格，由成交供应商向采购人提供《政府采购项目履约保证金退付意见书》及《广西壮族自治区政府采购项目合同验收书》，采购人在收到合格材料后5个工作日内进行核对，涉及违约的违约金和损失赔偿从履约保证金中扣减，后以银行转账方式退还（不计利息）</w:t>
            </w:r>
            <w:r>
              <w:rPr>
                <w:rFonts w:hint="eastAsia" w:ascii="宋体" w:hAnsi="宋体" w:eastAsia="宋体" w:cs="宋体"/>
                <w:color w:val="auto"/>
                <w:kern w:val="2"/>
                <w:sz w:val="21"/>
                <w:szCs w:val="21"/>
                <w:highlight w:val="none"/>
                <w:u w:val="none"/>
                <w:lang w:val="en-US" w:eastAsia="zh-CN" w:bidi="ar"/>
              </w:rPr>
              <w:t>。</w:t>
            </w:r>
          </w:p>
          <w:p w14:paraId="386DAC9D">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val="en-US" w:eastAsia="zh-CN"/>
              </w:rPr>
              <w:t>采购人收取</w:t>
            </w:r>
            <w:r>
              <w:rPr>
                <w:rFonts w:hint="eastAsia" w:ascii="宋体" w:hAnsi="宋体" w:eastAsia="宋体" w:cs="宋体"/>
                <w:color w:val="auto"/>
                <w:szCs w:val="21"/>
                <w:highlight w:val="none"/>
                <w:u w:val="none"/>
              </w:rPr>
              <w:t>履约保证金指定账户：</w:t>
            </w:r>
          </w:p>
          <w:p w14:paraId="3036B277">
            <w:pPr>
              <w:keepNext w:val="0"/>
              <w:keepLines w:val="0"/>
              <w:pageBreakBefore w:val="0"/>
              <w:widowControl w:val="0"/>
              <w:kinsoku/>
              <w:wordWrap/>
              <w:overflowPunct/>
              <w:topLinePunct w:val="0"/>
              <w:bidi w:val="0"/>
              <w:adjustRightInd/>
              <w:spacing w:line="500" w:lineRule="exact"/>
              <w:ind w:left="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开户名称：</w:t>
            </w:r>
            <w:r>
              <w:rPr>
                <w:rFonts w:hint="eastAsia" w:ascii="宋体" w:hAnsi="宋体" w:eastAsia="宋体" w:cs="宋体"/>
                <w:color w:val="auto"/>
                <w:sz w:val="21"/>
                <w:szCs w:val="21"/>
                <w:highlight w:val="none"/>
                <w:lang w:val="en-US" w:eastAsia="zh-CN"/>
              </w:rPr>
              <w:t>广西财经学院</w:t>
            </w:r>
          </w:p>
          <w:p w14:paraId="6A992A40">
            <w:pPr>
              <w:keepNext w:val="0"/>
              <w:keepLines w:val="0"/>
              <w:pageBreakBefore w:val="0"/>
              <w:widowControl w:val="0"/>
              <w:kinsoku/>
              <w:wordWrap/>
              <w:overflowPunct/>
              <w:topLinePunct w:val="0"/>
              <w:bidi w:val="0"/>
              <w:adjustRightInd/>
              <w:spacing w:line="500" w:lineRule="exact"/>
              <w:ind w:left="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开户银行：</w:t>
            </w:r>
            <w:r>
              <w:rPr>
                <w:rFonts w:hint="eastAsia" w:ascii="宋体" w:hAnsi="宋体" w:eastAsia="宋体" w:cs="宋体"/>
                <w:color w:val="auto"/>
                <w:sz w:val="21"/>
                <w:szCs w:val="21"/>
                <w:highlight w:val="none"/>
                <w:lang w:val="en-US" w:eastAsia="zh-CN"/>
              </w:rPr>
              <w:t>中国银行南宁明秀西路支行</w:t>
            </w:r>
          </w:p>
          <w:p w14:paraId="7798C3B8">
            <w:pPr>
              <w:keepNext w:val="0"/>
              <w:keepLines w:val="0"/>
              <w:pageBreakBefore w:val="0"/>
              <w:widowControl w:val="0"/>
              <w:kinsoku/>
              <w:wordWrap/>
              <w:overflowPunct/>
              <w:topLinePunct w:val="0"/>
              <w:bidi w:val="0"/>
              <w:adjustRightInd/>
              <w:spacing w:line="500" w:lineRule="exact"/>
              <w:ind w:left="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开户行行号：</w:t>
            </w:r>
            <w:r>
              <w:rPr>
                <w:rFonts w:hint="eastAsia" w:ascii="宋体" w:hAnsi="宋体" w:eastAsia="宋体" w:cs="宋体"/>
                <w:color w:val="auto"/>
                <w:sz w:val="21"/>
                <w:szCs w:val="21"/>
                <w:highlight w:val="none"/>
                <w:lang w:val="en-US" w:eastAsia="zh-CN"/>
              </w:rPr>
              <w:t>/</w:t>
            </w:r>
          </w:p>
          <w:p w14:paraId="49ED36C9">
            <w:pPr>
              <w:keepNext w:val="0"/>
              <w:keepLines w:val="0"/>
              <w:pageBreakBefore w:val="0"/>
              <w:widowControl w:val="0"/>
              <w:kinsoku/>
              <w:wordWrap/>
              <w:overflowPunct/>
              <w:topLinePunct w:val="0"/>
              <w:bidi w:val="0"/>
              <w:adjustRightInd/>
              <w:spacing w:line="500" w:lineRule="exact"/>
              <w:ind w:left="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银行账号：</w:t>
            </w:r>
            <w:r>
              <w:rPr>
                <w:rFonts w:hint="eastAsia" w:ascii="宋体" w:hAnsi="宋体" w:eastAsia="宋体" w:cs="宋体"/>
                <w:color w:val="auto"/>
                <w:sz w:val="21"/>
                <w:szCs w:val="21"/>
                <w:highlight w:val="none"/>
                <w:lang w:val="en-US" w:eastAsia="zh-CN"/>
              </w:rPr>
              <w:t>611957485481</w:t>
            </w:r>
          </w:p>
          <w:p w14:paraId="6515502D">
            <w:pPr>
              <w:pStyle w:val="12"/>
              <w:keepNext w:val="0"/>
              <w:keepLines w:val="0"/>
              <w:pageBreakBefore w:val="0"/>
              <w:kinsoku/>
              <w:wordWrap/>
              <w:overflowPunct/>
              <w:topLinePunct w:val="0"/>
              <w:bidi w:val="0"/>
              <w:adjustRightInd/>
              <w:spacing w:line="50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备注：</w:t>
            </w:r>
            <w:r>
              <w:rPr>
                <w:rFonts w:hint="eastAsia" w:ascii="宋体" w:hAnsi="宋体" w:eastAsia="宋体" w:cs="宋体"/>
                <w:color w:val="auto"/>
                <w:szCs w:val="21"/>
                <w:highlight w:val="none"/>
              </w:rPr>
              <w:br w:type="textWrapping"/>
            </w:r>
            <w:r>
              <w:rPr>
                <w:rFonts w:hint="eastAsia" w:ascii="宋体" w:hAnsi="宋体" w:eastAsia="宋体" w:cs="宋体"/>
                <w:b/>
                <w:color w:val="auto"/>
                <w:szCs w:val="21"/>
                <w:highlight w:val="none"/>
              </w:rPr>
              <w:t>1.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r>
              <w:rPr>
                <w:rFonts w:hint="eastAsia" w:ascii="宋体" w:hAnsi="宋体" w:eastAsia="宋体" w:cs="宋体"/>
                <w:b/>
                <w:color w:val="auto"/>
                <w:szCs w:val="21"/>
                <w:highlight w:val="none"/>
              </w:rPr>
              <w:br w:type="textWrapping"/>
            </w:r>
            <w:r>
              <w:rPr>
                <w:rFonts w:hint="eastAsia" w:ascii="宋体" w:hAnsi="宋体" w:eastAsia="宋体" w:cs="宋体"/>
                <w:b/>
                <w:color w:val="auto"/>
                <w:szCs w:val="21"/>
                <w:highlight w:val="none"/>
              </w:rPr>
              <w:t>2.采用金融、担保机构出具保函的，必须为无条件保函，否则视为未按规定提交履约保证金。</w:t>
            </w:r>
          </w:p>
          <w:p w14:paraId="3F4F2994">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3.供应商为联合体的，可由联合体任意一方或者联合体各方共同提交的履约保证金，视为有效履约保证金</w:t>
            </w:r>
            <w:r>
              <w:rPr>
                <w:rFonts w:hint="eastAsia" w:ascii="宋体" w:hAnsi="宋体" w:eastAsia="宋体" w:cs="宋体"/>
                <w:color w:val="auto"/>
                <w:szCs w:val="21"/>
                <w:highlight w:val="none"/>
              </w:rPr>
              <w:t>。</w:t>
            </w:r>
          </w:p>
        </w:tc>
      </w:tr>
      <w:tr w14:paraId="77E98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05F7249A">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7912" w:type="dxa"/>
            <w:vAlign w:val="center"/>
          </w:tcPr>
          <w:p w14:paraId="5DA3FA03">
            <w:pPr>
              <w:keepNext w:val="0"/>
              <w:keepLines w:val="0"/>
              <w:pageBreakBefore w:val="0"/>
              <w:kinsoku/>
              <w:wordWrap/>
              <w:overflowPunct/>
              <w:topLinePunct w:val="0"/>
              <w:autoSpaceDE w:val="0"/>
              <w:autoSpaceDN w:val="0"/>
              <w:bidi w:val="0"/>
              <w:adjustRightInd/>
              <w:snapToGrid w:val="0"/>
              <w:spacing w:line="5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签订合同携带的证明材料：</w:t>
            </w:r>
          </w:p>
          <w:p w14:paraId="0703CF1A">
            <w:pPr>
              <w:keepNext w:val="0"/>
              <w:keepLines w:val="0"/>
              <w:pageBreakBefore w:val="0"/>
              <w:kinsoku/>
              <w:wordWrap/>
              <w:overflowPunct/>
              <w:topLinePunct w:val="0"/>
              <w:autoSpaceDE w:val="0"/>
              <w:autoSpaceDN w:val="0"/>
              <w:bidi w:val="0"/>
              <w:adjustRightInd/>
              <w:snapToGrid w:val="0"/>
              <w:spacing w:line="5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委托代理人负责签订合同的，须携带授权委托书及委托代理人身份证原件等其他资格证件。</w:t>
            </w:r>
          </w:p>
          <w:p w14:paraId="5DEACEF3">
            <w:pPr>
              <w:keepNext w:val="0"/>
              <w:keepLines w:val="0"/>
              <w:pageBreakBefore w:val="0"/>
              <w:kinsoku/>
              <w:wordWrap/>
              <w:overflowPunct/>
              <w:topLinePunct w:val="0"/>
              <w:bidi w:val="0"/>
              <w:adjustRightInd/>
              <w:snapToGrid w:val="0"/>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法定代表人负责签订合同的，须携带法定代表人身份证明原件及身份证原件等其他证明材料。</w:t>
            </w:r>
          </w:p>
        </w:tc>
      </w:tr>
      <w:tr w14:paraId="5CA05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7811496C">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7912" w:type="dxa"/>
            <w:vAlign w:val="center"/>
          </w:tcPr>
          <w:p w14:paraId="307D915A">
            <w:pPr>
              <w:keepNext w:val="0"/>
              <w:keepLines w:val="0"/>
              <w:pageBreakBefore w:val="0"/>
              <w:widowControl w:val="0"/>
              <w:kinsoku/>
              <w:wordWrap/>
              <w:overflowPunct/>
              <w:topLinePunct w:val="0"/>
              <w:bidi w:val="0"/>
              <w:adjustRightInd/>
              <w:snapToGrid w:val="0"/>
              <w:spacing w:line="48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接收质疑函方式：以书面形式。</w:t>
            </w:r>
          </w:p>
          <w:p w14:paraId="50F29C8B">
            <w:pPr>
              <w:pStyle w:val="19"/>
              <w:keepNext w:val="0"/>
              <w:keepLines w:val="0"/>
              <w:pageBreakBefore w:val="0"/>
              <w:widowControl w:val="0"/>
              <w:kinsoku/>
              <w:wordWrap/>
              <w:overflowPunct/>
              <w:topLinePunct w:val="0"/>
              <w:bidi w:val="0"/>
              <w:adjustRightInd/>
              <w:snapToGrid w:val="0"/>
              <w:spacing w:line="480" w:lineRule="exact"/>
              <w:textAlignment w:val="auto"/>
              <w:rPr>
                <w:rFonts w:hint="eastAsia" w:ascii="宋体" w:hAnsi="宋体" w:eastAsia="宋体" w:cs="宋体"/>
                <w:color w:val="auto"/>
                <w:kern w:val="2"/>
                <w:sz w:val="21"/>
                <w:highlight w:val="none"/>
                <w:u w:val="none"/>
              </w:rPr>
            </w:pPr>
            <w:r>
              <w:rPr>
                <w:rFonts w:hint="eastAsia" w:ascii="宋体" w:hAnsi="宋体" w:eastAsia="宋体" w:cs="宋体"/>
                <w:color w:val="auto"/>
                <w:kern w:val="2"/>
                <w:sz w:val="21"/>
                <w:highlight w:val="none"/>
              </w:rPr>
              <w:t>质疑联系部门</w:t>
            </w:r>
            <w:r>
              <w:rPr>
                <w:rFonts w:hint="eastAsia" w:ascii="宋体" w:hAnsi="宋体" w:eastAsia="宋体" w:cs="宋体"/>
                <w:color w:val="auto"/>
                <w:kern w:val="2"/>
                <w:sz w:val="21"/>
                <w:highlight w:val="none"/>
                <w:u w:val="none"/>
              </w:rPr>
              <w:t>及联系方式：广西中信恒泰工程顾问有限公司，联系电话：0771-5776251，通讯地址：南宁市青秀区云景路69号南宁轨道大厦B</w:t>
            </w:r>
            <w:r>
              <w:rPr>
                <w:rFonts w:hint="eastAsia" w:ascii="宋体" w:hAnsi="宋体" w:eastAsia="宋体" w:cs="宋体"/>
                <w:color w:val="auto"/>
                <w:kern w:val="2"/>
                <w:sz w:val="21"/>
                <w:highlight w:val="none"/>
                <w:u w:val="none"/>
                <w:lang w:val="en-US" w:eastAsia="zh-CN"/>
              </w:rPr>
              <w:t>楼</w:t>
            </w:r>
            <w:r>
              <w:rPr>
                <w:rFonts w:hint="eastAsia" w:ascii="宋体" w:hAnsi="宋体" w:eastAsia="宋体" w:cs="宋体"/>
                <w:color w:val="auto"/>
                <w:kern w:val="2"/>
                <w:sz w:val="21"/>
                <w:highlight w:val="none"/>
                <w:u w:val="none"/>
              </w:rPr>
              <w:t>15</w:t>
            </w:r>
            <w:r>
              <w:rPr>
                <w:rFonts w:hint="eastAsia" w:ascii="宋体" w:hAnsi="宋体" w:eastAsia="宋体" w:cs="宋体"/>
                <w:color w:val="auto"/>
                <w:kern w:val="2"/>
                <w:sz w:val="21"/>
                <w:highlight w:val="none"/>
                <w:u w:val="none"/>
                <w:lang w:val="en-US" w:eastAsia="zh-CN"/>
              </w:rPr>
              <w:t>层</w:t>
            </w:r>
            <w:r>
              <w:rPr>
                <w:rFonts w:hint="eastAsia" w:ascii="宋体" w:hAnsi="宋体" w:eastAsia="宋体" w:cs="宋体"/>
                <w:color w:val="auto"/>
                <w:kern w:val="2"/>
                <w:sz w:val="21"/>
                <w:highlight w:val="none"/>
                <w:u w:val="none"/>
                <w:lang w:eastAsia="zh-CN"/>
              </w:rPr>
              <w:t>。</w:t>
            </w:r>
          </w:p>
          <w:p w14:paraId="56AC6E5D">
            <w:pPr>
              <w:keepNext w:val="0"/>
              <w:keepLines w:val="0"/>
              <w:pageBreakBefore w:val="0"/>
              <w:widowControl w:val="0"/>
              <w:kinsoku/>
              <w:wordWrap/>
              <w:overflowPunct/>
              <w:topLinePunct w:val="0"/>
              <w:autoSpaceDE w:val="0"/>
              <w:autoSpaceDN w:val="0"/>
              <w:bidi w:val="0"/>
              <w:adjustRightInd/>
              <w:snapToGrid w:val="0"/>
              <w:spacing w:line="480" w:lineRule="exac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none"/>
              </w:rPr>
              <w:t>业务时间：上午</w:t>
            </w:r>
            <w:r>
              <w:rPr>
                <w:rFonts w:hint="eastAsia" w:ascii="宋体" w:hAnsi="宋体" w:eastAsia="宋体" w:cs="宋体"/>
                <w:color w:val="auto"/>
                <w:highlight w:val="none"/>
                <w:u w:val="none"/>
                <w:lang w:val="en-US" w:eastAsia="zh-CN"/>
              </w:rPr>
              <w:t>08</w:t>
            </w:r>
            <w:r>
              <w:rPr>
                <w:rFonts w:hint="eastAsia" w:ascii="宋体" w:hAnsi="宋体" w:eastAsia="宋体" w:cs="宋体"/>
                <w:color w:val="auto"/>
                <w:highlight w:val="none"/>
                <w:u w:val="none"/>
              </w:rPr>
              <w:t>时</w:t>
            </w:r>
            <w:r>
              <w:rPr>
                <w:rFonts w:hint="eastAsia" w:ascii="宋体" w:hAnsi="宋体" w:eastAsia="宋体" w:cs="宋体"/>
                <w:color w:val="auto"/>
                <w:highlight w:val="none"/>
                <w:u w:val="none"/>
                <w:lang w:val="en-US" w:eastAsia="zh-CN"/>
              </w:rPr>
              <w:t>30</w:t>
            </w:r>
            <w:r>
              <w:rPr>
                <w:rFonts w:hint="eastAsia" w:ascii="宋体" w:hAnsi="宋体" w:eastAsia="宋体" w:cs="宋体"/>
                <w:color w:val="auto"/>
                <w:highlight w:val="none"/>
                <w:u w:val="none"/>
              </w:rPr>
              <w:t>分到12时00分，</w:t>
            </w:r>
            <w:r>
              <w:rPr>
                <w:rFonts w:hint="eastAsia" w:ascii="宋体" w:hAnsi="宋体" w:eastAsia="宋体" w:cs="宋体"/>
                <w:color w:val="auto"/>
                <w:highlight w:val="none"/>
                <w:u w:val="none"/>
                <w:lang w:eastAsia="zh-CN"/>
              </w:rPr>
              <w:t>下午2</w:t>
            </w:r>
            <w:r>
              <w:rPr>
                <w:rFonts w:hint="eastAsia" w:ascii="宋体" w:hAnsi="宋体" w:eastAsia="宋体" w:cs="宋体"/>
                <w:color w:val="auto"/>
                <w:highlight w:val="none"/>
                <w:u w:val="none"/>
                <w:lang w:val="en-US" w:eastAsia="zh-CN"/>
              </w:rPr>
              <w:t>时30</w:t>
            </w:r>
            <w:r>
              <w:rPr>
                <w:rFonts w:hint="eastAsia" w:ascii="宋体" w:hAnsi="宋体" w:eastAsia="宋体" w:cs="宋体"/>
                <w:color w:val="auto"/>
                <w:highlight w:val="none"/>
                <w:u w:val="none"/>
              </w:rPr>
              <w:t>分到</w:t>
            </w:r>
            <w:r>
              <w:rPr>
                <w:rFonts w:hint="eastAsia" w:ascii="宋体" w:hAnsi="宋体" w:eastAsia="宋体" w:cs="宋体"/>
                <w:color w:val="auto"/>
                <w:highlight w:val="none"/>
                <w:u w:val="none"/>
                <w:lang w:val="en-US" w:eastAsia="zh-CN"/>
              </w:rPr>
              <w:t>5</w:t>
            </w:r>
            <w:r>
              <w:rPr>
                <w:rFonts w:hint="eastAsia" w:ascii="宋体" w:hAnsi="宋体" w:eastAsia="宋体" w:cs="宋体"/>
                <w:color w:val="auto"/>
                <w:highlight w:val="none"/>
                <w:u w:val="none"/>
              </w:rPr>
              <w:t>时30分，业务时间以外、双休日和法定节假日不办理业务。</w:t>
            </w:r>
          </w:p>
        </w:tc>
      </w:tr>
      <w:tr w14:paraId="3847A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3B09C1EB">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w:t>
            </w:r>
          </w:p>
        </w:tc>
        <w:tc>
          <w:tcPr>
            <w:tcW w:w="7912" w:type="dxa"/>
            <w:vAlign w:val="center"/>
          </w:tcPr>
          <w:p w14:paraId="77EB21AD">
            <w:pPr>
              <w:pStyle w:val="19"/>
              <w:keepNext w:val="0"/>
              <w:keepLines w:val="0"/>
              <w:pageBreakBefore w:val="0"/>
              <w:widowControl w:val="0"/>
              <w:kinsoku/>
              <w:wordWrap/>
              <w:overflowPunct/>
              <w:topLinePunct w:val="0"/>
              <w:bidi w:val="0"/>
              <w:adjustRightInd/>
              <w:snapToGrid w:val="0"/>
              <w:spacing w:line="480" w:lineRule="exact"/>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由成交供应商在领取成交通知书前一次性向采购代理机构付清。</w:t>
            </w:r>
          </w:p>
          <w:p w14:paraId="5E39D156">
            <w:pPr>
              <w:pStyle w:val="19"/>
              <w:keepNext w:val="0"/>
              <w:keepLines w:val="0"/>
              <w:pageBreakBefore w:val="0"/>
              <w:widowControl w:val="0"/>
              <w:kinsoku/>
              <w:wordWrap/>
              <w:overflowPunct/>
              <w:topLinePunct w:val="0"/>
              <w:bidi w:val="0"/>
              <w:adjustRightInd/>
              <w:snapToGrid w:val="0"/>
              <w:spacing w:line="480" w:lineRule="exact"/>
              <w:textAlignment w:val="auto"/>
              <w:rPr>
                <w:rFonts w:hint="eastAsia" w:ascii="宋体" w:hAnsi="宋体" w:eastAsia="宋体" w:cs="宋体"/>
                <w:color w:val="auto"/>
                <w:sz w:val="21"/>
                <w:highlight w:val="none"/>
                <w:u w:val="single"/>
                <w:lang w:val="en-US" w:eastAsia="zh-CN"/>
              </w:rPr>
            </w:pPr>
            <w:r>
              <w:rPr>
                <w:rFonts w:hint="eastAsia" w:ascii="宋体" w:hAnsi="宋体" w:eastAsia="宋体" w:cs="宋体"/>
                <w:color w:val="auto"/>
                <w:sz w:val="21"/>
                <w:highlight w:val="none"/>
                <w:lang w:val="en-US" w:eastAsia="zh-CN"/>
              </w:rPr>
              <w:t>2.采购代理服务收费标准参照国家发展计划委员会《招标代理服务费管理暂行办法》（计价格〔2002〕1980号收费标准、《国家发展改革委关于降低部分建设项目收费标准规范收费行为等有关问题的通知》（发改价格〔2011〕534号）收费标准（服务类）收取。</w:t>
            </w:r>
          </w:p>
          <w:p w14:paraId="4EA5C7E4">
            <w:pPr>
              <w:pStyle w:val="19"/>
              <w:keepNext w:val="0"/>
              <w:keepLines w:val="0"/>
              <w:pageBreakBefore w:val="0"/>
              <w:widowControl w:val="0"/>
              <w:kinsoku/>
              <w:wordWrap/>
              <w:overflowPunct/>
              <w:topLinePunct w:val="0"/>
              <w:bidi w:val="0"/>
              <w:adjustRightInd/>
              <w:snapToGrid w:val="0"/>
              <w:spacing w:line="480" w:lineRule="exact"/>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开户名称：广西中信恒泰工程顾问有限公司</w:t>
            </w:r>
          </w:p>
          <w:p w14:paraId="77A2F30A">
            <w:pPr>
              <w:pStyle w:val="19"/>
              <w:keepNext w:val="0"/>
              <w:keepLines w:val="0"/>
              <w:pageBreakBefore w:val="0"/>
              <w:widowControl w:val="0"/>
              <w:kinsoku/>
              <w:wordWrap/>
              <w:overflowPunct/>
              <w:topLinePunct w:val="0"/>
              <w:bidi w:val="0"/>
              <w:adjustRightInd/>
              <w:snapToGrid w:val="0"/>
              <w:spacing w:line="480" w:lineRule="exact"/>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账号：4500 1604 2660 5250 2851</w:t>
            </w:r>
          </w:p>
          <w:p w14:paraId="3E8DC123">
            <w:pPr>
              <w:pStyle w:val="19"/>
              <w:keepNext w:val="0"/>
              <w:keepLines w:val="0"/>
              <w:pageBreakBefore w:val="0"/>
              <w:widowControl w:val="0"/>
              <w:kinsoku/>
              <w:wordWrap/>
              <w:overflowPunct/>
              <w:topLinePunct w:val="0"/>
              <w:bidi w:val="0"/>
              <w:adjustRightInd/>
              <w:snapToGrid w:val="0"/>
              <w:spacing w:line="480" w:lineRule="exact"/>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开户行名称：建行南宁金湖广场支行</w:t>
            </w:r>
          </w:p>
        </w:tc>
      </w:tr>
      <w:tr w14:paraId="70D54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3978B0A6">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w:t>
            </w:r>
          </w:p>
        </w:tc>
        <w:tc>
          <w:tcPr>
            <w:tcW w:w="7912" w:type="dxa"/>
            <w:vAlign w:val="center"/>
          </w:tcPr>
          <w:p w14:paraId="07F85EC7">
            <w:pPr>
              <w:pStyle w:val="19"/>
              <w:keepNext w:val="0"/>
              <w:keepLines w:val="0"/>
              <w:pageBreakBefore w:val="0"/>
              <w:widowControl w:val="0"/>
              <w:kinsoku/>
              <w:wordWrap/>
              <w:overflowPunct/>
              <w:topLinePunct w:val="0"/>
              <w:bidi w:val="0"/>
              <w:adjustRightInd/>
              <w:snapToGrid w:val="0"/>
              <w:spacing w:line="480" w:lineRule="exact"/>
              <w:textAlignment w:val="auto"/>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301B1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7817E0FF">
            <w:pPr>
              <w:keepNext w:val="0"/>
              <w:keepLines w:val="0"/>
              <w:pageBreakBefore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w:t>
            </w:r>
          </w:p>
        </w:tc>
        <w:tc>
          <w:tcPr>
            <w:tcW w:w="7912" w:type="dxa"/>
            <w:vAlign w:val="center"/>
          </w:tcPr>
          <w:p w14:paraId="579EA2D4">
            <w:pPr>
              <w:pStyle w:val="19"/>
              <w:keepNext w:val="0"/>
              <w:keepLines w:val="0"/>
              <w:pageBreakBefore w:val="0"/>
              <w:widowControl w:val="0"/>
              <w:kinsoku/>
              <w:wordWrap/>
              <w:overflowPunct/>
              <w:topLinePunct w:val="0"/>
              <w:bidi w:val="0"/>
              <w:adjustRightInd/>
              <w:snapToGrid w:val="0"/>
              <w:spacing w:line="480" w:lineRule="exact"/>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1.本磋商文件中描述供应商的“公章”是指供应商通过指定电子化政府采购平台办理数字证书（CA认证）获得的以法定主体行为名称制作的电子印章。</w:t>
            </w:r>
          </w:p>
          <w:p w14:paraId="049589CC">
            <w:pPr>
              <w:pStyle w:val="19"/>
              <w:keepNext w:val="0"/>
              <w:keepLines w:val="0"/>
              <w:pageBreakBefore w:val="0"/>
              <w:widowControl w:val="0"/>
              <w:kinsoku/>
              <w:wordWrap/>
              <w:overflowPunct/>
              <w:topLinePunct w:val="0"/>
              <w:bidi w:val="0"/>
              <w:adjustRightInd/>
              <w:snapToGrid w:val="0"/>
              <w:spacing w:line="480" w:lineRule="exact"/>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2.本磋商文件中描述供应商的“签字”是指供应商通过指定电子化政府采购平台办理数字证书（CA认证）获得的以供应商法定代表人或者委托代理人姓名制作的电子印章或手写签字。</w:t>
            </w:r>
          </w:p>
          <w:p w14:paraId="5A586F41">
            <w:pPr>
              <w:pStyle w:val="19"/>
              <w:keepNext w:val="0"/>
              <w:keepLines w:val="0"/>
              <w:pageBreakBefore w:val="0"/>
              <w:widowControl w:val="0"/>
              <w:kinsoku/>
              <w:wordWrap/>
              <w:overflowPunct/>
              <w:topLinePunct w:val="0"/>
              <w:bidi w:val="0"/>
              <w:adjustRightInd/>
              <w:snapToGrid w:val="0"/>
              <w:spacing w:line="480" w:lineRule="exact"/>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5B5CF6A">
            <w:pPr>
              <w:pStyle w:val="19"/>
              <w:keepNext w:val="0"/>
              <w:keepLines w:val="0"/>
              <w:pageBreakBefore w:val="0"/>
              <w:widowControl w:val="0"/>
              <w:kinsoku/>
              <w:wordWrap/>
              <w:overflowPunct/>
              <w:topLinePunct w:val="0"/>
              <w:bidi w:val="0"/>
              <w:adjustRightInd/>
              <w:snapToGrid w:val="0"/>
              <w:spacing w:line="480" w:lineRule="exact"/>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4.自然人竞标的，磋商文件规定盖公章处由自然人摁手指指印。</w:t>
            </w:r>
          </w:p>
          <w:p w14:paraId="7D6968B6">
            <w:pPr>
              <w:pStyle w:val="19"/>
              <w:keepNext w:val="0"/>
              <w:keepLines w:val="0"/>
              <w:pageBreakBefore w:val="0"/>
              <w:widowControl w:val="0"/>
              <w:kinsoku/>
              <w:wordWrap/>
              <w:overflowPunct/>
              <w:topLinePunct w:val="0"/>
              <w:bidi w:val="0"/>
              <w:adjustRightInd/>
              <w:snapToGrid w:val="0"/>
              <w:spacing w:line="480" w:lineRule="exact"/>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5.本磋商文件所称的“以上”“以下”“以内”“届满”，包括本数；所称的“不满”“超过”“以外”，不包括本数。</w:t>
            </w:r>
          </w:p>
        </w:tc>
      </w:tr>
    </w:tbl>
    <w:p w14:paraId="354BE010">
      <w:pPr>
        <w:spacing w:line="400" w:lineRule="exact"/>
        <w:jc w:val="center"/>
        <w:rPr>
          <w:rFonts w:hint="eastAsia" w:ascii="宋体" w:hAnsi="宋体" w:eastAsia="宋体" w:cs="宋体"/>
          <w:b/>
          <w:color w:val="auto"/>
          <w:sz w:val="32"/>
          <w:szCs w:val="32"/>
          <w:highlight w:val="none"/>
        </w:rPr>
      </w:pPr>
    </w:p>
    <w:p w14:paraId="17EA3982">
      <w:pPr>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供应商须知正文</w:t>
      </w:r>
    </w:p>
    <w:p w14:paraId="219BFA9F">
      <w:pPr>
        <w:spacing w:line="400" w:lineRule="exact"/>
        <w:jc w:val="center"/>
        <w:rPr>
          <w:rFonts w:hint="eastAsia" w:ascii="宋体" w:hAnsi="宋体" w:eastAsia="宋体" w:cs="宋体"/>
          <w:b/>
          <w:color w:val="auto"/>
          <w:sz w:val="32"/>
          <w:szCs w:val="32"/>
          <w:highlight w:val="none"/>
        </w:rPr>
      </w:pPr>
    </w:p>
    <w:p w14:paraId="20BE38F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一、总则</w:t>
      </w:r>
    </w:p>
    <w:p w14:paraId="1C4A74D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Cs w:val="21"/>
          <w:highlight w:val="none"/>
        </w:rPr>
      </w:pPr>
    </w:p>
    <w:p w14:paraId="3C7870D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335E1C5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5E5501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4D55668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1551772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453950D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2.2“采购代理机构”是指政府采购代理机构（以下简称采购代理机构）是指集中采购机构以外、受采购人委托从事政府采购代理业务的社会中介机构。</w:t>
      </w:r>
    </w:p>
    <w:p w14:paraId="0FD5A86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699B349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2.4“服务”是指除货物和工程以外的其他采购对象。</w:t>
      </w:r>
    </w:p>
    <w:p w14:paraId="31E58C0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2.5“竞标”是指供应商按照本项目竞争性磋商公告的方式获取磋商文件、提交响应文件并希望获得标的的行为。</w:t>
      </w:r>
    </w:p>
    <w:p w14:paraId="1EDB96E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是指：供应商根据本磋商文件要求，编制包含资格证明、商务技术</w:t>
      </w: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rPr>
        <w:t>报价等所有内容的文件。</w:t>
      </w:r>
    </w:p>
    <w:p w14:paraId="11410F8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2.7“实质性要求”是指采购需求中带“▲”的条款或者不能负偏离的条款或者已经指明不满足按响应文件作无效处理的条款。</w:t>
      </w:r>
    </w:p>
    <w:p w14:paraId="72BFB74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5AC5191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1DBF6C0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764F2E8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4B3578D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7CC3566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2.13“评审价”是指供应商提交的最后报价并经修正（如有）和政策功能价格扣除（如有）后的价格。</w:t>
      </w:r>
    </w:p>
    <w:p w14:paraId="51D07AD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40D1273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7AF1FBA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4.竞标费用</w:t>
      </w:r>
    </w:p>
    <w:p w14:paraId="42E6F38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5AE2C6B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1F3B3BE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79503A6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6.转包与分包</w:t>
      </w:r>
    </w:p>
    <w:p w14:paraId="2560F08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6.1本项目不允许转包。</w:t>
      </w:r>
    </w:p>
    <w:p w14:paraId="68AAF96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6.2本项目是否允许分包详见“供应商须知前附表”，本项目不允许违法分包。</w:t>
      </w:r>
    </w:p>
    <w:p w14:paraId="41CF826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bookmarkStart w:id="47" w:name="_Toc254970673"/>
      <w:bookmarkStart w:id="48" w:name="_Toc254970532"/>
      <w:r>
        <w:rPr>
          <w:rFonts w:hint="eastAsia" w:ascii="宋体" w:hAnsi="宋体" w:eastAsia="宋体" w:cs="宋体"/>
          <w:b/>
          <w:bCs/>
          <w:color w:val="auto"/>
          <w:sz w:val="24"/>
          <w:highlight w:val="none"/>
        </w:rPr>
        <w:t>7.特别说明</w:t>
      </w:r>
      <w:bookmarkEnd w:id="47"/>
      <w:bookmarkEnd w:id="48"/>
    </w:p>
    <w:p w14:paraId="67A646A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7.1如果本磋商文件要求供应商提供资格、信誉、荣誉、业绩与企业认证等材料的，则供应商所提供的以上材料必须为供应商所拥有。</w:t>
      </w:r>
    </w:p>
    <w:p w14:paraId="2DB6F29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0D2C2E7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7C82AD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7.4在项目采购活动中，采购人员及相关人员与供应商有下列利害关系之一的，应当回避：</w:t>
      </w:r>
    </w:p>
    <w:p w14:paraId="5433B6C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16CFA9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3720230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0350D13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413A307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（5）与供应商有其他可能影响项目采购活动公平、公正进行的关系。</w:t>
      </w:r>
    </w:p>
    <w:p w14:paraId="7469775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CDA6A9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2890538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（1）不同供应商的响应文件由同一单位或者个人编制；或者不同供应商报名的IP地址一致的；</w:t>
      </w:r>
    </w:p>
    <w:p w14:paraId="3081E64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3E8775B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4C7ABCE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7691100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030A3E89">
      <w:pPr>
        <w:keepNext w:val="0"/>
        <w:keepLines w:val="0"/>
        <w:pageBreakBefore w:val="0"/>
        <w:widowControl w:val="0"/>
        <w:tabs>
          <w:tab w:val="left" w:pos="6931"/>
        </w:tabs>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0F9FC61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052E6F3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540797D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7F0EABF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D138C9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（4）属于同一集团、协会、商会等组织成员的供应商按照该组织要求协同参加项目采购活动；</w:t>
      </w:r>
    </w:p>
    <w:p w14:paraId="644D0FD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（5）供应商之间事先约定一致抬高或者压低报价，或者在项目采购活动中事先约定轮流以高价位或者低价位成交，或者事先约定由某一特定供应商成交，然后再参加竞标；</w:t>
      </w:r>
    </w:p>
    <w:p w14:paraId="6997483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（6）供应商之间商定部分供应商放弃参加项目采购活动或者放弃成交；</w:t>
      </w:r>
    </w:p>
    <w:p w14:paraId="5343E7D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2CF548B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p>
    <w:p w14:paraId="66ABB1E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32"/>
          <w:szCs w:val="32"/>
          <w:highlight w:val="none"/>
        </w:rPr>
      </w:pPr>
      <w:bookmarkStart w:id="50" w:name="_Toc254970534"/>
      <w:bookmarkStart w:id="51" w:name="_Toc254970675"/>
      <w:r>
        <w:rPr>
          <w:rFonts w:hint="eastAsia" w:ascii="宋体" w:hAnsi="宋体" w:eastAsia="宋体" w:cs="宋体"/>
          <w:b/>
          <w:bCs/>
          <w:color w:val="auto"/>
          <w:sz w:val="32"/>
          <w:szCs w:val="32"/>
          <w:highlight w:val="none"/>
        </w:rPr>
        <w:t>二、磋商文件</w:t>
      </w:r>
      <w:bookmarkEnd w:id="50"/>
      <w:bookmarkEnd w:id="51"/>
    </w:p>
    <w:p w14:paraId="221E5D1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Cs w:val="21"/>
          <w:highlight w:val="none"/>
        </w:rPr>
      </w:pPr>
    </w:p>
    <w:p w14:paraId="46F5952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2968B6FF">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（1）竞争性磋商公告；</w:t>
      </w:r>
    </w:p>
    <w:p w14:paraId="46958F0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（2）供应商须知； </w:t>
      </w:r>
    </w:p>
    <w:p w14:paraId="61AD94D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（3）采购需求；</w:t>
      </w:r>
    </w:p>
    <w:p w14:paraId="6D831DBC">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（4）评审程序、评审方法和评审标准；</w:t>
      </w:r>
    </w:p>
    <w:p w14:paraId="57A3546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（5）响应文件格式；</w:t>
      </w:r>
    </w:p>
    <w:p w14:paraId="4BA65366">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（6）合同文本。</w:t>
      </w:r>
    </w:p>
    <w:p w14:paraId="36D3205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44B7359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3FF2AF2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0D3C465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个工作日前，以书面形式通知所有获取磋商文件的供应商，不足</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个工作日的，应当顺延提交首次响应文件截止之日。</w:t>
      </w:r>
    </w:p>
    <w:p w14:paraId="1B6B2C0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Cs w:val="21"/>
          <w:highlight w:val="none"/>
        </w:rPr>
      </w:pPr>
    </w:p>
    <w:p w14:paraId="2D34216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 w:val="32"/>
          <w:szCs w:val="32"/>
          <w:highlight w:val="none"/>
        </w:rPr>
        <w:t>三、响应文件的编制</w:t>
      </w:r>
    </w:p>
    <w:p w14:paraId="7864FAE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Cs w:val="21"/>
          <w:highlight w:val="none"/>
        </w:rPr>
      </w:pPr>
    </w:p>
    <w:p w14:paraId="1EC1732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0C85ABD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62F507C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027EF12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12.1响应文件由资格证明文件、商务技术文件、报价文件三部分组成。</w:t>
      </w:r>
    </w:p>
    <w:p w14:paraId="44EBB474">
      <w:pPr>
        <w:keepNext w:val="0"/>
        <w:keepLines w:val="0"/>
        <w:pageBreakBefore w:val="0"/>
        <w:widowControl w:val="0"/>
        <w:kinsoku/>
        <w:wordWrap/>
        <w:overflowPunct/>
        <w:topLinePunct w:val="0"/>
        <w:autoSpaceDE/>
        <w:autoSpaceDN/>
        <w:bidi w:val="0"/>
        <w:adjustRightInd/>
        <w:snapToGrid/>
        <w:spacing w:line="500" w:lineRule="exact"/>
        <w:ind w:left="840" w:leftChars="200" w:hanging="420" w:hanging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12.1.1资格证明文件：详见“供应商须知前附表”</w:t>
      </w:r>
      <w:r>
        <w:rPr>
          <w:rFonts w:hint="eastAsia" w:ascii="宋体" w:hAnsi="宋体" w:eastAsia="宋体" w:cs="宋体"/>
          <w:color w:val="auto"/>
          <w:szCs w:val="21"/>
          <w:highlight w:val="none"/>
          <w:lang w:eastAsia="zh-CN"/>
        </w:rPr>
        <w:t>。</w:t>
      </w:r>
    </w:p>
    <w:p w14:paraId="7A47DBD8">
      <w:pPr>
        <w:keepNext w:val="0"/>
        <w:keepLines w:val="0"/>
        <w:pageBreakBefore w:val="0"/>
        <w:widowControl w:val="0"/>
        <w:kinsoku/>
        <w:wordWrap/>
        <w:overflowPunct/>
        <w:topLinePunct w:val="0"/>
        <w:autoSpaceDE/>
        <w:autoSpaceDN/>
        <w:bidi w:val="0"/>
        <w:adjustRightInd/>
        <w:snapToGrid/>
        <w:spacing w:line="500" w:lineRule="exact"/>
        <w:ind w:left="84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12.1.2商务技术文件：详见“供应商须知前附表”</w:t>
      </w:r>
      <w:r>
        <w:rPr>
          <w:rFonts w:hint="eastAsia" w:ascii="宋体" w:hAnsi="宋体" w:eastAsia="宋体" w:cs="宋体"/>
          <w:color w:val="auto"/>
          <w:szCs w:val="21"/>
          <w:highlight w:val="none"/>
          <w:lang w:eastAsia="zh-CN"/>
        </w:rPr>
        <w:t>。</w:t>
      </w:r>
    </w:p>
    <w:p w14:paraId="4FEADD2F">
      <w:pPr>
        <w:keepNext w:val="0"/>
        <w:keepLines w:val="0"/>
        <w:pageBreakBefore w:val="0"/>
        <w:widowControl w:val="0"/>
        <w:kinsoku/>
        <w:wordWrap/>
        <w:overflowPunct/>
        <w:topLinePunct w:val="0"/>
        <w:autoSpaceDE/>
        <w:autoSpaceDN/>
        <w:bidi w:val="0"/>
        <w:adjustRightInd/>
        <w:snapToGrid/>
        <w:spacing w:line="500" w:lineRule="exact"/>
        <w:ind w:left="84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12.1.3报价文件：详见“供应商须知前附表”</w:t>
      </w:r>
      <w:r>
        <w:rPr>
          <w:rFonts w:hint="eastAsia" w:ascii="宋体" w:hAnsi="宋体" w:eastAsia="宋体" w:cs="宋体"/>
          <w:color w:val="auto"/>
          <w:szCs w:val="21"/>
          <w:highlight w:val="none"/>
          <w:lang w:eastAsia="zh-CN"/>
        </w:rPr>
        <w:t>。</w:t>
      </w:r>
    </w:p>
    <w:p w14:paraId="2597C9D5">
      <w:pPr>
        <w:keepNext w:val="0"/>
        <w:keepLines w:val="0"/>
        <w:pageBreakBefore w:val="0"/>
        <w:widowControl w:val="0"/>
        <w:kinsoku/>
        <w:wordWrap/>
        <w:overflowPunct/>
        <w:topLinePunct w:val="0"/>
        <w:autoSpaceDE/>
        <w:autoSpaceDN/>
        <w:bidi w:val="0"/>
        <w:adjustRightInd/>
        <w:snapToGrid/>
        <w:spacing w:line="500" w:lineRule="exact"/>
        <w:ind w:left="84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12.2响应文件电子版：详见“供应商须知前附表”</w:t>
      </w:r>
      <w:r>
        <w:rPr>
          <w:rFonts w:hint="eastAsia" w:ascii="宋体" w:hAnsi="宋体" w:eastAsia="宋体" w:cs="宋体"/>
          <w:color w:val="auto"/>
          <w:szCs w:val="21"/>
          <w:highlight w:val="none"/>
          <w:lang w:eastAsia="zh-CN"/>
        </w:rPr>
        <w:t>。</w:t>
      </w:r>
    </w:p>
    <w:p w14:paraId="1087EC7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42CEFB7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412073D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69C9B3D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7C4FEE5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15.竞标报价要求和构成</w:t>
      </w:r>
    </w:p>
    <w:p w14:paraId="4657B584">
      <w:pPr>
        <w:keepNext w:val="0"/>
        <w:keepLines w:val="0"/>
        <w:pageBreakBefore w:val="0"/>
        <w:widowControl w:val="0"/>
        <w:tabs>
          <w:tab w:val="left" w:pos="2492"/>
        </w:tabs>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15.1竞标报价应按磋商文件中“</w:t>
      </w:r>
      <w:r>
        <w:rPr>
          <w:rFonts w:hint="eastAsia" w:ascii="宋体" w:hAnsi="宋体" w:eastAsia="宋体" w:cs="宋体"/>
          <w:color w:val="auto"/>
          <w:szCs w:val="21"/>
          <w:highlight w:val="none"/>
          <w:lang w:eastAsia="zh-CN"/>
        </w:rPr>
        <w:t>响应报价表</w:t>
      </w:r>
      <w:r>
        <w:rPr>
          <w:rFonts w:hint="eastAsia" w:ascii="宋体" w:hAnsi="宋体" w:eastAsia="宋体" w:cs="宋体"/>
          <w:color w:val="auto"/>
          <w:szCs w:val="21"/>
          <w:highlight w:val="none"/>
        </w:rPr>
        <w:t>”格式填写。</w:t>
      </w:r>
    </w:p>
    <w:p w14:paraId="420AADD0">
      <w:pPr>
        <w:keepNext w:val="0"/>
        <w:keepLines w:val="0"/>
        <w:pageBreakBefore w:val="0"/>
        <w:widowControl w:val="0"/>
        <w:tabs>
          <w:tab w:val="left" w:pos="2492"/>
        </w:tabs>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15.2竞标报价的价格构成见“供应商须知前附表”。</w:t>
      </w:r>
    </w:p>
    <w:p w14:paraId="77DC592F">
      <w:pPr>
        <w:keepNext w:val="0"/>
        <w:keepLines w:val="0"/>
        <w:pageBreakBefore w:val="0"/>
        <w:widowControl w:val="0"/>
        <w:kinsoku/>
        <w:wordWrap/>
        <w:overflowPunct/>
        <w:topLinePunct w:val="0"/>
        <w:autoSpaceDE/>
        <w:autoSpaceDN/>
        <w:bidi w:val="0"/>
        <w:adjustRightInd/>
        <w:snapToGrid/>
        <w:spacing w:line="500" w:lineRule="exact"/>
        <w:ind w:left="426" w:leftChars="203"/>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15.3竞标报价要求</w:t>
      </w:r>
    </w:p>
    <w:p w14:paraId="5453F8F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15.3.1供应商的竞标报价应符合以下要求，否则响应文件按无效响应处理：</w:t>
      </w:r>
    </w:p>
    <w:p w14:paraId="442797C0">
      <w:pPr>
        <w:keepNext w:val="0"/>
        <w:keepLines w:val="0"/>
        <w:pageBreakBefore w:val="0"/>
        <w:widowControl w:val="0"/>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14:paraId="6CEDBD4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23C4083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15.3.2竞标报价（包含首次报价、最后报价）超过所竞标分标规定的采购预算金额或者最高限价的，其响应文件将作无效处理。</w:t>
      </w:r>
    </w:p>
    <w:p w14:paraId="3EDD989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2" w:name="_Hlk42592874"/>
      <w:r>
        <w:rPr>
          <w:rFonts w:hint="eastAsia" w:ascii="宋体" w:hAnsi="宋体" w:eastAsia="宋体" w:cs="宋体"/>
          <w:color w:val="auto"/>
          <w:szCs w:val="21"/>
          <w:highlight w:val="none"/>
        </w:rPr>
        <w:t>竞标报价（包含首次报价、最后报价）超过分项采购预算金额或者最高限价的，其响应文件将</w:t>
      </w:r>
      <w:r>
        <w:rPr>
          <w:rFonts w:hint="eastAsia" w:ascii="宋体" w:hAnsi="宋体" w:eastAsia="宋体" w:cs="宋体"/>
          <w:color w:val="auto"/>
          <w:szCs w:val="21"/>
          <w:highlight w:val="none"/>
          <w:lang w:val="en-US" w:eastAsia="zh-CN"/>
        </w:rPr>
        <w:t>按</w:t>
      </w:r>
      <w:r>
        <w:rPr>
          <w:rFonts w:hint="eastAsia" w:ascii="宋体" w:hAnsi="宋体" w:eastAsia="宋体" w:cs="宋体"/>
          <w:color w:val="auto"/>
          <w:szCs w:val="21"/>
          <w:highlight w:val="none"/>
        </w:rPr>
        <w:t>无效处理。</w:t>
      </w:r>
    </w:p>
    <w:bookmarkEnd w:id="52"/>
    <w:p w14:paraId="10A09EE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2E91CF3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52622A6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16.2竞标有效期应由供应商按“供应商须知前附表”规定的期限作出响应。</w:t>
      </w:r>
    </w:p>
    <w:p w14:paraId="3061A45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3549E1E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A3959B2">
      <w:pPr>
        <w:keepNext w:val="0"/>
        <w:keepLines w:val="0"/>
        <w:pageBreakBefore w:val="0"/>
        <w:widowControl w:val="0"/>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17.1供应商须按“供应商须知前附表”的规定提交磋商保证金。</w:t>
      </w:r>
    </w:p>
    <w:p w14:paraId="54D13E77">
      <w:pPr>
        <w:keepNext w:val="0"/>
        <w:keepLines w:val="0"/>
        <w:pageBreakBefore w:val="0"/>
        <w:widowControl w:val="0"/>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17.2磋商保证金的退还</w:t>
      </w:r>
    </w:p>
    <w:p w14:paraId="66A640F2">
      <w:pPr>
        <w:pStyle w:val="9"/>
        <w:keepNext w:val="0"/>
        <w:keepLines w:val="0"/>
        <w:pageBreakBefore w:val="0"/>
        <w:widowControl w:val="0"/>
        <w:kinsoku/>
        <w:wordWrap/>
        <w:overflowPunct/>
        <w:topLinePunct w:val="0"/>
        <w:autoSpaceDE/>
        <w:autoSpaceDN/>
        <w:bidi w:val="0"/>
        <w:adjustRightInd/>
        <w:snapToGrid/>
        <w:spacing w:line="50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17.2.1未</w:t>
      </w:r>
      <w:r>
        <w:rPr>
          <w:rFonts w:hint="eastAsia" w:ascii="宋体" w:hAnsi="宋体" w:eastAsia="宋体" w:cs="宋体"/>
          <w:color w:val="auto"/>
          <w:spacing w:val="-6"/>
          <w:szCs w:val="21"/>
          <w:highlight w:val="none"/>
        </w:rPr>
        <w:t>成交供应商的磋商保证金自成交通知书发出之日起</w:t>
      </w:r>
      <w:r>
        <w:rPr>
          <w:rFonts w:hint="eastAsia" w:ascii="宋体" w:hAnsi="宋体" w:eastAsia="宋体" w:cs="宋体"/>
          <w:color w:val="auto"/>
          <w:spacing w:val="-6"/>
          <w:szCs w:val="21"/>
          <w:highlight w:val="none"/>
          <w:lang w:val="en-US" w:eastAsia="zh-CN"/>
        </w:rPr>
        <w:t>5</w:t>
      </w:r>
      <w:r>
        <w:rPr>
          <w:rFonts w:hint="eastAsia" w:ascii="宋体" w:hAnsi="宋体" w:eastAsia="宋体" w:cs="宋体"/>
          <w:color w:val="auto"/>
          <w:spacing w:val="-6"/>
          <w:szCs w:val="21"/>
          <w:highlight w:val="none"/>
        </w:rPr>
        <w:t>个工作日内退还，退还方式如下：</w:t>
      </w:r>
      <w:r>
        <w:rPr>
          <w:rFonts w:hint="eastAsia" w:ascii="宋体" w:hAnsi="宋体" w:eastAsia="宋体" w:cs="宋体"/>
          <w:color w:val="auto"/>
          <w:szCs w:val="21"/>
          <w:highlight w:val="none"/>
        </w:rPr>
        <w:t>以转账方式退回到供应商银行账户。</w:t>
      </w:r>
    </w:p>
    <w:p w14:paraId="26FAF36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17.2.2成交供应商的磋商保证金自签订合同之日起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个工作日内退还，退还方式同未成交供应商的磋商保证金的退还方式。</w:t>
      </w:r>
    </w:p>
    <w:p w14:paraId="302C9B6C">
      <w:pPr>
        <w:keepNext w:val="0"/>
        <w:keepLines w:val="0"/>
        <w:pageBreakBefore w:val="0"/>
        <w:widowControl w:val="0"/>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供应商有下列情形之一的，磋商保证金将不予退还： </w:t>
      </w:r>
    </w:p>
    <w:p w14:paraId="3C90A3C4">
      <w:pPr>
        <w:keepNext w:val="0"/>
        <w:keepLines w:val="0"/>
        <w:pageBreakBefore w:val="0"/>
        <w:widowControl w:val="0"/>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14:paraId="6A163A1E">
      <w:pPr>
        <w:keepNext w:val="0"/>
        <w:keepLines w:val="0"/>
        <w:pageBreakBefore w:val="0"/>
        <w:widowControl w:val="0"/>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（2）供应商在响应文件中提供虚假材料的；</w:t>
      </w:r>
    </w:p>
    <w:p w14:paraId="1B34900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（3）除因不可抗力或者磋商文件认可的情形以外，成交供应商不与采购人签订合同的；</w:t>
      </w:r>
    </w:p>
    <w:p w14:paraId="05FE884B">
      <w:pPr>
        <w:keepNext w:val="0"/>
        <w:keepLines w:val="0"/>
        <w:pageBreakBefore w:val="0"/>
        <w:widowControl w:val="0"/>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（4）供应商与采购人、其他供应商或者采购代理机构恶意串通的；</w:t>
      </w:r>
    </w:p>
    <w:p w14:paraId="354922AA">
      <w:pPr>
        <w:keepNext w:val="0"/>
        <w:keepLines w:val="0"/>
        <w:pageBreakBefore w:val="0"/>
        <w:widowControl w:val="0"/>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（5）磋商文件规定的其他情形。</w:t>
      </w:r>
    </w:p>
    <w:p w14:paraId="422BB66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12B4FFF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18.1供应商应先安装“广西政府采购云平台电子交易客户端”（请自行前往广西政府采购云平台进行下载），供应商应按本磋商文件规定的格式和顺序编制、装订响应文件并标注页码，响应文件内容</w:t>
      </w:r>
      <w:r>
        <w:rPr>
          <w:rFonts w:hint="eastAsia" w:ascii="宋体" w:hAnsi="宋体" w:eastAsia="宋体" w:cs="宋体"/>
          <w:color w:val="auto"/>
          <w:spacing w:val="-6"/>
          <w:szCs w:val="21"/>
          <w:highlight w:val="none"/>
        </w:rPr>
        <w:t>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pacing w:val="-6"/>
          <w:szCs w:val="21"/>
          <w:highlight w:val="none"/>
        </w:rPr>
        <w:t>后果由供应商承担。</w:t>
      </w:r>
    </w:p>
    <w:p w14:paraId="60CF8D2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0796F95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w:t>
      </w:r>
      <w:bookmarkStart w:id="53" w:name="_Hlk65832699"/>
      <w:r>
        <w:rPr>
          <w:rFonts w:hint="eastAsia" w:ascii="宋体" w:hAnsi="宋体" w:eastAsia="宋体" w:cs="宋体"/>
          <w:color w:val="auto"/>
          <w:highlight w:val="none"/>
        </w:rPr>
        <w:t>3响应文件须由供应商在</w:t>
      </w:r>
      <w:bookmarkEnd w:id="53"/>
      <w:r>
        <w:rPr>
          <w:rFonts w:hint="eastAsia" w:ascii="宋体" w:hAnsi="宋体" w:eastAsia="宋体" w:cs="宋体"/>
          <w:color w:val="auto"/>
          <w:highlight w:val="none"/>
        </w:rPr>
        <w:t>规定位置进行签署、盖章</w:t>
      </w:r>
      <w:r>
        <w:rPr>
          <w:rFonts w:hint="eastAsia" w:ascii="宋体" w:hAnsi="宋体" w:eastAsia="宋体" w:cs="宋体"/>
          <w:color w:val="auto"/>
          <w:szCs w:val="21"/>
          <w:highlight w:val="none"/>
        </w:rPr>
        <w:t>（具体以供应商须知前附表或响应文件格式规定为准）</w:t>
      </w:r>
      <w:r>
        <w:rPr>
          <w:rFonts w:hint="eastAsia" w:ascii="宋体" w:hAnsi="宋体" w:eastAsia="宋体" w:cs="宋体"/>
          <w:color w:val="auto"/>
          <w:highlight w:val="none"/>
        </w:rPr>
        <w:t>，否则其响应文件按无效响应处理。</w:t>
      </w:r>
    </w:p>
    <w:p w14:paraId="58873B8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18.4响应文件中标注的供应商名称应与营业执照（事业单位法人证书、执业许可证、自然人身份证）及电子公章一致，否则其响应文件按无效响应处理。</w:t>
      </w:r>
    </w:p>
    <w:p w14:paraId="477EA4C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18.5响应文件应避免涂改、行间插字或者删除</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如果出现上述情况，改动之处应由供应商的法定代表人或者委托代理人签字或者加盖公章。响应文件因涂改，行间插字或者删除导致字迹潦草或者表达不清所引起的后果由供应商承担</w:t>
      </w:r>
      <w:r>
        <w:rPr>
          <w:rFonts w:hint="eastAsia" w:ascii="宋体" w:hAnsi="宋体" w:eastAsia="宋体" w:cs="宋体"/>
          <w:color w:val="auto"/>
          <w:szCs w:val="21"/>
          <w:highlight w:val="none"/>
        </w:rPr>
        <w:t>。</w:t>
      </w:r>
    </w:p>
    <w:p w14:paraId="254A044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19.电子</w:t>
      </w:r>
      <w:r>
        <w:rPr>
          <w:rFonts w:hint="eastAsia" w:ascii="宋体" w:hAnsi="宋体" w:eastAsia="宋体" w:cs="宋体"/>
          <w:b/>
          <w:color w:val="auto"/>
          <w:sz w:val="24"/>
          <w:highlight w:val="none"/>
        </w:rPr>
        <w:t>备份响应文件</w:t>
      </w:r>
    </w:p>
    <w:p w14:paraId="730A042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电子备份响应文件是指通过“</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电子投标客户端”在线编制生成且后缀名为“bfbs”的文件，是否接受电子备份响应文件</w:t>
      </w:r>
      <w:r>
        <w:rPr>
          <w:rFonts w:hint="eastAsia" w:ascii="宋体" w:hAnsi="宋体" w:eastAsia="宋体" w:cs="宋体"/>
          <w:bCs/>
          <w:color w:val="auto"/>
          <w:szCs w:val="21"/>
          <w:highlight w:val="none"/>
        </w:rPr>
        <w:t>详见在“供应商须知前附表”。</w:t>
      </w:r>
    </w:p>
    <w:p w14:paraId="03F39E2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1CD940D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r>
        <w:rPr>
          <w:rFonts w:hint="eastAsia" w:ascii="宋体" w:hAnsi="宋体" w:eastAsia="宋体" w:cs="宋体"/>
          <w:bCs/>
          <w:color w:val="auto"/>
          <w:szCs w:val="21"/>
          <w:highlight w:val="none"/>
        </w:rPr>
        <w:t>电子响应文件应在制作完成后，在提交响应文件截止时间前通过有效数字证书（CA认证锁）进行电子签章、加密，然后通过网络将加密的电子响应文件提交至</w:t>
      </w:r>
      <w:r>
        <w:rPr>
          <w:rFonts w:hint="eastAsia" w:ascii="宋体" w:hAnsi="宋体" w:eastAsia="宋体" w:cs="宋体"/>
          <w:color w:val="auto"/>
          <w:szCs w:val="21"/>
          <w:highlight w:val="none"/>
        </w:rPr>
        <w:t>广西政府采购云平台</w:t>
      </w:r>
      <w:r>
        <w:rPr>
          <w:rFonts w:hint="eastAsia" w:ascii="宋体" w:hAnsi="宋体" w:eastAsia="宋体" w:cs="宋体"/>
          <w:bCs/>
          <w:color w:val="auto"/>
          <w:szCs w:val="21"/>
          <w:highlight w:val="none"/>
        </w:rPr>
        <w:t>。</w:t>
      </w:r>
    </w:p>
    <w:p w14:paraId="4061DD6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20.2未在规定时间内提交或者未按照磋商文件要求加密的电子响应文件，广西政府采购云平台将拒收。</w:t>
      </w:r>
    </w:p>
    <w:p w14:paraId="7981603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20.3</w:t>
      </w:r>
      <w:r>
        <w:rPr>
          <w:rFonts w:hint="eastAsia" w:ascii="宋体" w:hAnsi="宋体" w:eastAsia="宋体" w:cs="宋体"/>
          <w:color w:val="auto"/>
          <w:szCs w:val="21"/>
          <w:highlight w:val="none"/>
        </w:rPr>
        <w:t>在响应文件提交截止时间以后，不能补充、修改响应文件。</w:t>
      </w:r>
    </w:p>
    <w:p w14:paraId="301B5BF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在提交“最后报价”后，供应商不能退出磋商。</w:t>
      </w:r>
    </w:p>
    <w:p w14:paraId="1109F38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电子交易平台收到响应文件，将妥善保存并即时向供应商发出确认回执通知。在响应文件提交截止时间前，除供应商补充、修改或者撤回响应文件外，任何单位和个人不得解密或提取响应文件。</w:t>
      </w:r>
    </w:p>
    <w:p w14:paraId="0842706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49DF950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793CAD6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bookmarkStart w:id="54" w:name="_Hlk45702405"/>
      <w:r>
        <w:rPr>
          <w:rFonts w:hint="eastAsia" w:ascii="宋体" w:hAnsi="宋体" w:eastAsia="宋体" w:cs="宋体"/>
          <w:b/>
          <w:bCs/>
          <w:color w:val="auto"/>
          <w:sz w:val="24"/>
          <w:highlight w:val="none"/>
        </w:rPr>
        <w:t>22.首次响应文件的退回</w:t>
      </w:r>
    </w:p>
    <w:p w14:paraId="3D788D1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采购人和采购代理机构对已提交的响应文件概不退回。</w:t>
      </w:r>
    </w:p>
    <w:p w14:paraId="1814A5E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23.截止时间后的撤回</w:t>
      </w:r>
    </w:p>
    <w:p w14:paraId="3989B37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供应商在首次响应文件提交截止时间后向采购人、采购代理机构书面申请撤回响应文件的，将根据本须知正文17.</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的规定不予退还其磋商保证金。</w:t>
      </w:r>
    </w:p>
    <w:bookmarkEnd w:id="54"/>
    <w:p w14:paraId="416C6FE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Cs w:val="21"/>
          <w:highlight w:val="none"/>
        </w:rPr>
      </w:pPr>
    </w:p>
    <w:p w14:paraId="3A99EE47">
      <w:pPr>
        <w:keepNext w:val="0"/>
        <w:keepLines w:val="0"/>
        <w:pageBreakBefore w:val="0"/>
        <w:widowControl w:val="0"/>
        <w:kinsoku/>
        <w:wordWrap/>
        <w:overflowPunct/>
        <w:topLinePunct w:val="0"/>
        <w:autoSpaceDE/>
        <w:autoSpaceDN/>
        <w:bidi w:val="0"/>
        <w:adjustRightInd/>
        <w:snapToGrid/>
        <w:spacing w:line="500" w:lineRule="exact"/>
        <w:ind w:left="420" w:firstLine="42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四、评审及磋商</w:t>
      </w:r>
    </w:p>
    <w:p w14:paraId="2B3A0544">
      <w:pPr>
        <w:keepNext w:val="0"/>
        <w:keepLines w:val="0"/>
        <w:pageBreakBefore w:val="0"/>
        <w:widowControl w:val="0"/>
        <w:kinsoku/>
        <w:wordWrap/>
        <w:overflowPunct/>
        <w:topLinePunct w:val="0"/>
        <w:autoSpaceDE/>
        <w:autoSpaceDN/>
        <w:bidi w:val="0"/>
        <w:adjustRightInd/>
        <w:snapToGrid/>
        <w:spacing w:line="500" w:lineRule="exact"/>
        <w:ind w:left="420" w:firstLine="420"/>
        <w:textAlignment w:val="auto"/>
        <w:rPr>
          <w:rFonts w:hint="eastAsia" w:ascii="宋体" w:hAnsi="宋体" w:eastAsia="宋体" w:cs="宋体"/>
          <w:color w:val="auto"/>
          <w:szCs w:val="21"/>
          <w:highlight w:val="none"/>
        </w:rPr>
      </w:pPr>
    </w:p>
    <w:p w14:paraId="3A53F31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284ABDD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835DF8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24.2评审专家从</w:t>
      </w:r>
      <w:r>
        <w:rPr>
          <w:rFonts w:hint="eastAsia" w:ascii="宋体" w:hAnsi="宋体" w:cs="宋体"/>
          <w:color w:val="auto"/>
          <w:szCs w:val="21"/>
          <w:highlight w:val="none"/>
          <w:lang w:val="en-US" w:eastAsia="zh-CN"/>
        </w:rPr>
        <w:t>广西政府采购</w:t>
      </w:r>
      <w:r>
        <w:rPr>
          <w:rFonts w:hint="eastAsia" w:ascii="宋体" w:hAnsi="宋体" w:eastAsia="宋体" w:cs="宋体"/>
          <w:color w:val="auto"/>
          <w:szCs w:val="21"/>
          <w:highlight w:val="none"/>
          <w:lang w:val="en-US" w:eastAsia="zh-CN"/>
        </w:rPr>
        <w:t>云平台</w:t>
      </w:r>
      <w:r>
        <w:rPr>
          <w:rFonts w:hint="eastAsia" w:ascii="宋体" w:hAnsi="宋体" w:eastAsia="宋体" w:cs="宋体"/>
          <w:color w:val="auto"/>
          <w:szCs w:val="21"/>
          <w:highlight w:val="none"/>
        </w:rPr>
        <w:t>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9EFC03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24.3</w:t>
      </w:r>
      <w:r>
        <w:rPr>
          <w:rFonts w:hint="eastAsia" w:ascii="宋体" w:hAnsi="宋体" w:eastAsia="宋体" w:cs="宋体"/>
          <w:bCs/>
          <w:color w:val="auto"/>
          <w:szCs w:val="21"/>
          <w:highlight w:val="none"/>
        </w:rPr>
        <w:t>采购代理机构</w:t>
      </w:r>
      <w:r>
        <w:rPr>
          <w:rFonts w:hint="eastAsia" w:ascii="宋体" w:hAnsi="宋体" w:eastAsia="宋体" w:cs="宋体"/>
          <w:bCs/>
          <w:color w:val="auto"/>
          <w:highlight w:val="none"/>
        </w:rPr>
        <w:t>应当</w:t>
      </w:r>
      <w:r>
        <w:rPr>
          <w:rFonts w:hint="eastAsia" w:ascii="宋体" w:hAnsi="宋体" w:eastAsia="宋体" w:cs="宋体"/>
          <w:bCs/>
          <w:color w:val="auto"/>
          <w:szCs w:val="21"/>
          <w:highlight w:val="none"/>
        </w:rPr>
        <w:t>基于广西政府采购云平台</w:t>
      </w:r>
      <w:r>
        <w:rPr>
          <w:rFonts w:hint="eastAsia" w:ascii="宋体" w:hAnsi="宋体" w:eastAsia="宋体" w:cs="宋体"/>
          <w:bCs/>
          <w:color w:val="auto"/>
          <w:highlight w:val="none"/>
        </w:rPr>
        <w:t>抽（选）取</w:t>
      </w:r>
      <w:r>
        <w:rPr>
          <w:rFonts w:hint="eastAsia" w:ascii="宋体" w:hAnsi="宋体" w:eastAsia="宋体" w:cs="宋体"/>
          <w:bCs/>
          <w:color w:val="auto"/>
          <w:szCs w:val="21"/>
          <w:highlight w:val="none"/>
        </w:rPr>
        <w:t>评审专家。</w:t>
      </w:r>
    </w:p>
    <w:p w14:paraId="28FC413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00B51E3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highlight w:val="none"/>
        </w:rPr>
        <w:t>采购代理机构将在“供应商须知前附表”规定的时</w:t>
      </w:r>
      <w:r>
        <w:rPr>
          <w:rFonts w:hint="eastAsia" w:ascii="宋体" w:hAnsi="宋体" w:eastAsia="宋体" w:cs="宋体"/>
          <w:color w:val="auto"/>
          <w:highlight w:val="none"/>
        </w:rPr>
        <w:t>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w:t>
      </w:r>
      <w:r>
        <w:rPr>
          <w:rFonts w:hint="eastAsia" w:ascii="宋体" w:hAnsi="宋体" w:eastAsia="宋体" w:cs="宋体"/>
          <w:bCs/>
          <w:color w:val="auto"/>
          <w:szCs w:val="21"/>
          <w:highlight w:val="none"/>
        </w:rPr>
        <w:t>“供应商须知前附表”</w:t>
      </w:r>
      <w:r>
        <w:rPr>
          <w:rFonts w:hint="eastAsia" w:ascii="宋体" w:hAnsi="宋体" w:eastAsia="宋体" w:cs="宋体"/>
          <w:color w:val="auto"/>
          <w:highlight w:val="none"/>
        </w:rPr>
        <w:t>规定的时间内自行进行响应文件解密。</w:t>
      </w:r>
      <w:r>
        <w:rPr>
          <w:rFonts w:hint="eastAsia" w:ascii="宋体" w:hAnsi="宋体" w:eastAsia="宋体" w:cs="宋体"/>
          <w:b/>
          <w:color w:val="auto"/>
          <w:highlight w:val="none"/>
        </w:rPr>
        <w:t>供应商未在规定的时间内解密响应文件或者解密失败的，供应商</w:t>
      </w:r>
      <w:r>
        <w:rPr>
          <w:rFonts w:hint="eastAsia" w:ascii="宋体" w:hAnsi="宋体" w:eastAsia="宋体" w:cs="宋体"/>
          <w:b/>
          <w:color w:val="auto"/>
          <w:szCs w:val="21"/>
          <w:highlight w:val="none"/>
        </w:rPr>
        <w:t>的响应文件</w:t>
      </w:r>
      <w:r>
        <w:rPr>
          <w:rFonts w:hint="eastAsia" w:ascii="宋体" w:hAnsi="宋体" w:eastAsia="宋体" w:cs="宋体"/>
          <w:b/>
          <w:color w:val="auto"/>
          <w:szCs w:val="21"/>
          <w:highlight w:val="none"/>
          <w:lang w:val="en-US" w:eastAsia="zh-CN"/>
        </w:rPr>
        <w:t>按</w:t>
      </w:r>
      <w:r>
        <w:rPr>
          <w:rFonts w:hint="eastAsia" w:ascii="宋体" w:hAnsi="宋体" w:eastAsia="宋体" w:cs="宋体"/>
          <w:b/>
          <w:color w:val="auto"/>
          <w:szCs w:val="21"/>
          <w:highlight w:val="none"/>
        </w:rPr>
        <w:t>无效处理</w:t>
      </w:r>
      <w:r>
        <w:rPr>
          <w:rFonts w:hint="eastAsia" w:ascii="宋体" w:hAnsi="宋体" w:eastAsia="宋体" w:cs="宋体"/>
          <w:b/>
          <w:color w:val="auto"/>
          <w:highlight w:val="none"/>
        </w:rPr>
        <w:t>。</w:t>
      </w:r>
    </w:p>
    <w:p w14:paraId="3F4A228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1E49603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26.1本项目的评审方法为综合评分法。</w:t>
      </w:r>
    </w:p>
    <w:p w14:paraId="583E058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26.2磋商小组按照“第四章 评审程序、评审方法和评审标准”规定的方法、评审因素、标准和程序对响应文件进行评审。</w:t>
      </w:r>
    </w:p>
    <w:p w14:paraId="489C621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26.3商务/技术要求允许负偏离的条款数详见“供应商须知前附表”。</w:t>
      </w:r>
    </w:p>
    <w:p w14:paraId="42A981B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26.4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71F2383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26.5电子交易活动的中止。采购过程中出现以下情形，导致电子交易平台无法正常运行，或者无法保证电子交易的公平、公正和安全时，采购</w:t>
      </w:r>
      <w:r>
        <w:rPr>
          <w:rFonts w:hint="eastAsia" w:ascii="宋体" w:hAnsi="宋体" w:eastAsia="宋体" w:cs="宋体"/>
          <w:color w:val="auto"/>
          <w:highlight w:val="none"/>
          <w:lang w:val="en-US" w:eastAsia="zh-CN"/>
        </w:rPr>
        <w:t>代理</w:t>
      </w:r>
      <w:r>
        <w:rPr>
          <w:rFonts w:hint="eastAsia" w:ascii="宋体" w:hAnsi="宋体" w:eastAsia="宋体" w:cs="宋体"/>
          <w:color w:val="auto"/>
          <w:highlight w:val="none"/>
        </w:rPr>
        <w:t>机构可中止电子交易活动：</w:t>
      </w:r>
    </w:p>
    <w:p w14:paraId="11CE9AA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（1）电子交易平台发生故障而无法登录访问的；</w:t>
      </w:r>
    </w:p>
    <w:p w14:paraId="0C0FFEB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3DC42C5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0595B8D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（4）病毒发作导致不能进行正常操作的；</w:t>
      </w:r>
    </w:p>
    <w:p w14:paraId="0BBC253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（5）其他无法保证电子交易的公平、公正和安全的情况。</w:t>
      </w:r>
    </w:p>
    <w:p w14:paraId="2D045F7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AD863C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72930D4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F1900F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27.2采购代理机构应当在</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为成交供应商。排名第二的</w:t>
      </w:r>
      <w:r>
        <w:rPr>
          <w:rFonts w:hint="eastAsia" w:ascii="宋体" w:hAnsi="宋体" w:eastAsia="宋体" w:cs="宋体"/>
          <w:color w:val="auto"/>
          <w:szCs w:val="21"/>
          <w:highlight w:val="none"/>
          <w:lang w:eastAsia="zh-CN"/>
        </w:rPr>
        <w:t>成交候选供应商</w:t>
      </w:r>
      <w:r>
        <w:rPr>
          <w:rFonts w:hint="eastAsia" w:ascii="宋体" w:hAnsi="宋体" w:eastAsia="宋体" w:cs="宋体"/>
          <w:color w:val="auto"/>
          <w:szCs w:val="21"/>
          <w:highlight w:val="none"/>
        </w:rPr>
        <w:t>因上述规定的同样原因被取消成交资格的，采购人可以确定排名第三的</w:t>
      </w:r>
      <w:r>
        <w:rPr>
          <w:rFonts w:hint="eastAsia" w:ascii="宋体" w:hAnsi="宋体" w:eastAsia="宋体" w:cs="宋体"/>
          <w:color w:val="auto"/>
          <w:szCs w:val="21"/>
          <w:highlight w:val="none"/>
          <w:lang w:eastAsia="zh-CN"/>
        </w:rPr>
        <w:t>成交候选供应商</w:t>
      </w:r>
      <w:r>
        <w:rPr>
          <w:rFonts w:hint="eastAsia" w:ascii="宋体" w:hAnsi="宋体" w:eastAsia="宋体" w:cs="宋体"/>
          <w:color w:val="auto"/>
          <w:szCs w:val="21"/>
          <w:highlight w:val="none"/>
        </w:rPr>
        <w:t>为成交供应商，以此类推。以上信息查询记录及相关证据与磋商文件一并保存。</w:t>
      </w:r>
    </w:p>
    <w:p w14:paraId="7C0839F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 采购人、采购代理机构认为供应商对采购过程、成交结果提出的质疑成立且影响或者可能影响成交结果的，合格供应商符合法定数量时，可以从合格的</w:t>
      </w:r>
      <w:r>
        <w:rPr>
          <w:rFonts w:hint="eastAsia" w:ascii="宋体" w:hAnsi="宋体" w:eastAsia="宋体" w:cs="宋体"/>
          <w:color w:val="auto"/>
          <w:szCs w:val="21"/>
          <w:highlight w:val="none"/>
          <w:lang w:eastAsia="zh-CN"/>
        </w:rPr>
        <w:t>成交候选供应商</w:t>
      </w:r>
      <w:r>
        <w:rPr>
          <w:rFonts w:hint="eastAsia" w:ascii="宋体" w:hAnsi="宋体" w:eastAsia="宋体" w:cs="宋体"/>
          <w:color w:val="auto"/>
          <w:szCs w:val="21"/>
          <w:highlight w:val="none"/>
        </w:rPr>
        <w:t>中另行确定成交供应商的，应当依法另行确定成交供应商；否则应当重新开展采购活动。</w:t>
      </w:r>
    </w:p>
    <w:p w14:paraId="3EE7B31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27.4排名第一的</w:t>
      </w:r>
      <w:r>
        <w:rPr>
          <w:rFonts w:hint="eastAsia" w:ascii="宋体" w:hAnsi="宋体" w:eastAsia="宋体" w:cs="宋体"/>
          <w:bCs/>
          <w:color w:val="auto"/>
          <w:szCs w:val="21"/>
          <w:highlight w:val="none"/>
          <w:lang w:eastAsia="zh-CN"/>
        </w:rPr>
        <w:t>成交候选供应商</w:t>
      </w:r>
      <w:r>
        <w:rPr>
          <w:rFonts w:hint="eastAsia" w:ascii="宋体" w:hAnsi="宋体" w:eastAsia="宋体" w:cs="宋体"/>
          <w:bCs/>
          <w:color w:val="auto"/>
          <w:szCs w:val="21"/>
          <w:highlight w:val="none"/>
        </w:rPr>
        <w:t>放弃成交、因不可抗力提出不能履行合同，采购人可以确定排名第二的</w:t>
      </w:r>
      <w:r>
        <w:rPr>
          <w:rFonts w:hint="eastAsia" w:ascii="宋体" w:hAnsi="宋体" w:eastAsia="宋体" w:cs="宋体"/>
          <w:bCs/>
          <w:color w:val="auto"/>
          <w:szCs w:val="21"/>
          <w:highlight w:val="none"/>
          <w:lang w:eastAsia="zh-CN"/>
        </w:rPr>
        <w:t>成交候选供应商</w:t>
      </w:r>
      <w:r>
        <w:rPr>
          <w:rFonts w:hint="eastAsia" w:ascii="宋体" w:hAnsi="宋体" w:eastAsia="宋体" w:cs="宋体"/>
          <w:bCs/>
          <w:color w:val="auto"/>
          <w:szCs w:val="21"/>
          <w:highlight w:val="none"/>
        </w:rPr>
        <w:t>为成交供应商。排名第二的</w:t>
      </w:r>
      <w:r>
        <w:rPr>
          <w:rFonts w:hint="eastAsia" w:ascii="宋体" w:hAnsi="宋体" w:eastAsia="宋体" w:cs="宋体"/>
          <w:bCs/>
          <w:color w:val="auto"/>
          <w:szCs w:val="21"/>
          <w:highlight w:val="none"/>
          <w:lang w:eastAsia="zh-CN"/>
        </w:rPr>
        <w:t>成交候选供应商</w:t>
      </w:r>
      <w:r>
        <w:rPr>
          <w:rFonts w:hint="eastAsia" w:ascii="宋体" w:hAnsi="宋体" w:eastAsia="宋体" w:cs="宋体"/>
          <w:bCs/>
          <w:color w:val="auto"/>
          <w:szCs w:val="21"/>
          <w:highlight w:val="none"/>
        </w:rPr>
        <w:t>因前款规定的同样原因不能签订合同的，采购人可以确定排名第三的</w:t>
      </w:r>
      <w:r>
        <w:rPr>
          <w:rFonts w:hint="eastAsia" w:ascii="宋体" w:hAnsi="宋体" w:eastAsia="宋体" w:cs="宋体"/>
          <w:bCs/>
          <w:color w:val="auto"/>
          <w:szCs w:val="21"/>
          <w:highlight w:val="none"/>
          <w:lang w:eastAsia="zh-CN"/>
        </w:rPr>
        <w:t>成交候选供应商</w:t>
      </w:r>
      <w:r>
        <w:rPr>
          <w:rFonts w:hint="eastAsia" w:ascii="宋体" w:hAnsi="宋体" w:eastAsia="宋体" w:cs="宋体"/>
          <w:bCs/>
          <w:color w:val="auto"/>
          <w:szCs w:val="21"/>
          <w:highlight w:val="none"/>
        </w:rPr>
        <w:t>为成交供应商，以此类推。</w:t>
      </w:r>
    </w:p>
    <w:p w14:paraId="7012808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74F9358E">
      <w:pPr>
        <w:keepNext w:val="0"/>
        <w:keepLines w:val="0"/>
        <w:pageBreakBefore w:val="0"/>
        <w:widowControl w:val="0"/>
        <w:kinsoku/>
        <w:wordWrap/>
        <w:overflowPunct/>
        <w:topLinePunct w:val="0"/>
        <w:autoSpaceDE/>
        <w:autoSpaceDN/>
        <w:bidi w:val="0"/>
        <w:adjustRightInd/>
        <w:snapToGrid/>
        <w:spacing w:line="500" w:lineRule="exact"/>
        <w:ind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28.1履约保证金的金额、提交方式、退付的时间和条件详见“供应商须知前附表”。成交供应商未按规定提交履约保证金的，视为拒绝</w:t>
      </w:r>
      <w:r>
        <w:rPr>
          <w:rFonts w:hint="eastAsia" w:ascii="宋体" w:hAnsi="宋体" w:eastAsia="宋体" w:cs="宋体"/>
          <w:color w:val="auto"/>
          <w:highlight w:val="none"/>
        </w:rPr>
        <w:t>与采购人</w:t>
      </w:r>
      <w:r>
        <w:rPr>
          <w:rFonts w:hint="eastAsia" w:ascii="宋体" w:hAnsi="宋体" w:eastAsia="宋体" w:cs="宋体"/>
          <w:color w:val="auto"/>
          <w:szCs w:val="21"/>
          <w:highlight w:val="none"/>
        </w:rPr>
        <w:t>签订合同，采购人可以按照评审报告推荐的</w:t>
      </w:r>
      <w:r>
        <w:rPr>
          <w:rFonts w:hint="eastAsia" w:ascii="宋体" w:hAnsi="宋体" w:eastAsia="宋体" w:cs="宋体"/>
          <w:color w:val="auto"/>
          <w:szCs w:val="21"/>
          <w:highlight w:val="none"/>
          <w:lang w:eastAsia="zh-CN"/>
        </w:rPr>
        <w:t>成交候选供应商</w:t>
      </w:r>
      <w:r>
        <w:rPr>
          <w:rFonts w:hint="eastAsia" w:ascii="宋体" w:hAnsi="宋体" w:eastAsia="宋体" w:cs="宋体"/>
          <w:color w:val="auto"/>
          <w:szCs w:val="21"/>
          <w:highlight w:val="none"/>
        </w:rPr>
        <w:t>名单排序，确定下一候选人为成交供应商，也可以重新开展采购活动。</w:t>
      </w:r>
    </w:p>
    <w:p w14:paraId="3B990B7C">
      <w:pPr>
        <w:keepNext w:val="0"/>
        <w:keepLines w:val="0"/>
        <w:pageBreakBefore w:val="0"/>
        <w:widowControl w:val="0"/>
        <w:kinsoku/>
        <w:wordWrap/>
        <w:overflowPunct/>
        <w:topLinePunct w:val="0"/>
        <w:autoSpaceDE/>
        <w:autoSpaceDN/>
        <w:bidi w:val="0"/>
        <w:adjustRightInd/>
        <w:snapToGrid/>
        <w:spacing w:line="500" w:lineRule="exact"/>
        <w:ind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28.2签订合同后，如成交供应商不按双方签订的合同规定履约，则没收其全部履约保证金，履约保证金不足以赔偿损失的，按实际损失赔偿。</w:t>
      </w:r>
    </w:p>
    <w:p w14:paraId="1F7BBC50">
      <w:pPr>
        <w:keepNext w:val="0"/>
        <w:keepLines w:val="0"/>
        <w:pageBreakBefore w:val="0"/>
        <w:widowControl w:val="0"/>
        <w:kinsoku/>
        <w:wordWrap/>
        <w:overflowPunct/>
        <w:topLinePunct w:val="0"/>
        <w:autoSpaceDE/>
        <w:autoSpaceDN/>
        <w:bidi w:val="0"/>
        <w:adjustRightInd/>
        <w:snapToGrid/>
        <w:spacing w:line="500" w:lineRule="exact"/>
        <w:ind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28.3在履约保证金退还日期前，若成交供应商的开户名称、开户银行、</w:t>
      </w:r>
      <w:r>
        <w:rPr>
          <w:rFonts w:hint="eastAsia" w:ascii="宋体" w:hAnsi="宋体" w:eastAsia="宋体" w:cs="宋体"/>
          <w:color w:val="auto"/>
          <w:szCs w:val="21"/>
          <w:highlight w:val="none"/>
          <w:lang w:eastAsia="zh-CN"/>
        </w:rPr>
        <w:t>账号</w:t>
      </w:r>
      <w:r>
        <w:rPr>
          <w:rFonts w:hint="eastAsia" w:ascii="宋体" w:hAnsi="宋体" w:eastAsia="宋体" w:cs="宋体"/>
          <w:color w:val="auto"/>
          <w:szCs w:val="21"/>
          <w:highlight w:val="none"/>
        </w:rPr>
        <w:t>有变动的，请以书面形式通知履约保证金收取单位，否则由此产生的后果由成交供应商自行承担。</w:t>
      </w:r>
    </w:p>
    <w:p w14:paraId="1C648CA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355567A1">
      <w:pPr>
        <w:keepNext w:val="0"/>
        <w:keepLines w:val="0"/>
        <w:pageBreakBefore w:val="0"/>
        <w:widowControl w:val="0"/>
        <w:kinsoku/>
        <w:wordWrap/>
        <w:overflowPunct/>
        <w:topLinePunct w:val="0"/>
        <w:autoSpaceDE/>
        <w:autoSpaceDN/>
        <w:bidi w:val="0"/>
        <w:adjustRightInd/>
        <w:snapToGrid/>
        <w:spacing w:line="500" w:lineRule="exact"/>
        <w:ind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29.1成交供应商在收到成交通知书后，应当在签订合同时向采购人出示相关证明材料，具体内容详见“供应商须知前附表”，经采购人核验合格后方可签订合同。</w:t>
      </w:r>
    </w:p>
    <w:p w14:paraId="0D92754B">
      <w:pPr>
        <w:keepNext w:val="0"/>
        <w:keepLines w:val="0"/>
        <w:pageBreakBefore w:val="0"/>
        <w:widowControl w:val="0"/>
        <w:kinsoku/>
        <w:wordWrap/>
        <w:overflowPunct/>
        <w:topLinePunct w:val="0"/>
        <w:autoSpaceDE/>
        <w:autoSpaceDN/>
        <w:bidi w:val="0"/>
        <w:adjustRightInd/>
        <w:snapToGrid/>
        <w:spacing w:line="500" w:lineRule="exact"/>
        <w:ind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29.2签订合同时间：按成交通知书规定的时间与采购人签订采购合同。</w:t>
      </w:r>
    </w:p>
    <w:p w14:paraId="20F98CD9">
      <w:pPr>
        <w:keepNext w:val="0"/>
        <w:keepLines w:val="0"/>
        <w:pageBreakBefore w:val="0"/>
        <w:widowControl w:val="0"/>
        <w:kinsoku/>
        <w:wordWrap/>
        <w:overflowPunct/>
        <w:topLinePunct w:val="0"/>
        <w:autoSpaceDE/>
        <w:autoSpaceDN/>
        <w:bidi w:val="0"/>
        <w:adjustRightInd/>
        <w:snapToGrid/>
        <w:spacing w:line="500" w:lineRule="exact"/>
        <w:ind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29.3成交供应商拒绝与采购人签订合同的，采购人可以按照评审报告推荐的</w:t>
      </w:r>
      <w:r>
        <w:rPr>
          <w:rFonts w:hint="eastAsia" w:ascii="宋体" w:hAnsi="宋体" w:eastAsia="宋体" w:cs="宋体"/>
          <w:color w:val="auto"/>
          <w:szCs w:val="21"/>
          <w:highlight w:val="none"/>
          <w:lang w:eastAsia="zh-CN"/>
        </w:rPr>
        <w:t>成交候选供应商</w:t>
      </w:r>
      <w:r>
        <w:rPr>
          <w:rFonts w:hint="eastAsia" w:ascii="宋体" w:hAnsi="宋体" w:eastAsia="宋体" w:cs="宋体"/>
          <w:color w:val="auto"/>
          <w:szCs w:val="21"/>
          <w:highlight w:val="none"/>
        </w:rPr>
        <w:t>名单排序，确定下一候选人为成交供应商，也可以重新开展项目采购活动。拒绝签订采购合同的成交供应商不得参加对该合同项重新开展的采购活动。</w:t>
      </w:r>
    </w:p>
    <w:p w14:paraId="2C67DC3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30.采购合同公告：</w:t>
      </w: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645315A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31.询问、质疑和投诉</w:t>
      </w:r>
    </w:p>
    <w:p w14:paraId="2690360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31.1供应商对项目采购活动事项有疑问的，可以向采购人、采购代理机构提出询问，采购人或者采购代理机构应当在3个工作日内对供应商依法提出的询问作出答复</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但答复的内容不得涉及商业秘密</w:t>
      </w:r>
      <w:r>
        <w:rPr>
          <w:rFonts w:hint="eastAsia" w:ascii="宋体" w:hAnsi="宋体" w:eastAsia="宋体" w:cs="宋体"/>
          <w:color w:val="auto"/>
          <w:highlight w:val="none"/>
        </w:rPr>
        <w:t>。</w:t>
      </w:r>
    </w:p>
    <w:p w14:paraId="7AF2B99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商须</w:t>
      </w:r>
      <w:r>
        <w:rPr>
          <w:rFonts w:hint="eastAsia" w:ascii="宋体" w:hAnsi="宋体" w:eastAsia="宋体" w:cs="宋体"/>
          <w:color w:val="auto"/>
          <w:szCs w:val="21"/>
          <w:highlight w:val="none"/>
        </w:rPr>
        <w:t>知前附表”</w:t>
      </w:r>
      <w:r>
        <w:rPr>
          <w:rFonts w:hint="eastAsia" w:ascii="宋体" w:hAnsi="宋体" w:eastAsia="宋体" w:cs="宋体"/>
          <w:color w:val="auto"/>
          <w:highlight w:val="none"/>
        </w:rPr>
        <w:t>。具体质疑起算时间如下：</w:t>
      </w:r>
    </w:p>
    <w:p w14:paraId="2A596F0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（1）对可以质疑的磋商文件提出质疑的，为收到磋商文件之日或者竞争性磋商公告期限届满之日；</w:t>
      </w:r>
    </w:p>
    <w:p w14:paraId="093DC52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38C7AB6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14:paraId="0142205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31.3供应商提出的询问或者质疑超出采购人对采购代理机构委托授权范围的，采购代理机构应当告知供应商向采购人提出。项目采购评审专家应当配合采购人或者采购代理机构答复供应商的询问和质疑。</w:t>
      </w:r>
    </w:p>
    <w:p w14:paraId="311626A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31.4供应商提出质疑应当提交质疑函和必要的证明材料，针对同一采购程序环节的质疑必须在法定质疑期内一次性提出。质疑函应当包括下列内容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7804CCF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6859426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731804E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16EC265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76CEC9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0F37353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1BDC53C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7B7AA80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0F12AF6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4CED22D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w:t>
      </w:r>
      <w:r>
        <w:rPr>
          <w:rFonts w:hint="eastAsia" w:ascii="宋体" w:hAnsi="宋体" w:eastAsia="宋体" w:cs="宋体"/>
          <w:color w:val="auto"/>
          <w:highlight w:val="none"/>
          <w:lang w:eastAsia="zh-CN"/>
        </w:rPr>
        <w:t>成交候选供应商</w:t>
      </w:r>
      <w:r>
        <w:rPr>
          <w:rFonts w:hint="eastAsia" w:ascii="宋体" w:hAnsi="宋体" w:eastAsia="宋体" w:cs="宋体"/>
          <w:color w:val="auto"/>
          <w:highlight w:val="none"/>
        </w:rPr>
        <w:t>中另行确定成交供应商的，应当依法另行确定成交供应商；否则应当重新开展采购活动。</w:t>
      </w:r>
    </w:p>
    <w:p w14:paraId="65F61B6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质疑答复导致成交结果改变的，采购人或者采购代理机构应当将有关情况书面报告采购人监督管理部门。</w:t>
      </w:r>
    </w:p>
    <w:p w14:paraId="164870D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31.6投诉的权利。质疑供应商对采购人、采购代理机构的答复不满意，或者采购人、采购代理机构未在规定时间内作出答复的，可以在答复期满后15个工作日内向采购人监督管理部门提起投诉。</w:t>
      </w:r>
    </w:p>
    <w:p w14:paraId="7FB592C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32.其他内容</w:t>
      </w:r>
    </w:p>
    <w:p w14:paraId="34382867">
      <w:pPr>
        <w:keepNext w:val="0"/>
        <w:keepLines w:val="0"/>
        <w:pageBreakBefore w:val="0"/>
        <w:widowControl w:val="0"/>
        <w:tabs>
          <w:tab w:val="left" w:pos="2835"/>
        </w:tabs>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代理服务收费标准及缴费账户详见“供应商须知前附表”，供应商为联合体的，可以由联合体中的一方或者多方共同交纳</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代理服务费。</w:t>
      </w:r>
    </w:p>
    <w:p w14:paraId="32E8B0A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33.需要补充的其他内容</w:t>
      </w:r>
    </w:p>
    <w:p w14:paraId="29AC34A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33.1本磋商文件解释规则详见“供应商须知前附表”。</w:t>
      </w:r>
    </w:p>
    <w:p w14:paraId="2868087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33.2其他事项详见“供应商须知前附表”。</w:t>
      </w:r>
    </w:p>
    <w:p w14:paraId="6D663FE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cs="宋体"/>
          <w:color w:val="auto"/>
          <w:highlight w:val="none"/>
          <w:lang w:val="en-US" w:eastAsia="zh-CN"/>
        </w:rPr>
        <w:t>3</w:t>
      </w:r>
      <w:r>
        <w:rPr>
          <w:rFonts w:hint="eastAsia" w:ascii="宋体" w:hAnsi="宋体" w:eastAsia="宋体" w:cs="宋体"/>
          <w:color w:val="auto"/>
          <w:highlight w:val="none"/>
        </w:rPr>
        <w:t>.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货物符合下列情形的，享受本文件规定的中小企业扶持政策：</w:t>
      </w:r>
    </w:p>
    <w:p w14:paraId="632C7D5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在货物采购项目中，货物由中小企业制造，即货物由中小企业生产且使用该中小企业商号或者注册商标，不对其中涉及的工程承建商和货物的承接商作出要求；</w:t>
      </w:r>
    </w:p>
    <w:p w14:paraId="2C7FCDB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7D81EA3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依据本文件规定享受扶持政策获得政府采购合同的，小微企业不得将合同分包给大中型企业，中型企业不得将合同分包给大型企业。</w:t>
      </w:r>
    </w:p>
    <w:p w14:paraId="4AA55047">
      <w:pPr>
        <w:rPr>
          <w:rFonts w:hint="eastAsia" w:ascii="宋体" w:hAnsi="宋体" w:eastAsia="宋体" w:cs="宋体"/>
          <w:color w:val="auto"/>
          <w:highlight w:val="none"/>
        </w:rPr>
      </w:pPr>
      <w:bookmarkStart w:id="55" w:name="_Toc4409"/>
      <w:r>
        <w:rPr>
          <w:rFonts w:hint="eastAsia" w:ascii="宋体" w:hAnsi="宋体" w:eastAsia="宋体" w:cs="宋体"/>
          <w:color w:val="auto"/>
          <w:highlight w:val="none"/>
        </w:rPr>
        <w:br w:type="page"/>
      </w:r>
    </w:p>
    <w:p w14:paraId="22365671">
      <w:pPr>
        <w:pStyle w:val="3"/>
        <w:jc w:val="center"/>
        <w:rPr>
          <w:rFonts w:hint="eastAsia" w:ascii="宋体" w:hAnsi="宋体" w:eastAsia="宋体" w:cs="宋体"/>
          <w:color w:val="auto"/>
          <w:highlight w:val="none"/>
        </w:rPr>
      </w:pPr>
      <w:r>
        <w:rPr>
          <w:rFonts w:hint="eastAsia" w:ascii="宋体" w:hAnsi="宋体" w:eastAsia="宋体" w:cs="宋体"/>
          <w:color w:val="auto"/>
          <w:highlight w:val="none"/>
        </w:rPr>
        <w:t>第三章  采购需求</w:t>
      </w:r>
      <w:bookmarkEnd w:id="55"/>
    </w:p>
    <w:p w14:paraId="1817873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3B941897">
      <w:pPr>
        <w:spacing w:line="360" w:lineRule="auto"/>
        <w:ind w:firstLine="424" w:firstLineChars="20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1.为落实政府采购政策需满足的要求</w:t>
      </w:r>
    </w:p>
    <w:p w14:paraId="78AF9D2A">
      <w:pPr>
        <w:spacing w:line="360" w:lineRule="auto"/>
        <w:ind w:firstLine="424" w:firstLineChars="20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（1）本竞争性磋商采购文件所称中小企业必须符合《政府采购促进中小企业发展管理办法》（财库〔2020〕46号）的规定。</w:t>
      </w:r>
    </w:p>
    <w:p w14:paraId="756BA557">
      <w:pPr>
        <w:spacing w:line="360" w:lineRule="auto"/>
        <w:ind w:firstLine="424" w:firstLineChars="202"/>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2.“实质性要求”是指采购需求中带“▲”的条款或者不能负偏离的条款或者已经指明不满足</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响应文件</w:t>
      </w:r>
      <w:r>
        <w:rPr>
          <w:rFonts w:hint="eastAsia" w:ascii="宋体" w:hAnsi="宋体" w:eastAsia="宋体" w:cs="宋体"/>
          <w:color w:val="auto"/>
          <w:sz w:val="21"/>
          <w:szCs w:val="21"/>
          <w:highlight w:val="none"/>
          <w:lang w:val="en-US" w:eastAsia="zh-CN"/>
        </w:rPr>
        <w:t>按</w:t>
      </w:r>
      <w:r>
        <w:rPr>
          <w:rFonts w:hint="eastAsia" w:ascii="宋体" w:hAnsi="宋体" w:eastAsia="宋体" w:cs="宋体"/>
          <w:color w:val="auto"/>
          <w:sz w:val="21"/>
          <w:szCs w:val="21"/>
          <w:highlight w:val="none"/>
        </w:rPr>
        <w:t>无效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处理的条款。</w:t>
      </w:r>
      <w:r>
        <w:rPr>
          <w:rFonts w:hint="eastAsia" w:ascii="宋体" w:hAnsi="宋体" w:eastAsia="宋体" w:cs="宋体"/>
          <w:b/>
          <w:color w:val="auto"/>
          <w:sz w:val="21"/>
          <w:szCs w:val="21"/>
          <w:highlight w:val="none"/>
        </w:rPr>
        <w:t>本采购需求表凡标注“▲”的条款或要求不响应或不满足的，其响应文件</w:t>
      </w:r>
      <w:r>
        <w:rPr>
          <w:rFonts w:hint="eastAsia" w:ascii="宋体" w:hAnsi="宋体" w:eastAsia="宋体" w:cs="宋体"/>
          <w:b/>
          <w:color w:val="auto"/>
          <w:sz w:val="21"/>
          <w:szCs w:val="21"/>
          <w:highlight w:val="none"/>
          <w:lang w:val="en-US" w:eastAsia="zh-CN"/>
        </w:rPr>
        <w:t>按</w:t>
      </w:r>
      <w:r>
        <w:rPr>
          <w:rFonts w:hint="eastAsia" w:ascii="宋体" w:hAnsi="宋体" w:eastAsia="宋体" w:cs="宋体"/>
          <w:b/>
          <w:color w:val="auto"/>
          <w:sz w:val="21"/>
          <w:szCs w:val="21"/>
          <w:highlight w:val="none"/>
        </w:rPr>
        <w:t>无效</w:t>
      </w:r>
      <w:r>
        <w:rPr>
          <w:rFonts w:hint="eastAsia" w:ascii="宋体" w:hAnsi="宋体" w:eastAsia="宋体" w:cs="宋体"/>
          <w:b/>
          <w:color w:val="auto"/>
          <w:sz w:val="21"/>
          <w:szCs w:val="21"/>
          <w:highlight w:val="none"/>
          <w:lang w:val="en-US" w:eastAsia="zh-CN"/>
        </w:rPr>
        <w:t>响应</w:t>
      </w:r>
      <w:r>
        <w:rPr>
          <w:rFonts w:hint="eastAsia" w:ascii="宋体" w:hAnsi="宋体" w:eastAsia="宋体" w:cs="宋体"/>
          <w:b/>
          <w:color w:val="auto"/>
          <w:sz w:val="21"/>
          <w:szCs w:val="21"/>
          <w:highlight w:val="none"/>
        </w:rPr>
        <w:t>处理。</w:t>
      </w:r>
    </w:p>
    <w:p w14:paraId="44A62079">
      <w:pPr>
        <w:spacing w:line="360" w:lineRule="auto"/>
        <w:ind w:left="420" w:leftChars="20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.供应商必须自行为其竞标产品侵犯他人的知识产权或者专利成果的行为承担相应法律</w:t>
      </w:r>
    </w:p>
    <w:p w14:paraId="635AA9A9">
      <w:pPr>
        <w:spacing w:line="360" w:lineRule="auto"/>
        <w:ind w:firstLine="424" w:firstLineChars="20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.供应商应根据自身实际情况如实响应竞争性磋商文件。</w:t>
      </w:r>
    </w:p>
    <w:p w14:paraId="0399AB6A">
      <w:pPr>
        <w:tabs>
          <w:tab w:val="left" w:pos="180"/>
          <w:tab w:val="left" w:pos="1620"/>
        </w:tabs>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.本项目为服务类采购，无核心产品。</w:t>
      </w:r>
    </w:p>
    <w:p w14:paraId="1CEF1F65">
      <w:pPr>
        <w:tabs>
          <w:tab w:val="left" w:pos="180"/>
          <w:tab w:val="left" w:pos="1620"/>
        </w:tabs>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color w:val="auto"/>
          <w:sz w:val="21"/>
          <w:szCs w:val="21"/>
          <w:highlight w:val="none"/>
        </w:rPr>
        <w:t>最高限价：人民币</w:t>
      </w:r>
      <w:r>
        <w:rPr>
          <w:rFonts w:hint="eastAsia" w:ascii="宋体" w:hAnsi="宋体" w:eastAsia="宋体" w:cs="宋体"/>
          <w:color w:val="auto"/>
          <w:sz w:val="21"/>
          <w:szCs w:val="21"/>
          <w:highlight w:val="none"/>
          <w:lang w:val="en-US" w:eastAsia="zh-CN"/>
        </w:rPr>
        <w:t>贰佰玖拾叁万元整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2930000</w:t>
      </w:r>
      <w:r>
        <w:rPr>
          <w:rFonts w:hint="eastAsia" w:ascii="宋体" w:hAnsi="宋体" w:eastAsia="宋体" w:cs="宋体"/>
          <w:color w:val="auto"/>
          <w:sz w:val="21"/>
          <w:szCs w:val="21"/>
          <w:highlight w:val="none"/>
          <w:lang w:eastAsia="zh-CN"/>
        </w:rPr>
        <w:t>.00）</w:t>
      </w:r>
    </w:p>
    <w:p w14:paraId="341AAECF">
      <w:pPr>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所属行业：其他未列明行业</w:t>
      </w:r>
    </w:p>
    <w:p w14:paraId="2ABB2B80">
      <w:pPr>
        <w:tabs>
          <w:tab w:val="left" w:pos="180"/>
          <w:tab w:val="left" w:pos="1620"/>
        </w:tabs>
        <w:spacing w:line="360" w:lineRule="auto"/>
        <w:ind w:firstLine="420" w:firstLineChars="200"/>
        <w:rPr>
          <w:rFonts w:hint="eastAsia" w:ascii="宋体" w:hAnsi="宋体" w:eastAsia="宋体" w:cs="宋体"/>
          <w:b w:val="0"/>
          <w:bCs w:val="0"/>
          <w:color w:val="auto"/>
          <w:szCs w:val="21"/>
          <w:highlight w:val="none"/>
        </w:rPr>
      </w:pPr>
    </w:p>
    <w:tbl>
      <w:tblPr>
        <w:tblStyle w:val="29"/>
        <w:tblW w:w="9489" w:type="dxa"/>
        <w:jc w:val="center"/>
        <w:tblLayout w:type="fixed"/>
        <w:tblCellMar>
          <w:top w:w="0" w:type="dxa"/>
          <w:left w:w="108" w:type="dxa"/>
          <w:bottom w:w="0" w:type="dxa"/>
          <w:right w:w="108" w:type="dxa"/>
        </w:tblCellMar>
      </w:tblPr>
      <w:tblGrid>
        <w:gridCol w:w="561"/>
        <w:gridCol w:w="1275"/>
        <w:gridCol w:w="765"/>
        <w:gridCol w:w="306"/>
        <w:gridCol w:w="444"/>
        <w:gridCol w:w="757"/>
        <w:gridCol w:w="5381"/>
      </w:tblGrid>
      <w:tr w14:paraId="7420A9E0">
        <w:tblPrEx>
          <w:tblCellMar>
            <w:top w:w="0" w:type="dxa"/>
            <w:left w:w="108" w:type="dxa"/>
            <w:bottom w:w="0" w:type="dxa"/>
            <w:right w:w="108" w:type="dxa"/>
          </w:tblCellMar>
        </w:tblPrEx>
        <w:trPr>
          <w:trHeight w:val="405" w:hRule="atLeast"/>
          <w:jc w:val="center"/>
        </w:trPr>
        <w:tc>
          <w:tcPr>
            <w:tcW w:w="9489" w:type="dxa"/>
            <w:gridSpan w:val="7"/>
            <w:tcBorders>
              <w:top w:val="single" w:color="000000" w:sz="4" w:space="0"/>
              <w:left w:val="single" w:color="000000" w:sz="4" w:space="0"/>
              <w:bottom w:val="single" w:color="000000" w:sz="4" w:space="0"/>
              <w:right w:val="single" w:color="000000" w:sz="4" w:space="0"/>
            </w:tcBorders>
            <w:noWrap w:val="0"/>
            <w:vAlign w:val="center"/>
          </w:tcPr>
          <w:p w14:paraId="59EA71A4">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color w:val="auto"/>
                <w:kern w:val="0"/>
                <w:sz w:val="21"/>
                <w:szCs w:val="21"/>
                <w:highlight w:val="none"/>
                <w:lang w:bidi="ar"/>
              </w:rPr>
            </w:pPr>
            <w:bookmarkStart w:id="56" w:name="_Hlk49244316"/>
            <w:bookmarkStart w:id="57" w:name="_Hlk44408151"/>
            <w:r>
              <w:rPr>
                <w:rFonts w:hint="eastAsia" w:ascii="宋体" w:hAnsi="宋体" w:eastAsia="宋体" w:cs="宋体"/>
                <w:b/>
                <w:bCs/>
                <w:color w:val="auto"/>
                <w:szCs w:val="21"/>
                <w:highlight w:val="none"/>
              </w:rPr>
              <w:t>技术或服务要求</w:t>
            </w:r>
          </w:p>
        </w:tc>
      </w:tr>
      <w:tr w14:paraId="58D1317D">
        <w:tblPrEx>
          <w:tblCellMar>
            <w:top w:w="0" w:type="dxa"/>
            <w:left w:w="108" w:type="dxa"/>
            <w:bottom w:w="0" w:type="dxa"/>
            <w:right w:w="108" w:type="dxa"/>
          </w:tblCellMar>
        </w:tblPrEx>
        <w:trPr>
          <w:trHeight w:val="609" w:hRule="atLeast"/>
          <w:jc w:val="center"/>
        </w:trPr>
        <w:tc>
          <w:tcPr>
            <w:tcW w:w="561" w:type="dxa"/>
            <w:tcBorders>
              <w:top w:val="single" w:color="000000" w:sz="4" w:space="0"/>
              <w:left w:val="single" w:color="000000" w:sz="4" w:space="0"/>
              <w:bottom w:val="single" w:color="000000" w:sz="4" w:space="0"/>
              <w:right w:val="single" w:color="auto" w:sz="4" w:space="0"/>
            </w:tcBorders>
            <w:noWrap w:val="0"/>
            <w:vAlign w:val="center"/>
          </w:tcPr>
          <w:p w14:paraId="75727F2F">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27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2ED3F26">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标的名称</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33513CD">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数量</w:t>
            </w:r>
          </w:p>
        </w:tc>
        <w:tc>
          <w:tcPr>
            <w:tcW w:w="750" w:type="dxa"/>
            <w:gridSpan w:val="2"/>
            <w:tcBorders>
              <w:top w:val="single" w:color="000000" w:sz="4" w:space="0"/>
              <w:left w:val="single" w:color="000000" w:sz="4" w:space="0"/>
              <w:bottom w:val="single" w:color="000000" w:sz="4" w:space="0"/>
              <w:right w:val="single" w:color="000000" w:sz="4" w:space="0"/>
            </w:tcBorders>
            <w:noWrap w:val="0"/>
            <w:vAlign w:val="center"/>
          </w:tcPr>
          <w:p w14:paraId="525E40E3">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61F87C84">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1"/>
                <w:szCs w:val="21"/>
                <w:highlight w:val="none"/>
              </w:rPr>
            </w:pPr>
            <w:bookmarkStart w:id="58" w:name="OLE_LINK1"/>
            <w:r>
              <w:rPr>
                <w:rFonts w:hint="eastAsia" w:ascii="宋体" w:hAnsi="宋体" w:eastAsia="宋体" w:cs="宋体"/>
                <w:color w:val="auto"/>
                <w:kern w:val="0"/>
                <w:sz w:val="21"/>
                <w:szCs w:val="21"/>
                <w:highlight w:val="none"/>
                <w:lang w:bidi="ar"/>
              </w:rPr>
              <w:t>所属行业</w:t>
            </w:r>
            <w:bookmarkEnd w:id="58"/>
          </w:p>
        </w:tc>
        <w:tc>
          <w:tcPr>
            <w:tcW w:w="5381" w:type="dxa"/>
            <w:tcBorders>
              <w:top w:val="single" w:color="000000" w:sz="4" w:space="0"/>
              <w:left w:val="single" w:color="000000" w:sz="4" w:space="0"/>
              <w:bottom w:val="single" w:color="000000" w:sz="4" w:space="0"/>
              <w:right w:val="single" w:color="000000" w:sz="4" w:space="0"/>
            </w:tcBorders>
            <w:noWrap w:val="0"/>
            <w:vAlign w:val="center"/>
          </w:tcPr>
          <w:p w14:paraId="79FDEBEA">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技术或服务要求</w:t>
            </w:r>
          </w:p>
        </w:tc>
      </w:tr>
      <w:tr w14:paraId="4B9050C6">
        <w:tblPrEx>
          <w:tblCellMar>
            <w:top w:w="0" w:type="dxa"/>
            <w:left w:w="108" w:type="dxa"/>
            <w:bottom w:w="0" w:type="dxa"/>
            <w:right w:w="108" w:type="dxa"/>
          </w:tblCellMar>
        </w:tblPrEx>
        <w:trPr>
          <w:trHeight w:val="640" w:hRule="atLeast"/>
          <w:jc w:val="center"/>
        </w:trPr>
        <w:tc>
          <w:tcPr>
            <w:tcW w:w="561" w:type="dxa"/>
            <w:tcBorders>
              <w:top w:val="single" w:color="000000" w:sz="4" w:space="0"/>
              <w:left w:val="single" w:color="000000" w:sz="4" w:space="0"/>
              <w:bottom w:val="single" w:color="000000" w:sz="4" w:space="0"/>
              <w:right w:val="single" w:color="auto" w:sz="4" w:space="0"/>
            </w:tcBorders>
            <w:noWrap w:val="0"/>
            <w:vAlign w:val="center"/>
          </w:tcPr>
          <w:p w14:paraId="16BB13EA">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27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55745ED">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2026年教职工体检服务采购</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82CE8E3">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750" w:type="dxa"/>
            <w:gridSpan w:val="2"/>
            <w:tcBorders>
              <w:top w:val="single" w:color="000000" w:sz="4" w:space="0"/>
              <w:left w:val="single" w:color="000000" w:sz="4" w:space="0"/>
              <w:bottom w:val="single" w:color="000000" w:sz="4" w:space="0"/>
              <w:right w:val="single" w:color="000000" w:sz="4" w:space="0"/>
            </w:tcBorders>
            <w:noWrap w:val="0"/>
            <w:vAlign w:val="center"/>
          </w:tcPr>
          <w:p w14:paraId="7E1E6A17">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3A8D8860">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其他未列明行业</w:t>
            </w:r>
          </w:p>
        </w:tc>
        <w:tc>
          <w:tcPr>
            <w:tcW w:w="5381" w:type="dxa"/>
            <w:tcBorders>
              <w:top w:val="single" w:color="000000" w:sz="4" w:space="0"/>
              <w:left w:val="single" w:color="000000" w:sz="4" w:space="0"/>
              <w:bottom w:val="single" w:color="000000" w:sz="4" w:space="0"/>
              <w:right w:val="single" w:color="000000" w:sz="4" w:space="0"/>
            </w:tcBorders>
            <w:noWrap w:val="0"/>
            <w:vAlign w:val="top"/>
          </w:tcPr>
          <w:p w14:paraId="01C52599">
            <w:pPr>
              <w:keepNext w:val="0"/>
              <w:keepLines w:val="0"/>
              <w:pageBreakBefore w:val="0"/>
              <w:numPr>
                <w:ilvl w:val="0"/>
                <w:numId w:val="0"/>
              </w:numPr>
              <w:kinsoku/>
              <w:wordWrap/>
              <w:overflowPunct/>
              <w:topLinePunct w:val="0"/>
              <w:autoSpaceDE/>
              <w:autoSpaceDN/>
              <w:bidi w:val="0"/>
              <w:adjustRightInd/>
              <w:snapToGrid/>
              <w:spacing w:line="50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一、体检服务</w:t>
            </w:r>
          </w:p>
          <w:p w14:paraId="44756B7D">
            <w:pPr>
              <w:keepNext w:val="0"/>
              <w:keepLines w:val="0"/>
              <w:pageBreakBefore w:val="0"/>
              <w:numPr>
                <w:ilvl w:val="0"/>
                <w:numId w:val="0"/>
              </w:numPr>
              <w:kinsoku/>
              <w:wordWrap/>
              <w:overflowPunct/>
              <w:topLinePunct w:val="0"/>
              <w:autoSpaceDE/>
              <w:autoSpaceDN/>
              <w:bidi w:val="0"/>
              <w:adjustRightInd/>
              <w:snapToGrid/>
              <w:spacing w:line="5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自治区保健办关于开展2025年自治区本级机关事业单位工作人员健康体检工作的通知》（桂保健办〔2025〕3号）要求，结合学校关于加强教职工健康保障的相关部署，为切实维护教职工身心健康，现拟组织开展2026年全校教职工健康体检工作。</w:t>
            </w:r>
          </w:p>
          <w:p w14:paraId="6CCD20B5">
            <w:pPr>
              <w:keepNext w:val="0"/>
              <w:keepLines w:val="0"/>
              <w:pageBreakBefore w:val="0"/>
              <w:numPr>
                <w:ilvl w:val="0"/>
                <w:numId w:val="0"/>
              </w:numPr>
              <w:kinsoku/>
              <w:wordWrap/>
              <w:overflowPunct/>
              <w:topLinePunct w:val="0"/>
              <w:autoSpaceDE/>
              <w:autoSpaceDN/>
              <w:bidi w:val="0"/>
              <w:adjustRightInd/>
              <w:snapToGrid/>
              <w:spacing w:line="500" w:lineRule="exact"/>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体检人数</w:t>
            </w:r>
            <w:r>
              <w:rPr>
                <w:rFonts w:hint="eastAsia" w:ascii="宋体" w:hAnsi="宋体" w:eastAsia="宋体" w:cs="宋体"/>
                <w:color w:val="auto"/>
                <w:sz w:val="21"/>
                <w:szCs w:val="21"/>
                <w:highlight w:val="none"/>
              </w:rPr>
              <w:t>：</w:t>
            </w:r>
          </w:p>
          <w:p w14:paraId="20143E50">
            <w:pPr>
              <w:keepNext w:val="0"/>
              <w:keepLines w:val="0"/>
              <w:pageBreakBefore w:val="0"/>
              <w:kinsoku/>
              <w:wordWrap/>
              <w:overflowPunct/>
              <w:topLinePunct w:val="0"/>
              <w:autoSpaceDE/>
              <w:autoSpaceDN/>
              <w:bidi w:val="0"/>
              <w:adjustRightInd/>
              <w:snapToGrid/>
              <w:spacing w:line="5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.体检人数约2</w:t>
            </w:r>
            <w:r>
              <w:rPr>
                <w:rFonts w:hint="eastAsia" w:ascii="宋体" w:hAnsi="宋体" w:eastAsia="宋体" w:cs="宋体"/>
                <w:color w:val="auto"/>
                <w:sz w:val="21"/>
                <w:szCs w:val="21"/>
                <w:highlight w:val="none"/>
                <w:lang w:val="en-US" w:eastAsia="zh-CN"/>
              </w:rPr>
              <w:t>06</w:t>
            </w:r>
            <w:r>
              <w:rPr>
                <w:rFonts w:hint="eastAsia" w:ascii="宋体" w:hAnsi="宋体" w:eastAsia="宋体" w:cs="宋体"/>
                <w:color w:val="auto"/>
                <w:sz w:val="21"/>
                <w:szCs w:val="21"/>
                <w:highlight w:val="none"/>
              </w:rPr>
              <w:t>0人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其中男性：</w:t>
            </w:r>
            <w:r>
              <w:rPr>
                <w:rFonts w:hint="eastAsia" w:ascii="微软雅黑" w:hAnsi="微软雅黑" w:eastAsia="微软雅黑" w:cs="微软雅黑"/>
                <w:color w:val="auto"/>
                <w:sz w:val="21"/>
                <w:szCs w:val="21"/>
                <w:highlight w:val="none"/>
                <w:lang w:val="en-US" w:eastAsia="zh-CN"/>
              </w:rPr>
              <w:t>&lt;</w:t>
            </w:r>
            <w:r>
              <w:rPr>
                <w:rFonts w:hint="eastAsia" w:ascii="宋体" w:hAnsi="宋体" w:cs="宋体"/>
                <w:color w:val="auto"/>
                <w:sz w:val="21"/>
                <w:szCs w:val="21"/>
                <w:highlight w:val="none"/>
                <w:lang w:val="en-US" w:eastAsia="zh-CN"/>
              </w:rPr>
              <w:t>40岁约138人，</w:t>
            </w:r>
            <w:r>
              <w:rPr>
                <w:rFonts w:hint="default" w:ascii="Arial" w:hAnsi="Arial" w:cs="Arial"/>
                <w:color w:val="auto"/>
                <w:sz w:val="21"/>
                <w:szCs w:val="21"/>
                <w:highlight w:val="none"/>
                <w:lang w:val="en-US" w:eastAsia="zh-CN"/>
              </w:rPr>
              <w:t>≥</w:t>
            </w:r>
            <w:r>
              <w:rPr>
                <w:rFonts w:hint="eastAsia" w:ascii="宋体" w:hAnsi="宋体" w:cs="宋体"/>
                <w:color w:val="auto"/>
                <w:sz w:val="21"/>
                <w:szCs w:val="21"/>
                <w:highlight w:val="none"/>
                <w:lang w:val="en-US" w:eastAsia="zh-CN"/>
              </w:rPr>
              <w:t>40岁约717人，女性：</w:t>
            </w:r>
            <w:r>
              <w:rPr>
                <w:rFonts w:hint="eastAsia" w:ascii="微软雅黑" w:hAnsi="微软雅黑" w:eastAsia="微软雅黑" w:cs="微软雅黑"/>
                <w:color w:val="auto"/>
                <w:sz w:val="21"/>
                <w:szCs w:val="21"/>
                <w:highlight w:val="none"/>
                <w:lang w:val="en-US" w:eastAsia="zh-CN"/>
              </w:rPr>
              <w:t>&lt;</w:t>
            </w:r>
            <w:r>
              <w:rPr>
                <w:rFonts w:hint="eastAsia" w:ascii="宋体" w:hAnsi="宋体" w:cs="宋体"/>
                <w:color w:val="auto"/>
                <w:sz w:val="21"/>
                <w:szCs w:val="21"/>
                <w:highlight w:val="none"/>
                <w:lang w:val="en-US" w:eastAsia="zh-CN"/>
              </w:rPr>
              <w:t>40岁约374人，</w:t>
            </w:r>
            <w:r>
              <w:rPr>
                <w:rFonts w:hint="default" w:ascii="Arial" w:hAnsi="Arial" w:cs="Arial"/>
                <w:color w:val="auto"/>
                <w:sz w:val="21"/>
                <w:szCs w:val="21"/>
                <w:highlight w:val="none"/>
                <w:lang w:val="en-US" w:eastAsia="zh-CN"/>
              </w:rPr>
              <w:t>≥</w:t>
            </w:r>
            <w:r>
              <w:rPr>
                <w:rFonts w:hint="eastAsia" w:ascii="宋体" w:hAnsi="宋体" w:cs="宋体"/>
                <w:color w:val="auto"/>
                <w:sz w:val="21"/>
                <w:szCs w:val="21"/>
                <w:highlight w:val="none"/>
                <w:lang w:val="en-US" w:eastAsia="zh-CN"/>
              </w:rPr>
              <w:t>40岁约830人，具体以实际体检人数信息为准</w:t>
            </w:r>
            <w:r>
              <w:rPr>
                <w:rFonts w:hint="eastAsia" w:ascii="宋体" w:hAnsi="宋体" w:cs="宋体"/>
                <w:color w:val="auto"/>
                <w:sz w:val="21"/>
                <w:szCs w:val="21"/>
                <w:highlight w:val="none"/>
                <w:lang w:eastAsia="zh-CN"/>
              </w:rPr>
              <w:t>。</w:t>
            </w:r>
          </w:p>
          <w:p w14:paraId="7152F2A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最终体检人数有浮动的可能，结算以实际体检人数乘以最终报价单价为准。</w:t>
            </w:r>
          </w:p>
          <w:p w14:paraId="3D1D7DFC">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体检时间：</w:t>
            </w:r>
            <w:r>
              <w:rPr>
                <w:rFonts w:hint="eastAsia" w:ascii="宋体" w:hAnsi="宋体" w:eastAsia="宋体" w:cs="宋体"/>
                <w:color w:val="auto"/>
                <w:szCs w:val="21"/>
                <w:highlight w:val="none"/>
                <w:lang w:eastAsia="zh-CN"/>
              </w:rPr>
              <w:t>自合同签订之日起至2026年12月底前（以采购人具体时间为准）</w:t>
            </w:r>
            <w:r>
              <w:rPr>
                <w:rFonts w:hint="eastAsia" w:ascii="宋体" w:hAnsi="宋体" w:eastAsia="宋体" w:cs="宋体"/>
                <w:color w:val="auto"/>
                <w:sz w:val="21"/>
                <w:szCs w:val="21"/>
                <w:highlight w:val="none"/>
                <w:lang w:val="en-US" w:eastAsia="zh-CN"/>
              </w:rPr>
              <w:t>。</w:t>
            </w:r>
          </w:p>
          <w:p w14:paraId="47AF0196">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体检地点：</w:t>
            </w:r>
            <w:r>
              <w:rPr>
                <w:rFonts w:hint="eastAsia" w:ascii="宋体" w:hAnsi="宋体" w:eastAsia="宋体" w:cs="宋体"/>
                <w:color w:val="auto"/>
                <w:kern w:val="2"/>
                <w:sz w:val="21"/>
                <w:szCs w:val="21"/>
                <w:highlight w:val="none"/>
                <w:lang w:val="en-US" w:eastAsia="zh-CN" w:bidi="ar"/>
              </w:rPr>
              <w:t>南宁市内供应商提供的体检场所</w:t>
            </w:r>
            <w:r>
              <w:rPr>
                <w:rFonts w:hint="eastAsia" w:ascii="宋体" w:hAnsi="宋体" w:eastAsia="宋体" w:cs="宋体"/>
                <w:color w:val="auto"/>
                <w:sz w:val="21"/>
                <w:szCs w:val="21"/>
                <w:highlight w:val="none"/>
                <w:lang w:val="en-US" w:eastAsia="zh-CN"/>
              </w:rPr>
              <w:t>。</w:t>
            </w:r>
          </w:p>
          <w:p w14:paraId="4A990FB3">
            <w:pPr>
              <w:keepNext w:val="0"/>
              <w:keepLines w:val="0"/>
              <w:pageBreakBefore w:val="0"/>
              <w:kinsoku/>
              <w:wordWrap/>
              <w:overflowPunct/>
              <w:topLinePunct w:val="0"/>
              <w:autoSpaceDE/>
              <w:autoSpaceDN/>
              <w:bidi w:val="0"/>
              <w:adjustRightInd/>
              <w:snapToGrid/>
              <w:spacing w:line="50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工作要求</w:t>
            </w:r>
          </w:p>
          <w:p w14:paraId="5BCA4EE9">
            <w:pPr>
              <w:keepNext w:val="0"/>
              <w:keepLines w:val="0"/>
              <w:pageBreakBefore w:val="0"/>
              <w:kinsoku/>
              <w:wordWrap/>
              <w:overflowPunct/>
              <w:topLinePunct w:val="0"/>
              <w:autoSpaceDE/>
              <w:autoSpaceDN/>
              <w:bidi w:val="0"/>
              <w:adjustRightInd/>
              <w:snapToGrid/>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▲1.供应商设有独立体检场所、配备体检专用设备。</w:t>
            </w:r>
          </w:p>
          <w:p w14:paraId="2534DE51">
            <w:pPr>
              <w:keepNext w:val="0"/>
              <w:keepLines w:val="0"/>
              <w:pageBreakBefore w:val="0"/>
              <w:kinsoku/>
              <w:wordWrap/>
              <w:overflowPunct/>
              <w:topLinePunct w:val="0"/>
              <w:autoSpaceDE/>
              <w:autoSpaceDN/>
              <w:bidi w:val="0"/>
              <w:adjustRightInd/>
              <w:snapToGrid/>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2.发现参检者体检结果有异常情况，及时通知到参检者本人，为有需要者提供有效的健康管理方案或治疗方案，必要时为需进一步检查或需住院治疗的参检人开辟绿色通道，提供预约床位、就诊、检查等服务。</w:t>
            </w:r>
          </w:p>
          <w:p w14:paraId="2FB66FE4">
            <w:pPr>
              <w:keepNext w:val="0"/>
              <w:keepLines w:val="0"/>
              <w:pageBreakBefore w:val="0"/>
              <w:kinsoku/>
              <w:wordWrap/>
              <w:overflowPunct/>
              <w:topLinePunct w:val="0"/>
              <w:autoSpaceDE/>
              <w:autoSpaceDN/>
              <w:bidi w:val="0"/>
              <w:adjustRightInd/>
              <w:snapToGrid/>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▲3.为广西财经学院职工安排集中体检的日期，做到不掺杂其他单位人员。发放体检材料，保证按约定时间开展体检工作。</w:t>
            </w:r>
          </w:p>
          <w:p w14:paraId="7D805996">
            <w:pPr>
              <w:keepNext w:val="0"/>
              <w:keepLines w:val="0"/>
              <w:pageBreakBefore w:val="0"/>
              <w:kinsoku/>
              <w:wordWrap/>
              <w:overflowPunct/>
              <w:topLinePunct w:val="0"/>
              <w:autoSpaceDE/>
              <w:autoSpaceDN/>
              <w:bidi w:val="0"/>
              <w:adjustRightInd/>
              <w:snapToGrid/>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4.供应商停车场能为采购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开车前往的参检者提供停车位。</w:t>
            </w:r>
          </w:p>
          <w:p w14:paraId="205AE04C">
            <w:pPr>
              <w:keepNext w:val="0"/>
              <w:keepLines w:val="0"/>
              <w:pageBreakBefore w:val="0"/>
              <w:kinsoku/>
              <w:wordWrap/>
              <w:overflowPunct/>
              <w:topLinePunct w:val="0"/>
              <w:autoSpaceDE/>
              <w:autoSpaceDN/>
              <w:bidi w:val="0"/>
              <w:adjustRightInd/>
              <w:snapToGrid/>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▲5.体检结束后一个月内将个人体检书面报告整理完成送达采购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指定办公室、全体参检人员体检结果原始数据汇总电子版、体检结果分析、总结发送到采购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相关联系人邮箱。</w:t>
            </w:r>
          </w:p>
          <w:p w14:paraId="26C7299F">
            <w:pPr>
              <w:keepNext w:val="0"/>
              <w:keepLines w:val="0"/>
              <w:pageBreakBefore w:val="0"/>
              <w:kinsoku/>
              <w:wordWrap/>
              <w:overflowPunct/>
              <w:topLinePunct w:val="0"/>
              <w:autoSpaceDE/>
              <w:autoSpaceDN/>
              <w:bidi w:val="0"/>
              <w:adjustRightInd/>
              <w:snapToGrid/>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6.体检项目中的化验结果、仪器检查结果与门诊就医系统共享。</w:t>
            </w:r>
          </w:p>
          <w:p w14:paraId="7C827849">
            <w:pPr>
              <w:keepNext w:val="0"/>
              <w:keepLines w:val="0"/>
              <w:pageBreakBefore w:val="0"/>
              <w:kinsoku/>
              <w:wordWrap/>
              <w:overflowPunct/>
              <w:topLinePunct w:val="0"/>
              <w:autoSpaceDE/>
              <w:autoSpaceDN/>
              <w:bidi w:val="0"/>
              <w:adjustRightInd/>
              <w:snapToGrid/>
              <w:spacing w:line="500" w:lineRule="exact"/>
              <w:ind w:firstLine="422" w:firstLineChars="200"/>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体检项目：</w:t>
            </w:r>
            <w:r>
              <w:rPr>
                <w:rFonts w:hint="eastAsia" w:ascii="宋体" w:hAnsi="宋体" w:eastAsia="宋体" w:cs="宋体"/>
                <w:color w:val="auto"/>
                <w:sz w:val="21"/>
                <w:szCs w:val="21"/>
                <w:highlight w:val="none"/>
                <w:lang w:val="en-US" w:eastAsia="zh-CN"/>
              </w:rPr>
              <w:t>详见</w:t>
            </w:r>
            <w:r>
              <w:rPr>
                <w:rFonts w:hint="eastAsia" w:ascii="宋体" w:hAnsi="宋体" w:eastAsia="宋体" w:cs="宋体"/>
                <w:b w:val="0"/>
                <w:color w:val="auto"/>
                <w:kern w:val="2"/>
                <w:sz w:val="21"/>
                <w:szCs w:val="21"/>
                <w:highlight w:val="none"/>
                <w:lang w:val="en-US" w:eastAsia="zh-CN" w:bidi="ar-SA"/>
              </w:rPr>
              <w:t>附表一。</w:t>
            </w:r>
          </w:p>
        </w:tc>
      </w:tr>
      <w:tr w14:paraId="3B53B006">
        <w:tblPrEx>
          <w:tblCellMar>
            <w:top w:w="0" w:type="dxa"/>
            <w:left w:w="108" w:type="dxa"/>
            <w:bottom w:w="0" w:type="dxa"/>
            <w:right w:w="108" w:type="dxa"/>
          </w:tblCellMar>
        </w:tblPrEx>
        <w:trPr>
          <w:trHeight w:val="640" w:hRule="atLeast"/>
          <w:jc w:val="center"/>
        </w:trPr>
        <w:tc>
          <w:tcPr>
            <w:tcW w:w="9489" w:type="dxa"/>
            <w:gridSpan w:val="7"/>
            <w:tcBorders>
              <w:top w:val="single" w:color="000000" w:sz="4" w:space="0"/>
              <w:left w:val="single" w:color="000000" w:sz="4" w:space="0"/>
              <w:bottom w:val="single" w:color="000000" w:sz="4" w:space="0"/>
              <w:right w:val="single" w:color="000000" w:sz="4" w:space="0"/>
            </w:tcBorders>
            <w:noWrap w:val="0"/>
            <w:vAlign w:val="center"/>
          </w:tcPr>
          <w:p w14:paraId="6449E853">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color w:val="auto"/>
                <w:kern w:val="0"/>
                <w:sz w:val="21"/>
                <w:szCs w:val="21"/>
                <w:highlight w:val="none"/>
                <w:lang w:val="en-US" w:eastAsia="zh-CN" w:bidi="ar"/>
              </w:rPr>
            </w:pPr>
            <w: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t>▲</w:t>
            </w:r>
            <w:r>
              <w:rPr>
                <w:rFonts w:hint="eastAsia" w:ascii="宋体" w:hAnsi="宋体" w:eastAsia="宋体" w:cs="宋体"/>
                <w:b/>
                <w:color w:val="auto"/>
                <w:kern w:val="0"/>
                <w:sz w:val="21"/>
                <w:szCs w:val="21"/>
                <w:highlight w:val="none"/>
                <w:lang w:bidi="ar"/>
              </w:rPr>
              <w:t>商务</w:t>
            </w:r>
            <w:r>
              <w:rPr>
                <w:rFonts w:hint="eastAsia" w:ascii="宋体" w:hAnsi="宋体" w:eastAsia="宋体" w:cs="宋体"/>
                <w:b/>
                <w:color w:val="auto"/>
                <w:kern w:val="0"/>
                <w:sz w:val="21"/>
                <w:szCs w:val="21"/>
                <w:highlight w:val="none"/>
                <w:lang w:val="en-US" w:eastAsia="zh-CN" w:bidi="ar"/>
              </w:rPr>
              <w:t>条款</w:t>
            </w:r>
          </w:p>
        </w:tc>
      </w:tr>
      <w:tr w14:paraId="1F358271">
        <w:tblPrEx>
          <w:tblCellMar>
            <w:top w:w="0" w:type="dxa"/>
            <w:left w:w="108" w:type="dxa"/>
            <w:bottom w:w="0" w:type="dxa"/>
            <w:right w:w="108" w:type="dxa"/>
          </w:tblCellMar>
        </w:tblPrEx>
        <w:trPr>
          <w:trHeight w:val="717" w:hRule="atLeast"/>
          <w:jc w:val="center"/>
        </w:trPr>
        <w:tc>
          <w:tcPr>
            <w:tcW w:w="2907" w:type="dxa"/>
            <w:gridSpan w:val="4"/>
            <w:tcBorders>
              <w:top w:val="single" w:color="000000" w:sz="4" w:space="0"/>
              <w:left w:val="single" w:color="000000" w:sz="4" w:space="0"/>
              <w:bottom w:val="single" w:color="000000" w:sz="4" w:space="0"/>
              <w:right w:val="single" w:color="000000" w:sz="4" w:space="0"/>
            </w:tcBorders>
            <w:noWrap w:val="0"/>
            <w:vAlign w:val="center"/>
          </w:tcPr>
          <w:p w14:paraId="08C8C8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合同签订时间</w:t>
            </w:r>
          </w:p>
        </w:tc>
        <w:tc>
          <w:tcPr>
            <w:tcW w:w="6582" w:type="dxa"/>
            <w:gridSpan w:val="3"/>
            <w:tcBorders>
              <w:top w:val="single" w:color="000000" w:sz="4" w:space="0"/>
              <w:left w:val="single" w:color="000000" w:sz="4" w:space="0"/>
              <w:bottom w:val="single" w:color="000000" w:sz="4" w:space="0"/>
              <w:right w:val="single" w:color="000000" w:sz="4" w:space="0"/>
            </w:tcBorders>
            <w:noWrap w:val="0"/>
            <w:vAlign w:val="center"/>
          </w:tcPr>
          <w:p w14:paraId="7011CC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自</w:t>
            </w:r>
            <w:r>
              <w:rPr>
                <w:rFonts w:hint="eastAsia" w:ascii="宋体" w:hAnsi="宋体" w:eastAsia="宋体" w:cs="宋体"/>
                <w:color w:val="auto"/>
                <w:sz w:val="21"/>
                <w:szCs w:val="21"/>
                <w:highlight w:val="none"/>
                <w:lang w:val="en-US" w:eastAsia="zh-CN"/>
              </w:rPr>
              <w:t>成交</w:t>
            </w:r>
            <w:r>
              <w:rPr>
                <w:rFonts w:hint="eastAsia" w:ascii="宋体" w:hAnsi="宋体" w:eastAsia="宋体" w:cs="宋体"/>
                <w:b w:val="0"/>
                <w:bCs/>
                <w:color w:val="auto"/>
                <w:sz w:val="21"/>
                <w:szCs w:val="21"/>
                <w:highlight w:val="none"/>
              </w:rPr>
              <w:t>通知书发出之日起25日内</w:t>
            </w:r>
            <w:r>
              <w:rPr>
                <w:rFonts w:hint="eastAsia" w:ascii="宋体" w:hAnsi="宋体" w:eastAsia="宋体" w:cs="宋体"/>
                <w:b w:val="0"/>
                <w:bCs/>
                <w:color w:val="auto"/>
                <w:sz w:val="21"/>
                <w:szCs w:val="21"/>
                <w:highlight w:val="none"/>
                <w:lang w:eastAsia="zh-CN"/>
              </w:rPr>
              <w:t>。</w:t>
            </w:r>
          </w:p>
        </w:tc>
      </w:tr>
      <w:tr w14:paraId="3336871E">
        <w:tblPrEx>
          <w:tblCellMar>
            <w:top w:w="0" w:type="dxa"/>
            <w:left w:w="108" w:type="dxa"/>
            <w:bottom w:w="0" w:type="dxa"/>
            <w:right w:w="108" w:type="dxa"/>
          </w:tblCellMar>
        </w:tblPrEx>
        <w:trPr>
          <w:trHeight w:val="717" w:hRule="atLeast"/>
          <w:jc w:val="center"/>
        </w:trPr>
        <w:tc>
          <w:tcPr>
            <w:tcW w:w="2907"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262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color w:val="auto"/>
                <w:kern w:val="0"/>
                <w:sz w:val="21"/>
                <w:szCs w:val="21"/>
                <w:highlight w:val="none"/>
                <w:lang w:val="en-US" w:eastAsia="en-US" w:bidi="ar-SA"/>
              </w:rPr>
            </w:pP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合同履行期限</w:t>
            </w:r>
            <w:r>
              <w:rPr>
                <w:rFonts w:hint="eastAsia" w:ascii="宋体" w:hAnsi="宋体" w:eastAsia="宋体" w:cs="宋体"/>
                <w:color w:val="auto"/>
                <w:sz w:val="21"/>
                <w:szCs w:val="21"/>
                <w:highlight w:val="none"/>
                <w:lang w:val="en-US" w:eastAsia="zh-CN"/>
              </w:rPr>
              <w:t>(体检时间)</w:t>
            </w:r>
          </w:p>
        </w:tc>
        <w:tc>
          <w:tcPr>
            <w:tcW w:w="658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85F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自合同签订之日起至2026年12月底前（以采购人具体时间为准）</w:t>
            </w:r>
          </w:p>
        </w:tc>
      </w:tr>
      <w:tr w14:paraId="52F47E64">
        <w:tblPrEx>
          <w:tblCellMar>
            <w:top w:w="0" w:type="dxa"/>
            <w:left w:w="108" w:type="dxa"/>
            <w:bottom w:w="0" w:type="dxa"/>
            <w:right w:w="108" w:type="dxa"/>
          </w:tblCellMar>
        </w:tblPrEx>
        <w:trPr>
          <w:trHeight w:val="717" w:hRule="atLeast"/>
          <w:jc w:val="center"/>
        </w:trPr>
        <w:tc>
          <w:tcPr>
            <w:tcW w:w="2907" w:type="dxa"/>
            <w:gridSpan w:val="4"/>
            <w:tcBorders>
              <w:top w:val="single" w:color="000000" w:sz="4" w:space="0"/>
              <w:left w:val="single" w:color="000000" w:sz="4" w:space="0"/>
              <w:bottom w:val="single" w:color="000000" w:sz="4" w:space="0"/>
              <w:right w:val="single" w:color="000000" w:sz="4" w:space="0"/>
            </w:tcBorders>
            <w:noWrap w:val="0"/>
            <w:vAlign w:val="center"/>
          </w:tcPr>
          <w:p w14:paraId="06BCB3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三、提交服务成果地点</w:t>
            </w:r>
          </w:p>
        </w:tc>
        <w:tc>
          <w:tcPr>
            <w:tcW w:w="6582" w:type="dxa"/>
            <w:gridSpan w:val="3"/>
            <w:tcBorders>
              <w:top w:val="single" w:color="000000" w:sz="4" w:space="0"/>
              <w:left w:val="single" w:color="000000" w:sz="4" w:space="0"/>
              <w:bottom w:val="single" w:color="000000" w:sz="4" w:space="0"/>
              <w:right w:val="single" w:color="000000" w:sz="4" w:space="0"/>
            </w:tcBorders>
            <w:noWrap w:val="0"/>
            <w:vAlign w:val="center"/>
          </w:tcPr>
          <w:p w14:paraId="539FF9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left"/>
              <w:textAlignment w:val="center"/>
              <w:rPr>
                <w:rFonts w:hint="eastAsia" w:ascii="宋体" w:hAnsi="宋体" w:eastAsia="宋体" w:cs="宋体"/>
                <w:i w:val="0"/>
                <w:iCs w:val="0"/>
                <w:color w:val="auto"/>
                <w:spacing w:val="0"/>
                <w:w w:val="100"/>
                <w:kern w:val="0"/>
                <w:position w:val="0"/>
                <w:sz w:val="21"/>
                <w:szCs w:val="21"/>
                <w:highlight w:val="none"/>
                <w:u w:val="none"/>
                <w:shd w:val="clear" w:color="auto" w:fill="auto"/>
                <w:lang w:val="en-US" w:eastAsia="zh-CN" w:bidi="ar"/>
              </w:rPr>
            </w:pPr>
            <w:r>
              <w:rPr>
                <w:rFonts w:hint="eastAsia" w:ascii="宋体" w:hAnsi="宋体" w:eastAsia="宋体" w:cs="宋体"/>
                <w:color w:val="auto"/>
                <w:sz w:val="21"/>
                <w:szCs w:val="21"/>
                <w:highlight w:val="none"/>
                <w:lang w:val="en-US" w:eastAsia="zh-CN"/>
              </w:rPr>
              <w:t>南宁市内</w:t>
            </w:r>
            <w:r>
              <w:rPr>
                <w:rFonts w:hint="eastAsia" w:ascii="宋体" w:hAnsi="宋体" w:eastAsia="宋体" w:cs="宋体"/>
                <w:color w:val="auto"/>
                <w:sz w:val="21"/>
                <w:szCs w:val="21"/>
                <w:highlight w:val="none"/>
              </w:rPr>
              <w:t>采购人指定地点。</w:t>
            </w:r>
          </w:p>
        </w:tc>
      </w:tr>
      <w:tr w14:paraId="5466C8F8">
        <w:tblPrEx>
          <w:tblCellMar>
            <w:top w:w="0" w:type="dxa"/>
            <w:left w:w="108" w:type="dxa"/>
            <w:bottom w:w="0" w:type="dxa"/>
            <w:right w:w="108" w:type="dxa"/>
          </w:tblCellMar>
        </w:tblPrEx>
        <w:trPr>
          <w:trHeight w:val="1841" w:hRule="atLeast"/>
          <w:jc w:val="center"/>
        </w:trPr>
        <w:tc>
          <w:tcPr>
            <w:tcW w:w="2907"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3FF52">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宋体" w:hAnsi="宋体" w:eastAsia="宋体" w:cs="宋体"/>
                <w:b/>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付款</w:t>
            </w:r>
            <w:r>
              <w:rPr>
                <w:rFonts w:hint="eastAsia" w:ascii="宋体" w:hAnsi="宋体" w:eastAsia="宋体" w:cs="宋体"/>
                <w:color w:val="auto"/>
                <w:sz w:val="21"/>
                <w:szCs w:val="21"/>
                <w:highlight w:val="none"/>
                <w:lang w:val="en-US" w:eastAsia="zh-CN"/>
              </w:rPr>
              <w:t>方式</w:t>
            </w:r>
          </w:p>
        </w:tc>
        <w:tc>
          <w:tcPr>
            <w:tcW w:w="658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4402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本项目无预付款，成交供应商完成服务并验收合格后，由成交供应商与采购人核对实际体检人数与成交供应商的最终单价报价进行结算，成交供应商向采购人提供合法有效的</w:t>
            </w:r>
            <w:r>
              <w:rPr>
                <w:rFonts w:hint="eastAsia" w:ascii="宋体" w:hAnsi="宋体" w:eastAsia="宋体" w:cs="宋体"/>
                <w:color w:val="auto"/>
                <w:sz w:val="21"/>
                <w:szCs w:val="21"/>
                <w:highlight w:val="none"/>
              </w:rPr>
              <w:t>正规医疗收费票据</w:t>
            </w:r>
            <w:r>
              <w:rPr>
                <w:rFonts w:hint="eastAsia" w:ascii="宋体" w:hAnsi="宋体" w:eastAsia="宋体" w:cs="宋体"/>
                <w:color w:val="auto"/>
                <w:sz w:val="21"/>
                <w:szCs w:val="21"/>
                <w:highlight w:val="none"/>
                <w:lang w:val="en-US" w:eastAsia="zh-CN"/>
              </w:rPr>
              <w:t>，采购人在收到乙方提供的票据及《体检费用请款函》后，1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个工作日内一次性付清项目款。如采购人或任何第三方（包括但不限于采购人财务部门、审计部门、政府税务机关、独立审计机构）在任何时候发现成交供应商开具的票据不符合要求，成交供应商应立即重新为采购人开具符合要求的票据，并向采购人支付与不符合要求的票据总金额相符的违约金。如采购人因为成交供应商开具的票据不符合要求而受到有权机关处罚，成交供应商还应全额赔偿采购人因该项处罚而受到的损失。</w:t>
            </w:r>
          </w:p>
        </w:tc>
      </w:tr>
      <w:tr w14:paraId="1780F849">
        <w:tblPrEx>
          <w:tblCellMar>
            <w:top w:w="0" w:type="dxa"/>
            <w:left w:w="108" w:type="dxa"/>
            <w:bottom w:w="0" w:type="dxa"/>
            <w:right w:w="108" w:type="dxa"/>
          </w:tblCellMar>
        </w:tblPrEx>
        <w:trPr>
          <w:trHeight w:val="640" w:hRule="atLeast"/>
          <w:jc w:val="center"/>
        </w:trPr>
        <w:tc>
          <w:tcPr>
            <w:tcW w:w="2907"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B148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五、售后</w:t>
            </w:r>
            <w:r>
              <w:rPr>
                <w:rFonts w:hint="eastAsia" w:ascii="宋体" w:hAnsi="宋体" w:eastAsia="宋体" w:cs="宋体"/>
                <w:color w:val="auto"/>
                <w:sz w:val="21"/>
                <w:szCs w:val="21"/>
                <w:highlight w:val="none"/>
              </w:rPr>
              <w:t>服务要求</w:t>
            </w:r>
          </w:p>
        </w:tc>
        <w:tc>
          <w:tcPr>
            <w:tcW w:w="658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89BE7">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体检有异常者及时通知采购人或体检者本人，并能及时给予复检,复检费用由职工个人自付。</w:t>
            </w:r>
          </w:p>
        </w:tc>
      </w:tr>
      <w:tr w14:paraId="3F2F3257">
        <w:tblPrEx>
          <w:tblCellMar>
            <w:top w:w="0" w:type="dxa"/>
            <w:left w:w="108" w:type="dxa"/>
            <w:bottom w:w="0" w:type="dxa"/>
            <w:right w:w="108" w:type="dxa"/>
          </w:tblCellMar>
        </w:tblPrEx>
        <w:trPr>
          <w:trHeight w:val="640" w:hRule="atLeast"/>
          <w:jc w:val="center"/>
        </w:trPr>
        <w:tc>
          <w:tcPr>
            <w:tcW w:w="2907"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AACD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六、报价</w:t>
            </w:r>
            <w:r>
              <w:rPr>
                <w:rFonts w:hint="eastAsia" w:ascii="宋体" w:hAnsi="宋体" w:eastAsia="宋体" w:cs="宋体"/>
                <w:color w:val="auto"/>
                <w:sz w:val="21"/>
                <w:szCs w:val="21"/>
                <w:highlight w:val="none"/>
              </w:rPr>
              <w:t>要求</w:t>
            </w:r>
          </w:p>
        </w:tc>
        <w:tc>
          <w:tcPr>
            <w:tcW w:w="658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2DD29">
            <w:pPr>
              <w:pStyle w:val="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报价必须含以下部分，包括：</w:t>
            </w:r>
          </w:p>
          <w:p w14:paraId="3219BDE9">
            <w:pPr>
              <w:pStyle w:val="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次报价为按要求完成服务的全部价格，包含体检、化验、材料（如设备、体检表格、消耗性材料等）、医疗垃圾管理及处置、体检结果分析、与本项目服务业务有关一切投入、项目验收费、售后服务、税金等费用和政策性文件规定及合同包含的所有风险、责任等全部费用。</w:t>
            </w:r>
          </w:p>
          <w:p w14:paraId="7AE32281">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费用结算方式为：</w:t>
            </w:r>
          </w:p>
          <w:p w14:paraId="0EAB8193">
            <w:pPr>
              <w:rPr>
                <w:rFonts w:hint="eastAsia" w:ascii="宋体" w:hAnsi="宋体" w:cs="宋体"/>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①</w:t>
            </w:r>
            <w:r>
              <w:rPr>
                <w:rFonts w:hint="eastAsia" w:ascii="宋体" w:hAnsi="宋体" w:cs="宋体"/>
                <w:b w:val="0"/>
                <w:bCs w:val="0"/>
                <w:color w:val="auto"/>
                <w:sz w:val="21"/>
                <w:szCs w:val="21"/>
                <w:highlight w:val="none"/>
                <w:lang w:val="en-US" w:eastAsia="zh-CN"/>
              </w:rPr>
              <w:t>男性40岁以下体检费=男性40岁以下体检人数</w:t>
            </w:r>
            <w:r>
              <w:rPr>
                <w:rFonts w:hint="default" w:ascii="宋体" w:hAnsi="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体检费报价上限价</w:t>
            </w:r>
            <w:r>
              <w:rPr>
                <w:rFonts w:hint="default" w:ascii="宋体" w:hAnsi="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折扣率；</w:t>
            </w:r>
          </w:p>
          <w:p w14:paraId="23323B65">
            <w:pPr>
              <w:rPr>
                <w:rFonts w:hint="eastAsia" w:ascii="宋体" w:hAnsi="宋体" w:cs="宋体"/>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②</w:t>
            </w:r>
            <w:r>
              <w:rPr>
                <w:rFonts w:hint="eastAsia" w:ascii="宋体" w:hAnsi="宋体" w:cs="宋体"/>
                <w:b w:val="0"/>
                <w:bCs w:val="0"/>
                <w:color w:val="auto"/>
                <w:sz w:val="21"/>
                <w:szCs w:val="21"/>
                <w:highlight w:val="none"/>
                <w:lang w:val="en-US" w:eastAsia="zh-CN"/>
              </w:rPr>
              <w:t>男性40岁以上（含40岁）体检费=男性40岁以上（含40岁）体检人数</w:t>
            </w:r>
            <w:r>
              <w:rPr>
                <w:rFonts w:hint="default" w:ascii="宋体" w:hAnsi="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体检费报价上限价</w:t>
            </w:r>
            <w:r>
              <w:rPr>
                <w:rFonts w:hint="default" w:ascii="宋体" w:hAnsi="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折扣率；</w:t>
            </w:r>
          </w:p>
          <w:p w14:paraId="48AFEBAA">
            <w:pPr>
              <w:rPr>
                <w:rFonts w:hint="eastAsia" w:ascii="宋体" w:hAnsi="宋体" w:cs="宋体"/>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③</w:t>
            </w:r>
            <w:r>
              <w:rPr>
                <w:rFonts w:hint="eastAsia" w:ascii="宋体" w:hAnsi="宋体" w:cs="宋体"/>
                <w:b w:val="0"/>
                <w:bCs w:val="0"/>
                <w:color w:val="auto"/>
                <w:sz w:val="21"/>
                <w:szCs w:val="21"/>
                <w:highlight w:val="none"/>
                <w:lang w:val="en-US" w:eastAsia="zh-CN"/>
              </w:rPr>
              <w:t>女性40岁以下（未婚）体检费=女性40岁以下（未婚）体检人数</w:t>
            </w:r>
            <w:r>
              <w:rPr>
                <w:rFonts w:hint="default" w:ascii="宋体" w:hAnsi="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体检费报价上限价</w:t>
            </w:r>
            <w:r>
              <w:rPr>
                <w:rFonts w:hint="default" w:ascii="宋体" w:hAnsi="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折扣率；</w:t>
            </w:r>
          </w:p>
          <w:p w14:paraId="1A53952F">
            <w:pPr>
              <w:rPr>
                <w:rFonts w:hint="eastAsia" w:ascii="宋体" w:hAnsi="宋体" w:cs="宋体"/>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④</w:t>
            </w:r>
            <w:r>
              <w:rPr>
                <w:rFonts w:hint="eastAsia" w:ascii="宋体" w:hAnsi="宋体" w:cs="宋体"/>
                <w:b w:val="0"/>
                <w:bCs w:val="0"/>
                <w:color w:val="auto"/>
                <w:sz w:val="21"/>
                <w:szCs w:val="21"/>
                <w:highlight w:val="none"/>
                <w:lang w:val="en-US" w:eastAsia="zh-CN"/>
              </w:rPr>
              <w:t>女性40岁以下（已婚）体检费=女性40岁以下（已婚）体检人数</w:t>
            </w:r>
            <w:r>
              <w:rPr>
                <w:rFonts w:hint="default" w:ascii="宋体" w:hAnsi="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体检费报价上限价</w:t>
            </w:r>
            <w:r>
              <w:rPr>
                <w:rFonts w:hint="default" w:ascii="宋体" w:hAnsi="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折扣率；</w:t>
            </w:r>
          </w:p>
          <w:p w14:paraId="21E45B48">
            <w:pPr>
              <w:rPr>
                <w:rFonts w:hint="eastAsia" w:ascii="宋体" w:hAnsi="宋体" w:cs="宋体"/>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⑤</w:t>
            </w:r>
            <w:r>
              <w:rPr>
                <w:rFonts w:hint="eastAsia" w:ascii="宋体" w:hAnsi="宋体" w:cs="宋体"/>
                <w:b w:val="0"/>
                <w:bCs w:val="0"/>
                <w:color w:val="auto"/>
                <w:sz w:val="21"/>
                <w:szCs w:val="21"/>
                <w:highlight w:val="none"/>
                <w:lang w:val="en-US" w:eastAsia="zh-CN"/>
              </w:rPr>
              <w:t>女性40岁以上（含40岁）体检费=女性40岁以上（含40岁）体检人数</w:t>
            </w:r>
            <w:r>
              <w:rPr>
                <w:rFonts w:hint="default" w:ascii="宋体" w:hAnsi="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体检费报价上限价</w:t>
            </w:r>
            <w:r>
              <w:rPr>
                <w:rFonts w:hint="default" w:ascii="宋体" w:hAnsi="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折扣率；</w:t>
            </w:r>
          </w:p>
          <w:p w14:paraId="64905B0E">
            <w:pPr>
              <w:pStyle w:val="52"/>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最终结算价=①+②+③+④+⑤</w:t>
            </w:r>
          </w:p>
        </w:tc>
      </w:tr>
      <w:bookmarkEnd w:id="56"/>
      <w:bookmarkEnd w:id="57"/>
    </w:tbl>
    <w:p w14:paraId="71A6ED6B">
      <w:pPr>
        <w:rPr>
          <w:rFonts w:hint="eastAsia" w:ascii="宋体" w:hAnsi="宋体" w:eastAsia="宋体" w:cs="宋体"/>
          <w:b/>
          <w:color w:val="auto"/>
          <w:sz w:val="32"/>
          <w:szCs w:val="32"/>
          <w:highlight w:val="none"/>
        </w:rPr>
      </w:pPr>
      <w:r>
        <w:rPr>
          <w:rFonts w:hint="eastAsia" w:ascii="宋体" w:hAnsi="宋体" w:eastAsia="宋体" w:cs="宋体"/>
          <w:color w:val="auto"/>
          <w:sz w:val="21"/>
          <w:szCs w:val="21"/>
          <w:highlight w:val="none"/>
        </w:rPr>
        <w:br w:type="page"/>
      </w:r>
    </w:p>
    <w:p w14:paraId="5BD6672E">
      <w:pPr>
        <w:bidi w:val="0"/>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lang w:val="en-US" w:eastAsia="zh-CN"/>
        </w:rPr>
        <w:t>附表一：</w:t>
      </w:r>
    </w:p>
    <w:p w14:paraId="1182CD96">
      <w:p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30"/>
          <w:szCs w:val="30"/>
          <w:highlight w:val="none"/>
          <w:lang w:val="en-US" w:eastAsia="zh-CN"/>
        </w:rPr>
        <w:t>2026年广西财经学院教职工体检项目清单</w:t>
      </w:r>
    </w:p>
    <w:tbl>
      <w:tblPr>
        <w:tblStyle w:val="29"/>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6"/>
        <w:gridCol w:w="3352"/>
        <w:gridCol w:w="837"/>
        <w:gridCol w:w="837"/>
        <w:gridCol w:w="679"/>
        <w:gridCol w:w="1173"/>
        <w:gridCol w:w="1088"/>
      </w:tblGrid>
      <w:tr w14:paraId="35E54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5DE2917A">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3352" w:type="dxa"/>
            <w:shd w:val="clear" w:color="auto" w:fill="auto"/>
            <w:noWrap w:val="0"/>
            <w:vAlign w:val="center"/>
          </w:tcPr>
          <w:p w14:paraId="4062942B">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体检项目</w:t>
            </w:r>
          </w:p>
        </w:tc>
        <w:tc>
          <w:tcPr>
            <w:tcW w:w="837" w:type="dxa"/>
            <w:shd w:val="clear" w:color="auto" w:fill="auto"/>
            <w:noWrap w:val="0"/>
            <w:vAlign w:val="center"/>
          </w:tcPr>
          <w:p w14:paraId="1958E39F">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40岁男</w:t>
            </w:r>
          </w:p>
        </w:tc>
        <w:tc>
          <w:tcPr>
            <w:tcW w:w="837" w:type="dxa"/>
            <w:shd w:val="clear" w:color="auto" w:fill="auto"/>
            <w:noWrap w:val="0"/>
            <w:vAlign w:val="center"/>
          </w:tcPr>
          <w:p w14:paraId="0611D427">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40岁男</w:t>
            </w:r>
          </w:p>
        </w:tc>
        <w:tc>
          <w:tcPr>
            <w:tcW w:w="679" w:type="dxa"/>
            <w:shd w:val="clear" w:color="auto" w:fill="auto"/>
            <w:noWrap w:val="0"/>
            <w:vAlign w:val="center"/>
          </w:tcPr>
          <w:p w14:paraId="6D116605">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女未婚</w:t>
            </w:r>
          </w:p>
        </w:tc>
        <w:tc>
          <w:tcPr>
            <w:tcW w:w="1173" w:type="dxa"/>
            <w:shd w:val="clear" w:color="auto" w:fill="auto"/>
            <w:noWrap w:val="0"/>
            <w:vAlign w:val="center"/>
          </w:tcPr>
          <w:p w14:paraId="036864CD">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40岁女已婚</w:t>
            </w:r>
          </w:p>
        </w:tc>
        <w:tc>
          <w:tcPr>
            <w:tcW w:w="1088" w:type="dxa"/>
            <w:shd w:val="clear" w:color="auto" w:fill="auto"/>
            <w:noWrap w:val="0"/>
            <w:vAlign w:val="center"/>
          </w:tcPr>
          <w:p w14:paraId="48B4F44D">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40岁女已婚</w:t>
            </w:r>
          </w:p>
        </w:tc>
      </w:tr>
      <w:tr w14:paraId="41A43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17E5F55D">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3352" w:type="dxa"/>
            <w:shd w:val="clear" w:color="auto" w:fill="auto"/>
            <w:noWrap w:val="0"/>
            <w:vAlign w:val="center"/>
          </w:tcPr>
          <w:p w14:paraId="5675B805">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临床内科</w:t>
            </w:r>
          </w:p>
        </w:tc>
        <w:tc>
          <w:tcPr>
            <w:tcW w:w="837" w:type="dxa"/>
            <w:shd w:val="clear" w:color="auto" w:fill="auto"/>
            <w:noWrap w:val="0"/>
            <w:vAlign w:val="center"/>
          </w:tcPr>
          <w:p w14:paraId="45C2898E">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37" w:type="dxa"/>
            <w:shd w:val="clear" w:color="auto" w:fill="auto"/>
            <w:noWrap w:val="0"/>
            <w:vAlign w:val="center"/>
          </w:tcPr>
          <w:p w14:paraId="6CFE581B">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79" w:type="dxa"/>
            <w:shd w:val="clear" w:color="auto" w:fill="auto"/>
            <w:noWrap w:val="0"/>
            <w:vAlign w:val="center"/>
          </w:tcPr>
          <w:p w14:paraId="6D6766D2">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73" w:type="dxa"/>
            <w:shd w:val="clear" w:color="auto" w:fill="auto"/>
            <w:noWrap w:val="0"/>
            <w:vAlign w:val="center"/>
          </w:tcPr>
          <w:p w14:paraId="6BE71B01">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8" w:type="dxa"/>
            <w:shd w:val="clear" w:color="auto" w:fill="auto"/>
            <w:noWrap w:val="0"/>
            <w:vAlign w:val="center"/>
          </w:tcPr>
          <w:p w14:paraId="08A86A45">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6C5EF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7F1B74E7">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w:t>
            </w:r>
          </w:p>
        </w:tc>
        <w:tc>
          <w:tcPr>
            <w:tcW w:w="3352" w:type="dxa"/>
            <w:shd w:val="clear" w:color="auto" w:fill="auto"/>
            <w:noWrap w:val="0"/>
            <w:vAlign w:val="center"/>
          </w:tcPr>
          <w:p w14:paraId="593CC276">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临床外科</w:t>
            </w:r>
          </w:p>
        </w:tc>
        <w:tc>
          <w:tcPr>
            <w:tcW w:w="837" w:type="dxa"/>
            <w:shd w:val="clear" w:color="auto" w:fill="auto"/>
            <w:noWrap w:val="0"/>
            <w:vAlign w:val="center"/>
          </w:tcPr>
          <w:p w14:paraId="343EFC46">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37" w:type="dxa"/>
            <w:shd w:val="clear" w:color="auto" w:fill="auto"/>
            <w:noWrap w:val="0"/>
            <w:vAlign w:val="center"/>
          </w:tcPr>
          <w:p w14:paraId="49B9F70E">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79" w:type="dxa"/>
            <w:shd w:val="clear" w:color="auto" w:fill="auto"/>
            <w:noWrap w:val="0"/>
            <w:vAlign w:val="center"/>
          </w:tcPr>
          <w:p w14:paraId="3398A84F">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73" w:type="dxa"/>
            <w:shd w:val="clear" w:color="auto" w:fill="auto"/>
            <w:noWrap w:val="0"/>
            <w:vAlign w:val="center"/>
          </w:tcPr>
          <w:p w14:paraId="2C2D5CC1">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8" w:type="dxa"/>
            <w:shd w:val="clear" w:color="auto" w:fill="auto"/>
            <w:noWrap w:val="0"/>
            <w:vAlign w:val="center"/>
          </w:tcPr>
          <w:p w14:paraId="28012A16">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6BC2D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2F6FC289">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w:t>
            </w:r>
          </w:p>
        </w:tc>
        <w:tc>
          <w:tcPr>
            <w:tcW w:w="3352" w:type="dxa"/>
            <w:shd w:val="clear" w:color="auto" w:fill="auto"/>
            <w:noWrap w:val="0"/>
            <w:vAlign w:val="center"/>
          </w:tcPr>
          <w:p w14:paraId="26711B2D">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临床耳鼻喉科</w:t>
            </w:r>
          </w:p>
        </w:tc>
        <w:tc>
          <w:tcPr>
            <w:tcW w:w="837" w:type="dxa"/>
            <w:shd w:val="clear" w:color="auto" w:fill="auto"/>
            <w:noWrap w:val="0"/>
            <w:vAlign w:val="center"/>
          </w:tcPr>
          <w:p w14:paraId="60B9F2EE">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37" w:type="dxa"/>
            <w:shd w:val="clear" w:color="auto" w:fill="auto"/>
            <w:noWrap w:val="0"/>
            <w:vAlign w:val="center"/>
          </w:tcPr>
          <w:p w14:paraId="7C8722D9">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79" w:type="dxa"/>
            <w:shd w:val="clear" w:color="auto" w:fill="auto"/>
            <w:noWrap w:val="0"/>
            <w:vAlign w:val="center"/>
          </w:tcPr>
          <w:p w14:paraId="50F9FED3">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73" w:type="dxa"/>
            <w:shd w:val="clear" w:color="auto" w:fill="auto"/>
            <w:noWrap w:val="0"/>
            <w:vAlign w:val="center"/>
          </w:tcPr>
          <w:p w14:paraId="527D0ED7">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8" w:type="dxa"/>
            <w:shd w:val="clear" w:color="auto" w:fill="auto"/>
            <w:noWrap w:val="0"/>
            <w:vAlign w:val="center"/>
          </w:tcPr>
          <w:p w14:paraId="00242D4E">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65876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4F31A4C3">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352" w:type="dxa"/>
            <w:shd w:val="clear" w:color="auto" w:fill="auto"/>
            <w:noWrap w:val="0"/>
            <w:vAlign w:val="center"/>
          </w:tcPr>
          <w:p w14:paraId="0A583427">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眼科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眼底+裂隙灯）</w:t>
            </w:r>
          </w:p>
        </w:tc>
        <w:tc>
          <w:tcPr>
            <w:tcW w:w="837" w:type="dxa"/>
            <w:shd w:val="clear" w:color="auto" w:fill="auto"/>
            <w:noWrap w:val="0"/>
            <w:vAlign w:val="center"/>
          </w:tcPr>
          <w:p w14:paraId="4A27DEA6">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37" w:type="dxa"/>
            <w:shd w:val="clear" w:color="auto" w:fill="auto"/>
            <w:noWrap w:val="0"/>
            <w:vAlign w:val="center"/>
          </w:tcPr>
          <w:p w14:paraId="6BFE00BF">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79" w:type="dxa"/>
            <w:shd w:val="clear" w:color="auto" w:fill="auto"/>
            <w:noWrap w:val="0"/>
            <w:vAlign w:val="center"/>
          </w:tcPr>
          <w:p w14:paraId="743BCEF1">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73" w:type="dxa"/>
            <w:shd w:val="clear" w:color="auto" w:fill="auto"/>
            <w:noWrap w:val="0"/>
            <w:vAlign w:val="center"/>
          </w:tcPr>
          <w:p w14:paraId="3277F950">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8" w:type="dxa"/>
            <w:shd w:val="clear" w:color="auto" w:fill="auto"/>
            <w:noWrap w:val="0"/>
            <w:vAlign w:val="center"/>
          </w:tcPr>
          <w:p w14:paraId="3AE4FE82">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5D624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235CC2B8">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352" w:type="dxa"/>
            <w:shd w:val="clear" w:color="auto" w:fill="auto"/>
            <w:noWrap w:val="0"/>
            <w:vAlign w:val="center"/>
          </w:tcPr>
          <w:p w14:paraId="2BAC35E2">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口腔科</w:t>
            </w:r>
          </w:p>
        </w:tc>
        <w:tc>
          <w:tcPr>
            <w:tcW w:w="837" w:type="dxa"/>
            <w:shd w:val="clear" w:color="auto" w:fill="auto"/>
            <w:noWrap w:val="0"/>
            <w:vAlign w:val="center"/>
          </w:tcPr>
          <w:p w14:paraId="6E70F9FF">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37" w:type="dxa"/>
            <w:shd w:val="clear" w:color="auto" w:fill="auto"/>
            <w:noWrap w:val="0"/>
            <w:vAlign w:val="center"/>
          </w:tcPr>
          <w:p w14:paraId="742BE357">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79" w:type="dxa"/>
            <w:shd w:val="clear" w:color="auto" w:fill="auto"/>
            <w:noWrap w:val="0"/>
            <w:vAlign w:val="center"/>
          </w:tcPr>
          <w:p w14:paraId="72965BAC">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73" w:type="dxa"/>
            <w:shd w:val="clear" w:color="auto" w:fill="auto"/>
            <w:noWrap w:val="0"/>
            <w:vAlign w:val="center"/>
          </w:tcPr>
          <w:p w14:paraId="22485375">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8" w:type="dxa"/>
            <w:shd w:val="clear" w:color="auto" w:fill="auto"/>
            <w:noWrap w:val="0"/>
            <w:vAlign w:val="center"/>
          </w:tcPr>
          <w:p w14:paraId="5E3E9575">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1DF51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43C032B1">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352" w:type="dxa"/>
            <w:shd w:val="clear" w:color="auto" w:fill="auto"/>
            <w:noWrap w:val="0"/>
            <w:vAlign w:val="center"/>
          </w:tcPr>
          <w:p w14:paraId="114B82F9">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血常规</w:t>
            </w:r>
          </w:p>
        </w:tc>
        <w:tc>
          <w:tcPr>
            <w:tcW w:w="837" w:type="dxa"/>
            <w:shd w:val="clear" w:color="auto" w:fill="auto"/>
            <w:noWrap w:val="0"/>
            <w:vAlign w:val="center"/>
          </w:tcPr>
          <w:p w14:paraId="663870D0">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37" w:type="dxa"/>
            <w:shd w:val="clear" w:color="auto" w:fill="auto"/>
            <w:noWrap w:val="0"/>
            <w:vAlign w:val="center"/>
          </w:tcPr>
          <w:p w14:paraId="1BA191EA">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79" w:type="dxa"/>
            <w:shd w:val="clear" w:color="auto" w:fill="auto"/>
            <w:noWrap w:val="0"/>
            <w:vAlign w:val="center"/>
          </w:tcPr>
          <w:p w14:paraId="5785F44D">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73" w:type="dxa"/>
            <w:shd w:val="clear" w:color="auto" w:fill="auto"/>
            <w:noWrap w:val="0"/>
            <w:vAlign w:val="center"/>
          </w:tcPr>
          <w:p w14:paraId="724FC121">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8" w:type="dxa"/>
            <w:shd w:val="clear" w:color="auto" w:fill="auto"/>
            <w:noWrap w:val="0"/>
            <w:vAlign w:val="center"/>
          </w:tcPr>
          <w:p w14:paraId="58E0548D">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19396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4FE24E3F">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352" w:type="dxa"/>
            <w:shd w:val="clear" w:color="auto" w:fill="auto"/>
            <w:noWrap w:val="0"/>
            <w:vAlign w:val="center"/>
          </w:tcPr>
          <w:p w14:paraId="40389482">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尿常规</w:t>
            </w:r>
            <w:r>
              <w:rPr>
                <w:rFonts w:hint="eastAsia" w:ascii="宋体" w:hAnsi="宋体" w:eastAsia="宋体" w:cs="宋体"/>
                <w:color w:val="auto"/>
                <w:sz w:val="21"/>
                <w:szCs w:val="21"/>
                <w:highlight w:val="none"/>
                <w:lang w:val="en-US" w:eastAsia="zh-CN"/>
              </w:rPr>
              <w:t>+分析</w:t>
            </w:r>
          </w:p>
        </w:tc>
        <w:tc>
          <w:tcPr>
            <w:tcW w:w="837" w:type="dxa"/>
            <w:shd w:val="clear" w:color="auto" w:fill="auto"/>
            <w:noWrap w:val="0"/>
            <w:vAlign w:val="center"/>
          </w:tcPr>
          <w:p w14:paraId="04EFC689">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37" w:type="dxa"/>
            <w:shd w:val="clear" w:color="auto" w:fill="auto"/>
            <w:noWrap w:val="0"/>
            <w:vAlign w:val="center"/>
          </w:tcPr>
          <w:p w14:paraId="2C6C73E7">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79" w:type="dxa"/>
            <w:shd w:val="clear" w:color="auto" w:fill="auto"/>
            <w:noWrap w:val="0"/>
            <w:vAlign w:val="center"/>
          </w:tcPr>
          <w:p w14:paraId="6BB33C81">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73" w:type="dxa"/>
            <w:shd w:val="clear" w:color="auto" w:fill="auto"/>
            <w:noWrap w:val="0"/>
            <w:vAlign w:val="center"/>
          </w:tcPr>
          <w:p w14:paraId="3FECA5A9">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8" w:type="dxa"/>
            <w:shd w:val="clear" w:color="auto" w:fill="auto"/>
            <w:noWrap w:val="0"/>
            <w:vAlign w:val="center"/>
          </w:tcPr>
          <w:p w14:paraId="445798E3">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06FD7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45990CE4">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352" w:type="dxa"/>
            <w:shd w:val="clear" w:color="auto" w:fill="auto"/>
            <w:noWrap w:val="0"/>
            <w:vAlign w:val="center"/>
          </w:tcPr>
          <w:p w14:paraId="1AF07CEF">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肝功全套</w:t>
            </w:r>
          </w:p>
        </w:tc>
        <w:tc>
          <w:tcPr>
            <w:tcW w:w="837" w:type="dxa"/>
            <w:shd w:val="clear" w:color="auto" w:fill="auto"/>
            <w:noWrap w:val="0"/>
            <w:vAlign w:val="center"/>
          </w:tcPr>
          <w:p w14:paraId="0A65AABF">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37" w:type="dxa"/>
            <w:shd w:val="clear" w:color="auto" w:fill="auto"/>
            <w:noWrap w:val="0"/>
            <w:vAlign w:val="center"/>
          </w:tcPr>
          <w:p w14:paraId="4A1380BA">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79" w:type="dxa"/>
            <w:shd w:val="clear" w:color="auto" w:fill="auto"/>
            <w:noWrap w:val="0"/>
            <w:vAlign w:val="center"/>
          </w:tcPr>
          <w:p w14:paraId="7FB5C4BF">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73" w:type="dxa"/>
            <w:shd w:val="clear" w:color="auto" w:fill="auto"/>
            <w:noWrap w:val="0"/>
            <w:vAlign w:val="center"/>
          </w:tcPr>
          <w:p w14:paraId="123D61F9">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8" w:type="dxa"/>
            <w:shd w:val="clear" w:color="auto" w:fill="auto"/>
            <w:noWrap w:val="0"/>
            <w:vAlign w:val="center"/>
          </w:tcPr>
          <w:p w14:paraId="6E99884E">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6F5F4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1A2445CF">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3352" w:type="dxa"/>
            <w:shd w:val="clear" w:color="auto" w:fill="auto"/>
            <w:noWrap w:val="0"/>
            <w:vAlign w:val="center"/>
          </w:tcPr>
          <w:p w14:paraId="1CAD4DD1">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肾功能</w:t>
            </w:r>
            <w:r>
              <w:rPr>
                <w:rFonts w:hint="eastAsia" w:ascii="宋体" w:hAnsi="宋体" w:eastAsia="宋体" w:cs="宋体"/>
                <w:color w:val="auto"/>
                <w:sz w:val="21"/>
                <w:szCs w:val="21"/>
                <w:highlight w:val="none"/>
                <w:lang w:val="en-US" w:eastAsia="zh-CN"/>
              </w:rPr>
              <w:t>4项</w:t>
            </w:r>
          </w:p>
        </w:tc>
        <w:tc>
          <w:tcPr>
            <w:tcW w:w="837" w:type="dxa"/>
            <w:shd w:val="clear" w:color="auto" w:fill="auto"/>
            <w:noWrap w:val="0"/>
            <w:vAlign w:val="center"/>
          </w:tcPr>
          <w:p w14:paraId="453FC85C">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37" w:type="dxa"/>
            <w:shd w:val="clear" w:color="auto" w:fill="auto"/>
            <w:noWrap w:val="0"/>
            <w:vAlign w:val="center"/>
          </w:tcPr>
          <w:p w14:paraId="44C3CDDA">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79" w:type="dxa"/>
            <w:shd w:val="clear" w:color="auto" w:fill="auto"/>
            <w:noWrap w:val="0"/>
            <w:vAlign w:val="center"/>
          </w:tcPr>
          <w:p w14:paraId="750C2010">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73" w:type="dxa"/>
            <w:shd w:val="clear" w:color="auto" w:fill="auto"/>
            <w:noWrap w:val="0"/>
            <w:vAlign w:val="center"/>
          </w:tcPr>
          <w:p w14:paraId="521334BB">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8" w:type="dxa"/>
            <w:shd w:val="clear" w:color="auto" w:fill="auto"/>
            <w:noWrap w:val="0"/>
            <w:vAlign w:val="center"/>
          </w:tcPr>
          <w:p w14:paraId="61B5B90C">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4C045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1AA92942">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352" w:type="dxa"/>
            <w:shd w:val="clear" w:color="auto" w:fill="auto"/>
            <w:noWrap w:val="0"/>
            <w:vAlign w:val="center"/>
          </w:tcPr>
          <w:p w14:paraId="2EAC6B3C">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血脂检测4项</w:t>
            </w:r>
          </w:p>
        </w:tc>
        <w:tc>
          <w:tcPr>
            <w:tcW w:w="837" w:type="dxa"/>
            <w:shd w:val="clear" w:color="auto" w:fill="auto"/>
            <w:noWrap w:val="0"/>
            <w:vAlign w:val="center"/>
          </w:tcPr>
          <w:p w14:paraId="1FB15ED4">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37" w:type="dxa"/>
            <w:shd w:val="clear" w:color="auto" w:fill="auto"/>
            <w:noWrap w:val="0"/>
            <w:vAlign w:val="center"/>
          </w:tcPr>
          <w:p w14:paraId="3DD22099">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79" w:type="dxa"/>
            <w:shd w:val="clear" w:color="auto" w:fill="auto"/>
            <w:noWrap w:val="0"/>
            <w:vAlign w:val="center"/>
          </w:tcPr>
          <w:p w14:paraId="742F1ABB">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73" w:type="dxa"/>
            <w:shd w:val="clear" w:color="auto" w:fill="auto"/>
            <w:noWrap w:val="0"/>
            <w:vAlign w:val="center"/>
          </w:tcPr>
          <w:p w14:paraId="4912F750">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8" w:type="dxa"/>
            <w:shd w:val="clear" w:color="auto" w:fill="auto"/>
            <w:noWrap w:val="0"/>
            <w:vAlign w:val="center"/>
          </w:tcPr>
          <w:p w14:paraId="726D99D1">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0975A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01CE8910">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3352" w:type="dxa"/>
            <w:shd w:val="clear" w:color="auto" w:fill="auto"/>
            <w:noWrap w:val="0"/>
            <w:vAlign w:val="center"/>
          </w:tcPr>
          <w:p w14:paraId="7BFFF874">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空腹血糖</w:t>
            </w:r>
          </w:p>
        </w:tc>
        <w:tc>
          <w:tcPr>
            <w:tcW w:w="837" w:type="dxa"/>
            <w:shd w:val="clear" w:color="auto" w:fill="auto"/>
            <w:noWrap w:val="0"/>
            <w:vAlign w:val="center"/>
          </w:tcPr>
          <w:p w14:paraId="01DC0CF7">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37" w:type="dxa"/>
            <w:shd w:val="clear" w:color="auto" w:fill="auto"/>
            <w:noWrap w:val="0"/>
            <w:vAlign w:val="center"/>
          </w:tcPr>
          <w:p w14:paraId="31FA9A65">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79" w:type="dxa"/>
            <w:shd w:val="clear" w:color="auto" w:fill="auto"/>
            <w:noWrap w:val="0"/>
            <w:vAlign w:val="center"/>
          </w:tcPr>
          <w:p w14:paraId="419C6AEE">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73" w:type="dxa"/>
            <w:shd w:val="clear" w:color="auto" w:fill="auto"/>
            <w:noWrap w:val="0"/>
            <w:vAlign w:val="center"/>
          </w:tcPr>
          <w:p w14:paraId="126674D6">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8" w:type="dxa"/>
            <w:shd w:val="clear" w:color="auto" w:fill="auto"/>
            <w:noWrap w:val="0"/>
            <w:vAlign w:val="center"/>
          </w:tcPr>
          <w:p w14:paraId="3CEED5C2">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64B86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56" w:type="dxa"/>
            <w:shd w:val="clear" w:color="auto" w:fill="auto"/>
            <w:noWrap w:val="0"/>
            <w:vAlign w:val="center"/>
          </w:tcPr>
          <w:p w14:paraId="444837F6">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3352" w:type="dxa"/>
            <w:shd w:val="clear" w:color="auto" w:fill="auto"/>
            <w:noWrap w:val="0"/>
            <w:vAlign w:val="center"/>
          </w:tcPr>
          <w:p w14:paraId="2C7ACE99">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餐后血糖</w:t>
            </w:r>
          </w:p>
        </w:tc>
        <w:tc>
          <w:tcPr>
            <w:tcW w:w="837" w:type="dxa"/>
            <w:shd w:val="clear" w:color="auto" w:fill="auto"/>
            <w:noWrap w:val="0"/>
            <w:vAlign w:val="center"/>
          </w:tcPr>
          <w:p w14:paraId="54B87693">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837" w:type="dxa"/>
            <w:shd w:val="clear" w:color="auto" w:fill="auto"/>
            <w:noWrap w:val="0"/>
            <w:vAlign w:val="center"/>
          </w:tcPr>
          <w:p w14:paraId="41ED41A4">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79" w:type="dxa"/>
            <w:shd w:val="clear" w:color="auto" w:fill="auto"/>
            <w:noWrap w:val="0"/>
            <w:vAlign w:val="center"/>
          </w:tcPr>
          <w:p w14:paraId="22A8F0C3">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173" w:type="dxa"/>
            <w:shd w:val="clear" w:color="auto" w:fill="auto"/>
            <w:noWrap w:val="0"/>
            <w:vAlign w:val="center"/>
          </w:tcPr>
          <w:p w14:paraId="39D10502">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88" w:type="dxa"/>
            <w:shd w:val="clear" w:color="auto" w:fill="auto"/>
            <w:noWrap w:val="0"/>
            <w:vAlign w:val="center"/>
          </w:tcPr>
          <w:p w14:paraId="02980A41">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0AEA2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6C602C40">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3352" w:type="dxa"/>
            <w:shd w:val="clear" w:color="auto" w:fill="auto"/>
            <w:noWrap w:val="0"/>
            <w:vAlign w:val="center"/>
          </w:tcPr>
          <w:p w14:paraId="42EC1020">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糖化血红蛋白</w:t>
            </w:r>
          </w:p>
        </w:tc>
        <w:tc>
          <w:tcPr>
            <w:tcW w:w="837" w:type="dxa"/>
            <w:shd w:val="clear" w:color="auto" w:fill="auto"/>
            <w:noWrap w:val="0"/>
            <w:vAlign w:val="center"/>
          </w:tcPr>
          <w:p w14:paraId="0F876706">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837" w:type="dxa"/>
            <w:shd w:val="clear" w:color="auto" w:fill="auto"/>
            <w:noWrap w:val="0"/>
            <w:vAlign w:val="center"/>
          </w:tcPr>
          <w:p w14:paraId="442D315B">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679" w:type="dxa"/>
            <w:shd w:val="clear" w:color="auto" w:fill="auto"/>
            <w:noWrap w:val="0"/>
            <w:vAlign w:val="center"/>
          </w:tcPr>
          <w:p w14:paraId="1DE79421">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173" w:type="dxa"/>
            <w:shd w:val="clear" w:color="auto" w:fill="auto"/>
            <w:noWrap w:val="0"/>
            <w:vAlign w:val="center"/>
          </w:tcPr>
          <w:p w14:paraId="50D3C07E">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88" w:type="dxa"/>
            <w:shd w:val="clear" w:color="auto" w:fill="auto"/>
            <w:noWrap w:val="0"/>
            <w:vAlign w:val="center"/>
          </w:tcPr>
          <w:p w14:paraId="0472A0F0">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r>
      <w:tr w14:paraId="45A2D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76845018">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3352" w:type="dxa"/>
            <w:shd w:val="clear" w:color="auto" w:fill="auto"/>
            <w:noWrap w:val="0"/>
            <w:vAlign w:val="center"/>
          </w:tcPr>
          <w:p w14:paraId="4A273731">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同型半胱氨酸</w:t>
            </w:r>
          </w:p>
        </w:tc>
        <w:tc>
          <w:tcPr>
            <w:tcW w:w="837" w:type="dxa"/>
            <w:shd w:val="clear" w:color="auto" w:fill="auto"/>
            <w:noWrap w:val="0"/>
            <w:vAlign w:val="center"/>
          </w:tcPr>
          <w:p w14:paraId="2FFEBC93">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837" w:type="dxa"/>
            <w:shd w:val="clear" w:color="auto" w:fill="auto"/>
            <w:noWrap w:val="0"/>
            <w:vAlign w:val="center"/>
          </w:tcPr>
          <w:p w14:paraId="39DE462D">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79" w:type="dxa"/>
            <w:shd w:val="clear" w:color="auto" w:fill="auto"/>
            <w:noWrap w:val="0"/>
            <w:vAlign w:val="center"/>
          </w:tcPr>
          <w:p w14:paraId="5D78E1C9">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173" w:type="dxa"/>
            <w:shd w:val="clear" w:color="auto" w:fill="auto"/>
            <w:noWrap w:val="0"/>
            <w:vAlign w:val="center"/>
          </w:tcPr>
          <w:p w14:paraId="06BDA0BA">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88" w:type="dxa"/>
            <w:shd w:val="clear" w:color="auto" w:fill="auto"/>
            <w:noWrap w:val="0"/>
            <w:vAlign w:val="center"/>
          </w:tcPr>
          <w:p w14:paraId="7720D3EA">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75CDF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50CDB757">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3352" w:type="dxa"/>
            <w:shd w:val="clear" w:color="auto" w:fill="auto"/>
            <w:noWrap w:val="0"/>
            <w:vAlign w:val="center"/>
          </w:tcPr>
          <w:p w14:paraId="7707891F">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甲胎蛋白AFP</w:t>
            </w:r>
          </w:p>
        </w:tc>
        <w:tc>
          <w:tcPr>
            <w:tcW w:w="837" w:type="dxa"/>
            <w:shd w:val="clear" w:color="auto" w:fill="auto"/>
            <w:noWrap w:val="0"/>
            <w:vAlign w:val="center"/>
          </w:tcPr>
          <w:p w14:paraId="3E77B3F8">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37" w:type="dxa"/>
            <w:shd w:val="clear" w:color="auto" w:fill="auto"/>
            <w:noWrap w:val="0"/>
            <w:vAlign w:val="center"/>
          </w:tcPr>
          <w:p w14:paraId="5392BE4E">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79" w:type="dxa"/>
            <w:shd w:val="clear" w:color="auto" w:fill="auto"/>
            <w:noWrap w:val="0"/>
            <w:vAlign w:val="center"/>
          </w:tcPr>
          <w:p w14:paraId="61F0EB3B">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73" w:type="dxa"/>
            <w:shd w:val="clear" w:color="auto" w:fill="auto"/>
            <w:noWrap w:val="0"/>
            <w:vAlign w:val="center"/>
          </w:tcPr>
          <w:p w14:paraId="2F565ABC">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8" w:type="dxa"/>
            <w:shd w:val="clear" w:color="auto" w:fill="auto"/>
            <w:noWrap w:val="0"/>
            <w:vAlign w:val="center"/>
          </w:tcPr>
          <w:p w14:paraId="1FE90047">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0943E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7941D62D">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3352" w:type="dxa"/>
            <w:shd w:val="clear" w:color="auto" w:fill="auto"/>
            <w:noWrap w:val="0"/>
            <w:vAlign w:val="center"/>
          </w:tcPr>
          <w:p w14:paraId="047A8F00">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EB病毒2项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鼻咽癌筛查）</w:t>
            </w:r>
          </w:p>
        </w:tc>
        <w:tc>
          <w:tcPr>
            <w:tcW w:w="837" w:type="dxa"/>
            <w:shd w:val="clear" w:color="auto" w:fill="auto"/>
            <w:noWrap w:val="0"/>
            <w:vAlign w:val="center"/>
          </w:tcPr>
          <w:p w14:paraId="212C0188">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37" w:type="dxa"/>
            <w:shd w:val="clear" w:color="auto" w:fill="auto"/>
            <w:noWrap w:val="0"/>
            <w:vAlign w:val="center"/>
          </w:tcPr>
          <w:p w14:paraId="0CF70022">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79" w:type="dxa"/>
            <w:shd w:val="clear" w:color="auto" w:fill="auto"/>
            <w:noWrap w:val="0"/>
            <w:vAlign w:val="center"/>
          </w:tcPr>
          <w:p w14:paraId="607A7A1B">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73" w:type="dxa"/>
            <w:shd w:val="clear" w:color="auto" w:fill="auto"/>
            <w:noWrap w:val="0"/>
            <w:vAlign w:val="center"/>
          </w:tcPr>
          <w:p w14:paraId="02C5723C">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8" w:type="dxa"/>
            <w:shd w:val="clear" w:color="auto" w:fill="auto"/>
            <w:noWrap w:val="0"/>
            <w:vAlign w:val="center"/>
          </w:tcPr>
          <w:p w14:paraId="62616417">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784FD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4DBB0F4D">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3352" w:type="dxa"/>
            <w:shd w:val="clear" w:color="auto" w:fill="auto"/>
            <w:noWrap w:val="0"/>
            <w:vAlign w:val="center"/>
          </w:tcPr>
          <w:p w14:paraId="640BE6BB">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癌胚抗原（CEA)</w:t>
            </w:r>
          </w:p>
        </w:tc>
        <w:tc>
          <w:tcPr>
            <w:tcW w:w="837" w:type="dxa"/>
            <w:shd w:val="clear" w:color="auto" w:fill="auto"/>
            <w:noWrap w:val="0"/>
            <w:vAlign w:val="center"/>
          </w:tcPr>
          <w:p w14:paraId="3990067D">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37" w:type="dxa"/>
            <w:shd w:val="clear" w:color="auto" w:fill="auto"/>
            <w:noWrap w:val="0"/>
            <w:vAlign w:val="center"/>
          </w:tcPr>
          <w:p w14:paraId="65BD8140">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79" w:type="dxa"/>
            <w:shd w:val="clear" w:color="auto" w:fill="auto"/>
            <w:noWrap w:val="0"/>
            <w:vAlign w:val="center"/>
          </w:tcPr>
          <w:p w14:paraId="5F6495E4">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73" w:type="dxa"/>
            <w:shd w:val="clear" w:color="auto" w:fill="auto"/>
            <w:noWrap w:val="0"/>
            <w:vAlign w:val="center"/>
          </w:tcPr>
          <w:p w14:paraId="38630085">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8" w:type="dxa"/>
            <w:shd w:val="clear" w:color="auto" w:fill="auto"/>
            <w:noWrap w:val="0"/>
            <w:vAlign w:val="center"/>
          </w:tcPr>
          <w:p w14:paraId="565BCD8D">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2CCB9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09880E93">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3352" w:type="dxa"/>
            <w:shd w:val="clear" w:color="auto" w:fill="auto"/>
            <w:noWrap w:val="0"/>
            <w:vAlign w:val="center"/>
          </w:tcPr>
          <w:p w14:paraId="12CAE45A">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前列腺特异性抗原三项（前列腺癌相关标志物）</w:t>
            </w:r>
          </w:p>
        </w:tc>
        <w:tc>
          <w:tcPr>
            <w:tcW w:w="837" w:type="dxa"/>
            <w:shd w:val="clear" w:color="auto" w:fill="auto"/>
            <w:noWrap w:val="0"/>
            <w:vAlign w:val="center"/>
          </w:tcPr>
          <w:p w14:paraId="38226862">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837" w:type="dxa"/>
            <w:shd w:val="clear" w:color="auto" w:fill="auto"/>
            <w:noWrap w:val="0"/>
            <w:vAlign w:val="center"/>
          </w:tcPr>
          <w:p w14:paraId="6B36A4A1">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679" w:type="dxa"/>
            <w:shd w:val="clear" w:color="auto" w:fill="auto"/>
            <w:noWrap w:val="0"/>
            <w:vAlign w:val="center"/>
          </w:tcPr>
          <w:p w14:paraId="374721DE">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173" w:type="dxa"/>
            <w:shd w:val="clear" w:color="auto" w:fill="auto"/>
            <w:noWrap w:val="0"/>
            <w:vAlign w:val="center"/>
          </w:tcPr>
          <w:p w14:paraId="1DDD9D4E">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088" w:type="dxa"/>
            <w:shd w:val="clear" w:color="auto" w:fill="auto"/>
            <w:noWrap w:val="0"/>
            <w:vAlign w:val="center"/>
          </w:tcPr>
          <w:p w14:paraId="5BB34428">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25DF0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35E69412">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3352" w:type="dxa"/>
            <w:shd w:val="clear" w:color="auto" w:fill="auto"/>
            <w:noWrap w:val="0"/>
            <w:vAlign w:val="center"/>
          </w:tcPr>
          <w:p w14:paraId="78B8FD18">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糖基抗原CA153（女）</w:t>
            </w:r>
          </w:p>
        </w:tc>
        <w:tc>
          <w:tcPr>
            <w:tcW w:w="837" w:type="dxa"/>
            <w:shd w:val="clear" w:color="auto" w:fill="auto"/>
            <w:noWrap w:val="0"/>
            <w:vAlign w:val="center"/>
          </w:tcPr>
          <w:p w14:paraId="2FC1F705">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837" w:type="dxa"/>
            <w:shd w:val="clear" w:color="auto" w:fill="auto"/>
            <w:noWrap w:val="0"/>
            <w:vAlign w:val="center"/>
          </w:tcPr>
          <w:p w14:paraId="2DE9ED83">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679" w:type="dxa"/>
            <w:shd w:val="clear" w:color="auto" w:fill="auto"/>
            <w:noWrap w:val="0"/>
            <w:vAlign w:val="center"/>
          </w:tcPr>
          <w:p w14:paraId="217DCE6E">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73" w:type="dxa"/>
            <w:shd w:val="clear" w:color="auto" w:fill="auto"/>
            <w:noWrap w:val="0"/>
            <w:vAlign w:val="center"/>
          </w:tcPr>
          <w:p w14:paraId="4E54FD31">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8" w:type="dxa"/>
            <w:shd w:val="clear" w:color="auto" w:fill="auto"/>
            <w:noWrap w:val="0"/>
            <w:vAlign w:val="center"/>
          </w:tcPr>
          <w:p w14:paraId="1E81A1F9">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4A821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47F25FDB">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3352" w:type="dxa"/>
            <w:shd w:val="clear" w:color="auto" w:fill="auto"/>
            <w:noWrap w:val="0"/>
            <w:vAlign w:val="center"/>
          </w:tcPr>
          <w:p w14:paraId="0A29D946">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CA-199（胰腺癌筛查）</w:t>
            </w:r>
          </w:p>
        </w:tc>
        <w:tc>
          <w:tcPr>
            <w:tcW w:w="837" w:type="dxa"/>
            <w:shd w:val="clear" w:color="auto" w:fill="auto"/>
            <w:noWrap w:val="0"/>
            <w:vAlign w:val="center"/>
          </w:tcPr>
          <w:p w14:paraId="276FDB60">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837" w:type="dxa"/>
            <w:shd w:val="clear" w:color="auto" w:fill="auto"/>
            <w:noWrap w:val="0"/>
            <w:vAlign w:val="center"/>
          </w:tcPr>
          <w:p w14:paraId="13A15D77">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679" w:type="dxa"/>
            <w:shd w:val="clear" w:color="auto" w:fill="auto"/>
            <w:noWrap w:val="0"/>
            <w:vAlign w:val="center"/>
          </w:tcPr>
          <w:p w14:paraId="592AA572">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173" w:type="dxa"/>
            <w:shd w:val="clear" w:color="auto" w:fill="auto"/>
            <w:noWrap w:val="0"/>
            <w:vAlign w:val="center"/>
          </w:tcPr>
          <w:p w14:paraId="7E889CBD">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88" w:type="dxa"/>
            <w:shd w:val="clear" w:color="auto" w:fill="auto"/>
            <w:noWrap w:val="0"/>
            <w:vAlign w:val="center"/>
          </w:tcPr>
          <w:p w14:paraId="0789CFF0">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r>
      <w:tr w14:paraId="36964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0A7D223A">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3352" w:type="dxa"/>
            <w:shd w:val="clear" w:color="auto" w:fill="auto"/>
            <w:noWrap w:val="0"/>
            <w:vAlign w:val="center"/>
          </w:tcPr>
          <w:p w14:paraId="42F60571">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甲状腺功能三项</w:t>
            </w:r>
          </w:p>
        </w:tc>
        <w:tc>
          <w:tcPr>
            <w:tcW w:w="837" w:type="dxa"/>
            <w:shd w:val="clear" w:color="auto" w:fill="auto"/>
            <w:noWrap w:val="0"/>
            <w:vAlign w:val="center"/>
          </w:tcPr>
          <w:p w14:paraId="6B534AED">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837" w:type="dxa"/>
            <w:shd w:val="clear" w:color="auto" w:fill="auto"/>
            <w:noWrap w:val="0"/>
            <w:vAlign w:val="center"/>
          </w:tcPr>
          <w:p w14:paraId="37D1EC0E">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679" w:type="dxa"/>
            <w:shd w:val="clear" w:color="auto" w:fill="auto"/>
            <w:noWrap w:val="0"/>
            <w:vAlign w:val="center"/>
          </w:tcPr>
          <w:p w14:paraId="5EDAB9B4">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173" w:type="dxa"/>
            <w:shd w:val="clear" w:color="auto" w:fill="auto"/>
            <w:noWrap w:val="0"/>
            <w:vAlign w:val="center"/>
          </w:tcPr>
          <w:p w14:paraId="27B0D03A">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88" w:type="dxa"/>
            <w:shd w:val="clear" w:color="auto" w:fill="auto"/>
            <w:noWrap w:val="0"/>
            <w:vAlign w:val="center"/>
          </w:tcPr>
          <w:p w14:paraId="0CA17D9B">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r>
      <w:tr w14:paraId="78CF4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47579AF6">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3352" w:type="dxa"/>
            <w:shd w:val="clear" w:color="auto" w:fill="auto"/>
            <w:noWrap w:val="0"/>
            <w:vAlign w:val="center"/>
          </w:tcPr>
          <w:p w14:paraId="186C305C">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彩超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肝、胆、脾、胰输尿管、膀胱、前列腺)(男)</w:t>
            </w:r>
          </w:p>
        </w:tc>
        <w:tc>
          <w:tcPr>
            <w:tcW w:w="837" w:type="dxa"/>
            <w:shd w:val="clear" w:color="auto" w:fill="auto"/>
            <w:noWrap w:val="0"/>
            <w:vAlign w:val="center"/>
          </w:tcPr>
          <w:p w14:paraId="7F4EAA33">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37" w:type="dxa"/>
            <w:shd w:val="clear" w:color="auto" w:fill="auto"/>
            <w:noWrap w:val="0"/>
            <w:vAlign w:val="center"/>
          </w:tcPr>
          <w:p w14:paraId="348D8324">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79" w:type="dxa"/>
            <w:shd w:val="clear" w:color="auto" w:fill="auto"/>
            <w:noWrap w:val="0"/>
            <w:vAlign w:val="center"/>
          </w:tcPr>
          <w:p w14:paraId="1006E22F">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173" w:type="dxa"/>
            <w:shd w:val="clear" w:color="auto" w:fill="auto"/>
            <w:noWrap w:val="0"/>
            <w:vAlign w:val="center"/>
          </w:tcPr>
          <w:p w14:paraId="7A26DF15">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88" w:type="dxa"/>
            <w:shd w:val="clear" w:color="auto" w:fill="auto"/>
            <w:noWrap w:val="0"/>
            <w:vAlign w:val="center"/>
          </w:tcPr>
          <w:p w14:paraId="0B1276DF">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r>
      <w:tr w14:paraId="4E73F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7DDF8EDA">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3352" w:type="dxa"/>
            <w:shd w:val="clear" w:color="auto" w:fill="auto"/>
            <w:noWrap w:val="0"/>
            <w:vAlign w:val="center"/>
          </w:tcPr>
          <w:p w14:paraId="58D8AFD9">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彩超（肝、胆、脾、胰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输尿管、膀胱（女）</w:t>
            </w:r>
          </w:p>
        </w:tc>
        <w:tc>
          <w:tcPr>
            <w:tcW w:w="837" w:type="dxa"/>
            <w:shd w:val="clear" w:color="auto" w:fill="auto"/>
            <w:noWrap w:val="0"/>
            <w:vAlign w:val="center"/>
          </w:tcPr>
          <w:p w14:paraId="3F5D2DC4">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837" w:type="dxa"/>
            <w:shd w:val="clear" w:color="auto" w:fill="auto"/>
            <w:noWrap w:val="0"/>
            <w:vAlign w:val="center"/>
          </w:tcPr>
          <w:p w14:paraId="7734222A">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679" w:type="dxa"/>
            <w:shd w:val="clear" w:color="auto" w:fill="auto"/>
            <w:noWrap w:val="0"/>
            <w:vAlign w:val="center"/>
          </w:tcPr>
          <w:p w14:paraId="35B94D3A">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73" w:type="dxa"/>
            <w:shd w:val="clear" w:color="auto" w:fill="auto"/>
            <w:noWrap w:val="0"/>
            <w:vAlign w:val="center"/>
          </w:tcPr>
          <w:p w14:paraId="64A547A1">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8" w:type="dxa"/>
            <w:shd w:val="clear" w:color="auto" w:fill="auto"/>
            <w:noWrap w:val="0"/>
            <w:vAlign w:val="center"/>
          </w:tcPr>
          <w:p w14:paraId="1A33B46A">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3429A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6174D617">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3352" w:type="dxa"/>
            <w:shd w:val="clear" w:color="auto" w:fill="auto"/>
            <w:noWrap w:val="0"/>
            <w:vAlign w:val="center"/>
          </w:tcPr>
          <w:p w14:paraId="4E59EE15">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彩超：（腹式）</w:t>
            </w:r>
            <w:r>
              <w:rPr>
                <w:rFonts w:hint="eastAsia" w:ascii="宋体" w:hAnsi="宋体" w:eastAsia="宋体" w:cs="宋体"/>
                <w:color w:val="auto"/>
                <w:sz w:val="21"/>
                <w:szCs w:val="21"/>
                <w:highlight w:val="none"/>
              </w:rPr>
              <w:t>子宫、附件（女）</w:t>
            </w:r>
          </w:p>
        </w:tc>
        <w:tc>
          <w:tcPr>
            <w:tcW w:w="837" w:type="dxa"/>
            <w:shd w:val="clear" w:color="auto" w:fill="auto"/>
            <w:noWrap w:val="0"/>
            <w:vAlign w:val="center"/>
          </w:tcPr>
          <w:p w14:paraId="6D0D88EA">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837" w:type="dxa"/>
            <w:shd w:val="clear" w:color="auto" w:fill="auto"/>
            <w:noWrap w:val="0"/>
            <w:vAlign w:val="center"/>
          </w:tcPr>
          <w:p w14:paraId="0C09B93D">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679" w:type="dxa"/>
            <w:shd w:val="clear" w:color="auto" w:fill="auto"/>
            <w:noWrap w:val="0"/>
            <w:vAlign w:val="center"/>
          </w:tcPr>
          <w:p w14:paraId="781E890C">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73" w:type="dxa"/>
            <w:shd w:val="clear" w:color="auto" w:fill="auto"/>
            <w:noWrap w:val="0"/>
            <w:vAlign w:val="center"/>
          </w:tcPr>
          <w:p w14:paraId="1EA2A79F">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88" w:type="dxa"/>
            <w:shd w:val="clear" w:color="auto" w:fill="auto"/>
            <w:noWrap w:val="0"/>
            <w:vAlign w:val="center"/>
          </w:tcPr>
          <w:p w14:paraId="6C39BB6A">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r>
      <w:tr w14:paraId="72203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7BB93B41">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3352" w:type="dxa"/>
            <w:shd w:val="clear" w:color="auto" w:fill="auto"/>
            <w:noWrap w:val="0"/>
            <w:vAlign w:val="center"/>
          </w:tcPr>
          <w:p w14:paraId="01E9D4E7">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彩超：（</w:t>
            </w:r>
            <w:r>
              <w:rPr>
                <w:rFonts w:hint="eastAsia" w:ascii="宋体" w:hAnsi="宋体" w:eastAsia="宋体" w:cs="宋体"/>
                <w:color w:val="auto"/>
                <w:sz w:val="21"/>
                <w:szCs w:val="21"/>
                <w:highlight w:val="none"/>
              </w:rPr>
              <w:t>阴</w:t>
            </w:r>
            <w:r>
              <w:rPr>
                <w:rFonts w:hint="eastAsia" w:ascii="宋体" w:hAnsi="宋体" w:eastAsia="宋体" w:cs="宋体"/>
                <w:color w:val="auto"/>
                <w:sz w:val="21"/>
                <w:szCs w:val="21"/>
                <w:highlight w:val="none"/>
                <w:lang w:val="en-US" w:eastAsia="zh-CN"/>
              </w:rPr>
              <w:t>式）</w:t>
            </w:r>
            <w:r>
              <w:rPr>
                <w:rFonts w:hint="eastAsia" w:ascii="宋体" w:hAnsi="宋体" w:eastAsia="宋体" w:cs="宋体"/>
                <w:color w:val="auto"/>
                <w:sz w:val="21"/>
                <w:szCs w:val="21"/>
                <w:highlight w:val="none"/>
              </w:rPr>
              <w:t>子宫、附件（女）</w:t>
            </w:r>
          </w:p>
        </w:tc>
        <w:tc>
          <w:tcPr>
            <w:tcW w:w="837" w:type="dxa"/>
            <w:shd w:val="clear" w:color="auto" w:fill="auto"/>
            <w:noWrap w:val="0"/>
            <w:vAlign w:val="center"/>
          </w:tcPr>
          <w:p w14:paraId="40E3B926">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837" w:type="dxa"/>
            <w:shd w:val="clear" w:color="auto" w:fill="auto"/>
            <w:noWrap w:val="0"/>
            <w:vAlign w:val="center"/>
          </w:tcPr>
          <w:p w14:paraId="1F25676E">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679" w:type="dxa"/>
            <w:shd w:val="clear" w:color="auto" w:fill="auto"/>
            <w:noWrap w:val="0"/>
            <w:vAlign w:val="center"/>
          </w:tcPr>
          <w:p w14:paraId="39042ED1">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173" w:type="dxa"/>
            <w:shd w:val="clear" w:color="auto" w:fill="auto"/>
            <w:noWrap w:val="0"/>
            <w:vAlign w:val="center"/>
          </w:tcPr>
          <w:p w14:paraId="3BC9CAC6">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8" w:type="dxa"/>
            <w:shd w:val="clear" w:color="auto" w:fill="auto"/>
            <w:noWrap w:val="0"/>
            <w:vAlign w:val="center"/>
          </w:tcPr>
          <w:p w14:paraId="26B7593C">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0216F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7353D6F4">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3352" w:type="dxa"/>
            <w:shd w:val="clear" w:color="auto" w:fill="auto"/>
            <w:noWrap w:val="0"/>
            <w:vAlign w:val="center"/>
          </w:tcPr>
          <w:p w14:paraId="28A5147A">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颈动脉彩超</w:t>
            </w:r>
          </w:p>
        </w:tc>
        <w:tc>
          <w:tcPr>
            <w:tcW w:w="837" w:type="dxa"/>
            <w:shd w:val="clear" w:color="auto" w:fill="auto"/>
            <w:noWrap w:val="0"/>
            <w:vAlign w:val="center"/>
          </w:tcPr>
          <w:p w14:paraId="0F9DCD8D">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837" w:type="dxa"/>
            <w:shd w:val="clear" w:color="auto" w:fill="auto"/>
            <w:noWrap w:val="0"/>
            <w:vAlign w:val="center"/>
          </w:tcPr>
          <w:p w14:paraId="4E4886E4">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679" w:type="dxa"/>
            <w:shd w:val="clear" w:color="auto" w:fill="auto"/>
            <w:noWrap w:val="0"/>
            <w:vAlign w:val="center"/>
          </w:tcPr>
          <w:p w14:paraId="02809D90">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173" w:type="dxa"/>
            <w:shd w:val="clear" w:color="auto" w:fill="auto"/>
            <w:noWrap w:val="0"/>
            <w:vAlign w:val="center"/>
          </w:tcPr>
          <w:p w14:paraId="750ACF1E">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088" w:type="dxa"/>
            <w:shd w:val="clear" w:color="auto" w:fill="auto"/>
            <w:noWrap w:val="0"/>
            <w:vAlign w:val="center"/>
          </w:tcPr>
          <w:p w14:paraId="2DA416A4">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r>
      <w:tr w14:paraId="5FA0F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49F5B3A8">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3352" w:type="dxa"/>
            <w:shd w:val="clear" w:color="auto" w:fill="auto"/>
            <w:noWrap w:val="0"/>
            <w:vAlign w:val="center"/>
          </w:tcPr>
          <w:p w14:paraId="7F95F789">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甲状腺彩色超声</w:t>
            </w:r>
          </w:p>
        </w:tc>
        <w:tc>
          <w:tcPr>
            <w:tcW w:w="837" w:type="dxa"/>
            <w:shd w:val="clear" w:color="auto" w:fill="auto"/>
            <w:noWrap w:val="0"/>
            <w:vAlign w:val="center"/>
          </w:tcPr>
          <w:p w14:paraId="73E62323">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837" w:type="dxa"/>
            <w:shd w:val="clear" w:color="auto" w:fill="auto"/>
            <w:noWrap w:val="0"/>
            <w:vAlign w:val="center"/>
          </w:tcPr>
          <w:p w14:paraId="124E0D1F">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679" w:type="dxa"/>
            <w:shd w:val="clear" w:color="auto" w:fill="auto"/>
            <w:noWrap w:val="0"/>
            <w:vAlign w:val="center"/>
          </w:tcPr>
          <w:p w14:paraId="0FBD4D17">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173" w:type="dxa"/>
            <w:shd w:val="clear" w:color="auto" w:fill="auto"/>
            <w:noWrap w:val="0"/>
            <w:vAlign w:val="center"/>
          </w:tcPr>
          <w:p w14:paraId="129DF8A1">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88" w:type="dxa"/>
            <w:shd w:val="clear" w:color="auto" w:fill="auto"/>
            <w:noWrap w:val="0"/>
            <w:vAlign w:val="center"/>
          </w:tcPr>
          <w:p w14:paraId="1642333A">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r>
      <w:tr w14:paraId="15259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25581C8E">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3352" w:type="dxa"/>
            <w:shd w:val="clear" w:color="auto" w:fill="auto"/>
            <w:noWrap w:val="0"/>
            <w:vAlign w:val="center"/>
          </w:tcPr>
          <w:p w14:paraId="19FA7514">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高频双乳腺彩色超声（女）</w:t>
            </w:r>
          </w:p>
        </w:tc>
        <w:tc>
          <w:tcPr>
            <w:tcW w:w="837" w:type="dxa"/>
            <w:shd w:val="clear" w:color="auto" w:fill="auto"/>
            <w:noWrap w:val="0"/>
            <w:vAlign w:val="center"/>
          </w:tcPr>
          <w:p w14:paraId="3CFB9BCF">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837" w:type="dxa"/>
            <w:shd w:val="clear" w:color="auto" w:fill="auto"/>
            <w:noWrap w:val="0"/>
            <w:vAlign w:val="center"/>
          </w:tcPr>
          <w:p w14:paraId="746E4C5C">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679" w:type="dxa"/>
            <w:shd w:val="clear" w:color="auto" w:fill="auto"/>
            <w:noWrap w:val="0"/>
            <w:vAlign w:val="center"/>
          </w:tcPr>
          <w:p w14:paraId="71016F63">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73" w:type="dxa"/>
            <w:shd w:val="clear" w:color="auto" w:fill="auto"/>
            <w:noWrap w:val="0"/>
            <w:vAlign w:val="center"/>
          </w:tcPr>
          <w:p w14:paraId="6B1DD61A">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8" w:type="dxa"/>
            <w:shd w:val="clear" w:color="auto" w:fill="auto"/>
            <w:noWrap w:val="0"/>
            <w:vAlign w:val="center"/>
          </w:tcPr>
          <w:p w14:paraId="75F7DA41">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3DA86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06B01987">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3352" w:type="dxa"/>
            <w:shd w:val="clear" w:color="auto" w:fill="auto"/>
            <w:noWrap w:val="0"/>
            <w:vAlign w:val="center"/>
          </w:tcPr>
          <w:p w14:paraId="5DBF0CAE">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妇检+妇科液基薄层细胞学（女）</w:t>
            </w:r>
          </w:p>
        </w:tc>
        <w:tc>
          <w:tcPr>
            <w:tcW w:w="837" w:type="dxa"/>
            <w:shd w:val="clear" w:color="auto" w:fill="auto"/>
            <w:noWrap w:val="0"/>
            <w:vAlign w:val="center"/>
          </w:tcPr>
          <w:p w14:paraId="4D07000F">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837" w:type="dxa"/>
            <w:shd w:val="clear" w:color="auto" w:fill="auto"/>
            <w:noWrap w:val="0"/>
            <w:vAlign w:val="center"/>
          </w:tcPr>
          <w:p w14:paraId="0497DC39">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679" w:type="dxa"/>
            <w:shd w:val="clear" w:color="auto" w:fill="auto"/>
            <w:noWrap w:val="0"/>
            <w:vAlign w:val="center"/>
          </w:tcPr>
          <w:p w14:paraId="5185A22D">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173" w:type="dxa"/>
            <w:shd w:val="clear" w:color="auto" w:fill="auto"/>
            <w:noWrap w:val="0"/>
            <w:vAlign w:val="center"/>
          </w:tcPr>
          <w:p w14:paraId="24DCCBAA">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8" w:type="dxa"/>
            <w:shd w:val="clear" w:color="auto" w:fill="auto"/>
            <w:noWrap w:val="0"/>
            <w:vAlign w:val="center"/>
          </w:tcPr>
          <w:p w14:paraId="5E02D883">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01F34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2773557C">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30</w:t>
            </w:r>
          </w:p>
        </w:tc>
        <w:tc>
          <w:tcPr>
            <w:tcW w:w="3352" w:type="dxa"/>
            <w:shd w:val="clear" w:color="auto" w:fill="auto"/>
            <w:noWrap w:val="0"/>
            <w:vAlign w:val="center"/>
          </w:tcPr>
          <w:p w14:paraId="5CCF2859">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宫颈分泌物检查</w:t>
            </w:r>
          </w:p>
        </w:tc>
        <w:tc>
          <w:tcPr>
            <w:tcW w:w="837" w:type="dxa"/>
            <w:shd w:val="clear" w:color="auto" w:fill="auto"/>
            <w:noWrap w:val="0"/>
            <w:vAlign w:val="center"/>
          </w:tcPr>
          <w:p w14:paraId="55ACF929">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837" w:type="dxa"/>
            <w:shd w:val="clear" w:color="auto" w:fill="auto"/>
            <w:noWrap w:val="0"/>
            <w:vAlign w:val="center"/>
          </w:tcPr>
          <w:p w14:paraId="63D7CE36">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679" w:type="dxa"/>
            <w:shd w:val="clear" w:color="auto" w:fill="auto"/>
            <w:noWrap w:val="0"/>
            <w:vAlign w:val="center"/>
          </w:tcPr>
          <w:p w14:paraId="0BFE91A8">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173" w:type="dxa"/>
            <w:shd w:val="clear" w:color="auto" w:fill="auto"/>
            <w:noWrap w:val="0"/>
            <w:vAlign w:val="center"/>
          </w:tcPr>
          <w:p w14:paraId="131D6AF7">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88" w:type="dxa"/>
            <w:shd w:val="clear" w:color="auto" w:fill="auto"/>
            <w:noWrap w:val="0"/>
            <w:vAlign w:val="center"/>
          </w:tcPr>
          <w:p w14:paraId="71A45EF0">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r>
      <w:tr w14:paraId="4A4AC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52806E51">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3352" w:type="dxa"/>
            <w:shd w:val="clear" w:color="auto" w:fill="auto"/>
            <w:noWrap w:val="0"/>
            <w:vAlign w:val="center"/>
          </w:tcPr>
          <w:p w14:paraId="583C8CB0">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常规心电图检查</w:t>
            </w:r>
          </w:p>
        </w:tc>
        <w:tc>
          <w:tcPr>
            <w:tcW w:w="837" w:type="dxa"/>
            <w:shd w:val="clear" w:color="auto" w:fill="auto"/>
            <w:noWrap w:val="0"/>
            <w:vAlign w:val="center"/>
          </w:tcPr>
          <w:p w14:paraId="49B06DCE">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37" w:type="dxa"/>
            <w:shd w:val="clear" w:color="auto" w:fill="auto"/>
            <w:noWrap w:val="0"/>
            <w:vAlign w:val="center"/>
          </w:tcPr>
          <w:p w14:paraId="5088D836">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79" w:type="dxa"/>
            <w:shd w:val="clear" w:color="auto" w:fill="auto"/>
            <w:noWrap w:val="0"/>
            <w:vAlign w:val="center"/>
          </w:tcPr>
          <w:p w14:paraId="0C970F96">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73" w:type="dxa"/>
            <w:shd w:val="clear" w:color="auto" w:fill="auto"/>
            <w:noWrap w:val="0"/>
            <w:vAlign w:val="center"/>
          </w:tcPr>
          <w:p w14:paraId="7F25908F">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8" w:type="dxa"/>
            <w:shd w:val="clear" w:color="auto" w:fill="auto"/>
            <w:noWrap w:val="0"/>
            <w:vAlign w:val="center"/>
          </w:tcPr>
          <w:p w14:paraId="5C8C329C">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41AB4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5163F8FE">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3352" w:type="dxa"/>
            <w:shd w:val="clear" w:color="auto" w:fill="auto"/>
            <w:noWrap w:val="0"/>
            <w:vAlign w:val="center"/>
          </w:tcPr>
          <w:p w14:paraId="5278CE1E">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心电向量</w:t>
            </w:r>
          </w:p>
        </w:tc>
        <w:tc>
          <w:tcPr>
            <w:tcW w:w="837" w:type="dxa"/>
            <w:shd w:val="clear" w:color="auto" w:fill="auto"/>
            <w:noWrap w:val="0"/>
            <w:vAlign w:val="center"/>
          </w:tcPr>
          <w:p w14:paraId="57BBCDA1">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37" w:type="dxa"/>
            <w:shd w:val="clear" w:color="auto" w:fill="auto"/>
            <w:noWrap w:val="0"/>
            <w:vAlign w:val="center"/>
          </w:tcPr>
          <w:p w14:paraId="69FEA851">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79" w:type="dxa"/>
            <w:shd w:val="clear" w:color="auto" w:fill="auto"/>
            <w:noWrap w:val="0"/>
            <w:vAlign w:val="center"/>
          </w:tcPr>
          <w:p w14:paraId="21E800F0">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73" w:type="dxa"/>
            <w:shd w:val="clear" w:color="auto" w:fill="auto"/>
            <w:noWrap w:val="0"/>
            <w:vAlign w:val="center"/>
          </w:tcPr>
          <w:p w14:paraId="59F80A4A">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8" w:type="dxa"/>
            <w:shd w:val="clear" w:color="auto" w:fill="auto"/>
            <w:noWrap w:val="0"/>
            <w:vAlign w:val="center"/>
          </w:tcPr>
          <w:p w14:paraId="57CE61D2">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4B0A6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7410C491">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3352" w:type="dxa"/>
            <w:shd w:val="clear" w:color="auto" w:fill="auto"/>
            <w:noWrap w:val="0"/>
            <w:vAlign w:val="center"/>
          </w:tcPr>
          <w:p w14:paraId="0A9A2F5E">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动脉硬化检测</w:t>
            </w:r>
          </w:p>
        </w:tc>
        <w:tc>
          <w:tcPr>
            <w:tcW w:w="837" w:type="dxa"/>
            <w:shd w:val="clear" w:color="auto" w:fill="auto"/>
            <w:noWrap w:val="0"/>
            <w:vAlign w:val="center"/>
          </w:tcPr>
          <w:p w14:paraId="10950619">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837" w:type="dxa"/>
            <w:shd w:val="clear" w:color="auto" w:fill="auto"/>
            <w:noWrap w:val="0"/>
            <w:vAlign w:val="center"/>
          </w:tcPr>
          <w:p w14:paraId="019CF443">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79" w:type="dxa"/>
            <w:shd w:val="clear" w:color="auto" w:fill="auto"/>
            <w:noWrap w:val="0"/>
            <w:vAlign w:val="center"/>
          </w:tcPr>
          <w:p w14:paraId="0B5526E8">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173" w:type="dxa"/>
            <w:shd w:val="clear" w:color="auto" w:fill="auto"/>
            <w:noWrap w:val="0"/>
            <w:vAlign w:val="center"/>
          </w:tcPr>
          <w:p w14:paraId="470CC51C">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88" w:type="dxa"/>
            <w:shd w:val="clear" w:color="auto" w:fill="auto"/>
            <w:noWrap w:val="0"/>
            <w:vAlign w:val="center"/>
          </w:tcPr>
          <w:p w14:paraId="0E2DFA4F">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16F8D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4EF2AD33">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3352" w:type="dxa"/>
            <w:shd w:val="clear" w:color="auto" w:fill="auto"/>
            <w:noWrap w:val="0"/>
            <w:vAlign w:val="center"/>
          </w:tcPr>
          <w:p w14:paraId="6C6F89BC">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64排胸部CT平扫</w:t>
            </w:r>
          </w:p>
        </w:tc>
        <w:tc>
          <w:tcPr>
            <w:tcW w:w="837" w:type="dxa"/>
            <w:shd w:val="clear" w:color="auto" w:fill="auto"/>
            <w:noWrap w:val="0"/>
            <w:vAlign w:val="center"/>
          </w:tcPr>
          <w:p w14:paraId="14294BA4">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837" w:type="dxa"/>
            <w:shd w:val="clear" w:color="auto" w:fill="auto"/>
            <w:noWrap w:val="0"/>
            <w:vAlign w:val="center"/>
          </w:tcPr>
          <w:p w14:paraId="34500825">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679" w:type="dxa"/>
            <w:shd w:val="clear" w:color="auto" w:fill="auto"/>
            <w:noWrap w:val="0"/>
            <w:vAlign w:val="center"/>
          </w:tcPr>
          <w:p w14:paraId="28FC95C7">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173" w:type="dxa"/>
            <w:shd w:val="clear" w:color="auto" w:fill="auto"/>
            <w:noWrap w:val="0"/>
            <w:vAlign w:val="center"/>
          </w:tcPr>
          <w:p w14:paraId="2C0DA758">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88" w:type="dxa"/>
            <w:shd w:val="clear" w:color="auto" w:fill="auto"/>
            <w:noWrap w:val="0"/>
            <w:vAlign w:val="center"/>
          </w:tcPr>
          <w:p w14:paraId="7610570A">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r>
      <w:tr w14:paraId="1F5AA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5305C908">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3352" w:type="dxa"/>
            <w:shd w:val="clear" w:color="auto" w:fill="auto"/>
            <w:noWrap w:val="0"/>
            <w:vAlign w:val="center"/>
          </w:tcPr>
          <w:p w14:paraId="5F98C9F2">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采血、试管</w:t>
            </w:r>
          </w:p>
        </w:tc>
        <w:tc>
          <w:tcPr>
            <w:tcW w:w="837" w:type="dxa"/>
            <w:shd w:val="clear" w:color="auto" w:fill="auto"/>
            <w:noWrap w:val="0"/>
            <w:vAlign w:val="center"/>
          </w:tcPr>
          <w:p w14:paraId="13F8D23E">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37" w:type="dxa"/>
            <w:shd w:val="clear" w:color="auto" w:fill="auto"/>
            <w:noWrap w:val="0"/>
            <w:vAlign w:val="center"/>
          </w:tcPr>
          <w:p w14:paraId="4C848671">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79" w:type="dxa"/>
            <w:shd w:val="clear" w:color="auto" w:fill="auto"/>
            <w:noWrap w:val="0"/>
            <w:vAlign w:val="center"/>
          </w:tcPr>
          <w:p w14:paraId="0C872A7B">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73" w:type="dxa"/>
            <w:shd w:val="clear" w:color="auto" w:fill="auto"/>
            <w:noWrap w:val="0"/>
            <w:vAlign w:val="center"/>
          </w:tcPr>
          <w:p w14:paraId="52E76AD5">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8" w:type="dxa"/>
            <w:shd w:val="clear" w:color="auto" w:fill="auto"/>
            <w:noWrap w:val="0"/>
            <w:vAlign w:val="center"/>
          </w:tcPr>
          <w:p w14:paraId="225B03E8">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7E672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3BE3F17B">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3352" w:type="dxa"/>
            <w:shd w:val="clear" w:color="auto" w:fill="auto"/>
            <w:noWrap w:val="0"/>
            <w:vAlign w:val="center"/>
          </w:tcPr>
          <w:p w14:paraId="50525CB5">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建立健康档案</w:t>
            </w:r>
          </w:p>
        </w:tc>
        <w:tc>
          <w:tcPr>
            <w:tcW w:w="837" w:type="dxa"/>
            <w:shd w:val="clear" w:color="auto" w:fill="auto"/>
            <w:noWrap w:val="0"/>
            <w:vAlign w:val="center"/>
          </w:tcPr>
          <w:p w14:paraId="3C4498AC">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37" w:type="dxa"/>
            <w:shd w:val="clear" w:color="auto" w:fill="auto"/>
            <w:noWrap w:val="0"/>
            <w:vAlign w:val="center"/>
          </w:tcPr>
          <w:p w14:paraId="60AC8C91">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79" w:type="dxa"/>
            <w:shd w:val="clear" w:color="auto" w:fill="auto"/>
            <w:noWrap w:val="0"/>
            <w:vAlign w:val="center"/>
          </w:tcPr>
          <w:p w14:paraId="226F91E2">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73" w:type="dxa"/>
            <w:shd w:val="clear" w:color="auto" w:fill="auto"/>
            <w:noWrap w:val="0"/>
            <w:vAlign w:val="center"/>
          </w:tcPr>
          <w:p w14:paraId="7AF46193">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8" w:type="dxa"/>
            <w:shd w:val="clear" w:color="auto" w:fill="auto"/>
            <w:noWrap w:val="0"/>
            <w:vAlign w:val="center"/>
          </w:tcPr>
          <w:p w14:paraId="7215EAB3">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7F592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307DBA28">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3352" w:type="dxa"/>
            <w:shd w:val="clear" w:color="auto" w:fill="auto"/>
            <w:noWrap w:val="0"/>
            <w:vAlign w:val="center"/>
          </w:tcPr>
          <w:p w14:paraId="6981C8EF">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生活史、家族史、既往史、遗传史</w:t>
            </w:r>
          </w:p>
        </w:tc>
        <w:tc>
          <w:tcPr>
            <w:tcW w:w="837" w:type="dxa"/>
            <w:shd w:val="clear" w:color="auto" w:fill="auto"/>
            <w:noWrap w:val="0"/>
            <w:vAlign w:val="center"/>
          </w:tcPr>
          <w:p w14:paraId="1AF98505">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37" w:type="dxa"/>
            <w:shd w:val="clear" w:color="auto" w:fill="auto"/>
            <w:noWrap w:val="0"/>
            <w:vAlign w:val="center"/>
          </w:tcPr>
          <w:p w14:paraId="1C584E67">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79" w:type="dxa"/>
            <w:shd w:val="clear" w:color="auto" w:fill="auto"/>
            <w:noWrap w:val="0"/>
            <w:vAlign w:val="center"/>
          </w:tcPr>
          <w:p w14:paraId="59F25BC0">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73" w:type="dxa"/>
            <w:shd w:val="clear" w:color="auto" w:fill="auto"/>
            <w:noWrap w:val="0"/>
            <w:vAlign w:val="center"/>
          </w:tcPr>
          <w:p w14:paraId="25599CA0">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8" w:type="dxa"/>
            <w:shd w:val="clear" w:color="auto" w:fill="auto"/>
            <w:noWrap w:val="0"/>
            <w:vAlign w:val="center"/>
          </w:tcPr>
          <w:p w14:paraId="61CAC74F">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30A58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7B2F342E">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3352" w:type="dxa"/>
            <w:shd w:val="clear" w:color="auto" w:fill="auto"/>
            <w:noWrap w:val="0"/>
            <w:vAlign w:val="center"/>
          </w:tcPr>
          <w:p w14:paraId="59F3B2EC">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血压、身高、体重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腰围、臀围、体重指数</w:t>
            </w:r>
          </w:p>
        </w:tc>
        <w:tc>
          <w:tcPr>
            <w:tcW w:w="837" w:type="dxa"/>
            <w:shd w:val="clear" w:color="auto" w:fill="auto"/>
            <w:noWrap w:val="0"/>
            <w:vAlign w:val="center"/>
          </w:tcPr>
          <w:p w14:paraId="56A1D522">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37" w:type="dxa"/>
            <w:shd w:val="clear" w:color="auto" w:fill="auto"/>
            <w:noWrap w:val="0"/>
            <w:vAlign w:val="center"/>
          </w:tcPr>
          <w:p w14:paraId="7CCAD2C9">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79" w:type="dxa"/>
            <w:shd w:val="clear" w:color="auto" w:fill="auto"/>
            <w:noWrap w:val="0"/>
            <w:vAlign w:val="center"/>
          </w:tcPr>
          <w:p w14:paraId="2B707B98">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73" w:type="dxa"/>
            <w:shd w:val="clear" w:color="auto" w:fill="auto"/>
            <w:noWrap w:val="0"/>
            <w:vAlign w:val="center"/>
          </w:tcPr>
          <w:p w14:paraId="1FB252B8">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8" w:type="dxa"/>
            <w:shd w:val="clear" w:color="auto" w:fill="auto"/>
            <w:noWrap w:val="0"/>
            <w:vAlign w:val="center"/>
          </w:tcPr>
          <w:p w14:paraId="63711063">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60E01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56" w:type="dxa"/>
            <w:shd w:val="clear" w:color="auto" w:fill="auto"/>
            <w:noWrap w:val="0"/>
            <w:vAlign w:val="center"/>
          </w:tcPr>
          <w:p w14:paraId="748E7FEB">
            <w:pPr>
              <w:keepNext w:val="0"/>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3352" w:type="dxa"/>
            <w:shd w:val="clear" w:color="auto" w:fill="auto"/>
            <w:noWrap w:val="0"/>
            <w:vAlign w:val="center"/>
          </w:tcPr>
          <w:p w14:paraId="2A10D676">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营养早餐</w:t>
            </w:r>
          </w:p>
        </w:tc>
        <w:tc>
          <w:tcPr>
            <w:tcW w:w="837" w:type="dxa"/>
            <w:shd w:val="clear" w:color="auto" w:fill="auto"/>
            <w:noWrap w:val="0"/>
            <w:vAlign w:val="center"/>
          </w:tcPr>
          <w:p w14:paraId="4057D346">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37" w:type="dxa"/>
            <w:shd w:val="clear" w:color="auto" w:fill="auto"/>
            <w:noWrap w:val="0"/>
            <w:vAlign w:val="center"/>
          </w:tcPr>
          <w:p w14:paraId="0B66BEC5">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79" w:type="dxa"/>
            <w:shd w:val="clear" w:color="auto" w:fill="auto"/>
            <w:noWrap w:val="0"/>
            <w:vAlign w:val="center"/>
          </w:tcPr>
          <w:p w14:paraId="6C9DC184">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73" w:type="dxa"/>
            <w:shd w:val="clear" w:color="auto" w:fill="auto"/>
            <w:noWrap w:val="0"/>
            <w:vAlign w:val="center"/>
          </w:tcPr>
          <w:p w14:paraId="7A261061">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8" w:type="dxa"/>
            <w:shd w:val="clear" w:color="auto" w:fill="auto"/>
            <w:noWrap w:val="0"/>
            <w:vAlign w:val="center"/>
          </w:tcPr>
          <w:p w14:paraId="43A2E4EC">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bl>
    <w:p w14:paraId="3FD24CAA">
      <w:pPr>
        <w:rPr>
          <w:rFonts w:hint="eastAsia" w:ascii="宋体" w:hAnsi="宋体" w:eastAsia="宋体" w:cs="宋体"/>
          <w:b/>
          <w:bCs/>
          <w:color w:val="auto"/>
          <w:sz w:val="24"/>
          <w:szCs w:val="24"/>
          <w:highlight w:val="none"/>
          <w:lang w:val="en-US" w:eastAsia="zh-CN"/>
        </w:rPr>
      </w:pPr>
    </w:p>
    <w:p w14:paraId="1E7ADE7E">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备注：最高竞标总价不超过293万元。最高竞标分项限价：男性40岁以下体检费报价上限为1209元/人；男性40岁以上（含40岁）体检费报价上限为1430元/人；女性40岁以下（未婚）体检费报价上限1317元/人；女性40岁以下（已婚）体检费上限1624元/人；女性40岁以上（含40岁）体检费报价上限1845元/人。</w:t>
      </w:r>
      <w:r>
        <w:rPr>
          <w:rFonts w:hint="eastAsia" w:ascii="宋体" w:hAnsi="宋体"/>
          <w:color w:val="auto"/>
          <w:sz w:val="21"/>
          <w:szCs w:val="21"/>
          <w:highlight w:val="none"/>
        </w:rPr>
        <w:t>按折扣率报价，</w:t>
      </w:r>
      <w:r>
        <w:rPr>
          <w:rFonts w:hint="eastAsia" w:ascii="宋体" w:hAnsi="宋体"/>
          <w:color w:val="auto"/>
          <w:sz w:val="21"/>
          <w:szCs w:val="21"/>
          <w:highlight w:val="none"/>
          <w:lang w:val="en-US" w:eastAsia="zh-CN"/>
        </w:rPr>
        <w:t>有效报价范围：</w:t>
      </w:r>
      <w:r>
        <w:rPr>
          <w:rFonts w:hint="eastAsia" w:ascii="宋体" w:hAnsi="宋体" w:cs="宋体"/>
          <w:bCs/>
          <w:color w:val="auto"/>
          <w:sz w:val="21"/>
          <w:szCs w:val="21"/>
          <w:highlight w:val="none"/>
        </w:rPr>
        <w:t>0%≤投标</w:t>
      </w:r>
      <w:r>
        <w:rPr>
          <w:rFonts w:ascii="宋体" w:hAnsi="宋体" w:cs="宋体"/>
          <w:bCs/>
          <w:color w:val="auto"/>
          <w:sz w:val="21"/>
          <w:szCs w:val="21"/>
          <w:highlight w:val="none"/>
        </w:rPr>
        <w:t>人</w:t>
      </w:r>
      <w:r>
        <w:rPr>
          <w:rFonts w:hint="eastAsia" w:ascii="宋体" w:hAnsi="宋体" w:cs="宋体"/>
          <w:bCs/>
          <w:color w:val="auto"/>
          <w:sz w:val="21"/>
          <w:szCs w:val="21"/>
          <w:highlight w:val="none"/>
        </w:rPr>
        <w:t>折扣</w:t>
      </w:r>
      <w:r>
        <w:rPr>
          <w:rFonts w:ascii="宋体" w:hAnsi="宋体" w:cs="宋体"/>
          <w:bCs/>
          <w:color w:val="auto"/>
          <w:sz w:val="21"/>
          <w:szCs w:val="21"/>
          <w:highlight w:val="none"/>
        </w:rPr>
        <w:t>率</w:t>
      </w:r>
      <w:r>
        <w:rPr>
          <w:rFonts w:hint="eastAsia" w:ascii="宋体" w:hAnsi="宋体" w:cs="宋体"/>
          <w:bCs/>
          <w:color w:val="auto"/>
          <w:sz w:val="21"/>
          <w:szCs w:val="21"/>
          <w:highlight w:val="none"/>
        </w:rPr>
        <w:t>报价≤</w:t>
      </w:r>
      <w:r>
        <w:rPr>
          <w:rFonts w:hint="eastAsia" w:ascii="宋体" w:hAnsi="宋体" w:cs="宋体"/>
          <w:bCs/>
          <w:color w:val="auto"/>
          <w:sz w:val="21"/>
          <w:szCs w:val="21"/>
          <w:highlight w:val="none"/>
          <w:lang w:val="en-US" w:eastAsia="zh-CN"/>
        </w:rPr>
        <w:t>100</w:t>
      </w:r>
      <w:r>
        <w:rPr>
          <w:rFonts w:hint="eastAsia" w:ascii="宋体" w:hAnsi="宋体" w:cs="宋体"/>
          <w:bCs/>
          <w:color w:val="auto"/>
          <w:sz w:val="21"/>
          <w:szCs w:val="21"/>
          <w:highlight w:val="none"/>
        </w:rPr>
        <w:t>%</w:t>
      </w:r>
      <w:r>
        <w:rPr>
          <w:rFonts w:hint="eastAsia" w:ascii="宋体" w:hAnsi="宋体" w:cs="宋体"/>
          <w:b/>
          <w:bCs/>
          <w:color w:val="auto"/>
          <w:sz w:val="21"/>
          <w:szCs w:val="21"/>
          <w:highlight w:val="none"/>
          <w:lang w:val="en-US" w:eastAsia="zh-CN"/>
        </w:rPr>
        <w:t xml:space="preserve">  </w:t>
      </w:r>
    </w:p>
    <w:p w14:paraId="76E81447">
      <w:pPr>
        <w:widowControl/>
        <w:jc w:val="left"/>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br w:type="page"/>
      </w:r>
    </w:p>
    <w:p w14:paraId="72D7D6F3">
      <w:pPr>
        <w:widowControl/>
        <w:jc w:val="center"/>
        <w:rPr>
          <w:rFonts w:hint="eastAsia" w:ascii="宋体" w:hAnsi="宋体" w:cs="宋体"/>
          <w:color w:val="auto"/>
          <w:sz w:val="40"/>
          <w:szCs w:val="40"/>
          <w:highlight w:val="none"/>
        </w:rPr>
      </w:pPr>
      <w:r>
        <w:rPr>
          <w:rFonts w:hint="eastAsia" w:ascii="宋体" w:hAnsi="宋体" w:cs="宋体"/>
          <w:b/>
          <w:bCs/>
          <w:color w:val="auto"/>
          <w:sz w:val="30"/>
          <w:szCs w:val="30"/>
          <w:highlight w:val="none"/>
        </w:rPr>
        <w:t>中小微企业划型标准</w:t>
      </w:r>
    </w:p>
    <w:tbl>
      <w:tblPr>
        <w:tblStyle w:val="29"/>
        <w:tblW w:w="5149" w:type="pct"/>
        <w:tblInd w:w="-116" w:type="dxa"/>
        <w:tblLayout w:type="autofit"/>
        <w:tblCellMar>
          <w:top w:w="0" w:type="dxa"/>
          <w:left w:w="108" w:type="dxa"/>
          <w:bottom w:w="0" w:type="dxa"/>
          <w:right w:w="108" w:type="dxa"/>
        </w:tblCellMar>
      </w:tblPr>
      <w:tblGrid>
        <w:gridCol w:w="1867"/>
        <w:gridCol w:w="1394"/>
        <w:gridCol w:w="1129"/>
        <w:gridCol w:w="1646"/>
        <w:gridCol w:w="1646"/>
        <w:gridCol w:w="1094"/>
      </w:tblGrid>
      <w:tr w14:paraId="15472A43">
        <w:tblPrEx>
          <w:tblCellMar>
            <w:top w:w="0" w:type="dxa"/>
            <w:left w:w="108" w:type="dxa"/>
            <w:bottom w:w="0" w:type="dxa"/>
            <w:right w:w="108" w:type="dxa"/>
          </w:tblCellMar>
        </w:tblPrEx>
        <w:trPr>
          <w:trHeight w:val="285" w:hRule="atLeast"/>
        </w:trPr>
        <w:tc>
          <w:tcPr>
            <w:tcW w:w="1063" w:type="pct"/>
            <w:tcBorders>
              <w:top w:val="single" w:color="auto" w:sz="4" w:space="0"/>
              <w:left w:val="single" w:color="auto" w:sz="4" w:space="0"/>
              <w:bottom w:val="single" w:color="auto" w:sz="4" w:space="0"/>
              <w:right w:val="single" w:color="auto" w:sz="4" w:space="0"/>
            </w:tcBorders>
            <w:noWrap w:val="0"/>
            <w:vAlign w:val="center"/>
          </w:tcPr>
          <w:p w14:paraId="2FC468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行业名称</w:t>
            </w:r>
          </w:p>
        </w:tc>
        <w:tc>
          <w:tcPr>
            <w:tcW w:w="794" w:type="pct"/>
            <w:tcBorders>
              <w:top w:val="single" w:color="auto" w:sz="4" w:space="0"/>
              <w:left w:val="nil"/>
              <w:bottom w:val="single" w:color="auto" w:sz="4" w:space="0"/>
              <w:right w:val="single" w:color="auto" w:sz="4" w:space="0"/>
            </w:tcBorders>
            <w:noWrap w:val="0"/>
            <w:vAlign w:val="center"/>
          </w:tcPr>
          <w:p w14:paraId="0269C6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指标名称</w:t>
            </w:r>
          </w:p>
        </w:tc>
        <w:tc>
          <w:tcPr>
            <w:tcW w:w="643" w:type="pct"/>
            <w:tcBorders>
              <w:top w:val="single" w:color="auto" w:sz="4" w:space="0"/>
              <w:left w:val="nil"/>
              <w:bottom w:val="single" w:color="auto" w:sz="4" w:space="0"/>
              <w:right w:val="single" w:color="auto" w:sz="4" w:space="0"/>
            </w:tcBorders>
            <w:noWrap w:val="0"/>
            <w:vAlign w:val="center"/>
          </w:tcPr>
          <w:p w14:paraId="05DE3C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计量单位</w:t>
            </w:r>
          </w:p>
        </w:tc>
        <w:tc>
          <w:tcPr>
            <w:tcW w:w="937" w:type="pct"/>
            <w:tcBorders>
              <w:top w:val="single" w:color="auto" w:sz="4" w:space="0"/>
              <w:left w:val="nil"/>
              <w:bottom w:val="single" w:color="auto" w:sz="4" w:space="0"/>
              <w:right w:val="single" w:color="auto" w:sz="4" w:space="0"/>
            </w:tcBorders>
            <w:noWrap w:val="0"/>
            <w:vAlign w:val="center"/>
          </w:tcPr>
          <w:p w14:paraId="6F51B3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中型</w:t>
            </w:r>
          </w:p>
        </w:tc>
        <w:tc>
          <w:tcPr>
            <w:tcW w:w="937" w:type="pct"/>
            <w:tcBorders>
              <w:top w:val="single" w:color="auto" w:sz="4" w:space="0"/>
              <w:left w:val="nil"/>
              <w:bottom w:val="single" w:color="auto" w:sz="4" w:space="0"/>
              <w:right w:val="single" w:color="auto" w:sz="4" w:space="0"/>
            </w:tcBorders>
            <w:noWrap w:val="0"/>
            <w:vAlign w:val="center"/>
          </w:tcPr>
          <w:p w14:paraId="177825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小型</w:t>
            </w:r>
          </w:p>
        </w:tc>
        <w:tc>
          <w:tcPr>
            <w:tcW w:w="623" w:type="pct"/>
            <w:tcBorders>
              <w:top w:val="single" w:color="auto" w:sz="4" w:space="0"/>
              <w:left w:val="nil"/>
              <w:bottom w:val="single" w:color="auto" w:sz="4" w:space="0"/>
              <w:right w:val="single" w:color="auto" w:sz="4" w:space="0"/>
            </w:tcBorders>
            <w:noWrap w:val="0"/>
            <w:vAlign w:val="center"/>
          </w:tcPr>
          <w:p w14:paraId="5932C5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微型</w:t>
            </w:r>
          </w:p>
        </w:tc>
      </w:tr>
      <w:tr w14:paraId="4CA2BE8A">
        <w:tblPrEx>
          <w:tblCellMar>
            <w:top w:w="0" w:type="dxa"/>
            <w:left w:w="108" w:type="dxa"/>
            <w:bottom w:w="0" w:type="dxa"/>
            <w:right w:w="108" w:type="dxa"/>
          </w:tblCellMar>
        </w:tblPrEx>
        <w:trPr>
          <w:trHeight w:val="225" w:hRule="atLeast"/>
        </w:trPr>
        <w:tc>
          <w:tcPr>
            <w:tcW w:w="1063" w:type="pct"/>
            <w:tcBorders>
              <w:top w:val="nil"/>
              <w:left w:val="single" w:color="auto" w:sz="4" w:space="0"/>
              <w:bottom w:val="single" w:color="auto" w:sz="4" w:space="0"/>
              <w:right w:val="single" w:color="auto" w:sz="4" w:space="0"/>
            </w:tcBorders>
            <w:noWrap w:val="0"/>
            <w:vAlign w:val="center"/>
          </w:tcPr>
          <w:p w14:paraId="14358F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农、林、牧、渔</w:t>
            </w:r>
          </w:p>
        </w:tc>
        <w:tc>
          <w:tcPr>
            <w:tcW w:w="794" w:type="pct"/>
            <w:tcBorders>
              <w:top w:val="nil"/>
              <w:left w:val="nil"/>
              <w:bottom w:val="single" w:color="auto" w:sz="4" w:space="0"/>
              <w:right w:val="single" w:color="auto" w:sz="4" w:space="0"/>
            </w:tcBorders>
            <w:noWrap w:val="0"/>
            <w:vAlign w:val="center"/>
          </w:tcPr>
          <w:p w14:paraId="2E3AB6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nil"/>
              <w:left w:val="nil"/>
              <w:bottom w:val="single" w:color="auto" w:sz="4" w:space="0"/>
              <w:right w:val="single" w:color="auto" w:sz="4" w:space="0"/>
            </w:tcBorders>
            <w:noWrap w:val="0"/>
            <w:vAlign w:val="center"/>
          </w:tcPr>
          <w:p w14:paraId="6A5C2A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nil"/>
              <w:left w:val="nil"/>
              <w:bottom w:val="single" w:color="auto" w:sz="4" w:space="0"/>
              <w:right w:val="single" w:color="auto" w:sz="4" w:space="0"/>
            </w:tcBorders>
            <w:noWrap w:val="0"/>
            <w:vAlign w:val="center"/>
          </w:tcPr>
          <w:p w14:paraId="6AB358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937" w:type="pct"/>
            <w:tcBorders>
              <w:top w:val="nil"/>
              <w:left w:val="nil"/>
              <w:bottom w:val="single" w:color="auto" w:sz="4" w:space="0"/>
              <w:right w:val="single" w:color="auto" w:sz="4" w:space="0"/>
            </w:tcBorders>
            <w:noWrap w:val="0"/>
            <w:vAlign w:val="center"/>
          </w:tcPr>
          <w:p w14:paraId="4BD421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50≤Y＜500</w:t>
            </w:r>
          </w:p>
        </w:tc>
        <w:tc>
          <w:tcPr>
            <w:tcW w:w="623" w:type="pct"/>
            <w:tcBorders>
              <w:top w:val="nil"/>
              <w:left w:val="nil"/>
              <w:bottom w:val="single" w:color="auto" w:sz="4" w:space="0"/>
              <w:right w:val="single" w:color="auto" w:sz="4" w:space="0"/>
            </w:tcBorders>
            <w:noWrap w:val="0"/>
            <w:vAlign w:val="center"/>
          </w:tcPr>
          <w:p w14:paraId="75C63F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0FAB52B7">
        <w:tblPrEx>
          <w:tblCellMar>
            <w:top w:w="0" w:type="dxa"/>
            <w:left w:w="108" w:type="dxa"/>
            <w:bottom w:w="0" w:type="dxa"/>
            <w:right w:w="108" w:type="dxa"/>
          </w:tblCellMar>
        </w:tblPrEx>
        <w:trPr>
          <w:trHeight w:val="225" w:hRule="atLeast"/>
        </w:trPr>
        <w:tc>
          <w:tcPr>
            <w:tcW w:w="1063" w:type="pct"/>
            <w:vMerge w:val="restart"/>
            <w:tcBorders>
              <w:top w:val="nil"/>
              <w:left w:val="single" w:color="auto" w:sz="4" w:space="0"/>
              <w:bottom w:val="single" w:color="auto" w:sz="4" w:space="0"/>
              <w:right w:val="single" w:color="auto" w:sz="4" w:space="0"/>
            </w:tcBorders>
            <w:noWrap w:val="0"/>
            <w:vAlign w:val="center"/>
          </w:tcPr>
          <w:p w14:paraId="7E5B57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工业</w:t>
            </w:r>
          </w:p>
        </w:tc>
        <w:tc>
          <w:tcPr>
            <w:tcW w:w="794" w:type="pct"/>
            <w:tcBorders>
              <w:top w:val="nil"/>
              <w:left w:val="nil"/>
              <w:bottom w:val="single" w:color="auto" w:sz="4" w:space="0"/>
              <w:right w:val="single" w:color="auto" w:sz="4" w:space="0"/>
            </w:tcBorders>
            <w:noWrap w:val="0"/>
            <w:vAlign w:val="center"/>
          </w:tcPr>
          <w:p w14:paraId="0CE52E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nil"/>
              <w:left w:val="nil"/>
              <w:bottom w:val="single" w:color="auto" w:sz="4" w:space="0"/>
              <w:right w:val="single" w:color="auto" w:sz="4" w:space="0"/>
            </w:tcBorders>
            <w:noWrap w:val="0"/>
            <w:vAlign w:val="center"/>
          </w:tcPr>
          <w:p w14:paraId="26447B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nil"/>
              <w:left w:val="nil"/>
              <w:bottom w:val="single" w:color="auto" w:sz="4" w:space="0"/>
              <w:right w:val="single" w:color="auto" w:sz="4" w:space="0"/>
            </w:tcBorders>
            <w:noWrap w:val="0"/>
            <w:vAlign w:val="center"/>
          </w:tcPr>
          <w:p w14:paraId="5D4953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937" w:type="pct"/>
            <w:tcBorders>
              <w:top w:val="nil"/>
              <w:left w:val="nil"/>
              <w:bottom w:val="single" w:color="auto" w:sz="4" w:space="0"/>
              <w:right w:val="single" w:color="auto" w:sz="4" w:space="0"/>
            </w:tcBorders>
            <w:noWrap w:val="0"/>
            <w:vAlign w:val="center"/>
          </w:tcPr>
          <w:p w14:paraId="5C64C0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623" w:type="pct"/>
            <w:tcBorders>
              <w:top w:val="nil"/>
              <w:left w:val="nil"/>
              <w:bottom w:val="single" w:color="auto" w:sz="4" w:space="0"/>
              <w:right w:val="single" w:color="auto" w:sz="4" w:space="0"/>
            </w:tcBorders>
            <w:noWrap w:val="0"/>
            <w:vAlign w:val="center"/>
          </w:tcPr>
          <w:p w14:paraId="5E8194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325A4259">
        <w:tblPrEx>
          <w:tblCellMar>
            <w:top w:w="0" w:type="dxa"/>
            <w:left w:w="108" w:type="dxa"/>
            <w:bottom w:w="0" w:type="dxa"/>
            <w:right w:w="108" w:type="dxa"/>
          </w:tblCellMar>
        </w:tblPrEx>
        <w:trPr>
          <w:trHeight w:val="225" w:hRule="atLeast"/>
        </w:trPr>
        <w:tc>
          <w:tcPr>
            <w:tcW w:w="1063" w:type="pct"/>
            <w:vMerge w:val="continue"/>
            <w:tcBorders>
              <w:top w:val="nil"/>
              <w:left w:val="single" w:color="auto" w:sz="4" w:space="0"/>
              <w:bottom w:val="single" w:color="auto" w:sz="4" w:space="0"/>
              <w:right w:val="single" w:color="auto" w:sz="4" w:space="0"/>
            </w:tcBorders>
            <w:noWrap w:val="0"/>
            <w:vAlign w:val="center"/>
          </w:tcPr>
          <w:p w14:paraId="7247EE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color w:val="auto"/>
                <w:kern w:val="0"/>
                <w:szCs w:val="21"/>
                <w:highlight w:val="none"/>
              </w:rPr>
            </w:pPr>
          </w:p>
        </w:tc>
        <w:tc>
          <w:tcPr>
            <w:tcW w:w="794" w:type="pct"/>
            <w:tcBorders>
              <w:top w:val="nil"/>
              <w:left w:val="nil"/>
              <w:bottom w:val="single" w:color="auto" w:sz="4" w:space="0"/>
              <w:right w:val="single" w:color="auto" w:sz="4" w:space="0"/>
            </w:tcBorders>
            <w:noWrap w:val="0"/>
            <w:vAlign w:val="center"/>
          </w:tcPr>
          <w:p w14:paraId="6B0E8E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nil"/>
              <w:left w:val="nil"/>
              <w:bottom w:val="single" w:color="auto" w:sz="4" w:space="0"/>
              <w:right w:val="single" w:color="auto" w:sz="4" w:space="0"/>
            </w:tcBorders>
            <w:noWrap w:val="0"/>
            <w:vAlign w:val="center"/>
          </w:tcPr>
          <w:p w14:paraId="0E25E4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nil"/>
              <w:left w:val="nil"/>
              <w:bottom w:val="single" w:color="auto" w:sz="4" w:space="0"/>
              <w:right w:val="single" w:color="auto" w:sz="4" w:space="0"/>
            </w:tcBorders>
            <w:noWrap w:val="0"/>
            <w:vAlign w:val="center"/>
          </w:tcPr>
          <w:p w14:paraId="0DA1A1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937" w:type="pct"/>
            <w:tcBorders>
              <w:top w:val="nil"/>
              <w:left w:val="nil"/>
              <w:bottom w:val="single" w:color="auto" w:sz="4" w:space="0"/>
              <w:right w:val="single" w:color="auto" w:sz="4" w:space="0"/>
            </w:tcBorders>
            <w:noWrap w:val="0"/>
            <w:vAlign w:val="center"/>
          </w:tcPr>
          <w:p w14:paraId="52C5A3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300≤Y＜2000</w:t>
            </w:r>
          </w:p>
        </w:tc>
        <w:tc>
          <w:tcPr>
            <w:tcW w:w="623" w:type="pct"/>
            <w:tcBorders>
              <w:top w:val="nil"/>
              <w:left w:val="nil"/>
              <w:bottom w:val="single" w:color="auto" w:sz="4" w:space="0"/>
              <w:right w:val="single" w:color="auto" w:sz="4" w:space="0"/>
            </w:tcBorders>
            <w:noWrap w:val="0"/>
            <w:vAlign w:val="center"/>
          </w:tcPr>
          <w:p w14:paraId="155457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3C386261">
        <w:tblPrEx>
          <w:tblCellMar>
            <w:top w:w="0" w:type="dxa"/>
            <w:left w:w="108" w:type="dxa"/>
            <w:bottom w:w="0" w:type="dxa"/>
            <w:right w:w="108" w:type="dxa"/>
          </w:tblCellMar>
        </w:tblPrEx>
        <w:trPr>
          <w:trHeight w:val="225" w:hRule="atLeast"/>
        </w:trPr>
        <w:tc>
          <w:tcPr>
            <w:tcW w:w="1063" w:type="pct"/>
            <w:vMerge w:val="restart"/>
            <w:tcBorders>
              <w:top w:val="nil"/>
              <w:left w:val="single" w:color="auto" w:sz="4" w:space="0"/>
              <w:bottom w:val="single" w:color="auto" w:sz="4" w:space="0"/>
              <w:right w:val="single" w:color="auto" w:sz="4" w:space="0"/>
            </w:tcBorders>
            <w:noWrap w:val="0"/>
            <w:vAlign w:val="center"/>
          </w:tcPr>
          <w:p w14:paraId="192119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建筑业</w:t>
            </w:r>
          </w:p>
        </w:tc>
        <w:tc>
          <w:tcPr>
            <w:tcW w:w="794" w:type="pct"/>
            <w:tcBorders>
              <w:top w:val="nil"/>
              <w:left w:val="nil"/>
              <w:bottom w:val="single" w:color="auto" w:sz="4" w:space="0"/>
              <w:right w:val="single" w:color="auto" w:sz="4" w:space="0"/>
            </w:tcBorders>
            <w:noWrap w:val="0"/>
            <w:vAlign w:val="center"/>
          </w:tcPr>
          <w:p w14:paraId="7A3F18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nil"/>
              <w:left w:val="nil"/>
              <w:bottom w:val="single" w:color="auto" w:sz="4" w:space="0"/>
              <w:right w:val="single" w:color="auto" w:sz="4" w:space="0"/>
            </w:tcBorders>
            <w:noWrap w:val="0"/>
            <w:vAlign w:val="center"/>
          </w:tcPr>
          <w:p w14:paraId="5E7FEF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nil"/>
              <w:left w:val="nil"/>
              <w:bottom w:val="single" w:color="auto" w:sz="4" w:space="0"/>
              <w:right w:val="single" w:color="auto" w:sz="4" w:space="0"/>
            </w:tcBorders>
            <w:noWrap w:val="0"/>
            <w:vAlign w:val="center"/>
          </w:tcPr>
          <w:p w14:paraId="2A2BC2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937" w:type="pct"/>
            <w:tcBorders>
              <w:top w:val="nil"/>
              <w:left w:val="nil"/>
              <w:bottom w:val="single" w:color="auto" w:sz="4" w:space="0"/>
              <w:right w:val="single" w:color="auto" w:sz="4" w:space="0"/>
            </w:tcBorders>
            <w:noWrap w:val="0"/>
            <w:vAlign w:val="center"/>
          </w:tcPr>
          <w:p w14:paraId="76CF7E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300≤Y＜6000</w:t>
            </w:r>
          </w:p>
        </w:tc>
        <w:tc>
          <w:tcPr>
            <w:tcW w:w="623" w:type="pct"/>
            <w:tcBorders>
              <w:top w:val="nil"/>
              <w:left w:val="nil"/>
              <w:bottom w:val="single" w:color="auto" w:sz="4" w:space="0"/>
              <w:right w:val="single" w:color="auto" w:sz="4" w:space="0"/>
            </w:tcBorders>
            <w:noWrap w:val="0"/>
            <w:vAlign w:val="center"/>
          </w:tcPr>
          <w:p w14:paraId="50084B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1C9EA197">
        <w:tblPrEx>
          <w:tblCellMar>
            <w:top w:w="0" w:type="dxa"/>
            <w:left w:w="108" w:type="dxa"/>
            <w:bottom w:w="0" w:type="dxa"/>
            <w:right w:w="108" w:type="dxa"/>
          </w:tblCellMar>
        </w:tblPrEx>
        <w:trPr>
          <w:trHeight w:val="225" w:hRule="atLeast"/>
        </w:trPr>
        <w:tc>
          <w:tcPr>
            <w:tcW w:w="1063" w:type="pct"/>
            <w:vMerge w:val="continue"/>
            <w:tcBorders>
              <w:top w:val="nil"/>
              <w:left w:val="single" w:color="auto" w:sz="4" w:space="0"/>
              <w:bottom w:val="single" w:color="auto" w:sz="4" w:space="0"/>
              <w:right w:val="single" w:color="auto" w:sz="4" w:space="0"/>
            </w:tcBorders>
            <w:noWrap w:val="0"/>
            <w:vAlign w:val="center"/>
          </w:tcPr>
          <w:p w14:paraId="31FEAB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color w:val="auto"/>
                <w:kern w:val="0"/>
                <w:szCs w:val="21"/>
                <w:highlight w:val="none"/>
              </w:rPr>
            </w:pPr>
          </w:p>
        </w:tc>
        <w:tc>
          <w:tcPr>
            <w:tcW w:w="794" w:type="pct"/>
            <w:tcBorders>
              <w:top w:val="nil"/>
              <w:left w:val="nil"/>
              <w:bottom w:val="single" w:color="auto" w:sz="4" w:space="0"/>
              <w:right w:val="single" w:color="auto" w:sz="4" w:space="0"/>
            </w:tcBorders>
            <w:noWrap w:val="0"/>
            <w:vAlign w:val="center"/>
          </w:tcPr>
          <w:p w14:paraId="30FE35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643" w:type="pct"/>
            <w:tcBorders>
              <w:top w:val="nil"/>
              <w:left w:val="nil"/>
              <w:bottom w:val="single" w:color="auto" w:sz="4" w:space="0"/>
              <w:right w:val="single" w:color="auto" w:sz="4" w:space="0"/>
            </w:tcBorders>
            <w:noWrap w:val="0"/>
            <w:vAlign w:val="center"/>
          </w:tcPr>
          <w:p w14:paraId="47C157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nil"/>
              <w:left w:val="nil"/>
              <w:bottom w:val="single" w:color="auto" w:sz="4" w:space="0"/>
              <w:right w:val="single" w:color="auto" w:sz="4" w:space="0"/>
            </w:tcBorders>
            <w:noWrap w:val="0"/>
            <w:vAlign w:val="center"/>
          </w:tcPr>
          <w:p w14:paraId="76471C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937" w:type="pct"/>
            <w:tcBorders>
              <w:top w:val="nil"/>
              <w:left w:val="nil"/>
              <w:bottom w:val="single" w:color="auto" w:sz="4" w:space="0"/>
              <w:right w:val="single" w:color="auto" w:sz="4" w:space="0"/>
            </w:tcBorders>
            <w:noWrap w:val="0"/>
            <w:vAlign w:val="center"/>
          </w:tcPr>
          <w:p w14:paraId="0A48B7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300≤Z＜5000</w:t>
            </w:r>
          </w:p>
        </w:tc>
        <w:tc>
          <w:tcPr>
            <w:tcW w:w="623" w:type="pct"/>
            <w:tcBorders>
              <w:top w:val="nil"/>
              <w:left w:val="nil"/>
              <w:bottom w:val="single" w:color="auto" w:sz="4" w:space="0"/>
              <w:right w:val="single" w:color="auto" w:sz="4" w:space="0"/>
            </w:tcBorders>
            <w:noWrap w:val="0"/>
            <w:vAlign w:val="center"/>
          </w:tcPr>
          <w:p w14:paraId="5FB1FB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Z＜300</w:t>
            </w:r>
          </w:p>
        </w:tc>
      </w:tr>
      <w:tr w14:paraId="5F099CC1">
        <w:tblPrEx>
          <w:tblCellMar>
            <w:top w:w="0" w:type="dxa"/>
            <w:left w:w="108" w:type="dxa"/>
            <w:bottom w:w="0" w:type="dxa"/>
            <w:right w:w="108" w:type="dxa"/>
          </w:tblCellMar>
        </w:tblPrEx>
        <w:trPr>
          <w:trHeight w:val="225" w:hRule="atLeast"/>
        </w:trPr>
        <w:tc>
          <w:tcPr>
            <w:tcW w:w="1063" w:type="pct"/>
            <w:vMerge w:val="restart"/>
            <w:tcBorders>
              <w:top w:val="nil"/>
              <w:left w:val="single" w:color="auto" w:sz="4" w:space="0"/>
              <w:bottom w:val="single" w:color="auto" w:sz="4" w:space="0"/>
              <w:right w:val="single" w:color="auto" w:sz="4" w:space="0"/>
            </w:tcBorders>
            <w:noWrap w:val="0"/>
            <w:vAlign w:val="center"/>
          </w:tcPr>
          <w:p w14:paraId="643F20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批发业</w:t>
            </w:r>
          </w:p>
        </w:tc>
        <w:tc>
          <w:tcPr>
            <w:tcW w:w="794" w:type="pct"/>
            <w:tcBorders>
              <w:top w:val="nil"/>
              <w:left w:val="nil"/>
              <w:bottom w:val="single" w:color="auto" w:sz="4" w:space="0"/>
              <w:right w:val="single" w:color="auto" w:sz="4" w:space="0"/>
            </w:tcBorders>
            <w:noWrap w:val="0"/>
            <w:vAlign w:val="center"/>
          </w:tcPr>
          <w:p w14:paraId="2D0243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nil"/>
              <w:left w:val="nil"/>
              <w:bottom w:val="single" w:color="auto" w:sz="4" w:space="0"/>
              <w:right w:val="single" w:color="auto" w:sz="4" w:space="0"/>
            </w:tcBorders>
            <w:noWrap w:val="0"/>
            <w:vAlign w:val="center"/>
          </w:tcPr>
          <w:p w14:paraId="778996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nil"/>
              <w:left w:val="nil"/>
              <w:bottom w:val="single" w:color="auto" w:sz="4" w:space="0"/>
              <w:right w:val="single" w:color="auto" w:sz="4" w:space="0"/>
            </w:tcBorders>
            <w:noWrap w:val="0"/>
            <w:vAlign w:val="center"/>
          </w:tcPr>
          <w:p w14:paraId="67CD61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20≤X＜200</w:t>
            </w:r>
          </w:p>
        </w:tc>
        <w:tc>
          <w:tcPr>
            <w:tcW w:w="937" w:type="pct"/>
            <w:tcBorders>
              <w:top w:val="nil"/>
              <w:left w:val="nil"/>
              <w:bottom w:val="single" w:color="auto" w:sz="4" w:space="0"/>
              <w:right w:val="single" w:color="auto" w:sz="4" w:space="0"/>
            </w:tcBorders>
            <w:noWrap w:val="0"/>
            <w:vAlign w:val="center"/>
          </w:tcPr>
          <w:p w14:paraId="1F7BD4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5≤X＜20</w:t>
            </w:r>
          </w:p>
        </w:tc>
        <w:tc>
          <w:tcPr>
            <w:tcW w:w="623" w:type="pct"/>
            <w:tcBorders>
              <w:top w:val="nil"/>
              <w:left w:val="nil"/>
              <w:bottom w:val="single" w:color="auto" w:sz="4" w:space="0"/>
              <w:right w:val="single" w:color="auto" w:sz="4" w:space="0"/>
            </w:tcBorders>
            <w:noWrap w:val="0"/>
            <w:vAlign w:val="center"/>
          </w:tcPr>
          <w:p w14:paraId="643B5C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X＜5</w:t>
            </w:r>
          </w:p>
        </w:tc>
      </w:tr>
      <w:tr w14:paraId="1B35B883">
        <w:tblPrEx>
          <w:tblCellMar>
            <w:top w:w="0" w:type="dxa"/>
            <w:left w:w="108" w:type="dxa"/>
            <w:bottom w:w="0" w:type="dxa"/>
            <w:right w:w="108" w:type="dxa"/>
          </w:tblCellMar>
        </w:tblPrEx>
        <w:trPr>
          <w:trHeight w:val="225" w:hRule="atLeast"/>
        </w:trPr>
        <w:tc>
          <w:tcPr>
            <w:tcW w:w="1063" w:type="pct"/>
            <w:vMerge w:val="continue"/>
            <w:tcBorders>
              <w:top w:val="nil"/>
              <w:left w:val="single" w:color="auto" w:sz="4" w:space="0"/>
              <w:bottom w:val="single" w:color="auto" w:sz="4" w:space="0"/>
              <w:right w:val="single" w:color="auto" w:sz="4" w:space="0"/>
            </w:tcBorders>
            <w:noWrap w:val="0"/>
            <w:vAlign w:val="center"/>
          </w:tcPr>
          <w:p w14:paraId="4BFFEC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color w:val="auto"/>
                <w:kern w:val="0"/>
                <w:szCs w:val="21"/>
                <w:highlight w:val="none"/>
              </w:rPr>
            </w:pPr>
          </w:p>
        </w:tc>
        <w:tc>
          <w:tcPr>
            <w:tcW w:w="794" w:type="pct"/>
            <w:tcBorders>
              <w:top w:val="nil"/>
              <w:left w:val="nil"/>
              <w:bottom w:val="single" w:color="auto" w:sz="4" w:space="0"/>
              <w:right w:val="single" w:color="auto" w:sz="4" w:space="0"/>
            </w:tcBorders>
            <w:noWrap w:val="0"/>
            <w:vAlign w:val="center"/>
          </w:tcPr>
          <w:p w14:paraId="1927B4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nil"/>
              <w:left w:val="nil"/>
              <w:bottom w:val="single" w:color="auto" w:sz="4" w:space="0"/>
              <w:right w:val="single" w:color="auto" w:sz="4" w:space="0"/>
            </w:tcBorders>
            <w:noWrap w:val="0"/>
            <w:vAlign w:val="center"/>
          </w:tcPr>
          <w:p w14:paraId="3ED5C3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nil"/>
              <w:left w:val="nil"/>
              <w:bottom w:val="single" w:color="auto" w:sz="4" w:space="0"/>
              <w:right w:val="single" w:color="auto" w:sz="4" w:space="0"/>
            </w:tcBorders>
            <w:noWrap w:val="0"/>
            <w:vAlign w:val="center"/>
          </w:tcPr>
          <w:p w14:paraId="641267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937" w:type="pct"/>
            <w:tcBorders>
              <w:top w:val="nil"/>
              <w:left w:val="nil"/>
              <w:bottom w:val="single" w:color="auto" w:sz="4" w:space="0"/>
              <w:right w:val="single" w:color="auto" w:sz="4" w:space="0"/>
            </w:tcBorders>
            <w:noWrap w:val="0"/>
            <w:vAlign w:val="center"/>
          </w:tcPr>
          <w:p w14:paraId="7650F8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623" w:type="pct"/>
            <w:tcBorders>
              <w:top w:val="nil"/>
              <w:left w:val="nil"/>
              <w:bottom w:val="single" w:color="auto" w:sz="4" w:space="0"/>
              <w:right w:val="single" w:color="auto" w:sz="4" w:space="0"/>
            </w:tcBorders>
            <w:noWrap w:val="0"/>
            <w:vAlign w:val="center"/>
          </w:tcPr>
          <w:p w14:paraId="477186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Y＜1000</w:t>
            </w:r>
          </w:p>
        </w:tc>
      </w:tr>
      <w:tr w14:paraId="1DBC4896">
        <w:tblPrEx>
          <w:tblCellMar>
            <w:top w:w="0" w:type="dxa"/>
            <w:left w:w="108" w:type="dxa"/>
            <w:bottom w:w="0" w:type="dxa"/>
            <w:right w:w="108" w:type="dxa"/>
          </w:tblCellMar>
        </w:tblPrEx>
        <w:trPr>
          <w:trHeight w:val="225" w:hRule="atLeast"/>
        </w:trPr>
        <w:tc>
          <w:tcPr>
            <w:tcW w:w="1063" w:type="pct"/>
            <w:vMerge w:val="restart"/>
            <w:tcBorders>
              <w:top w:val="nil"/>
              <w:left w:val="single" w:color="auto" w:sz="4" w:space="0"/>
              <w:bottom w:val="single" w:color="auto" w:sz="4" w:space="0"/>
              <w:right w:val="single" w:color="auto" w:sz="4" w:space="0"/>
            </w:tcBorders>
            <w:noWrap w:val="0"/>
            <w:vAlign w:val="center"/>
          </w:tcPr>
          <w:p w14:paraId="0E1D76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零售业</w:t>
            </w:r>
          </w:p>
        </w:tc>
        <w:tc>
          <w:tcPr>
            <w:tcW w:w="794" w:type="pct"/>
            <w:tcBorders>
              <w:top w:val="nil"/>
              <w:left w:val="nil"/>
              <w:bottom w:val="single" w:color="auto" w:sz="4" w:space="0"/>
              <w:right w:val="single" w:color="auto" w:sz="4" w:space="0"/>
            </w:tcBorders>
            <w:noWrap w:val="0"/>
            <w:vAlign w:val="center"/>
          </w:tcPr>
          <w:p w14:paraId="370EAC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nil"/>
              <w:left w:val="nil"/>
              <w:bottom w:val="single" w:color="auto" w:sz="4" w:space="0"/>
              <w:right w:val="single" w:color="auto" w:sz="4" w:space="0"/>
            </w:tcBorders>
            <w:noWrap w:val="0"/>
            <w:vAlign w:val="center"/>
          </w:tcPr>
          <w:p w14:paraId="21D23C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nil"/>
              <w:left w:val="nil"/>
              <w:bottom w:val="single" w:color="auto" w:sz="4" w:space="0"/>
              <w:right w:val="single" w:color="auto" w:sz="4" w:space="0"/>
            </w:tcBorders>
            <w:noWrap w:val="0"/>
            <w:vAlign w:val="center"/>
          </w:tcPr>
          <w:p w14:paraId="255BA5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50≤X＜300</w:t>
            </w:r>
          </w:p>
        </w:tc>
        <w:tc>
          <w:tcPr>
            <w:tcW w:w="937" w:type="pct"/>
            <w:tcBorders>
              <w:top w:val="nil"/>
              <w:left w:val="nil"/>
              <w:bottom w:val="single" w:color="auto" w:sz="4" w:space="0"/>
              <w:right w:val="single" w:color="auto" w:sz="4" w:space="0"/>
            </w:tcBorders>
            <w:noWrap w:val="0"/>
            <w:vAlign w:val="center"/>
          </w:tcPr>
          <w:p w14:paraId="282396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10≤X＜50</w:t>
            </w:r>
          </w:p>
        </w:tc>
        <w:tc>
          <w:tcPr>
            <w:tcW w:w="623" w:type="pct"/>
            <w:tcBorders>
              <w:top w:val="nil"/>
              <w:left w:val="nil"/>
              <w:bottom w:val="single" w:color="auto" w:sz="4" w:space="0"/>
              <w:right w:val="single" w:color="auto" w:sz="4" w:space="0"/>
            </w:tcBorders>
            <w:noWrap w:val="0"/>
            <w:vAlign w:val="center"/>
          </w:tcPr>
          <w:p w14:paraId="2D4D99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50DE07E3">
        <w:tblPrEx>
          <w:tblCellMar>
            <w:top w:w="0" w:type="dxa"/>
            <w:left w:w="108" w:type="dxa"/>
            <w:bottom w:w="0" w:type="dxa"/>
            <w:right w:w="108" w:type="dxa"/>
          </w:tblCellMar>
        </w:tblPrEx>
        <w:trPr>
          <w:trHeight w:val="225" w:hRule="atLeast"/>
        </w:trPr>
        <w:tc>
          <w:tcPr>
            <w:tcW w:w="1063" w:type="pct"/>
            <w:vMerge w:val="continue"/>
            <w:tcBorders>
              <w:top w:val="nil"/>
              <w:left w:val="single" w:color="auto" w:sz="4" w:space="0"/>
              <w:bottom w:val="single" w:color="auto" w:sz="4" w:space="0"/>
              <w:right w:val="single" w:color="auto" w:sz="4" w:space="0"/>
            </w:tcBorders>
            <w:noWrap w:val="0"/>
            <w:vAlign w:val="center"/>
          </w:tcPr>
          <w:p w14:paraId="4187FF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color w:val="auto"/>
                <w:kern w:val="0"/>
                <w:szCs w:val="21"/>
                <w:highlight w:val="none"/>
              </w:rPr>
            </w:pPr>
          </w:p>
        </w:tc>
        <w:tc>
          <w:tcPr>
            <w:tcW w:w="794" w:type="pct"/>
            <w:tcBorders>
              <w:top w:val="nil"/>
              <w:left w:val="nil"/>
              <w:bottom w:val="single" w:color="auto" w:sz="4" w:space="0"/>
              <w:right w:val="single" w:color="auto" w:sz="4" w:space="0"/>
            </w:tcBorders>
            <w:noWrap w:val="0"/>
            <w:vAlign w:val="center"/>
          </w:tcPr>
          <w:p w14:paraId="37488B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nil"/>
              <w:left w:val="nil"/>
              <w:bottom w:val="single" w:color="auto" w:sz="4" w:space="0"/>
              <w:right w:val="single" w:color="auto" w:sz="4" w:space="0"/>
            </w:tcBorders>
            <w:noWrap w:val="0"/>
            <w:vAlign w:val="center"/>
          </w:tcPr>
          <w:p w14:paraId="0AADAE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nil"/>
              <w:left w:val="nil"/>
              <w:bottom w:val="single" w:color="auto" w:sz="4" w:space="0"/>
              <w:right w:val="single" w:color="auto" w:sz="4" w:space="0"/>
            </w:tcBorders>
            <w:noWrap w:val="0"/>
            <w:vAlign w:val="center"/>
          </w:tcPr>
          <w:p w14:paraId="050481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937" w:type="pct"/>
            <w:tcBorders>
              <w:top w:val="nil"/>
              <w:left w:val="nil"/>
              <w:bottom w:val="single" w:color="auto" w:sz="4" w:space="0"/>
              <w:right w:val="single" w:color="auto" w:sz="4" w:space="0"/>
            </w:tcBorders>
            <w:noWrap w:val="0"/>
            <w:vAlign w:val="center"/>
          </w:tcPr>
          <w:p w14:paraId="0016E8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100≤Y＜500</w:t>
            </w:r>
          </w:p>
        </w:tc>
        <w:tc>
          <w:tcPr>
            <w:tcW w:w="623" w:type="pct"/>
            <w:tcBorders>
              <w:top w:val="nil"/>
              <w:left w:val="nil"/>
              <w:bottom w:val="single" w:color="auto" w:sz="4" w:space="0"/>
              <w:right w:val="single" w:color="auto" w:sz="4" w:space="0"/>
            </w:tcBorders>
            <w:noWrap w:val="0"/>
            <w:vAlign w:val="center"/>
          </w:tcPr>
          <w:p w14:paraId="2463F4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3E9A5F43">
        <w:tblPrEx>
          <w:tblCellMar>
            <w:top w:w="0" w:type="dxa"/>
            <w:left w:w="108" w:type="dxa"/>
            <w:bottom w:w="0" w:type="dxa"/>
            <w:right w:w="108" w:type="dxa"/>
          </w:tblCellMar>
        </w:tblPrEx>
        <w:trPr>
          <w:trHeight w:val="225" w:hRule="atLeast"/>
        </w:trPr>
        <w:tc>
          <w:tcPr>
            <w:tcW w:w="1063" w:type="pct"/>
            <w:vMerge w:val="restart"/>
            <w:tcBorders>
              <w:top w:val="nil"/>
              <w:left w:val="single" w:color="auto" w:sz="4" w:space="0"/>
              <w:bottom w:val="single" w:color="auto" w:sz="4" w:space="0"/>
              <w:right w:val="single" w:color="auto" w:sz="4" w:space="0"/>
            </w:tcBorders>
            <w:noWrap w:val="0"/>
            <w:vAlign w:val="center"/>
          </w:tcPr>
          <w:p w14:paraId="152D8B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交通运输业</w:t>
            </w:r>
          </w:p>
        </w:tc>
        <w:tc>
          <w:tcPr>
            <w:tcW w:w="794" w:type="pct"/>
            <w:tcBorders>
              <w:top w:val="nil"/>
              <w:left w:val="nil"/>
              <w:bottom w:val="single" w:color="auto" w:sz="4" w:space="0"/>
              <w:right w:val="single" w:color="auto" w:sz="4" w:space="0"/>
            </w:tcBorders>
            <w:noWrap w:val="0"/>
            <w:vAlign w:val="center"/>
          </w:tcPr>
          <w:p w14:paraId="18BBBC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nil"/>
              <w:left w:val="nil"/>
              <w:bottom w:val="single" w:color="auto" w:sz="4" w:space="0"/>
              <w:right w:val="single" w:color="auto" w:sz="4" w:space="0"/>
            </w:tcBorders>
            <w:noWrap w:val="0"/>
            <w:vAlign w:val="center"/>
          </w:tcPr>
          <w:p w14:paraId="03EFB9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nil"/>
              <w:left w:val="nil"/>
              <w:bottom w:val="single" w:color="auto" w:sz="4" w:space="0"/>
              <w:right w:val="single" w:color="auto" w:sz="4" w:space="0"/>
            </w:tcBorders>
            <w:noWrap w:val="0"/>
            <w:vAlign w:val="center"/>
          </w:tcPr>
          <w:p w14:paraId="204609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937" w:type="pct"/>
            <w:tcBorders>
              <w:top w:val="nil"/>
              <w:left w:val="nil"/>
              <w:bottom w:val="single" w:color="auto" w:sz="4" w:space="0"/>
              <w:right w:val="single" w:color="auto" w:sz="4" w:space="0"/>
            </w:tcBorders>
            <w:noWrap w:val="0"/>
            <w:vAlign w:val="center"/>
          </w:tcPr>
          <w:p w14:paraId="13CCC8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623" w:type="pct"/>
            <w:tcBorders>
              <w:top w:val="nil"/>
              <w:left w:val="nil"/>
              <w:bottom w:val="single" w:color="auto" w:sz="4" w:space="0"/>
              <w:right w:val="single" w:color="auto" w:sz="4" w:space="0"/>
            </w:tcBorders>
            <w:noWrap w:val="0"/>
            <w:vAlign w:val="center"/>
          </w:tcPr>
          <w:p w14:paraId="6D84CF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0CF6E38C">
        <w:tblPrEx>
          <w:tblCellMar>
            <w:top w:w="0" w:type="dxa"/>
            <w:left w:w="108" w:type="dxa"/>
            <w:bottom w:w="0" w:type="dxa"/>
            <w:right w:w="108" w:type="dxa"/>
          </w:tblCellMar>
        </w:tblPrEx>
        <w:trPr>
          <w:trHeight w:val="225" w:hRule="atLeast"/>
        </w:trPr>
        <w:tc>
          <w:tcPr>
            <w:tcW w:w="1063" w:type="pct"/>
            <w:vMerge w:val="continue"/>
            <w:tcBorders>
              <w:top w:val="nil"/>
              <w:left w:val="single" w:color="auto" w:sz="4" w:space="0"/>
              <w:bottom w:val="single" w:color="auto" w:sz="4" w:space="0"/>
              <w:right w:val="single" w:color="auto" w:sz="4" w:space="0"/>
            </w:tcBorders>
            <w:noWrap w:val="0"/>
            <w:vAlign w:val="center"/>
          </w:tcPr>
          <w:p w14:paraId="6E8A03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color w:val="auto"/>
                <w:kern w:val="0"/>
                <w:szCs w:val="21"/>
                <w:highlight w:val="none"/>
              </w:rPr>
            </w:pPr>
          </w:p>
        </w:tc>
        <w:tc>
          <w:tcPr>
            <w:tcW w:w="794" w:type="pct"/>
            <w:tcBorders>
              <w:top w:val="nil"/>
              <w:left w:val="nil"/>
              <w:bottom w:val="single" w:color="auto" w:sz="4" w:space="0"/>
              <w:right w:val="single" w:color="auto" w:sz="4" w:space="0"/>
            </w:tcBorders>
            <w:noWrap w:val="0"/>
            <w:vAlign w:val="center"/>
          </w:tcPr>
          <w:p w14:paraId="24FE67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nil"/>
              <w:left w:val="nil"/>
              <w:bottom w:val="single" w:color="auto" w:sz="4" w:space="0"/>
              <w:right w:val="single" w:color="auto" w:sz="4" w:space="0"/>
            </w:tcBorders>
            <w:noWrap w:val="0"/>
            <w:vAlign w:val="center"/>
          </w:tcPr>
          <w:p w14:paraId="4204E3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nil"/>
              <w:left w:val="nil"/>
              <w:bottom w:val="single" w:color="auto" w:sz="4" w:space="0"/>
              <w:right w:val="single" w:color="auto" w:sz="4" w:space="0"/>
            </w:tcBorders>
            <w:noWrap w:val="0"/>
            <w:vAlign w:val="center"/>
          </w:tcPr>
          <w:p w14:paraId="27DBEB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937" w:type="pct"/>
            <w:tcBorders>
              <w:top w:val="nil"/>
              <w:left w:val="nil"/>
              <w:bottom w:val="single" w:color="auto" w:sz="4" w:space="0"/>
              <w:right w:val="single" w:color="auto" w:sz="4" w:space="0"/>
            </w:tcBorders>
            <w:noWrap w:val="0"/>
            <w:vAlign w:val="center"/>
          </w:tcPr>
          <w:p w14:paraId="51A05A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200≤Y＜3000</w:t>
            </w:r>
          </w:p>
        </w:tc>
        <w:tc>
          <w:tcPr>
            <w:tcW w:w="623" w:type="pct"/>
            <w:tcBorders>
              <w:top w:val="nil"/>
              <w:left w:val="nil"/>
              <w:bottom w:val="single" w:color="auto" w:sz="4" w:space="0"/>
              <w:right w:val="single" w:color="auto" w:sz="4" w:space="0"/>
            </w:tcBorders>
            <w:noWrap w:val="0"/>
            <w:vAlign w:val="center"/>
          </w:tcPr>
          <w:p w14:paraId="5436DB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Y＜200</w:t>
            </w:r>
          </w:p>
        </w:tc>
      </w:tr>
      <w:tr w14:paraId="046B3B9D">
        <w:tblPrEx>
          <w:tblCellMar>
            <w:top w:w="0" w:type="dxa"/>
            <w:left w:w="108" w:type="dxa"/>
            <w:bottom w:w="0" w:type="dxa"/>
            <w:right w:w="108" w:type="dxa"/>
          </w:tblCellMar>
        </w:tblPrEx>
        <w:trPr>
          <w:trHeight w:val="225" w:hRule="atLeast"/>
        </w:trPr>
        <w:tc>
          <w:tcPr>
            <w:tcW w:w="1063" w:type="pct"/>
            <w:vMerge w:val="restart"/>
            <w:tcBorders>
              <w:top w:val="nil"/>
              <w:left w:val="single" w:color="auto" w:sz="4" w:space="0"/>
              <w:bottom w:val="single" w:color="auto" w:sz="4" w:space="0"/>
              <w:right w:val="single" w:color="auto" w:sz="4" w:space="0"/>
            </w:tcBorders>
            <w:noWrap w:val="0"/>
            <w:vAlign w:val="center"/>
          </w:tcPr>
          <w:p w14:paraId="4D4F76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仓储业</w:t>
            </w:r>
          </w:p>
        </w:tc>
        <w:tc>
          <w:tcPr>
            <w:tcW w:w="794" w:type="pct"/>
            <w:tcBorders>
              <w:top w:val="nil"/>
              <w:left w:val="nil"/>
              <w:bottom w:val="single" w:color="auto" w:sz="4" w:space="0"/>
              <w:right w:val="single" w:color="auto" w:sz="4" w:space="0"/>
            </w:tcBorders>
            <w:noWrap w:val="0"/>
            <w:vAlign w:val="center"/>
          </w:tcPr>
          <w:p w14:paraId="184DA4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nil"/>
              <w:left w:val="nil"/>
              <w:bottom w:val="single" w:color="auto" w:sz="4" w:space="0"/>
              <w:right w:val="single" w:color="auto" w:sz="4" w:space="0"/>
            </w:tcBorders>
            <w:noWrap w:val="0"/>
            <w:vAlign w:val="center"/>
          </w:tcPr>
          <w:p w14:paraId="04785C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nil"/>
              <w:left w:val="nil"/>
              <w:bottom w:val="single" w:color="auto" w:sz="4" w:space="0"/>
              <w:right w:val="single" w:color="auto" w:sz="4" w:space="0"/>
            </w:tcBorders>
            <w:noWrap w:val="0"/>
            <w:vAlign w:val="center"/>
          </w:tcPr>
          <w:p w14:paraId="6A94A7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100≤X＜200</w:t>
            </w:r>
          </w:p>
        </w:tc>
        <w:tc>
          <w:tcPr>
            <w:tcW w:w="937" w:type="pct"/>
            <w:tcBorders>
              <w:top w:val="nil"/>
              <w:left w:val="nil"/>
              <w:bottom w:val="single" w:color="auto" w:sz="4" w:space="0"/>
              <w:right w:val="single" w:color="auto" w:sz="4" w:space="0"/>
            </w:tcBorders>
            <w:noWrap w:val="0"/>
            <w:vAlign w:val="center"/>
          </w:tcPr>
          <w:p w14:paraId="54A8D6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20≤X＜100</w:t>
            </w:r>
          </w:p>
        </w:tc>
        <w:tc>
          <w:tcPr>
            <w:tcW w:w="623" w:type="pct"/>
            <w:tcBorders>
              <w:top w:val="nil"/>
              <w:left w:val="nil"/>
              <w:bottom w:val="single" w:color="auto" w:sz="4" w:space="0"/>
              <w:right w:val="single" w:color="auto" w:sz="4" w:space="0"/>
            </w:tcBorders>
            <w:noWrap w:val="0"/>
            <w:vAlign w:val="center"/>
          </w:tcPr>
          <w:p w14:paraId="0FD975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6348DD9D">
        <w:tblPrEx>
          <w:tblCellMar>
            <w:top w:w="0" w:type="dxa"/>
            <w:left w:w="108" w:type="dxa"/>
            <w:bottom w:w="0" w:type="dxa"/>
            <w:right w:w="108" w:type="dxa"/>
          </w:tblCellMar>
        </w:tblPrEx>
        <w:trPr>
          <w:trHeight w:val="225" w:hRule="atLeast"/>
        </w:trPr>
        <w:tc>
          <w:tcPr>
            <w:tcW w:w="1063" w:type="pct"/>
            <w:vMerge w:val="continue"/>
            <w:tcBorders>
              <w:top w:val="nil"/>
              <w:left w:val="single" w:color="auto" w:sz="4" w:space="0"/>
              <w:bottom w:val="single" w:color="auto" w:sz="4" w:space="0"/>
              <w:right w:val="single" w:color="auto" w:sz="4" w:space="0"/>
            </w:tcBorders>
            <w:noWrap w:val="0"/>
            <w:vAlign w:val="center"/>
          </w:tcPr>
          <w:p w14:paraId="6C067D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color w:val="auto"/>
                <w:kern w:val="0"/>
                <w:szCs w:val="21"/>
                <w:highlight w:val="none"/>
              </w:rPr>
            </w:pPr>
          </w:p>
        </w:tc>
        <w:tc>
          <w:tcPr>
            <w:tcW w:w="794" w:type="pct"/>
            <w:tcBorders>
              <w:top w:val="nil"/>
              <w:left w:val="nil"/>
              <w:bottom w:val="single" w:color="auto" w:sz="4" w:space="0"/>
              <w:right w:val="single" w:color="auto" w:sz="4" w:space="0"/>
            </w:tcBorders>
            <w:noWrap w:val="0"/>
            <w:vAlign w:val="center"/>
          </w:tcPr>
          <w:p w14:paraId="3A24B9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nil"/>
              <w:left w:val="nil"/>
              <w:bottom w:val="single" w:color="auto" w:sz="4" w:space="0"/>
              <w:right w:val="single" w:color="auto" w:sz="4" w:space="0"/>
            </w:tcBorders>
            <w:noWrap w:val="0"/>
            <w:vAlign w:val="center"/>
          </w:tcPr>
          <w:p w14:paraId="30852D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nil"/>
              <w:left w:val="nil"/>
              <w:bottom w:val="single" w:color="auto" w:sz="4" w:space="0"/>
              <w:right w:val="single" w:color="auto" w:sz="4" w:space="0"/>
            </w:tcBorders>
            <w:noWrap w:val="0"/>
            <w:vAlign w:val="center"/>
          </w:tcPr>
          <w:p w14:paraId="627A77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937" w:type="pct"/>
            <w:tcBorders>
              <w:top w:val="nil"/>
              <w:left w:val="nil"/>
              <w:bottom w:val="single" w:color="auto" w:sz="4" w:space="0"/>
              <w:right w:val="single" w:color="auto" w:sz="4" w:space="0"/>
            </w:tcBorders>
            <w:noWrap w:val="0"/>
            <w:vAlign w:val="center"/>
          </w:tcPr>
          <w:p w14:paraId="1607C7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623" w:type="pct"/>
            <w:tcBorders>
              <w:top w:val="nil"/>
              <w:left w:val="nil"/>
              <w:bottom w:val="single" w:color="auto" w:sz="4" w:space="0"/>
              <w:right w:val="single" w:color="auto" w:sz="4" w:space="0"/>
            </w:tcBorders>
            <w:noWrap w:val="0"/>
            <w:vAlign w:val="center"/>
          </w:tcPr>
          <w:p w14:paraId="4CCE40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637CFBA5">
        <w:tblPrEx>
          <w:tblCellMar>
            <w:top w:w="0" w:type="dxa"/>
            <w:left w:w="108" w:type="dxa"/>
            <w:bottom w:w="0" w:type="dxa"/>
            <w:right w:w="108" w:type="dxa"/>
          </w:tblCellMar>
        </w:tblPrEx>
        <w:trPr>
          <w:trHeight w:val="225" w:hRule="atLeast"/>
        </w:trPr>
        <w:tc>
          <w:tcPr>
            <w:tcW w:w="1063" w:type="pct"/>
            <w:vMerge w:val="restart"/>
            <w:tcBorders>
              <w:top w:val="nil"/>
              <w:left w:val="single" w:color="auto" w:sz="4" w:space="0"/>
              <w:bottom w:val="single" w:color="auto" w:sz="4" w:space="0"/>
              <w:right w:val="single" w:color="auto" w:sz="4" w:space="0"/>
            </w:tcBorders>
            <w:noWrap w:val="0"/>
            <w:vAlign w:val="center"/>
          </w:tcPr>
          <w:p w14:paraId="05C8B0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邮政业</w:t>
            </w:r>
          </w:p>
        </w:tc>
        <w:tc>
          <w:tcPr>
            <w:tcW w:w="794" w:type="pct"/>
            <w:tcBorders>
              <w:top w:val="nil"/>
              <w:left w:val="nil"/>
              <w:bottom w:val="single" w:color="auto" w:sz="4" w:space="0"/>
              <w:right w:val="single" w:color="auto" w:sz="4" w:space="0"/>
            </w:tcBorders>
            <w:noWrap w:val="0"/>
            <w:vAlign w:val="center"/>
          </w:tcPr>
          <w:p w14:paraId="53C55A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nil"/>
              <w:left w:val="nil"/>
              <w:bottom w:val="single" w:color="auto" w:sz="4" w:space="0"/>
              <w:right w:val="single" w:color="auto" w:sz="4" w:space="0"/>
            </w:tcBorders>
            <w:noWrap w:val="0"/>
            <w:vAlign w:val="center"/>
          </w:tcPr>
          <w:p w14:paraId="22EA96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nil"/>
              <w:left w:val="nil"/>
              <w:bottom w:val="single" w:color="auto" w:sz="4" w:space="0"/>
              <w:right w:val="single" w:color="auto" w:sz="4" w:space="0"/>
            </w:tcBorders>
            <w:noWrap w:val="0"/>
            <w:vAlign w:val="center"/>
          </w:tcPr>
          <w:p w14:paraId="29C211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937" w:type="pct"/>
            <w:tcBorders>
              <w:top w:val="nil"/>
              <w:left w:val="nil"/>
              <w:bottom w:val="single" w:color="auto" w:sz="4" w:space="0"/>
              <w:right w:val="single" w:color="auto" w:sz="4" w:space="0"/>
            </w:tcBorders>
            <w:noWrap w:val="0"/>
            <w:vAlign w:val="center"/>
          </w:tcPr>
          <w:p w14:paraId="02FFA4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623" w:type="pct"/>
            <w:tcBorders>
              <w:top w:val="nil"/>
              <w:left w:val="nil"/>
              <w:bottom w:val="single" w:color="auto" w:sz="4" w:space="0"/>
              <w:right w:val="single" w:color="auto" w:sz="4" w:space="0"/>
            </w:tcBorders>
            <w:noWrap w:val="0"/>
            <w:vAlign w:val="center"/>
          </w:tcPr>
          <w:p w14:paraId="5B7EF1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554418B2">
        <w:tblPrEx>
          <w:tblCellMar>
            <w:top w:w="0" w:type="dxa"/>
            <w:left w:w="108" w:type="dxa"/>
            <w:bottom w:w="0" w:type="dxa"/>
            <w:right w:w="108" w:type="dxa"/>
          </w:tblCellMar>
        </w:tblPrEx>
        <w:trPr>
          <w:trHeight w:val="225" w:hRule="atLeast"/>
        </w:trPr>
        <w:tc>
          <w:tcPr>
            <w:tcW w:w="1063" w:type="pct"/>
            <w:vMerge w:val="continue"/>
            <w:tcBorders>
              <w:top w:val="nil"/>
              <w:left w:val="single" w:color="auto" w:sz="4" w:space="0"/>
              <w:bottom w:val="single" w:color="auto" w:sz="4" w:space="0"/>
              <w:right w:val="single" w:color="auto" w:sz="4" w:space="0"/>
            </w:tcBorders>
            <w:noWrap w:val="0"/>
            <w:vAlign w:val="center"/>
          </w:tcPr>
          <w:p w14:paraId="057A0D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color w:val="auto"/>
                <w:kern w:val="0"/>
                <w:szCs w:val="21"/>
                <w:highlight w:val="none"/>
              </w:rPr>
            </w:pPr>
          </w:p>
        </w:tc>
        <w:tc>
          <w:tcPr>
            <w:tcW w:w="794" w:type="pct"/>
            <w:tcBorders>
              <w:top w:val="nil"/>
              <w:left w:val="nil"/>
              <w:bottom w:val="single" w:color="auto" w:sz="4" w:space="0"/>
              <w:right w:val="single" w:color="auto" w:sz="4" w:space="0"/>
            </w:tcBorders>
            <w:noWrap w:val="0"/>
            <w:vAlign w:val="center"/>
          </w:tcPr>
          <w:p w14:paraId="49E068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nil"/>
              <w:left w:val="nil"/>
              <w:bottom w:val="single" w:color="auto" w:sz="4" w:space="0"/>
              <w:right w:val="single" w:color="auto" w:sz="4" w:space="0"/>
            </w:tcBorders>
            <w:noWrap w:val="0"/>
            <w:vAlign w:val="center"/>
          </w:tcPr>
          <w:p w14:paraId="6D6DC4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nil"/>
              <w:left w:val="nil"/>
              <w:bottom w:val="single" w:color="auto" w:sz="4" w:space="0"/>
              <w:right w:val="single" w:color="auto" w:sz="4" w:space="0"/>
            </w:tcBorders>
            <w:noWrap w:val="0"/>
            <w:vAlign w:val="center"/>
          </w:tcPr>
          <w:p w14:paraId="2D2229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937" w:type="pct"/>
            <w:tcBorders>
              <w:top w:val="nil"/>
              <w:left w:val="nil"/>
              <w:bottom w:val="single" w:color="auto" w:sz="4" w:space="0"/>
              <w:right w:val="single" w:color="auto" w:sz="4" w:space="0"/>
            </w:tcBorders>
            <w:noWrap w:val="0"/>
            <w:vAlign w:val="center"/>
          </w:tcPr>
          <w:p w14:paraId="0AA45A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623" w:type="pct"/>
            <w:tcBorders>
              <w:top w:val="nil"/>
              <w:left w:val="nil"/>
              <w:bottom w:val="single" w:color="auto" w:sz="4" w:space="0"/>
              <w:right w:val="single" w:color="auto" w:sz="4" w:space="0"/>
            </w:tcBorders>
            <w:noWrap w:val="0"/>
            <w:vAlign w:val="center"/>
          </w:tcPr>
          <w:p w14:paraId="339851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688CD008">
        <w:tblPrEx>
          <w:tblCellMar>
            <w:top w:w="0" w:type="dxa"/>
            <w:left w:w="108" w:type="dxa"/>
            <w:bottom w:w="0" w:type="dxa"/>
            <w:right w:w="108" w:type="dxa"/>
          </w:tblCellMar>
        </w:tblPrEx>
        <w:trPr>
          <w:trHeight w:val="225" w:hRule="atLeast"/>
        </w:trPr>
        <w:tc>
          <w:tcPr>
            <w:tcW w:w="1063" w:type="pct"/>
            <w:vMerge w:val="restart"/>
            <w:tcBorders>
              <w:top w:val="nil"/>
              <w:left w:val="single" w:color="auto" w:sz="4" w:space="0"/>
              <w:bottom w:val="single" w:color="auto" w:sz="4" w:space="0"/>
              <w:right w:val="single" w:color="auto" w:sz="4" w:space="0"/>
            </w:tcBorders>
            <w:noWrap w:val="0"/>
            <w:vAlign w:val="center"/>
          </w:tcPr>
          <w:p w14:paraId="340C81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住宿业</w:t>
            </w:r>
          </w:p>
        </w:tc>
        <w:tc>
          <w:tcPr>
            <w:tcW w:w="794" w:type="pct"/>
            <w:tcBorders>
              <w:top w:val="nil"/>
              <w:left w:val="nil"/>
              <w:bottom w:val="single" w:color="auto" w:sz="4" w:space="0"/>
              <w:right w:val="single" w:color="auto" w:sz="4" w:space="0"/>
            </w:tcBorders>
            <w:noWrap w:val="0"/>
            <w:vAlign w:val="center"/>
          </w:tcPr>
          <w:p w14:paraId="7F2A26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nil"/>
              <w:left w:val="nil"/>
              <w:bottom w:val="single" w:color="auto" w:sz="4" w:space="0"/>
              <w:right w:val="single" w:color="auto" w:sz="4" w:space="0"/>
            </w:tcBorders>
            <w:noWrap w:val="0"/>
            <w:vAlign w:val="center"/>
          </w:tcPr>
          <w:p w14:paraId="747016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nil"/>
              <w:left w:val="nil"/>
              <w:bottom w:val="single" w:color="auto" w:sz="4" w:space="0"/>
              <w:right w:val="single" w:color="auto" w:sz="4" w:space="0"/>
            </w:tcBorders>
            <w:noWrap w:val="0"/>
            <w:vAlign w:val="center"/>
          </w:tcPr>
          <w:p w14:paraId="3C517E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937" w:type="pct"/>
            <w:tcBorders>
              <w:top w:val="nil"/>
              <w:left w:val="nil"/>
              <w:bottom w:val="single" w:color="auto" w:sz="4" w:space="0"/>
              <w:right w:val="single" w:color="auto" w:sz="4" w:space="0"/>
            </w:tcBorders>
            <w:noWrap w:val="0"/>
            <w:vAlign w:val="center"/>
          </w:tcPr>
          <w:p w14:paraId="2A178E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623" w:type="pct"/>
            <w:tcBorders>
              <w:top w:val="nil"/>
              <w:left w:val="nil"/>
              <w:bottom w:val="single" w:color="auto" w:sz="4" w:space="0"/>
              <w:right w:val="single" w:color="auto" w:sz="4" w:space="0"/>
            </w:tcBorders>
            <w:noWrap w:val="0"/>
            <w:vAlign w:val="center"/>
          </w:tcPr>
          <w:p w14:paraId="6B87E8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265CDDB2">
        <w:tblPrEx>
          <w:tblCellMar>
            <w:top w:w="0" w:type="dxa"/>
            <w:left w:w="108" w:type="dxa"/>
            <w:bottom w:w="0" w:type="dxa"/>
            <w:right w:w="108" w:type="dxa"/>
          </w:tblCellMar>
        </w:tblPrEx>
        <w:trPr>
          <w:trHeight w:val="225" w:hRule="atLeast"/>
        </w:trPr>
        <w:tc>
          <w:tcPr>
            <w:tcW w:w="1063" w:type="pct"/>
            <w:vMerge w:val="continue"/>
            <w:tcBorders>
              <w:top w:val="nil"/>
              <w:left w:val="single" w:color="auto" w:sz="4" w:space="0"/>
              <w:bottom w:val="single" w:color="auto" w:sz="4" w:space="0"/>
              <w:right w:val="single" w:color="auto" w:sz="4" w:space="0"/>
            </w:tcBorders>
            <w:noWrap w:val="0"/>
            <w:vAlign w:val="center"/>
          </w:tcPr>
          <w:p w14:paraId="6C7FC2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color w:val="auto"/>
                <w:kern w:val="0"/>
                <w:szCs w:val="21"/>
                <w:highlight w:val="none"/>
              </w:rPr>
            </w:pPr>
          </w:p>
        </w:tc>
        <w:tc>
          <w:tcPr>
            <w:tcW w:w="794" w:type="pct"/>
            <w:tcBorders>
              <w:top w:val="nil"/>
              <w:left w:val="nil"/>
              <w:bottom w:val="single" w:color="auto" w:sz="4" w:space="0"/>
              <w:right w:val="single" w:color="auto" w:sz="4" w:space="0"/>
            </w:tcBorders>
            <w:noWrap w:val="0"/>
            <w:vAlign w:val="center"/>
          </w:tcPr>
          <w:p w14:paraId="42FD90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nil"/>
              <w:left w:val="nil"/>
              <w:bottom w:val="single" w:color="auto" w:sz="4" w:space="0"/>
              <w:right w:val="single" w:color="auto" w:sz="4" w:space="0"/>
            </w:tcBorders>
            <w:noWrap w:val="0"/>
            <w:vAlign w:val="center"/>
          </w:tcPr>
          <w:p w14:paraId="3BBAB0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nil"/>
              <w:left w:val="nil"/>
              <w:bottom w:val="single" w:color="auto" w:sz="4" w:space="0"/>
              <w:right w:val="single" w:color="auto" w:sz="4" w:space="0"/>
            </w:tcBorders>
            <w:noWrap w:val="0"/>
            <w:vAlign w:val="center"/>
          </w:tcPr>
          <w:p w14:paraId="3B91EB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937" w:type="pct"/>
            <w:tcBorders>
              <w:top w:val="nil"/>
              <w:left w:val="nil"/>
              <w:bottom w:val="single" w:color="auto" w:sz="4" w:space="0"/>
              <w:right w:val="single" w:color="auto" w:sz="4" w:space="0"/>
            </w:tcBorders>
            <w:noWrap w:val="0"/>
            <w:vAlign w:val="center"/>
          </w:tcPr>
          <w:p w14:paraId="49E181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623" w:type="pct"/>
            <w:tcBorders>
              <w:top w:val="nil"/>
              <w:left w:val="nil"/>
              <w:bottom w:val="single" w:color="auto" w:sz="4" w:space="0"/>
              <w:right w:val="single" w:color="auto" w:sz="4" w:space="0"/>
            </w:tcBorders>
            <w:noWrap w:val="0"/>
            <w:vAlign w:val="center"/>
          </w:tcPr>
          <w:p w14:paraId="648353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73CE2FE6">
        <w:tblPrEx>
          <w:tblCellMar>
            <w:top w:w="0" w:type="dxa"/>
            <w:left w:w="108" w:type="dxa"/>
            <w:bottom w:w="0" w:type="dxa"/>
            <w:right w:w="108" w:type="dxa"/>
          </w:tblCellMar>
        </w:tblPrEx>
        <w:trPr>
          <w:trHeight w:val="225" w:hRule="atLeast"/>
        </w:trPr>
        <w:tc>
          <w:tcPr>
            <w:tcW w:w="1063" w:type="pct"/>
            <w:vMerge w:val="restart"/>
            <w:tcBorders>
              <w:top w:val="single" w:color="auto" w:sz="4" w:space="0"/>
              <w:left w:val="single" w:color="auto" w:sz="4" w:space="0"/>
              <w:bottom w:val="single" w:color="auto" w:sz="4" w:space="0"/>
              <w:right w:val="single" w:color="auto" w:sz="4" w:space="0"/>
            </w:tcBorders>
            <w:noWrap w:val="0"/>
            <w:vAlign w:val="center"/>
          </w:tcPr>
          <w:p w14:paraId="4F8D4E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餐饮业</w:t>
            </w:r>
          </w:p>
        </w:tc>
        <w:tc>
          <w:tcPr>
            <w:tcW w:w="794" w:type="pct"/>
            <w:tcBorders>
              <w:top w:val="single" w:color="auto" w:sz="4" w:space="0"/>
              <w:left w:val="single" w:color="auto" w:sz="4" w:space="0"/>
              <w:bottom w:val="single" w:color="auto" w:sz="4" w:space="0"/>
              <w:right w:val="single" w:color="auto" w:sz="4" w:space="0"/>
            </w:tcBorders>
            <w:noWrap w:val="0"/>
            <w:vAlign w:val="center"/>
          </w:tcPr>
          <w:p w14:paraId="5ABEE9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34AFE6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25509E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2DB530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623" w:type="pct"/>
            <w:tcBorders>
              <w:top w:val="nil"/>
              <w:left w:val="nil"/>
              <w:bottom w:val="single" w:color="auto" w:sz="4" w:space="0"/>
              <w:right w:val="single" w:color="auto" w:sz="4" w:space="0"/>
            </w:tcBorders>
            <w:noWrap w:val="0"/>
            <w:vAlign w:val="center"/>
          </w:tcPr>
          <w:p w14:paraId="4A8D4E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61E2BD7D">
        <w:tblPrEx>
          <w:tblCellMar>
            <w:top w:w="0" w:type="dxa"/>
            <w:left w:w="108" w:type="dxa"/>
            <w:bottom w:w="0" w:type="dxa"/>
            <w:right w:w="108" w:type="dxa"/>
          </w:tblCellMar>
        </w:tblPrEx>
        <w:trPr>
          <w:trHeight w:val="225" w:hRule="atLeast"/>
        </w:trPr>
        <w:tc>
          <w:tcPr>
            <w:tcW w:w="1063" w:type="pct"/>
            <w:vMerge w:val="continue"/>
            <w:tcBorders>
              <w:top w:val="single" w:color="auto" w:sz="4" w:space="0"/>
              <w:left w:val="single" w:color="auto" w:sz="4" w:space="0"/>
              <w:bottom w:val="single" w:color="auto" w:sz="4" w:space="0"/>
              <w:right w:val="single" w:color="auto" w:sz="4" w:space="0"/>
            </w:tcBorders>
            <w:noWrap w:val="0"/>
            <w:vAlign w:val="center"/>
          </w:tcPr>
          <w:p w14:paraId="7A093E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color w:val="auto"/>
                <w:kern w:val="0"/>
                <w:szCs w:val="21"/>
                <w:highlight w:val="none"/>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39AA32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6BFC40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062BD2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54A516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623" w:type="pct"/>
            <w:tcBorders>
              <w:top w:val="nil"/>
              <w:left w:val="nil"/>
              <w:bottom w:val="single" w:color="auto" w:sz="4" w:space="0"/>
              <w:right w:val="single" w:color="auto" w:sz="4" w:space="0"/>
            </w:tcBorders>
            <w:noWrap w:val="0"/>
            <w:vAlign w:val="center"/>
          </w:tcPr>
          <w:p w14:paraId="7E373B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36BD635F">
        <w:tblPrEx>
          <w:tblCellMar>
            <w:top w:w="0" w:type="dxa"/>
            <w:left w:w="108" w:type="dxa"/>
            <w:bottom w:w="0" w:type="dxa"/>
            <w:right w:w="108" w:type="dxa"/>
          </w:tblCellMar>
        </w:tblPrEx>
        <w:trPr>
          <w:trHeight w:val="225" w:hRule="atLeast"/>
        </w:trPr>
        <w:tc>
          <w:tcPr>
            <w:tcW w:w="1063" w:type="pct"/>
            <w:vMerge w:val="restart"/>
            <w:tcBorders>
              <w:top w:val="single" w:color="auto" w:sz="4" w:space="0"/>
              <w:left w:val="single" w:color="auto" w:sz="4" w:space="0"/>
              <w:bottom w:val="single" w:color="auto" w:sz="4" w:space="0"/>
              <w:right w:val="single" w:color="auto" w:sz="4" w:space="0"/>
            </w:tcBorders>
            <w:noWrap w:val="0"/>
            <w:vAlign w:val="center"/>
          </w:tcPr>
          <w:p w14:paraId="6EBF59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信息传输业</w:t>
            </w:r>
          </w:p>
        </w:tc>
        <w:tc>
          <w:tcPr>
            <w:tcW w:w="794" w:type="pct"/>
            <w:tcBorders>
              <w:top w:val="single" w:color="auto" w:sz="4" w:space="0"/>
              <w:left w:val="single" w:color="auto" w:sz="4" w:space="0"/>
              <w:bottom w:val="single" w:color="auto" w:sz="4" w:space="0"/>
              <w:right w:val="single" w:color="auto" w:sz="4" w:space="0"/>
            </w:tcBorders>
            <w:noWrap w:val="0"/>
            <w:vAlign w:val="center"/>
          </w:tcPr>
          <w:p w14:paraId="692FC2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63B263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4918CC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227950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623" w:type="pct"/>
            <w:tcBorders>
              <w:top w:val="nil"/>
              <w:left w:val="nil"/>
              <w:bottom w:val="single" w:color="auto" w:sz="4" w:space="0"/>
              <w:right w:val="single" w:color="auto" w:sz="4" w:space="0"/>
            </w:tcBorders>
            <w:noWrap w:val="0"/>
            <w:vAlign w:val="center"/>
          </w:tcPr>
          <w:p w14:paraId="39D1EF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269BB89F">
        <w:tblPrEx>
          <w:tblCellMar>
            <w:top w:w="0" w:type="dxa"/>
            <w:left w:w="108" w:type="dxa"/>
            <w:bottom w:w="0" w:type="dxa"/>
            <w:right w:w="108" w:type="dxa"/>
          </w:tblCellMar>
        </w:tblPrEx>
        <w:trPr>
          <w:trHeight w:val="225" w:hRule="atLeast"/>
        </w:trPr>
        <w:tc>
          <w:tcPr>
            <w:tcW w:w="1063" w:type="pct"/>
            <w:vMerge w:val="continue"/>
            <w:tcBorders>
              <w:top w:val="single" w:color="auto" w:sz="4" w:space="0"/>
              <w:left w:val="single" w:color="auto" w:sz="4" w:space="0"/>
              <w:bottom w:val="single" w:color="auto" w:sz="4" w:space="0"/>
              <w:right w:val="single" w:color="auto" w:sz="4" w:space="0"/>
            </w:tcBorders>
            <w:noWrap w:val="0"/>
            <w:vAlign w:val="center"/>
          </w:tcPr>
          <w:p w14:paraId="7E85EB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color w:val="auto"/>
                <w:kern w:val="0"/>
                <w:szCs w:val="21"/>
                <w:highlight w:val="none"/>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3262A5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052A10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65A943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59A8EE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623" w:type="pct"/>
            <w:tcBorders>
              <w:top w:val="single" w:color="auto" w:sz="4" w:space="0"/>
              <w:left w:val="single" w:color="auto" w:sz="4" w:space="0"/>
              <w:bottom w:val="single" w:color="auto" w:sz="4" w:space="0"/>
              <w:right w:val="single" w:color="auto" w:sz="4" w:space="0"/>
            </w:tcBorders>
            <w:noWrap w:val="0"/>
            <w:vAlign w:val="center"/>
          </w:tcPr>
          <w:p w14:paraId="060F34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6A7B7F24">
        <w:tblPrEx>
          <w:tblCellMar>
            <w:top w:w="0" w:type="dxa"/>
            <w:left w:w="108" w:type="dxa"/>
            <w:bottom w:w="0" w:type="dxa"/>
            <w:right w:w="108" w:type="dxa"/>
          </w:tblCellMar>
        </w:tblPrEx>
        <w:trPr>
          <w:trHeight w:val="225" w:hRule="atLeast"/>
        </w:trPr>
        <w:tc>
          <w:tcPr>
            <w:tcW w:w="1063" w:type="pct"/>
            <w:vMerge w:val="restart"/>
            <w:tcBorders>
              <w:top w:val="single" w:color="auto" w:sz="4" w:space="0"/>
              <w:left w:val="single" w:color="auto" w:sz="4" w:space="0"/>
              <w:bottom w:val="single" w:color="auto" w:sz="4" w:space="0"/>
              <w:right w:val="single" w:color="auto" w:sz="4" w:space="0"/>
            </w:tcBorders>
            <w:noWrap w:val="0"/>
            <w:vAlign w:val="center"/>
          </w:tcPr>
          <w:p w14:paraId="21531C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软件和信息技术服务业</w:t>
            </w:r>
          </w:p>
        </w:tc>
        <w:tc>
          <w:tcPr>
            <w:tcW w:w="794" w:type="pct"/>
            <w:tcBorders>
              <w:top w:val="single" w:color="auto" w:sz="4" w:space="0"/>
              <w:left w:val="single" w:color="auto" w:sz="4" w:space="0"/>
              <w:bottom w:val="single" w:color="auto" w:sz="4" w:space="0"/>
              <w:right w:val="single" w:color="auto" w:sz="4" w:space="0"/>
            </w:tcBorders>
            <w:noWrap w:val="0"/>
            <w:vAlign w:val="center"/>
          </w:tcPr>
          <w:p w14:paraId="5B0424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014E39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289FBF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397167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623" w:type="pct"/>
            <w:tcBorders>
              <w:top w:val="single" w:color="auto" w:sz="4" w:space="0"/>
              <w:left w:val="single" w:color="auto" w:sz="4" w:space="0"/>
              <w:bottom w:val="single" w:color="auto" w:sz="4" w:space="0"/>
              <w:right w:val="single" w:color="auto" w:sz="4" w:space="0"/>
            </w:tcBorders>
            <w:noWrap w:val="0"/>
            <w:vAlign w:val="center"/>
          </w:tcPr>
          <w:p w14:paraId="1085FE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4E513E7D">
        <w:tblPrEx>
          <w:tblCellMar>
            <w:top w:w="0" w:type="dxa"/>
            <w:left w:w="108" w:type="dxa"/>
            <w:bottom w:w="0" w:type="dxa"/>
            <w:right w:w="108" w:type="dxa"/>
          </w:tblCellMar>
        </w:tblPrEx>
        <w:trPr>
          <w:trHeight w:val="225" w:hRule="atLeast"/>
        </w:trPr>
        <w:tc>
          <w:tcPr>
            <w:tcW w:w="1063" w:type="pct"/>
            <w:vMerge w:val="continue"/>
            <w:tcBorders>
              <w:top w:val="single" w:color="auto" w:sz="4" w:space="0"/>
              <w:left w:val="single" w:color="auto" w:sz="4" w:space="0"/>
              <w:bottom w:val="single" w:color="auto" w:sz="4" w:space="0"/>
              <w:right w:val="single" w:color="auto" w:sz="4" w:space="0"/>
            </w:tcBorders>
            <w:noWrap w:val="0"/>
            <w:vAlign w:val="center"/>
          </w:tcPr>
          <w:p w14:paraId="2D5FA1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color w:val="auto"/>
                <w:kern w:val="0"/>
                <w:szCs w:val="21"/>
                <w:highlight w:val="none"/>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67CD0E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0785E9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1F1AC8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2D65C1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50≤Y＜1000</w:t>
            </w:r>
          </w:p>
        </w:tc>
        <w:tc>
          <w:tcPr>
            <w:tcW w:w="623" w:type="pct"/>
            <w:tcBorders>
              <w:top w:val="single" w:color="auto" w:sz="4" w:space="0"/>
              <w:left w:val="single" w:color="auto" w:sz="4" w:space="0"/>
              <w:bottom w:val="single" w:color="auto" w:sz="4" w:space="0"/>
              <w:right w:val="single" w:color="auto" w:sz="4" w:space="0"/>
            </w:tcBorders>
            <w:noWrap w:val="0"/>
            <w:vAlign w:val="center"/>
          </w:tcPr>
          <w:p w14:paraId="5B0B6A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1743DA7B">
        <w:tblPrEx>
          <w:tblCellMar>
            <w:top w:w="0" w:type="dxa"/>
            <w:left w:w="108" w:type="dxa"/>
            <w:bottom w:w="0" w:type="dxa"/>
            <w:right w:w="108" w:type="dxa"/>
          </w:tblCellMar>
        </w:tblPrEx>
        <w:trPr>
          <w:trHeight w:val="225" w:hRule="atLeast"/>
        </w:trPr>
        <w:tc>
          <w:tcPr>
            <w:tcW w:w="1063" w:type="pct"/>
            <w:vMerge w:val="restart"/>
            <w:tcBorders>
              <w:top w:val="single" w:color="auto" w:sz="4" w:space="0"/>
              <w:left w:val="single" w:color="auto" w:sz="4" w:space="0"/>
              <w:bottom w:val="single" w:color="auto" w:sz="4" w:space="0"/>
              <w:right w:val="single" w:color="auto" w:sz="4" w:space="0"/>
            </w:tcBorders>
            <w:noWrap w:val="0"/>
            <w:vAlign w:val="center"/>
          </w:tcPr>
          <w:p w14:paraId="6FD260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房地产开发经营</w:t>
            </w:r>
          </w:p>
        </w:tc>
        <w:tc>
          <w:tcPr>
            <w:tcW w:w="794" w:type="pct"/>
            <w:tcBorders>
              <w:top w:val="single" w:color="auto" w:sz="4" w:space="0"/>
              <w:left w:val="single" w:color="auto" w:sz="4" w:space="0"/>
              <w:bottom w:val="single" w:color="auto" w:sz="4" w:space="0"/>
              <w:right w:val="single" w:color="auto" w:sz="4" w:space="0"/>
            </w:tcBorders>
            <w:noWrap w:val="0"/>
            <w:vAlign w:val="center"/>
          </w:tcPr>
          <w:p w14:paraId="07CC23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67131B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0E0FBF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6C7E15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100≤X＜1000</w:t>
            </w:r>
          </w:p>
        </w:tc>
        <w:tc>
          <w:tcPr>
            <w:tcW w:w="623" w:type="pct"/>
            <w:tcBorders>
              <w:top w:val="single" w:color="auto" w:sz="4" w:space="0"/>
              <w:left w:val="single" w:color="auto" w:sz="4" w:space="0"/>
              <w:bottom w:val="single" w:color="auto" w:sz="4" w:space="0"/>
              <w:right w:val="single" w:color="auto" w:sz="4" w:space="0"/>
            </w:tcBorders>
            <w:noWrap w:val="0"/>
            <w:vAlign w:val="center"/>
          </w:tcPr>
          <w:p w14:paraId="0A1B44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3A160DBB">
        <w:tblPrEx>
          <w:tblCellMar>
            <w:top w:w="0" w:type="dxa"/>
            <w:left w:w="108" w:type="dxa"/>
            <w:bottom w:w="0" w:type="dxa"/>
            <w:right w:w="108" w:type="dxa"/>
          </w:tblCellMar>
        </w:tblPrEx>
        <w:trPr>
          <w:trHeight w:val="225" w:hRule="atLeast"/>
        </w:trPr>
        <w:tc>
          <w:tcPr>
            <w:tcW w:w="1063" w:type="pct"/>
            <w:vMerge w:val="continue"/>
            <w:tcBorders>
              <w:top w:val="single" w:color="auto" w:sz="4" w:space="0"/>
              <w:left w:val="single" w:color="auto" w:sz="4" w:space="0"/>
              <w:bottom w:val="single" w:color="auto" w:sz="4" w:space="0"/>
              <w:right w:val="single" w:color="auto" w:sz="4" w:space="0"/>
            </w:tcBorders>
            <w:noWrap w:val="0"/>
            <w:vAlign w:val="center"/>
          </w:tcPr>
          <w:p w14:paraId="16C533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color w:val="auto"/>
                <w:kern w:val="0"/>
                <w:szCs w:val="21"/>
                <w:highlight w:val="none"/>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32203B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4091F1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56EA35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3F3F91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2000≤Y＜5000</w:t>
            </w:r>
          </w:p>
        </w:tc>
        <w:tc>
          <w:tcPr>
            <w:tcW w:w="623" w:type="pct"/>
            <w:tcBorders>
              <w:top w:val="single" w:color="auto" w:sz="4" w:space="0"/>
              <w:left w:val="single" w:color="auto" w:sz="4" w:space="0"/>
              <w:bottom w:val="single" w:color="auto" w:sz="4" w:space="0"/>
              <w:right w:val="single" w:color="auto" w:sz="4" w:space="0"/>
            </w:tcBorders>
            <w:noWrap w:val="0"/>
            <w:vAlign w:val="center"/>
          </w:tcPr>
          <w:p w14:paraId="127B3B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Y＜2000</w:t>
            </w:r>
          </w:p>
        </w:tc>
      </w:tr>
      <w:tr w14:paraId="6B5D21E9">
        <w:tblPrEx>
          <w:tblCellMar>
            <w:top w:w="0" w:type="dxa"/>
            <w:left w:w="108" w:type="dxa"/>
            <w:bottom w:w="0" w:type="dxa"/>
            <w:right w:w="108" w:type="dxa"/>
          </w:tblCellMar>
        </w:tblPrEx>
        <w:trPr>
          <w:trHeight w:val="225" w:hRule="atLeast"/>
        </w:trPr>
        <w:tc>
          <w:tcPr>
            <w:tcW w:w="1063" w:type="pct"/>
            <w:vMerge w:val="restart"/>
            <w:tcBorders>
              <w:top w:val="single" w:color="auto" w:sz="4" w:space="0"/>
              <w:left w:val="single" w:color="auto" w:sz="4" w:space="0"/>
              <w:bottom w:val="single" w:color="auto" w:sz="4" w:space="0"/>
              <w:right w:val="single" w:color="auto" w:sz="4" w:space="0"/>
            </w:tcBorders>
            <w:noWrap w:val="0"/>
            <w:vAlign w:val="center"/>
          </w:tcPr>
          <w:p w14:paraId="08472E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物业管理</w:t>
            </w:r>
          </w:p>
        </w:tc>
        <w:tc>
          <w:tcPr>
            <w:tcW w:w="794" w:type="pct"/>
            <w:tcBorders>
              <w:top w:val="single" w:color="auto" w:sz="4" w:space="0"/>
              <w:left w:val="single" w:color="auto" w:sz="4" w:space="0"/>
              <w:bottom w:val="single" w:color="auto" w:sz="4" w:space="0"/>
              <w:right w:val="single" w:color="auto" w:sz="4" w:space="0"/>
            </w:tcBorders>
            <w:noWrap w:val="0"/>
            <w:vAlign w:val="center"/>
          </w:tcPr>
          <w:p w14:paraId="1B0177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33B853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040BF9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0E87FC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623" w:type="pct"/>
            <w:tcBorders>
              <w:top w:val="single" w:color="auto" w:sz="4" w:space="0"/>
              <w:left w:val="nil"/>
              <w:bottom w:val="single" w:color="auto" w:sz="4" w:space="0"/>
              <w:right w:val="single" w:color="auto" w:sz="4" w:space="0"/>
            </w:tcBorders>
            <w:noWrap w:val="0"/>
            <w:vAlign w:val="center"/>
          </w:tcPr>
          <w:p w14:paraId="70F458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395D98E9">
        <w:tblPrEx>
          <w:tblCellMar>
            <w:top w:w="0" w:type="dxa"/>
            <w:left w:w="108" w:type="dxa"/>
            <w:bottom w:w="0" w:type="dxa"/>
            <w:right w:w="108" w:type="dxa"/>
          </w:tblCellMar>
        </w:tblPrEx>
        <w:trPr>
          <w:trHeight w:val="225" w:hRule="atLeast"/>
        </w:trPr>
        <w:tc>
          <w:tcPr>
            <w:tcW w:w="1063" w:type="pct"/>
            <w:vMerge w:val="continue"/>
            <w:tcBorders>
              <w:top w:val="single" w:color="auto" w:sz="4" w:space="0"/>
              <w:left w:val="single" w:color="auto" w:sz="4" w:space="0"/>
              <w:bottom w:val="single" w:color="auto" w:sz="4" w:space="0"/>
              <w:right w:val="single" w:color="auto" w:sz="4" w:space="0"/>
            </w:tcBorders>
            <w:noWrap w:val="0"/>
            <w:vAlign w:val="center"/>
          </w:tcPr>
          <w:p w14:paraId="6FD4A1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color w:val="auto"/>
                <w:kern w:val="0"/>
                <w:szCs w:val="21"/>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3100DD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single" w:color="auto" w:sz="4" w:space="0"/>
              <w:left w:val="nil"/>
              <w:bottom w:val="single" w:color="auto" w:sz="4" w:space="0"/>
              <w:right w:val="single" w:color="auto" w:sz="4" w:space="0"/>
            </w:tcBorders>
            <w:noWrap w:val="0"/>
            <w:vAlign w:val="center"/>
          </w:tcPr>
          <w:p w14:paraId="409956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single" w:color="auto" w:sz="4" w:space="0"/>
              <w:left w:val="nil"/>
              <w:bottom w:val="single" w:color="auto" w:sz="4" w:space="0"/>
              <w:right w:val="single" w:color="auto" w:sz="4" w:space="0"/>
            </w:tcBorders>
            <w:noWrap w:val="0"/>
            <w:vAlign w:val="center"/>
          </w:tcPr>
          <w:p w14:paraId="7C738F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937" w:type="pct"/>
            <w:tcBorders>
              <w:top w:val="single" w:color="auto" w:sz="4" w:space="0"/>
              <w:left w:val="nil"/>
              <w:bottom w:val="single" w:color="auto" w:sz="4" w:space="0"/>
              <w:right w:val="single" w:color="auto" w:sz="4" w:space="0"/>
            </w:tcBorders>
            <w:noWrap w:val="0"/>
            <w:vAlign w:val="center"/>
          </w:tcPr>
          <w:p w14:paraId="2DC138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500≤Y＜1000</w:t>
            </w:r>
          </w:p>
        </w:tc>
        <w:tc>
          <w:tcPr>
            <w:tcW w:w="623" w:type="pct"/>
            <w:tcBorders>
              <w:top w:val="nil"/>
              <w:left w:val="nil"/>
              <w:bottom w:val="single" w:color="auto" w:sz="4" w:space="0"/>
              <w:right w:val="single" w:color="auto" w:sz="4" w:space="0"/>
            </w:tcBorders>
            <w:noWrap w:val="0"/>
            <w:vAlign w:val="center"/>
          </w:tcPr>
          <w:p w14:paraId="5D90F5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Y＜500</w:t>
            </w:r>
          </w:p>
        </w:tc>
      </w:tr>
      <w:tr w14:paraId="74FF2A39">
        <w:tblPrEx>
          <w:tblCellMar>
            <w:top w:w="0" w:type="dxa"/>
            <w:left w:w="108" w:type="dxa"/>
            <w:bottom w:w="0" w:type="dxa"/>
            <w:right w:w="108" w:type="dxa"/>
          </w:tblCellMar>
        </w:tblPrEx>
        <w:trPr>
          <w:trHeight w:val="225" w:hRule="atLeast"/>
        </w:trPr>
        <w:tc>
          <w:tcPr>
            <w:tcW w:w="1063" w:type="pct"/>
            <w:vMerge w:val="restart"/>
            <w:tcBorders>
              <w:top w:val="nil"/>
              <w:left w:val="single" w:color="auto" w:sz="4" w:space="0"/>
              <w:bottom w:val="single" w:color="auto" w:sz="4" w:space="0"/>
              <w:right w:val="single" w:color="auto" w:sz="4" w:space="0"/>
            </w:tcBorders>
            <w:noWrap w:val="0"/>
            <w:vAlign w:val="center"/>
          </w:tcPr>
          <w:p w14:paraId="0A20A6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租赁和商务服务业</w:t>
            </w:r>
          </w:p>
        </w:tc>
        <w:tc>
          <w:tcPr>
            <w:tcW w:w="794" w:type="pct"/>
            <w:tcBorders>
              <w:top w:val="nil"/>
              <w:left w:val="nil"/>
              <w:bottom w:val="single" w:color="auto" w:sz="4" w:space="0"/>
              <w:right w:val="single" w:color="auto" w:sz="4" w:space="0"/>
            </w:tcBorders>
            <w:noWrap w:val="0"/>
            <w:vAlign w:val="center"/>
          </w:tcPr>
          <w:p w14:paraId="0313DE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nil"/>
              <w:left w:val="nil"/>
              <w:bottom w:val="single" w:color="auto" w:sz="4" w:space="0"/>
              <w:right w:val="single" w:color="auto" w:sz="4" w:space="0"/>
            </w:tcBorders>
            <w:noWrap w:val="0"/>
            <w:vAlign w:val="center"/>
          </w:tcPr>
          <w:p w14:paraId="5673D3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nil"/>
              <w:left w:val="nil"/>
              <w:bottom w:val="single" w:color="auto" w:sz="4" w:space="0"/>
              <w:right w:val="single" w:color="auto" w:sz="4" w:space="0"/>
            </w:tcBorders>
            <w:noWrap w:val="0"/>
            <w:vAlign w:val="center"/>
          </w:tcPr>
          <w:p w14:paraId="247B43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937" w:type="pct"/>
            <w:tcBorders>
              <w:top w:val="nil"/>
              <w:left w:val="nil"/>
              <w:bottom w:val="single" w:color="auto" w:sz="4" w:space="0"/>
              <w:right w:val="single" w:color="auto" w:sz="4" w:space="0"/>
            </w:tcBorders>
            <w:noWrap w:val="0"/>
            <w:vAlign w:val="center"/>
          </w:tcPr>
          <w:p w14:paraId="0E14AC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623" w:type="pct"/>
            <w:tcBorders>
              <w:top w:val="nil"/>
              <w:left w:val="nil"/>
              <w:bottom w:val="single" w:color="auto" w:sz="4" w:space="0"/>
              <w:right w:val="single" w:color="auto" w:sz="4" w:space="0"/>
            </w:tcBorders>
            <w:noWrap w:val="0"/>
            <w:vAlign w:val="center"/>
          </w:tcPr>
          <w:p w14:paraId="166E99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79492F47">
        <w:tblPrEx>
          <w:tblCellMar>
            <w:top w:w="0" w:type="dxa"/>
            <w:left w:w="108" w:type="dxa"/>
            <w:bottom w:w="0" w:type="dxa"/>
            <w:right w:w="108" w:type="dxa"/>
          </w:tblCellMar>
        </w:tblPrEx>
        <w:trPr>
          <w:trHeight w:val="225" w:hRule="atLeast"/>
        </w:trPr>
        <w:tc>
          <w:tcPr>
            <w:tcW w:w="1063" w:type="pct"/>
            <w:vMerge w:val="continue"/>
            <w:tcBorders>
              <w:top w:val="nil"/>
              <w:left w:val="single" w:color="auto" w:sz="4" w:space="0"/>
              <w:bottom w:val="single" w:color="auto" w:sz="4" w:space="0"/>
              <w:right w:val="single" w:color="auto" w:sz="4" w:space="0"/>
            </w:tcBorders>
            <w:noWrap w:val="0"/>
            <w:vAlign w:val="center"/>
          </w:tcPr>
          <w:p w14:paraId="5B0BF6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color w:val="auto"/>
                <w:kern w:val="0"/>
                <w:szCs w:val="21"/>
                <w:highlight w:val="none"/>
              </w:rPr>
            </w:pPr>
          </w:p>
        </w:tc>
        <w:tc>
          <w:tcPr>
            <w:tcW w:w="794" w:type="pct"/>
            <w:tcBorders>
              <w:top w:val="nil"/>
              <w:left w:val="nil"/>
              <w:bottom w:val="single" w:color="auto" w:sz="4" w:space="0"/>
              <w:right w:val="single" w:color="auto" w:sz="4" w:space="0"/>
            </w:tcBorders>
            <w:noWrap w:val="0"/>
            <w:vAlign w:val="center"/>
          </w:tcPr>
          <w:p w14:paraId="0FC1B7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643" w:type="pct"/>
            <w:tcBorders>
              <w:top w:val="nil"/>
              <w:left w:val="nil"/>
              <w:bottom w:val="single" w:color="auto" w:sz="4" w:space="0"/>
              <w:right w:val="single" w:color="auto" w:sz="4" w:space="0"/>
            </w:tcBorders>
            <w:noWrap w:val="0"/>
            <w:vAlign w:val="center"/>
          </w:tcPr>
          <w:p w14:paraId="1BFB7C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nil"/>
              <w:left w:val="nil"/>
              <w:bottom w:val="single" w:color="auto" w:sz="4" w:space="0"/>
              <w:right w:val="single" w:color="auto" w:sz="4" w:space="0"/>
            </w:tcBorders>
            <w:noWrap w:val="0"/>
            <w:vAlign w:val="center"/>
          </w:tcPr>
          <w:p w14:paraId="10F183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937" w:type="pct"/>
            <w:tcBorders>
              <w:top w:val="nil"/>
              <w:left w:val="nil"/>
              <w:bottom w:val="single" w:color="auto" w:sz="4" w:space="0"/>
              <w:right w:val="single" w:color="auto" w:sz="4" w:space="0"/>
            </w:tcBorders>
            <w:noWrap w:val="0"/>
            <w:vAlign w:val="center"/>
          </w:tcPr>
          <w:p w14:paraId="38644C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100≤Z＜8000</w:t>
            </w:r>
          </w:p>
        </w:tc>
        <w:tc>
          <w:tcPr>
            <w:tcW w:w="623" w:type="pct"/>
            <w:tcBorders>
              <w:top w:val="nil"/>
              <w:left w:val="nil"/>
              <w:bottom w:val="single" w:color="auto" w:sz="4" w:space="0"/>
              <w:right w:val="single" w:color="auto" w:sz="4" w:space="0"/>
            </w:tcBorders>
            <w:noWrap w:val="0"/>
            <w:vAlign w:val="center"/>
          </w:tcPr>
          <w:p w14:paraId="05C23F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3B3173C6">
        <w:tblPrEx>
          <w:tblCellMar>
            <w:top w:w="0" w:type="dxa"/>
            <w:left w:w="108" w:type="dxa"/>
            <w:bottom w:w="0" w:type="dxa"/>
            <w:right w:w="108" w:type="dxa"/>
          </w:tblCellMar>
        </w:tblPrEx>
        <w:trPr>
          <w:trHeight w:val="225" w:hRule="atLeast"/>
        </w:trPr>
        <w:tc>
          <w:tcPr>
            <w:tcW w:w="1063" w:type="pct"/>
            <w:tcBorders>
              <w:top w:val="nil"/>
              <w:left w:val="single" w:color="auto" w:sz="4" w:space="0"/>
              <w:bottom w:val="single" w:color="auto" w:sz="4" w:space="0"/>
              <w:right w:val="single" w:color="auto" w:sz="4" w:space="0"/>
            </w:tcBorders>
            <w:noWrap w:val="0"/>
            <w:vAlign w:val="center"/>
          </w:tcPr>
          <w:p w14:paraId="299EC0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其他未列明行业</w:t>
            </w:r>
          </w:p>
        </w:tc>
        <w:tc>
          <w:tcPr>
            <w:tcW w:w="794" w:type="pct"/>
            <w:tcBorders>
              <w:top w:val="nil"/>
              <w:left w:val="nil"/>
              <w:bottom w:val="single" w:color="auto" w:sz="4" w:space="0"/>
              <w:right w:val="single" w:color="auto" w:sz="4" w:space="0"/>
            </w:tcBorders>
            <w:noWrap w:val="0"/>
            <w:vAlign w:val="center"/>
          </w:tcPr>
          <w:p w14:paraId="038804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nil"/>
              <w:left w:val="nil"/>
              <w:bottom w:val="single" w:color="auto" w:sz="4" w:space="0"/>
              <w:right w:val="single" w:color="auto" w:sz="4" w:space="0"/>
            </w:tcBorders>
            <w:noWrap w:val="0"/>
            <w:vAlign w:val="center"/>
          </w:tcPr>
          <w:p w14:paraId="188353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nil"/>
              <w:left w:val="nil"/>
              <w:bottom w:val="single" w:color="auto" w:sz="4" w:space="0"/>
              <w:right w:val="single" w:color="auto" w:sz="4" w:space="0"/>
            </w:tcBorders>
            <w:noWrap w:val="0"/>
            <w:vAlign w:val="center"/>
          </w:tcPr>
          <w:p w14:paraId="2E04F9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937" w:type="pct"/>
            <w:tcBorders>
              <w:top w:val="nil"/>
              <w:left w:val="nil"/>
              <w:bottom w:val="single" w:color="auto" w:sz="4" w:space="0"/>
              <w:right w:val="single" w:color="auto" w:sz="4" w:space="0"/>
            </w:tcBorders>
            <w:noWrap w:val="0"/>
            <w:vAlign w:val="center"/>
          </w:tcPr>
          <w:p w14:paraId="65DA42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623" w:type="pct"/>
            <w:tcBorders>
              <w:top w:val="nil"/>
              <w:left w:val="nil"/>
              <w:bottom w:val="single" w:color="auto" w:sz="4" w:space="0"/>
              <w:right w:val="single" w:color="auto" w:sz="4" w:space="0"/>
            </w:tcBorders>
            <w:noWrap w:val="0"/>
            <w:vAlign w:val="center"/>
          </w:tcPr>
          <w:p w14:paraId="76A55F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bl>
    <w:p w14:paraId="172F8E8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w:t>
      </w:r>
      <w:r>
        <w:rPr>
          <w:rFonts w:hint="eastAsia" w:ascii="宋体" w:hAnsi="宋体" w:cs="宋体"/>
          <w:color w:val="auto"/>
          <w:kern w:val="0"/>
          <w:szCs w:val="21"/>
          <w:highlight w:val="none"/>
        </w:rPr>
        <w:t>〔</w:t>
      </w:r>
      <w:r>
        <w:rPr>
          <w:rFonts w:hint="eastAsia" w:ascii="宋体" w:hAnsi="宋体" w:cs="宋体"/>
          <w:color w:val="auto"/>
          <w:szCs w:val="21"/>
          <w:highlight w:val="none"/>
        </w:rPr>
        <w:t>2011</w:t>
      </w:r>
      <w:r>
        <w:rPr>
          <w:rFonts w:hint="eastAsia" w:ascii="宋体" w:hAnsi="宋体" w:cs="宋体"/>
          <w:color w:val="auto"/>
          <w:kern w:val="0"/>
          <w:szCs w:val="21"/>
          <w:highlight w:val="none"/>
        </w:rPr>
        <w:t>〕</w:t>
      </w:r>
      <w:r>
        <w:rPr>
          <w:rFonts w:hint="eastAsia" w:ascii="宋体" w:hAnsi="宋体" w:cs="宋体"/>
          <w:color w:val="auto"/>
          <w:szCs w:val="21"/>
          <w:highlight w:val="none"/>
        </w:rPr>
        <w:t>300号），大型、中型和小型企业须同时满足所列指标的下限，否则下划一档；微型企业只需满足所列指标中的一项即可。</w:t>
      </w:r>
    </w:p>
    <w:p w14:paraId="7C061F77">
      <w:pPr>
        <w:pStyle w:val="3"/>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宋体" w:hAnsi="宋体" w:eastAsia="宋体" w:cs="宋体"/>
          <w:color w:val="auto"/>
          <w:highlight w:val="none"/>
        </w:rPr>
      </w:pPr>
      <w:bookmarkStart w:id="59" w:name="_Toc521"/>
      <w:r>
        <w:rPr>
          <w:rFonts w:hint="eastAsia" w:ascii="宋体" w:hAnsi="宋体" w:eastAsia="宋体" w:cs="宋体"/>
          <w:color w:val="auto"/>
          <w:highlight w:val="none"/>
        </w:rPr>
        <w:br w:type="page"/>
      </w:r>
      <w:r>
        <w:rPr>
          <w:rFonts w:hint="eastAsia" w:ascii="宋体" w:hAnsi="宋体" w:eastAsia="宋体" w:cs="宋体"/>
          <w:color w:val="auto"/>
          <w:highlight w:val="none"/>
        </w:rPr>
        <w:t>第四章  评审程序、评审方法和评审标准</w:t>
      </w:r>
      <w:bookmarkEnd w:id="59"/>
    </w:p>
    <w:p w14:paraId="0F835EE4">
      <w:pPr>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一、评审程序和评审方法</w:t>
      </w:r>
    </w:p>
    <w:p w14:paraId="2D5517F4">
      <w:pPr>
        <w:keepNext w:val="0"/>
        <w:keepLines w:val="0"/>
        <w:pageBreakBefore w:val="0"/>
        <w:kinsoku/>
        <w:overflowPunct/>
        <w:topLinePunct w:val="0"/>
        <w:autoSpaceDE/>
        <w:autoSpaceDN/>
        <w:bidi w:val="0"/>
        <w:spacing w:line="5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1.资格审查</w:t>
      </w:r>
    </w:p>
    <w:p w14:paraId="6DA96BD3">
      <w:pPr>
        <w:keepNext w:val="0"/>
        <w:keepLines w:val="0"/>
        <w:pageBreakBefore w:val="0"/>
        <w:kinsoku/>
        <w:overflowPunct/>
        <w:topLinePunct w:val="0"/>
        <w:autoSpaceDE/>
        <w:autoSpaceDN/>
        <w:bidi w:val="0"/>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1.1响应文件开启后，磋商小组依法对供应商的资格证明文件进行审查。</w:t>
      </w:r>
    </w:p>
    <w:p w14:paraId="7197E3C5">
      <w:pPr>
        <w:keepNext w:val="0"/>
        <w:keepLines w:val="0"/>
        <w:pageBreakBefore w:val="0"/>
        <w:kinsoku/>
        <w:overflowPunct/>
        <w:topLinePunct w:val="0"/>
        <w:autoSpaceDE/>
        <w:autoSpaceDN/>
        <w:bidi w:val="0"/>
        <w:snapToGrid w:val="0"/>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（1）查询渠道：“广西政府采购云平台”平台“信用中国”网站(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"http://www.creditchina.gov.cn" </w:instrText>
      </w:r>
      <w:r>
        <w:rPr>
          <w:rFonts w:hint="eastAsia" w:ascii="宋体" w:hAnsi="宋体" w:eastAsia="宋体" w:cs="宋体"/>
          <w:color w:val="auto"/>
          <w:sz w:val="21"/>
          <w:szCs w:val="21"/>
          <w:highlight w:val="none"/>
        </w:rPr>
        <w:fldChar w:fldCharType="separate"/>
      </w:r>
      <w:r>
        <w:rPr>
          <w:rStyle w:val="63"/>
          <w:rFonts w:hint="eastAsia" w:ascii="宋体" w:hAnsi="宋体" w:eastAsia="宋体" w:cs="宋体"/>
          <w:color w:val="auto"/>
          <w:sz w:val="21"/>
          <w:szCs w:val="21"/>
          <w:highlight w:val="none"/>
        </w:rPr>
        <w:t>www.creditchina.gov.cn</w:t>
      </w:r>
      <w:r>
        <w:rPr>
          <w:rStyle w:val="63"/>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)、中国政府采购网(</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"http://www.ccgp.gov.cn" </w:instrText>
      </w:r>
      <w:r>
        <w:rPr>
          <w:rFonts w:hint="eastAsia" w:ascii="宋体" w:hAnsi="宋体" w:eastAsia="宋体" w:cs="宋体"/>
          <w:color w:val="auto"/>
          <w:sz w:val="21"/>
          <w:szCs w:val="21"/>
          <w:highlight w:val="none"/>
        </w:rPr>
        <w:fldChar w:fldCharType="separate"/>
      </w:r>
      <w:r>
        <w:rPr>
          <w:rStyle w:val="63"/>
          <w:rFonts w:hint="eastAsia" w:ascii="宋体" w:hAnsi="宋体" w:eastAsia="宋体" w:cs="宋体"/>
          <w:color w:val="auto"/>
          <w:sz w:val="21"/>
          <w:szCs w:val="21"/>
          <w:highlight w:val="none"/>
        </w:rPr>
        <w:t>www.ccgp.gov.cn</w:t>
      </w:r>
      <w:r>
        <w:rPr>
          <w:rStyle w:val="63"/>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)链接入口。</w:t>
      </w:r>
    </w:p>
    <w:p w14:paraId="5B3D8C8A">
      <w:pPr>
        <w:keepNext w:val="0"/>
        <w:keepLines w:val="0"/>
        <w:pageBreakBefore w:val="0"/>
        <w:kinsoku/>
        <w:overflowPunct/>
        <w:topLinePunct w:val="0"/>
        <w:autoSpaceDE/>
        <w:autoSpaceDN/>
        <w:bidi w:val="0"/>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（2）信用查询截止时点：资格审查结束前。</w:t>
      </w:r>
    </w:p>
    <w:p w14:paraId="5850796A">
      <w:pPr>
        <w:keepNext w:val="0"/>
        <w:keepLines w:val="0"/>
        <w:pageBreakBefore w:val="0"/>
        <w:kinsoku/>
        <w:overflowPunct/>
        <w:topLinePunct w:val="0"/>
        <w:autoSpaceDE/>
        <w:autoSpaceDN/>
        <w:bidi w:val="0"/>
        <w:snapToGrid w:val="0"/>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（3）信用信息使用规则：对在“信用中国”网站(www.creditchina.gov.cn)</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国政府采购网（www.ccgp.gov.cn）被被列入失信被执行人、重大税收违法失信主体、政府采购严重违法失信行为记录名单及其他不符合《中华人民共和国政府采购法》第二十二条规定条件的供应商，资格审查不通过，不得参与项目采购活动。两个以上的自然人、法人或者其他组织组成一个联合体，以一个供应商的身份共同参加项目采购活动的，应当对所有联合体成员进行信用记录查询，联合体成员存在不良信用记录的，视同联合体存在不良信用记录。</w:t>
      </w:r>
    </w:p>
    <w:p w14:paraId="07447A72">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1.2资格审查标准为本磋商文件中载明对供应商资格要求的条件。资格审查采用合格制，凡符合磋商文件规定的供应商资格要求的响应文件均通过资格审查。</w:t>
      </w:r>
    </w:p>
    <w:p w14:paraId="31F5B66D">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1.3供应商有下列情形之一的，资格审查不通过，其响应文件按无效响应处理：</w:t>
      </w:r>
    </w:p>
    <w:p w14:paraId="7ECA9227">
      <w:pPr>
        <w:keepNext w:val="0"/>
        <w:keepLines w:val="0"/>
        <w:pageBreakBefore w:val="0"/>
        <w:kinsoku/>
        <w:overflowPunct/>
        <w:topLinePunct w:val="0"/>
        <w:autoSpaceDE/>
        <w:autoSpaceDN/>
        <w:bidi w:val="0"/>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（1）不具备磋商文件中规定的资格要求的；</w:t>
      </w:r>
    </w:p>
    <w:p w14:paraId="48CADA58">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（2）未按磋商文件规定的方式获取本磋商文件的供应商；</w:t>
      </w:r>
    </w:p>
    <w:p w14:paraId="61E073AD">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（2）响应文件未提供任一项“供应商须知前附表”资格证明文件规定的“必须提供”的文件资料的；</w:t>
      </w:r>
    </w:p>
    <w:p w14:paraId="2C4D50F6">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（3）响应文件提供的资格证明文件出现任一项不符合“供应商须知前附表”资格证明文件规定的“必须提供”的文件资料要求或者无效的。</w:t>
      </w:r>
    </w:p>
    <w:p w14:paraId="22F80477">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4135AB1A">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1.4通过资格审查的合格供应商不足3家的，不得进入符合性审查环节，采购人或者采购代理机构应当重新开展采购活动。</w:t>
      </w:r>
    </w:p>
    <w:p w14:paraId="04C5BC3C">
      <w:pPr>
        <w:keepNext w:val="0"/>
        <w:keepLines w:val="0"/>
        <w:pageBreakBefore w:val="0"/>
        <w:kinsoku/>
        <w:overflowPunct/>
        <w:topLinePunct w:val="0"/>
        <w:autoSpaceDE/>
        <w:autoSpaceDN/>
        <w:bidi w:val="0"/>
        <w:spacing w:line="5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2.符合性审查</w:t>
      </w:r>
    </w:p>
    <w:p w14:paraId="440FF7FA">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bookmarkStart w:id="60" w:name="_Hlk42528882"/>
      <w:r>
        <w:rPr>
          <w:rFonts w:hint="eastAsia" w:ascii="宋体" w:hAnsi="宋体" w:eastAsia="宋体" w:cs="宋体"/>
          <w:color w:val="auto"/>
          <w:sz w:val="21"/>
          <w:szCs w:val="21"/>
          <w:highlight w:val="none"/>
        </w:rPr>
        <w:t>2.1由磋商小组对通过资格审查的合格供应商的响应文件的竞标报价、商务、技术等实质性要求进行符合性审查，以确定其是否满足磋商文件的实质性要求。</w:t>
      </w:r>
    </w:p>
    <w:bookmarkEnd w:id="60"/>
    <w:p w14:paraId="71715950">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C20C7F4">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 w:val="21"/>
          <w:szCs w:val="21"/>
          <w:highlight w:val="none"/>
        </w:rPr>
        <w:t>。供应商为自然人的，必须由本人签字并附身份证明。</w:t>
      </w:r>
    </w:p>
    <w:p w14:paraId="2FA57532">
      <w:pPr>
        <w:keepNext w:val="0"/>
        <w:keepLines w:val="0"/>
        <w:pageBreakBefore w:val="0"/>
        <w:kinsoku/>
        <w:overflowPunct/>
        <w:topLinePunct w:val="0"/>
        <w:autoSpaceDE/>
        <w:autoSpaceDN/>
        <w:bidi w:val="0"/>
        <w:spacing w:line="500" w:lineRule="exact"/>
        <w:ind w:firstLine="396"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2.4</w:t>
      </w:r>
      <w:r>
        <w:rPr>
          <w:rFonts w:hint="eastAsia" w:ascii="宋体" w:hAnsi="宋体" w:eastAsia="宋体" w:cs="宋体"/>
          <w:color w:val="auto"/>
          <w:sz w:val="21"/>
          <w:szCs w:val="21"/>
          <w:highlight w:val="none"/>
        </w:rPr>
        <w:t xml:space="preserve">首次响应文件报价出现前后不一致的，按照下列规定修正： </w:t>
      </w:r>
    </w:p>
    <w:p w14:paraId="323E646C">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（1）响应文件中报价表内容与响应文件中相应内容不一致的，以报价表为准；</w:t>
      </w:r>
    </w:p>
    <w:p w14:paraId="0B4C105E">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（2）大写金额和小写金额不一致的，以大写金额为准；</w:t>
      </w:r>
    </w:p>
    <w:p w14:paraId="67ABF206">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（3）单价金额小数点或者百分比有明显错位的，以报价表的总价为准，并修改单价；</w:t>
      </w:r>
    </w:p>
    <w:p w14:paraId="29F9F156">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（4）总价金额与按单价汇总金额不一致的，以单价金额计算结果为准。</w:t>
      </w:r>
    </w:p>
    <w:p w14:paraId="72EE39FD">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同时出现两种以上不一致的，按照以上（1）～（4）规定的顺序逐条进行修正。修正后的报价经供应商确认后产生约束力，供应商不确认的，其响应文件按无效响应处理。</w:t>
      </w:r>
    </w:p>
    <w:p w14:paraId="59E5E196">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2.5商务技术报价评审</w:t>
      </w:r>
    </w:p>
    <w:p w14:paraId="38ECCCB9">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在评审时，如发现下列情形之一的，将被视为响应文件无效处理：</w:t>
      </w:r>
    </w:p>
    <w:p w14:paraId="7CF0CC4E">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（1）商务技术评审</w:t>
      </w:r>
    </w:p>
    <w:p w14:paraId="67649F06">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1）响应文件标注的项目名称或者项目编号与磋商文件标注的项目名称或者项目编号不一致的；</w:t>
      </w:r>
    </w:p>
    <w:p w14:paraId="2001E0B2">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2）响应文件未按磋商文件要求签署、盖章；</w:t>
      </w:r>
    </w:p>
    <w:p w14:paraId="23091272">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3）委托代理人未能出具有效身份证明或者出具的身份证明与授权委托书中的信息不符； </w:t>
      </w:r>
    </w:p>
    <w:p w14:paraId="6D4C776A">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4）提交的磋商保证金无效的或者未按照磋商文件的规定提交磋商保证金；</w:t>
      </w:r>
    </w:p>
    <w:p w14:paraId="0C2CB2E8">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35D1ECF3">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6）商务条款中标“▲”的条款发生负偏离的或者允许负偏离的条款数超过“供应商须知前附表”规定项数的或者标明实质性的要求发生负偏离；</w:t>
      </w:r>
    </w:p>
    <w:p w14:paraId="68F1204D">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7）未对竞标有效期作出响应或者响应文件承诺的竞标有效期不满足磋商文件要求；</w:t>
      </w:r>
    </w:p>
    <w:p w14:paraId="5EA2F025">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8）响应文件的实质性内容未使用中文表述、使用计量单位不符合磋商文件要求；</w:t>
      </w:r>
    </w:p>
    <w:p w14:paraId="3368061A">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9）响应文件中的文件资料因填写不齐全或者内容虚假或者出现其他情形而导致被磋商小组认定无效；</w:t>
      </w:r>
    </w:p>
    <w:p w14:paraId="1EC8C1F7">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10）响应文件含有采购人不能接受的附加条件；</w:t>
      </w:r>
    </w:p>
    <w:p w14:paraId="47F57D7E">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11）属于“供应商须知正文”第7.5条情形；</w:t>
      </w:r>
    </w:p>
    <w:p w14:paraId="67316DF1">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12）明显不满足磋商文件要求的技术规格、安全、质量标准，或者与磋商文件中标“▲”的</w:t>
      </w:r>
      <w:r>
        <w:rPr>
          <w:rFonts w:hint="eastAsia" w:ascii="宋体" w:hAnsi="宋体" w:eastAsia="宋体" w:cs="宋体"/>
          <w:color w:val="auto"/>
          <w:sz w:val="21"/>
          <w:szCs w:val="21"/>
          <w:highlight w:val="none"/>
          <w:lang w:eastAsia="zh-CN"/>
        </w:rPr>
        <w:t>服务需求</w:t>
      </w:r>
      <w:r>
        <w:rPr>
          <w:rFonts w:hint="eastAsia" w:ascii="宋体" w:hAnsi="宋体" w:eastAsia="宋体" w:cs="宋体"/>
          <w:color w:val="auto"/>
          <w:sz w:val="21"/>
          <w:szCs w:val="21"/>
          <w:highlight w:val="none"/>
        </w:rPr>
        <w:t>或者标明实质性的要求发生负偏离；</w:t>
      </w:r>
    </w:p>
    <w:p w14:paraId="24A334FB">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val="en-US" w:eastAsia="zh-CN"/>
        </w:rPr>
        <w:t>技术要</w:t>
      </w:r>
      <w:r>
        <w:rPr>
          <w:rFonts w:hint="eastAsia" w:ascii="宋体" w:hAnsi="宋体" w:eastAsia="宋体" w:cs="宋体"/>
          <w:color w:val="auto"/>
          <w:sz w:val="21"/>
          <w:szCs w:val="21"/>
          <w:highlight w:val="none"/>
          <w:lang w:eastAsia="zh-CN"/>
        </w:rPr>
        <w:t>求</w:t>
      </w:r>
      <w:r>
        <w:rPr>
          <w:rFonts w:hint="eastAsia" w:ascii="宋体" w:hAnsi="宋体" w:eastAsia="宋体" w:cs="宋体"/>
          <w:color w:val="auto"/>
          <w:sz w:val="21"/>
          <w:szCs w:val="21"/>
          <w:highlight w:val="none"/>
        </w:rPr>
        <w:t>允许负偏离的条款数超过“供应商须知前附表”规定项数；</w:t>
      </w:r>
    </w:p>
    <w:p w14:paraId="4FB8AD22">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14）虚假竞</w:t>
      </w:r>
      <w:r>
        <w:rPr>
          <w:rFonts w:hint="eastAsia" w:ascii="宋体" w:hAnsi="宋体" w:eastAsia="宋体" w:cs="宋体"/>
          <w:b w:val="0"/>
          <w:bCs w:val="0"/>
          <w:color w:val="auto"/>
          <w:sz w:val="21"/>
          <w:szCs w:val="21"/>
          <w:highlight w:val="none"/>
        </w:rPr>
        <w:t>标，或者出现其他情形而导致被磋商小组认定无效；</w:t>
      </w:r>
    </w:p>
    <w:p w14:paraId="40C0CDA1">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15）竞标技术方案不明确，磋商文件未允许但响应文件中存在一个或者一个以上备选（替代）竞标方案；</w:t>
      </w:r>
    </w:p>
    <w:p w14:paraId="4A2D13E4">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）竞争性磋商文件明确不允许分包，响应文件拟分包的；</w:t>
      </w:r>
    </w:p>
    <w:p w14:paraId="71762E7C">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）未响应磋商文件实质性要求；</w:t>
      </w:r>
    </w:p>
    <w:p w14:paraId="09433892">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）法律、法规和磋商文件规定的其他无效情形。</w:t>
      </w:r>
    </w:p>
    <w:p w14:paraId="3BCED8B2">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（2）报价评审</w:t>
      </w:r>
    </w:p>
    <w:p w14:paraId="178356AC">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1)响应文件未提供“供应商须知前附表”报价文件中规定的“</w:t>
      </w:r>
      <w:r>
        <w:rPr>
          <w:rFonts w:hint="eastAsia" w:ascii="宋体" w:hAnsi="宋体" w:eastAsia="宋体" w:cs="宋体"/>
          <w:color w:val="auto"/>
          <w:sz w:val="21"/>
          <w:szCs w:val="21"/>
          <w:highlight w:val="none"/>
          <w:lang w:eastAsia="zh-CN"/>
        </w:rPr>
        <w:t>响应报价表</w:t>
      </w:r>
      <w:r>
        <w:rPr>
          <w:rFonts w:hint="eastAsia" w:ascii="宋体" w:hAnsi="宋体" w:eastAsia="宋体" w:cs="宋体"/>
          <w:color w:val="auto"/>
          <w:sz w:val="21"/>
          <w:szCs w:val="21"/>
          <w:highlight w:val="none"/>
        </w:rPr>
        <w:t>”的；</w:t>
      </w:r>
    </w:p>
    <w:p w14:paraId="2553B2F7">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2）未采用人民币报价或者未按照磋商文件标明的币种报价的；</w:t>
      </w:r>
    </w:p>
    <w:p w14:paraId="05F34D14">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353AB250">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4）竞标报价（包含首次报价、最后报价）超过所竞标分标规定的采购预算金额或者最高限价的（如本项目公布了最高限价）；</w:t>
      </w:r>
      <w:bookmarkStart w:id="61" w:name="_Hlk42596405"/>
      <w:r>
        <w:rPr>
          <w:rFonts w:hint="eastAsia" w:ascii="宋体" w:hAnsi="宋体" w:eastAsia="宋体" w:cs="宋体"/>
          <w:color w:val="auto"/>
          <w:sz w:val="21"/>
          <w:szCs w:val="21"/>
          <w:highlight w:val="none"/>
        </w:rPr>
        <w:t>竞标报价（包含首次报价、最后报价）</w:t>
      </w:r>
      <w:bookmarkEnd w:id="61"/>
      <w:bookmarkStart w:id="62" w:name="_Hlk42596276"/>
      <w:r>
        <w:rPr>
          <w:rFonts w:hint="eastAsia" w:ascii="宋体" w:hAnsi="宋体" w:eastAsia="宋体" w:cs="宋体"/>
          <w:color w:val="auto"/>
          <w:sz w:val="21"/>
          <w:szCs w:val="21"/>
          <w:highlight w:val="none"/>
        </w:rPr>
        <w:t>超过磋商文件分项采购预算金额或者最高限价的</w:t>
      </w:r>
      <w:bookmarkEnd w:id="62"/>
      <w:r>
        <w:rPr>
          <w:rFonts w:hint="eastAsia" w:ascii="宋体" w:hAnsi="宋体" w:eastAsia="宋体" w:cs="宋体"/>
          <w:color w:val="auto"/>
          <w:sz w:val="21"/>
          <w:szCs w:val="21"/>
          <w:highlight w:val="none"/>
        </w:rPr>
        <w:t>（如本项目公布了最高限价）；</w:t>
      </w:r>
    </w:p>
    <w:p w14:paraId="1B1287EF">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26F20425">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166A2FDC">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2.7通过符合性审查的合格供应商不足3家的，不得进入磋商环节，采购人或者采购代理机构应当重新开展采购活动（除符合本章3.8条规定的除外）。</w:t>
      </w:r>
    </w:p>
    <w:p w14:paraId="2059E460">
      <w:pPr>
        <w:keepNext w:val="0"/>
        <w:keepLines w:val="0"/>
        <w:pageBreakBefore w:val="0"/>
        <w:kinsoku/>
        <w:overflowPunct/>
        <w:topLinePunct w:val="0"/>
        <w:autoSpaceDE/>
        <w:autoSpaceDN/>
        <w:bidi w:val="0"/>
        <w:spacing w:line="5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3.磋商</w:t>
      </w:r>
    </w:p>
    <w:p w14:paraId="172786A0">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3.磋商的程序</w:t>
      </w:r>
    </w:p>
    <w:p w14:paraId="79F7445C">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3.1磋商小组按照“供应商须知前附表”确定的</w:t>
      </w:r>
      <w:r>
        <w:rPr>
          <w:rFonts w:hint="eastAsia" w:ascii="宋体" w:hAnsi="宋体" w:eastAsia="宋体" w:cs="宋体"/>
          <w:color w:val="auto"/>
          <w:sz w:val="21"/>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BAC8D84">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423BB0E">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3.3对磋商文件作出的实质性变动是磋商文件的有效组成部分，由磋商小组以电子澄清函形式同时通知所有参加磋商的供应商。</w:t>
      </w:r>
    </w:p>
    <w:p w14:paraId="1A4B64EA">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3.4供应商必须按照磋商文件的变动情况和磋商小组的要求重新提交响应文件，并加盖电子公章。供应商为自然人的，必须由本人签字并附身份证明。参加磋商的供应商未在规定时间内重新提交响应文件的，视同</w:t>
      </w:r>
      <w:bookmarkStart w:id="63" w:name="_Hlk55814495"/>
      <w:r>
        <w:rPr>
          <w:rFonts w:hint="eastAsia" w:ascii="宋体" w:hAnsi="宋体" w:eastAsia="宋体" w:cs="宋体"/>
          <w:color w:val="auto"/>
          <w:sz w:val="21"/>
          <w:szCs w:val="21"/>
          <w:highlight w:val="none"/>
        </w:rPr>
        <w:t>退出磋商</w:t>
      </w:r>
      <w:bookmarkEnd w:id="63"/>
      <w:r>
        <w:rPr>
          <w:rFonts w:hint="eastAsia" w:ascii="宋体" w:hAnsi="宋体" w:eastAsia="宋体" w:cs="宋体"/>
          <w:color w:val="auto"/>
          <w:sz w:val="21"/>
          <w:szCs w:val="21"/>
          <w:highlight w:val="none"/>
        </w:rPr>
        <w:t>，其响应文件</w:t>
      </w:r>
      <w:r>
        <w:rPr>
          <w:rFonts w:hint="eastAsia" w:ascii="宋体" w:hAnsi="宋体" w:eastAsia="宋体" w:cs="宋体"/>
          <w:color w:val="auto"/>
          <w:sz w:val="21"/>
          <w:szCs w:val="21"/>
          <w:highlight w:val="none"/>
          <w:lang w:val="en-US" w:eastAsia="zh-CN"/>
        </w:rPr>
        <w:t>按</w:t>
      </w:r>
      <w:r>
        <w:rPr>
          <w:rFonts w:hint="eastAsia" w:ascii="宋体" w:hAnsi="宋体" w:eastAsia="宋体" w:cs="宋体"/>
          <w:color w:val="auto"/>
          <w:sz w:val="21"/>
          <w:szCs w:val="21"/>
          <w:highlight w:val="none"/>
        </w:rPr>
        <w:t>无效处理。</w:t>
      </w:r>
    </w:p>
    <w:p w14:paraId="5A7019B9">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3.5磋商中，</w:t>
      </w:r>
      <w:r>
        <w:rPr>
          <w:rFonts w:hint="eastAsia" w:ascii="宋体" w:hAnsi="宋体" w:eastAsia="宋体" w:cs="宋体"/>
          <w:color w:val="auto"/>
          <w:spacing w:val="-6"/>
          <w:sz w:val="21"/>
          <w:szCs w:val="21"/>
          <w:highlight w:val="none"/>
        </w:rPr>
        <w:t>磋商的任何一方不得透露与磋商有关的其他供应商的技术资料、价格和其他信息。</w:t>
      </w:r>
    </w:p>
    <w:p w14:paraId="6CC52413">
      <w:pPr>
        <w:keepNext w:val="0"/>
        <w:keepLines w:val="0"/>
        <w:pageBreakBefore w:val="0"/>
        <w:widowControl/>
        <w:tabs>
          <w:tab w:val="left" w:pos="540"/>
        </w:tabs>
        <w:kinsoku/>
        <w:overflowPunct/>
        <w:topLinePunct w:val="0"/>
        <w:autoSpaceDE/>
        <w:autoSpaceDN/>
        <w:bidi w:val="0"/>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3.6采购代理机构对磋商过程和重要磋商内容进行记录，磋商双方在记录上签字确认。</w:t>
      </w:r>
    </w:p>
    <w:p w14:paraId="4817B395">
      <w:pPr>
        <w:keepNext w:val="0"/>
        <w:keepLines w:val="0"/>
        <w:pageBreakBefore w:val="0"/>
        <w:widowControl/>
        <w:tabs>
          <w:tab w:val="left" w:pos="540"/>
        </w:tabs>
        <w:kinsoku/>
        <w:overflowPunct/>
        <w:topLinePunct w:val="0"/>
        <w:autoSpaceDE/>
        <w:autoSpaceDN/>
        <w:bidi w:val="0"/>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3.7磋商过程中重新提交的响应文件，供应商可以在开启前补充、修改。</w:t>
      </w:r>
    </w:p>
    <w:p w14:paraId="056C3A22">
      <w:pPr>
        <w:keepNext w:val="0"/>
        <w:keepLines w:val="0"/>
        <w:pageBreakBefore w:val="0"/>
        <w:widowControl/>
        <w:tabs>
          <w:tab w:val="left" w:pos="540"/>
        </w:tabs>
        <w:kinsoku/>
        <w:overflowPunct/>
        <w:topLinePunct w:val="0"/>
        <w:autoSpaceDE/>
        <w:autoSpaceDN/>
        <w:bidi w:val="0"/>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4658AC23">
      <w:pPr>
        <w:keepNext w:val="0"/>
        <w:keepLines w:val="0"/>
        <w:pageBreakBefore w:val="0"/>
        <w:tabs>
          <w:tab w:val="left" w:pos="2835"/>
        </w:tabs>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3.9对磋商过程提交的响应文件进行有效性、完整性和响应程度审查，通过审查的合格供应商不足3家的，除本章第3.8条的情形外，采购人或者采购代理机构应当重新开展采购活动。</w:t>
      </w:r>
    </w:p>
    <w:p w14:paraId="76C99867">
      <w:pPr>
        <w:keepNext w:val="0"/>
        <w:keepLines w:val="0"/>
        <w:pageBreakBefore w:val="0"/>
        <w:kinsoku/>
        <w:overflowPunct/>
        <w:topLinePunct w:val="0"/>
        <w:autoSpaceDE/>
        <w:autoSpaceDN/>
        <w:bidi w:val="0"/>
        <w:spacing w:line="50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4.最后报价</w:t>
      </w:r>
    </w:p>
    <w:p w14:paraId="5DF62BF5">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磋商文件能够详细列明采购标的的技术、服务要求的，磋商结束后，由磋商小组要求所有继续参加磋商的供应商在规定时间内提交最后报价，提交最后报价的供应商不得少于3家，除本章第4.3条外，否则必须重新采购。</w:t>
      </w:r>
    </w:p>
    <w:p w14:paraId="0FB73A78">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提交最后报价。</w:t>
      </w:r>
    </w:p>
    <w:p w14:paraId="0FF3038E">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最后报价是供应商响应文件的有效组成部分。符合《政府采购竞争性磋商采购方式管理暂行办法》（财库〔2014〕214号）第三条第四项“市场竞争不充分的科研项目，以及需要扶持的科技成果转化项目”和本章第3.8条情形的，提交最后报价的供应商可以为2家。</w:t>
      </w:r>
    </w:p>
    <w:p w14:paraId="5AB7A059">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5549DD32">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4.5供应商未在规定时间内提交最后报价的，视为退出磋商，其响应文件作无效处理。</w:t>
      </w:r>
    </w:p>
    <w:p w14:paraId="1540ED3C">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4.6磋商小组收齐某一分标最后报价后统一开启，磋商小组对最后报价进行有效性、完整性和响应程度的审查。</w:t>
      </w:r>
    </w:p>
    <w:p w14:paraId="721F00A2">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4.7响应文件最后报价出现前后不一致的，按照本章第2.4条的规定修正。 </w:t>
      </w:r>
    </w:p>
    <w:p w14:paraId="5AE200B5">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4.8修正后的报价出现下列情形的，按无效响应处理：</w:t>
      </w:r>
    </w:p>
    <w:p w14:paraId="556216DA">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（1）供应商不确认的；</w:t>
      </w:r>
    </w:p>
    <w:p w14:paraId="1F68240A">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（2）经供应商确认修正后的竞标报价（包含首次报价、最后报价）超过所竞标分标规定的采购预算金额或者最高限价的（如本项目公布了最高限价）；</w:t>
      </w:r>
    </w:p>
    <w:p w14:paraId="4E9DF6D4">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（3）经供应商确认修正后的竞标报价（包含首次报价、最后报价）超过分项采购预算金额或者最高限价的（如本项目公布了最高限价）。</w:t>
      </w:r>
    </w:p>
    <w:p w14:paraId="1CB56C29">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4.9经供应商确认修正后的最后报价作为评审及签订合同的依据。</w:t>
      </w:r>
    </w:p>
    <w:p w14:paraId="1357F151">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4.10最后报价结束后，磋商小组不得再与供应商进行任何形式的商谈。</w:t>
      </w:r>
    </w:p>
    <w:p w14:paraId="6D88167F">
      <w:pPr>
        <w:keepNext w:val="0"/>
        <w:keepLines w:val="0"/>
        <w:pageBreakBefore w:val="0"/>
        <w:kinsoku/>
        <w:overflowPunct/>
        <w:topLinePunct w:val="0"/>
        <w:autoSpaceDE/>
        <w:autoSpaceDN/>
        <w:bidi w:val="0"/>
        <w:spacing w:line="5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5.比较与评价</w:t>
      </w:r>
    </w:p>
    <w:p w14:paraId="0C4F7EEB">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5.1评审方法：综合评分法。</w:t>
      </w:r>
    </w:p>
    <w:p w14:paraId="56EBA55B">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5.2经磋商确定最终采购需求和提交最后报价的供应商后，由磋商小组采用综合评分法对提交最后报价的供应商的响应文件和最后报价进行综合评分。</w:t>
      </w:r>
    </w:p>
    <w:p w14:paraId="72773EBD">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5.3评审时，磋商小组各成员应当独立对每个有效响应的文件进行评价、打分，然后汇总每个供应商每项评分因素的得分。</w:t>
      </w:r>
    </w:p>
    <w:p w14:paraId="1A829E8E">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（1）磋商小组按照磋商文件中规定的评审标准计算各供应商的报价得分。项目评审过程中，不得去掉最后报价中的最高报价和最低报价。</w:t>
      </w:r>
    </w:p>
    <w:p w14:paraId="36496103">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（2）各供应商的得分为磋商小组所有成员的有效评分的算术平均数。</w:t>
      </w:r>
    </w:p>
    <w:p w14:paraId="5E4A47E8">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5.4评审价为供应商的最后报价进行政策性扣除后的价格，评审价只是作为评审时使用。最终成交供应商的成交金额等于最后报价（如有修正，以确认修正后的最后报价为准）。</w:t>
      </w:r>
    </w:p>
    <w:p w14:paraId="3F6894CE">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5.5由磋商小组根据综合评分情况，按照评审得分由高到低顺序推荐3名以上成交候选供应商，并编写评</w:t>
      </w:r>
      <w:r>
        <w:rPr>
          <w:rFonts w:hint="eastAsia" w:ascii="宋体" w:hAnsi="宋体" w:eastAsia="宋体" w:cs="宋体"/>
          <w:color w:val="auto"/>
          <w:kern w:val="0"/>
          <w:sz w:val="21"/>
          <w:szCs w:val="21"/>
          <w:highlight w:val="none"/>
        </w:rPr>
        <w:t>审报告。符合本章第4.3条情形的，可以推荐2家成交候选供应商。评审得分相同的，按照最后报价由低到高的顺序推荐。评审得分且最后报价相同的，按照技术指标优劣顺序推荐。</w:t>
      </w:r>
    </w:p>
    <w:p w14:paraId="24A4CDC0">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A017CDB">
      <w:pPr>
        <w:keepNext w:val="0"/>
        <w:keepLines w:val="0"/>
        <w:pageBreakBefore w:val="0"/>
        <w:kinsoku/>
        <w:overflowPunct/>
        <w:topLinePunct w:val="0"/>
        <w:autoSpaceDE/>
        <w:autoSpaceDN/>
        <w:bidi w:val="0"/>
        <w:spacing w:line="5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二、评审标准</w:t>
      </w:r>
    </w:p>
    <w:p w14:paraId="46520589">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6.评审依据：磋商小组将以磋商</w:t>
      </w:r>
      <w:r>
        <w:rPr>
          <w:rFonts w:hint="eastAsia" w:ascii="宋体" w:hAnsi="宋体" w:eastAsia="宋体" w:cs="宋体"/>
          <w:bCs/>
          <w:color w:val="auto"/>
          <w:sz w:val="21"/>
          <w:szCs w:val="21"/>
          <w:highlight w:val="none"/>
          <w:lang w:val="en-US" w:eastAsia="zh-CN"/>
        </w:rPr>
        <w:t>文件、</w:t>
      </w:r>
      <w:r>
        <w:rPr>
          <w:rFonts w:hint="eastAsia" w:ascii="宋体" w:hAnsi="宋体" w:eastAsia="宋体" w:cs="宋体"/>
          <w:bCs/>
          <w:color w:val="auto"/>
          <w:sz w:val="21"/>
          <w:szCs w:val="21"/>
          <w:highlight w:val="none"/>
        </w:rPr>
        <w:t>响应文件为评审依据，对供应商的报价、技术、商务等方面内容按百分制打分。（计分方法按四舍五入取至百分位）</w:t>
      </w:r>
    </w:p>
    <w:tbl>
      <w:tblPr>
        <w:tblStyle w:val="29"/>
        <w:tblW w:w="50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238"/>
        <w:gridCol w:w="5614"/>
        <w:gridCol w:w="970"/>
      </w:tblGrid>
      <w:tr w14:paraId="5407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8" w:type="pct"/>
            <w:noWrap w:val="0"/>
            <w:vAlign w:val="center"/>
          </w:tcPr>
          <w:p w14:paraId="43861364">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719" w:type="pct"/>
            <w:noWrap w:val="0"/>
            <w:vAlign w:val="center"/>
          </w:tcPr>
          <w:p w14:paraId="391266DB">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3260" w:type="pct"/>
            <w:noWrap w:val="0"/>
            <w:vAlign w:val="center"/>
          </w:tcPr>
          <w:p w14:paraId="2A1FAA3D">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562" w:type="pct"/>
            <w:noWrap w:val="0"/>
            <w:vAlign w:val="center"/>
          </w:tcPr>
          <w:p w14:paraId="15117798">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14:paraId="2764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8" w:type="pct"/>
            <w:noWrap w:val="0"/>
            <w:vAlign w:val="center"/>
          </w:tcPr>
          <w:p w14:paraId="6EFEA5CD">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p>
        </w:tc>
        <w:tc>
          <w:tcPr>
            <w:tcW w:w="719" w:type="pct"/>
            <w:noWrap w:val="0"/>
            <w:vAlign w:val="center"/>
          </w:tcPr>
          <w:p w14:paraId="78EC5836">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价格分</w:t>
            </w:r>
          </w:p>
          <w:p w14:paraId="0896FEE9">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10分</w:t>
            </w:r>
            <w:r>
              <w:rPr>
                <w:rFonts w:hint="eastAsia" w:ascii="宋体" w:hAnsi="宋体" w:eastAsia="宋体" w:cs="宋体"/>
                <w:b/>
                <w:bCs/>
                <w:color w:val="auto"/>
                <w:kern w:val="0"/>
                <w:sz w:val="21"/>
                <w:szCs w:val="21"/>
                <w:highlight w:val="none"/>
                <w:lang w:eastAsia="zh-CN"/>
              </w:rPr>
              <w:t>）</w:t>
            </w:r>
          </w:p>
        </w:tc>
        <w:tc>
          <w:tcPr>
            <w:tcW w:w="3260" w:type="pct"/>
            <w:noWrap w:val="0"/>
            <w:vAlign w:val="top"/>
          </w:tcPr>
          <w:p w14:paraId="4F12A35F">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rPr>
              <w:t>1.</w:t>
            </w:r>
            <w:r>
              <w:rPr>
                <w:rFonts w:hint="eastAsia" w:ascii="宋体" w:hAnsi="宋体" w:eastAsia="宋体" w:cs="宋体"/>
                <w:color w:val="auto"/>
                <w:kern w:val="0"/>
                <w:sz w:val="21"/>
                <w:szCs w:val="21"/>
                <w:highlight w:val="none"/>
                <w:shd w:val="clear" w:color="auto" w:fill="FFFFFF"/>
              </w:rPr>
              <w:t>根据《政府采购促进中小企业发展管理办法》的规定和桂财采〔202</w:t>
            </w:r>
            <w:r>
              <w:rPr>
                <w:rFonts w:hint="eastAsia" w:ascii="宋体" w:hAnsi="宋体" w:eastAsia="宋体" w:cs="宋体"/>
                <w:color w:val="auto"/>
                <w:kern w:val="0"/>
                <w:sz w:val="21"/>
                <w:szCs w:val="21"/>
                <w:highlight w:val="none"/>
                <w:shd w:val="clear" w:color="auto" w:fill="FFFFFF"/>
                <w:lang w:val="en-US" w:eastAsia="zh-CN"/>
              </w:rPr>
              <w:t>4</w:t>
            </w:r>
            <w:r>
              <w:rPr>
                <w:rFonts w:hint="eastAsia" w:ascii="宋体" w:hAnsi="宋体" w:eastAsia="宋体" w:cs="宋体"/>
                <w:color w:val="auto"/>
                <w:kern w:val="0"/>
                <w:sz w:val="21"/>
                <w:szCs w:val="21"/>
                <w:highlight w:val="none"/>
                <w:shd w:val="clear" w:color="auto" w:fill="FFFFFF"/>
              </w:rPr>
              <w:t>〕</w:t>
            </w:r>
            <w:r>
              <w:rPr>
                <w:rFonts w:hint="eastAsia" w:ascii="宋体" w:hAnsi="宋体" w:eastAsia="宋体" w:cs="宋体"/>
                <w:color w:val="auto"/>
                <w:kern w:val="0"/>
                <w:sz w:val="21"/>
                <w:szCs w:val="21"/>
                <w:highlight w:val="none"/>
                <w:shd w:val="clear" w:color="auto" w:fill="FFFFFF"/>
                <w:lang w:val="en-US" w:eastAsia="zh-CN"/>
              </w:rPr>
              <w:t>55</w:t>
            </w:r>
            <w:r>
              <w:rPr>
                <w:rFonts w:hint="eastAsia" w:ascii="宋体" w:hAnsi="宋体" w:eastAsia="宋体" w:cs="宋体"/>
                <w:color w:val="auto"/>
                <w:kern w:val="0"/>
                <w:sz w:val="21"/>
                <w:szCs w:val="21"/>
                <w:highlight w:val="none"/>
                <w:shd w:val="clear" w:color="auto" w:fill="FFFFFF"/>
              </w:rPr>
              <w:t>号广西壮族自治区财政厅关于持续优化政府采购营商环境推动高质量发展的通知</w:t>
            </w:r>
            <w:r>
              <w:rPr>
                <w:rFonts w:hint="eastAsia" w:ascii="宋体" w:hAnsi="宋体" w:eastAsia="宋体" w:cs="宋体"/>
                <w:color w:val="auto"/>
                <w:kern w:val="0"/>
                <w:sz w:val="21"/>
                <w:szCs w:val="21"/>
                <w:highlight w:val="none"/>
                <w:shd w:val="clear" w:color="auto" w:fill="FFFFFF"/>
                <w:lang w:val="en-US" w:eastAsia="zh-CN"/>
              </w:rPr>
              <w:t>的规定</w:t>
            </w:r>
            <w:r>
              <w:rPr>
                <w:rFonts w:hint="eastAsia" w:ascii="宋体" w:hAnsi="宋体" w:eastAsia="宋体" w:cs="宋体"/>
                <w:color w:val="auto"/>
                <w:kern w:val="0"/>
                <w:sz w:val="21"/>
                <w:szCs w:val="21"/>
                <w:highlight w:val="none"/>
                <w:shd w:val="clear" w:color="auto" w:fill="FFFFFF"/>
              </w:rPr>
              <w:t>，</w:t>
            </w:r>
            <w:r>
              <w:rPr>
                <w:rFonts w:hint="eastAsia" w:ascii="宋体" w:hAnsi="宋体" w:eastAsia="宋体" w:cs="宋体"/>
                <w:color w:val="auto"/>
                <w:kern w:val="0"/>
                <w:sz w:val="21"/>
                <w:szCs w:val="21"/>
                <w:highlight w:val="none"/>
                <w:shd w:val="clear" w:color="auto" w:fill="FFFFFF"/>
                <w:lang w:val="en-US" w:eastAsia="zh-CN"/>
              </w:rPr>
              <w:t>供应商在其响应文件中提供《中小企业声明函》，且服务全部由</w:t>
            </w:r>
            <w:r>
              <w:rPr>
                <w:rFonts w:hint="eastAsia" w:ascii="宋体" w:hAnsi="宋体" w:eastAsia="宋体" w:cs="宋体"/>
                <w:color w:val="auto"/>
                <w:kern w:val="0"/>
                <w:sz w:val="21"/>
                <w:szCs w:val="21"/>
                <w:highlight w:val="none"/>
                <w:shd w:val="clear" w:color="auto" w:fill="FFFFFF"/>
              </w:rPr>
              <w:t>小微企业</w:t>
            </w:r>
            <w:r>
              <w:rPr>
                <w:rFonts w:hint="eastAsia" w:ascii="宋体" w:hAnsi="宋体" w:eastAsia="宋体" w:cs="宋体"/>
                <w:color w:val="auto"/>
                <w:kern w:val="0"/>
                <w:sz w:val="21"/>
                <w:szCs w:val="21"/>
                <w:highlight w:val="none"/>
                <w:shd w:val="clear" w:color="auto" w:fill="FFFFFF"/>
                <w:lang w:val="en-US" w:eastAsia="zh-CN"/>
              </w:rPr>
              <w:t>承接</w:t>
            </w:r>
            <w:r>
              <w:rPr>
                <w:rFonts w:hint="eastAsia" w:ascii="宋体" w:hAnsi="宋体" w:eastAsia="宋体" w:cs="宋体"/>
                <w:color w:val="auto"/>
                <w:kern w:val="0"/>
                <w:sz w:val="21"/>
                <w:szCs w:val="21"/>
                <w:highlight w:val="none"/>
                <w:shd w:val="clear" w:color="auto" w:fill="FFFFFF"/>
              </w:rPr>
              <w:t>，对</w:t>
            </w:r>
            <w:r>
              <w:rPr>
                <w:rFonts w:hint="eastAsia" w:ascii="宋体" w:hAnsi="宋体" w:eastAsia="宋体" w:cs="宋体"/>
                <w:color w:val="auto"/>
                <w:kern w:val="0"/>
                <w:sz w:val="21"/>
                <w:szCs w:val="21"/>
                <w:highlight w:val="none"/>
                <w:shd w:val="clear" w:color="auto" w:fill="FFFFFF"/>
                <w:lang w:val="en-US" w:eastAsia="zh-CN"/>
              </w:rPr>
              <w:t>供应商的</w:t>
            </w:r>
            <w:r>
              <w:rPr>
                <w:rFonts w:hint="eastAsia" w:ascii="宋体" w:hAnsi="宋体" w:eastAsia="宋体" w:cs="宋体"/>
                <w:color w:val="auto"/>
                <w:kern w:val="0"/>
                <w:sz w:val="21"/>
                <w:szCs w:val="21"/>
                <w:highlight w:val="none"/>
                <w:shd w:val="clear" w:color="auto" w:fill="FFFFFF"/>
                <w:lang w:eastAsia="zh-CN"/>
              </w:rPr>
              <w:t>竞标</w:t>
            </w:r>
            <w:r>
              <w:rPr>
                <w:rFonts w:hint="eastAsia" w:ascii="宋体" w:hAnsi="宋体" w:eastAsia="宋体" w:cs="宋体"/>
                <w:color w:val="auto"/>
                <w:kern w:val="0"/>
                <w:sz w:val="21"/>
                <w:szCs w:val="21"/>
                <w:highlight w:val="none"/>
                <w:shd w:val="clear" w:color="auto" w:fill="FFFFFF"/>
              </w:rPr>
              <w:t>报价给予10%的扣除，扣除后的价格为评</w:t>
            </w:r>
            <w:r>
              <w:rPr>
                <w:rFonts w:hint="eastAsia" w:ascii="宋体" w:hAnsi="宋体" w:eastAsia="宋体" w:cs="宋体"/>
                <w:color w:val="auto"/>
                <w:kern w:val="0"/>
                <w:sz w:val="21"/>
                <w:szCs w:val="21"/>
                <w:highlight w:val="none"/>
                <w:shd w:val="clear" w:color="auto" w:fill="FFFFFF"/>
                <w:lang w:val="en-US" w:eastAsia="zh-CN"/>
              </w:rPr>
              <w:t>审</w:t>
            </w:r>
            <w:r>
              <w:rPr>
                <w:rFonts w:hint="eastAsia" w:ascii="宋体" w:hAnsi="宋体" w:eastAsia="宋体" w:cs="宋体"/>
                <w:color w:val="auto"/>
                <w:kern w:val="0"/>
                <w:sz w:val="21"/>
                <w:szCs w:val="21"/>
                <w:highlight w:val="none"/>
                <w:shd w:val="clear" w:color="auto" w:fill="FFFFFF"/>
              </w:rPr>
              <w:t>价，即评</w:t>
            </w:r>
            <w:r>
              <w:rPr>
                <w:rFonts w:hint="eastAsia" w:ascii="宋体" w:hAnsi="宋体" w:eastAsia="宋体" w:cs="宋体"/>
                <w:color w:val="auto"/>
                <w:kern w:val="0"/>
                <w:sz w:val="21"/>
                <w:szCs w:val="21"/>
                <w:highlight w:val="none"/>
                <w:shd w:val="clear" w:color="auto" w:fill="FFFFFF"/>
                <w:lang w:val="en-US" w:eastAsia="zh-CN"/>
              </w:rPr>
              <w:t>审</w:t>
            </w:r>
            <w:r>
              <w:rPr>
                <w:rFonts w:hint="eastAsia" w:ascii="宋体" w:hAnsi="宋体" w:eastAsia="宋体" w:cs="宋体"/>
                <w:color w:val="auto"/>
                <w:kern w:val="0"/>
                <w:sz w:val="21"/>
                <w:szCs w:val="21"/>
                <w:highlight w:val="none"/>
                <w:shd w:val="clear" w:color="auto" w:fill="FFFFFF"/>
              </w:rPr>
              <w:t>价=</w:t>
            </w:r>
            <w:r>
              <w:rPr>
                <w:rFonts w:hint="eastAsia" w:ascii="宋体" w:hAnsi="宋体" w:eastAsia="宋体" w:cs="宋体"/>
                <w:color w:val="auto"/>
                <w:kern w:val="0"/>
                <w:sz w:val="21"/>
                <w:szCs w:val="21"/>
                <w:highlight w:val="none"/>
                <w:shd w:val="clear" w:color="auto" w:fill="FFFFFF"/>
                <w:lang w:eastAsia="zh-CN"/>
              </w:rPr>
              <w:t>竞标</w:t>
            </w:r>
            <w:r>
              <w:rPr>
                <w:rFonts w:hint="eastAsia" w:ascii="宋体" w:hAnsi="宋体" w:eastAsia="宋体" w:cs="宋体"/>
                <w:color w:val="auto"/>
                <w:kern w:val="0"/>
                <w:sz w:val="21"/>
                <w:szCs w:val="21"/>
                <w:highlight w:val="none"/>
                <w:shd w:val="clear" w:color="auto" w:fill="FFFFFF"/>
              </w:rPr>
              <w:t>报价×（1–10%）。</w:t>
            </w:r>
          </w:p>
          <w:p w14:paraId="56FAEAA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shd w:val="clear" w:color="auto" w:fill="FFFFFF"/>
                <w:lang w:val="en-US" w:eastAsia="zh-CN"/>
              </w:rPr>
              <w:t>2.</w:t>
            </w:r>
            <w:r>
              <w:rPr>
                <w:rFonts w:hint="eastAsia" w:ascii="宋体" w:hAnsi="宋体" w:eastAsia="宋体" w:cs="宋体"/>
                <w:color w:val="auto"/>
                <w:kern w:val="0"/>
                <w:sz w:val="21"/>
                <w:szCs w:val="21"/>
                <w:highlight w:val="none"/>
                <w:shd w:val="clear" w:color="auto" w:fill="FFFFFF"/>
              </w:rPr>
              <w:t>按</w:t>
            </w:r>
            <w:r>
              <w:rPr>
                <w:rFonts w:hint="eastAsia" w:ascii="宋体" w:hAnsi="宋体" w:eastAsia="宋体" w:cs="宋体"/>
                <w:color w:val="auto"/>
                <w:kern w:val="0"/>
                <w:sz w:val="21"/>
                <w:szCs w:val="21"/>
                <w:highlight w:val="none"/>
                <w:shd w:val="clear" w:color="auto" w:fill="FFFFFF"/>
                <w:lang w:val="en-US" w:eastAsia="zh-CN"/>
              </w:rPr>
              <w:t>照</w:t>
            </w:r>
            <w:r>
              <w:rPr>
                <w:rFonts w:hint="eastAsia" w:ascii="宋体" w:hAnsi="宋体" w:eastAsia="宋体" w:cs="宋体"/>
                <w:color w:val="auto"/>
                <w:kern w:val="0"/>
                <w:sz w:val="21"/>
                <w:szCs w:val="21"/>
                <w:highlight w:val="none"/>
                <w:shd w:val="clear" w:color="auto" w:fill="FFFFFF"/>
              </w:rPr>
              <w:t>《关于政府采购支持监狱企业发展有关问题的通知》（财库[2014]68号）认定为监狱企业的，在政府采购活动中，监狱企业视同小型、微型企业，享受预留份额。监狱企业参加政府采购活动时，应当提供由省级以上监狱管理局、戒毒管理局（含新疆生产建设兵团）出具的属于监狱企业的证明文件</w:t>
            </w:r>
            <w:r>
              <w:rPr>
                <w:rFonts w:hint="eastAsia" w:ascii="宋体" w:hAnsi="宋体" w:eastAsia="宋体" w:cs="宋体"/>
                <w:color w:val="auto"/>
                <w:kern w:val="0"/>
                <w:sz w:val="21"/>
                <w:szCs w:val="21"/>
                <w:highlight w:val="none"/>
                <w:shd w:val="clear" w:color="auto" w:fill="FFFFFF"/>
                <w:lang w:eastAsia="zh-CN"/>
              </w:rPr>
              <w:t>。</w:t>
            </w:r>
          </w:p>
          <w:p w14:paraId="0FE2E9B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shd w:val="clear" w:color="auto" w:fill="FFFFFF"/>
                <w:lang w:val="en-US" w:eastAsia="zh-CN"/>
              </w:rPr>
              <w:t>3.</w:t>
            </w:r>
            <w:r>
              <w:rPr>
                <w:rFonts w:hint="eastAsia" w:ascii="宋体" w:hAnsi="宋体" w:eastAsia="宋体" w:cs="宋体"/>
                <w:color w:val="auto"/>
                <w:kern w:val="0"/>
                <w:sz w:val="21"/>
                <w:szCs w:val="21"/>
                <w:highlight w:val="none"/>
                <w:shd w:val="clear" w:color="auto" w:fill="FFFFFF"/>
              </w:rPr>
              <w:t>按</w:t>
            </w:r>
            <w:r>
              <w:rPr>
                <w:rFonts w:hint="eastAsia" w:ascii="宋体" w:hAnsi="宋体" w:eastAsia="宋体" w:cs="宋体"/>
                <w:color w:val="auto"/>
                <w:kern w:val="0"/>
                <w:sz w:val="21"/>
                <w:szCs w:val="21"/>
                <w:highlight w:val="none"/>
                <w:shd w:val="clear" w:color="auto" w:fill="FFFFFF"/>
                <w:lang w:val="en-US" w:eastAsia="zh-CN"/>
              </w:rPr>
              <w:t>照</w:t>
            </w:r>
            <w:r>
              <w:rPr>
                <w:rFonts w:hint="eastAsia" w:ascii="宋体" w:hAnsi="宋体" w:eastAsia="宋体" w:cs="宋体"/>
                <w:color w:val="auto"/>
                <w:kern w:val="0"/>
                <w:sz w:val="21"/>
                <w:szCs w:val="21"/>
                <w:highlight w:val="none"/>
                <w:shd w:val="clear" w:color="auto" w:fill="FFFFFF"/>
              </w:rPr>
              <w:t>《关于促进残疾人就业政府采购政策的通知》（财库〔2017〕141号）认定为残疾人福利性单位的，在政府采购活动中，残疾人福利性单位视同小型、微型企业，享受预留份额。残疾人福利性单位参加政府采购活动时，应当提供该《残疾人福利性单位声明函》为证明文件（格式见第五章“响应文件格式”）。</w:t>
            </w:r>
          </w:p>
          <w:p w14:paraId="32C4D8E8">
            <w:pPr>
              <w:keepNext w:val="0"/>
              <w:keepLines w:val="0"/>
              <w:pageBreakBefore w:val="0"/>
              <w:kinsoku/>
              <w:wordWrap w:val="0"/>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shd w:val="clear" w:color="auto" w:fill="FFFFFF"/>
                <w:lang w:val="en-US" w:eastAsia="zh-CN"/>
              </w:rPr>
              <w:t>4.</w:t>
            </w:r>
            <w:r>
              <w:rPr>
                <w:rFonts w:ascii="宋体" w:hAnsi="宋体" w:eastAsia="宋体" w:cs="宋体"/>
                <w:sz w:val="24"/>
                <w:szCs w:val="24"/>
              </w:rPr>
              <w:t>满足磋商文件要求且</w:t>
            </w:r>
            <w:r>
              <w:rPr>
                <w:rFonts w:hint="eastAsia" w:ascii="宋体" w:hAnsi="宋体" w:eastAsia="宋体" w:cs="宋体"/>
                <w:sz w:val="24"/>
                <w:szCs w:val="24"/>
                <w:lang w:val="en-US" w:eastAsia="zh-CN"/>
              </w:rPr>
              <w:t>供应商最终报价</w:t>
            </w:r>
            <w:r>
              <w:rPr>
                <w:rStyle w:val="32"/>
                <w:rFonts w:ascii="宋体" w:hAnsi="宋体" w:eastAsia="宋体" w:cs="宋体"/>
                <w:b/>
                <w:bCs/>
                <w:color w:val="EBEBEB"/>
                <w:sz w:val="24"/>
                <w:szCs w:val="24"/>
              </w:rPr>
              <w:t>折扣率最</w:t>
            </w:r>
            <w:r>
              <w:rPr>
                <w:rStyle w:val="32"/>
                <w:rFonts w:hint="eastAsia" w:ascii="宋体" w:hAnsi="宋体" w:cs="宋体"/>
                <w:b/>
                <w:bCs/>
                <w:color w:val="EBEBEB"/>
                <w:sz w:val="24"/>
                <w:szCs w:val="24"/>
                <w:lang w:val="en-US" w:eastAsia="zh-CN"/>
              </w:rPr>
              <w:t>低</w:t>
            </w:r>
            <w:r>
              <w:rPr>
                <w:rFonts w:ascii="宋体" w:hAnsi="宋体" w:eastAsia="宋体" w:cs="宋体"/>
                <w:sz w:val="24"/>
                <w:szCs w:val="24"/>
              </w:rPr>
              <w:t>的为基准折扣率，价格分为满分 10 分。</w:t>
            </w:r>
            <w:r>
              <w:rPr>
                <w:rFonts w:hint="eastAsia" w:ascii="宋体" w:hAnsi="宋体" w:cs="宋体"/>
                <w:sz w:val="24"/>
                <w:szCs w:val="24"/>
                <w:lang w:eastAsia="zh-CN"/>
              </w:rPr>
              <w:t>（</w:t>
            </w:r>
            <w:r>
              <w:rPr>
                <w:rFonts w:hint="eastAsia" w:ascii="宋体" w:hAnsi="宋体" w:cs="宋体"/>
                <w:sz w:val="24"/>
                <w:szCs w:val="24"/>
                <w:lang w:val="en-US" w:eastAsia="zh-CN"/>
              </w:rPr>
              <w:t>如A供应商最终报价为90%、B供应商最终报价为80%、C供应商报价为70%，C供应商折扣率最低。基准折扣率为70%。）</w:t>
            </w:r>
          </w:p>
          <w:p w14:paraId="28D0B94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5.</w:t>
            </w:r>
            <w:r>
              <w:rPr>
                <w:rFonts w:ascii="宋体" w:hAnsi="宋体" w:eastAsia="宋体" w:cs="宋体"/>
                <w:sz w:val="24"/>
                <w:szCs w:val="24"/>
              </w:rPr>
              <w:t>价格分计算公式：</w:t>
            </w:r>
            <w:r>
              <w:rPr>
                <w:rStyle w:val="32"/>
                <w:rFonts w:ascii="宋体" w:hAnsi="宋体" w:eastAsia="宋体" w:cs="宋体"/>
                <w:b/>
                <w:bCs/>
                <w:color w:val="EBEBEB"/>
                <w:sz w:val="24"/>
                <w:szCs w:val="24"/>
              </w:rPr>
              <w:t>磋商报价得分 =（基准折扣率÷供应商</w:t>
            </w:r>
            <w:r>
              <w:rPr>
                <w:rStyle w:val="32"/>
                <w:rFonts w:hint="eastAsia" w:ascii="宋体" w:hAnsi="宋体" w:cs="宋体"/>
                <w:b/>
                <w:bCs/>
                <w:color w:val="EBEBEB"/>
                <w:sz w:val="24"/>
                <w:szCs w:val="24"/>
                <w:lang w:val="en-US" w:eastAsia="zh-CN"/>
              </w:rPr>
              <w:t>最终报价</w:t>
            </w:r>
            <w:r>
              <w:rPr>
                <w:rStyle w:val="32"/>
                <w:rFonts w:ascii="宋体" w:hAnsi="宋体" w:eastAsia="宋体" w:cs="宋体"/>
                <w:b/>
                <w:bCs/>
                <w:color w:val="EBEBEB"/>
                <w:sz w:val="24"/>
                <w:szCs w:val="24"/>
              </w:rPr>
              <w:t>）×10</w:t>
            </w:r>
            <w:r>
              <w:rPr>
                <w:rFonts w:ascii="宋体" w:hAnsi="宋体" w:eastAsia="宋体" w:cs="宋体"/>
                <w:sz w:val="24"/>
                <w:szCs w:val="24"/>
              </w:rPr>
              <w:t>。</w:t>
            </w:r>
          </w:p>
        </w:tc>
        <w:tc>
          <w:tcPr>
            <w:tcW w:w="562" w:type="pct"/>
            <w:noWrap w:val="0"/>
            <w:vAlign w:val="center"/>
          </w:tcPr>
          <w:p w14:paraId="0B68812C">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0分</w:t>
            </w:r>
          </w:p>
        </w:tc>
      </w:tr>
      <w:tr w14:paraId="7645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8" w:type="pct"/>
            <w:noWrap w:val="0"/>
            <w:vAlign w:val="center"/>
          </w:tcPr>
          <w:p w14:paraId="2FD308FC">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2</w:t>
            </w:r>
          </w:p>
        </w:tc>
        <w:tc>
          <w:tcPr>
            <w:tcW w:w="719" w:type="pct"/>
            <w:noWrap w:val="0"/>
            <w:vAlign w:val="center"/>
          </w:tcPr>
          <w:p w14:paraId="324ED639">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技术分</w:t>
            </w:r>
          </w:p>
          <w:p w14:paraId="429F091E">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eastAsia="zh-CN"/>
              </w:rPr>
              <w:t>（</w:t>
            </w:r>
            <w:r>
              <w:rPr>
                <w:rFonts w:hint="eastAsia" w:ascii="宋体" w:hAnsi="宋体" w:eastAsia="宋体" w:cs="宋体"/>
                <w:b/>
                <w:bCs w:val="0"/>
                <w:color w:val="auto"/>
                <w:kern w:val="0"/>
                <w:sz w:val="21"/>
                <w:szCs w:val="21"/>
                <w:highlight w:val="none"/>
                <w:lang w:val="en-US" w:eastAsia="zh-CN"/>
              </w:rPr>
              <w:t>57分</w:t>
            </w:r>
            <w:r>
              <w:rPr>
                <w:rFonts w:hint="eastAsia" w:ascii="宋体" w:hAnsi="宋体" w:eastAsia="宋体" w:cs="宋体"/>
                <w:b/>
                <w:bCs w:val="0"/>
                <w:color w:val="auto"/>
                <w:kern w:val="0"/>
                <w:sz w:val="21"/>
                <w:szCs w:val="21"/>
                <w:highlight w:val="none"/>
                <w:lang w:eastAsia="zh-CN"/>
              </w:rPr>
              <w:t>）</w:t>
            </w:r>
          </w:p>
        </w:tc>
        <w:tc>
          <w:tcPr>
            <w:tcW w:w="3260" w:type="pct"/>
            <w:noWrap w:val="0"/>
            <w:vAlign w:val="center"/>
          </w:tcPr>
          <w:p w14:paraId="412765D8">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评审因素</w:t>
            </w:r>
          </w:p>
        </w:tc>
        <w:tc>
          <w:tcPr>
            <w:tcW w:w="562" w:type="pct"/>
            <w:noWrap w:val="0"/>
            <w:vAlign w:val="center"/>
          </w:tcPr>
          <w:p w14:paraId="7BAF584D">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rPr>
              <w:t>57分</w:t>
            </w:r>
          </w:p>
        </w:tc>
      </w:tr>
      <w:tr w14:paraId="7F85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8" w:type="pct"/>
            <w:noWrap w:val="0"/>
            <w:vAlign w:val="center"/>
          </w:tcPr>
          <w:p w14:paraId="6BDE00C8">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2.1</w:t>
            </w:r>
          </w:p>
        </w:tc>
        <w:tc>
          <w:tcPr>
            <w:tcW w:w="719" w:type="pct"/>
            <w:shd w:val="clear" w:color="auto" w:fill="auto"/>
            <w:noWrap w:val="0"/>
            <w:vAlign w:val="center"/>
          </w:tcPr>
          <w:p w14:paraId="414C0310">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服务方案</w:t>
            </w:r>
          </w:p>
          <w:p w14:paraId="38E03550">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15分</w:t>
            </w:r>
            <w:r>
              <w:rPr>
                <w:rFonts w:hint="eastAsia" w:ascii="宋体" w:hAnsi="宋体" w:eastAsia="宋体" w:cs="宋体"/>
                <w:b w:val="0"/>
                <w:bCs/>
                <w:color w:val="auto"/>
                <w:kern w:val="0"/>
                <w:sz w:val="21"/>
                <w:szCs w:val="21"/>
                <w:highlight w:val="none"/>
                <w:lang w:eastAsia="zh-CN"/>
              </w:rPr>
              <w:t>）</w:t>
            </w:r>
          </w:p>
        </w:tc>
        <w:tc>
          <w:tcPr>
            <w:tcW w:w="3260" w:type="pct"/>
            <w:shd w:val="clear" w:color="auto" w:fill="auto"/>
            <w:noWrap w:val="0"/>
            <w:vAlign w:val="center"/>
          </w:tcPr>
          <w:p w14:paraId="4A8AC4FB">
            <w:pPr>
              <w:pStyle w:val="12"/>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评委根据供应商的响应文件提供的内容进行评审，在相应档次内进行独立打分。</w:t>
            </w:r>
          </w:p>
          <w:p w14:paraId="3D66ED47">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bCs/>
                <w:color w:val="auto"/>
                <w:kern w:val="0"/>
                <w:sz w:val="21"/>
                <w:szCs w:val="21"/>
                <w:highlight w:val="none"/>
              </w:rPr>
              <w:t>服务方案</w:t>
            </w:r>
            <w:r>
              <w:rPr>
                <w:rFonts w:hint="eastAsia" w:ascii="宋体" w:hAnsi="宋体" w:eastAsia="宋体" w:cs="宋体"/>
                <w:bCs/>
                <w:color w:val="auto"/>
                <w:kern w:val="0"/>
                <w:sz w:val="21"/>
                <w:szCs w:val="21"/>
                <w:highlight w:val="none"/>
                <w:lang w:val="en-US" w:eastAsia="zh-CN"/>
              </w:rPr>
              <w:t>规章制度、操作规程关键部分内容缺失。</w:t>
            </w:r>
          </w:p>
          <w:p w14:paraId="7F7B8780">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bCs/>
                <w:color w:val="auto"/>
                <w:kern w:val="0"/>
                <w:sz w:val="21"/>
                <w:szCs w:val="21"/>
                <w:highlight w:val="none"/>
              </w:rPr>
              <w:t>服务方案中有基本的规章制度</w:t>
            </w:r>
            <w:r>
              <w:rPr>
                <w:rFonts w:hint="eastAsia" w:ascii="宋体" w:hAnsi="宋体" w:eastAsia="宋体" w:cs="宋体"/>
                <w:bCs/>
                <w:color w:val="auto"/>
                <w:kern w:val="0"/>
                <w:sz w:val="21"/>
                <w:szCs w:val="21"/>
                <w:highlight w:val="none"/>
                <w:lang w:val="en-US" w:eastAsia="zh-CN"/>
              </w:rPr>
              <w:t>但相应</w:t>
            </w:r>
            <w:r>
              <w:rPr>
                <w:rFonts w:hint="eastAsia" w:ascii="宋体" w:hAnsi="宋体" w:eastAsia="宋体" w:cs="宋体"/>
                <w:color w:val="auto"/>
                <w:sz w:val="21"/>
                <w:szCs w:val="21"/>
                <w:highlight w:val="none"/>
              </w:rPr>
              <w:t>描述</w:t>
            </w:r>
            <w:r>
              <w:rPr>
                <w:rFonts w:hint="eastAsia" w:ascii="宋体" w:hAnsi="宋体" w:eastAsia="宋体" w:cs="宋体"/>
                <w:color w:val="auto"/>
                <w:sz w:val="21"/>
                <w:szCs w:val="21"/>
                <w:highlight w:val="none"/>
                <w:lang w:val="en-US" w:eastAsia="zh-CN"/>
              </w:rPr>
              <w:t>较粗略</w:t>
            </w:r>
            <w:r>
              <w:rPr>
                <w:rFonts w:hint="eastAsia" w:ascii="宋体" w:hAnsi="宋体" w:eastAsia="宋体" w:cs="宋体"/>
                <w:bCs/>
                <w:color w:val="auto"/>
                <w:kern w:val="0"/>
                <w:sz w:val="21"/>
                <w:szCs w:val="21"/>
                <w:highlight w:val="none"/>
                <w:lang w:val="en-US" w:eastAsia="zh-CN"/>
              </w:rPr>
              <w:t>；</w:t>
            </w:r>
            <w:r>
              <w:rPr>
                <w:rFonts w:hint="eastAsia" w:ascii="宋体" w:hAnsi="宋体" w:eastAsia="宋体" w:cs="宋体"/>
                <w:bCs/>
                <w:color w:val="auto"/>
                <w:kern w:val="0"/>
                <w:sz w:val="21"/>
                <w:szCs w:val="21"/>
                <w:highlight w:val="none"/>
              </w:rPr>
              <w:t>操作规程</w:t>
            </w:r>
            <w:r>
              <w:rPr>
                <w:rFonts w:hint="eastAsia" w:ascii="宋体" w:hAnsi="宋体" w:eastAsia="宋体" w:cs="宋体"/>
                <w:color w:val="auto"/>
                <w:sz w:val="21"/>
                <w:szCs w:val="21"/>
                <w:highlight w:val="none"/>
              </w:rPr>
              <w:t>描述</w:t>
            </w:r>
            <w:r>
              <w:rPr>
                <w:rFonts w:hint="eastAsia" w:ascii="宋体" w:hAnsi="宋体" w:eastAsia="宋体" w:cs="宋体"/>
                <w:color w:val="auto"/>
                <w:sz w:val="21"/>
                <w:szCs w:val="21"/>
                <w:highlight w:val="none"/>
                <w:lang w:val="en-US" w:eastAsia="zh-CN"/>
              </w:rPr>
              <w:t>较粗略</w:t>
            </w:r>
            <w:r>
              <w:rPr>
                <w:rFonts w:hint="eastAsia" w:ascii="宋体" w:hAnsi="宋体" w:eastAsia="宋体" w:cs="宋体"/>
                <w:bCs/>
                <w:color w:val="auto"/>
                <w:kern w:val="0"/>
                <w:sz w:val="21"/>
                <w:szCs w:val="21"/>
                <w:highlight w:val="none"/>
                <w:lang w:val="en-US" w:eastAsia="zh-CN"/>
              </w:rPr>
              <w:t>；</w:t>
            </w:r>
            <w:r>
              <w:rPr>
                <w:rFonts w:hint="eastAsia" w:ascii="宋体" w:hAnsi="宋体" w:eastAsia="宋体" w:cs="宋体"/>
                <w:bCs/>
                <w:color w:val="auto"/>
                <w:kern w:val="0"/>
                <w:sz w:val="21"/>
                <w:szCs w:val="21"/>
                <w:highlight w:val="none"/>
              </w:rPr>
              <w:t>应急处置方案预案</w:t>
            </w:r>
            <w:r>
              <w:rPr>
                <w:rFonts w:hint="eastAsia" w:ascii="宋体" w:hAnsi="宋体" w:eastAsia="宋体" w:cs="宋体"/>
                <w:color w:val="auto"/>
                <w:sz w:val="21"/>
                <w:szCs w:val="21"/>
                <w:highlight w:val="none"/>
                <w:lang w:val="en-US" w:eastAsia="zh-CN"/>
              </w:rPr>
              <w:t>较粗略且</w:t>
            </w:r>
            <w:r>
              <w:rPr>
                <w:rFonts w:hint="eastAsia" w:ascii="宋体" w:hAnsi="宋体" w:eastAsia="宋体" w:cs="宋体"/>
                <w:bCs/>
                <w:color w:val="auto"/>
                <w:kern w:val="0"/>
                <w:sz w:val="21"/>
                <w:szCs w:val="21"/>
                <w:highlight w:val="none"/>
                <w:lang w:val="en-US" w:eastAsia="zh-CN"/>
              </w:rPr>
              <w:t>无针对性；</w:t>
            </w:r>
            <w:r>
              <w:rPr>
                <w:rFonts w:hint="eastAsia" w:ascii="宋体" w:hAnsi="宋体" w:eastAsia="宋体" w:cs="宋体"/>
                <w:bCs/>
                <w:color w:val="auto"/>
                <w:kern w:val="0"/>
                <w:sz w:val="21"/>
                <w:szCs w:val="21"/>
                <w:highlight w:val="none"/>
              </w:rPr>
              <w:t>对体检的整个过程安排、人员及设备保障</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服务承诺有相应描述</w:t>
            </w:r>
            <w:r>
              <w:rPr>
                <w:rFonts w:hint="eastAsia" w:ascii="宋体" w:hAnsi="宋体" w:eastAsia="宋体" w:cs="宋体"/>
                <w:bCs/>
                <w:color w:val="auto"/>
                <w:kern w:val="0"/>
                <w:sz w:val="21"/>
                <w:szCs w:val="21"/>
                <w:highlight w:val="none"/>
                <w:lang w:val="en-US" w:eastAsia="zh-CN"/>
              </w:rPr>
              <w:t>；</w:t>
            </w:r>
            <w:r>
              <w:rPr>
                <w:rFonts w:hint="eastAsia" w:ascii="宋体" w:hAnsi="宋体" w:eastAsia="宋体" w:cs="宋体"/>
                <w:color w:val="auto"/>
                <w:sz w:val="21"/>
                <w:szCs w:val="21"/>
                <w:highlight w:val="none"/>
                <w:lang w:val="en-US" w:eastAsia="zh-CN"/>
              </w:rPr>
              <w:t>总体</w:t>
            </w:r>
            <w:r>
              <w:rPr>
                <w:rFonts w:hint="eastAsia" w:ascii="宋体" w:hAnsi="宋体" w:eastAsia="宋体" w:cs="宋体"/>
                <w:color w:val="auto"/>
                <w:sz w:val="21"/>
                <w:szCs w:val="21"/>
                <w:highlight w:val="none"/>
              </w:rPr>
              <w:t>方案简单</w:t>
            </w:r>
            <w:r>
              <w:rPr>
                <w:rFonts w:hint="eastAsia" w:ascii="宋体" w:hAnsi="宋体" w:eastAsia="宋体" w:cs="宋体"/>
                <w:bCs/>
                <w:color w:val="auto"/>
                <w:kern w:val="0"/>
                <w:sz w:val="21"/>
                <w:szCs w:val="21"/>
                <w:highlight w:val="none"/>
                <w:lang w:eastAsia="zh-CN"/>
              </w:rPr>
              <w:t>。</w:t>
            </w:r>
          </w:p>
          <w:p w14:paraId="19EDEE50">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eastAsia="宋体" w:cs="宋体"/>
                <w:bCs/>
                <w:color w:val="auto"/>
                <w:kern w:val="0"/>
                <w:sz w:val="21"/>
                <w:szCs w:val="21"/>
                <w:highlight w:val="none"/>
              </w:rPr>
              <w:t>服务方案中各项规章制度详细</w:t>
            </w:r>
            <w:r>
              <w:rPr>
                <w:rFonts w:hint="eastAsia" w:ascii="宋体" w:hAnsi="宋体" w:eastAsia="宋体" w:cs="宋体"/>
                <w:bCs/>
                <w:color w:val="auto"/>
                <w:kern w:val="0"/>
                <w:sz w:val="21"/>
                <w:szCs w:val="21"/>
                <w:highlight w:val="none"/>
                <w:lang w:val="en-US" w:eastAsia="zh-CN"/>
              </w:rPr>
              <w:t>；</w:t>
            </w:r>
            <w:r>
              <w:rPr>
                <w:rFonts w:hint="eastAsia" w:ascii="宋体" w:hAnsi="宋体" w:eastAsia="宋体" w:cs="宋体"/>
                <w:bCs/>
                <w:color w:val="auto"/>
                <w:kern w:val="0"/>
                <w:sz w:val="21"/>
                <w:szCs w:val="21"/>
                <w:highlight w:val="none"/>
              </w:rPr>
              <w:t>操作规程</w:t>
            </w:r>
            <w:r>
              <w:rPr>
                <w:rFonts w:hint="eastAsia" w:ascii="宋体" w:hAnsi="宋体" w:eastAsia="宋体" w:cs="宋体"/>
                <w:bCs/>
                <w:color w:val="auto"/>
                <w:kern w:val="0"/>
                <w:sz w:val="21"/>
                <w:szCs w:val="21"/>
                <w:highlight w:val="none"/>
                <w:lang w:val="en-US" w:eastAsia="zh-CN"/>
              </w:rPr>
              <w:t>详细；</w:t>
            </w:r>
            <w:r>
              <w:rPr>
                <w:rFonts w:hint="eastAsia" w:ascii="宋体" w:hAnsi="宋体" w:eastAsia="宋体" w:cs="宋体"/>
                <w:bCs/>
                <w:color w:val="auto"/>
                <w:kern w:val="0"/>
                <w:sz w:val="21"/>
                <w:szCs w:val="21"/>
                <w:highlight w:val="none"/>
              </w:rPr>
              <w:t>应急处置方案预案</w:t>
            </w:r>
            <w:r>
              <w:rPr>
                <w:rFonts w:hint="eastAsia" w:ascii="宋体" w:hAnsi="宋体" w:eastAsia="宋体" w:cs="宋体"/>
                <w:bCs/>
                <w:color w:val="auto"/>
                <w:kern w:val="0"/>
                <w:sz w:val="21"/>
                <w:szCs w:val="21"/>
                <w:highlight w:val="none"/>
                <w:lang w:val="en-US" w:eastAsia="zh-CN"/>
              </w:rPr>
              <w:t>有针对性；</w:t>
            </w:r>
            <w:r>
              <w:rPr>
                <w:rFonts w:hint="eastAsia" w:ascii="宋体" w:hAnsi="宋体" w:eastAsia="宋体" w:cs="宋体"/>
                <w:bCs/>
                <w:color w:val="auto"/>
                <w:kern w:val="0"/>
                <w:sz w:val="21"/>
                <w:szCs w:val="21"/>
                <w:highlight w:val="none"/>
              </w:rPr>
              <w:t>对体检的整个过程安排</w:t>
            </w:r>
            <w:r>
              <w:rPr>
                <w:rFonts w:hint="eastAsia" w:ascii="宋体" w:hAnsi="宋体" w:eastAsia="宋体" w:cs="宋体"/>
                <w:bCs/>
                <w:color w:val="auto"/>
                <w:kern w:val="0"/>
                <w:sz w:val="21"/>
                <w:szCs w:val="21"/>
                <w:highlight w:val="none"/>
                <w:lang w:val="en-US" w:eastAsia="zh-CN"/>
              </w:rPr>
              <w:t>合理</w:t>
            </w:r>
            <w:r>
              <w:rPr>
                <w:rFonts w:hint="eastAsia" w:ascii="宋体" w:hAnsi="宋体" w:eastAsia="宋体" w:cs="宋体"/>
                <w:bCs/>
                <w:color w:val="auto"/>
                <w:kern w:val="0"/>
                <w:sz w:val="21"/>
                <w:szCs w:val="21"/>
                <w:highlight w:val="none"/>
              </w:rPr>
              <w:t>、人员及设备保障</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服务承诺</w:t>
            </w:r>
            <w:r>
              <w:rPr>
                <w:rFonts w:hint="eastAsia" w:ascii="宋体" w:hAnsi="宋体" w:eastAsia="宋体" w:cs="宋体"/>
                <w:bCs/>
                <w:color w:val="auto"/>
                <w:kern w:val="0"/>
                <w:sz w:val="21"/>
                <w:szCs w:val="21"/>
                <w:highlight w:val="none"/>
                <w:lang w:val="en-US" w:eastAsia="zh-CN"/>
              </w:rPr>
              <w:t>的</w:t>
            </w:r>
            <w:r>
              <w:rPr>
                <w:rFonts w:hint="eastAsia" w:ascii="宋体" w:hAnsi="宋体" w:eastAsia="宋体" w:cs="宋体"/>
                <w:bCs/>
                <w:color w:val="auto"/>
                <w:kern w:val="0"/>
                <w:sz w:val="21"/>
                <w:szCs w:val="21"/>
                <w:highlight w:val="none"/>
              </w:rPr>
              <w:t>描述</w:t>
            </w:r>
            <w:r>
              <w:rPr>
                <w:rFonts w:hint="eastAsia" w:ascii="宋体" w:hAnsi="宋体" w:eastAsia="宋体" w:cs="宋体"/>
                <w:bCs/>
                <w:color w:val="auto"/>
                <w:kern w:val="0"/>
                <w:sz w:val="21"/>
                <w:szCs w:val="21"/>
                <w:highlight w:val="none"/>
                <w:lang w:val="en-US" w:eastAsia="zh-CN"/>
              </w:rPr>
              <w:t>详细；</w:t>
            </w:r>
            <w:r>
              <w:rPr>
                <w:rFonts w:hint="eastAsia" w:ascii="宋体" w:hAnsi="宋体" w:eastAsia="宋体" w:cs="宋体"/>
                <w:color w:val="auto"/>
                <w:sz w:val="21"/>
                <w:szCs w:val="21"/>
                <w:highlight w:val="none"/>
                <w:lang w:val="en-US" w:eastAsia="zh-CN"/>
              </w:rPr>
              <w:t>总体</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val="en-US" w:eastAsia="zh-CN"/>
              </w:rPr>
              <w:t>详细</w:t>
            </w:r>
            <w:r>
              <w:rPr>
                <w:rFonts w:hint="eastAsia" w:ascii="宋体" w:hAnsi="宋体" w:eastAsia="宋体" w:cs="宋体"/>
                <w:bCs/>
                <w:color w:val="auto"/>
                <w:kern w:val="0"/>
                <w:sz w:val="21"/>
                <w:szCs w:val="21"/>
                <w:highlight w:val="none"/>
                <w:lang w:eastAsia="zh-CN"/>
              </w:rPr>
              <w:t>。</w:t>
            </w:r>
          </w:p>
          <w:p w14:paraId="094D0ABA">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分）：服务方案</w:t>
            </w:r>
            <w:r>
              <w:rPr>
                <w:rFonts w:hint="eastAsia" w:ascii="宋体" w:hAnsi="宋体" w:eastAsia="宋体" w:cs="宋体"/>
                <w:color w:val="auto"/>
                <w:sz w:val="21"/>
                <w:szCs w:val="21"/>
                <w:highlight w:val="none"/>
                <w:lang w:val="en-US" w:eastAsia="zh-CN"/>
              </w:rPr>
              <w:t>中建立</w:t>
            </w:r>
            <w:r>
              <w:rPr>
                <w:rFonts w:hint="eastAsia" w:ascii="宋体" w:hAnsi="宋体" w:eastAsia="宋体" w:cs="宋体"/>
                <w:bCs/>
                <w:color w:val="auto"/>
                <w:kern w:val="0"/>
                <w:sz w:val="21"/>
                <w:szCs w:val="21"/>
                <w:highlight w:val="none"/>
              </w:rPr>
              <w:t>有详</w:t>
            </w:r>
            <w:r>
              <w:rPr>
                <w:rFonts w:hint="eastAsia" w:ascii="宋体" w:hAnsi="宋体" w:eastAsia="宋体" w:cs="宋体"/>
                <w:bCs/>
                <w:color w:val="auto"/>
                <w:kern w:val="0"/>
                <w:sz w:val="21"/>
                <w:szCs w:val="21"/>
                <w:highlight w:val="none"/>
                <w:lang w:val="en-US" w:eastAsia="zh-CN"/>
              </w:rPr>
              <w:t>细、科学</w:t>
            </w:r>
            <w:r>
              <w:rPr>
                <w:rFonts w:hint="eastAsia" w:ascii="宋体" w:hAnsi="宋体" w:eastAsia="宋体" w:cs="宋体"/>
                <w:bCs/>
                <w:color w:val="auto"/>
                <w:kern w:val="0"/>
                <w:sz w:val="21"/>
                <w:szCs w:val="21"/>
                <w:highlight w:val="none"/>
              </w:rPr>
              <w:t>的规章制度</w:t>
            </w:r>
            <w:r>
              <w:rPr>
                <w:rFonts w:hint="eastAsia" w:ascii="宋体" w:hAnsi="宋体" w:eastAsia="宋体" w:cs="宋体"/>
                <w:bCs/>
                <w:color w:val="auto"/>
                <w:kern w:val="0"/>
                <w:sz w:val="21"/>
                <w:szCs w:val="21"/>
                <w:highlight w:val="none"/>
                <w:lang w:val="en-US" w:eastAsia="zh-CN"/>
              </w:rPr>
              <w:t>；</w:t>
            </w:r>
            <w:r>
              <w:rPr>
                <w:rFonts w:hint="eastAsia" w:ascii="宋体" w:hAnsi="宋体" w:eastAsia="宋体" w:cs="宋体"/>
                <w:bCs/>
                <w:color w:val="auto"/>
                <w:kern w:val="0"/>
                <w:sz w:val="21"/>
                <w:szCs w:val="21"/>
                <w:highlight w:val="none"/>
              </w:rPr>
              <w:t>操作规程</w:t>
            </w:r>
            <w:r>
              <w:rPr>
                <w:rFonts w:hint="eastAsia" w:ascii="宋体" w:hAnsi="宋体" w:eastAsia="宋体" w:cs="宋体"/>
                <w:bCs/>
                <w:color w:val="auto"/>
                <w:kern w:val="0"/>
                <w:sz w:val="21"/>
                <w:szCs w:val="21"/>
                <w:highlight w:val="none"/>
                <w:lang w:val="en-US" w:eastAsia="zh-CN"/>
              </w:rPr>
              <w:t>详细、</w:t>
            </w:r>
            <w:r>
              <w:rPr>
                <w:rFonts w:hint="eastAsia" w:ascii="宋体" w:hAnsi="宋体" w:eastAsia="宋体" w:cs="宋体"/>
                <w:bCs/>
                <w:color w:val="auto"/>
                <w:kern w:val="0"/>
                <w:sz w:val="21"/>
                <w:szCs w:val="21"/>
                <w:highlight w:val="none"/>
              </w:rPr>
              <w:t>完整</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周密；</w:t>
            </w:r>
            <w:r>
              <w:rPr>
                <w:rFonts w:hint="eastAsia" w:ascii="宋体" w:hAnsi="宋体" w:eastAsia="宋体" w:cs="宋体"/>
                <w:bCs/>
                <w:color w:val="auto"/>
                <w:kern w:val="0"/>
                <w:sz w:val="21"/>
                <w:szCs w:val="21"/>
                <w:highlight w:val="none"/>
              </w:rPr>
              <w:t>应急处置方案预案有针对性</w:t>
            </w:r>
            <w:r>
              <w:rPr>
                <w:rFonts w:hint="eastAsia" w:ascii="宋体" w:hAnsi="宋体" w:eastAsia="宋体" w:cs="宋体"/>
                <w:bCs/>
                <w:color w:val="auto"/>
                <w:kern w:val="0"/>
                <w:sz w:val="21"/>
                <w:szCs w:val="21"/>
                <w:highlight w:val="none"/>
                <w:lang w:val="en-US" w:eastAsia="zh-CN"/>
              </w:rPr>
              <w:t>且可行性高；</w:t>
            </w:r>
            <w:r>
              <w:rPr>
                <w:rFonts w:hint="eastAsia" w:ascii="宋体" w:hAnsi="宋体" w:eastAsia="宋体" w:cs="宋体"/>
                <w:bCs/>
                <w:color w:val="auto"/>
                <w:kern w:val="0"/>
                <w:sz w:val="21"/>
                <w:szCs w:val="21"/>
                <w:highlight w:val="none"/>
              </w:rPr>
              <w:t>提供单位专场体检服务，包含有具体的实施方法、保障措施</w:t>
            </w:r>
            <w:r>
              <w:rPr>
                <w:rFonts w:hint="eastAsia" w:ascii="宋体" w:hAnsi="宋体" w:eastAsia="宋体" w:cs="宋体"/>
                <w:bCs/>
                <w:color w:val="auto"/>
                <w:kern w:val="0"/>
                <w:sz w:val="21"/>
                <w:szCs w:val="21"/>
                <w:highlight w:val="none"/>
                <w:lang w:val="en-US" w:eastAsia="zh-CN"/>
              </w:rPr>
              <w:t>；</w:t>
            </w:r>
            <w:r>
              <w:rPr>
                <w:rFonts w:hint="eastAsia" w:ascii="宋体" w:hAnsi="宋体" w:eastAsia="宋体" w:cs="宋体"/>
                <w:bCs/>
                <w:color w:val="auto"/>
                <w:kern w:val="0"/>
                <w:sz w:val="21"/>
                <w:szCs w:val="21"/>
                <w:highlight w:val="none"/>
              </w:rPr>
              <w:t>人员分工合理、设备保障</w:t>
            </w:r>
            <w:r>
              <w:rPr>
                <w:rFonts w:hint="eastAsia" w:ascii="宋体" w:hAnsi="宋体" w:eastAsia="宋体" w:cs="宋体"/>
                <w:bCs/>
                <w:color w:val="auto"/>
                <w:kern w:val="0"/>
                <w:sz w:val="21"/>
                <w:szCs w:val="21"/>
                <w:highlight w:val="none"/>
                <w:lang w:val="en-US" w:eastAsia="zh-CN"/>
              </w:rPr>
              <w:t>到位、</w:t>
            </w:r>
            <w:r>
              <w:rPr>
                <w:rFonts w:hint="eastAsia" w:ascii="宋体" w:hAnsi="宋体" w:eastAsia="宋体" w:cs="宋体"/>
                <w:bCs/>
                <w:color w:val="auto"/>
                <w:kern w:val="0"/>
                <w:sz w:val="21"/>
                <w:szCs w:val="21"/>
                <w:highlight w:val="none"/>
              </w:rPr>
              <w:t>预见体检项目人员过多的分流方案，现场有专人引导，有医生提供现场咨询，能实现体检项目中的化验及仪器检查结果与门诊就医系统共享等，并通过网络可查询</w:t>
            </w:r>
            <w:r>
              <w:rPr>
                <w:rFonts w:hint="eastAsia" w:ascii="宋体" w:hAnsi="宋体" w:eastAsia="宋体" w:cs="宋体"/>
                <w:bCs/>
                <w:color w:val="auto"/>
                <w:kern w:val="0"/>
                <w:sz w:val="21"/>
                <w:szCs w:val="21"/>
                <w:highlight w:val="none"/>
                <w:lang w:val="en-US" w:eastAsia="zh-CN"/>
              </w:rPr>
              <w:t>；</w:t>
            </w:r>
            <w:r>
              <w:rPr>
                <w:rFonts w:hint="eastAsia" w:ascii="宋体" w:hAnsi="宋体" w:eastAsia="宋体" w:cs="宋体"/>
                <w:bCs/>
                <w:color w:val="auto"/>
                <w:kern w:val="0"/>
                <w:sz w:val="21"/>
                <w:szCs w:val="21"/>
                <w:highlight w:val="none"/>
              </w:rPr>
              <w:t>服务承诺</w:t>
            </w:r>
            <w:r>
              <w:rPr>
                <w:rFonts w:hint="eastAsia" w:ascii="宋体" w:hAnsi="宋体" w:eastAsia="宋体" w:cs="宋体"/>
                <w:color w:val="auto"/>
                <w:sz w:val="21"/>
                <w:szCs w:val="21"/>
                <w:highlight w:val="none"/>
                <w:lang w:val="en-US" w:eastAsia="zh-CN"/>
              </w:rPr>
              <w:t>具体、详细且贴合项目实际需求情况</w:t>
            </w:r>
            <w:r>
              <w:rPr>
                <w:rFonts w:hint="eastAsia" w:ascii="宋体" w:hAnsi="宋体" w:eastAsia="宋体" w:cs="宋体"/>
                <w:bCs/>
                <w:color w:val="auto"/>
                <w:kern w:val="0"/>
                <w:sz w:val="21"/>
                <w:szCs w:val="21"/>
                <w:highlight w:val="none"/>
                <w:lang w:val="en-US" w:eastAsia="zh-CN"/>
              </w:rPr>
              <w:t>；</w:t>
            </w:r>
            <w:r>
              <w:rPr>
                <w:rFonts w:hint="eastAsia" w:ascii="宋体" w:hAnsi="宋体" w:eastAsia="宋体" w:cs="宋体"/>
                <w:bCs/>
                <w:color w:val="auto"/>
                <w:kern w:val="0"/>
                <w:sz w:val="21"/>
                <w:szCs w:val="21"/>
                <w:highlight w:val="none"/>
              </w:rPr>
              <w:t>提供</w:t>
            </w:r>
            <w:r>
              <w:rPr>
                <w:rFonts w:hint="eastAsia" w:ascii="宋体" w:hAnsi="宋体" w:eastAsia="宋体" w:cs="宋体"/>
                <w:bCs/>
                <w:color w:val="auto"/>
                <w:kern w:val="0"/>
                <w:sz w:val="21"/>
                <w:szCs w:val="21"/>
                <w:highlight w:val="none"/>
                <w:lang w:val="en-US" w:eastAsia="zh-CN"/>
              </w:rPr>
              <w:t>有</w:t>
            </w:r>
            <w:r>
              <w:rPr>
                <w:rFonts w:hint="eastAsia" w:ascii="宋体" w:hAnsi="宋体" w:eastAsia="宋体" w:cs="宋体"/>
                <w:bCs/>
                <w:color w:val="auto"/>
                <w:kern w:val="0"/>
                <w:sz w:val="21"/>
                <w:szCs w:val="21"/>
                <w:highlight w:val="none"/>
              </w:rPr>
              <w:t>其他有利于</w:t>
            </w:r>
            <w:r>
              <w:rPr>
                <w:rFonts w:hint="eastAsia" w:ascii="宋体" w:hAnsi="宋体" w:eastAsia="宋体" w:cs="宋体"/>
                <w:bCs/>
                <w:color w:val="auto"/>
                <w:kern w:val="0"/>
                <w:sz w:val="21"/>
                <w:szCs w:val="21"/>
                <w:highlight w:val="none"/>
                <w:lang w:val="en-US" w:eastAsia="zh-CN"/>
              </w:rPr>
              <w:t>项目实施的</w:t>
            </w:r>
            <w:r>
              <w:rPr>
                <w:rFonts w:hint="eastAsia" w:ascii="宋体" w:hAnsi="宋体" w:eastAsia="宋体" w:cs="宋体"/>
                <w:bCs/>
                <w:color w:val="auto"/>
                <w:kern w:val="0"/>
                <w:sz w:val="21"/>
                <w:szCs w:val="21"/>
                <w:highlight w:val="none"/>
              </w:rPr>
              <w:t>措施</w:t>
            </w:r>
            <w:r>
              <w:rPr>
                <w:rFonts w:hint="eastAsia" w:ascii="宋体" w:hAnsi="宋体" w:eastAsia="宋体" w:cs="宋体"/>
                <w:bCs/>
                <w:color w:val="auto"/>
                <w:kern w:val="0"/>
                <w:sz w:val="21"/>
                <w:szCs w:val="21"/>
                <w:highlight w:val="none"/>
                <w:lang w:val="en-US" w:eastAsia="zh-CN"/>
              </w:rPr>
              <w:t>；</w:t>
            </w:r>
            <w:r>
              <w:rPr>
                <w:rFonts w:hint="eastAsia" w:ascii="宋体" w:hAnsi="宋体" w:eastAsia="宋体" w:cs="宋体"/>
                <w:color w:val="auto"/>
                <w:sz w:val="21"/>
                <w:szCs w:val="21"/>
                <w:highlight w:val="none"/>
              </w:rPr>
              <w:t>总体</w:t>
            </w:r>
            <w:r>
              <w:rPr>
                <w:rFonts w:hint="eastAsia" w:ascii="宋体" w:hAnsi="宋体" w:eastAsia="宋体" w:cs="宋体"/>
                <w:color w:val="auto"/>
                <w:sz w:val="21"/>
                <w:szCs w:val="21"/>
                <w:highlight w:val="none"/>
                <w:lang w:val="en-US" w:eastAsia="zh-CN"/>
              </w:rPr>
              <w:t>方案周密、详尽、科学、完善</w:t>
            </w:r>
            <w:r>
              <w:rPr>
                <w:rFonts w:hint="eastAsia" w:ascii="宋体" w:hAnsi="宋体" w:eastAsia="宋体" w:cs="宋体"/>
                <w:color w:val="auto"/>
                <w:sz w:val="21"/>
                <w:szCs w:val="21"/>
                <w:highlight w:val="none"/>
              </w:rPr>
              <w:t>。</w:t>
            </w:r>
          </w:p>
          <w:p w14:paraId="6DB09913">
            <w:pPr>
              <w:pStyle w:val="52"/>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pacing w:val="6"/>
                <w:kern w:val="48"/>
                <w:sz w:val="21"/>
                <w:szCs w:val="21"/>
                <w:highlight w:val="none"/>
                <w:lang w:val="en-US" w:eastAsia="zh-CN"/>
              </w:rPr>
              <w:t>未达到一档要求的不得分。</w:t>
            </w:r>
          </w:p>
        </w:tc>
        <w:tc>
          <w:tcPr>
            <w:tcW w:w="562" w:type="pct"/>
            <w:noWrap w:val="0"/>
            <w:vAlign w:val="center"/>
          </w:tcPr>
          <w:p w14:paraId="4F34390F">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15分</w:t>
            </w:r>
          </w:p>
        </w:tc>
      </w:tr>
      <w:tr w14:paraId="293E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8" w:type="pct"/>
            <w:shd w:val="clear" w:color="auto" w:fill="auto"/>
            <w:noWrap w:val="0"/>
            <w:vAlign w:val="center"/>
          </w:tcPr>
          <w:p w14:paraId="438E475E">
            <w:pPr>
              <w:keepNext w:val="0"/>
              <w:keepLines w:val="0"/>
              <w:pageBreakBefore w:val="0"/>
              <w:kinsoku/>
              <w:overflowPunct/>
              <w:topLinePunct w:val="0"/>
              <w:autoSpaceDE/>
              <w:autoSpaceDN/>
              <w:bidi w:val="0"/>
              <w:adjustRightInd w:val="0"/>
              <w:spacing w:line="500" w:lineRule="exact"/>
              <w:ind w:left="-105" w:leftChars="-50" w:right="-105" w:rightChars="-50"/>
              <w:jc w:val="center"/>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rPr>
              <w:t>2.2</w:t>
            </w:r>
          </w:p>
        </w:tc>
        <w:tc>
          <w:tcPr>
            <w:tcW w:w="719" w:type="pct"/>
            <w:shd w:val="clear" w:color="auto" w:fill="auto"/>
            <w:noWrap w:val="0"/>
            <w:vAlign w:val="center"/>
          </w:tcPr>
          <w:p w14:paraId="36B56296">
            <w:pPr>
              <w:keepNext w:val="0"/>
              <w:keepLines w:val="0"/>
              <w:pageBreakBefore w:val="0"/>
              <w:widowControl/>
              <w:kinsoku/>
              <w:wordWrap w:val="0"/>
              <w:overflowPunct/>
              <w:topLinePunct w:val="0"/>
              <w:autoSpaceDE/>
              <w:autoSpaceDN/>
              <w:bidi w:val="0"/>
              <w:spacing w:line="5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体检环境分</w:t>
            </w:r>
          </w:p>
          <w:p w14:paraId="3DA08B16">
            <w:pPr>
              <w:pStyle w:val="52"/>
              <w:keepNext w:val="0"/>
              <w:keepLines w:val="0"/>
              <w:pageBreakBefore w:val="0"/>
              <w:kinsoku/>
              <w:overflowPunct/>
              <w:topLinePunct w:val="0"/>
              <w:autoSpaceDE/>
              <w:autoSpaceDN/>
              <w:bidi w:val="0"/>
              <w:spacing w:line="50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10分</w:t>
            </w:r>
            <w:r>
              <w:rPr>
                <w:rFonts w:hint="eastAsia" w:ascii="宋体" w:hAnsi="宋体" w:eastAsia="宋体" w:cs="宋体"/>
                <w:b w:val="0"/>
                <w:bCs/>
                <w:color w:val="auto"/>
                <w:kern w:val="0"/>
                <w:sz w:val="21"/>
                <w:szCs w:val="21"/>
                <w:highlight w:val="none"/>
                <w:lang w:eastAsia="zh-CN"/>
              </w:rPr>
              <w:t>）</w:t>
            </w:r>
          </w:p>
        </w:tc>
        <w:tc>
          <w:tcPr>
            <w:tcW w:w="3260" w:type="pct"/>
            <w:shd w:val="clear" w:color="auto" w:fill="auto"/>
            <w:noWrap w:val="0"/>
            <w:vAlign w:val="center"/>
          </w:tcPr>
          <w:p w14:paraId="3D2D7A20">
            <w:pPr>
              <w:pStyle w:val="12"/>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评委根据供应商的响应文件提供的内容进行评审，在相应档次内进行独立打分。</w:t>
            </w:r>
          </w:p>
          <w:p w14:paraId="44109CE2">
            <w:pPr>
              <w:keepNext w:val="0"/>
              <w:keepLines w:val="0"/>
              <w:pageBreakBefore w:val="0"/>
              <w:widowControl/>
              <w:suppressLineNumbers w:val="0"/>
              <w:kinsoku/>
              <w:overflowPunct/>
              <w:topLinePunct w:val="0"/>
              <w:autoSpaceDE/>
              <w:autoSpaceDN/>
              <w:bidi w:val="0"/>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kern w:val="0"/>
                <w:sz w:val="21"/>
                <w:szCs w:val="21"/>
                <w:highlight w:val="none"/>
                <w:lang w:val="en-US" w:eastAsia="zh-CN" w:bidi="ar"/>
              </w:rPr>
              <w:t>体检环境符合项目需求，</w:t>
            </w:r>
            <w:r>
              <w:rPr>
                <w:rFonts w:hint="eastAsia" w:ascii="宋体" w:hAnsi="宋体" w:eastAsia="宋体" w:cs="宋体"/>
                <w:bCs/>
                <w:color w:val="auto"/>
                <w:kern w:val="0"/>
                <w:sz w:val="21"/>
                <w:szCs w:val="21"/>
                <w:highlight w:val="none"/>
              </w:rPr>
              <w:t>体检面积小于</w:t>
            </w:r>
            <w:r>
              <w:rPr>
                <w:rFonts w:hint="eastAsia" w:ascii="宋体" w:hAnsi="宋体" w:eastAsia="宋体" w:cs="宋体"/>
                <w:bCs/>
                <w:color w:val="auto"/>
                <w:kern w:val="0"/>
                <w:sz w:val="21"/>
                <w:szCs w:val="21"/>
                <w:highlight w:val="none"/>
                <w:lang w:val="en-US" w:eastAsia="zh-CN"/>
              </w:rPr>
              <w:t>等于1</w:t>
            </w:r>
            <w:r>
              <w:rPr>
                <w:rFonts w:hint="eastAsia" w:ascii="宋体" w:hAnsi="宋体" w:eastAsia="宋体" w:cs="宋体"/>
                <w:bCs/>
                <w:color w:val="auto"/>
                <w:kern w:val="0"/>
                <w:sz w:val="21"/>
                <w:szCs w:val="21"/>
                <w:highlight w:val="none"/>
              </w:rPr>
              <w:t>000㎡。</w:t>
            </w:r>
          </w:p>
          <w:p w14:paraId="2FB77887">
            <w:pPr>
              <w:keepNext w:val="0"/>
              <w:keepLines w:val="0"/>
              <w:pageBreakBefore w:val="0"/>
              <w:kinsoku/>
              <w:overflowPunct/>
              <w:topLinePunct w:val="0"/>
              <w:autoSpaceDE/>
              <w:autoSpaceDN/>
              <w:bidi w:val="0"/>
              <w:spacing w:line="500" w:lineRule="exact"/>
              <w:ind w:firstLine="420"/>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kern w:val="0"/>
                <w:sz w:val="21"/>
                <w:szCs w:val="21"/>
                <w:highlight w:val="none"/>
                <w:lang w:val="en-US" w:eastAsia="zh-CN" w:bidi="ar"/>
              </w:rPr>
              <w:t>体检环境完全符合项目需求，有专门的体检中心或场所，体检环境分区清晰，</w:t>
            </w:r>
            <w:r>
              <w:rPr>
                <w:rFonts w:hint="eastAsia" w:ascii="宋体" w:hAnsi="宋体" w:eastAsia="宋体" w:cs="宋体"/>
                <w:bCs/>
                <w:color w:val="auto"/>
                <w:kern w:val="0"/>
                <w:sz w:val="21"/>
                <w:szCs w:val="21"/>
                <w:highlight w:val="none"/>
              </w:rPr>
              <w:t>体检面积小于</w:t>
            </w:r>
            <w:r>
              <w:rPr>
                <w:rFonts w:hint="eastAsia" w:ascii="宋体" w:hAnsi="宋体" w:eastAsia="宋体" w:cs="宋体"/>
                <w:bCs/>
                <w:color w:val="auto"/>
                <w:kern w:val="0"/>
                <w:sz w:val="21"/>
                <w:szCs w:val="21"/>
                <w:highlight w:val="none"/>
                <w:lang w:val="en-US" w:eastAsia="zh-CN"/>
              </w:rPr>
              <w:t>等于2</w:t>
            </w:r>
            <w:r>
              <w:rPr>
                <w:rFonts w:hint="eastAsia" w:ascii="宋体" w:hAnsi="宋体" w:eastAsia="宋体" w:cs="宋体"/>
                <w:bCs/>
                <w:color w:val="auto"/>
                <w:kern w:val="0"/>
                <w:sz w:val="21"/>
                <w:szCs w:val="21"/>
                <w:highlight w:val="none"/>
              </w:rPr>
              <w:t>000㎡。</w:t>
            </w:r>
          </w:p>
          <w:p w14:paraId="1769C3DB">
            <w:pPr>
              <w:keepNext w:val="0"/>
              <w:keepLines w:val="0"/>
              <w:pageBreakBefore w:val="0"/>
              <w:kinsoku/>
              <w:overflowPunct/>
              <w:topLinePunct w:val="0"/>
              <w:autoSpaceDE/>
              <w:autoSpaceDN/>
              <w:bidi w:val="0"/>
              <w:spacing w:line="500" w:lineRule="exact"/>
              <w:ind w:firstLine="42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r>
              <w:rPr>
                <w:rFonts w:hint="eastAsia" w:ascii="宋体" w:hAnsi="宋体" w:eastAsia="宋体" w:cs="宋体"/>
                <w:color w:val="auto"/>
                <w:kern w:val="0"/>
                <w:sz w:val="21"/>
                <w:szCs w:val="21"/>
                <w:highlight w:val="none"/>
                <w:lang w:val="en-US" w:eastAsia="zh-CN" w:bidi="ar"/>
              </w:rPr>
              <w:t>体检环境符合项目需求，</w:t>
            </w:r>
            <w:r>
              <w:rPr>
                <w:rFonts w:hint="eastAsia" w:ascii="宋体" w:hAnsi="宋体" w:eastAsia="宋体" w:cs="宋体"/>
                <w:color w:val="auto"/>
                <w:sz w:val="21"/>
                <w:szCs w:val="21"/>
                <w:highlight w:val="none"/>
              </w:rPr>
              <w:t>有</w:t>
            </w:r>
            <w:r>
              <w:rPr>
                <w:rFonts w:hint="eastAsia" w:ascii="宋体" w:hAnsi="宋体" w:eastAsia="宋体" w:cs="宋体"/>
                <w:color w:val="auto"/>
                <w:kern w:val="0"/>
                <w:sz w:val="21"/>
                <w:szCs w:val="21"/>
                <w:highlight w:val="none"/>
                <w:lang w:val="en-US" w:eastAsia="zh-CN" w:bidi="ar"/>
              </w:rPr>
              <w:t>专门的体检中心或场所，体检环境分区清晰，</w:t>
            </w:r>
            <w:r>
              <w:rPr>
                <w:rFonts w:hint="eastAsia" w:ascii="宋体" w:hAnsi="宋体" w:eastAsia="宋体" w:cs="宋体"/>
                <w:color w:val="auto"/>
                <w:kern w:val="2"/>
                <w:sz w:val="21"/>
                <w:szCs w:val="21"/>
                <w:highlight w:val="none"/>
                <w:lang w:val="en-US" w:eastAsia="zh-CN" w:bidi="ar-SA"/>
              </w:rPr>
              <w:t>体检区环境整洁，具有空气调节设备，保持温度适宜和良好通风，</w:t>
            </w:r>
            <w:r>
              <w:rPr>
                <w:rFonts w:hint="eastAsia" w:ascii="宋体" w:hAnsi="宋体" w:eastAsia="宋体" w:cs="宋体"/>
                <w:bCs/>
                <w:color w:val="auto"/>
                <w:kern w:val="0"/>
                <w:sz w:val="21"/>
                <w:szCs w:val="21"/>
                <w:highlight w:val="none"/>
              </w:rPr>
              <w:t>体检面积小于</w:t>
            </w:r>
            <w:r>
              <w:rPr>
                <w:rFonts w:hint="eastAsia" w:ascii="宋体" w:hAnsi="宋体" w:eastAsia="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rPr>
              <w:t>000㎡。</w:t>
            </w:r>
          </w:p>
          <w:p w14:paraId="06F8432F">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eastAsia="宋体" w:cs="宋体"/>
                <w:color w:val="auto"/>
                <w:kern w:val="0"/>
                <w:sz w:val="21"/>
                <w:szCs w:val="21"/>
                <w:highlight w:val="none"/>
                <w:lang w:val="en-US" w:eastAsia="zh-CN" w:bidi="ar"/>
              </w:rPr>
              <w:t>体检环境符合项目需求，</w:t>
            </w:r>
            <w:r>
              <w:rPr>
                <w:rFonts w:hint="eastAsia" w:ascii="宋体" w:hAnsi="宋体" w:eastAsia="宋体" w:cs="宋体"/>
                <w:bCs/>
                <w:color w:val="auto"/>
                <w:kern w:val="0"/>
                <w:sz w:val="21"/>
                <w:szCs w:val="21"/>
                <w:highlight w:val="none"/>
              </w:rPr>
              <w:t>有专门的体检中心或场所，</w:t>
            </w:r>
            <w:r>
              <w:rPr>
                <w:rFonts w:hint="eastAsia" w:ascii="宋体" w:hAnsi="宋体" w:eastAsia="宋体" w:cs="宋体"/>
                <w:color w:val="auto"/>
                <w:kern w:val="0"/>
                <w:sz w:val="21"/>
                <w:szCs w:val="21"/>
                <w:highlight w:val="none"/>
                <w:lang w:val="en-US" w:eastAsia="zh-CN" w:bidi="ar"/>
              </w:rPr>
              <w:t>体检环境分区清晰，</w:t>
            </w:r>
            <w:r>
              <w:rPr>
                <w:rFonts w:hint="eastAsia" w:ascii="宋体" w:hAnsi="宋体" w:eastAsia="宋体" w:cs="宋体"/>
                <w:color w:val="auto"/>
                <w:kern w:val="2"/>
                <w:sz w:val="21"/>
                <w:szCs w:val="21"/>
                <w:highlight w:val="none"/>
                <w:lang w:val="en-US" w:eastAsia="zh-CN" w:bidi="ar-SA"/>
              </w:rPr>
              <w:t>体检区环境整洁，具有有空气调节设备，保持温度适宜和良好通风，</w:t>
            </w:r>
            <w:r>
              <w:rPr>
                <w:rFonts w:hint="eastAsia" w:ascii="宋体" w:hAnsi="宋体" w:eastAsia="宋体" w:cs="宋体"/>
                <w:bCs/>
                <w:color w:val="auto"/>
                <w:kern w:val="0"/>
                <w:sz w:val="21"/>
                <w:szCs w:val="21"/>
                <w:highlight w:val="none"/>
              </w:rPr>
              <w:t>体检面积</w:t>
            </w:r>
            <w:r>
              <w:rPr>
                <w:rFonts w:hint="eastAsia" w:ascii="宋体" w:hAnsi="宋体" w:eastAsia="宋体" w:cs="宋体"/>
                <w:bCs/>
                <w:color w:val="auto"/>
                <w:kern w:val="0"/>
                <w:sz w:val="21"/>
                <w:szCs w:val="21"/>
                <w:highlight w:val="none"/>
                <w:lang w:val="en-US" w:eastAsia="zh-CN"/>
              </w:rPr>
              <w:t>大于等于50</w:t>
            </w:r>
            <w:r>
              <w:rPr>
                <w:rFonts w:hint="eastAsia" w:ascii="宋体" w:hAnsi="宋体" w:eastAsia="宋体" w:cs="宋体"/>
                <w:bCs/>
                <w:color w:val="auto"/>
                <w:kern w:val="0"/>
                <w:sz w:val="21"/>
                <w:szCs w:val="21"/>
                <w:highlight w:val="none"/>
              </w:rPr>
              <w:t>00㎡</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color w:val="auto"/>
                <w:sz w:val="21"/>
                <w:szCs w:val="21"/>
                <w:highlight w:val="none"/>
              </w:rPr>
              <w:t>分设男宾检区、女宾检区、公共检区及VIP贵宾区，内部环境舒适、优雅、私密等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VIP贵宾区能一对一进行体检服务</w:t>
            </w:r>
            <w:r>
              <w:rPr>
                <w:rFonts w:hint="eastAsia" w:ascii="宋体" w:hAnsi="宋体" w:eastAsia="宋体" w:cs="宋体"/>
                <w:bCs/>
                <w:color w:val="auto"/>
                <w:kern w:val="0"/>
                <w:sz w:val="21"/>
                <w:szCs w:val="21"/>
                <w:highlight w:val="none"/>
              </w:rPr>
              <w:t>。能合理分诊，配备有智能导检系统，实现全流程智能叫号导检，体检流程便捷顺畅，能实现“一站式”服务，即进入体检中心后可以完成所有的体检项目；体检中心有独立的专属餐厅提供免费早餐、饮用水</w:t>
            </w:r>
            <w:r>
              <w:rPr>
                <w:rFonts w:hint="eastAsia" w:ascii="宋体" w:hAnsi="宋体" w:eastAsia="宋体" w:cs="宋体"/>
                <w:bCs/>
                <w:color w:val="auto"/>
                <w:kern w:val="0"/>
                <w:sz w:val="21"/>
                <w:szCs w:val="21"/>
                <w:highlight w:val="none"/>
                <w:lang w:eastAsia="zh-CN"/>
              </w:rPr>
              <w:t>。</w:t>
            </w:r>
          </w:p>
          <w:p w14:paraId="1B50921B">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kern w:val="2"/>
                <w:sz w:val="21"/>
                <w:szCs w:val="21"/>
                <w:highlight w:val="none"/>
                <w:lang w:val="en-US" w:eastAsia="zh-CN" w:bidi="ar-SA"/>
              </w:rPr>
              <w:t>体检场所说明至少包括面积、配套设施、功能分区，附照片，</w:t>
            </w:r>
            <w:r>
              <w:rPr>
                <w:rFonts w:hint="eastAsia" w:ascii="宋体" w:hAnsi="宋体" w:eastAsia="宋体" w:cs="宋体"/>
                <w:color w:val="auto"/>
                <w:spacing w:val="6"/>
                <w:kern w:val="48"/>
                <w:sz w:val="21"/>
                <w:szCs w:val="21"/>
                <w:highlight w:val="none"/>
                <w:lang w:val="en-US" w:eastAsia="zh-CN"/>
              </w:rPr>
              <w:t>未达到一档要求的不得分。</w:t>
            </w:r>
          </w:p>
        </w:tc>
        <w:tc>
          <w:tcPr>
            <w:tcW w:w="562" w:type="pct"/>
            <w:noWrap w:val="0"/>
            <w:vAlign w:val="center"/>
          </w:tcPr>
          <w:p w14:paraId="7154451A">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10分</w:t>
            </w:r>
          </w:p>
        </w:tc>
      </w:tr>
      <w:tr w14:paraId="1DCB4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8" w:type="pct"/>
            <w:shd w:val="clear" w:color="auto" w:fill="auto"/>
            <w:noWrap w:val="0"/>
            <w:vAlign w:val="center"/>
          </w:tcPr>
          <w:p w14:paraId="57A53575">
            <w:pPr>
              <w:keepNext w:val="0"/>
              <w:keepLines w:val="0"/>
              <w:pageBreakBefore w:val="0"/>
              <w:kinsoku/>
              <w:overflowPunct/>
              <w:topLinePunct w:val="0"/>
              <w:autoSpaceDE/>
              <w:autoSpaceDN/>
              <w:bidi w:val="0"/>
              <w:adjustRightInd w:val="0"/>
              <w:spacing w:line="500" w:lineRule="exact"/>
              <w:ind w:left="-105" w:leftChars="-50" w:right="-105" w:rightChars="-5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2.3</w:t>
            </w:r>
          </w:p>
        </w:tc>
        <w:tc>
          <w:tcPr>
            <w:tcW w:w="719" w:type="pct"/>
            <w:shd w:val="clear" w:color="auto" w:fill="auto"/>
            <w:noWrap w:val="0"/>
            <w:vAlign w:val="center"/>
          </w:tcPr>
          <w:p w14:paraId="408AFE33">
            <w:pPr>
              <w:pStyle w:val="52"/>
              <w:keepNext w:val="0"/>
              <w:keepLines w:val="0"/>
              <w:pageBreakBefore w:val="0"/>
              <w:kinsoku/>
              <w:overflowPunct/>
              <w:topLinePunct w:val="0"/>
              <w:autoSpaceDE/>
              <w:autoSpaceDN/>
              <w:bidi w:val="0"/>
              <w:spacing w:line="50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售后服务方案</w:t>
            </w: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10分</w:t>
            </w:r>
            <w:r>
              <w:rPr>
                <w:rFonts w:hint="eastAsia" w:ascii="宋体" w:hAnsi="宋体" w:eastAsia="宋体" w:cs="宋体"/>
                <w:b w:val="0"/>
                <w:bCs/>
                <w:color w:val="auto"/>
                <w:kern w:val="0"/>
                <w:sz w:val="21"/>
                <w:szCs w:val="21"/>
                <w:highlight w:val="none"/>
                <w:lang w:eastAsia="zh-CN"/>
              </w:rPr>
              <w:t>）</w:t>
            </w:r>
          </w:p>
        </w:tc>
        <w:tc>
          <w:tcPr>
            <w:tcW w:w="3260" w:type="pct"/>
            <w:shd w:val="clear" w:color="auto" w:fill="auto"/>
            <w:noWrap w:val="0"/>
            <w:vAlign w:val="center"/>
          </w:tcPr>
          <w:p w14:paraId="24E4918D">
            <w:pPr>
              <w:pStyle w:val="12"/>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评委根据供应商的响应文件提供的内容进行评审，在相应档次内进行独立打分。</w:t>
            </w:r>
          </w:p>
          <w:p w14:paraId="7C1DB666">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有基本的服务承诺，但</w:t>
            </w:r>
            <w:r>
              <w:rPr>
                <w:rFonts w:hint="eastAsia" w:ascii="宋体" w:hAnsi="宋体" w:eastAsia="宋体" w:cs="宋体"/>
                <w:bCs/>
                <w:color w:val="auto"/>
                <w:kern w:val="0"/>
                <w:sz w:val="21"/>
                <w:szCs w:val="21"/>
                <w:highlight w:val="none"/>
              </w:rPr>
              <w:t>方案简单</w:t>
            </w: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lang w:val="en-US" w:eastAsia="zh-CN"/>
              </w:rPr>
              <w:t>缺乏</w:t>
            </w:r>
            <w:r>
              <w:rPr>
                <w:rFonts w:hint="eastAsia" w:ascii="宋体" w:hAnsi="宋体" w:eastAsia="宋体" w:cs="宋体"/>
                <w:bCs/>
                <w:color w:val="auto"/>
                <w:kern w:val="0"/>
                <w:sz w:val="21"/>
                <w:szCs w:val="21"/>
                <w:highlight w:val="none"/>
              </w:rPr>
              <w:t>针对性</w:t>
            </w:r>
            <w:r>
              <w:rPr>
                <w:rFonts w:hint="eastAsia" w:ascii="宋体" w:hAnsi="宋体" w:cs="宋体"/>
                <w:bCs/>
                <w:color w:val="auto"/>
                <w:kern w:val="0"/>
                <w:sz w:val="21"/>
                <w:szCs w:val="21"/>
                <w:highlight w:val="none"/>
                <w:lang w:val="en-US" w:eastAsia="zh-CN"/>
              </w:rPr>
              <w:t>和具体保障措施</w:t>
            </w:r>
            <w:r>
              <w:rPr>
                <w:rFonts w:hint="eastAsia" w:ascii="宋体" w:hAnsi="宋体" w:eastAsia="宋体" w:cs="宋体"/>
                <w:bCs/>
                <w:color w:val="auto"/>
                <w:kern w:val="0"/>
                <w:sz w:val="21"/>
                <w:szCs w:val="21"/>
                <w:highlight w:val="none"/>
                <w:lang w:eastAsia="zh-CN"/>
              </w:rPr>
              <w:t>。</w:t>
            </w:r>
          </w:p>
          <w:p w14:paraId="77FC5A32">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分）：售后服务</w:t>
            </w:r>
            <w:r>
              <w:rPr>
                <w:rFonts w:hint="eastAsia" w:ascii="宋体" w:hAnsi="宋体" w:cs="宋体"/>
                <w:color w:val="auto"/>
                <w:sz w:val="21"/>
                <w:szCs w:val="21"/>
                <w:highlight w:val="none"/>
                <w:lang w:val="en-US" w:eastAsia="zh-CN"/>
              </w:rPr>
              <w:t>与保障</w:t>
            </w:r>
            <w:r>
              <w:rPr>
                <w:rFonts w:hint="eastAsia" w:ascii="宋体" w:hAnsi="宋体" w:eastAsia="宋体" w:cs="宋体"/>
                <w:color w:val="auto"/>
                <w:sz w:val="21"/>
                <w:szCs w:val="21"/>
                <w:highlight w:val="none"/>
              </w:rPr>
              <w:t>方案</w:t>
            </w:r>
            <w:r>
              <w:rPr>
                <w:rFonts w:hint="eastAsia" w:ascii="宋体" w:hAnsi="宋体" w:cs="宋体"/>
                <w:color w:val="auto"/>
                <w:sz w:val="21"/>
                <w:szCs w:val="21"/>
                <w:highlight w:val="none"/>
                <w:lang w:val="en-US" w:eastAsia="zh-CN"/>
              </w:rPr>
              <w:t>较完整</w:t>
            </w:r>
            <w:r>
              <w:rPr>
                <w:rFonts w:hint="eastAsia" w:ascii="宋体" w:hAnsi="宋体" w:eastAsia="宋体" w:cs="宋体"/>
                <w:color w:val="auto"/>
                <w:sz w:val="21"/>
                <w:szCs w:val="21"/>
                <w:highlight w:val="none"/>
              </w:rPr>
              <w:t>，承诺</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个工作日内提供检查报告，</w:t>
            </w:r>
            <w:r>
              <w:rPr>
                <w:rFonts w:hint="eastAsia" w:ascii="宋体" w:hAnsi="宋体" w:cs="宋体"/>
                <w:bCs/>
                <w:color w:val="auto"/>
                <w:kern w:val="0"/>
                <w:sz w:val="21"/>
                <w:szCs w:val="21"/>
                <w:highlight w:val="none"/>
                <w:lang w:val="en-US" w:eastAsia="zh-CN"/>
              </w:rPr>
              <w:t>具备明确的检后咨询渠道和问题反馈流程</w:t>
            </w:r>
            <w:r>
              <w:rPr>
                <w:rFonts w:hint="eastAsia" w:ascii="宋体" w:hAnsi="宋体" w:eastAsia="宋体" w:cs="宋体"/>
                <w:bCs/>
                <w:color w:val="auto"/>
                <w:kern w:val="0"/>
                <w:sz w:val="21"/>
                <w:szCs w:val="21"/>
                <w:highlight w:val="none"/>
              </w:rPr>
              <w:t>。</w:t>
            </w:r>
          </w:p>
          <w:p w14:paraId="65FCBA33">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default" w:ascii="宋体" w:hAnsi="宋体" w:eastAsia="宋体" w:cs="宋体"/>
                <w:bCs/>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在满足二档基础上</w:t>
            </w:r>
            <w:r>
              <w:rPr>
                <w:rFonts w:hint="eastAsia" w:ascii="宋体" w:hAnsi="宋体" w:eastAsia="宋体" w:cs="宋体"/>
                <w:color w:val="auto"/>
                <w:sz w:val="21"/>
                <w:szCs w:val="21"/>
                <w:highlight w:val="none"/>
              </w:rPr>
              <w:t>，承诺</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个工作日内提供检查报告，</w:t>
            </w:r>
            <w:r>
              <w:rPr>
                <w:rFonts w:hint="eastAsia" w:ascii="宋体" w:hAnsi="宋体" w:cs="宋体"/>
                <w:bCs/>
                <w:color w:val="auto"/>
                <w:kern w:val="0"/>
                <w:sz w:val="21"/>
                <w:szCs w:val="21"/>
                <w:highlight w:val="none"/>
                <w:lang w:val="en-US" w:eastAsia="zh-CN"/>
              </w:rPr>
              <w:t>售后服务机制更完善，明确设立专人对接或客户服务团队，提供标准化的报告送达与通知服务</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方案中包含对常见健康问题的标准化响应流程。</w:t>
            </w:r>
          </w:p>
          <w:p w14:paraId="2F3600C3">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在满足三档基础上，</w:t>
            </w:r>
            <w:r>
              <w:rPr>
                <w:rFonts w:hint="eastAsia" w:ascii="宋体" w:hAnsi="宋体" w:eastAsia="宋体" w:cs="宋体"/>
                <w:color w:val="auto"/>
                <w:sz w:val="21"/>
                <w:szCs w:val="21"/>
                <w:highlight w:val="none"/>
              </w:rPr>
              <w:t>承诺1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个工作日内提供检查报告，</w:t>
            </w:r>
            <w:r>
              <w:rPr>
                <w:rFonts w:hint="eastAsia" w:ascii="宋体" w:hAnsi="宋体" w:cs="宋体"/>
                <w:bCs/>
                <w:color w:val="auto"/>
                <w:kern w:val="0"/>
                <w:sz w:val="21"/>
                <w:szCs w:val="21"/>
                <w:highlight w:val="none"/>
                <w:lang w:val="en-US" w:eastAsia="zh-CN"/>
              </w:rPr>
              <w:t>体现高效运营能力。提供系统化、可追溯的服务保障体系，详细列明从报告生成、审核、传送到通知的闭环流程；承诺对采购人的团体汇总报告进行解读对接；明确针对报告异常者的主动随访计划、以及协助预约就诊的绿色通道响应时效（如接到需求后X小时内响应）等具体、可考核的服务承诺。</w:t>
            </w:r>
          </w:p>
          <w:p w14:paraId="31FEB4FF">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pacing w:val="6"/>
                <w:kern w:val="48"/>
                <w:sz w:val="21"/>
                <w:szCs w:val="21"/>
                <w:highlight w:val="none"/>
                <w:lang w:val="en-US" w:eastAsia="zh-CN"/>
              </w:rPr>
              <w:t>未达到一档要求的不得分。</w:t>
            </w:r>
          </w:p>
        </w:tc>
        <w:tc>
          <w:tcPr>
            <w:tcW w:w="562" w:type="pct"/>
            <w:noWrap w:val="0"/>
            <w:vAlign w:val="center"/>
          </w:tcPr>
          <w:p w14:paraId="5222F581">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10分</w:t>
            </w:r>
          </w:p>
        </w:tc>
      </w:tr>
      <w:tr w14:paraId="468C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8" w:type="pct"/>
            <w:shd w:val="clear" w:color="auto" w:fill="auto"/>
            <w:noWrap w:val="0"/>
            <w:vAlign w:val="center"/>
          </w:tcPr>
          <w:p w14:paraId="693ED4C2">
            <w:pPr>
              <w:keepNext w:val="0"/>
              <w:keepLines w:val="0"/>
              <w:pageBreakBefore w:val="0"/>
              <w:kinsoku/>
              <w:overflowPunct/>
              <w:topLinePunct w:val="0"/>
              <w:autoSpaceDE/>
              <w:autoSpaceDN/>
              <w:bidi w:val="0"/>
              <w:adjustRightInd w:val="0"/>
              <w:spacing w:line="500" w:lineRule="exact"/>
              <w:ind w:left="-105" w:leftChars="-50" w:right="-105" w:rightChars="-5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2.4</w:t>
            </w:r>
          </w:p>
        </w:tc>
        <w:tc>
          <w:tcPr>
            <w:tcW w:w="719" w:type="pct"/>
            <w:shd w:val="clear" w:color="auto" w:fill="auto"/>
            <w:noWrap w:val="0"/>
            <w:vAlign w:val="center"/>
          </w:tcPr>
          <w:p w14:paraId="73E552B0">
            <w:pPr>
              <w:pStyle w:val="52"/>
              <w:keepNext w:val="0"/>
              <w:keepLines w:val="0"/>
              <w:pageBreakBefore w:val="0"/>
              <w:kinsoku/>
              <w:overflowPunct/>
              <w:topLinePunct w:val="0"/>
              <w:autoSpaceDE/>
              <w:autoSpaceDN/>
              <w:bidi w:val="0"/>
              <w:spacing w:line="50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rPr>
              <w:t>信息系统</w:t>
            </w: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12分</w:t>
            </w:r>
            <w:r>
              <w:rPr>
                <w:rFonts w:hint="eastAsia" w:ascii="宋体" w:hAnsi="宋体" w:eastAsia="宋体" w:cs="宋体"/>
                <w:b w:val="0"/>
                <w:bCs/>
                <w:color w:val="auto"/>
                <w:kern w:val="0"/>
                <w:sz w:val="21"/>
                <w:szCs w:val="21"/>
                <w:highlight w:val="none"/>
                <w:lang w:eastAsia="zh-CN"/>
              </w:rPr>
              <w:t>）</w:t>
            </w:r>
          </w:p>
        </w:tc>
        <w:tc>
          <w:tcPr>
            <w:tcW w:w="3260" w:type="pct"/>
            <w:shd w:val="clear" w:color="auto" w:fill="auto"/>
            <w:noWrap w:val="0"/>
            <w:vAlign w:val="center"/>
          </w:tcPr>
          <w:p w14:paraId="0D26B2E7">
            <w:pPr>
              <w:pStyle w:val="12"/>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评委根据供应商的响应文件提供的内容进行评审，在相应档次内进行独立打分。</w:t>
            </w:r>
          </w:p>
          <w:p w14:paraId="7A3B7B83">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有健康管理系统，但实现功能单一。</w:t>
            </w:r>
          </w:p>
          <w:p w14:paraId="2AD828E7">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有健康管理系统、体检系统，但实现功能单一。</w:t>
            </w:r>
          </w:p>
          <w:p w14:paraId="7E1F2FFC">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有健康管理系统，体检系统，</w:t>
            </w:r>
            <w:r>
              <w:rPr>
                <w:rFonts w:hint="eastAsia" w:ascii="宋体" w:hAnsi="宋体" w:eastAsia="宋体" w:cs="宋体"/>
                <w:color w:val="auto"/>
                <w:sz w:val="21"/>
                <w:szCs w:val="21"/>
                <w:highlight w:val="none"/>
              </w:rPr>
              <w:t>能</w:t>
            </w:r>
            <w:r>
              <w:rPr>
                <w:rFonts w:hint="eastAsia" w:ascii="宋体" w:hAnsi="宋体" w:eastAsia="宋体" w:cs="宋体"/>
                <w:color w:val="auto"/>
                <w:sz w:val="21"/>
                <w:szCs w:val="21"/>
                <w:highlight w:val="none"/>
                <w:lang w:val="en-US" w:eastAsia="zh-CN"/>
              </w:rPr>
              <w:t>整合管理数据，提供个性化报告和健康建议。能实现体检项目中的化验及仪器检查结果与门诊就医系统共享。</w:t>
            </w:r>
          </w:p>
          <w:p w14:paraId="702C4EA4">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分）：有完善的健康管理系统并且有相对应的</w:t>
            </w:r>
            <w:r>
              <w:rPr>
                <w:rFonts w:hint="eastAsia" w:ascii="宋体" w:hAnsi="宋体" w:eastAsia="宋体" w:cs="宋体"/>
                <w:color w:val="auto"/>
                <w:sz w:val="21"/>
                <w:szCs w:val="21"/>
                <w:highlight w:val="none"/>
                <w:lang w:val="en-US" w:eastAsia="zh-CN"/>
              </w:rPr>
              <w:t>科学</w:t>
            </w:r>
            <w:r>
              <w:rPr>
                <w:rFonts w:hint="eastAsia" w:ascii="宋体" w:hAnsi="宋体" w:eastAsia="宋体" w:cs="宋体"/>
                <w:color w:val="auto"/>
                <w:sz w:val="21"/>
                <w:szCs w:val="21"/>
                <w:highlight w:val="none"/>
              </w:rPr>
              <w:t>健康管理平台，能对健康档案分类管理、监测、抓取异常。对影响健康的危险因素进行全面评估，制定并实施规范化、个体化、连续性的综合治疗干预方案，实现疾病诊疗和健康管理效果的最大</w:t>
            </w:r>
            <w:r>
              <w:rPr>
                <w:rFonts w:hint="eastAsia" w:ascii="宋体" w:hAnsi="宋体" w:cs="宋体"/>
                <w:color w:val="auto"/>
                <w:sz w:val="21"/>
                <w:szCs w:val="21"/>
                <w:highlight w:val="none"/>
                <w:lang w:val="en-US" w:eastAsia="zh-CN"/>
              </w:rPr>
              <w:t>化</w:t>
            </w:r>
            <w:r>
              <w:rPr>
                <w:rFonts w:hint="eastAsia" w:ascii="宋体" w:hAnsi="宋体" w:eastAsia="宋体" w:cs="宋体"/>
                <w:color w:val="auto"/>
                <w:sz w:val="21"/>
                <w:szCs w:val="21"/>
                <w:highlight w:val="none"/>
                <w:lang w:eastAsia="zh-CN"/>
              </w:rPr>
              <w:t>。</w:t>
            </w:r>
          </w:p>
          <w:p w14:paraId="1DAFF34B">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pacing w:val="6"/>
                <w:kern w:val="48"/>
                <w:sz w:val="21"/>
                <w:szCs w:val="21"/>
                <w:highlight w:val="none"/>
                <w:lang w:val="en-US" w:eastAsia="zh-CN"/>
              </w:rPr>
              <w:t>未达到一档要求的不得分。</w:t>
            </w:r>
          </w:p>
        </w:tc>
        <w:tc>
          <w:tcPr>
            <w:tcW w:w="562" w:type="pct"/>
            <w:noWrap w:val="0"/>
            <w:vAlign w:val="center"/>
          </w:tcPr>
          <w:p w14:paraId="3CE87044">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12分</w:t>
            </w:r>
          </w:p>
        </w:tc>
      </w:tr>
      <w:tr w14:paraId="49B1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8" w:type="pct"/>
            <w:shd w:val="clear" w:color="auto" w:fill="auto"/>
            <w:noWrap w:val="0"/>
            <w:vAlign w:val="center"/>
          </w:tcPr>
          <w:p w14:paraId="1CEB0B4C">
            <w:pPr>
              <w:keepNext w:val="0"/>
              <w:keepLines w:val="0"/>
              <w:pageBreakBefore w:val="0"/>
              <w:kinsoku/>
              <w:overflowPunct/>
              <w:topLinePunct w:val="0"/>
              <w:autoSpaceDE/>
              <w:autoSpaceDN/>
              <w:bidi w:val="0"/>
              <w:adjustRightInd w:val="0"/>
              <w:spacing w:line="500" w:lineRule="exact"/>
              <w:ind w:left="-105" w:leftChars="-50" w:right="-105" w:rightChars="-50"/>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2.5</w:t>
            </w:r>
          </w:p>
        </w:tc>
        <w:tc>
          <w:tcPr>
            <w:tcW w:w="719" w:type="pct"/>
            <w:shd w:val="clear" w:color="auto" w:fill="auto"/>
            <w:noWrap w:val="0"/>
            <w:vAlign w:val="center"/>
          </w:tcPr>
          <w:p w14:paraId="4E81E074">
            <w:pPr>
              <w:keepNext w:val="0"/>
              <w:keepLines w:val="0"/>
              <w:pageBreakBefore w:val="0"/>
              <w:kinsoku/>
              <w:overflowPunct/>
              <w:topLinePunct w:val="0"/>
              <w:autoSpaceDE/>
              <w:autoSpaceDN/>
              <w:bidi w:val="0"/>
              <w:adjustRightInd w:val="0"/>
              <w:spacing w:line="500" w:lineRule="exact"/>
              <w:jc w:val="center"/>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sz w:val="21"/>
                <w:szCs w:val="21"/>
                <w:highlight w:val="none"/>
              </w:rPr>
              <w:t>人员保障分</w:t>
            </w: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10分</w:t>
            </w:r>
            <w:r>
              <w:rPr>
                <w:rFonts w:hint="eastAsia" w:ascii="宋体" w:hAnsi="宋体" w:eastAsia="宋体" w:cs="宋体"/>
                <w:b w:val="0"/>
                <w:bCs/>
                <w:color w:val="auto"/>
                <w:kern w:val="0"/>
                <w:sz w:val="21"/>
                <w:szCs w:val="21"/>
                <w:highlight w:val="none"/>
                <w:lang w:eastAsia="zh-CN"/>
              </w:rPr>
              <w:t>）</w:t>
            </w:r>
          </w:p>
        </w:tc>
        <w:tc>
          <w:tcPr>
            <w:tcW w:w="3260" w:type="pct"/>
            <w:shd w:val="clear" w:color="auto" w:fill="auto"/>
            <w:noWrap w:val="0"/>
            <w:vAlign w:val="center"/>
          </w:tcPr>
          <w:p w14:paraId="559BFF6F">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评委根据供应商的响应文件提供的内容进行评审，在相应档次内进行独立打分。</w:t>
            </w:r>
          </w:p>
          <w:p w14:paraId="3DDAB550">
            <w:pPr>
              <w:keepNext w:val="0"/>
              <w:keepLines w:val="0"/>
              <w:pageBreakBefore w:val="0"/>
              <w:kinsoku/>
              <w:overflowPunct/>
              <w:topLinePunct w:val="0"/>
              <w:autoSpaceDE/>
              <w:autoSpaceDN/>
              <w:bidi w:val="0"/>
              <w:snapToGrid w:val="0"/>
              <w:spacing w:line="500" w:lineRule="exact"/>
              <w:ind w:firstLine="420" w:firstLineChars="200"/>
              <w:jc w:val="left"/>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一档（4分）：拟投入为本次体检服务的医务人员人数达20人（含）及以上。</w:t>
            </w:r>
          </w:p>
          <w:p w14:paraId="2264BE09">
            <w:pPr>
              <w:keepNext w:val="0"/>
              <w:keepLines w:val="0"/>
              <w:pageBreakBefore w:val="0"/>
              <w:kinsoku/>
              <w:overflowPunct/>
              <w:topLinePunct w:val="0"/>
              <w:autoSpaceDE/>
              <w:autoSpaceDN/>
              <w:bidi w:val="0"/>
              <w:snapToGrid w:val="0"/>
              <w:spacing w:line="500" w:lineRule="exact"/>
              <w:ind w:firstLine="420" w:firstLineChars="200"/>
              <w:jc w:val="left"/>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二档（6分）：拟投入为本次体检服务的医务人员人数达20人（含）及以上，具有中级职称（含）及以上的人员为8人（含）及以上；</w:t>
            </w:r>
            <w:r>
              <w:rPr>
                <w:rFonts w:hint="eastAsia" w:ascii="宋体" w:hAnsi="宋体" w:eastAsia="宋体" w:cs="宋体"/>
                <w:color w:val="auto"/>
                <w:sz w:val="21"/>
                <w:szCs w:val="21"/>
                <w:highlight w:val="none"/>
                <w:lang w:eastAsia="zh-CN"/>
              </w:rPr>
              <w:t>人员配备仅满足项目需求</w:t>
            </w:r>
            <w:r>
              <w:rPr>
                <w:rFonts w:hint="eastAsia" w:ascii="宋体" w:hAnsi="宋体" w:eastAsia="宋体" w:cs="宋体"/>
                <w:bCs/>
                <w:color w:val="auto"/>
                <w:kern w:val="0"/>
                <w:sz w:val="21"/>
                <w:szCs w:val="21"/>
                <w:highlight w:val="none"/>
                <w:lang w:val="en-US" w:eastAsia="zh-CN"/>
              </w:rPr>
              <w:t>，人员资质仅能满足本项目进度计划的。</w:t>
            </w:r>
          </w:p>
          <w:p w14:paraId="4D1C0BBB">
            <w:pPr>
              <w:keepNext w:val="0"/>
              <w:keepLines w:val="0"/>
              <w:pageBreakBefore w:val="0"/>
              <w:kinsoku/>
              <w:overflowPunct/>
              <w:topLinePunct w:val="0"/>
              <w:autoSpaceDE/>
              <w:autoSpaceDN/>
              <w:bidi w:val="0"/>
              <w:snapToGrid w:val="0"/>
              <w:spacing w:line="500" w:lineRule="exact"/>
              <w:ind w:firstLine="420" w:firstLineChars="200"/>
              <w:jc w:val="left"/>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三档（8分）：拟投入为本次体检服务的医务人员人数达22人（含）及以上，具有中级职称的人员为10人（含）及以上,具有高级职称的人员为4人（含）及以上；</w:t>
            </w:r>
            <w:r>
              <w:rPr>
                <w:rFonts w:hint="eastAsia" w:ascii="宋体" w:hAnsi="宋体" w:eastAsia="宋体" w:cs="宋体"/>
                <w:color w:val="auto"/>
                <w:sz w:val="21"/>
                <w:szCs w:val="21"/>
                <w:highlight w:val="none"/>
                <w:lang w:eastAsia="zh-CN"/>
              </w:rPr>
              <w:t>人员配备满足项目需求</w:t>
            </w:r>
            <w:r>
              <w:rPr>
                <w:rFonts w:hint="eastAsia" w:ascii="宋体" w:hAnsi="宋体" w:eastAsia="宋体" w:cs="宋体"/>
                <w:bCs/>
                <w:color w:val="auto"/>
                <w:kern w:val="0"/>
                <w:sz w:val="21"/>
                <w:szCs w:val="21"/>
                <w:highlight w:val="none"/>
                <w:lang w:val="en-US" w:eastAsia="zh-CN"/>
              </w:rPr>
              <w:t>，人员资质较好满足本项目进度计划的。</w:t>
            </w:r>
          </w:p>
          <w:p w14:paraId="22BF6FF8">
            <w:pPr>
              <w:keepNext w:val="0"/>
              <w:keepLines w:val="0"/>
              <w:pageBreakBefore w:val="0"/>
              <w:kinsoku/>
              <w:overflowPunct/>
              <w:topLinePunct w:val="0"/>
              <w:autoSpaceDE/>
              <w:autoSpaceDN/>
              <w:bidi w:val="0"/>
              <w:snapToGrid w:val="0"/>
              <w:spacing w:line="500" w:lineRule="exact"/>
              <w:ind w:firstLine="420" w:firstLineChars="200"/>
              <w:jc w:val="left"/>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四档（10分）：拟投入为本次体检服务的医务人员人数达25人（含）及以上，具有中级职称的人员为12人（含）及以上,具有高级职称的人员为6人（含）及以上。拟投入人员临床经验丰富、技术水平较高，</w:t>
            </w:r>
            <w:r>
              <w:rPr>
                <w:rFonts w:hint="eastAsia" w:ascii="宋体" w:hAnsi="宋体" w:eastAsia="宋体" w:cs="宋体"/>
                <w:color w:val="auto"/>
                <w:sz w:val="21"/>
                <w:szCs w:val="21"/>
                <w:highlight w:val="none"/>
                <w:lang w:eastAsia="zh-CN"/>
              </w:rPr>
              <w:t>人员配备满足项目需求</w:t>
            </w:r>
            <w:r>
              <w:rPr>
                <w:rFonts w:hint="eastAsia" w:ascii="宋体" w:hAnsi="宋体" w:eastAsia="宋体" w:cs="宋体"/>
                <w:color w:val="auto"/>
                <w:sz w:val="21"/>
                <w:szCs w:val="21"/>
                <w:highlight w:val="none"/>
              </w:rPr>
              <w:t>且经验及综合素质优秀</w:t>
            </w:r>
            <w:r>
              <w:rPr>
                <w:rFonts w:hint="eastAsia" w:ascii="宋体" w:hAnsi="宋体" w:eastAsia="宋体" w:cs="宋体"/>
                <w:bCs/>
                <w:color w:val="auto"/>
                <w:kern w:val="0"/>
                <w:sz w:val="21"/>
                <w:szCs w:val="21"/>
                <w:highlight w:val="none"/>
                <w:lang w:val="en-US" w:eastAsia="zh-CN"/>
              </w:rPr>
              <w:t>，人员资质完全能满足本项目进度计划的。</w:t>
            </w:r>
          </w:p>
          <w:p w14:paraId="3696D28F">
            <w:pPr>
              <w:keepNext w:val="0"/>
              <w:keepLines w:val="0"/>
              <w:pageBreakBefore w:val="0"/>
              <w:widowControl w:val="0"/>
              <w:kinsoku/>
              <w:wordWrap w:val="0"/>
              <w:overflowPunct/>
              <w:topLinePunct w:val="0"/>
              <w:autoSpaceDE/>
              <w:autoSpaceDN/>
              <w:bidi w:val="0"/>
              <w:adjustRightInd/>
              <w:snapToGrid/>
              <w:spacing w:line="500" w:lineRule="exact"/>
              <w:ind w:firstLine="444" w:firstLineChars="200"/>
              <w:textAlignment w:val="auto"/>
              <w:rPr>
                <w:rFonts w:hint="eastAsia" w:ascii="宋体" w:hAnsi="宋体" w:eastAsia="宋体" w:cs="宋体"/>
                <w:color w:val="auto"/>
                <w:spacing w:val="6"/>
                <w:kern w:val="48"/>
                <w:sz w:val="21"/>
                <w:szCs w:val="21"/>
                <w:highlight w:val="none"/>
                <w:lang w:val="en-US" w:eastAsia="zh-CN"/>
              </w:rPr>
            </w:pPr>
            <w:r>
              <w:rPr>
                <w:rFonts w:hint="eastAsia" w:ascii="宋体" w:hAnsi="宋体" w:eastAsia="宋体" w:cs="宋体"/>
                <w:color w:val="auto"/>
                <w:spacing w:val="6"/>
                <w:kern w:val="48"/>
                <w:sz w:val="21"/>
                <w:szCs w:val="21"/>
                <w:highlight w:val="none"/>
                <w:lang w:val="en-US" w:eastAsia="zh-CN"/>
              </w:rPr>
              <w:t>注：</w:t>
            </w:r>
          </w:p>
          <w:p w14:paraId="3C87375B">
            <w:pPr>
              <w:keepNext w:val="0"/>
              <w:keepLines w:val="0"/>
              <w:pageBreakBefore w:val="0"/>
              <w:widowControl w:val="0"/>
              <w:kinsoku/>
              <w:wordWrap w:val="0"/>
              <w:overflowPunct/>
              <w:topLinePunct w:val="0"/>
              <w:autoSpaceDE/>
              <w:autoSpaceDN/>
              <w:bidi w:val="0"/>
              <w:adjustRightInd/>
              <w:snapToGrid/>
              <w:spacing w:line="500" w:lineRule="exact"/>
              <w:ind w:firstLine="444" w:firstLineChars="200"/>
              <w:textAlignment w:val="auto"/>
              <w:rPr>
                <w:rFonts w:hint="eastAsia" w:ascii="宋体" w:hAnsi="宋体" w:eastAsia="宋体" w:cs="宋体"/>
                <w:color w:val="auto"/>
                <w:spacing w:val="6"/>
                <w:kern w:val="48"/>
                <w:sz w:val="21"/>
                <w:szCs w:val="21"/>
                <w:highlight w:val="none"/>
                <w:lang w:val="en-US" w:eastAsia="zh-CN"/>
              </w:rPr>
            </w:pPr>
            <w:r>
              <w:rPr>
                <w:rFonts w:hint="eastAsia" w:ascii="宋体" w:hAnsi="宋体" w:eastAsia="宋体" w:cs="宋体"/>
                <w:color w:val="auto"/>
                <w:spacing w:val="6"/>
                <w:kern w:val="48"/>
                <w:sz w:val="21"/>
                <w:szCs w:val="21"/>
                <w:highlight w:val="none"/>
                <w:lang w:val="en-US" w:eastAsia="zh-CN"/>
              </w:rPr>
              <w:t>1.以上人员须在响应文件中提供有效的执业资格证书复印件（注册在供应商单位并加盖供应商单位公章）或职称复印件。</w:t>
            </w:r>
          </w:p>
          <w:p w14:paraId="0CA8B404">
            <w:pPr>
              <w:pStyle w:val="52"/>
              <w:keepNext w:val="0"/>
              <w:keepLines w:val="0"/>
              <w:pageBreakBefore w:val="0"/>
              <w:kinsoku/>
              <w:overflowPunct/>
              <w:topLinePunct w:val="0"/>
              <w:autoSpaceDE/>
              <w:autoSpaceDN/>
              <w:bidi w:val="0"/>
              <w:adjustRightInd/>
              <w:snapToGrid/>
              <w:spacing w:line="500" w:lineRule="exact"/>
              <w:ind w:firstLine="444"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6"/>
                <w:kern w:val="48"/>
                <w:sz w:val="21"/>
                <w:szCs w:val="21"/>
                <w:highlight w:val="none"/>
                <w:lang w:val="en-US" w:eastAsia="zh-CN"/>
              </w:rPr>
              <w:t>2.未达到一档要求的不得分。</w:t>
            </w:r>
          </w:p>
        </w:tc>
        <w:tc>
          <w:tcPr>
            <w:tcW w:w="562" w:type="pct"/>
            <w:noWrap w:val="0"/>
            <w:vAlign w:val="center"/>
          </w:tcPr>
          <w:p w14:paraId="6A58BF84">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10分</w:t>
            </w:r>
          </w:p>
        </w:tc>
      </w:tr>
      <w:tr w14:paraId="300A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8" w:type="pct"/>
            <w:noWrap w:val="0"/>
            <w:vAlign w:val="center"/>
          </w:tcPr>
          <w:p w14:paraId="68C9BB5E">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w:t>
            </w:r>
          </w:p>
        </w:tc>
        <w:tc>
          <w:tcPr>
            <w:tcW w:w="719" w:type="pct"/>
            <w:noWrap w:val="0"/>
            <w:vAlign w:val="center"/>
          </w:tcPr>
          <w:p w14:paraId="30E3D20E">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商务分</w:t>
            </w:r>
          </w:p>
          <w:p w14:paraId="6BEAEC81">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33分</w:t>
            </w:r>
            <w:r>
              <w:rPr>
                <w:rFonts w:hint="eastAsia" w:ascii="宋体" w:hAnsi="宋体" w:eastAsia="宋体" w:cs="宋体"/>
                <w:b/>
                <w:bCs/>
                <w:color w:val="auto"/>
                <w:sz w:val="21"/>
                <w:szCs w:val="21"/>
                <w:highlight w:val="none"/>
                <w:lang w:eastAsia="zh-CN"/>
              </w:rPr>
              <w:t>）</w:t>
            </w:r>
          </w:p>
        </w:tc>
        <w:tc>
          <w:tcPr>
            <w:tcW w:w="3260" w:type="pct"/>
            <w:noWrap w:val="0"/>
            <w:vAlign w:val="center"/>
          </w:tcPr>
          <w:p w14:paraId="7CA5EA00">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562" w:type="pct"/>
            <w:noWrap w:val="0"/>
            <w:vAlign w:val="center"/>
          </w:tcPr>
          <w:p w14:paraId="39525847">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lang w:val="en-US" w:eastAsia="zh-CN"/>
              </w:rPr>
              <w:t>33分</w:t>
            </w:r>
          </w:p>
        </w:tc>
      </w:tr>
      <w:tr w14:paraId="3A7A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8" w:type="pct"/>
            <w:noWrap w:val="0"/>
            <w:vAlign w:val="center"/>
          </w:tcPr>
          <w:p w14:paraId="79DDA8B9">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3.1</w:t>
            </w:r>
          </w:p>
        </w:tc>
        <w:tc>
          <w:tcPr>
            <w:tcW w:w="719" w:type="pct"/>
            <w:noWrap w:val="0"/>
            <w:vAlign w:val="center"/>
          </w:tcPr>
          <w:p w14:paraId="3D9F0566">
            <w:pPr>
              <w:keepNext w:val="0"/>
              <w:keepLines w:val="0"/>
              <w:pageBreakBefore w:val="0"/>
              <w:kinsoku/>
              <w:overflowPunct/>
              <w:topLinePunct w:val="0"/>
              <w:autoSpaceDE/>
              <w:autoSpaceDN/>
              <w:bidi w:val="0"/>
              <w:adjustRightInd w:val="0"/>
              <w:snapToGrid w:val="0"/>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业绩分</w:t>
            </w:r>
          </w:p>
          <w:p w14:paraId="7C49D81B">
            <w:pPr>
              <w:keepNext w:val="0"/>
              <w:keepLines w:val="0"/>
              <w:pageBreakBefore w:val="0"/>
              <w:kinsoku/>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6分</w:t>
            </w:r>
            <w:r>
              <w:rPr>
                <w:rFonts w:hint="eastAsia" w:ascii="宋体" w:hAnsi="宋体" w:eastAsia="宋体" w:cs="宋体"/>
                <w:bCs/>
                <w:color w:val="auto"/>
                <w:sz w:val="21"/>
                <w:szCs w:val="21"/>
                <w:highlight w:val="none"/>
                <w:lang w:eastAsia="zh-CN"/>
              </w:rPr>
              <w:t>）</w:t>
            </w:r>
          </w:p>
        </w:tc>
        <w:tc>
          <w:tcPr>
            <w:tcW w:w="3260" w:type="pct"/>
            <w:noWrap w:val="0"/>
            <w:vAlign w:val="top"/>
          </w:tcPr>
          <w:p w14:paraId="337A6E88">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202</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年1月1日以来，具有同类项目业绩案例，每个得</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分，满分</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p w14:paraId="5F1D988C">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bCs/>
                <w:color w:val="auto"/>
                <w:sz w:val="21"/>
                <w:szCs w:val="21"/>
                <w:highlight w:val="none"/>
              </w:rPr>
              <w:t>响应文件中提</w:t>
            </w:r>
            <w:r>
              <w:rPr>
                <w:rFonts w:hint="eastAsia" w:ascii="宋体" w:hAnsi="宋体" w:eastAsia="宋体" w:cs="宋体"/>
                <w:bCs/>
                <w:color w:val="auto"/>
                <w:sz w:val="21"/>
                <w:szCs w:val="21"/>
                <w:highlight w:val="none"/>
                <w:lang w:val="en-US" w:eastAsia="zh-CN"/>
              </w:rPr>
              <w:t>供</w:t>
            </w:r>
            <w:r>
              <w:rPr>
                <w:rFonts w:hint="eastAsia" w:ascii="宋体" w:hAnsi="宋体" w:eastAsia="宋体" w:cs="宋体"/>
                <w:bCs/>
                <w:color w:val="auto"/>
                <w:sz w:val="21"/>
                <w:szCs w:val="21"/>
                <w:highlight w:val="none"/>
              </w:rPr>
              <w:t>合同或协议</w:t>
            </w:r>
            <w:r>
              <w:rPr>
                <w:rFonts w:hint="eastAsia" w:ascii="宋体" w:hAnsi="宋体" w:eastAsia="宋体" w:cs="宋体"/>
                <w:bCs/>
                <w:color w:val="auto"/>
                <w:sz w:val="21"/>
                <w:szCs w:val="21"/>
                <w:highlight w:val="none"/>
                <w:lang w:val="en-US" w:eastAsia="zh-CN"/>
              </w:rPr>
              <w:t>或中标（成交）通知书</w:t>
            </w:r>
            <w:r>
              <w:rPr>
                <w:rFonts w:hint="eastAsia" w:ascii="宋体" w:hAnsi="宋体" w:eastAsia="宋体" w:cs="宋体"/>
                <w:bCs/>
                <w:color w:val="auto"/>
                <w:sz w:val="21"/>
                <w:szCs w:val="21"/>
                <w:highlight w:val="none"/>
              </w:rPr>
              <w:t>等相关证明材料</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lang w:val="en-US" w:eastAsia="zh-CN"/>
              </w:rPr>
              <w:t>合同或协议须提供</w:t>
            </w:r>
            <w:r>
              <w:rPr>
                <w:rFonts w:hint="eastAsia" w:ascii="宋体" w:hAnsi="宋体" w:eastAsia="宋体" w:cs="宋体"/>
                <w:color w:val="auto"/>
                <w:sz w:val="21"/>
                <w:szCs w:val="21"/>
                <w:highlight w:val="none"/>
              </w:rPr>
              <w:t>关键页，至少包括封面、合同金额页、签字盖章页，或能够完整显示上述信息的页面</w:t>
            </w:r>
            <w:r>
              <w:rPr>
                <w:rFonts w:hint="eastAsia" w:ascii="宋体" w:hAnsi="宋体" w:eastAsia="宋体" w:cs="宋体"/>
                <w:color w:val="auto"/>
                <w:sz w:val="21"/>
                <w:szCs w:val="21"/>
                <w:highlight w:val="none"/>
                <w:lang w:eastAsia="zh-CN"/>
              </w:rPr>
              <w:t>）</w:t>
            </w:r>
          </w:p>
        </w:tc>
        <w:tc>
          <w:tcPr>
            <w:tcW w:w="562" w:type="pct"/>
            <w:noWrap w:val="0"/>
            <w:vAlign w:val="center"/>
          </w:tcPr>
          <w:p w14:paraId="634658D8">
            <w:pPr>
              <w:keepNext w:val="0"/>
              <w:keepLines w:val="0"/>
              <w:pageBreakBefore w:val="0"/>
              <w:kinsoku/>
              <w:overflowPunct/>
              <w:topLinePunct w:val="0"/>
              <w:autoSpaceDE/>
              <w:autoSpaceDN/>
              <w:bidi w:val="0"/>
              <w:spacing w:line="5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Cs/>
                <w:color w:val="auto"/>
                <w:sz w:val="21"/>
                <w:szCs w:val="21"/>
                <w:highlight w:val="none"/>
                <w:lang w:val="en-US" w:eastAsia="zh-CN"/>
              </w:rPr>
              <w:t>6分</w:t>
            </w:r>
          </w:p>
        </w:tc>
      </w:tr>
      <w:tr w14:paraId="1CA4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8" w:type="pct"/>
            <w:noWrap w:val="0"/>
            <w:vAlign w:val="center"/>
          </w:tcPr>
          <w:p w14:paraId="35613172">
            <w:pPr>
              <w:keepNext w:val="0"/>
              <w:keepLines w:val="0"/>
              <w:pageBreakBefore w:val="0"/>
              <w:kinsoku/>
              <w:overflowPunct/>
              <w:topLinePunct w:val="0"/>
              <w:autoSpaceDE/>
              <w:autoSpaceDN/>
              <w:bidi w:val="0"/>
              <w:adjustRightInd w:val="0"/>
              <w:spacing w:line="500" w:lineRule="exact"/>
              <w:ind w:left="-105" w:leftChars="-50" w:right="-105" w:rightChars="-5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3.2</w:t>
            </w:r>
          </w:p>
        </w:tc>
        <w:tc>
          <w:tcPr>
            <w:tcW w:w="719" w:type="pct"/>
            <w:noWrap w:val="0"/>
            <w:vAlign w:val="center"/>
          </w:tcPr>
          <w:p w14:paraId="40D1EF7E">
            <w:pPr>
              <w:keepNext w:val="0"/>
              <w:keepLines w:val="0"/>
              <w:pageBreakBefore w:val="0"/>
              <w:widowControl/>
              <w:kinsoku/>
              <w:wordWrap w:val="0"/>
              <w:overflowPunct/>
              <w:topLinePunct w:val="0"/>
              <w:autoSpaceDE/>
              <w:autoSpaceDN/>
              <w:bidi w:val="0"/>
              <w:spacing w:line="500" w:lineRule="exact"/>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体检设备分</w:t>
            </w: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6分</w:t>
            </w:r>
            <w:r>
              <w:rPr>
                <w:rFonts w:hint="eastAsia" w:ascii="宋体" w:hAnsi="宋体" w:eastAsia="宋体" w:cs="宋体"/>
                <w:b w:val="0"/>
                <w:bCs/>
                <w:color w:val="auto"/>
                <w:kern w:val="0"/>
                <w:sz w:val="21"/>
                <w:szCs w:val="21"/>
                <w:highlight w:val="none"/>
                <w:lang w:eastAsia="zh-CN"/>
              </w:rPr>
              <w:t>）</w:t>
            </w:r>
          </w:p>
        </w:tc>
        <w:tc>
          <w:tcPr>
            <w:tcW w:w="3260" w:type="pct"/>
            <w:noWrap w:val="0"/>
            <w:vAlign w:val="center"/>
          </w:tcPr>
          <w:p w14:paraId="2B73F12B">
            <w:pPr>
              <w:pStyle w:val="12"/>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评委根据供应商的响应文件提供的内容进行评审，在相应档次内进行独立打分。</w:t>
            </w:r>
          </w:p>
          <w:p w14:paraId="5B3BA3B2">
            <w:pPr>
              <w:pStyle w:val="12"/>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分）：响应文件提供本次体检项目所需的检查仪器设备清单，</w:t>
            </w:r>
            <w:r>
              <w:rPr>
                <w:rFonts w:hint="eastAsia" w:ascii="宋体" w:hAnsi="宋体" w:eastAsia="宋体" w:cs="宋体"/>
                <w:color w:val="auto"/>
                <w:sz w:val="21"/>
                <w:szCs w:val="21"/>
                <w:highlight w:val="none"/>
                <w:lang w:val="en-US" w:eastAsia="zh-CN"/>
              </w:rPr>
              <w:t>其中</w:t>
            </w:r>
            <w:r>
              <w:rPr>
                <w:rFonts w:hint="eastAsia" w:ascii="宋体" w:hAnsi="宋体" w:eastAsia="宋体" w:cs="宋体"/>
                <w:color w:val="auto"/>
                <w:sz w:val="21"/>
                <w:szCs w:val="21"/>
                <w:highlight w:val="none"/>
              </w:rPr>
              <w:t>拟投入的</w:t>
            </w:r>
            <w:r>
              <w:rPr>
                <w:rFonts w:hint="eastAsia" w:ascii="宋体" w:hAnsi="宋体" w:eastAsia="宋体" w:cs="宋体"/>
                <w:bCs/>
                <w:color w:val="auto"/>
                <w:kern w:val="0"/>
                <w:sz w:val="21"/>
                <w:szCs w:val="21"/>
                <w:highlight w:val="none"/>
              </w:rPr>
              <w:t>X线成像系统</w:t>
            </w:r>
            <w:r>
              <w:rPr>
                <w:rFonts w:hint="eastAsia" w:ascii="宋体" w:hAnsi="宋体" w:eastAsia="宋体" w:cs="宋体"/>
                <w:color w:val="auto"/>
                <w:sz w:val="21"/>
                <w:szCs w:val="21"/>
                <w:highlight w:val="none"/>
              </w:rPr>
              <w:t>≥1台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拟投入</w:t>
            </w:r>
            <w:r>
              <w:rPr>
                <w:rFonts w:hint="eastAsia" w:ascii="宋体" w:hAnsi="宋体" w:eastAsia="宋体" w:cs="宋体"/>
                <w:bCs/>
                <w:color w:val="auto"/>
                <w:kern w:val="0"/>
                <w:sz w:val="21"/>
                <w:szCs w:val="21"/>
                <w:highlight w:val="none"/>
              </w:rPr>
              <w:t>超声检查仪</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拟投入心电图机≥</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拟投入设备基本满足体检要求</w:t>
            </w:r>
            <w:r>
              <w:rPr>
                <w:rFonts w:hint="eastAsia" w:ascii="宋体" w:hAnsi="宋体" w:eastAsia="宋体" w:cs="宋体"/>
                <w:color w:val="auto"/>
                <w:sz w:val="21"/>
                <w:szCs w:val="21"/>
                <w:highlight w:val="none"/>
              </w:rPr>
              <w:t>。</w:t>
            </w:r>
          </w:p>
          <w:p w14:paraId="4D7E5177">
            <w:pPr>
              <w:pStyle w:val="12"/>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分）：响应文件提供本次体检项目相关的检查仪器设备清单，</w:t>
            </w:r>
            <w:r>
              <w:rPr>
                <w:rFonts w:hint="eastAsia" w:ascii="宋体" w:hAnsi="宋体" w:eastAsia="宋体" w:cs="宋体"/>
                <w:color w:val="auto"/>
                <w:sz w:val="21"/>
                <w:szCs w:val="21"/>
                <w:highlight w:val="none"/>
                <w:lang w:val="en-US" w:eastAsia="zh-CN"/>
              </w:rPr>
              <w:t>其中</w:t>
            </w:r>
            <w:r>
              <w:rPr>
                <w:rFonts w:hint="eastAsia" w:ascii="宋体" w:hAnsi="宋体" w:eastAsia="宋体" w:cs="宋体"/>
                <w:color w:val="auto"/>
                <w:sz w:val="21"/>
                <w:szCs w:val="21"/>
                <w:highlight w:val="none"/>
              </w:rPr>
              <w:t>拟投入的</w:t>
            </w:r>
            <w:r>
              <w:rPr>
                <w:rFonts w:hint="eastAsia" w:ascii="宋体" w:hAnsi="宋体" w:eastAsia="宋体" w:cs="宋体"/>
                <w:bCs/>
                <w:color w:val="auto"/>
                <w:kern w:val="0"/>
                <w:sz w:val="21"/>
                <w:szCs w:val="21"/>
                <w:highlight w:val="none"/>
              </w:rPr>
              <w:t>X线成像系统</w:t>
            </w:r>
            <w:r>
              <w:rPr>
                <w:rFonts w:hint="eastAsia" w:ascii="宋体" w:hAnsi="宋体" w:eastAsia="宋体" w:cs="宋体"/>
                <w:color w:val="auto"/>
                <w:sz w:val="21"/>
                <w:szCs w:val="21"/>
                <w:highlight w:val="none"/>
              </w:rPr>
              <w:t>≥1台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拟投入</w:t>
            </w:r>
            <w:r>
              <w:rPr>
                <w:rFonts w:hint="eastAsia" w:ascii="宋体" w:hAnsi="宋体" w:eastAsia="宋体" w:cs="宋体"/>
                <w:bCs/>
                <w:color w:val="auto"/>
                <w:kern w:val="0"/>
                <w:sz w:val="21"/>
                <w:szCs w:val="21"/>
                <w:highlight w:val="none"/>
              </w:rPr>
              <w:t>超声检查仪</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拟投入心电图机≥</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台</w:t>
            </w:r>
            <w:r>
              <w:rPr>
                <w:rFonts w:hint="eastAsia" w:ascii="宋体" w:hAnsi="宋体" w:eastAsia="宋体" w:cs="宋体"/>
                <w:color w:val="auto"/>
                <w:sz w:val="21"/>
                <w:szCs w:val="21"/>
                <w:highlight w:val="none"/>
                <w:lang w:val="en-US" w:eastAsia="zh-CN"/>
              </w:rPr>
              <w:t>；拟投入设备满足体检要求</w:t>
            </w:r>
            <w:r>
              <w:rPr>
                <w:rFonts w:hint="eastAsia" w:ascii="宋体" w:hAnsi="宋体" w:eastAsia="宋体" w:cs="宋体"/>
                <w:color w:val="auto"/>
                <w:sz w:val="21"/>
                <w:szCs w:val="21"/>
                <w:highlight w:val="none"/>
              </w:rPr>
              <w:t>。</w:t>
            </w:r>
          </w:p>
          <w:p w14:paraId="31CDB6B4">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分）：响应文件提供本次体检项目所需的检查仪器设备清单，</w:t>
            </w:r>
            <w:r>
              <w:rPr>
                <w:rFonts w:hint="eastAsia" w:ascii="宋体" w:hAnsi="宋体" w:eastAsia="宋体" w:cs="宋体"/>
                <w:color w:val="auto"/>
                <w:sz w:val="21"/>
                <w:szCs w:val="21"/>
                <w:highlight w:val="none"/>
                <w:lang w:val="en-US" w:eastAsia="zh-CN"/>
              </w:rPr>
              <w:t>其中</w:t>
            </w:r>
            <w:r>
              <w:rPr>
                <w:rFonts w:hint="eastAsia" w:ascii="宋体" w:hAnsi="宋体" w:eastAsia="宋体" w:cs="宋体"/>
                <w:color w:val="auto"/>
                <w:sz w:val="21"/>
                <w:szCs w:val="21"/>
                <w:highlight w:val="none"/>
              </w:rPr>
              <w:t>拟投入的</w:t>
            </w:r>
            <w:r>
              <w:rPr>
                <w:rFonts w:hint="eastAsia" w:ascii="宋体" w:hAnsi="宋体" w:eastAsia="宋体" w:cs="宋体"/>
                <w:bCs/>
                <w:color w:val="auto"/>
                <w:kern w:val="0"/>
                <w:sz w:val="21"/>
                <w:szCs w:val="21"/>
                <w:highlight w:val="none"/>
              </w:rPr>
              <w:t>X线成像系统</w:t>
            </w:r>
            <w:r>
              <w:rPr>
                <w:rFonts w:hint="eastAsia" w:ascii="宋体" w:hAnsi="宋体" w:eastAsia="宋体" w:cs="宋体"/>
                <w:color w:val="auto"/>
                <w:sz w:val="21"/>
                <w:szCs w:val="21"/>
                <w:highlight w:val="none"/>
              </w:rPr>
              <w:t>≥2台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拟投入</w:t>
            </w:r>
            <w:r>
              <w:rPr>
                <w:rFonts w:hint="eastAsia" w:ascii="宋体" w:hAnsi="宋体" w:eastAsia="宋体" w:cs="宋体"/>
                <w:bCs/>
                <w:color w:val="auto"/>
                <w:kern w:val="0"/>
                <w:sz w:val="21"/>
                <w:szCs w:val="21"/>
                <w:highlight w:val="none"/>
              </w:rPr>
              <w:t>超声检查仪</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拟投入心电图机≥</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台</w:t>
            </w:r>
            <w:r>
              <w:rPr>
                <w:rFonts w:hint="eastAsia" w:ascii="宋体" w:hAnsi="宋体" w:eastAsia="宋体" w:cs="宋体"/>
                <w:color w:val="auto"/>
                <w:sz w:val="21"/>
                <w:szCs w:val="21"/>
                <w:highlight w:val="none"/>
                <w:lang w:val="en-US" w:eastAsia="zh-CN"/>
              </w:rPr>
              <w:t>；</w:t>
            </w:r>
            <w:r>
              <w:rPr>
                <w:rFonts w:hint="eastAsia" w:ascii="宋体" w:hAnsi="宋体" w:eastAsia="宋体" w:cs="宋体"/>
                <w:bCs/>
                <w:color w:val="auto"/>
                <w:kern w:val="0"/>
                <w:sz w:val="21"/>
                <w:szCs w:val="21"/>
                <w:highlight w:val="none"/>
              </w:rPr>
              <w:t>严格按照体检操作规程，保证仪器设备的正常使用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拟投入设备满足较好的满足体检要求</w:t>
            </w:r>
            <w:r>
              <w:rPr>
                <w:rFonts w:hint="eastAsia" w:ascii="宋体" w:hAnsi="宋体" w:eastAsia="宋体" w:cs="宋体"/>
                <w:color w:val="auto"/>
                <w:sz w:val="21"/>
                <w:szCs w:val="21"/>
                <w:highlight w:val="none"/>
              </w:rPr>
              <w:t>。</w:t>
            </w:r>
          </w:p>
          <w:p w14:paraId="57154591">
            <w:pPr>
              <w:pStyle w:val="12"/>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分）：响应文件提供本次体检项目所需的检查仪器设备清单，</w:t>
            </w:r>
            <w:r>
              <w:rPr>
                <w:rFonts w:hint="eastAsia" w:ascii="宋体" w:hAnsi="宋体" w:eastAsia="宋体" w:cs="宋体"/>
                <w:color w:val="auto"/>
                <w:sz w:val="21"/>
                <w:szCs w:val="21"/>
                <w:highlight w:val="none"/>
                <w:lang w:val="en-US" w:eastAsia="zh-CN"/>
              </w:rPr>
              <w:t>其中</w:t>
            </w:r>
            <w:r>
              <w:rPr>
                <w:rFonts w:hint="eastAsia" w:ascii="宋体" w:hAnsi="宋体" w:eastAsia="宋体" w:cs="宋体"/>
                <w:color w:val="auto"/>
                <w:sz w:val="21"/>
                <w:szCs w:val="21"/>
                <w:highlight w:val="none"/>
              </w:rPr>
              <w:t>拟投入的</w:t>
            </w:r>
            <w:r>
              <w:rPr>
                <w:rFonts w:hint="eastAsia" w:ascii="宋体" w:hAnsi="宋体" w:eastAsia="宋体" w:cs="宋体"/>
                <w:bCs/>
                <w:color w:val="auto"/>
                <w:kern w:val="0"/>
                <w:sz w:val="21"/>
                <w:szCs w:val="21"/>
                <w:highlight w:val="none"/>
              </w:rPr>
              <w:t>X线成像系统</w:t>
            </w:r>
            <w:r>
              <w:rPr>
                <w:rFonts w:hint="eastAsia" w:ascii="宋体" w:hAnsi="宋体" w:eastAsia="宋体" w:cs="宋体"/>
                <w:color w:val="auto"/>
                <w:sz w:val="21"/>
                <w:szCs w:val="21"/>
                <w:highlight w:val="none"/>
              </w:rPr>
              <w:t>≥2台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拟投入</w:t>
            </w:r>
            <w:r>
              <w:rPr>
                <w:rFonts w:hint="eastAsia" w:ascii="宋体" w:hAnsi="宋体" w:eastAsia="宋体" w:cs="宋体"/>
                <w:bCs/>
                <w:color w:val="auto"/>
                <w:kern w:val="0"/>
                <w:sz w:val="21"/>
                <w:szCs w:val="21"/>
                <w:highlight w:val="none"/>
              </w:rPr>
              <w:t>超声检查仪</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拟投入心电图机≥4台</w:t>
            </w:r>
            <w:r>
              <w:rPr>
                <w:rFonts w:hint="eastAsia" w:ascii="宋体" w:hAnsi="宋体" w:eastAsia="宋体" w:cs="宋体"/>
                <w:color w:val="auto"/>
                <w:sz w:val="21"/>
                <w:szCs w:val="21"/>
                <w:highlight w:val="none"/>
                <w:lang w:val="en-US" w:eastAsia="zh-CN"/>
              </w:rPr>
              <w:t>；</w:t>
            </w:r>
            <w:r>
              <w:rPr>
                <w:rFonts w:hint="eastAsia" w:ascii="宋体" w:hAnsi="宋体" w:eastAsia="宋体" w:cs="宋体"/>
                <w:bCs/>
                <w:color w:val="auto"/>
                <w:kern w:val="0"/>
                <w:sz w:val="21"/>
                <w:szCs w:val="21"/>
                <w:highlight w:val="none"/>
              </w:rPr>
              <w:t>符合相关行业技术要求，严格按照体检操作规程，保证仪器设备的正常使用；有专供的体检设备，不与病人检查混合使用，</w:t>
            </w:r>
            <w:r>
              <w:rPr>
                <w:rFonts w:hint="eastAsia" w:ascii="宋体" w:hAnsi="宋体" w:eastAsia="宋体" w:cs="宋体"/>
                <w:color w:val="auto"/>
                <w:sz w:val="21"/>
                <w:szCs w:val="21"/>
                <w:highlight w:val="none"/>
                <w:lang w:val="en-US" w:eastAsia="zh-CN"/>
              </w:rPr>
              <w:t>拟投入设备</w:t>
            </w:r>
            <w:r>
              <w:rPr>
                <w:rFonts w:hint="eastAsia" w:ascii="宋体" w:hAnsi="宋体" w:eastAsia="宋体" w:cs="宋体"/>
                <w:bCs/>
                <w:color w:val="auto"/>
                <w:kern w:val="0"/>
                <w:sz w:val="21"/>
                <w:szCs w:val="21"/>
                <w:highlight w:val="none"/>
              </w:rPr>
              <w:t>能更好的满足体检要求</w:t>
            </w:r>
            <w:r>
              <w:rPr>
                <w:rFonts w:hint="eastAsia" w:ascii="宋体" w:hAnsi="宋体" w:eastAsia="宋体" w:cs="宋体"/>
                <w:color w:val="auto"/>
                <w:sz w:val="21"/>
                <w:szCs w:val="21"/>
                <w:highlight w:val="none"/>
              </w:rPr>
              <w:t>。</w:t>
            </w:r>
          </w:p>
          <w:p w14:paraId="5D5C1FA2">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52699B28">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以响应文件提供与本次体检项目所需的检查仪器设备</w:t>
            </w:r>
            <w:r>
              <w:rPr>
                <w:rFonts w:hint="eastAsia" w:ascii="宋体" w:hAnsi="宋体" w:eastAsia="宋体" w:cs="宋体"/>
                <w:color w:val="auto"/>
                <w:sz w:val="21"/>
                <w:szCs w:val="21"/>
                <w:highlight w:val="none"/>
                <w:lang w:val="en-US" w:eastAsia="zh-CN"/>
              </w:rPr>
              <w:t>表[</w:t>
            </w:r>
            <w:r>
              <w:rPr>
                <w:rFonts w:hint="eastAsia" w:ascii="宋体" w:hAnsi="宋体" w:eastAsia="宋体" w:cs="宋体"/>
                <w:color w:val="auto"/>
                <w:sz w:val="21"/>
                <w:szCs w:val="21"/>
                <w:highlight w:val="none"/>
              </w:rPr>
              <w:t>包括但不限于X线成像系统、超声检查仪、心电图机</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kern w:val="0"/>
                <w:sz w:val="21"/>
                <w:szCs w:val="21"/>
                <w:highlight w:val="none"/>
              </w:rPr>
              <w:t>生化分析仪等</w:t>
            </w:r>
            <w:r>
              <w:rPr>
                <w:rFonts w:hint="eastAsia" w:ascii="宋体" w:hAnsi="宋体" w:eastAsia="宋体" w:cs="宋体"/>
                <w:color w:val="auto"/>
                <w:sz w:val="21"/>
                <w:szCs w:val="21"/>
                <w:highlight w:val="none"/>
              </w:rPr>
              <w:t>，包括完成本次体检项目（不包含一般检查项目）涉及的所有的检查、化验仪器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清单以及设备购买合同或发票复印件为准。</w:t>
            </w:r>
          </w:p>
          <w:p w14:paraId="1D368E93">
            <w:pPr>
              <w:pStyle w:val="52"/>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pacing w:val="6"/>
                <w:kern w:val="48"/>
                <w:sz w:val="21"/>
                <w:szCs w:val="21"/>
                <w:highlight w:val="none"/>
                <w:lang w:val="en-US" w:eastAsia="zh-CN"/>
              </w:rPr>
              <w:t>未达到一档要求的不得分。</w:t>
            </w:r>
          </w:p>
        </w:tc>
        <w:tc>
          <w:tcPr>
            <w:tcW w:w="562" w:type="pct"/>
            <w:noWrap w:val="0"/>
            <w:vAlign w:val="center"/>
          </w:tcPr>
          <w:p w14:paraId="2A82FF61">
            <w:pPr>
              <w:keepNext w:val="0"/>
              <w:keepLines w:val="0"/>
              <w:pageBreakBefore w:val="0"/>
              <w:kinsoku/>
              <w:overflowPunct/>
              <w:topLinePunct w:val="0"/>
              <w:autoSpaceDE/>
              <w:autoSpaceDN/>
              <w:bidi w:val="0"/>
              <w:spacing w:line="5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6分</w:t>
            </w:r>
          </w:p>
        </w:tc>
      </w:tr>
      <w:tr w14:paraId="47C0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8" w:type="pct"/>
            <w:shd w:val="clear" w:color="auto" w:fill="auto"/>
            <w:noWrap w:val="0"/>
            <w:vAlign w:val="center"/>
          </w:tcPr>
          <w:p w14:paraId="173A592A">
            <w:pPr>
              <w:keepNext w:val="0"/>
              <w:keepLines w:val="0"/>
              <w:pageBreakBefore w:val="0"/>
              <w:kinsoku/>
              <w:overflowPunct/>
              <w:topLinePunct w:val="0"/>
              <w:autoSpaceDE/>
              <w:autoSpaceDN/>
              <w:bidi w:val="0"/>
              <w:adjustRightInd w:val="0"/>
              <w:spacing w:line="500" w:lineRule="exact"/>
              <w:ind w:left="-105" w:leftChars="-50" w:right="-105" w:rightChars="-50"/>
              <w:jc w:val="center"/>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rPr>
              <w:t>3.3</w:t>
            </w:r>
          </w:p>
        </w:tc>
        <w:tc>
          <w:tcPr>
            <w:tcW w:w="719" w:type="pct"/>
            <w:shd w:val="clear" w:color="auto" w:fill="auto"/>
            <w:noWrap w:val="0"/>
            <w:vAlign w:val="center"/>
          </w:tcPr>
          <w:p w14:paraId="233C4E32">
            <w:pPr>
              <w:keepNext w:val="0"/>
              <w:keepLines w:val="0"/>
              <w:pageBreakBefore w:val="0"/>
              <w:widowControl/>
              <w:kinsoku/>
              <w:wordWrap w:val="0"/>
              <w:overflowPunct/>
              <w:topLinePunct w:val="0"/>
              <w:autoSpaceDE/>
              <w:autoSpaceDN/>
              <w:bidi w:val="0"/>
              <w:spacing w:line="50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rPr>
              <w:t>健康服务方案</w:t>
            </w: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15分</w:t>
            </w:r>
            <w:r>
              <w:rPr>
                <w:rFonts w:hint="eastAsia" w:ascii="宋体" w:hAnsi="宋体" w:eastAsia="宋体" w:cs="宋体"/>
                <w:b w:val="0"/>
                <w:bCs/>
                <w:color w:val="auto"/>
                <w:kern w:val="0"/>
                <w:sz w:val="21"/>
                <w:szCs w:val="21"/>
                <w:highlight w:val="none"/>
                <w:lang w:eastAsia="zh-CN"/>
              </w:rPr>
              <w:t>）</w:t>
            </w:r>
          </w:p>
        </w:tc>
        <w:tc>
          <w:tcPr>
            <w:tcW w:w="3260" w:type="pct"/>
            <w:shd w:val="clear" w:color="auto" w:fill="auto"/>
            <w:noWrap w:val="0"/>
            <w:vAlign w:val="center"/>
          </w:tcPr>
          <w:p w14:paraId="367555B0">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评委根据供应商的响应文件提供的内容进行评审，在相应档次内进行独立打分。</w:t>
            </w:r>
          </w:p>
          <w:p w14:paraId="5D812D40">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rPr>
              <w:t>一档（</w:t>
            </w:r>
            <w:r>
              <w:rPr>
                <w:rFonts w:hint="eastAsia" w:ascii="宋体" w:hAnsi="宋体" w:eastAsia="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rPr>
              <w:t>分）：</w:t>
            </w:r>
            <w:r>
              <w:rPr>
                <w:rFonts w:hint="eastAsia" w:ascii="宋体" w:hAnsi="宋体" w:cs="宋体"/>
                <w:bCs/>
                <w:color w:val="auto"/>
                <w:kern w:val="0"/>
                <w:sz w:val="21"/>
                <w:szCs w:val="21"/>
                <w:highlight w:val="none"/>
                <w:lang w:val="en-US" w:eastAsia="zh-CN"/>
              </w:rPr>
              <w:t>具备</w:t>
            </w:r>
            <w:r>
              <w:rPr>
                <w:rFonts w:hint="eastAsia" w:ascii="宋体" w:hAnsi="宋体" w:eastAsia="宋体" w:cs="宋体"/>
                <w:bCs/>
                <w:color w:val="auto"/>
                <w:kern w:val="0"/>
                <w:sz w:val="21"/>
                <w:szCs w:val="21"/>
                <w:highlight w:val="none"/>
              </w:rPr>
              <w:t>重大阳性管理机制；对参检者体检结果有异常情况、需进一步检查或需住院治疗的参检</w:t>
            </w:r>
            <w:r>
              <w:rPr>
                <w:rFonts w:hint="eastAsia" w:ascii="宋体" w:hAnsi="宋体" w:cs="宋体"/>
                <w:bCs/>
                <w:color w:val="auto"/>
                <w:kern w:val="0"/>
                <w:sz w:val="21"/>
                <w:szCs w:val="21"/>
                <w:highlight w:val="none"/>
                <w:lang w:val="en-US" w:eastAsia="zh-CN"/>
              </w:rPr>
              <w:t>者</w:t>
            </w:r>
            <w:r>
              <w:rPr>
                <w:rFonts w:hint="eastAsia" w:ascii="宋体" w:hAnsi="宋体" w:eastAsia="宋体" w:cs="宋体"/>
                <w:bCs/>
                <w:color w:val="auto"/>
                <w:kern w:val="0"/>
                <w:sz w:val="21"/>
                <w:szCs w:val="21"/>
                <w:highlight w:val="none"/>
              </w:rPr>
              <w:t>开辟绿色通道，提供预约床位、就诊、检查等服务。</w:t>
            </w:r>
            <w:r>
              <w:rPr>
                <w:rFonts w:hint="eastAsia" w:ascii="宋体" w:hAnsi="宋体" w:cs="宋体"/>
                <w:bCs/>
                <w:color w:val="auto"/>
                <w:kern w:val="0"/>
                <w:sz w:val="21"/>
                <w:szCs w:val="21"/>
                <w:highlight w:val="none"/>
                <w:lang w:val="en-US" w:eastAsia="zh-CN"/>
              </w:rPr>
              <w:t>能提供基础的检后咨询服务（如报告解读、答疑）。</w:t>
            </w:r>
          </w:p>
          <w:p w14:paraId="305669C7">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二档（</w:t>
            </w:r>
            <w:r>
              <w:rPr>
                <w:rFonts w:hint="eastAsia" w:ascii="宋体" w:hAnsi="宋体" w:eastAsia="宋体" w:cs="宋体"/>
                <w:bCs/>
                <w:color w:val="auto"/>
                <w:kern w:val="0"/>
                <w:sz w:val="21"/>
                <w:szCs w:val="21"/>
                <w:highlight w:val="none"/>
                <w:lang w:val="en-US" w:eastAsia="zh-CN"/>
              </w:rPr>
              <w:t>10</w:t>
            </w:r>
            <w:r>
              <w:rPr>
                <w:rFonts w:hint="eastAsia" w:ascii="宋体" w:hAnsi="宋体" w:eastAsia="宋体" w:cs="宋体"/>
                <w:bCs/>
                <w:color w:val="auto"/>
                <w:kern w:val="0"/>
                <w:sz w:val="21"/>
                <w:szCs w:val="21"/>
                <w:highlight w:val="none"/>
              </w:rPr>
              <w:t>分）：满足一档前提下，</w:t>
            </w:r>
            <w:r>
              <w:rPr>
                <w:rFonts w:hint="eastAsia"/>
                <w:color w:val="auto"/>
                <w:highlight w:val="none"/>
                <w:lang w:val="en-US" w:eastAsia="zh-CN"/>
              </w:rPr>
              <w:t>能为参检者提供较系统的检后健康管理服务，包括检后咨询或健康管理；能开展健康风险评估及连续性监测，制定并实施初步的个性化健康管理方案；方案中包含但不限于提供一对一针对异常结果的基本解读、复查建议、存在问题处理意见及初步的生活方式指导、义诊、健康讲座等服务。</w:t>
            </w:r>
          </w:p>
          <w:p w14:paraId="48A19965">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三档（1</w:t>
            </w:r>
            <w:r>
              <w:rPr>
                <w:rFonts w:hint="eastAsia" w:ascii="宋体" w:hAnsi="宋体" w:eastAsia="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rPr>
              <w:t>分）：满足二档前提下，对参检者提供检后智慧化全程健康管理服务，可开展线上预约体检、线上线下或远程健康管理、健康管理门诊服务，为体检者和对重点人群提供全面的健康风险评估、连续性监测及有效干预，可提供精准的诊疗指导以及科学的健康管理策略。</w:t>
            </w:r>
            <w:r>
              <w:rPr>
                <w:rFonts w:hint="eastAsia" w:ascii="宋体" w:hAnsi="宋体" w:eastAsia="宋体" w:cs="宋体"/>
                <w:color w:val="auto"/>
                <w:sz w:val="21"/>
                <w:szCs w:val="21"/>
                <w:highlight w:val="none"/>
                <w:lang w:val="en-US" w:eastAsia="zh-CN"/>
              </w:rPr>
              <w:t>具有多学科协作健康管理平台，</w:t>
            </w:r>
            <w:r>
              <w:rPr>
                <w:rFonts w:hint="eastAsia" w:ascii="宋体" w:hAnsi="宋体" w:eastAsia="宋体" w:cs="宋体"/>
                <w:color w:val="auto"/>
                <w:sz w:val="21"/>
                <w:szCs w:val="21"/>
                <w:highlight w:val="none"/>
              </w:rPr>
              <w:t>能提供检后健康管理的多学科联合会诊</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（MDT），健康管理门诊为团检职工提供常规复查服务。联合医院多学科专家团队，包括开展体检人群肺结节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乳腺结节、甲状腺结节、多病共患等</w:t>
            </w:r>
            <w:r>
              <w:rPr>
                <w:rFonts w:hint="eastAsia" w:ascii="宋体" w:hAnsi="宋体" w:eastAsia="宋体" w:cs="宋体"/>
                <w:color w:val="auto"/>
                <w:sz w:val="21"/>
                <w:szCs w:val="21"/>
                <w:highlight w:val="none"/>
              </w:rPr>
              <w:t>多学科联合会诊(MDT)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能实现营养、运动、心理、睡眠健康管理</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能为</w:t>
            </w:r>
            <w:r>
              <w:rPr>
                <w:rFonts w:hint="eastAsia" w:ascii="宋体" w:hAnsi="宋体" w:eastAsia="宋体" w:cs="宋体"/>
                <w:color w:val="auto"/>
                <w:sz w:val="21"/>
                <w:szCs w:val="21"/>
                <w:highlight w:val="none"/>
              </w:rPr>
              <w:t>每位职工</w:t>
            </w:r>
            <w:r>
              <w:rPr>
                <w:rFonts w:hint="eastAsia" w:ascii="宋体" w:hAnsi="宋体" w:cs="宋体"/>
                <w:color w:val="auto"/>
                <w:sz w:val="21"/>
                <w:szCs w:val="21"/>
                <w:highlight w:val="none"/>
                <w:lang w:val="en-US" w:eastAsia="zh-CN"/>
              </w:rPr>
              <w:t>提供系统健康评价</w:t>
            </w:r>
            <w:r>
              <w:rPr>
                <w:rFonts w:hint="eastAsia" w:ascii="宋体" w:hAnsi="宋体" w:eastAsia="宋体" w:cs="宋体"/>
                <w:color w:val="auto"/>
                <w:sz w:val="21"/>
                <w:szCs w:val="21"/>
                <w:highlight w:val="none"/>
              </w:rPr>
              <w:t>，针对体检出现健康问题的职工，能承诺</w:t>
            </w:r>
            <w:r>
              <w:rPr>
                <w:rFonts w:hint="eastAsia" w:ascii="宋体" w:hAnsi="宋体" w:cs="宋体"/>
                <w:color w:val="auto"/>
                <w:sz w:val="21"/>
                <w:szCs w:val="21"/>
                <w:highlight w:val="none"/>
                <w:lang w:val="en-US" w:eastAsia="zh-CN"/>
              </w:rPr>
              <w:t>持续跟踪、随访</w:t>
            </w:r>
            <w:r>
              <w:rPr>
                <w:rFonts w:hint="eastAsia" w:ascii="宋体" w:hAnsi="宋体" w:eastAsia="宋体" w:cs="宋体"/>
                <w:color w:val="auto"/>
                <w:sz w:val="21"/>
                <w:szCs w:val="21"/>
                <w:highlight w:val="none"/>
              </w:rPr>
              <w:t>，并形成</w:t>
            </w:r>
            <w:r>
              <w:rPr>
                <w:rFonts w:hint="eastAsia" w:ascii="宋体" w:hAnsi="宋体" w:cs="宋体"/>
                <w:color w:val="auto"/>
                <w:sz w:val="21"/>
                <w:szCs w:val="21"/>
                <w:highlight w:val="none"/>
                <w:lang w:val="en-US" w:eastAsia="zh-CN"/>
              </w:rPr>
              <w:t>汇总结果反馈</w:t>
            </w:r>
            <w:r>
              <w:rPr>
                <w:rFonts w:hint="eastAsia" w:ascii="宋体" w:hAnsi="宋体" w:eastAsia="宋体" w:cs="宋体"/>
                <w:color w:val="auto"/>
                <w:sz w:val="21"/>
                <w:szCs w:val="21"/>
                <w:highlight w:val="none"/>
              </w:rPr>
              <w:t>采购人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响应文件中提供管理系统主要页面截图</w:t>
            </w:r>
            <w:r>
              <w:rPr>
                <w:rFonts w:hint="eastAsia" w:ascii="宋体" w:hAnsi="宋体" w:eastAsia="宋体" w:cs="宋体"/>
                <w:color w:val="auto"/>
                <w:sz w:val="21"/>
                <w:szCs w:val="21"/>
                <w:highlight w:val="none"/>
                <w:lang w:eastAsia="zh-CN"/>
              </w:rPr>
              <w:t>）</w:t>
            </w:r>
          </w:p>
          <w:p w14:paraId="0458CED8">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rPr>
              <w:t>注：</w:t>
            </w:r>
            <w:r>
              <w:rPr>
                <w:rFonts w:hint="eastAsia" w:ascii="宋体" w:hAnsi="宋体" w:eastAsia="宋体" w:cs="宋体"/>
                <w:color w:val="auto"/>
                <w:spacing w:val="6"/>
                <w:kern w:val="48"/>
                <w:sz w:val="21"/>
                <w:szCs w:val="21"/>
                <w:highlight w:val="none"/>
                <w:lang w:val="en-US" w:eastAsia="zh-CN"/>
              </w:rPr>
              <w:t>未达到一档要求的不得分。</w:t>
            </w:r>
          </w:p>
        </w:tc>
        <w:tc>
          <w:tcPr>
            <w:tcW w:w="562" w:type="pct"/>
            <w:noWrap w:val="0"/>
            <w:vAlign w:val="center"/>
          </w:tcPr>
          <w:p w14:paraId="1024B9BF">
            <w:pPr>
              <w:keepNext w:val="0"/>
              <w:keepLines w:val="0"/>
              <w:pageBreakBefore w:val="0"/>
              <w:kinsoku/>
              <w:overflowPunct/>
              <w:topLinePunct w:val="0"/>
              <w:autoSpaceDE/>
              <w:autoSpaceDN/>
              <w:bidi w:val="0"/>
              <w:spacing w:line="5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15分</w:t>
            </w:r>
          </w:p>
        </w:tc>
      </w:tr>
      <w:tr w14:paraId="12E55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8" w:type="pct"/>
            <w:noWrap w:val="0"/>
            <w:vAlign w:val="center"/>
          </w:tcPr>
          <w:p w14:paraId="4869E0DC">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3.4</w:t>
            </w:r>
          </w:p>
        </w:tc>
        <w:tc>
          <w:tcPr>
            <w:tcW w:w="719" w:type="pct"/>
            <w:noWrap w:val="0"/>
            <w:vAlign w:val="center"/>
          </w:tcPr>
          <w:p w14:paraId="004D2F9B">
            <w:pPr>
              <w:keepNext w:val="0"/>
              <w:keepLines w:val="0"/>
              <w:pageBreakBefore w:val="0"/>
              <w:kinsoku/>
              <w:overflowPunct/>
              <w:topLinePunct w:val="0"/>
              <w:autoSpaceDE/>
              <w:autoSpaceDN/>
              <w:bidi w:val="0"/>
              <w:adjustRightInd w:val="0"/>
              <w:snapToGrid w:val="0"/>
              <w:spacing w:line="50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荣誉奖项（</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tc>
        <w:tc>
          <w:tcPr>
            <w:tcW w:w="3260" w:type="pct"/>
            <w:noWrap w:val="0"/>
            <w:vAlign w:val="center"/>
          </w:tcPr>
          <w:p w14:paraId="3A24BC7E">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供应商获得</w:t>
            </w:r>
            <w:r>
              <w:rPr>
                <w:rFonts w:hint="eastAsia" w:ascii="宋体" w:hAnsi="宋体" w:cs="宋体"/>
                <w:color w:val="auto"/>
                <w:sz w:val="21"/>
                <w:szCs w:val="21"/>
                <w:highlight w:val="none"/>
                <w:lang w:val="en-US" w:eastAsia="zh-CN"/>
              </w:rPr>
              <w:t>与</w:t>
            </w:r>
            <w:r>
              <w:rPr>
                <w:rFonts w:ascii="宋体" w:hAnsi="宋体" w:eastAsia="宋体" w:cs="宋体"/>
                <w:sz w:val="24"/>
                <w:szCs w:val="24"/>
              </w:rPr>
              <w:t>健康管理领域</w:t>
            </w:r>
            <w:r>
              <w:rPr>
                <w:rFonts w:hint="eastAsia" w:ascii="宋体" w:hAnsi="宋体" w:eastAsia="宋体" w:cs="宋体"/>
                <w:sz w:val="24"/>
                <w:szCs w:val="24"/>
                <w:lang w:val="en-US" w:eastAsia="zh-CN"/>
              </w:rPr>
              <w:t>相关的</w:t>
            </w:r>
            <w:r>
              <w:rPr>
                <w:rFonts w:hint="eastAsia" w:ascii="宋体" w:hAnsi="宋体" w:eastAsia="宋体" w:cs="宋体"/>
                <w:color w:val="auto"/>
                <w:sz w:val="21"/>
                <w:szCs w:val="21"/>
                <w:highlight w:val="none"/>
              </w:rPr>
              <w:t>国家</w:t>
            </w:r>
            <w:r>
              <w:rPr>
                <w:rFonts w:hint="eastAsia" w:ascii="宋体" w:hAnsi="宋体" w:eastAsia="宋体" w:cs="宋体"/>
                <w:color w:val="auto"/>
                <w:sz w:val="21"/>
                <w:szCs w:val="21"/>
                <w:highlight w:val="none"/>
                <w:lang w:val="en-US" w:eastAsia="zh-CN"/>
              </w:rPr>
              <w:t>级</w:t>
            </w:r>
            <w:r>
              <w:rPr>
                <w:rFonts w:hint="eastAsia" w:ascii="宋体" w:hAnsi="宋体" w:eastAsia="宋体" w:cs="宋体"/>
                <w:color w:val="auto"/>
                <w:sz w:val="21"/>
                <w:szCs w:val="21"/>
                <w:highlight w:val="none"/>
              </w:rPr>
              <w:t>颁发的荣誉或奖项每有1项得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省级或以上奖项，每有1项得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分；市级或以下，每有1项得1分；本项总计得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分。需提供证书复印件，否则不得分。</w:t>
            </w:r>
          </w:p>
        </w:tc>
        <w:tc>
          <w:tcPr>
            <w:tcW w:w="562" w:type="pct"/>
            <w:noWrap w:val="0"/>
            <w:vAlign w:val="center"/>
          </w:tcPr>
          <w:p w14:paraId="1BCB0DF2">
            <w:pPr>
              <w:keepNext w:val="0"/>
              <w:keepLines w:val="0"/>
              <w:pageBreakBefore w:val="0"/>
              <w:kinsoku/>
              <w:wordWrap w:val="0"/>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6分</w:t>
            </w:r>
          </w:p>
        </w:tc>
      </w:tr>
      <w:tr w14:paraId="3B80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4"/>
            <w:noWrap w:val="0"/>
            <w:vAlign w:val="top"/>
          </w:tcPr>
          <w:p w14:paraId="4DC4DEB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总得分＝1＋2＋3</w:t>
            </w:r>
          </w:p>
        </w:tc>
      </w:tr>
    </w:tbl>
    <w:p w14:paraId="03608119">
      <w:pPr>
        <w:keepNext w:val="0"/>
        <w:keepLines w:val="0"/>
        <w:pageBreakBefore w:val="0"/>
        <w:widowControl/>
        <w:kinsoku/>
        <w:wordWrap/>
        <w:overflowPunct/>
        <w:topLinePunct w:val="0"/>
        <w:autoSpaceDE/>
        <w:autoSpaceDN/>
        <w:bidi w:val="0"/>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w:t>
      </w:r>
      <w:r>
        <w:rPr>
          <w:rFonts w:hint="eastAsia" w:ascii="宋体" w:hAnsi="宋体" w:eastAsia="宋体" w:cs="宋体"/>
          <w:color w:val="auto"/>
          <w:sz w:val="21"/>
          <w:szCs w:val="21"/>
          <w:highlight w:val="none"/>
        </w:rPr>
        <w:t>由磋商小组根据综合评分情况，按照评审得分由高到低顺序推荐3名以上成交候选供应商，并在线编写电子评审报告。符合本章第一节第</w:t>
      </w:r>
      <w:r>
        <w:rPr>
          <w:rFonts w:hint="eastAsia" w:ascii="宋体" w:hAnsi="宋体" w:cs="宋体"/>
          <w:color w:val="auto"/>
          <w:sz w:val="21"/>
          <w:szCs w:val="21"/>
          <w:highlight w:val="none"/>
          <w:lang w:val="en-US" w:eastAsia="zh-CN"/>
        </w:rPr>
        <w:t>3.8</w:t>
      </w:r>
      <w:r>
        <w:rPr>
          <w:rFonts w:hint="eastAsia" w:ascii="宋体" w:hAnsi="宋体" w:eastAsia="宋体" w:cs="宋体"/>
          <w:color w:val="auto"/>
          <w:sz w:val="21"/>
          <w:szCs w:val="21"/>
          <w:highlight w:val="none"/>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商务得分由高到低排序）。评审得分、最后报价（不计算价格折扣）、技术得分、商务得分均相同的，由磋商小组随机抽取推荐。</w:t>
      </w:r>
    </w:p>
    <w:p w14:paraId="3BDEBFF2">
      <w:pPr>
        <w:spacing w:line="360" w:lineRule="auto"/>
        <w:ind w:firstLine="420" w:firstLineChars="200"/>
        <w:rPr>
          <w:rFonts w:hint="eastAsia" w:ascii="宋体" w:hAnsi="宋体" w:eastAsia="宋体" w:cs="宋体"/>
          <w:color w:val="auto"/>
          <w:highlight w:val="none"/>
        </w:rPr>
      </w:pPr>
    </w:p>
    <w:p w14:paraId="15A303F9">
      <w:pPr>
        <w:rPr>
          <w:rFonts w:hint="eastAsia" w:ascii="宋体" w:hAnsi="宋体" w:eastAsia="宋体" w:cs="宋体"/>
          <w:color w:val="auto"/>
          <w:highlight w:val="none"/>
        </w:rPr>
      </w:pPr>
    </w:p>
    <w:p w14:paraId="54188203">
      <w:pPr>
        <w:pStyle w:val="3"/>
        <w:jc w:val="center"/>
        <w:rPr>
          <w:rFonts w:hint="eastAsia" w:ascii="宋体" w:hAnsi="宋体" w:eastAsia="宋体" w:cs="宋体"/>
          <w:color w:val="auto"/>
          <w:highlight w:val="none"/>
        </w:rPr>
      </w:pPr>
      <w:bookmarkStart w:id="64" w:name="_Toc9613"/>
      <w:r>
        <w:rPr>
          <w:rFonts w:hint="eastAsia" w:ascii="宋体" w:hAnsi="宋体" w:eastAsia="宋体" w:cs="宋体"/>
          <w:color w:val="auto"/>
          <w:highlight w:val="none"/>
        </w:rPr>
        <w:br w:type="page"/>
      </w:r>
      <w:r>
        <w:rPr>
          <w:rFonts w:hint="eastAsia" w:ascii="宋体" w:hAnsi="宋体" w:eastAsia="宋体" w:cs="宋体"/>
          <w:color w:val="auto"/>
          <w:highlight w:val="none"/>
        </w:rPr>
        <w:t>第五章  响应文件格式</w:t>
      </w:r>
      <w:bookmarkEnd w:id="64"/>
    </w:p>
    <w:p w14:paraId="19115D5E">
      <w:pPr>
        <w:pStyle w:val="3"/>
        <w:rPr>
          <w:rFonts w:hint="eastAsia" w:ascii="宋体" w:hAnsi="宋体" w:eastAsia="宋体" w:cs="宋体"/>
          <w:color w:val="auto"/>
          <w:sz w:val="30"/>
          <w:szCs w:val="30"/>
          <w:highlight w:val="none"/>
        </w:rPr>
      </w:pPr>
      <w:bookmarkStart w:id="65" w:name="_Toc35611438"/>
      <w:bookmarkStart w:id="66" w:name="_Toc31728084"/>
      <w:bookmarkStart w:id="67" w:name="_Toc44229899"/>
      <w:bookmarkStart w:id="68" w:name="_Toc35611516"/>
      <w:bookmarkStart w:id="69" w:name="_Toc3161"/>
      <w:bookmarkStart w:id="70" w:name="_Toc31723070"/>
      <w:r>
        <w:rPr>
          <w:rFonts w:hint="eastAsia" w:ascii="宋体" w:hAnsi="宋体" w:eastAsia="宋体" w:cs="宋体"/>
          <w:color w:val="auto"/>
          <w:sz w:val="30"/>
          <w:szCs w:val="30"/>
          <w:highlight w:val="none"/>
        </w:rPr>
        <w:t>一、资格证明文件格式</w:t>
      </w:r>
      <w:bookmarkEnd w:id="65"/>
      <w:bookmarkEnd w:id="66"/>
      <w:bookmarkEnd w:id="67"/>
      <w:bookmarkEnd w:id="68"/>
      <w:bookmarkEnd w:id="69"/>
      <w:bookmarkEnd w:id="70"/>
    </w:p>
    <w:p w14:paraId="7E96F0D1">
      <w:pPr>
        <w:snapToGrid w:val="0"/>
        <w:spacing w:before="156" w:beforeLines="50" w:after="50"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30"/>
          <w:szCs w:val="30"/>
          <w:highlight w:val="none"/>
        </w:rPr>
        <w:t>1.资格证明文件封面格式：</w:t>
      </w:r>
      <w:r>
        <w:rPr>
          <w:rFonts w:hint="eastAsia" w:ascii="宋体" w:hAnsi="宋体" w:eastAsia="宋体" w:cs="宋体"/>
          <w:b/>
          <w:color w:val="auto"/>
          <w:sz w:val="24"/>
          <w:highlight w:val="none"/>
        </w:rPr>
        <w:t xml:space="preserve"> </w:t>
      </w:r>
    </w:p>
    <w:p w14:paraId="0714BF25">
      <w:pPr>
        <w:snapToGrid w:val="0"/>
        <w:spacing w:before="156"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电子响应文件</w:t>
      </w:r>
    </w:p>
    <w:p w14:paraId="180FA0E4">
      <w:pPr>
        <w:snapToGrid w:val="0"/>
        <w:spacing w:before="156" w:beforeLines="50" w:after="50"/>
        <w:rPr>
          <w:rFonts w:hint="eastAsia" w:ascii="宋体" w:hAnsi="宋体" w:eastAsia="宋体" w:cs="宋体"/>
          <w:color w:val="auto"/>
          <w:sz w:val="24"/>
          <w:szCs w:val="20"/>
          <w:highlight w:val="none"/>
        </w:rPr>
      </w:pPr>
    </w:p>
    <w:p w14:paraId="74D2BEA0">
      <w:pPr>
        <w:snapToGrid w:val="0"/>
        <w:spacing w:before="156" w:beforeLines="50" w:after="50"/>
        <w:rPr>
          <w:rFonts w:hint="eastAsia" w:ascii="宋体" w:hAnsi="宋体" w:eastAsia="宋体" w:cs="宋体"/>
          <w:color w:val="auto"/>
          <w:sz w:val="24"/>
          <w:szCs w:val="20"/>
          <w:highlight w:val="none"/>
        </w:rPr>
      </w:pPr>
    </w:p>
    <w:p w14:paraId="79A07012">
      <w:pPr>
        <w:snapToGrid w:val="0"/>
        <w:spacing w:before="156"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w:t>
      </w:r>
    </w:p>
    <w:p w14:paraId="4D118649">
      <w:pPr>
        <w:snapToGrid w:val="0"/>
        <w:spacing w:before="156" w:beforeLines="50" w:after="50"/>
        <w:rPr>
          <w:rFonts w:hint="eastAsia" w:ascii="宋体" w:hAnsi="宋体" w:eastAsia="宋体" w:cs="宋体"/>
          <w:bCs/>
          <w:color w:val="auto"/>
          <w:sz w:val="24"/>
          <w:szCs w:val="20"/>
          <w:highlight w:val="none"/>
        </w:rPr>
      </w:pPr>
    </w:p>
    <w:p w14:paraId="40144076">
      <w:pPr>
        <w:snapToGrid w:val="0"/>
        <w:spacing w:before="156" w:beforeLines="50" w:after="50"/>
        <w:rPr>
          <w:rFonts w:hint="eastAsia" w:ascii="宋体" w:hAnsi="宋体" w:eastAsia="宋体" w:cs="宋体"/>
          <w:bCs/>
          <w:color w:val="auto"/>
          <w:sz w:val="24"/>
          <w:szCs w:val="20"/>
          <w:highlight w:val="none"/>
        </w:rPr>
      </w:pPr>
    </w:p>
    <w:p w14:paraId="781B9D92">
      <w:pPr>
        <w:snapToGrid w:val="0"/>
        <w:spacing w:before="156" w:beforeLines="50" w:after="50"/>
        <w:rPr>
          <w:rFonts w:hint="eastAsia" w:ascii="宋体" w:hAnsi="宋体" w:eastAsia="宋体" w:cs="宋体"/>
          <w:bCs/>
          <w:color w:val="auto"/>
          <w:sz w:val="24"/>
          <w:szCs w:val="20"/>
          <w:highlight w:val="none"/>
        </w:rPr>
      </w:pPr>
    </w:p>
    <w:p w14:paraId="4791D95F">
      <w:pPr>
        <w:snapToGrid w:val="0"/>
        <w:spacing w:before="156" w:beforeLines="50" w:after="50"/>
        <w:rPr>
          <w:rFonts w:hint="eastAsia" w:ascii="宋体" w:hAnsi="宋体" w:eastAsia="宋体" w:cs="宋体"/>
          <w:bCs/>
          <w:color w:val="auto"/>
          <w:sz w:val="24"/>
          <w:szCs w:val="20"/>
          <w:highlight w:val="none"/>
        </w:rPr>
      </w:pPr>
    </w:p>
    <w:p w14:paraId="44073B8E">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76E1342">
      <w:pPr>
        <w:snapToGrid w:val="0"/>
        <w:spacing w:before="156" w:beforeLines="50" w:after="50"/>
        <w:ind w:firstLine="720" w:firstLineChars="225"/>
        <w:rPr>
          <w:rFonts w:hint="eastAsia" w:ascii="宋体" w:hAnsi="宋体" w:eastAsia="宋体" w:cs="宋体"/>
          <w:bCs/>
          <w:color w:val="auto"/>
          <w:sz w:val="32"/>
          <w:szCs w:val="32"/>
          <w:highlight w:val="none"/>
        </w:rPr>
      </w:pPr>
    </w:p>
    <w:p w14:paraId="094831E7">
      <w:pPr>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D074EEC">
      <w:pPr>
        <w:snapToGrid w:val="0"/>
        <w:spacing w:before="156" w:beforeLines="50" w:after="50"/>
        <w:ind w:firstLine="720" w:firstLineChars="225"/>
        <w:rPr>
          <w:rFonts w:hint="eastAsia" w:ascii="宋体" w:hAnsi="宋体" w:eastAsia="宋体" w:cs="宋体"/>
          <w:bCs/>
          <w:color w:val="auto"/>
          <w:sz w:val="32"/>
          <w:szCs w:val="32"/>
          <w:highlight w:val="none"/>
        </w:rPr>
      </w:pPr>
    </w:p>
    <w:p w14:paraId="6107D8AA">
      <w:pPr>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B62E5EB">
      <w:pPr>
        <w:snapToGrid w:val="0"/>
        <w:spacing w:before="156" w:beforeLines="50" w:after="50"/>
        <w:ind w:firstLine="720" w:firstLineChars="225"/>
        <w:rPr>
          <w:rFonts w:hint="eastAsia" w:ascii="宋体" w:hAnsi="宋体" w:eastAsia="宋体" w:cs="宋体"/>
          <w:bCs/>
          <w:color w:val="auto"/>
          <w:sz w:val="32"/>
          <w:szCs w:val="32"/>
          <w:highlight w:val="none"/>
        </w:rPr>
      </w:pPr>
    </w:p>
    <w:p w14:paraId="197C2C70">
      <w:pPr>
        <w:pStyle w:val="9"/>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7C9AFD4">
      <w:pPr>
        <w:pStyle w:val="9"/>
        <w:snapToGrid w:val="0"/>
        <w:spacing w:before="50" w:after="50"/>
        <w:ind w:firstLine="1280" w:firstLineChars="400"/>
        <w:rPr>
          <w:rFonts w:hint="eastAsia" w:ascii="宋体" w:hAnsi="宋体" w:eastAsia="宋体" w:cs="宋体"/>
          <w:bCs/>
          <w:color w:val="auto"/>
          <w:sz w:val="32"/>
          <w:szCs w:val="32"/>
          <w:highlight w:val="none"/>
        </w:rPr>
      </w:pPr>
    </w:p>
    <w:p w14:paraId="5F0EAF72">
      <w:pPr>
        <w:snapToGrid w:val="0"/>
        <w:spacing w:before="156"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B7F56DF">
      <w:pPr>
        <w:keepNext w:val="0"/>
        <w:keepLines w:val="0"/>
        <w:pageBreakBefore w:val="0"/>
        <w:widowControl w:val="0"/>
        <w:kinsoku/>
        <w:wordWrap/>
        <w:overflowPunct/>
        <w:topLinePunct w:val="0"/>
        <w:autoSpaceDE/>
        <w:autoSpaceDN/>
        <w:bidi w:val="0"/>
        <w:adjustRightInd/>
        <w:snapToGrid w:val="0"/>
        <w:spacing w:line="500" w:lineRule="exact"/>
        <w:ind w:left="142"/>
        <w:jc w:val="left"/>
        <w:textAlignment w:val="auto"/>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0"/>
          <w:szCs w:val="30"/>
          <w:highlight w:val="none"/>
        </w:rPr>
        <w:t>2.资格证明文件目录</w:t>
      </w:r>
    </w:p>
    <w:p w14:paraId="69DDD2A7">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w:t>
      </w:r>
      <w:r>
        <w:rPr>
          <w:rFonts w:hint="eastAsia" w:ascii="宋体" w:hAnsi="宋体" w:eastAsia="宋体" w:cs="宋体"/>
          <w:color w:val="auto"/>
          <w:sz w:val="21"/>
          <w:szCs w:val="21"/>
          <w:highlight w:val="none"/>
        </w:rPr>
        <w:t>供应商为法人或者其他组织的提供其营业执照等证明文件</w:t>
      </w:r>
      <w:r>
        <w:rPr>
          <w:rFonts w:hint="eastAsia" w:ascii="宋体" w:hAnsi="宋体" w:eastAsia="宋体" w:cs="宋体"/>
          <w:color w:val="auto"/>
          <w:kern w:val="0"/>
          <w:sz w:val="21"/>
          <w:szCs w:val="21"/>
          <w:highlight w:val="none"/>
        </w:rPr>
        <w:t>…………………………（页码）</w:t>
      </w:r>
    </w:p>
    <w:p w14:paraId="3187ADF4">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w:t>
      </w:r>
      <w:r>
        <w:rPr>
          <w:rFonts w:hint="eastAsia" w:ascii="宋体" w:hAnsi="宋体" w:eastAsia="宋体" w:cs="宋体"/>
          <w:color w:val="auto"/>
          <w:sz w:val="21"/>
          <w:szCs w:val="21"/>
          <w:highlight w:val="none"/>
        </w:rPr>
        <w:t>供应商依法缴纳税收的相关材料</w:t>
      </w:r>
      <w:r>
        <w:rPr>
          <w:rFonts w:hint="eastAsia" w:ascii="宋体" w:hAnsi="宋体" w:eastAsia="宋体" w:cs="宋体"/>
          <w:color w:val="auto"/>
          <w:kern w:val="0"/>
          <w:sz w:val="21"/>
          <w:szCs w:val="21"/>
          <w:highlight w:val="none"/>
        </w:rPr>
        <w:t>………………………………………………………（页码）</w:t>
      </w:r>
    </w:p>
    <w:p w14:paraId="77C2F0F8">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w:t>
      </w:r>
      <w:r>
        <w:rPr>
          <w:rFonts w:hint="eastAsia" w:ascii="宋体" w:hAnsi="宋体" w:eastAsia="宋体" w:cs="宋体"/>
          <w:color w:val="auto"/>
          <w:sz w:val="21"/>
          <w:szCs w:val="21"/>
          <w:highlight w:val="none"/>
        </w:rPr>
        <w:t>供应商依法缴纳社会保障资金的相关材料</w:t>
      </w:r>
      <w:r>
        <w:rPr>
          <w:rFonts w:hint="eastAsia" w:ascii="宋体" w:hAnsi="宋体" w:eastAsia="宋体" w:cs="宋体"/>
          <w:color w:val="auto"/>
          <w:kern w:val="0"/>
          <w:sz w:val="21"/>
          <w:szCs w:val="21"/>
          <w:highlight w:val="none"/>
        </w:rPr>
        <w:t>……………………………………………（页码）</w:t>
      </w:r>
    </w:p>
    <w:p w14:paraId="0457D217">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四、供应商财务状况报告</w:t>
      </w:r>
      <w:r>
        <w:rPr>
          <w:rFonts w:hint="eastAsia" w:ascii="宋体" w:hAnsi="宋体" w:eastAsia="宋体" w:cs="宋体"/>
          <w:color w:val="auto"/>
          <w:kern w:val="0"/>
          <w:sz w:val="21"/>
          <w:szCs w:val="21"/>
          <w:highlight w:val="none"/>
        </w:rPr>
        <w:t>……………………………………………………………………（页码）</w:t>
      </w:r>
    </w:p>
    <w:p w14:paraId="3A98F6C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五、供应商直接控股、管理关系信息表</w:t>
      </w:r>
      <w:r>
        <w:rPr>
          <w:rFonts w:hint="eastAsia" w:ascii="宋体" w:hAnsi="宋体" w:eastAsia="宋体" w:cs="宋体"/>
          <w:color w:val="auto"/>
          <w:kern w:val="0"/>
          <w:sz w:val="21"/>
          <w:szCs w:val="21"/>
          <w:highlight w:val="none"/>
        </w:rPr>
        <w:t>……………………………………………………（页码）</w:t>
      </w:r>
    </w:p>
    <w:p w14:paraId="0AF2D291">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六、竞标声明…………………………………………………………………………………（页码）</w:t>
      </w:r>
    </w:p>
    <w:p w14:paraId="503CC58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w:t>
      </w:r>
      <w:r>
        <w:rPr>
          <w:rFonts w:hint="eastAsia" w:ascii="宋体" w:hAnsi="宋体" w:eastAsia="宋体" w:cs="宋体"/>
          <w:color w:val="auto"/>
          <w:sz w:val="21"/>
          <w:szCs w:val="21"/>
          <w:highlight w:val="none"/>
        </w:rPr>
        <w:t>竞争性磋商公告对应的特定资格要求及特定条件的资格证明材料</w:t>
      </w:r>
      <w:r>
        <w:rPr>
          <w:rFonts w:hint="eastAsia" w:ascii="宋体" w:hAnsi="宋体" w:eastAsia="宋体" w:cs="宋体"/>
          <w:color w:val="auto"/>
          <w:kern w:val="0"/>
          <w:sz w:val="21"/>
          <w:szCs w:val="21"/>
          <w:highlight w:val="none"/>
        </w:rPr>
        <w:t>…………………（页码）</w:t>
      </w:r>
    </w:p>
    <w:p w14:paraId="6F256EE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八</w:t>
      </w:r>
      <w:r>
        <w:rPr>
          <w:rFonts w:hint="eastAsia" w:ascii="宋体" w:hAnsi="宋体" w:eastAsia="宋体" w:cs="宋体"/>
          <w:color w:val="auto"/>
          <w:kern w:val="0"/>
          <w:sz w:val="21"/>
          <w:szCs w:val="21"/>
          <w:highlight w:val="none"/>
        </w:rPr>
        <w:t>、除磋商文件规定必须提供以外，供应商认为需要提供的其他证明材料……………（页码）</w:t>
      </w:r>
    </w:p>
    <w:p w14:paraId="6E52F9F1">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4"/>
          <w:highlight w:val="none"/>
        </w:rPr>
      </w:pPr>
    </w:p>
    <w:p w14:paraId="4EC4C1A8">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注：以上目录是编制供应商响应文件的基本格式要求，各供应商可根据自身情况进一步细化</w:t>
      </w:r>
      <w:r>
        <w:rPr>
          <w:rFonts w:hint="eastAsia" w:ascii="宋体" w:hAnsi="宋体" w:eastAsia="宋体" w:cs="宋体"/>
          <w:color w:val="auto"/>
          <w:sz w:val="21"/>
          <w:szCs w:val="21"/>
          <w:highlight w:val="none"/>
        </w:rPr>
        <w:t>。</w:t>
      </w:r>
    </w:p>
    <w:p w14:paraId="0468A9FB">
      <w:pPr>
        <w:pStyle w:val="22"/>
        <w:rPr>
          <w:rFonts w:hint="eastAsia" w:ascii="宋体" w:hAnsi="宋体" w:eastAsia="宋体" w:cs="宋体"/>
          <w:color w:val="auto"/>
          <w:highlight w:val="none"/>
        </w:rPr>
      </w:pPr>
    </w:p>
    <w:p w14:paraId="0D51627E">
      <w:pPr>
        <w:snapToGrid w:val="0"/>
        <w:spacing w:before="156" w:beforeLines="50" w:after="50"/>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br w:type="page"/>
      </w:r>
      <w:r>
        <w:rPr>
          <w:rFonts w:hint="eastAsia" w:ascii="宋体" w:hAnsi="宋体" w:eastAsia="宋体" w:cs="宋体"/>
          <w:b/>
          <w:bCs w:val="0"/>
          <w:color w:val="auto"/>
          <w:sz w:val="30"/>
          <w:szCs w:val="30"/>
          <w:highlight w:val="none"/>
        </w:rPr>
        <w:t>一、供应商为法人或者其他组织的提供其营业执照等证明文件</w:t>
      </w:r>
    </w:p>
    <w:p w14:paraId="12A1EAC4">
      <w:pPr>
        <w:autoSpaceDE w:val="0"/>
        <w:autoSpaceDN w:val="0"/>
        <w:spacing w:line="360" w:lineRule="auto"/>
        <w:ind w:left="4305" w:leftChars="2050" w:firstLine="1050" w:firstLineChars="500"/>
        <w:rPr>
          <w:rFonts w:hint="eastAsia" w:ascii="宋体" w:hAnsi="宋体" w:cs="宋体"/>
          <w:color w:val="auto"/>
          <w:kern w:val="0"/>
          <w:sz w:val="21"/>
          <w:szCs w:val="21"/>
          <w:highlight w:val="none"/>
        </w:rPr>
      </w:pPr>
    </w:p>
    <w:p w14:paraId="5850D5B1">
      <w:pPr>
        <w:autoSpaceDE w:val="0"/>
        <w:autoSpaceDN w:val="0"/>
        <w:spacing w:line="360" w:lineRule="auto"/>
        <w:ind w:left="4305" w:leftChars="2050" w:firstLine="1050" w:firstLineChars="500"/>
        <w:rPr>
          <w:rFonts w:hint="eastAsia" w:ascii="宋体" w:hAnsi="宋体" w:cs="宋体"/>
          <w:color w:val="auto"/>
          <w:kern w:val="0"/>
          <w:sz w:val="21"/>
          <w:szCs w:val="21"/>
          <w:highlight w:val="none"/>
        </w:rPr>
      </w:pPr>
    </w:p>
    <w:p w14:paraId="3E25DAB1">
      <w:pPr>
        <w:autoSpaceDE w:val="0"/>
        <w:autoSpaceDN w:val="0"/>
        <w:spacing w:line="360" w:lineRule="auto"/>
        <w:ind w:left="4305" w:leftChars="2050" w:firstLine="1050" w:firstLineChars="5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供应商名称（电子签章）：</w:t>
      </w:r>
    </w:p>
    <w:p w14:paraId="1915686E">
      <w:pPr>
        <w:autoSpaceDE w:val="0"/>
        <w:autoSpaceDN w:val="0"/>
        <w:spacing w:line="360" w:lineRule="auto"/>
        <w:ind w:firstLine="5355" w:firstLineChars="2550"/>
        <w:rPr>
          <w:rFonts w:hint="eastAsia" w:ascii="宋体" w:hAnsi="宋体" w:cs="宋体"/>
          <w:b/>
          <w:bCs/>
          <w:color w:val="auto"/>
          <w:sz w:val="21"/>
          <w:szCs w:val="21"/>
          <w:highlight w:val="none"/>
        </w:rPr>
      </w:pPr>
      <w:r>
        <w:rPr>
          <w:rFonts w:hint="eastAsia" w:ascii="宋体" w:hAnsi="宋体" w:cs="宋体"/>
          <w:color w:val="auto"/>
          <w:kern w:val="0"/>
          <w:sz w:val="21"/>
          <w:szCs w:val="21"/>
          <w:highlight w:val="none"/>
          <w:lang w:val="zh-CN"/>
        </w:rPr>
        <w:t>日期：</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年</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日</w:t>
      </w:r>
    </w:p>
    <w:p w14:paraId="2B321B2B">
      <w:pPr>
        <w:pStyle w:val="22"/>
        <w:rPr>
          <w:rFonts w:hint="eastAsia" w:ascii="宋体" w:hAnsi="宋体" w:eastAsia="宋体" w:cs="宋体"/>
          <w:color w:val="auto"/>
          <w:highlight w:val="none"/>
        </w:rPr>
      </w:pPr>
    </w:p>
    <w:p w14:paraId="12AF8F25">
      <w:pPr>
        <w:pStyle w:val="22"/>
        <w:rPr>
          <w:rFonts w:hint="eastAsia" w:ascii="宋体" w:hAnsi="宋体" w:eastAsia="宋体" w:cs="宋体"/>
          <w:color w:val="auto"/>
          <w:highlight w:val="none"/>
        </w:rPr>
      </w:pPr>
    </w:p>
    <w:p w14:paraId="2566B145">
      <w:pPr>
        <w:pStyle w:val="22"/>
        <w:rPr>
          <w:rFonts w:hint="eastAsia" w:ascii="宋体" w:hAnsi="宋体" w:eastAsia="宋体" w:cs="宋体"/>
          <w:b/>
          <w:bCs w:val="0"/>
          <w:color w:val="auto"/>
          <w:kern w:val="2"/>
          <w:sz w:val="30"/>
          <w:szCs w:val="30"/>
          <w:highlight w:val="none"/>
          <w:lang w:val="en-US" w:eastAsia="zh-CN" w:bidi="ar-SA"/>
        </w:rPr>
      </w:pPr>
    </w:p>
    <w:p w14:paraId="7192FFEA">
      <w:pPr>
        <w:pStyle w:val="22"/>
        <w:rPr>
          <w:rFonts w:hint="eastAsia" w:ascii="宋体" w:hAnsi="宋体" w:eastAsia="宋体" w:cs="宋体"/>
          <w:b/>
          <w:bCs w:val="0"/>
          <w:color w:val="auto"/>
          <w:kern w:val="2"/>
          <w:sz w:val="30"/>
          <w:szCs w:val="30"/>
          <w:highlight w:val="none"/>
          <w:lang w:val="en-US" w:eastAsia="zh-CN" w:bidi="ar-SA"/>
        </w:rPr>
      </w:pPr>
      <w:r>
        <w:rPr>
          <w:rFonts w:hint="eastAsia" w:ascii="宋体" w:hAnsi="宋体" w:eastAsia="宋体" w:cs="宋体"/>
          <w:b/>
          <w:bCs w:val="0"/>
          <w:color w:val="auto"/>
          <w:kern w:val="2"/>
          <w:sz w:val="30"/>
          <w:szCs w:val="30"/>
          <w:highlight w:val="none"/>
          <w:lang w:val="en-US" w:eastAsia="zh-CN" w:bidi="ar-SA"/>
        </w:rPr>
        <w:t>二、供应商依法缴纳税收的相关材料</w:t>
      </w:r>
    </w:p>
    <w:p w14:paraId="0D55C151">
      <w:pPr>
        <w:autoSpaceDE w:val="0"/>
        <w:autoSpaceDN w:val="0"/>
        <w:spacing w:line="360" w:lineRule="auto"/>
        <w:ind w:left="4305" w:leftChars="2050" w:firstLine="1050" w:firstLineChars="500"/>
        <w:rPr>
          <w:rFonts w:hint="eastAsia" w:ascii="宋体" w:hAnsi="宋体" w:cs="宋体"/>
          <w:color w:val="auto"/>
          <w:kern w:val="0"/>
          <w:sz w:val="21"/>
          <w:szCs w:val="21"/>
          <w:highlight w:val="none"/>
        </w:rPr>
      </w:pPr>
    </w:p>
    <w:p w14:paraId="71760D03">
      <w:pPr>
        <w:autoSpaceDE w:val="0"/>
        <w:autoSpaceDN w:val="0"/>
        <w:spacing w:line="360" w:lineRule="auto"/>
        <w:ind w:left="4305" w:leftChars="2050" w:firstLine="1050" w:firstLineChars="500"/>
        <w:rPr>
          <w:rFonts w:hint="eastAsia" w:ascii="宋体" w:hAnsi="宋体" w:cs="宋体"/>
          <w:color w:val="auto"/>
          <w:kern w:val="0"/>
          <w:sz w:val="21"/>
          <w:szCs w:val="21"/>
          <w:highlight w:val="none"/>
        </w:rPr>
      </w:pPr>
    </w:p>
    <w:p w14:paraId="17E225D4">
      <w:pPr>
        <w:autoSpaceDE w:val="0"/>
        <w:autoSpaceDN w:val="0"/>
        <w:spacing w:line="360" w:lineRule="auto"/>
        <w:ind w:left="4305" w:leftChars="2050" w:firstLine="1050" w:firstLineChars="5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供应商名称（电子签章）：</w:t>
      </w:r>
    </w:p>
    <w:p w14:paraId="2C3971C5">
      <w:pPr>
        <w:autoSpaceDE w:val="0"/>
        <w:autoSpaceDN w:val="0"/>
        <w:spacing w:line="360" w:lineRule="auto"/>
        <w:ind w:firstLine="5355" w:firstLineChars="2550"/>
        <w:rPr>
          <w:rFonts w:hint="eastAsia" w:ascii="宋体" w:hAnsi="宋体" w:cs="宋体"/>
          <w:b/>
          <w:bCs/>
          <w:color w:val="auto"/>
          <w:sz w:val="21"/>
          <w:szCs w:val="21"/>
          <w:highlight w:val="none"/>
        </w:rPr>
      </w:pPr>
      <w:r>
        <w:rPr>
          <w:rFonts w:hint="eastAsia" w:ascii="宋体" w:hAnsi="宋体" w:cs="宋体"/>
          <w:color w:val="auto"/>
          <w:kern w:val="0"/>
          <w:sz w:val="21"/>
          <w:szCs w:val="21"/>
          <w:highlight w:val="none"/>
          <w:lang w:val="zh-CN"/>
        </w:rPr>
        <w:t>日期：</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年</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日</w:t>
      </w:r>
    </w:p>
    <w:p w14:paraId="362647D0">
      <w:pPr>
        <w:pStyle w:val="22"/>
        <w:rPr>
          <w:rFonts w:hint="eastAsia" w:ascii="宋体" w:hAnsi="宋体" w:eastAsia="宋体" w:cs="宋体"/>
          <w:color w:val="auto"/>
          <w:highlight w:val="none"/>
        </w:rPr>
      </w:pPr>
    </w:p>
    <w:p w14:paraId="06FF451E">
      <w:pPr>
        <w:pStyle w:val="22"/>
        <w:rPr>
          <w:rFonts w:hint="eastAsia" w:ascii="宋体" w:hAnsi="宋体" w:eastAsia="宋体" w:cs="宋体"/>
          <w:color w:val="auto"/>
          <w:highlight w:val="none"/>
        </w:rPr>
      </w:pPr>
    </w:p>
    <w:p w14:paraId="6F921831">
      <w:pPr>
        <w:pStyle w:val="22"/>
        <w:rPr>
          <w:rFonts w:hint="eastAsia" w:ascii="宋体" w:hAnsi="宋体" w:eastAsia="宋体" w:cs="宋体"/>
          <w:b/>
          <w:color w:val="auto"/>
          <w:sz w:val="30"/>
          <w:szCs w:val="30"/>
          <w:highlight w:val="none"/>
        </w:rPr>
      </w:pPr>
    </w:p>
    <w:p w14:paraId="5A26526B">
      <w:pPr>
        <w:pStyle w:val="22"/>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三、供应商依法缴纳社会保障资金的相关材料</w:t>
      </w:r>
    </w:p>
    <w:p w14:paraId="673A9CA9">
      <w:pPr>
        <w:pStyle w:val="22"/>
        <w:rPr>
          <w:rFonts w:hint="eastAsia" w:ascii="宋体" w:hAnsi="宋体" w:eastAsia="宋体" w:cs="宋体"/>
          <w:color w:val="auto"/>
          <w:sz w:val="24"/>
          <w:highlight w:val="none"/>
        </w:rPr>
      </w:pPr>
    </w:p>
    <w:p w14:paraId="22F4F1F8">
      <w:pPr>
        <w:pStyle w:val="28"/>
        <w:rPr>
          <w:rFonts w:hint="eastAsia"/>
          <w:color w:val="auto"/>
          <w:highlight w:val="none"/>
        </w:rPr>
      </w:pPr>
    </w:p>
    <w:p w14:paraId="55401D2E">
      <w:pPr>
        <w:autoSpaceDE w:val="0"/>
        <w:autoSpaceDN w:val="0"/>
        <w:spacing w:line="360" w:lineRule="auto"/>
        <w:ind w:left="4305" w:leftChars="2050" w:firstLine="1050" w:firstLineChars="5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供应商名称（电子签章）：</w:t>
      </w:r>
    </w:p>
    <w:p w14:paraId="142FAC93">
      <w:pPr>
        <w:autoSpaceDE w:val="0"/>
        <w:autoSpaceDN w:val="0"/>
        <w:spacing w:line="360" w:lineRule="auto"/>
        <w:ind w:firstLine="5355" w:firstLineChars="2550"/>
        <w:rPr>
          <w:rFonts w:hint="eastAsia" w:ascii="宋体" w:hAnsi="宋体" w:cs="宋体"/>
          <w:b/>
          <w:bCs/>
          <w:color w:val="auto"/>
          <w:sz w:val="21"/>
          <w:szCs w:val="21"/>
          <w:highlight w:val="none"/>
        </w:rPr>
      </w:pPr>
      <w:r>
        <w:rPr>
          <w:rFonts w:hint="eastAsia" w:ascii="宋体" w:hAnsi="宋体" w:cs="宋体"/>
          <w:color w:val="auto"/>
          <w:kern w:val="0"/>
          <w:sz w:val="21"/>
          <w:szCs w:val="21"/>
          <w:highlight w:val="none"/>
          <w:lang w:val="zh-CN"/>
        </w:rPr>
        <w:t>日期：</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年</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日</w:t>
      </w:r>
    </w:p>
    <w:p w14:paraId="37D6A5D5">
      <w:pPr>
        <w:pStyle w:val="22"/>
        <w:rPr>
          <w:rFonts w:hint="eastAsia" w:ascii="宋体" w:hAnsi="宋体" w:eastAsia="宋体" w:cs="宋体"/>
          <w:color w:val="auto"/>
          <w:highlight w:val="none"/>
        </w:rPr>
      </w:pPr>
    </w:p>
    <w:p w14:paraId="5F4C09FD">
      <w:pPr>
        <w:pStyle w:val="22"/>
        <w:rPr>
          <w:rFonts w:hint="eastAsia" w:ascii="宋体" w:hAnsi="宋体" w:eastAsia="宋体" w:cs="宋体"/>
          <w:color w:val="auto"/>
          <w:highlight w:val="none"/>
        </w:rPr>
      </w:pPr>
    </w:p>
    <w:p w14:paraId="5E07E7DD">
      <w:pPr>
        <w:pStyle w:val="22"/>
        <w:rPr>
          <w:rFonts w:hint="eastAsia" w:ascii="宋体" w:hAnsi="宋体" w:eastAsia="宋体" w:cs="宋体"/>
          <w:b/>
          <w:color w:val="auto"/>
          <w:sz w:val="30"/>
          <w:szCs w:val="30"/>
          <w:highlight w:val="none"/>
        </w:rPr>
      </w:pPr>
    </w:p>
    <w:p w14:paraId="62D1EC68">
      <w:pPr>
        <w:pStyle w:val="22"/>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四、供应商财务状况报告</w:t>
      </w:r>
    </w:p>
    <w:p w14:paraId="40BCD9BC">
      <w:pPr>
        <w:autoSpaceDE w:val="0"/>
        <w:autoSpaceDN w:val="0"/>
        <w:spacing w:line="360" w:lineRule="auto"/>
        <w:ind w:left="4305" w:leftChars="2050" w:firstLine="1050" w:firstLineChars="500"/>
        <w:rPr>
          <w:rFonts w:hint="eastAsia" w:ascii="宋体" w:hAnsi="宋体" w:cs="宋体"/>
          <w:color w:val="auto"/>
          <w:kern w:val="0"/>
          <w:sz w:val="21"/>
          <w:szCs w:val="21"/>
          <w:highlight w:val="none"/>
        </w:rPr>
      </w:pPr>
    </w:p>
    <w:p w14:paraId="6CE8BB57">
      <w:pPr>
        <w:autoSpaceDE w:val="0"/>
        <w:autoSpaceDN w:val="0"/>
        <w:spacing w:line="360" w:lineRule="auto"/>
        <w:ind w:left="4305" w:leftChars="2050" w:firstLine="1050" w:firstLineChars="500"/>
        <w:rPr>
          <w:rFonts w:hint="eastAsia" w:ascii="宋体" w:hAnsi="宋体" w:cs="宋体"/>
          <w:color w:val="auto"/>
          <w:kern w:val="0"/>
          <w:sz w:val="21"/>
          <w:szCs w:val="21"/>
          <w:highlight w:val="none"/>
        </w:rPr>
      </w:pPr>
    </w:p>
    <w:p w14:paraId="27DC8241">
      <w:pPr>
        <w:autoSpaceDE w:val="0"/>
        <w:autoSpaceDN w:val="0"/>
        <w:spacing w:line="360" w:lineRule="auto"/>
        <w:ind w:left="4305" w:leftChars="2050" w:firstLine="1050" w:firstLineChars="5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供应商名称（电子签章）：</w:t>
      </w:r>
    </w:p>
    <w:p w14:paraId="4E9A2171">
      <w:pPr>
        <w:autoSpaceDE w:val="0"/>
        <w:autoSpaceDN w:val="0"/>
        <w:spacing w:line="360" w:lineRule="auto"/>
        <w:ind w:firstLine="5355" w:firstLineChars="2550"/>
        <w:rPr>
          <w:rFonts w:hint="eastAsia" w:ascii="宋体" w:hAnsi="宋体" w:cs="宋体"/>
          <w:b/>
          <w:bCs/>
          <w:color w:val="auto"/>
          <w:sz w:val="21"/>
          <w:szCs w:val="21"/>
          <w:highlight w:val="none"/>
        </w:rPr>
      </w:pPr>
      <w:r>
        <w:rPr>
          <w:rFonts w:hint="eastAsia" w:ascii="宋体" w:hAnsi="宋体" w:cs="宋体"/>
          <w:color w:val="auto"/>
          <w:kern w:val="0"/>
          <w:sz w:val="21"/>
          <w:szCs w:val="21"/>
          <w:highlight w:val="none"/>
          <w:lang w:val="zh-CN"/>
        </w:rPr>
        <w:t>日期：</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年</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日</w:t>
      </w:r>
    </w:p>
    <w:p w14:paraId="11D2A824">
      <w:pPr>
        <w:autoSpaceDE w:val="0"/>
        <w:autoSpaceDN w:val="0"/>
        <w:spacing w:line="360" w:lineRule="auto"/>
        <w:ind w:firstLine="6144" w:firstLineChars="2550"/>
        <w:rPr>
          <w:rFonts w:hint="eastAsia" w:ascii="宋体" w:hAnsi="宋体" w:eastAsia="宋体" w:cs="宋体"/>
          <w:b/>
          <w:bCs/>
          <w:color w:val="auto"/>
          <w:sz w:val="24"/>
          <w:highlight w:val="none"/>
        </w:rPr>
      </w:pPr>
    </w:p>
    <w:p w14:paraId="23C1A40F">
      <w:pPr>
        <w:spacing w:line="300" w:lineRule="auto"/>
        <w:rPr>
          <w:rFonts w:hint="eastAsia" w:ascii="宋体" w:hAnsi="宋体" w:eastAsia="宋体" w:cs="宋体"/>
          <w:color w:val="auto"/>
          <w:szCs w:val="21"/>
          <w:highlight w:val="none"/>
        </w:rPr>
      </w:pPr>
    </w:p>
    <w:p w14:paraId="25197202">
      <w:pPr>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B138F3F">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6E7AB16D">
      <w:pPr>
        <w:spacing w:line="320" w:lineRule="exact"/>
        <w:jc w:val="both"/>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五、供应商直接控股、管理关系信息表</w:t>
      </w:r>
    </w:p>
    <w:p w14:paraId="131AA67D">
      <w:pPr>
        <w:snapToGrid w:val="0"/>
        <w:spacing w:before="156" w:beforeLines="50" w:after="50" w:line="360" w:lineRule="auto"/>
        <w:jc w:val="center"/>
        <w:rPr>
          <w:rFonts w:hint="eastAsia" w:ascii="宋体" w:hAnsi="宋体" w:eastAsia="宋体" w:cs="宋体"/>
          <w:b/>
          <w:color w:val="auto"/>
          <w:sz w:val="24"/>
          <w:highlight w:val="none"/>
        </w:rPr>
      </w:pPr>
    </w:p>
    <w:p w14:paraId="442BF3C8">
      <w:pPr>
        <w:spacing w:line="3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30"/>
          <w:szCs w:val="30"/>
          <w:highlight w:val="none"/>
        </w:rPr>
        <w:t>供应商直接控股股东信息表</w:t>
      </w:r>
    </w:p>
    <w:tbl>
      <w:tblPr>
        <w:tblStyle w:val="29"/>
        <w:tblW w:w="9058" w:type="dxa"/>
        <w:jc w:val="center"/>
        <w:shd w:val="clear" w:color="auto" w:fill="FBFBFB"/>
        <w:tblLayout w:type="fixed"/>
        <w:tblCellMar>
          <w:top w:w="0" w:type="dxa"/>
          <w:left w:w="0" w:type="dxa"/>
          <w:bottom w:w="0" w:type="dxa"/>
          <w:right w:w="0" w:type="dxa"/>
        </w:tblCellMar>
      </w:tblPr>
      <w:tblGrid>
        <w:gridCol w:w="785"/>
        <w:gridCol w:w="2370"/>
        <w:gridCol w:w="1298"/>
        <w:gridCol w:w="3829"/>
        <w:gridCol w:w="776"/>
      </w:tblGrid>
      <w:tr w14:paraId="31EEE3C6">
        <w:tblPrEx>
          <w:tblCellMar>
            <w:top w:w="0" w:type="dxa"/>
            <w:left w:w="0" w:type="dxa"/>
            <w:bottom w:w="0" w:type="dxa"/>
            <w:right w:w="0" w:type="dxa"/>
          </w:tblCellMar>
        </w:tblPrEx>
        <w:trPr>
          <w:trHeight w:val="739" w:hRule="atLeast"/>
          <w:tblHeader/>
          <w:jc w:val="center"/>
        </w:trPr>
        <w:tc>
          <w:tcPr>
            <w:tcW w:w="78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3031ED">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23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89CE05">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直接控股股东名称</w:t>
            </w:r>
          </w:p>
        </w:tc>
        <w:tc>
          <w:tcPr>
            <w:tcW w:w="129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A1EB62">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出资比例</w:t>
            </w:r>
          </w:p>
        </w:tc>
        <w:tc>
          <w:tcPr>
            <w:tcW w:w="382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2652E8">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身份证号码或者统一社会信用代码</w:t>
            </w:r>
          </w:p>
        </w:tc>
        <w:tc>
          <w:tcPr>
            <w:tcW w:w="77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D0C5FF">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010F552C">
        <w:tblPrEx>
          <w:tblCellMar>
            <w:top w:w="0" w:type="dxa"/>
            <w:left w:w="0" w:type="dxa"/>
            <w:bottom w:w="0" w:type="dxa"/>
            <w:right w:w="0" w:type="dxa"/>
          </w:tblCellMar>
        </w:tblPrEx>
        <w:trPr>
          <w:trHeight w:val="739" w:hRule="atLeast"/>
          <w:jc w:val="center"/>
        </w:trPr>
        <w:tc>
          <w:tcPr>
            <w:tcW w:w="78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C432A2">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3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134074">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770DBD9">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382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3A6AAD">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8F5F62">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r>
      <w:tr w14:paraId="12BB2543">
        <w:tblPrEx>
          <w:shd w:val="clear" w:color="auto" w:fill="FBFBFB"/>
          <w:tblCellMar>
            <w:top w:w="0" w:type="dxa"/>
            <w:left w:w="0" w:type="dxa"/>
            <w:bottom w:w="0" w:type="dxa"/>
            <w:right w:w="0" w:type="dxa"/>
          </w:tblCellMar>
        </w:tblPrEx>
        <w:trPr>
          <w:trHeight w:val="739" w:hRule="atLeast"/>
          <w:jc w:val="center"/>
        </w:trPr>
        <w:tc>
          <w:tcPr>
            <w:tcW w:w="78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94EB6E">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3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280352">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510F4F">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382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0A0F63">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C63CFE">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r>
      <w:tr w14:paraId="2F2D2E23">
        <w:tblPrEx>
          <w:shd w:val="clear" w:color="auto" w:fill="FBFBFB"/>
          <w:tblCellMar>
            <w:top w:w="0" w:type="dxa"/>
            <w:left w:w="0" w:type="dxa"/>
            <w:bottom w:w="0" w:type="dxa"/>
            <w:right w:w="0" w:type="dxa"/>
          </w:tblCellMar>
        </w:tblPrEx>
        <w:trPr>
          <w:trHeight w:val="739" w:hRule="atLeast"/>
          <w:jc w:val="center"/>
        </w:trPr>
        <w:tc>
          <w:tcPr>
            <w:tcW w:w="78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864662">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3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0DACF9">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CE4601">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382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E1DE54">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E30543">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r>
      <w:tr w14:paraId="3F4C8356">
        <w:tblPrEx>
          <w:shd w:val="clear" w:color="auto" w:fill="FBFBFB"/>
          <w:tblCellMar>
            <w:top w:w="0" w:type="dxa"/>
            <w:left w:w="0" w:type="dxa"/>
            <w:bottom w:w="0" w:type="dxa"/>
            <w:right w:w="0" w:type="dxa"/>
          </w:tblCellMar>
        </w:tblPrEx>
        <w:trPr>
          <w:trHeight w:val="758" w:hRule="atLeast"/>
          <w:jc w:val="center"/>
        </w:trPr>
        <w:tc>
          <w:tcPr>
            <w:tcW w:w="78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9D9CAE">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3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71065A">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FD6E33">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382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E6F84E">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E8C69B">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r>
    </w:tbl>
    <w:p w14:paraId="1AFA25E7">
      <w:pPr>
        <w:keepNext w:val="0"/>
        <w:keepLines w:val="0"/>
        <w:pageBreakBefore w:val="0"/>
        <w:kinsoku/>
        <w:wordWrap/>
        <w:overflowPunct/>
        <w:topLinePunct w:val="0"/>
        <w:bidi w:val="0"/>
        <w:adjustRightInd/>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131C537F">
      <w:pPr>
        <w:keepNext w:val="0"/>
        <w:keepLines w:val="0"/>
        <w:pageBreakBefore w:val="0"/>
        <w:kinsoku/>
        <w:wordWrap/>
        <w:overflowPunct/>
        <w:topLinePunct w:val="0"/>
        <w:bidi w:val="0"/>
        <w:adjustRightInd/>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BFF18E4">
      <w:pPr>
        <w:keepNext w:val="0"/>
        <w:keepLines w:val="0"/>
        <w:pageBreakBefore w:val="0"/>
        <w:kinsoku/>
        <w:wordWrap/>
        <w:overflowPunct/>
        <w:topLinePunct w:val="0"/>
        <w:bidi w:val="0"/>
        <w:adjustRightInd/>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2.本表所指的控股关系仅限于直接控股关系，不包括间接的控股关系。公司实际控制人与公司之间的关系不属于本表所指的直接控股关系。</w:t>
      </w:r>
    </w:p>
    <w:p w14:paraId="7F26D971">
      <w:pPr>
        <w:keepNext w:val="0"/>
        <w:keepLines w:val="0"/>
        <w:pageBreakBefore w:val="0"/>
        <w:kinsoku/>
        <w:wordWrap/>
        <w:overflowPunct/>
        <w:topLinePunct w:val="0"/>
        <w:bidi w:val="0"/>
        <w:adjustRightInd/>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3.供应商不存在直接控股股东的，则填“无”。</w:t>
      </w:r>
    </w:p>
    <w:p w14:paraId="6F127F89">
      <w:pPr>
        <w:keepNext w:val="0"/>
        <w:keepLines w:val="0"/>
        <w:pageBreakBefore w:val="0"/>
        <w:kinsoku/>
        <w:wordWrap/>
        <w:overflowPunct/>
        <w:topLinePunct w:val="0"/>
        <w:bidi w:val="0"/>
        <w:adjustRightInd/>
        <w:snapToGrid w:val="0"/>
        <w:spacing w:line="500" w:lineRule="exact"/>
        <w:jc w:val="left"/>
        <w:textAlignment w:val="auto"/>
        <w:rPr>
          <w:rFonts w:hint="eastAsia" w:ascii="宋体" w:hAnsi="宋体" w:eastAsia="宋体" w:cs="宋体"/>
          <w:color w:val="auto"/>
          <w:sz w:val="21"/>
          <w:szCs w:val="21"/>
          <w:highlight w:val="none"/>
        </w:rPr>
      </w:pPr>
    </w:p>
    <w:p w14:paraId="3040BD1D">
      <w:pPr>
        <w:keepNext w:val="0"/>
        <w:keepLines w:val="0"/>
        <w:pageBreakBefore w:val="0"/>
        <w:kinsoku/>
        <w:wordWrap/>
        <w:overflowPunct/>
        <w:topLinePunct w:val="0"/>
        <w:autoSpaceDE w:val="0"/>
        <w:autoSpaceDN w:val="0"/>
        <w:bidi w:val="0"/>
        <w:adjustRightInd/>
        <w:spacing w:line="500" w:lineRule="exact"/>
        <w:ind w:left="4305" w:leftChars="2050" w:firstLine="1050" w:firstLineChars="5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供应商名称（电子签章）：</w:t>
      </w:r>
    </w:p>
    <w:p w14:paraId="758908C9">
      <w:pPr>
        <w:keepNext w:val="0"/>
        <w:keepLines w:val="0"/>
        <w:pageBreakBefore w:val="0"/>
        <w:kinsoku/>
        <w:wordWrap/>
        <w:overflowPunct/>
        <w:topLinePunct w:val="0"/>
        <w:autoSpaceDE w:val="0"/>
        <w:autoSpaceDN w:val="0"/>
        <w:bidi w:val="0"/>
        <w:adjustRightInd/>
        <w:spacing w:line="500" w:lineRule="exact"/>
        <w:ind w:firstLine="5355" w:firstLineChars="255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 xml:space="preserve">日期：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月   日</w:t>
      </w:r>
    </w:p>
    <w:p w14:paraId="716835D9">
      <w:pPr>
        <w:pStyle w:val="22"/>
        <w:keepNext w:val="0"/>
        <w:keepLines w:val="0"/>
        <w:pageBreakBefore w:val="0"/>
        <w:kinsoku/>
        <w:wordWrap/>
        <w:overflowPunct/>
        <w:topLinePunct w:val="0"/>
        <w:bidi w:val="0"/>
        <w:adjustRightInd/>
        <w:spacing w:line="500" w:lineRule="exact"/>
        <w:textAlignment w:val="auto"/>
        <w:rPr>
          <w:rFonts w:hint="eastAsia" w:ascii="宋体" w:hAnsi="宋体" w:eastAsia="宋体" w:cs="宋体"/>
          <w:color w:val="auto"/>
          <w:highlight w:val="none"/>
        </w:rPr>
      </w:pPr>
    </w:p>
    <w:p w14:paraId="2FF8EBEF">
      <w:pPr>
        <w:pStyle w:val="22"/>
        <w:rPr>
          <w:rFonts w:hint="eastAsia" w:ascii="宋体" w:hAnsi="宋体" w:eastAsia="宋体" w:cs="宋体"/>
          <w:color w:val="auto"/>
          <w:highlight w:val="none"/>
        </w:rPr>
      </w:pPr>
    </w:p>
    <w:p w14:paraId="0102403C">
      <w:pPr>
        <w:snapToGrid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32193304">
      <w:pPr>
        <w:keepNext w:val="0"/>
        <w:keepLines w:val="0"/>
        <w:pageBreakBefore w:val="0"/>
        <w:kinsoku/>
        <w:wordWrap/>
        <w:overflowPunct/>
        <w:topLinePunct w:val="0"/>
        <w:bidi w:val="0"/>
        <w:adjustRightInd/>
        <w:spacing w:line="50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0"/>
          <w:szCs w:val="30"/>
          <w:highlight w:val="none"/>
        </w:rPr>
        <w:t>供应商直接管理关系信息表</w:t>
      </w:r>
    </w:p>
    <w:tbl>
      <w:tblPr>
        <w:tblStyle w:val="29"/>
        <w:tblW w:w="9318" w:type="dxa"/>
        <w:jc w:val="center"/>
        <w:shd w:val="clear" w:color="auto" w:fill="FBFBFB"/>
        <w:tblLayout w:type="fixed"/>
        <w:tblCellMar>
          <w:top w:w="0" w:type="dxa"/>
          <w:left w:w="0" w:type="dxa"/>
          <w:bottom w:w="0" w:type="dxa"/>
          <w:right w:w="0" w:type="dxa"/>
        </w:tblCellMar>
      </w:tblPr>
      <w:tblGrid>
        <w:gridCol w:w="780"/>
        <w:gridCol w:w="3476"/>
        <w:gridCol w:w="3432"/>
        <w:gridCol w:w="1630"/>
      </w:tblGrid>
      <w:tr w14:paraId="3A4B6407">
        <w:tblPrEx>
          <w:shd w:val="clear" w:color="auto" w:fill="FBFBFB"/>
          <w:tblCellMar>
            <w:top w:w="0" w:type="dxa"/>
            <w:left w:w="0" w:type="dxa"/>
            <w:bottom w:w="0" w:type="dxa"/>
            <w:right w:w="0" w:type="dxa"/>
          </w:tblCellMar>
        </w:tblPrEx>
        <w:trPr>
          <w:trHeight w:val="632" w:hRule="atLeas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1EA55B">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347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F41F98">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直接管理关系单位名称</w:t>
            </w:r>
          </w:p>
        </w:tc>
        <w:tc>
          <w:tcPr>
            <w:tcW w:w="343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85E7F9">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统一社会信用代码</w:t>
            </w:r>
          </w:p>
        </w:tc>
        <w:tc>
          <w:tcPr>
            <w:tcW w:w="163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B5ADA3">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60EDEA65">
        <w:tblPrEx>
          <w:shd w:val="clear" w:color="auto" w:fill="FBFBFB"/>
          <w:tblCellMar>
            <w:top w:w="0" w:type="dxa"/>
            <w:left w:w="0" w:type="dxa"/>
            <w:bottom w:w="0" w:type="dxa"/>
            <w:right w:w="0" w:type="dxa"/>
          </w:tblCellMar>
        </w:tblPrEx>
        <w:trPr>
          <w:trHeight w:val="632"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60D60C">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347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569AA0">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343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AE1121">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163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4DD40A">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r>
      <w:tr w14:paraId="0F8B7BC1">
        <w:tblPrEx>
          <w:shd w:val="clear" w:color="auto" w:fill="FBFBFB"/>
          <w:tblCellMar>
            <w:top w:w="0" w:type="dxa"/>
            <w:left w:w="0" w:type="dxa"/>
            <w:bottom w:w="0" w:type="dxa"/>
            <w:right w:w="0" w:type="dxa"/>
          </w:tblCellMar>
        </w:tblPrEx>
        <w:trPr>
          <w:trHeight w:val="632"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247108">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347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3C392F">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343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021D69">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163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948E06">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r>
      <w:tr w14:paraId="35100BE1">
        <w:tblPrEx>
          <w:shd w:val="clear" w:color="auto" w:fill="FBFBFB"/>
          <w:tblCellMar>
            <w:top w:w="0" w:type="dxa"/>
            <w:left w:w="0" w:type="dxa"/>
            <w:bottom w:w="0" w:type="dxa"/>
            <w:right w:w="0" w:type="dxa"/>
          </w:tblCellMar>
        </w:tblPrEx>
        <w:trPr>
          <w:trHeight w:val="632"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D84A6B">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347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3B7A37">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343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AAD2A9">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163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E57DA4">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r>
      <w:tr w14:paraId="6BBD07CF">
        <w:tblPrEx>
          <w:shd w:val="clear" w:color="auto" w:fill="FBFBFB"/>
          <w:tblCellMar>
            <w:top w:w="0" w:type="dxa"/>
            <w:left w:w="0" w:type="dxa"/>
            <w:bottom w:w="0" w:type="dxa"/>
            <w:right w:w="0" w:type="dxa"/>
          </w:tblCellMar>
        </w:tblPrEx>
        <w:trPr>
          <w:trHeight w:val="641"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B4B15D">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347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9A22FF">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343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FB66F5">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163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855100">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r>
    </w:tbl>
    <w:p w14:paraId="754D5761">
      <w:pPr>
        <w:keepNext w:val="0"/>
        <w:keepLines w:val="0"/>
        <w:pageBreakBefore w:val="0"/>
        <w:kinsoku/>
        <w:wordWrap/>
        <w:overflowPunct/>
        <w:topLinePunct w:val="0"/>
        <w:bidi w:val="0"/>
        <w:adjustRightInd/>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43570831">
      <w:pPr>
        <w:keepNext w:val="0"/>
        <w:keepLines w:val="0"/>
        <w:pageBreakBefore w:val="0"/>
        <w:kinsoku/>
        <w:wordWrap/>
        <w:overflowPunct/>
        <w:topLinePunct w:val="0"/>
        <w:bidi w:val="0"/>
        <w:adjustRightInd/>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1.管理关系：是指不具有出资持股关系的其他单位之间存在的管理与被管理关系，如一些上下级关系的事业单位和团体组织。</w:t>
      </w:r>
    </w:p>
    <w:p w14:paraId="0A65185F">
      <w:pPr>
        <w:keepNext w:val="0"/>
        <w:keepLines w:val="0"/>
        <w:pageBreakBefore w:val="0"/>
        <w:kinsoku/>
        <w:wordWrap/>
        <w:overflowPunct/>
        <w:topLinePunct w:val="0"/>
        <w:bidi w:val="0"/>
        <w:adjustRightInd/>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pacing w:val="-6"/>
          <w:sz w:val="21"/>
          <w:szCs w:val="21"/>
          <w:highlight w:val="none"/>
        </w:rPr>
        <w:t>本表所指的管理关系仅限于直接管理关系，不包括间接的管理关系。</w:t>
      </w:r>
    </w:p>
    <w:p w14:paraId="28E22262">
      <w:pPr>
        <w:keepNext w:val="0"/>
        <w:keepLines w:val="0"/>
        <w:pageBreakBefore w:val="0"/>
        <w:kinsoku/>
        <w:wordWrap/>
        <w:overflowPunct/>
        <w:topLinePunct w:val="0"/>
        <w:bidi w:val="0"/>
        <w:adjustRightInd/>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3.供应商不存在直接管理关系的，则填“无”。</w:t>
      </w:r>
    </w:p>
    <w:p w14:paraId="3B7E25D5">
      <w:pPr>
        <w:keepNext w:val="0"/>
        <w:keepLines w:val="0"/>
        <w:pageBreakBefore w:val="0"/>
        <w:kinsoku/>
        <w:wordWrap/>
        <w:overflowPunct/>
        <w:topLinePunct w:val="0"/>
        <w:bidi w:val="0"/>
        <w:adjustRightInd/>
        <w:snapToGrid w:val="0"/>
        <w:spacing w:line="500" w:lineRule="exact"/>
        <w:jc w:val="left"/>
        <w:textAlignment w:val="auto"/>
        <w:rPr>
          <w:rFonts w:hint="eastAsia" w:ascii="宋体" w:hAnsi="宋体" w:eastAsia="宋体" w:cs="宋体"/>
          <w:color w:val="auto"/>
          <w:sz w:val="21"/>
          <w:szCs w:val="21"/>
          <w:highlight w:val="none"/>
        </w:rPr>
      </w:pPr>
    </w:p>
    <w:p w14:paraId="00D12880">
      <w:pPr>
        <w:keepNext w:val="0"/>
        <w:keepLines w:val="0"/>
        <w:pageBreakBefore w:val="0"/>
        <w:kinsoku/>
        <w:wordWrap/>
        <w:overflowPunct/>
        <w:topLinePunct w:val="0"/>
        <w:autoSpaceDE w:val="0"/>
        <w:autoSpaceDN w:val="0"/>
        <w:bidi w:val="0"/>
        <w:adjustRightInd/>
        <w:spacing w:line="500" w:lineRule="exact"/>
        <w:ind w:left="4305" w:leftChars="2050" w:firstLine="1050" w:firstLineChars="5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供应商名称（电子签章）：</w:t>
      </w:r>
    </w:p>
    <w:p w14:paraId="1F6D9534">
      <w:pPr>
        <w:keepNext w:val="0"/>
        <w:keepLines w:val="0"/>
        <w:pageBreakBefore w:val="0"/>
        <w:kinsoku/>
        <w:wordWrap/>
        <w:overflowPunct/>
        <w:topLinePunct w:val="0"/>
        <w:autoSpaceDE w:val="0"/>
        <w:autoSpaceDN w:val="0"/>
        <w:bidi w:val="0"/>
        <w:adjustRightInd/>
        <w:spacing w:line="500" w:lineRule="exact"/>
        <w:ind w:firstLine="5355" w:firstLineChars="255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 xml:space="preserve">日期：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月   日</w:t>
      </w:r>
    </w:p>
    <w:p w14:paraId="75CB454C">
      <w:pPr>
        <w:spacing w:line="320" w:lineRule="exact"/>
        <w:jc w:val="center"/>
        <w:rPr>
          <w:rFonts w:hint="eastAsia" w:ascii="宋体" w:hAnsi="宋体" w:eastAsia="宋体" w:cs="宋体"/>
          <w:b/>
          <w:color w:val="auto"/>
          <w:sz w:val="32"/>
          <w:szCs w:val="32"/>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sz w:val="32"/>
          <w:szCs w:val="32"/>
          <w:highlight w:val="none"/>
        </w:rPr>
        <w:t>六、竞标声明</w:t>
      </w:r>
    </w:p>
    <w:p w14:paraId="2AF509AA">
      <w:pPr>
        <w:spacing w:line="320" w:lineRule="exact"/>
        <w:jc w:val="center"/>
        <w:rPr>
          <w:rFonts w:hint="eastAsia" w:ascii="宋体" w:hAnsi="宋体" w:eastAsia="宋体" w:cs="宋体"/>
          <w:color w:val="auto"/>
          <w:sz w:val="24"/>
          <w:szCs w:val="20"/>
          <w:highlight w:val="none"/>
        </w:rPr>
      </w:pPr>
    </w:p>
    <w:p w14:paraId="3BE33412">
      <w:pPr>
        <w:keepNext w:val="0"/>
        <w:keepLines w:val="0"/>
        <w:pageBreakBefore w:val="0"/>
        <w:widowControl w:val="0"/>
        <w:kinsoku/>
        <w:wordWrap/>
        <w:overflowPunct/>
        <w:topLinePunct w:val="0"/>
        <w:bidi w:val="0"/>
        <w:adjustRightInd/>
        <w:snapToGrid/>
        <w:spacing w:line="5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（采购人名称）</w:t>
      </w:r>
    </w:p>
    <w:p w14:paraId="4E190659">
      <w:pPr>
        <w:keepNext w:val="0"/>
        <w:keepLines w:val="0"/>
        <w:pageBreakBefore w:val="0"/>
        <w:widowControl w:val="0"/>
        <w:kinsoku/>
        <w:wordWrap/>
        <w:overflowPunct/>
        <w:topLinePunct w:val="0"/>
        <w:bidi w:val="0"/>
        <w:adjustRightInd/>
        <w:snapToGrid/>
        <w:spacing w:line="500" w:lineRule="exact"/>
        <w:ind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（供应商名称）</w:t>
      </w:r>
      <w:r>
        <w:rPr>
          <w:rFonts w:hint="eastAsia" w:ascii="宋体" w:hAnsi="宋体" w:eastAsia="宋体" w:cs="宋体"/>
          <w:color w:val="auto"/>
          <w:sz w:val="21"/>
          <w:szCs w:val="21"/>
          <w:highlight w:val="none"/>
        </w:rPr>
        <w:t>系中华人民共和国合法供应商，经营地址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2243BA8">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我方愿意参加贵方组织的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项目的竞标，为便于贵方公正、择优地确定成交供应商及其竞标产品和服务，我方就本次竞标有关事项郑重声明如下：</w:t>
      </w:r>
    </w:p>
    <w:p w14:paraId="02AF057E">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1.我方向贵方提交的所有响应文件、资料都是准确的和真实的。</w:t>
      </w:r>
    </w:p>
    <w:p w14:paraId="0E7F444C">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CE8502C">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3.在此，我方宣布同意如下：</w:t>
      </w:r>
    </w:p>
    <w:p w14:paraId="5A1DD90C">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（1）将按磋商文件的约定履行合同责任和义务；</w:t>
      </w:r>
    </w:p>
    <w:p w14:paraId="497A961D">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（2）已详细审查全部磋商文件，包括澄清或者更正公告（如有）；</w:t>
      </w:r>
    </w:p>
    <w:p w14:paraId="12C5AF69">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（3）同意提供按照贵方可能要求的与磋商有关的一切数据或者资料；</w:t>
      </w:r>
    </w:p>
    <w:p w14:paraId="5BF3BB39">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（4）响应磋商文件规定的竞标有效期。</w:t>
      </w:r>
    </w:p>
    <w:p w14:paraId="664B954E">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4.我方承诺符合《中华人民共和国政府采购法》第二十二条规定：</w:t>
      </w:r>
    </w:p>
    <w:p w14:paraId="5386D692">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14:paraId="612785C3">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（2）具有良好的商业信誉和健全的财务会计制度；</w:t>
      </w:r>
    </w:p>
    <w:p w14:paraId="23E96BB7">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w:t>
      </w:r>
    </w:p>
    <w:p w14:paraId="3BDEFD6D">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14:paraId="71FD0B94">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p w14:paraId="7ADAA131">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p w14:paraId="372AF6FF">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90CE4EE">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FC2DB70">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□我方本次响应文件</w:t>
      </w:r>
      <w:r>
        <w:rPr>
          <w:rFonts w:hint="eastAsia" w:ascii="宋体" w:hAnsi="宋体" w:eastAsia="宋体" w:cs="宋体"/>
          <w:color w:val="auto"/>
          <w:kern w:val="0"/>
          <w:sz w:val="21"/>
          <w:szCs w:val="21"/>
          <w:highlight w:val="none"/>
        </w:rPr>
        <w:t>内容中</w:t>
      </w:r>
      <w:r>
        <w:rPr>
          <w:rFonts w:hint="eastAsia" w:ascii="宋体" w:hAnsi="宋体" w:eastAsia="宋体" w:cs="宋体"/>
          <w:color w:val="auto"/>
          <w:sz w:val="21"/>
          <w:szCs w:val="21"/>
          <w:highlight w:val="none"/>
        </w:rPr>
        <w:t>未</w:t>
      </w:r>
      <w:r>
        <w:rPr>
          <w:rFonts w:hint="eastAsia" w:ascii="宋体" w:hAnsi="宋体" w:eastAsia="宋体" w:cs="宋体"/>
          <w:color w:val="auto"/>
          <w:kern w:val="0"/>
          <w:sz w:val="21"/>
          <w:szCs w:val="21"/>
          <w:highlight w:val="none"/>
        </w:rPr>
        <w:t>涉及商业秘密；</w:t>
      </w:r>
    </w:p>
    <w:p w14:paraId="473BB7C1">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□我方本次响应文件</w:t>
      </w:r>
      <w:r>
        <w:rPr>
          <w:rFonts w:hint="eastAsia" w:ascii="宋体" w:hAnsi="宋体" w:eastAsia="宋体" w:cs="宋体"/>
          <w:color w:val="auto"/>
          <w:kern w:val="0"/>
          <w:sz w:val="21"/>
          <w:szCs w:val="21"/>
          <w:highlight w:val="none"/>
        </w:rPr>
        <w:t>涉及商业秘密的内容有：</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E310122">
      <w:pPr>
        <w:pStyle w:val="19"/>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7.与本磋商有关的一切正式往来信函请寄：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邮政编号：</w:t>
      </w:r>
      <w:r>
        <w:rPr>
          <w:rFonts w:hint="eastAsia" w:ascii="宋体" w:hAnsi="宋体" w:eastAsia="宋体" w:cs="宋体"/>
          <w:color w:val="auto"/>
          <w:sz w:val="21"/>
          <w:szCs w:val="21"/>
          <w:highlight w:val="none"/>
          <w:u w:val="single"/>
        </w:rPr>
        <w:t xml:space="preserve">        </w:t>
      </w:r>
    </w:p>
    <w:p w14:paraId="33771D9B">
      <w:pPr>
        <w:pStyle w:val="19"/>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电子函件：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262FB9F">
      <w:pPr>
        <w:pStyle w:val="18"/>
        <w:keepNext w:val="0"/>
        <w:keepLines w:val="0"/>
        <w:pageBreakBefore w:val="0"/>
        <w:widowControl w:val="0"/>
        <w:tabs>
          <w:tab w:val="left" w:pos="939"/>
        </w:tabs>
        <w:kinsoku/>
        <w:wordWrap/>
        <w:overflowPunct/>
        <w:topLinePunct w:val="0"/>
        <w:bidi w:val="0"/>
        <w:adjustRightInd/>
        <w:snapToGrid/>
        <w:spacing w:line="500" w:lineRule="exact"/>
        <w:ind w:left="141" w:leftChars="67"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账号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3FF2EE01">
      <w:pPr>
        <w:pStyle w:val="18"/>
        <w:keepNext w:val="0"/>
        <w:keepLines w:val="0"/>
        <w:pageBreakBefore w:val="0"/>
        <w:widowControl w:val="0"/>
        <w:tabs>
          <w:tab w:val="left" w:pos="939"/>
        </w:tabs>
        <w:kinsoku/>
        <w:wordWrap/>
        <w:overflowPunct/>
        <w:topLinePunct w:val="0"/>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8.以上事项如有虚假或者隐瞒，我方愿意承担一切后果，并不再寻求任何旨在减轻或者免除法律责任的辩解。</w:t>
      </w:r>
    </w:p>
    <w:p w14:paraId="0FF0B76B">
      <w:pPr>
        <w:pStyle w:val="18"/>
        <w:keepNext w:val="0"/>
        <w:keepLines w:val="0"/>
        <w:pageBreakBefore w:val="0"/>
        <w:widowControl w:val="0"/>
        <w:tabs>
          <w:tab w:val="left" w:pos="939"/>
        </w:tabs>
        <w:kinsoku/>
        <w:wordWrap/>
        <w:overflowPunct/>
        <w:topLinePunct w:val="0"/>
        <w:bidi w:val="0"/>
        <w:adjustRightInd/>
        <w:snapToGrid/>
        <w:spacing w:line="500" w:lineRule="exact"/>
        <w:ind w:left="141" w:leftChars="67"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1BC54CA7">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注：如为联合体竞标，盖章处须加盖联合体各方公章并由联合体各方法定代表人签署，否则其响应文件按无效响应处理。</w:t>
      </w:r>
    </w:p>
    <w:p w14:paraId="2911B4E0">
      <w:pPr>
        <w:keepNext w:val="0"/>
        <w:keepLines w:val="0"/>
        <w:pageBreakBefore w:val="0"/>
        <w:widowControl w:val="0"/>
        <w:kinsoku/>
        <w:wordWrap/>
        <w:overflowPunct/>
        <w:topLinePunct w:val="0"/>
        <w:bidi w:val="0"/>
        <w:adjustRightInd/>
        <w:snapToGrid/>
        <w:spacing w:line="500" w:lineRule="exact"/>
        <w:ind w:firstLine="3780" w:firstLineChars="1800"/>
        <w:textAlignment w:val="auto"/>
        <w:rPr>
          <w:rFonts w:hint="eastAsia" w:ascii="宋体" w:hAnsi="宋体" w:eastAsia="宋体" w:cs="宋体"/>
          <w:color w:val="auto"/>
          <w:kern w:val="0"/>
          <w:sz w:val="21"/>
          <w:szCs w:val="21"/>
          <w:highlight w:val="none"/>
        </w:rPr>
      </w:pPr>
    </w:p>
    <w:p w14:paraId="65EB48E1">
      <w:pPr>
        <w:keepNext w:val="0"/>
        <w:keepLines w:val="0"/>
        <w:pageBreakBefore w:val="0"/>
        <w:widowControl w:val="0"/>
        <w:kinsoku/>
        <w:wordWrap/>
        <w:overflowPunct/>
        <w:topLinePunct w:val="0"/>
        <w:bidi w:val="0"/>
        <w:adjustRightInd/>
        <w:snapToGrid/>
        <w:spacing w:line="500" w:lineRule="exact"/>
        <w:ind w:firstLine="3780" w:firstLineChars="18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法定代表人（签字或者盖章或者电子签名）：</w:t>
      </w:r>
    </w:p>
    <w:p w14:paraId="2D15EA8A">
      <w:pPr>
        <w:keepNext w:val="0"/>
        <w:keepLines w:val="0"/>
        <w:pageBreakBefore w:val="0"/>
        <w:widowControl w:val="0"/>
        <w:kinsoku/>
        <w:wordWrap/>
        <w:overflowPunct/>
        <w:topLinePunct w:val="0"/>
        <w:bidi w:val="0"/>
        <w:adjustRightInd/>
        <w:snapToGrid/>
        <w:spacing w:line="500" w:lineRule="exact"/>
        <w:ind w:firstLine="3780" w:firstLineChars="18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供应商名称（电子签章）：</w:t>
      </w:r>
    </w:p>
    <w:p w14:paraId="33B34876">
      <w:pPr>
        <w:keepNext w:val="0"/>
        <w:keepLines w:val="0"/>
        <w:pageBreakBefore w:val="0"/>
        <w:widowControl w:val="0"/>
        <w:kinsoku/>
        <w:wordWrap/>
        <w:overflowPunct/>
        <w:topLinePunct w:val="0"/>
        <w:bidi w:val="0"/>
        <w:adjustRightInd/>
        <w:snapToGrid/>
        <w:spacing w:line="500" w:lineRule="exact"/>
        <w:ind w:firstLine="3780" w:firstLineChars="18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 xml:space="preserve">日期：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月   日</w:t>
      </w:r>
    </w:p>
    <w:p w14:paraId="53ACB913">
      <w:pPr>
        <w:rPr>
          <w:rFonts w:hint="eastAsia" w:ascii="宋体" w:hAnsi="宋体" w:eastAsia="宋体" w:cs="宋体"/>
          <w:color w:val="auto"/>
          <w:highlight w:val="none"/>
        </w:rPr>
      </w:pPr>
    </w:p>
    <w:p w14:paraId="4A53DFB4">
      <w:pPr>
        <w:pStyle w:val="22"/>
        <w:rPr>
          <w:rFonts w:hint="eastAsia" w:ascii="宋体" w:hAnsi="宋体" w:eastAsia="宋体" w:cs="宋体"/>
          <w:color w:val="auto"/>
          <w:highlight w:val="none"/>
        </w:rPr>
      </w:pPr>
    </w:p>
    <w:p w14:paraId="27015D99">
      <w:pPr>
        <w:pStyle w:val="22"/>
        <w:rPr>
          <w:rFonts w:hint="eastAsia" w:ascii="宋体" w:hAnsi="宋体" w:eastAsia="宋体" w:cs="宋体"/>
          <w:color w:val="auto"/>
          <w:highlight w:val="none"/>
        </w:rPr>
      </w:pPr>
    </w:p>
    <w:p w14:paraId="5AAF2B1D">
      <w:pPr>
        <w:pStyle w:val="22"/>
        <w:rPr>
          <w:rFonts w:hint="eastAsia" w:ascii="宋体" w:hAnsi="宋体" w:eastAsia="宋体" w:cs="宋体"/>
          <w:color w:val="auto"/>
          <w:highlight w:val="none"/>
        </w:rPr>
      </w:pPr>
    </w:p>
    <w:p w14:paraId="29AB2B23">
      <w:pPr>
        <w:pStyle w:val="22"/>
        <w:rPr>
          <w:rFonts w:hint="eastAsia" w:ascii="宋体" w:hAnsi="宋体" w:eastAsia="宋体" w:cs="宋体"/>
          <w:color w:val="auto"/>
          <w:highlight w:val="none"/>
        </w:rPr>
      </w:pPr>
    </w:p>
    <w:p w14:paraId="4488BCB2">
      <w:pPr>
        <w:pStyle w:val="22"/>
        <w:rPr>
          <w:rFonts w:hint="eastAsia" w:ascii="宋体" w:hAnsi="宋体" w:eastAsia="宋体" w:cs="宋体"/>
          <w:color w:val="auto"/>
          <w:highlight w:val="none"/>
        </w:rPr>
      </w:pPr>
    </w:p>
    <w:p w14:paraId="0C1F4D0C">
      <w:pPr>
        <w:spacing w:line="320" w:lineRule="exact"/>
        <w:jc w:val="left"/>
        <w:rPr>
          <w:rFonts w:hint="eastAsia" w:ascii="宋体" w:hAnsi="宋体" w:eastAsia="宋体" w:cs="宋体"/>
          <w:b/>
          <w:color w:val="auto"/>
          <w:highlight w:val="none"/>
        </w:rPr>
      </w:pPr>
      <w:r>
        <w:rPr>
          <w:rFonts w:hint="eastAsia" w:ascii="宋体" w:hAnsi="宋体" w:eastAsia="宋体" w:cs="宋体"/>
          <w:color w:val="auto"/>
          <w:highlight w:val="none"/>
        </w:rPr>
        <w:br w:type="page"/>
      </w:r>
      <w:r>
        <w:rPr>
          <w:rFonts w:hint="eastAsia" w:ascii="宋体" w:hAnsi="宋体" w:eastAsia="宋体" w:cs="宋体"/>
          <w:b/>
          <w:bCs w:val="0"/>
          <w:color w:val="auto"/>
          <w:sz w:val="30"/>
          <w:szCs w:val="30"/>
          <w:highlight w:val="none"/>
        </w:rPr>
        <w:t>七、竞争性磋商公告对应的特定资格要求及特定条件的资格证明材料</w:t>
      </w:r>
    </w:p>
    <w:p w14:paraId="5B12096D">
      <w:pPr>
        <w:rPr>
          <w:rFonts w:hint="eastAsia" w:ascii="宋体" w:hAnsi="宋体" w:eastAsia="宋体" w:cs="宋体"/>
          <w:color w:val="auto"/>
          <w:highlight w:val="none"/>
        </w:rPr>
      </w:pPr>
    </w:p>
    <w:p w14:paraId="631DF628">
      <w:pPr>
        <w:rPr>
          <w:rFonts w:hint="eastAsia" w:ascii="宋体" w:hAnsi="宋体" w:eastAsia="宋体" w:cs="宋体"/>
          <w:color w:val="auto"/>
          <w:highlight w:val="none"/>
        </w:rPr>
      </w:pPr>
    </w:p>
    <w:p w14:paraId="32E03811">
      <w:pPr>
        <w:rPr>
          <w:rFonts w:hint="eastAsia" w:ascii="宋体" w:hAnsi="宋体" w:eastAsia="宋体" w:cs="宋体"/>
          <w:color w:val="auto"/>
          <w:highlight w:val="none"/>
        </w:rPr>
      </w:pPr>
    </w:p>
    <w:p w14:paraId="62F32507">
      <w:pPr>
        <w:autoSpaceDE w:val="0"/>
        <w:autoSpaceDN w:val="0"/>
        <w:spacing w:line="360" w:lineRule="auto"/>
        <w:ind w:left="4305" w:leftChars="2050" w:firstLine="1050" w:firstLineChars="5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供应商名称（电子签章）：</w:t>
      </w:r>
    </w:p>
    <w:p w14:paraId="6DCC88F8">
      <w:pPr>
        <w:autoSpaceDE w:val="0"/>
        <w:autoSpaceDN w:val="0"/>
        <w:spacing w:line="360" w:lineRule="auto"/>
        <w:ind w:firstLine="5355" w:firstLineChars="2550"/>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 xml:space="preserve">日期：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月   日</w:t>
      </w:r>
    </w:p>
    <w:p w14:paraId="7BB1B825">
      <w:pPr>
        <w:pStyle w:val="9"/>
        <w:overflowPunct w:val="0"/>
        <w:spacing w:line="360" w:lineRule="auto"/>
        <w:ind w:firstLine="480" w:firstLineChars="200"/>
        <w:rPr>
          <w:rFonts w:hint="eastAsia" w:ascii="宋体" w:hAnsi="宋体" w:eastAsia="宋体" w:cs="宋体"/>
          <w:color w:val="auto"/>
          <w:sz w:val="24"/>
          <w:highlight w:val="none"/>
        </w:rPr>
      </w:pPr>
    </w:p>
    <w:p w14:paraId="169339D5">
      <w:pPr>
        <w:pStyle w:val="22"/>
        <w:rPr>
          <w:rFonts w:hint="eastAsia" w:ascii="宋体" w:hAnsi="宋体" w:eastAsia="宋体" w:cs="宋体"/>
          <w:color w:val="auto"/>
          <w:sz w:val="24"/>
          <w:szCs w:val="24"/>
          <w:highlight w:val="none"/>
        </w:rPr>
      </w:pPr>
    </w:p>
    <w:p w14:paraId="1B15BFB1">
      <w:pPr>
        <w:pStyle w:val="2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八</w:t>
      </w:r>
      <w:r>
        <w:rPr>
          <w:rFonts w:hint="eastAsia" w:ascii="宋体" w:hAnsi="宋体" w:eastAsia="宋体" w:cs="宋体"/>
          <w:b/>
          <w:color w:val="auto"/>
          <w:sz w:val="28"/>
          <w:szCs w:val="28"/>
          <w:highlight w:val="none"/>
        </w:rPr>
        <w:t>、除磋商文件规定必须提供以外，供应商认为需要提供的其他证明材料</w:t>
      </w:r>
    </w:p>
    <w:p w14:paraId="15E4F789">
      <w:pPr>
        <w:pStyle w:val="22"/>
        <w:rPr>
          <w:rFonts w:hint="eastAsia" w:ascii="宋体" w:hAnsi="宋体" w:eastAsia="宋体" w:cs="宋体"/>
          <w:color w:val="auto"/>
          <w:sz w:val="24"/>
          <w:szCs w:val="24"/>
          <w:highlight w:val="none"/>
        </w:rPr>
      </w:pPr>
    </w:p>
    <w:p w14:paraId="7DAD612A">
      <w:pPr>
        <w:pStyle w:val="22"/>
        <w:rPr>
          <w:rFonts w:hint="eastAsia" w:ascii="宋体" w:hAnsi="宋体" w:eastAsia="宋体" w:cs="宋体"/>
          <w:color w:val="auto"/>
          <w:sz w:val="24"/>
          <w:szCs w:val="24"/>
          <w:highlight w:val="none"/>
        </w:rPr>
      </w:pPr>
    </w:p>
    <w:p w14:paraId="5692330D">
      <w:pPr>
        <w:spacing w:line="360" w:lineRule="auto"/>
        <w:rPr>
          <w:rFonts w:hint="eastAsia" w:ascii="宋体" w:hAnsi="宋体" w:eastAsia="宋体" w:cs="宋体"/>
          <w:color w:val="auto"/>
          <w:sz w:val="24"/>
          <w:highlight w:val="none"/>
        </w:rPr>
      </w:pPr>
    </w:p>
    <w:p w14:paraId="4AE8B51D">
      <w:pPr>
        <w:autoSpaceDE w:val="0"/>
        <w:autoSpaceDN w:val="0"/>
        <w:spacing w:line="360" w:lineRule="auto"/>
        <w:ind w:left="4305" w:leftChars="2050" w:firstLine="1050" w:firstLineChars="5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供应商名称（电子签章）：</w:t>
      </w:r>
    </w:p>
    <w:p w14:paraId="7520D6F1">
      <w:pPr>
        <w:autoSpaceDE w:val="0"/>
        <w:autoSpaceDN w:val="0"/>
        <w:spacing w:line="360" w:lineRule="auto"/>
        <w:ind w:firstLine="5355" w:firstLineChars="2550"/>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 xml:space="preserve">日期：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月   日</w:t>
      </w:r>
    </w:p>
    <w:p w14:paraId="6E4A7C74">
      <w:pPr>
        <w:spacing w:line="360" w:lineRule="auto"/>
        <w:rPr>
          <w:rFonts w:hint="eastAsia" w:ascii="宋体" w:hAnsi="宋体" w:eastAsia="宋体" w:cs="宋体"/>
          <w:color w:val="auto"/>
          <w:sz w:val="24"/>
          <w:highlight w:val="none"/>
        </w:rPr>
      </w:pPr>
    </w:p>
    <w:p w14:paraId="11DC5F75">
      <w:pPr>
        <w:pStyle w:val="22"/>
        <w:rPr>
          <w:rFonts w:hint="eastAsia" w:ascii="宋体" w:hAnsi="宋体" w:eastAsia="宋体" w:cs="宋体"/>
          <w:color w:val="auto"/>
          <w:sz w:val="24"/>
          <w:szCs w:val="24"/>
          <w:highlight w:val="none"/>
        </w:rPr>
      </w:pPr>
    </w:p>
    <w:p w14:paraId="7D9D0048">
      <w:pPr>
        <w:pStyle w:val="22"/>
        <w:rPr>
          <w:rFonts w:hint="eastAsia" w:ascii="宋体" w:hAnsi="宋体" w:eastAsia="宋体" w:cs="宋体"/>
          <w:color w:val="auto"/>
          <w:sz w:val="24"/>
          <w:szCs w:val="24"/>
          <w:highlight w:val="none"/>
        </w:rPr>
      </w:pPr>
    </w:p>
    <w:p w14:paraId="6D1E94C4">
      <w:pPr>
        <w:pStyle w:val="22"/>
        <w:rPr>
          <w:rFonts w:hint="eastAsia" w:ascii="宋体" w:hAnsi="宋体" w:eastAsia="宋体" w:cs="宋体"/>
          <w:color w:val="auto"/>
          <w:sz w:val="24"/>
          <w:szCs w:val="24"/>
          <w:highlight w:val="none"/>
        </w:rPr>
      </w:pPr>
    </w:p>
    <w:p w14:paraId="7DBB4892">
      <w:pPr>
        <w:pStyle w:val="22"/>
        <w:rPr>
          <w:rFonts w:hint="eastAsia" w:ascii="宋体" w:hAnsi="宋体" w:eastAsia="宋体" w:cs="宋体"/>
          <w:color w:val="auto"/>
          <w:sz w:val="24"/>
          <w:szCs w:val="24"/>
          <w:highlight w:val="none"/>
        </w:rPr>
      </w:pPr>
    </w:p>
    <w:p w14:paraId="043F7AE6">
      <w:pPr>
        <w:pStyle w:val="22"/>
        <w:rPr>
          <w:rFonts w:hint="eastAsia" w:ascii="宋体" w:hAnsi="宋体" w:eastAsia="宋体" w:cs="宋体"/>
          <w:color w:val="auto"/>
          <w:highlight w:val="none"/>
        </w:rPr>
      </w:pPr>
    </w:p>
    <w:p w14:paraId="5D802D77">
      <w:pPr>
        <w:pStyle w:val="22"/>
        <w:rPr>
          <w:rFonts w:hint="eastAsia" w:ascii="宋体" w:hAnsi="宋体" w:eastAsia="宋体" w:cs="宋体"/>
          <w:color w:val="auto"/>
          <w:highlight w:val="none"/>
        </w:rPr>
      </w:pPr>
    </w:p>
    <w:p w14:paraId="42F432DD">
      <w:pPr>
        <w:pStyle w:val="3"/>
        <w:rPr>
          <w:rFonts w:hint="eastAsia" w:ascii="宋体" w:hAnsi="宋体" w:eastAsia="宋体" w:cs="宋体"/>
          <w:color w:val="auto"/>
          <w:sz w:val="30"/>
          <w:szCs w:val="30"/>
          <w:highlight w:val="none"/>
        </w:rPr>
      </w:pPr>
      <w:r>
        <w:rPr>
          <w:rFonts w:hint="eastAsia" w:ascii="宋体" w:hAnsi="宋体" w:eastAsia="宋体" w:cs="宋体"/>
          <w:color w:val="auto"/>
          <w:highlight w:val="none"/>
        </w:rPr>
        <w:br w:type="page"/>
      </w:r>
      <w:bookmarkStart w:id="71" w:name="_Toc2654"/>
      <w:r>
        <w:rPr>
          <w:rFonts w:hint="eastAsia" w:ascii="宋体" w:hAnsi="宋体" w:eastAsia="宋体" w:cs="宋体"/>
          <w:color w:val="auto"/>
          <w:sz w:val="30"/>
          <w:szCs w:val="30"/>
          <w:highlight w:val="none"/>
        </w:rPr>
        <w:t>二、商务技术文件格式</w:t>
      </w:r>
      <w:bookmarkEnd w:id="71"/>
      <w:r>
        <w:rPr>
          <w:rFonts w:hint="eastAsia" w:ascii="宋体" w:hAnsi="宋体" w:eastAsia="宋体" w:cs="宋体"/>
          <w:color w:val="auto"/>
          <w:sz w:val="30"/>
          <w:szCs w:val="30"/>
          <w:highlight w:val="none"/>
        </w:rPr>
        <w:t xml:space="preserve"> </w:t>
      </w:r>
    </w:p>
    <w:p w14:paraId="4ED0F89D">
      <w:pPr>
        <w:snapToGrid w:val="0"/>
        <w:spacing w:before="156" w:beforeLines="50" w:after="50"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1.商务技术文件封面格式</w:t>
      </w:r>
    </w:p>
    <w:p w14:paraId="612ED9A4">
      <w:pPr>
        <w:snapToGrid w:val="0"/>
        <w:spacing w:before="156" w:beforeLines="50" w:after="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AFA7F33">
      <w:pPr>
        <w:snapToGrid w:val="0"/>
        <w:spacing w:before="156" w:beforeLines="50" w:after="50"/>
        <w:jc w:val="right"/>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电子响应文件</w:t>
      </w:r>
    </w:p>
    <w:p w14:paraId="24D25CCE">
      <w:pPr>
        <w:snapToGrid w:val="0"/>
        <w:spacing w:before="156" w:beforeLines="50" w:after="50"/>
        <w:rPr>
          <w:rFonts w:hint="eastAsia" w:ascii="宋体" w:hAnsi="宋体" w:eastAsia="宋体" w:cs="宋体"/>
          <w:color w:val="auto"/>
          <w:sz w:val="24"/>
          <w:szCs w:val="20"/>
          <w:highlight w:val="none"/>
        </w:rPr>
      </w:pPr>
    </w:p>
    <w:p w14:paraId="1C9052AC">
      <w:pPr>
        <w:snapToGrid w:val="0"/>
        <w:spacing w:before="156" w:beforeLines="50" w:after="50"/>
        <w:rPr>
          <w:rFonts w:hint="eastAsia" w:ascii="宋体" w:hAnsi="宋体" w:eastAsia="宋体" w:cs="宋体"/>
          <w:color w:val="auto"/>
          <w:sz w:val="24"/>
          <w:szCs w:val="20"/>
          <w:highlight w:val="none"/>
        </w:rPr>
      </w:pPr>
    </w:p>
    <w:p w14:paraId="39F508EF">
      <w:pPr>
        <w:snapToGrid w:val="0"/>
        <w:spacing w:before="156" w:beforeLines="50" w:after="50"/>
        <w:rPr>
          <w:rFonts w:hint="eastAsia" w:ascii="宋体" w:hAnsi="宋体" w:eastAsia="宋体" w:cs="宋体"/>
          <w:color w:val="auto"/>
          <w:sz w:val="24"/>
          <w:szCs w:val="20"/>
          <w:highlight w:val="none"/>
        </w:rPr>
      </w:pPr>
    </w:p>
    <w:p w14:paraId="4CA06EC4">
      <w:pPr>
        <w:snapToGrid w:val="0"/>
        <w:spacing w:before="156"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w:t>
      </w:r>
    </w:p>
    <w:p w14:paraId="5FFD0797">
      <w:pPr>
        <w:snapToGrid w:val="0"/>
        <w:spacing w:before="156" w:beforeLines="50" w:after="50"/>
        <w:rPr>
          <w:rFonts w:hint="eastAsia" w:ascii="宋体" w:hAnsi="宋体" w:eastAsia="宋体" w:cs="宋体"/>
          <w:bCs/>
          <w:color w:val="auto"/>
          <w:sz w:val="24"/>
          <w:szCs w:val="20"/>
          <w:highlight w:val="none"/>
        </w:rPr>
      </w:pPr>
    </w:p>
    <w:p w14:paraId="45F780F0">
      <w:pPr>
        <w:snapToGrid w:val="0"/>
        <w:spacing w:before="156" w:beforeLines="50" w:after="50"/>
        <w:rPr>
          <w:rFonts w:hint="eastAsia" w:ascii="宋体" w:hAnsi="宋体" w:eastAsia="宋体" w:cs="宋体"/>
          <w:bCs/>
          <w:color w:val="auto"/>
          <w:sz w:val="24"/>
          <w:szCs w:val="20"/>
          <w:highlight w:val="none"/>
        </w:rPr>
      </w:pPr>
    </w:p>
    <w:p w14:paraId="54759025">
      <w:pPr>
        <w:snapToGrid w:val="0"/>
        <w:spacing w:before="156" w:beforeLines="50" w:after="50"/>
        <w:rPr>
          <w:rFonts w:hint="eastAsia" w:ascii="宋体" w:hAnsi="宋体" w:eastAsia="宋体" w:cs="宋体"/>
          <w:bCs/>
          <w:color w:val="auto"/>
          <w:sz w:val="24"/>
          <w:szCs w:val="20"/>
          <w:highlight w:val="none"/>
        </w:rPr>
      </w:pPr>
    </w:p>
    <w:p w14:paraId="72E75F79">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88B7075">
      <w:pPr>
        <w:snapToGrid w:val="0"/>
        <w:spacing w:before="156" w:beforeLines="50" w:after="50"/>
        <w:ind w:firstLine="720" w:firstLineChars="225"/>
        <w:rPr>
          <w:rFonts w:hint="eastAsia" w:ascii="宋体" w:hAnsi="宋体" w:eastAsia="宋体" w:cs="宋体"/>
          <w:bCs/>
          <w:color w:val="auto"/>
          <w:sz w:val="32"/>
          <w:szCs w:val="32"/>
          <w:highlight w:val="none"/>
        </w:rPr>
      </w:pPr>
    </w:p>
    <w:p w14:paraId="2A0099EA">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09CBE7EB">
      <w:pPr>
        <w:snapToGrid w:val="0"/>
        <w:spacing w:before="156" w:beforeLines="50" w:after="50"/>
        <w:ind w:firstLine="720" w:firstLineChars="225"/>
        <w:rPr>
          <w:rFonts w:hint="eastAsia" w:ascii="宋体" w:hAnsi="宋体" w:eastAsia="宋体" w:cs="宋体"/>
          <w:bCs/>
          <w:color w:val="auto"/>
          <w:sz w:val="32"/>
          <w:szCs w:val="32"/>
          <w:highlight w:val="none"/>
        </w:rPr>
      </w:pPr>
    </w:p>
    <w:p w14:paraId="2AF3E7D6">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A502432">
      <w:pPr>
        <w:snapToGrid w:val="0"/>
        <w:spacing w:before="156" w:beforeLines="50" w:after="50"/>
        <w:ind w:firstLine="720" w:firstLineChars="225"/>
        <w:rPr>
          <w:rFonts w:hint="eastAsia" w:ascii="宋体" w:hAnsi="宋体" w:eastAsia="宋体" w:cs="宋体"/>
          <w:bCs/>
          <w:color w:val="auto"/>
          <w:sz w:val="32"/>
          <w:szCs w:val="32"/>
          <w:highlight w:val="none"/>
        </w:rPr>
      </w:pPr>
    </w:p>
    <w:p w14:paraId="69567FD3">
      <w:pPr>
        <w:pStyle w:val="9"/>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B1F28AC">
      <w:pPr>
        <w:pStyle w:val="9"/>
        <w:snapToGrid w:val="0"/>
        <w:spacing w:before="50" w:after="50"/>
        <w:ind w:firstLine="1280" w:firstLineChars="400"/>
        <w:rPr>
          <w:rFonts w:hint="eastAsia" w:ascii="宋体" w:hAnsi="宋体" w:eastAsia="宋体" w:cs="宋体"/>
          <w:bCs/>
          <w:color w:val="auto"/>
          <w:sz w:val="32"/>
          <w:szCs w:val="32"/>
          <w:highlight w:val="none"/>
        </w:rPr>
      </w:pPr>
    </w:p>
    <w:p w14:paraId="1F986584">
      <w:pPr>
        <w:snapToGrid w:val="0"/>
        <w:spacing w:before="156"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A78A6EA">
      <w:pPr>
        <w:keepNext w:val="0"/>
        <w:keepLines w:val="0"/>
        <w:pageBreakBefore w:val="0"/>
        <w:widowControl w:val="0"/>
        <w:kinsoku/>
        <w:wordWrap/>
        <w:overflowPunct/>
        <w:topLinePunct w:val="0"/>
        <w:autoSpaceDE/>
        <w:autoSpaceDN/>
        <w:bidi w:val="0"/>
        <w:adjustRightInd/>
        <w:snapToGrid w:val="0"/>
        <w:spacing w:line="500" w:lineRule="exact"/>
        <w:ind w:left="142"/>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0"/>
          <w:szCs w:val="30"/>
          <w:highlight w:val="none"/>
        </w:rPr>
        <w:t>2.商务技术文件目录</w:t>
      </w:r>
    </w:p>
    <w:p w14:paraId="0188982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一、无串通竞标行为的承诺函………………………………………………………（页码）</w:t>
      </w:r>
    </w:p>
    <w:p w14:paraId="5627FA2C">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二、法定代表人身份证明书及法定代表人有效身份证正反面复印件……………（页码）</w:t>
      </w:r>
    </w:p>
    <w:p w14:paraId="317A4A88">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三、法定代表人授权委托书及委托代理人有效身份证正反面复印件……………（页码）</w:t>
      </w:r>
    </w:p>
    <w:p w14:paraId="60304693">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四、商务条款偏离表…………………………………………………………………（页码）</w:t>
      </w:r>
    </w:p>
    <w:p w14:paraId="26250C02">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五、磋商保证金提交凭证……………………………………………………………（页码）</w:t>
      </w:r>
    </w:p>
    <w:p w14:paraId="0BEB03F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w:t>
      </w:r>
      <w:r>
        <w:rPr>
          <w:rFonts w:hint="eastAsia" w:ascii="宋体" w:hAnsi="宋体" w:eastAsia="宋体" w:cs="宋体"/>
          <w:color w:val="auto"/>
          <w:kern w:val="0"/>
          <w:sz w:val="21"/>
          <w:szCs w:val="21"/>
          <w:highlight w:val="none"/>
          <w:lang w:eastAsia="zh-CN"/>
        </w:rPr>
        <w:t>技术要求偏离表</w:t>
      </w:r>
      <w:r>
        <w:rPr>
          <w:rFonts w:hint="eastAsia" w:ascii="宋体" w:hAnsi="宋体" w:eastAsia="宋体" w:cs="宋体"/>
          <w:color w:val="auto"/>
          <w:kern w:val="0"/>
          <w:sz w:val="21"/>
          <w:szCs w:val="21"/>
          <w:highlight w:val="none"/>
        </w:rPr>
        <w:t>…………………………………………………………………（页码）</w:t>
      </w:r>
    </w:p>
    <w:p w14:paraId="582A26C1">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七</w:t>
      </w:r>
      <w:r>
        <w:rPr>
          <w:rFonts w:hint="eastAsia" w:ascii="宋体" w:hAnsi="宋体" w:eastAsia="宋体" w:cs="宋体"/>
          <w:color w:val="auto"/>
          <w:kern w:val="0"/>
          <w:sz w:val="21"/>
          <w:szCs w:val="21"/>
          <w:highlight w:val="none"/>
        </w:rPr>
        <w:t>、服务方案…………………………………………………………………………（页码）</w:t>
      </w:r>
    </w:p>
    <w:p w14:paraId="624B8CF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八</w:t>
      </w:r>
      <w:r>
        <w:rPr>
          <w:rFonts w:hint="eastAsia" w:ascii="宋体" w:hAnsi="宋体" w:eastAsia="宋体" w:cs="宋体"/>
          <w:color w:val="auto"/>
          <w:kern w:val="0"/>
          <w:sz w:val="21"/>
          <w:szCs w:val="21"/>
          <w:highlight w:val="none"/>
        </w:rPr>
        <w:t>、项目实施人员一览表……………………………………………………………（页码）</w:t>
      </w:r>
    </w:p>
    <w:p w14:paraId="1D2C6322">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九</w:t>
      </w:r>
      <w:r>
        <w:rPr>
          <w:rFonts w:hint="eastAsia" w:ascii="宋体" w:hAnsi="宋体" w:eastAsia="宋体" w:cs="宋体"/>
          <w:color w:val="auto"/>
          <w:kern w:val="0"/>
          <w:sz w:val="21"/>
          <w:szCs w:val="21"/>
          <w:highlight w:val="none"/>
        </w:rPr>
        <w:t>、供应商认为需要提供的其他有关资料…………………………………………（页码）</w:t>
      </w:r>
    </w:p>
    <w:p w14:paraId="0F7D1BB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color w:val="auto"/>
          <w:sz w:val="21"/>
          <w:szCs w:val="21"/>
          <w:highlight w:val="none"/>
        </w:rPr>
      </w:pPr>
    </w:p>
    <w:p w14:paraId="2C79082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注：以上目录是编制供应商响应文件的基本格式要求，各供应商可根据自身情况进一步细化</w:t>
      </w:r>
      <w:r>
        <w:rPr>
          <w:rFonts w:hint="eastAsia" w:ascii="宋体" w:hAnsi="宋体" w:eastAsia="宋体" w:cs="宋体"/>
          <w:color w:val="auto"/>
          <w:sz w:val="21"/>
          <w:szCs w:val="21"/>
          <w:highlight w:val="none"/>
        </w:rPr>
        <w:t>。</w:t>
      </w:r>
    </w:p>
    <w:p w14:paraId="5662A1D4">
      <w:pPr>
        <w:pStyle w:val="22"/>
        <w:rPr>
          <w:rFonts w:hint="eastAsia" w:ascii="宋体" w:hAnsi="宋体" w:eastAsia="宋体" w:cs="宋体"/>
          <w:color w:val="auto"/>
          <w:highlight w:val="none"/>
        </w:rPr>
      </w:pPr>
    </w:p>
    <w:p w14:paraId="7A0D0EF4">
      <w:pPr>
        <w:pStyle w:val="22"/>
        <w:rPr>
          <w:rFonts w:hint="eastAsia" w:ascii="宋体" w:hAnsi="宋体" w:eastAsia="宋体" w:cs="宋体"/>
          <w:color w:val="auto"/>
          <w:highlight w:val="none"/>
        </w:rPr>
      </w:pPr>
    </w:p>
    <w:p w14:paraId="2153AB73">
      <w:pPr>
        <w:pStyle w:val="22"/>
        <w:rPr>
          <w:rFonts w:hint="eastAsia" w:ascii="宋体" w:hAnsi="宋体" w:eastAsia="宋体" w:cs="宋体"/>
          <w:color w:val="auto"/>
          <w:highlight w:val="none"/>
        </w:rPr>
      </w:pPr>
    </w:p>
    <w:p w14:paraId="413108FC">
      <w:pPr>
        <w:pStyle w:val="22"/>
        <w:rPr>
          <w:rFonts w:hint="eastAsia" w:ascii="宋体" w:hAnsi="宋体" w:eastAsia="宋体" w:cs="宋体"/>
          <w:color w:val="auto"/>
          <w:highlight w:val="none"/>
        </w:rPr>
      </w:pPr>
    </w:p>
    <w:p w14:paraId="740005AC">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485C0211">
      <w:pPr>
        <w:spacing w:line="520" w:lineRule="exact"/>
        <w:jc w:val="both"/>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一、无串通竞标行为的承诺函</w:t>
      </w:r>
    </w:p>
    <w:p w14:paraId="0D287178">
      <w:pPr>
        <w:keepNext w:val="0"/>
        <w:keepLines w:val="0"/>
        <w:pageBreakBefore w:val="0"/>
        <w:widowControl w:val="0"/>
        <w:kinsoku/>
        <w:wordWrap/>
        <w:overflowPunct/>
        <w:topLinePunct w:val="0"/>
        <w:autoSpaceDE/>
        <w:autoSpaceDN/>
        <w:bidi w:val="0"/>
        <w:adjustRightInd/>
        <w:snapToGrid/>
        <w:spacing w:line="500" w:lineRule="exact"/>
        <w:ind w:firstLine="602" w:firstLineChars="200"/>
        <w:jc w:val="center"/>
        <w:textAlignment w:val="auto"/>
        <w:rPr>
          <w:rFonts w:hint="eastAsia" w:ascii="宋体" w:hAnsi="宋体" w:eastAsia="宋体" w:cs="宋体"/>
          <w:color w:val="auto"/>
          <w:sz w:val="32"/>
          <w:szCs w:val="32"/>
          <w:highlight w:val="none"/>
        </w:rPr>
      </w:pPr>
      <w:r>
        <w:rPr>
          <w:rFonts w:hint="eastAsia" w:ascii="宋体" w:hAnsi="宋体" w:cs="宋体"/>
          <w:b/>
          <w:bCs/>
          <w:color w:val="auto"/>
          <w:sz w:val="30"/>
          <w:szCs w:val="30"/>
          <w:highlight w:val="none"/>
        </w:rPr>
        <w:t>无串通竞标行为的承诺函</w:t>
      </w:r>
    </w:p>
    <w:p w14:paraId="40C9075D">
      <w:pPr>
        <w:keepNext w:val="0"/>
        <w:keepLines w:val="0"/>
        <w:pageBreakBefore w:val="0"/>
        <w:widowControl w:val="0"/>
        <w:kinsoku/>
        <w:wordWrap/>
        <w:overflowPunct/>
        <w:topLinePunct w:val="0"/>
        <w:autoSpaceDE/>
        <w:autoSpaceDN/>
        <w:bidi w:val="0"/>
        <w:adjustRightInd/>
        <w:snapToGrid/>
        <w:spacing w:line="500" w:lineRule="exact"/>
        <w:ind w:firstLine="422"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一、我方承诺无下列相互串通竞标的情形：</w:t>
      </w:r>
    </w:p>
    <w:p w14:paraId="62B5D1D6">
      <w:pPr>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1.不同供应商的响应文件由同一单位或者个人编制；</w:t>
      </w:r>
      <w:r>
        <w:rPr>
          <w:rFonts w:hint="eastAsia" w:ascii="宋体" w:hAnsi="宋体" w:cs="宋体"/>
          <w:color w:val="auto"/>
          <w:sz w:val="21"/>
          <w:szCs w:val="21"/>
          <w:highlight w:val="none"/>
        </w:rPr>
        <w:t>或者不同供应商报名的IP地址一致的:或者编制响应文件硬件设备CPU编号、硬盘编号、网卡地址一致的</w:t>
      </w:r>
      <w:r>
        <w:rPr>
          <w:rFonts w:hint="eastAsia" w:ascii="宋体" w:hAnsi="宋体" w:cs="宋体"/>
          <w:color w:val="auto"/>
          <w:sz w:val="21"/>
          <w:szCs w:val="21"/>
          <w:highlight w:val="none"/>
          <w:lang w:val="en-US" w:eastAsia="zh-CN"/>
        </w:rPr>
        <w:t>情况；</w:t>
      </w:r>
    </w:p>
    <w:p w14:paraId="098E21DD">
      <w:pPr>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2.不同供应商委托同一单位或者个人办理竞标事宜；</w:t>
      </w:r>
    </w:p>
    <w:p w14:paraId="61038A9C">
      <w:pPr>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3.不同的供应商的响应文件载明的项目管理员为同一个人；</w:t>
      </w:r>
    </w:p>
    <w:p w14:paraId="541D5499">
      <w:pPr>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w:t>
      </w:r>
      <w:r>
        <w:rPr>
          <w:rFonts w:hint="eastAsia" w:ascii="宋体" w:hAnsi="宋体" w:eastAsia="宋体" w:cs="宋体"/>
          <w:color w:val="auto"/>
          <w:spacing w:val="-6"/>
          <w:sz w:val="21"/>
          <w:szCs w:val="21"/>
          <w:highlight w:val="none"/>
        </w:rPr>
        <w:t>同供应商的响应文件异常一致或者竞标报价呈规律性差异；</w:t>
      </w:r>
    </w:p>
    <w:p w14:paraId="0081E2F9">
      <w:pPr>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5.不同供应商的响应文件相互混装；</w:t>
      </w:r>
    </w:p>
    <w:p w14:paraId="70BFA347">
      <w:pPr>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6.不同供应商的竞标保证金从同一单位或者个人账户转出。</w:t>
      </w:r>
    </w:p>
    <w:p w14:paraId="45F45B0A">
      <w:pPr>
        <w:keepNext w:val="0"/>
        <w:keepLines w:val="0"/>
        <w:pageBreakBefore w:val="0"/>
        <w:widowControl w:val="0"/>
        <w:kinsoku/>
        <w:wordWrap/>
        <w:overflowPunct/>
        <w:topLinePunct w:val="0"/>
        <w:autoSpaceDE/>
        <w:autoSpaceDN/>
        <w:bidi w:val="0"/>
        <w:adjustRightInd/>
        <w:snapToGrid/>
        <w:spacing w:line="500" w:lineRule="exact"/>
        <w:ind w:firstLine="422"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二、我方承诺无下列恶意串通的情形：</w:t>
      </w:r>
    </w:p>
    <w:p w14:paraId="39F223F6">
      <w:pPr>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1.供应商直接或者间接从采购人或者采购代理机构处获得其他供应商的相关信息并修改其响应文件；</w:t>
      </w:r>
    </w:p>
    <w:p w14:paraId="0D6F4320">
      <w:pPr>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2.供应商按照采购人或者采购代理机构的授意撤换、修改响应文件；</w:t>
      </w:r>
    </w:p>
    <w:p w14:paraId="016B1149">
      <w:pPr>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w:t>
      </w:r>
      <w:r>
        <w:rPr>
          <w:rFonts w:hint="eastAsia" w:ascii="宋体" w:hAnsi="宋体" w:eastAsia="宋体" w:cs="宋体"/>
          <w:color w:val="auto"/>
          <w:spacing w:val="-6"/>
          <w:sz w:val="21"/>
          <w:szCs w:val="21"/>
          <w:highlight w:val="none"/>
        </w:rPr>
        <w:t>应商之间协商报价、技术方案等响应文件的实质性内容；</w:t>
      </w:r>
    </w:p>
    <w:p w14:paraId="4D2F44C1">
      <w:pPr>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4.属于同一集团、协会、商会等组织成员的供应商按照该组织要求协同参加政府采购活动；</w:t>
      </w:r>
    </w:p>
    <w:p w14:paraId="009CD506">
      <w:pPr>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5.供应商之间事先约定一致抬高或者压低竞标报价,或者在竞争性磋商项目中事先约定轮流以高价位或者低价位成交,或者事先约定由某一特定供应商成交,然后再参加竞标；</w:t>
      </w:r>
    </w:p>
    <w:p w14:paraId="7946BF41">
      <w:pPr>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6.供应商之间商定部分供应商放弃参加政府采购活动或者放弃成交；</w:t>
      </w:r>
    </w:p>
    <w:p w14:paraId="7F9F501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7.供应商与采购人或者采购代理机构之间、供应商相互之间，为</w:t>
      </w:r>
      <w:r>
        <w:rPr>
          <w:rFonts w:hint="eastAsia" w:ascii="宋体" w:hAnsi="宋体" w:eastAsia="宋体" w:cs="宋体"/>
          <w:color w:val="auto"/>
          <w:spacing w:val="-6"/>
          <w:sz w:val="21"/>
          <w:szCs w:val="21"/>
          <w:highlight w:val="none"/>
        </w:rPr>
        <w:t>谋求特定供应商成交或者排斥其他供应商的其他串通行为。</w:t>
      </w:r>
    </w:p>
    <w:p w14:paraId="511CE90C">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以上情形一经核查属实，我方愿意承担一切后果，并不再寻求任何旨在减轻或者免除法律责任的辩解。</w:t>
      </w:r>
    </w:p>
    <w:p w14:paraId="5DB1F8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p w14:paraId="2D42436F">
      <w:pPr>
        <w:keepNext w:val="0"/>
        <w:keepLines w:val="0"/>
        <w:pageBreakBefore w:val="0"/>
        <w:widowControl w:val="0"/>
        <w:kinsoku/>
        <w:wordWrap/>
        <w:overflowPunct/>
        <w:topLinePunct w:val="0"/>
        <w:autoSpaceDE/>
        <w:autoSpaceDN/>
        <w:bidi w:val="0"/>
        <w:adjustRightInd/>
        <w:snapToGrid/>
        <w:spacing w:line="500" w:lineRule="exact"/>
        <w:ind w:firstLine="3780" w:firstLine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供应商名称（电子签章）：</w:t>
      </w:r>
    </w:p>
    <w:p w14:paraId="70FCF1BB">
      <w:pPr>
        <w:keepNext w:val="0"/>
        <w:keepLines w:val="0"/>
        <w:pageBreakBefore w:val="0"/>
        <w:widowControl w:val="0"/>
        <w:kinsoku/>
        <w:wordWrap/>
        <w:overflowPunct/>
        <w:topLinePunct w:val="0"/>
        <w:autoSpaceDE/>
        <w:autoSpaceDN/>
        <w:bidi w:val="0"/>
        <w:adjustRightInd/>
        <w:snapToGrid/>
        <w:spacing w:line="500" w:lineRule="exact"/>
        <w:ind w:firstLine="3780" w:firstLine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2227D053">
      <w:pPr>
        <w:pStyle w:val="22"/>
        <w:rPr>
          <w:rFonts w:hint="eastAsia" w:ascii="宋体" w:hAnsi="宋体" w:eastAsia="宋体" w:cs="宋体"/>
          <w:color w:val="auto"/>
          <w:highlight w:val="none"/>
        </w:rPr>
      </w:pPr>
    </w:p>
    <w:p w14:paraId="4A7F583D">
      <w:pPr>
        <w:spacing w:line="5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30"/>
          <w:szCs w:val="30"/>
          <w:highlight w:val="none"/>
        </w:rPr>
        <w:t>二、法定代表人身份证明书及法定代表人有效身份证正反面复印件</w:t>
      </w:r>
    </w:p>
    <w:p w14:paraId="0D97B0C4">
      <w:pPr>
        <w:pStyle w:val="22"/>
        <w:rPr>
          <w:rFonts w:hint="eastAsia" w:ascii="宋体" w:hAnsi="宋体" w:eastAsia="宋体" w:cs="宋体"/>
          <w:color w:val="auto"/>
          <w:highlight w:val="none"/>
        </w:rPr>
      </w:pPr>
    </w:p>
    <w:p w14:paraId="60F0FE97">
      <w:pPr>
        <w:keepNext w:val="0"/>
        <w:keepLines w:val="0"/>
        <w:pageBreakBefore w:val="0"/>
        <w:widowControl w:val="0"/>
        <w:kinsoku/>
        <w:wordWrap/>
        <w:overflowPunct/>
        <w:topLinePunct w:val="0"/>
        <w:autoSpaceDE/>
        <w:autoSpaceDN/>
        <w:bidi w:val="0"/>
        <w:adjustRightInd/>
        <w:spacing w:line="500" w:lineRule="exact"/>
        <w:ind w:left="540"/>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0"/>
          <w:szCs w:val="30"/>
          <w:highlight w:val="none"/>
        </w:rPr>
        <w:t>法定代表人证明书</w:t>
      </w:r>
    </w:p>
    <w:p w14:paraId="63370D94">
      <w:pPr>
        <w:keepNext w:val="0"/>
        <w:keepLines w:val="0"/>
        <w:pageBreakBefore w:val="0"/>
        <w:widowControl w:val="0"/>
        <w:kinsoku/>
        <w:wordWrap/>
        <w:overflowPunct/>
        <w:topLinePunct w:val="0"/>
        <w:autoSpaceDE/>
        <w:autoSpaceDN/>
        <w:bidi w:val="0"/>
        <w:adjustRightInd/>
        <w:spacing w:line="500" w:lineRule="exact"/>
        <w:ind w:left="5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p>
    <w:p w14:paraId="33B35CA1">
      <w:pPr>
        <w:keepNext w:val="0"/>
        <w:keepLines w:val="0"/>
        <w:pageBreakBefore w:val="0"/>
        <w:widowControl w:val="0"/>
        <w:kinsoku/>
        <w:wordWrap/>
        <w:overflowPunct/>
        <w:topLinePunct w:val="0"/>
        <w:autoSpaceDE/>
        <w:autoSpaceDN/>
        <w:bidi w:val="0"/>
        <w:adjustRightInd/>
        <w:spacing w:line="500" w:lineRule="exact"/>
        <w:ind w:left="5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00FBA661">
      <w:pPr>
        <w:keepNext w:val="0"/>
        <w:keepLines w:val="0"/>
        <w:pageBreakBefore w:val="0"/>
        <w:widowControl w:val="0"/>
        <w:kinsoku/>
        <w:wordWrap/>
        <w:overflowPunct/>
        <w:topLinePunct w:val="0"/>
        <w:autoSpaceDE/>
        <w:autoSpaceDN/>
        <w:bidi w:val="0"/>
        <w:adjustRightInd/>
        <w:spacing w:line="500" w:lineRule="exact"/>
        <w:ind w:left="5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     别：</w:t>
      </w:r>
      <w:r>
        <w:rPr>
          <w:rFonts w:hint="eastAsia" w:ascii="宋体" w:hAnsi="宋体" w:eastAsia="宋体" w:cs="宋体"/>
          <w:color w:val="auto"/>
          <w:sz w:val="21"/>
          <w:szCs w:val="21"/>
          <w:highlight w:val="none"/>
          <w:u w:val="single"/>
        </w:rPr>
        <w:t xml:space="preserve">                </w:t>
      </w:r>
    </w:p>
    <w:p w14:paraId="2AE83662">
      <w:pPr>
        <w:keepNext w:val="0"/>
        <w:keepLines w:val="0"/>
        <w:pageBreakBefore w:val="0"/>
        <w:widowControl w:val="0"/>
        <w:kinsoku/>
        <w:wordWrap/>
        <w:overflowPunct/>
        <w:topLinePunct w:val="0"/>
        <w:autoSpaceDE/>
        <w:autoSpaceDN/>
        <w:bidi w:val="0"/>
        <w:adjustRightInd/>
        <w:spacing w:line="500" w:lineRule="exact"/>
        <w:ind w:left="54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年    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p>
    <w:p w14:paraId="63C92801">
      <w:pPr>
        <w:keepNext w:val="0"/>
        <w:keepLines w:val="0"/>
        <w:pageBreakBefore w:val="0"/>
        <w:widowControl w:val="0"/>
        <w:kinsoku/>
        <w:wordWrap/>
        <w:overflowPunct/>
        <w:topLinePunct w:val="0"/>
        <w:autoSpaceDE/>
        <w:autoSpaceDN/>
        <w:bidi w:val="0"/>
        <w:adjustRightInd/>
        <w:spacing w:line="500" w:lineRule="exact"/>
        <w:ind w:left="5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7D21B189">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（供应商名称）</w:t>
      </w:r>
      <w:r>
        <w:rPr>
          <w:rFonts w:hint="eastAsia" w:ascii="宋体" w:hAnsi="宋体" w:eastAsia="宋体" w:cs="宋体"/>
          <w:color w:val="auto"/>
          <w:sz w:val="21"/>
          <w:szCs w:val="21"/>
          <w:highlight w:val="none"/>
        </w:rPr>
        <w:t>的法定代表人。</w:t>
      </w:r>
    </w:p>
    <w:p w14:paraId="1DB08AE9">
      <w:pPr>
        <w:keepNext w:val="0"/>
        <w:keepLines w:val="0"/>
        <w:pageBreakBefore w:val="0"/>
        <w:widowControl w:val="0"/>
        <w:kinsoku/>
        <w:wordWrap/>
        <w:overflowPunct/>
        <w:topLinePunct w:val="0"/>
        <w:autoSpaceDE/>
        <w:autoSpaceDN/>
        <w:bidi w:val="0"/>
        <w:adjustRightInd/>
        <w:spacing w:line="500" w:lineRule="exact"/>
        <w:ind w:left="5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67C4CF6A">
      <w:pPr>
        <w:keepNext w:val="0"/>
        <w:keepLines w:val="0"/>
        <w:pageBreakBefore w:val="0"/>
        <w:widowControl w:val="0"/>
        <w:kinsoku/>
        <w:wordWrap/>
        <w:overflowPunct/>
        <w:topLinePunct w:val="0"/>
        <w:autoSpaceDE/>
        <w:autoSpaceDN/>
        <w:bidi w:val="0"/>
        <w:adjustRightInd/>
        <w:spacing w:line="500" w:lineRule="exact"/>
        <w:ind w:left="540"/>
        <w:textAlignment w:val="auto"/>
        <w:rPr>
          <w:rFonts w:hint="eastAsia" w:ascii="宋体" w:hAnsi="宋体" w:eastAsia="宋体" w:cs="宋体"/>
          <w:color w:val="auto"/>
          <w:sz w:val="21"/>
          <w:szCs w:val="21"/>
          <w:highlight w:val="none"/>
        </w:rPr>
      </w:pPr>
    </w:p>
    <w:p w14:paraId="034ED285">
      <w:pPr>
        <w:keepNext w:val="0"/>
        <w:keepLines w:val="0"/>
        <w:pageBreakBefore w:val="0"/>
        <w:widowControl w:val="0"/>
        <w:kinsoku/>
        <w:wordWrap/>
        <w:overflowPunct/>
        <w:topLinePunct w:val="0"/>
        <w:autoSpaceDE/>
        <w:autoSpaceDN/>
        <w:bidi w:val="0"/>
        <w:adjustRightInd/>
        <w:spacing w:line="500" w:lineRule="exact"/>
        <w:ind w:left="5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附件：法定代表人有效身份证正反面复印件</w:t>
      </w:r>
    </w:p>
    <w:p w14:paraId="386BBE02">
      <w:pPr>
        <w:keepNext w:val="0"/>
        <w:keepLines w:val="0"/>
        <w:pageBreakBefore w:val="0"/>
        <w:widowControl w:val="0"/>
        <w:kinsoku/>
        <w:wordWrap/>
        <w:overflowPunct/>
        <w:topLinePunct w:val="0"/>
        <w:autoSpaceDE/>
        <w:autoSpaceDN/>
        <w:bidi w:val="0"/>
        <w:adjustRightInd/>
        <w:spacing w:line="500" w:lineRule="exact"/>
        <w:ind w:left="540"/>
        <w:textAlignment w:val="auto"/>
        <w:rPr>
          <w:rFonts w:hint="eastAsia" w:ascii="宋体" w:hAnsi="宋体" w:eastAsia="宋体" w:cs="宋体"/>
          <w:color w:val="auto"/>
          <w:sz w:val="21"/>
          <w:szCs w:val="21"/>
          <w:highlight w:val="none"/>
        </w:rPr>
      </w:pPr>
    </w:p>
    <w:p w14:paraId="2464E4D6">
      <w:pPr>
        <w:keepNext w:val="0"/>
        <w:keepLines w:val="0"/>
        <w:pageBreakBefore w:val="0"/>
        <w:widowControl w:val="0"/>
        <w:kinsoku/>
        <w:wordWrap/>
        <w:overflowPunct/>
        <w:topLinePunct w:val="0"/>
        <w:autoSpaceDE/>
        <w:autoSpaceDN/>
        <w:bidi w:val="0"/>
        <w:adjustRightInd/>
        <w:snapToGrid w:val="0"/>
        <w:spacing w:line="500" w:lineRule="exact"/>
        <w:ind w:firstLine="4935" w:firstLineChars="23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lang w:val="zh-CN"/>
        </w:rPr>
        <w:t>供应商名称(电子签章)：</w:t>
      </w:r>
    </w:p>
    <w:p w14:paraId="058E6218">
      <w:pPr>
        <w:keepNext w:val="0"/>
        <w:keepLines w:val="0"/>
        <w:pageBreakBefore w:val="0"/>
        <w:widowControl w:val="0"/>
        <w:kinsoku/>
        <w:wordWrap/>
        <w:overflowPunct/>
        <w:topLinePunct w:val="0"/>
        <w:autoSpaceDE/>
        <w:autoSpaceDN/>
        <w:bidi w:val="0"/>
        <w:adjustRightInd/>
        <w:snapToGrid w:val="0"/>
        <w:spacing w:line="500" w:lineRule="exact"/>
        <w:ind w:firstLine="5145" w:firstLineChars="245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7D3EBEAB">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p>
    <w:p w14:paraId="1FEB5565">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注：1.自然人竞标的无需提供，联合体竞标的只需牵头人出具。</w:t>
      </w:r>
    </w:p>
    <w:p w14:paraId="1758B6AF">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8BF0FE7">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cs="宋体"/>
          <w:b/>
          <w:color w:val="auto"/>
          <w:sz w:val="24"/>
          <w:highlight w:val="none"/>
        </w:rPr>
      </w:pPr>
    </w:p>
    <w:p w14:paraId="1360F40D">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cs="宋体"/>
          <w:b/>
          <w:color w:val="auto"/>
          <w:sz w:val="24"/>
          <w:highlight w:val="none"/>
        </w:rPr>
      </w:pPr>
    </w:p>
    <w:p w14:paraId="6987358F">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cs="宋体"/>
          <w:b/>
          <w:color w:val="auto"/>
          <w:sz w:val="24"/>
          <w:highlight w:val="none"/>
        </w:rPr>
      </w:pPr>
    </w:p>
    <w:p w14:paraId="65C408B0">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cs="宋体"/>
          <w:b/>
          <w:color w:val="auto"/>
          <w:sz w:val="24"/>
          <w:highlight w:val="none"/>
        </w:rPr>
      </w:pPr>
    </w:p>
    <w:p w14:paraId="55A96D72">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cs="宋体"/>
          <w:b/>
          <w:color w:val="auto"/>
          <w:sz w:val="24"/>
          <w:highlight w:val="none"/>
        </w:rPr>
      </w:pPr>
    </w:p>
    <w:p w14:paraId="3ADB9B2C">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cs="宋体"/>
          <w:b/>
          <w:color w:val="auto"/>
          <w:sz w:val="24"/>
          <w:highlight w:val="none"/>
        </w:rPr>
      </w:pPr>
    </w:p>
    <w:p w14:paraId="4CD6CA8C">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cs="宋体"/>
          <w:b/>
          <w:color w:val="auto"/>
          <w:sz w:val="24"/>
          <w:highlight w:val="none"/>
        </w:rPr>
      </w:pPr>
    </w:p>
    <w:p w14:paraId="6C85E5F7">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b/>
          <w:color w:val="auto"/>
          <w:sz w:val="24"/>
          <w:highlight w:val="none"/>
        </w:rPr>
        <w:t>附件：</w:t>
      </w:r>
    </w:p>
    <w:tbl>
      <w:tblPr>
        <w:tblStyle w:val="2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311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2" w:hRule="atLeast"/>
        </w:trPr>
        <w:tc>
          <w:tcPr>
            <w:tcW w:w="8461" w:type="dxa"/>
            <w:vAlign w:val="top"/>
          </w:tcPr>
          <w:p w14:paraId="32FA75B6">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eastAsia="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0E79B402">
      <w:pPr>
        <w:pStyle w:val="22"/>
        <w:rPr>
          <w:rFonts w:hint="eastAsia" w:ascii="宋体" w:hAnsi="宋体" w:eastAsia="宋体" w:cs="宋体"/>
          <w:color w:val="auto"/>
          <w:sz w:val="36"/>
          <w:szCs w:val="36"/>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bCs/>
          <w:color w:val="auto"/>
          <w:sz w:val="30"/>
          <w:szCs w:val="30"/>
          <w:highlight w:val="none"/>
        </w:rPr>
        <w:t xml:space="preserve">三、法定代表人授权委托书及委托代理人有效身份证正反面复印件 </w:t>
      </w:r>
    </w:p>
    <w:p w14:paraId="1493C19B">
      <w:pPr>
        <w:pStyle w:val="22"/>
        <w:rPr>
          <w:rFonts w:hint="eastAsia" w:ascii="宋体" w:hAnsi="宋体" w:eastAsia="宋体" w:cs="宋体"/>
          <w:color w:val="auto"/>
          <w:highlight w:val="none"/>
        </w:rPr>
      </w:pPr>
    </w:p>
    <w:p w14:paraId="0B094B0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法定代表人授权委托书（如有委托时）</w:t>
      </w:r>
    </w:p>
    <w:p w14:paraId="06165D2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（采购人名称）</w:t>
      </w:r>
      <w:r>
        <w:rPr>
          <w:rFonts w:hint="eastAsia" w:ascii="宋体" w:hAnsi="宋体" w:cs="宋体"/>
          <w:color w:val="auto"/>
          <w:sz w:val="21"/>
          <w:szCs w:val="21"/>
          <w:highlight w:val="none"/>
        </w:rPr>
        <w:t>：</w:t>
      </w:r>
    </w:p>
    <w:p w14:paraId="32079AD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我</w:t>
      </w:r>
      <w:r>
        <w:rPr>
          <w:rFonts w:hint="eastAsia" w:ascii="宋体" w:hAnsi="宋体" w:cs="宋体"/>
          <w:color w:val="auto"/>
          <w:sz w:val="21"/>
          <w:szCs w:val="21"/>
          <w:highlight w:val="none"/>
          <w:u w:val="single"/>
        </w:rPr>
        <w:t>（姓名）系（供应商名称）</w:t>
      </w:r>
      <w:r>
        <w:rPr>
          <w:rFonts w:hint="eastAsia" w:ascii="宋体" w:hAnsi="宋体" w:cs="宋体"/>
          <w:color w:val="auto"/>
          <w:sz w:val="21"/>
          <w:szCs w:val="21"/>
          <w:highlight w:val="none"/>
        </w:rPr>
        <w:t>的（□法定代表人/□负责人/□自然人本人），现授权</w:t>
      </w:r>
      <w:r>
        <w:rPr>
          <w:rFonts w:hint="eastAsia" w:ascii="宋体" w:hAnsi="宋体" w:cs="宋体"/>
          <w:color w:val="auto"/>
          <w:sz w:val="21"/>
          <w:szCs w:val="21"/>
          <w:highlight w:val="none"/>
          <w:u w:val="single"/>
        </w:rPr>
        <w:t>（姓名）</w:t>
      </w:r>
      <w:r>
        <w:rPr>
          <w:rFonts w:hint="eastAsia" w:ascii="宋体" w:hAnsi="宋体" w:cs="宋体"/>
          <w:color w:val="auto"/>
          <w:sz w:val="21"/>
          <w:szCs w:val="21"/>
          <w:highlight w:val="none"/>
        </w:rPr>
        <w:t>以我方的名义参加</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项目的竞标活动，并代表我方全权办理针对上述项目的所有采购程序和环节的具体事务和签署相关文件。</w:t>
      </w:r>
    </w:p>
    <w:p w14:paraId="055538D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我方对委托代理人的签字事项负全部责任。</w:t>
      </w:r>
    </w:p>
    <w:p w14:paraId="47809C7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本授权书自签署之日起生效，在撤销授权的书面通知以前，本授权书一直有效。委托代理人在授权书有效期内签署的所有文件不因授权的撤销而失效。</w:t>
      </w:r>
    </w:p>
    <w:p w14:paraId="0A9DDA6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委托代理人无转委托权，特此委托。</w:t>
      </w:r>
    </w:p>
    <w:p w14:paraId="10EFC10E">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rPr>
        <w:t>附：法定代表人身份证明书及委托代理人有效身份证正反面复印件</w:t>
      </w:r>
    </w:p>
    <w:p w14:paraId="30A51F9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 w:val="21"/>
          <w:szCs w:val="21"/>
          <w:highlight w:val="none"/>
        </w:rPr>
      </w:pPr>
    </w:p>
    <w:p w14:paraId="45D0DCB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委托代理人（签字）：</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法定代表人（签字或盖章）：</w:t>
      </w:r>
    </w:p>
    <w:p w14:paraId="5A4D29D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委托代理人身份证号码：</w:t>
      </w:r>
    </w:p>
    <w:p w14:paraId="36AC4DB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 w:val="21"/>
          <w:szCs w:val="21"/>
          <w:highlight w:val="none"/>
        </w:rPr>
      </w:pPr>
    </w:p>
    <w:p w14:paraId="70F1E588">
      <w:pPr>
        <w:keepNext w:val="0"/>
        <w:keepLines w:val="0"/>
        <w:pageBreakBefore w:val="0"/>
        <w:widowControl w:val="0"/>
        <w:kinsoku/>
        <w:wordWrap/>
        <w:overflowPunct/>
        <w:topLinePunct w:val="0"/>
        <w:autoSpaceDE/>
        <w:autoSpaceDN/>
        <w:bidi w:val="0"/>
        <w:adjustRightInd/>
        <w:snapToGrid/>
        <w:spacing w:line="500" w:lineRule="exact"/>
        <w:ind w:firstLine="4830" w:firstLineChars="2300"/>
        <w:textAlignment w:val="auto"/>
        <w:rPr>
          <w:rFonts w:hint="eastAsia" w:ascii="宋体" w:hAnsi="宋体" w:cs="宋体"/>
          <w:color w:val="auto"/>
          <w:sz w:val="21"/>
          <w:szCs w:val="21"/>
          <w:highlight w:val="none"/>
        </w:rPr>
      </w:pPr>
      <w:r>
        <w:rPr>
          <w:rFonts w:hint="eastAsia" w:ascii="宋体" w:hAnsi="宋体" w:cs="宋体"/>
          <w:color w:val="auto"/>
          <w:kern w:val="0"/>
          <w:sz w:val="21"/>
          <w:szCs w:val="21"/>
          <w:highlight w:val="none"/>
        </w:rPr>
        <w:t>供应商名称（电子签章）：</w:t>
      </w:r>
    </w:p>
    <w:p w14:paraId="13C1F928">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eastAsia" w:ascii="宋体" w:hAnsi="宋体" w:cs="宋体"/>
          <w:b/>
          <w:color w:val="auto"/>
          <w:sz w:val="21"/>
          <w:szCs w:val="21"/>
          <w:highlight w:val="none"/>
        </w:rPr>
      </w:pP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日期：</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年</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w:t>
      </w:r>
    </w:p>
    <w:p w14:paraId="2023A18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 w:val="21"/>
          <w:szCs w:val="21"/>
          <w:highlight w:val="none"/>
        </w:rPr>
      </w:pPr>
    </w:p>
    <w:p w14:paraId="2B62B04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注：1.法定代表人必须在授权委托书上亲笔签字或盖章，委托代理人必须在授权委托书上亲笔签字，</w:t>
      </w:r>
      <w:r>
        <w:rPr>
          <w:rFonts w:hint="eastAsia" w:ascii="宋体" w:hAnsi="宋体" w:cs="宋体"/>
          <w:b/>
          <w:color w:val="auto"/>
          <w:sz w:val="21"/>
          <w:szCs w:val="21"/>
          <w:highlight w:val="none"/>
        </w:rPr>
        <w:t>否则其响应文件按无效响应处理。</w:t>
      </w:r>
    </w:p>
    <w:p w14:paraId="19DEF63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60CA34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3.法人、其他组织竞标时“我方”是指“我单位”，自然人竞标时“我方”是指“本人”。</w:t>
      </w:r>
    </w:p>
    <w:p w14:paraId="6C558C36">
      <w:pPr>
        <w:snapToGrid w:val="0"/>
        <w:spacing w:before="50" w:after="156" w:afterLines="50" w:line="276" w:lineRule="auto"/>
        <w:jc w:val="left"/>
        <w:rPr>
          <w:rFonts w:hint="eastAsia" w:ascii="宋体" w:hAnsi="宋体" w:eastAsia="宋体" w:cs="宋体"/>
          <w:color w:val="auto"/>
          <w:sz w:val="24"/>
          <w:highlight w:val="none"/>
        </w:rPr>
      </w:pPr>
    </w:p>
    <w:p w14:paraId="49C9C606">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附件：</w:t>
      </w:r>
    </w:p>
    <w:tbl>
      <w:tblPr>
        <w:tblStyle w:val="29"/>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14:paraId="0B1A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8" w:hRule="atLeast"/>
        </w:trPr>
        <w:tc>
          <w:tcPr>
            <w:tcW w:w="8940" w:type="dxa"/>
            <w:vAlign w:val="top"/>
          </w:tcPr>
          <w:p w14:paraId="6287727B">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委托</w:t>
            </w:r>
            <w:r>
              <w:rPr>
                <w:rFonts w:hint="eastAsia" w:ascii="宋体" w:hAnsi="宋体" w:eastAsia="宋体" w:cs="宋体"/>
                <w:b/>
                <w:color w:val="auto"/>
                <w:sz w:val="24"/>
                <w:highlight w:val="none"/>
              </w:rPr>
              <w:t>代</w:t>
            </w:r>
            <w:r>
              <w:rPr>
                <w:rFonts w:hint="eastAsia" w:ascii="宋体" w:hAnsi="宋体" w:eastAsia="宋体" w:cs="宋体"/>
                <w:b/>
                <w:color w:val="auto"/>
                <w:sz w:val="24"/>
                <w:highlight w:val="none"/>
                <w:lang w:val="en-US" w:eastAsia="zh-CN"/>
              </w:rPr>
              <w:t>理人</w:t>
            </w:r>
            <w:r>
              <w:rPr>
                <w:rFonts w:hint="eastAsia" w:ascii="宋体" w:hAnsi="宋体" w:eastAsia="宋体" w:cs="宋体"/>
                <w:b/>
                <w:color w:val="auto"/>
                <w:sz w:val="24"/>
                <w:highlight w:val="none"/>
              </w:rPr>
              <w:t>身份证复印件</w:t>
            </w:r>
            <w:r>
              <w:rPr>
                <w:rFonts w:hint="eastAsia" w:ascii="宋体" w:hAnsi="宋体" w:eastAsia="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6D00D0FD">
      <w:pPr>
        <w:snapToGrid w:val="0"/>
        <w:spacing w:before="50" w:after="156" w:afterLines="50" w:line="360" w:lineRule="auto"/>
        <w:jc w:val="left"/>
        <w:rPr>
          <w:rFonts w:hint="eastAsia" w:ascii="宋体" w:hAnsi="宋体" w:eastAsia="宋体" w:cs="宋体"/>
          <w:color w:val="auto"/>
          <w:szCs w:val="21"/>
          <w:highlight w:val="none"/>
        </w:rPr>
      </w:pPr>
    </w:p>
    <w:p w14:paraId="104074B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37B6197">
      <w:pPr>
        <w:pStyle w:val="22"/>
        <w:rPr>
          <w:rFonts w:hint="eastAsia" w:ascii="宋体" w:hAnsi="宋体" w:eastAsia="宋体" w:cs="宋体"/>
          <w:color w:val="auto"/>
          <w:highlight w:val="none"/>
        </w:rPr>
      </w:pPr>
    </w:p>
    <w:p w14:paraId="33E84D1E">
      <w:pPr>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宋体" w:hAnsi="宋体" w:eastAsia="宋体" w:cs="宋体"/>
          <w:bCs/>
          <w:color w:val="auto"/>
          <w:sz w:val="44"/>
          <w:szCs w:val="44"/>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32"/>
          <w:szCs w:val="32"/>
          <w:highlight w:val="none"/>
        </w:rPr>
        <w:t>四、商务条款偏离表</w:t>
      </w:r>
    </w:p>
    <w:p w14:paraId="44942CF5">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t>商务条款偏离表</w:t>
      </w:r>
    </w:p>
    <w:p w14:paraId="42AE72B4">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采购项目编号：</w:t>
      </w:r>
      <w:r>
        <w:rPr>
          <w:rFonts w:hint="eastAsia" w:ascii="宋体" w:hAnsi="宋体" w:eastAsia="宋体" w:cs="宋体"/>
          <w:color w:val="auto"/>
          <w:sz w:val="21"/>
          <w:szCs w:val="21"/>
          <w:highlight w:val="none"/>
          <w:u w:val="single"/>
        </w:rPr>
        <w:t xml:space="preserve">                 </w:t>
      </w:r>
    </w:p>
    <w:p w14:paraId="12C198ED">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single"/>
        </w:rPr>
        <w:t xml:space="preserve">                 </w:t>
      </w:r>
    </w:p>
    <w:p w14:paraId="2243D144">
      <w:pPr>
        <w:pStyle w:val="22"/>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分标号（此处有分标时填写具体分标号，无分标时填写“无”）：</w:t>
      </w:r>
      <w:r>
        <w:rPr>
          <w:rFonts w:hint="eastAsia" w:ascii="宋体" w:hAnsi="宋体" w:eastAsia="宋体" w:cs="宋体"/>
          <w:color w:val="auto"/>
          <w:sz w:val="21"/>
          <w:szCs w:val="21"/>
          <w:highlight w:val="none"/>
          <w:u w:val="single"/>
        </w:rPr>
        <w:t xml:space="preserve">               </w:t>
      </w:r>
    </w:p>
    <w:tbl>
      <w:tblPr>
        <w:tblStyle w:val="29"/>
        <w:tblW w:w="85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96"/>
        <w:gridCol w:w="2545"/>
        <w:gridCol w:w="1876"/>
        <w:gridCol w:w="1942"/>
      </w:tblGrid>
      <w:tr w14:paraId="7AD8E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2196" w:type="dxa"/>
            <w:tcBorders>
              <w:top w:val="single" w:color="auto" w:sz="4" w:space="0"/>
              <w:left w:val="single" w:color="auto" w:sz="4" w:space="0"/>
              <w:bottom w:val="single" w:color="auto" w:sz="4" w:space="0"/>
              <w:right w:val="single" w:color="auto" w:sz="4" w:space="0"/>
            </w:tcBorders>
            <w:vAlign w:val="center"/>
          </w:tcPr>
          <w:p w14:paraId="2178D21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545" w:type="dxa"/>
            <w:tcBorders>
              <w:top w:val="single" w:color="auto" w:sz="4" w:space="0"/>
              <w:left w:val="single" w:color="auto" w:sz="4" w:space="0"/>
              <w:bottom w:val="single" w:color="auto" w:sz="4" w:space="0"/>
              <w:right w:val="single" w:color="auto" w:sz="4" w:space="0"/>
            </w:tcBorders>
            <w:vAlign w:val="center"/>
          </w:tcPr>
          <w:p w14:paraId="0178A66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磋商文件商务条款要求</w:t>
            </w:r>
          </w:p>
        </w:tc>
        <w:tc>
          <w:tcPr>
            <w:tcW w:w="1876" w:type="dxa"/>
            <w:tcBorders>
              <w:top w:val="single" w:color="auto" w:sz="4" w:space="0"/>
              <w:left w:val="single" w:color="auto" w:sz="4" w:space="0"/>
              <w:bottom w:val="single" w:color="auto" w:sz="4" w:space="0"/>
              <w:right w:val="single" w:color="auto" w:sz="4" w:space="0"/>
            </w:tcBorders>
            <w:vAlign w:val="center"/>
          </w:tcPr>
          <w:p w14:paraId="50129A9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供应商的</w:t>
            </w:r>
            <w:r>
              <w:rPr>
                <w:rFonts w:hint="eastAsia" w:ascii="宋体" w:hAnsi="宋体" w:eastAsia="宋体" w:cs="宋体"/>
                <w:color w:val="auto"/>
                <w:sz w:val="21"/>
                <w:szCs w:val="21"/>
                <w:highlight w:val="none"/>
                <w:lang w:val="en-US" w:eastAsia="zh-CN"/>
              </w:rPr>
              <w:t>响应</w:t>
            </w:r>
          </w:p>
        </w:tc>
        <w:tc>
          <w:tcPr>
            <w:tcW w:w="1942" w:type="dxa"/>
            <w:tcBorders>
              <w:top w:val="single" w:color="auto" w:sz="4" w:space="0"/>
              <w:left w:val="single" w:color="auto" w:sz="4" w:space="0"/>
              <w:bottom w:val="single" w:color="auto" w:sz="4" w:space="0"/>
              <w:right w:val="single" w:color="auto" w:sz="4" w:space="0"/>
            </w:tcBorders>
            <w:vAlign w:val="center"/>
          </w:tcPr>
          <w:p w14:paraId="699DC2A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偏离说明</w:t>
            </w:r>
          </w:p>
        </w:tc>
      </w:tr>
      <w:tr w14:paraId="48D149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2196" w:type="dxa"/>
            <w:tcBorders>
              <w:top w:val="single" w:color="auto" w:sz="4" w:space="0"/>
              <w:left w:val="single" w:color="auto" w:sz="4" w:space="0"/>
              <w:bottom w:val="single" w:color="auto" w:sz="4" w:space="0"/>
              <w:right w:val="single" w:color="auto" w:sz="4" w:space="0"/>
            </w:tcBorders>
            <w:vAlign w:val="center"/>
          </w:tcPr>
          <w:p w14:paraId="46D66BF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p>
        </w:tc>
        <w:tc>
          <w:tcPr>
            <w:tcW w:w="2545" w:type="dxa"/>
            <w:tcBorders>
              <w:top w:val="single" w:color="auto" w:sz="4" w:space="0"/>
              <w:left w:val="single" w:color="auto" w:sz="4" w:space="0"/>
              <w:bottom w:val="single" w:color="auto" w:sz="4" w:space="0"/>
              <w:right w:val="single" w:color="auto" w:sz="4" w:space="0"/>
            </w:tcBorders>
            <w:vAlign w:val="center"/>
          </w:tcPr>
          <w:p w14:paraId="781C3D9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p>
        </w:tc>
        <w:tc>
          <w:tcPr>
            <w:tcW w:w="1876" w:type="dxa"/>
            <w:tcBorders>
              <w:top w:val="single" w:color="auto" w:sz="4" w:space="0"/>
              <w:left w:val="single" w:color="auto" w:sz="4" w:space="0"/>
              <w:bottom w:val="single" w:color="auto" w:sz="4" w:space="0"/>
              <w:right w:val="single" w:color="auto" w:sz="4" w:space="0"/>
            </w:tcBorders>
            <w:vAlign w:val="center"/>
          </w:tcPr>
          <w:p w14:paraId="55F14B2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p>
        </w:tc>
        <w:tc>
          <w:tcPr>
            <w:tcW w:w="1942" w:type="dxa"/>
            <w:tcBorders>
              <w:top w:val="single" w:color="auto" w:sz="4" w:space="0"/>
              <w:left w:val="single" w:color="auto" w:sz="4" w:space="0"/>
              <w:bottom w:val="single" w:color="auto" w:sz="4" w:space="0"/>
              <w:right w:val="single" w:color="auto" w:sz="4" w:space="0"/>
            </w:tcBorders>
            <w:vAlign w:val="center"/>
          </w:tcPr>
          <w:p w14:paraId="1C9D748F">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p>
        </w:tc>
      </w:tr>
      <w:tr w14:paraId="340221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2196" w:type="dxa"/>
            <w:tcBorders>
              <w:top w:val="single" w:color="auto" w:sz="4" w:space="0"/>
              <w:left w:val="single" w:color="auto" w:sz="4" w:space="0"/>
              <w:bottom w:val="single" w:color="auto" w:sz="4" w:space="0"/>
              <w:right w:val="single" w:color="auto" w:sz="4" w:space="0"/>
            </w:tcBorders>
            <w:vAlign w:val="center"/>
          </w:tcPr>
          <w:p w14:paraId="43C92FC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p>
        </w:tc>
        <w:tc>
          <w:tcPr>
            <w:tcW w:w="2545" w:type="dxa"/>
            <w:tcBorders>
              <w:top w:val="single" w:color="auto" w:sz="4" w:space="0"/>
              <w:left w:val="single" w:color="auto" w:sz="4" w:space="0"/>
              <w:bottom w:val="single" w:color="auto" w:sz="4" w:space="0"/>
              <w:right w:val="single" w:color="auto" w:sz="4" w:space="0"/>
            </w:tcBorders>
            <w:vAlign w:val="center"/>
          </w:tcPr>
          <w:p w14:paraId="4AE4A5E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p>
        </w:tc>
        <w:tc>
          <w:tcPr>
            <w:tcW w:w="1876" w:type="dxa"/>
            <w:tcBorders>
              <w:top w:val="single" w:color="auto" w:sz="4" w:space="0"/>
              <w:left w:val="single" w:color="auto" w:sz="4" w:space="0"/>
              <w:bottom w:val="single" w:color="auto" w:sz="4" w:space="0"/>
              <w:right w:val="single" w:color="auto" w:sz="4" w:space="0"/>
            </w:tcBorders>
            <w:vAlign w:val="center"/>
          </w:tcPr>
          <w:p w14:paraId="52110A45">
            <w:pPr>
              <w:keepNext w:val="0"/>
              <w:keepLines w:val="0"/>
              <w:pageBreakBefore w:val="0"/>
              <w:widowControl w:val="0"/>
              <w:kinsoku/>
              <w:wordWrap/>
              <w:overflowPunct/>
              <w:topLinePunct w:val="0"/>
              <w:autoSpaceDE/>
              <w:autoSpaceDN/>
              <w:bidi w:val="0"/>
              <w:adjustRightInd/>
              <w:snapToGrid w:val="0"/>
              <w:spacing w:line="500" w:lineRule="exact"/>
              <w:ind w:left="43"/>
              <w:jc w:val="center"/>
              <w:textAlignment w:val="auto"/>
              <w:rPr>
                <w:rFonts w:hint="eastAsia" w:ascii="宋体" w:hAnsi="宋体" w:eastAsia="宋体" w:cs="宋体"/>
                <w:color w:val="auto"/>
                <w:sz w:val="21"/>
                <w:szCs w:val="21"/>
                <w:highlight w:val="none"/>
              </w:rPr>
            </w:pPr>
          </w:p>
        </w:tc>
        <w:tc>
          <w:tcPr>
            <w:tcW w:w="1942" w:type="dxa"/>
            <w:tcBorders>
              <w:top w:val="single" w:color="auto" w:sz="4" w:space="0"/>
              <w:left w:val="single" w:color="auto" w:sz="4" w:space="0"/>
              <w:bottom w:val="single" w:color="auto" w:sz="4" w:space="0"/>
              <w:right w:val="single" w:color="auto" w:sz="4" w:space="0"/>
            </w:tcBorders>
            <w:vAlign w:val="center"/>
          </w:tcPr>
          <w:p w14:paraId="3AC11FA9">
            <w:pPr>
              <w:keepNext w:val="0"/>
              <w:keepLines w:val="0"/>
              <w:pageBreakBefore w:val="0"/>
              <w:widowControl w:val="0"/>
              <w:kinsoku/>
              <w:wordWrap/>
              <w:overflowPunct/>
              <w:topLinePunct w:val="0"/>
              <w:autoSpaceDE/>
              <w:autoSpaceDN/>
              <w:bidi w:val="0"/>
              <w:adjustRightInd/>
              <w:snapToGrid w:val="0"/>
              <w:spacing w:line="500" w:lineRule="exact"/>
              <w:ind w:left="43"/>
              <w:jc w:val="center"/>
              <w:textAlignment w:val="auto"/>
              <w:rPr>
                <w:rFonts w:hint="eastAsia" w:ascii="宋体" w:hAnsi="宋体" w:eastAsia="宋体" w:cs="宋体"/>
                <w:color w:val="auto"/>
                <w:sz w:val="21"/>
                <w:szCs w:val="21"/>
                <w:highlight w:val="none"/>
              </w:rPr>
            </w:pPr>
          </w:p>
        </w:tc>
      </w:tr>
      <w:tr w14:paraId="5A870B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2196" w:type="dxa"/>
            <w:tcBorders>
              <w:top w:val="single" w:color="auto" w:sz="4" w:space="0"/>
              <w:left w:val="single" w:color="auto" w:sz="4" w:space="0"/>
              <w:bottom w:val="single" w:color="auto" w:sz="4" w:space="0"/>
              <w:right w:val="single" w:color="auto" w:sz="4" w:space="0"/>
            </w:tcBorders>
            <w:vAlign w:val="center"/>
          </w:tcPr>
          <w:p w14:paraId="52F988C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p>
        </w:tc>
        <w:tc>
          <w:tcPr>
            <w:tcW w:w="2545" w:type="dxa"/>
            <w:tcBorders>
              <w:top w:val="single" w:color="auto" w:sz="4" w:space="0"/>
              <w:left w:val="single" w:color="auto" w:sz="4" w:space="0"/>
              <w:bottom w:val="single" w:color="auto" w:sz="4" w:space="0"/>
              <w:right w:val="single" w:color="auto" w:sz="4" w:space="0"/>
            </w:tcBorders>
            <w:vAlign w:val="center"/>
          </w:tcPr>
          <w:p w14:paraId="3325C25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p>
        </w:tc>
        <w:tc>
          <w:tcPr>
            <w:tcW w:w="1876" w:type="dxa"/>
            <w:tcBorders>
              <w:top w:val="single" w:color="auto" w:sz="4" w:space="0"/>
              <w:left w:val="single" w:color="auto" w:sz="4" w:space="0"/>
              <w:bottom w:val="single" w:color="auto" w:sz="4" w:space="0"/>
              <w:right w:val="single" w:color="auto" w:sz="4" w:space="0"/>
            </w:tcBorders>
            <w:vAlign w:val="center"/>
          </w:tcPr>
          <w:p w14:paraId="696D081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p>
        </w:tc>
        <w:tc>
          <w:tcPr>
            <w:tcW w:w="1942" w:type="dxa"/>
            <w:tcBorders>
              <w:top w:val="single" w:color="auto" w:sz="4" w:space="0"/>
              <w:left w:val="single" w:color="auto" w:sz="4" w:space="0"/>
              <w:bottom w:val="single" w:color="auto" w:sz="4" w:space="0"/>
              <w:right w:val="single" w:color="auto" w:sz="4" w:space="0"/>
            </w:tcBorders>
            <w:vAlign w:val="center"/>
          </w:tcPr>
          <w:p w14:paraId="1415600F">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p>
        </w:tc>
      </w:tr>
      <w:tr w14:paraId="587556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196" w:type="dxa"/>
            <w:tcBorders>
              <w:top w:val="single" w:color="auto" w:sz="4" w:space="0"/>
              <w:left w:val="single" w:color="auto" w:sz="4" w:space="0"/>
              <w:bottom w:val="single" w:color="auto" w:sz="4" w:space="0"/>
              <w:right w:val="single" w:color="auto" w:sz="4" w:space="0"/>
            </w:tcBorders>
            <w:vAlign w:val="center"/>
          </w:tcPr>
          <w:p w14:paraId="0FB7275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545" w:type="dxa"/>
            <w:tcBorders>
              <w:top w:val="single" w:color="auto" w:sz="4" w:space="0"/>
              <w:left w:val="single" w:color="auto" w:sz="4" w:space="0"/>
              <w:bottom w:val="single" w:color="auto" w:sz="4" w:space="0"/>
              <w:right w:val="single" w:color="auto" w:sz="4" w:space="0"/>
            </w:tcBorders>
            <w:vAlign w:val="center"/>
          </w:tcPr>
          <w:p w14:paraId="45F7DB2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p>
        </w:tc>
        <w:tc>
          <w:tcPr>
            <w:tcW w:w="1876" w:type="dxa"/>
            <w:tcBorders>
              <w:top w:val="single" w:color="auto" w:sz="4" w:space="0"/>
              <w:left w:val="single" w:color="auto" w:sz="4" w:space="0"/>
              <w:bottom w:val="single" w:color="auto" w:sz="4" w:space="0"/>
              <w:right w:val="single" w:color="auto" w:sz="4" w:space="0"/>
            </w:tcBorders>
            <w:vAlign w:val="center"/>
          </w:tcPr>
          <w:p w14:paraId="71B369A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p>
        </w:tc>
        <w:tc>
          <w:tcPr>
            <w:tcW w:w="1942" w:type="dxa"/>
            <w:tcBorders>
              <w:top w:val="single" w:color="auto" w:sz="4" w:space="0"/>
              <w:left w:val="single" w:color="auto" w:sz="4" w:space="0"/>
              <w:bottom w:val="single" w:color="auto" w:sz="4" w:space="0"/>
              <w:right w:val="single" w:color="auto" w:sz="4" w:space="0"/>
            </w:tcBorders>
            <w:vAlign w:val="center"/>
          </w:tcPr>
          <w:p w14:paraId="7B41228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p>
        </w:tc>
      </w:tr>
    </w:tbl>
    <w:p w14:paraId="68CDABD6">
      <w:pPr>
        <w:pStyle w:val="13"/>
        <w:keepNext w:val="0"/>
        <w:keepLines w:val="0"/>
        <w:pageBreakBefore w:val="0"/>
        <w:widowControl w:val="0"/>
        <w:kinsoku/>
        <w:wordWrap/>
        <w:overflowPunct/>
        <w:topLinePunct w:val="0"/>
        <w:autoSpaceDE/>
        <w:autoSpaceDN/>
        <w:bidi w:val="0"/>
        <w:adjustRightInd/>
        <w:spacing w:after="0"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728C0EF3">
      <w:pPr>
        <w:pStyle w:val="13"/>
        <w:keepNext w:val="0"/>
        <w:keepLines w:val="0"/>
        <w:pageBreakBefore w:val="0"/>
        <w:widowControl w:val="0"/>
        <w:kinsoku/>
        <w:wordWrap/>
        <w:overflowPunct/>
        <w:topLinePunct w:val="0"/>
        <w:autoSpaceDE/>
        <w:autoSpaceDN/>
        <w:bidi w:val="0"/>
        <w:adjustRightInd/>
        <w:spacing w:after="0"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1.说明：应对照磋商文件“第三章 采购需求”中的商务条款逐条实质性响应，并作出偏离说明。</w:t>
      </w:r>
    </w:p>
    <w:p w14:paraId="2F2111B9">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2.供应商应根据自身的承诺，对照磋商文件要求在“偏离说明”中注明“正偏离</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负偏离”或者“无偏离”。既不属于“正偏离”也不属于“负偏离”即为“无偏离”。</w:t>
      </w:r>
    </w:p>
    <w:p w14:paraId="7CE68A64">
      <w:pPr>
        <w:keepNext w:val="0"/>
        <w:keepLines w:val="0"/>
        <w:pageBreakBefore w:val="0"/>
        <w:widowControl w:val="0"/>
        <w:kinsoku/>
        <w:wordWrap/>
        <w:overflowPunct/>
        <w:topLinePunct w:val="0"/>
        <w:autoSpaceDE/>
        <w:autoSpaceDN/>
        <w:bidi w:val="0"/>
        <w:adjustRightInd/>
        <w:snapToGrid w:val="0"/>
        <w:spacing w:line="500" w:lineRule="exact"/>
        <w:ind w:right="-817" w:rightChars="-389"/>
        <w:textAlignment w:val="auto"/>
        <w:rPr>
          <w:rFonts w:hint="eastAsia" w:ascii="宋体" w:hAnsi="宋体" w:eastAsia="宋体" w:cs="宋体"/>
          <w:color w:val="auto"/>
          <w:sz w:val="21"/>
          <w:szCs w:val="21"/>
          <w:highlight w:val="none"/>
        </w:rPr>
      </w:pPr>
    </w:p>
    <w:p w14:paraId="435316E6">
      <w:pPr>
        <w:keepNext w:val="0"/>
        <w:keepLines w:val="0"/>
        <w:pageBreakBefore w:val="0"/>
        <w:widowControl w:val="0"/>
        <w:kinsoku/>
        <w:wordWrap/>
        <w:overflowPunct/>
        <w:topLinePunct w:val="0"/>
        <w:autoSpaceDE/>
        <w:autoSpaceDN/>
        <w:bidi w:val="0"/>
        <w:adjustRightInd/>
        <w:spacing w:line="500" w:lineRule="exact"/>
        <w:contextualSpacing/>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供应商名称（电子签章）：</w:t>
      </w:r>
    </w:p>
    <w:p w14:paraId="2CDBC56F">
      <w:pPr>
        <w:keepNext w:val="0"/>
        <w:keepLines w:val="0"/>
        <w:pageBreakBefore w:val="0"/>
        <w:widowControl w:val="0"/>
        <w:kinsoku/>
        <w:wordWrap/>
        <w:overflowPunct/>
        <w:topLinePunct w:val="0"/>
        <w:autoSpaceDE/>
        <w:autoSpaceDN/>
        <w:bidi w:val="0"/>
        <w:adjustRightInd/>
        <w:spacing w:line="500" w:lineRule="exact"/>
        <w:contextualSpacing/>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日期：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月   日</w:t>
      </w:r>
    </w:p>
    <w:p w14:paraId="023F1878">
      <w:pPr>
        <w:pStyle w:val="22"/>
        <w:rPr>
          <w:rFonts w:hint="eastAsia" w:ascii="宋体" w:hAnsi="宋体" w:eastAsia="宋体" w:cs="宋体"/>
          <w:color w:val="auto"/>
          <w:highlight w:val="none"/>
        </w:rPr>
      </w:pPr>
    </w:p>
    <w:p w14:paraId="22AB5CB1">
      <w:pPr>
        <w:pStyle w:val="22"/>
        <w:rPr>
          <w:rFonts w:hint="eastAsia" w:ascii="宋体" w:hAnsi="宋体" w:eastAsia="宋体" w:cs="宋体"/>
          <w:color w:val="auto"/>
          <w:highlight w:val="none"/>
        </w:rPr>
      </w:pPr>
    </w:p>
    <w:p w14:paraId="6D09A2E4">
      <w:pPr>
        <w:pStyle w:val="22"/>
        <w:rPr>
          <w:rFonts w:hint="eastAsia" w:ascii="宋体" w:hAnsi="宋体" w:eastAsia="宋体" w:cs="宋体"/>
          <w:color w:val="auto"/>
          <w:highlight w:val="none"/>
        </w:rPr>
      </w:pPr>
    </w:p>
    <w:p w14:paraId="696B6601">
      <w:pPr>
        <w:rPr>
          <w:rFonts w:hint="eastAsia" w:ascii="宋体" w:hAnsi="宋体" w:eastAsia="宋体" w:cs="宋体"/>
          <w:b/>
          <w:bCs/>
          <w:color w:val="auto"/>
          <w:sz w:val="30"/>
          <w:szCs w:val="30"/>
          <w:highlight w:val="none"/>
        </w:rPr>
      </w:pPr>
    </w:p>
    <w:p w14:paraId="19A4EA11">
      <w:pPr>
        <w:jc w:val="both"/>
        <w:rPr>
          <w:rFonts w:hint="eastAsia" w:ascii="宋体" w:hAnsi="宋体" w:eastAsia="宋体" w:cs="宋体"/>
          <w:b/>
          <w:bCs/>
          <w:color w:val="auto"/>
          <w:sz w:val="32"/>
          <w:szCs w:val="32"/>
          <w:highlight w:val="none"/>
        </w:rPr>
      </w:pPr>
      <w:r>
        <w:rPr>
          <w:rFonts w:hint="eastAsia" w:ascii="宋体" w:hAnsi="宋体" w:eastAsia="宋体" w:cs="宋体"/>
          <w:b/>
          <w:bCs/>
          <w:color w:val="auto"/>
          <w:sz w:val="30"/>
          <w:szCs w:val="30"/>
          <w:highlight w:val="none"/>
        </w:rPr>
        <w:t>五、磋商保证金提交凭证</w:t>
      </w:r>
    </w:p>
    <w:p w14:paraId="719EAFC9">
      <w:pPr>
        <w:pStyle w:val="22"/>
        <w:rPr>
          <w:rFonts w:hint="eastAsia" w:ascii="宋体" w:hAnsi="宋体" w:eastAsia="宋体" w:cs="宋体"/>
          <w:color w:val="auto"/>
          <w:highlight w:val="none"/>
        </w:rPr>
      </w:pPr>
    </w:p>
    <w:p w14:paraId="0D8FAB74">
      <w:pPr>
        <w:pStyle w:val="28"/>
        <w:rPr>
          <w:rFonts w:hint="eastAsia"/>
          <w:color w:val="auto"/>
          <w:highlight w:val="none"/>
        </w:rPr>
      </w:pPr>
    </w:p>
    <w:p w14:paraId="5A3D345F">
      <w:pPr>
        <w:spacing w:line="360" w:lineRule="auto"/>
        <w:ind w:firstLine="6090" w:firstLineChars="29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供应商名称（电子签章）：</w:t>
      </w:r>
    </w:p>
    <w:p w14:paraId="55E53637">
      <w:pPr>
        <w:spacing w:line="360" w:lineRule="auto"/>
        <w:contextualSpacing/>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日期：  年  月   日</w:t>
      </w:r>
    </w:p>
    <w:p w14:paraId="1D5839E4">
      <w:pPr>
        <w:pStyle w:val="22"/>
        <w:rPr>
          <w:rFonts w:hint="eastAsia" w:ascii="宋体" w:hAnsi="宋体" w:eastAsia="宋体" w:cs="宋体"/>
          <w:color w:val="auto"/>
          <w:highlight w:val="none"/>
        </w:rPr>
      </w:pPr>
    </w:p>
    <w:p w14:paraId="01DA8F22">
      <w:pPr>
        <w:pStyle w:val="22"/>
        <w:rPr>
          <w:rFonts w:hint="eastAsia" w:ascii="宋体" w:hAnsi="宋体" w:eastAsia="宋体" w:cs="宋体"/>
          <w:color w:val="auto"/>
          <w:highlight w:val="none"/>
        </w:rPr>
      </w:pPr>
    </w:p>
    <w:p w14:paraId="5843A661">
      <w:pPr>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六、</w:t>
      </w:r>
      <w:r>
        <w:rPr>
          <w:rFonts w:hint="eastAsia" w:ascii="宋体" w:hAnsi="宋体" w:eastAsia="宋体" w:cs="宋体"/>
          <w:b/>
          <w:bCs/>
          <w:color w:val="auto"/>
          <w:sz w:val="30"/>
          <w:szCs w:val="30"/>
          <w:highlight w:val="none"/>
          <w:lang w:eastAsia="zh-CN"/>
        </w:rPr>
        <w:t>技术要求偏离表</w:t>
      </w:r>
    </w:p>
    <w:p w14:paraId="52EFCFE1">
      <w:pPr>
        <w:spacing w:line="520" w:lineRule="exact"/>
        <w:jc w:val="center"/>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lang w:eastAsia="zh-CN"/>
        </w:rPr>
        <w:t>技术要求偏离表</w:t>
      </w:r>
    </w:p>
    <w:p w14:paraId="6B41E7FB">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采购项目编号：</w:t>
      </w:r>
      <w:r>
        <w:rPr>
          <w:rFonts w:hint="eastAsia" w:ascii="宋体" w:hAnsi="宋体" w:eastAsia="宋体" w:cs="宋体"/>
          <w:color w:val="auto"/>
          <w:sz w:val="21"/>
          <w:szCs w:val="21"/>
          <w:highlight w:val="none"/>
          <w:u w:val="single"/>
        </w:rPr>
        <w:t xml:space="preserve">                 </w:t>
      </w:r>
    </w:p>
    <w:p w14:paraId="5AF587D8">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single"/>
        </w:rPr>
        <w:t xml:space="preserve">                 </w:t>
      </w:r>
    </w:p>
    <w:p w14:paraId="3D0090DF">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分标号（此处有分标时填写具体分标号，无分标时填写“无”）：</w:t>
      </w:r>
      <w:r>
        <w:rPr>
          <w:rFonts w:hint="eastAsia" w:ascii="宋体" w:hAnsi="宋体" w:eastAsia="宋体" w:cs="宋体"/>
          <w:color w:val="auto"/>
          <w:sz w:val="21"/>
          <w:szCs w:val="21"/>
          <w:highlight w:val="none"/>
          <w:u w:val="single"/>
        </w:rPr>
        <w:t xml:space="preserve">               </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57"/>
        <w:gridCol w:w="858"/>
        <w:gridCol w:w="2847"/>
        <w:gridCol w:w="2562"/>
        <w:gridCol w:w="1398"/>
      </w:tblGrid>
      <w:tr w14:paraId="382F43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7A5C22E1">
            <w:pPr>
              <w:pStyle w:val="16"/>
              <w:spacing w:line="360" w:lineRule="auto"/>
              <w:ind w:firstLine="0" w:firstLineChars="0"/>
              <w:jc w:val="center"/>
              <w:rPr>
                <w:rFonts w:hint="eastAsia" w:ascii="宋体" w:hAnsi="宋体" w:eastAsia="宋体" w:cs="宋体"/>
                <w:color w:val="auto"/>
                <w:kern w:val="2"/>
                <w:sz w:val="21"/>
                <w:szCs w:val="21"/>
                <w:highlight w:val="none"/>
              </w:rPr>
            </w:pPr>
            <w:bookmarkStart w:id="72" w:name="_Toc301781611"/>
            <w:bookmarkStart w:id="73" w:name="_Toc295404981"/>
            <w:bookmarkStart w:id="74" w:name="_Toc383699906"/>
            <w:bookmarkStart w:id="75" w:name="_Toc173211900"/>
            <w:bookmarkStart w:id="76" w:name="_Toc373333689"/>
            <w:bookmarkStart w:id="77" w:name="_Toc254970729"/>
            <w:bookmarkStart w:id="78" w:name="_Toc173066401"/>
            <w:bookmarkStart w:id="79" w:name="_Toc254970588"/>
            <w:bookmarkStart w:id="80" w:name="_Toc297193185"/>
            <w:r>
              <w:rPr>
                <w:rFonts w:hint="eastAsia" w:ascii="宋体" w:hAnsi="宋体" w:eastAsia="宋体" w:cs="宋体"/>
                <w:color w:val="auto"/>
                <w:kern w:val="2"/>
                <w:sz w:val="21"/>
                <w:szCs w:val="21"/>
                <w:highlight w:val="none"/>
              </w:rPr>
              <w:t>序号</w:t>
            </w:r>
            <w:bookmarkEnd w:id="72"/>
            <w:bookmarkEnd w:id="73"/>
            <w:bookmarkEnd w:id="74"/>
            <w:bookmarkEnd w:id="75"/>
            <w:bookmarkEnd w:id="76"/>
            <w:bookmarkEnd w:id="77"/>
            <w:bookmarkEnd w:id="78"/>
            <w:bookmarkEnd w:id="79"/>
            <w:bookmarkEnd w:id="80"/>
          </w:p>
        </w:tc>
        <w:tc>
          <w:tcPr>
            <w:tcW w:w="503" w:type="pct"/>
            <w:tcBorders>
              <w:right w:val="single" w:color="auto" w:sz="4" w:space="0"/>
            </w:tcBorders>
            <w:vAlign w:val="center"/>
          </w:tcPr>
          <w:p w14:paraId="40616B3C">
            <w:pPr>
              <w:pStyle w:val="16"/>
              <w:spacing w:line="36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名称</w:t>
            </w:r>
          </w:p>
        </w:tc>
        <w:tc>
          <w:tcPr>
            <w:tcW w:w="1670" w:type="pct"/>
            <w:tcBorders>
              <w:left w:val="single" w:color="auto" w:sz="4" w:space="0"/>
            </w:tcBorders>
            <w:vAlign w:val="center"/>
          </w:tcPr>
          <w:p w14:paraId="36BDC29E">
            <w:pPr>
              <w:pStyle w:val="16"/>
              <w:spacing w:line="36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磋商文件</w:t>
            </w:r>
            <w:r>
              <w:rPr>
                <w:rFonts w:hint="eastAsia" w:ascii="宋体" w:hAnsi="宋体" w:eastAsia="宋体" w:cs="仿宋_GB2312"/>
                <w:color w:val="auto"/>
                <w:kern w:val="2"/>
                <w:sz w:val="21"/>
                <w:szCs w:val="21"/>
                <w:highlight w:val="none"/>
                <w:lang w:val="en-US" w:eastAsia="zh-CN"/>
              </w:rPr>
              <w:t>技术或服务要求</w:t>
            </w:r>
          </w:p>
        </w:tc>
        <w:tc>
          <w:tcPr>
            <w:tcW w:w="1503" w:type="pct"/>
            <w:vAlign w:val="center"/>
          </w:tcPr>
          <w:p w14:paraId="75F6601E">
            <w:pPr>
              <w:pStyle w:val="16"/>
              <w:spacing w:line="360" w:lineRule="auto"/>
              <w:ind w:firstLine="0" w:firstLineChars="0"/>
              <w:jc w:val="center"/>
              <w:rPr>
                <w:rFonts w:hint="eastAsia" w:ascii="宋体" w:hAnsi="宋体" w:eastAsia="宋体" w:cs="宋体"/>
                <w:color w:val="auto"/>
                <w:kern w:val="2"/>
                <w:sz w:val="21"/>
                <w:szCs w:val="21"/>
                <w:highlight w:val="none"/>
              </w:rPr>
            </w:pPr>
            <w:bookmarkStart w:id="81" w:name="_Toc254970590"/>
            <w:bookmarkStart w:id="82" w:name="_Toc373333691"/>
            <w:bookmarkStart w:id="83" w:name="_Toc173066403"/>
            <w:bookmarkStart w:id="84" w:name="_Toc173211902"/>
            <w:bookmarkStart w:id="85" w:name="_Toc295404983"/>
            <w:bookmarkStart w:id="86" w:name="_Toc301781613"/>
            <w:bookmarkStart w:id="87" w:name="_Toc297193187"/>
            <w:bookmarkStart w:id="88" w:name="_Toc254970731"/>
            <w:bookmarkStart w:id="89" w:name="_Toc383699908"/>
            <w:r>
              <w:rPr>
                <w:rFonts w:hint="eastAsia" w:ascii="宋体" w:hAnsi="宋体" w:eastAsia="宋体" w:cs="宋体"/>
                <w:color w:val="auto"/>
                <w:kern w:val="2"/>
                <w:sz w:val="21"/>
                <w:szCs w:val="21"/>
                <w:highlight w:val="none"/>
                <w:lang w:val="en-US" w:eastAsia="zh-CN"/>
              </w:rPr>
              <w:t>供应商的</w:t>
            </w:r>
            <w:r>
              <w:rPr>
                <w:rFonts w:hint="eastAsia" w:ascii="宋体" w:hAnsi="宋体" w:eastAsia="宋体" w:cs="宋体"/>
                <w:color w:val="auto"/>
                <w:kern w:val="2"/>
                <w:sz w:val="21"/>
                <w:szCs w:val="21"/>
                <w:highlight w:val="none"/>
              </w:rPr>
              <w:t>响应</w:t>
            </w:r>
            <w:bookmarkEnd w:id="81"/>
            <w:bookmarkEnd w:id="82"/>
            <w:bookmarkEnd w:id="83"/>
            <w:bookmarkEnd w:id="84"/>
            <w:bookmarkEnd w:id="85"/>
            <w:bookmarkEnd w:id="86"/>
            <w:bookmarkEnd w:id="87"/>
            <w:bookmarkEnd w:id="88"/>
            <w:bookmarkEnd w:id="89"/>
          </w:p>
        </w:tc>
        <w:tc>
          <w:tcPr>
            <w:tcW w:w="820" w:type="pct"/>
            <w:vAlign w:val="center"/>
          </w:tcPr>
          <w:p w14:paraId="61B43435">
            <w:pPr>
              <w:pStyle w:val="16"/>
              <w:spacing w:line="360" w:lineRule="auto"/>
              <w:ind w:firstLine="0" w:firstLineChars="0"/>
              <w:jc w:val="center"/>
              <w:rPr>
                <w:rFonts w:hint="eastAsia" w:ascii="宋体" w:hAnsi="宋体" w:eastAsia="宋体" w:cs="宋体"/>
                <w:color w:val="auto"/>
                <w:kern w:val="2"/>
                <w:sz w:val="21"/>
                <w:szCs w:val="21"/>
                <w:highlight w:val="none"/>
              </w:rPr>
            </w:pPr>
            <w:bookmarkStart w:id="90" w:name="_Toc173211903"/>
            <w:bookmarkStart w:id="91" w:name="_Toc297193188"/>
            <w:bookmarkStart w:id="92" w:name="_Toc301781614"/>
            <w:bookmarkStart w:id="93" w:name="_Toc373333692"/>
            <w:bookmarkStart w:id="94" w:name="_Toc383699909"/>
            <w:bookmarkStart w:id="95" w:name="_Toc254970591"/>
            <w:bookmarkStart w:id="96" w:name="_Toc254970732"/>
            <w:bookmarkStart w:id="97" w:name="_Toc295404984"/>
            <w:bookmarkStart w:id="98" w:name="_Toc173066404"/>
            <w:r>
              <w:rPr>
                <w:rFonts w:hint="eastAsia" w:ascii="宋体" w:hAnsi="宋体" w:eastAsia="宋体" w:cs="宋体"/>
                <w:color w:val="auto"/>
                <w:kern w:val="2"/>
                <w:sz w:val="21"/>
                <w:szCs w:val="21"/>
                <w:highlight w:val="none"/>
              </w:rPr>
              <w:t>偏离</w:t>
            </w:r>
            <w:bookmarkEnd w:id="90"/>
            <w:bookmarkEnd w:id="91"/>
            <w:bookmarkEnd w:id="92"/>
            <w:bookmarkEnd w:id="93"/>
            <w:bookmarkEnd w:id="94"/>
            <w:bookmarkEnd w:id="95"/>
            <w:bookmarkEnd w:id="96"/>
            <w:bookmarkEnd w:id="97"/>
            <w:bookmarkEnd w:id="98"/>
            <w:bookmarkStart w:id="99" w:name="_Toc295404985"/>
            <w:bookmarkStart w:id="100" w:name="_Toc173211904"/>
            <w:bookmarkStart w:id="101" w:name="_Toc173066405"/>
            <w:bookmarkStart w:id="102" w:name="_Toc383699910"/>
            <w:bookmarkStart w:id="103" w:name="_Toc373333693"/>
            <w:bookmarkStart w:id="104" w:name="_Toc254970592"/>
            <w:bookmarkStart w:id="105" w:name="_Toc297193189"/>
            <w:bookmarkStart w:id="106" w:name="_Toc254970733"/>
            <w:bookmarkStart w:id="107" w:name="_Toc301781615"/>
            <w:r>
              <w:rPr>
                <w:rFonts w:hint="eastAsia" w:ascii="宋体" w:hAnsi="宋体" w:eastAsia="宋体" w:cs="宋体"/>
                <w:color w:val="auto"/>
                <w:kern w:val="2"/>
                <w:sz w:val="21"/>
                <w:szCs w:val="21"/>
                <w:highlight w:val="none"/>
              </w:rPr>
              <w:t>说明</w:t>
            </w:r>
            <w:bookmarkEnd w:id="99"/>
            <w:bookmarkEnd w:id="100"/>
            <w:bookmarkEnd w:id="101"/>
            <w:bookmarkEnd w:id="102"/>
            <w:bookmarkEnd w:id="103"/>
            <w:bookmarkEnd w:id="104"/>
            <w:bookmarkEnd w:id="105"/>
            <w:bookmarkEnd w:id="106"/>
            <w:bookmarkEnd w:id="107"/>
          </w:p>
        </w:tc>
      </w:tr>
      <w:tr w14:paraId="3603ED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69C9B72B">
            <w:pPr>
              <w:pStyle w:val="16"/>
              <w:spacing w:line="360" w:lineRule="auto"/>
              <w:ind w:firstLine="0" w:firstLineChars="0"/>
              <w:jc w:val="center"/>
              <w:rPr>
                <w:rFonts w:hint="eastAsia" w:ascii="宋体" w:hAnsi="宋体" w:eastAsia="宋体" w:cs="宋体"/>
                <w:color w:val="auto"/>
                <w:kern w:val="2"/>
                <w:sz w:val="21"/>
                <w:szCs w:val="21"/>
                <w:highlight w:val="none"/>
              </w:rPr>
            </w:pPr>
            <w:bookmarkStart w:id="108" w:name="_Toc301781616"/>
            <w:bookmarkStart w:id="109" w:name="_Toc173066406"/>
            <w:bookmarkStart w:id="110" w:name="_Toc173211905"/>
            <w:bookmarkStart w:id="111" w:name="_Toc383699911"/>
            <w:bookmarkStart w:id="112" w:name="_Toc295404986"/>
            <w:bookmarkStart w:id="113" w:name="_Toc297193190"/>
            <w:bookmarkStart w:id="114" w:name="_Toc254970734"/>
            <w:bookmarkStart w:id="115" w:name="_Toc254970593"/>
            <w:bookmarkStart w:id="116" w:name="_Toc373333694"/>
            <w:r>
              <w:rPr>
                <w:rFonts w:hint="eastAsia" w:ascii="宋体" w:hAnsi="宋体" w:eastAsia="宋体" w:cs="宋体"/>
                <w:color w:val="auto"/>
                <w:kern w:val="2"/>
                <w:sz w:val="21"/>
                <w:szCs w:val="21"/>
                <w:highlight w:val="none"/>
              </w:rPr>
              <w:t>1</w:t>
            </w:r>
            <w:bookmarkEnd w:id="108"/>
            <w:bookmarkEnd w:id="109"/>
            <w:bookmarkEnd w:id="110"/>
            <w:bookmarkEnd w:id="111"/>
            <w:bookmarkEnd w:id="112"/>
            <w:bookmarkEnd w:id="113"/>
            <w:bookmarkEnd w:id="114"/>
            <w:bookmarkEnd w:id="115"/>
            <w:bookmarkEnd w:id="116"/>
          </w:p>
        </w:tc>
        <w:tc>
          <w:tcPr>
            <w:tcW w:w="503" w:type="pct"/>
            <w:tcBorders>
              <w:right w:val="single" w:color="auto" w:sz="4" w:space="0"/>
            </w:tcBorders>
            <w:vAlign w:val="center"/>
          </w:tcPr>
          <w:p w14:paraId="59348ECF">
            <w:pPr>
              <w:pStyle w:val="16"/>
              <w:spacing w:line="360" w:lineRule="auto"/>
              <w:ind w:firstLine="0" w:firstLineChars="0"/>
              <w:jc w:val="center"/>
              <w:rPr>
                <w:rFonts w:hint="eastAsia" w:ascii="宋体" w:hAnsi="宋体" w:eastAsia="宋体" w:cs="宋体"/>
                <w:color w:val="auto"/>
                <w:kern w:val="2"/>
                <w:sz w:val="21"/>
                <w:szCs w:val="21"/>
                <w:highlight w:val="none"/>
              </w:rPr>
            </w:pPr>
          </w:p>
        </w:tc>
        <w:tc>
          <w:tcPr>
            <w:tcW w:w="1670" w:type="pct"/>
            <w:tcBorders>
              <w:left w:val="single" w:color="auto" w:sz="4" w:space="0"/>
            </w:tcBorders>
            <w:vAlign w:val="center"/>
          </w:tcPr>
          <w:p w14:paraId="1A0A9144">
            <w:pPr>
              <w:pStyle w:val="16"/>
              <w:spacing w:line="360" w:lineRule="auto"/>
              <w:ind w:firstLine="0" w:firstLineChars="0"/>
              <w:jc w:val="center"/>
              <w:rPr>
                <w:rFonts w:hint="eastAsia" w:ascii="宋体" w:hAnsi="宋体" w:eastAsia="宋体" w:cs="宋体"/>
                <w:color w:val="auto"/>
                <w:kern w:val="2"/>
                <w:sz w:val="21"/>
                <w:szCs w:val="21"/>
                <w:highlight w:val="none"/>
              </w:rPr>
            </w:pPr>
          </w:p>
        </w:tc>
        <w:tc>
          <w:tcPr>
            <w:tcW w:w="1503" w:type="pct"/>
            <w:vAlign w:val="center"/>
          </w:tcPr>
          <w:p w14:paraId="22017B44">
            <w:pPr>
              <w:pStyle w:val="16"/>
              <w:spacing w:line="360" w:lineRule="auto"/>
              <w:ind w:firstLine="0" w:firstLineChars="0"/>
              <w:jc w:val="center"/>
              <w:rPr>
                <w:rFonts w:hint="eastAsia" w:ascii="宋体" w:hAnsi="宋体" w:eastAsia="宋体" w:cs="宋体"/>
                <w:color w:val="auto"/>
                <w:kern w:val="2"/>
                <w:sz w:val="21"/>
                <w:szCs w:val="21"/>
                <w:highlight w:val="none"/>
              </w:rPr>
            </w:pPr>
          </w:p>
        </w:tc>
        <w:tc>
          <w:tcPr>
            <w:tcW w:w="820" w:type="pct"/>
            <w:vAlign w:val="center"/>
          </w:tcPr>
          <w:p w14:paraId="038D7041">
            <w:pPr>
              <w:pStyle w:val="16"/>
              <w:spacing w:line="360" w:lineRule="auto"/>
              <w:ind w:firstLine="0" w:firstLineChars="0"/>
              <w:jc w:val="center"/>
              <w:rPr>
                <w:rFonts w:hint="eastAsia" w:ascii="宋体" w:hAnsi="宋体" w:eastAsia="宋体" w:cs="宋体"/>
                <w:color w:val="auto"/>
                <w:kern w:val="2"/>
                <w:sz w:val="21"/>
                <w:szCs w:val="21"/>
                <w:highlight w:val="none"/>
              </w:rPr>
            </w:pPr>
          </w:p>
        </w:tc>
      </w:tr>
      <w:tr w14:paraId="7A999C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25B1FBF4">
            <w:pPr>
              <w:pStyle w:val="16"/>
              <w:spacing w:line="360" w:lineRule="auto"/>
              <w:ind w:firstLine="0" w:firstLineChars="0"/>
              <w:jc w:val="center"/>
              <w:rPr>
                <w:rFonts w:hint="eastAsia" w:ascii="宋体" w:hAnsi="宋体" w:eastAsia="宋体" w:cs="宋体"/>
                <w:color w:val="auto"/>
                <w:kern w:val="2"/>
                <w:sz w:val="21"/>
                <w:szCs w:val="21"/>
                <w:highlight w:val="none"/>
              </w:rPr>
            </w:pPr>
            <w:bookmarkStart w:id="117" w:name="_Toc297193191"/>
            <w:bookmarkStart w:id="118" w:name="_Toc295404987"/>
            <w:bookmarkStart w:id="119" w:name="_Toc301781617"/>
            <w:bookmarkStart w:id="120" w:name="_Toc173211906"/>
            <w:bookmarkStart w:id="121" w:name="_Toc383699912"/>
            <w:bookmarkStart w:id="122" w:name="_Toc254970735"/>
            <w:bookmarkStart w:id="123" w:name="_Toc373333695"/>
            <w:bookmarkStart w:id="124" w:name="_Toc254970594"/>
            <w:bookmarkStart w:id="125" w:name="_Toc173066407"/>
            <w:r>
              <w:rPr>
                <w:rFonts w:hint="eastAsia" w:ascii="宋体" w:hAnsi="宋体" w:eastAsia="宋体" w:cs="宋体"/>
                <w:color w:val="auto"/>
                <w:kern w:val="2"/>
                <w:sz w:val="21"/>
                <w:szCs w:val="21"/>
                <w:highlight w:val="none"/>
              </w:rPr>
              <w:t>2</w:t>
            </w:r>
            <w:bookmarkEnd w:id="117"/>
            <w:bookmarkEnd w:id="118"/>
            <w:bookmarkEnd w:id="119"/>
            <w:bookmarkEnd w:id="120"/>
            <w:bookmarkEnd w:id="121"/>
            <w:bookmarkEnd w:id="122"/>
            <w:bookmarkEnd w:id="123"/>
            <w:bookmarkEnd w:id="124"/>
            <w:bookmarkEnd w:id="125"/>
          </w:p>
        </w:tc>
        <w:tc>
          <w:tcPr>
            <w:tcW w:w="503" w:type="pct"/>
            <w:tcBorders>
              <w:right w:val="single" w:color="auto" w:sz="4" w:space="0"/>
            </w:tcBorders>
            <w:vAlign w:val="center"/>
          </w:tcPr>
          <w:p w14:paraId="1E1AE734">
            <w:pPr>
              <w:pStyle w:val="16"/>
              <w:spacing w:line="360" w:lineRule="auto"/>
              <w:ind w:firstLine="0" w:firstLineChars="0"/>
              <w:jc w:val="center"/>
              <w:rPr>
                <w:rFonts w:hint="eastAsia" w:ascii="宋体" w:hAnsi="宋体" w:eastAsia="宋体" w:cs="宋体"/>
                <w:color w:val="auto"/>
                <w:kern w:val="2"/>
                <w:sz w:val="21"/>
                <w:szCs w:val="21"/>
                <w:highlight w:val="none"/>
              </w:rPr>
            </w:pPr>
          </w:p>
        </w:tc>
        <w:tc>
          <w:tcPr>
            <w:tcW w:w="1670" w:type="pct"/>
            <w:tcBorders>
              <w:left w:val="single" w:color="auto" w:sz="4" w:space="0"/>
            </w:tcBorders>
            <w:vAlign w:val="center"/>
          </w:tcPr>
          <w:p w14:paraId="05E262ED">
            <w:pPr>
              <w:pStyle w:val="16"/>
              <w:spacing w:line="360" w:lineRule="auto"/>
              <w:ind w:firstLine="0" w:firstLineChars="0"/>
              <w:jc w:val="center"/>
              <w:rPr>
                <w:rFonts w:hint="eastAsia" w:ascii="宋体" w:hAnsi="宋体" w:eastAsia="宋体" w:cs="宋体"/>
                <w:color w:val="auto"/>
                <w:kern w:val="2"/>
                <w:sz w:val="21"/>
                <w:szCs w:val="21"/>
                <w:highlight w:val="none"/>
              </w:rPr>
            </w:pPr>
          </w:p>
        </w:tc>
        <w:tc>
          <w:tcPr>
            <w:tcW w:w="1503" w:type="pct"/>
            <w:vAlign w:val="center"/>
          </w:tcPr>
          <w:p w14:paraId="73408556">
            <w:pPr>
              <w:pStyle w:val="16"/>
              <w:spacing w:line="360" w:lineRule="auto"/>
              <w:ind w:firstLine="0" w:firstLineChars="0"/>
              <w:jc w:val="center"/>
              <w:rPr>
                <w:rFonts w:hint="eastAsia" w:ascii="宋体" w:hAnsi="宋体" w:eastAsia="宋体" w:cs="宋体"/>
                <w:color w:val="auto"/>
                <w:kern w:val="2"/>
                <w:sz w:val="21"/>
                <w:szCs w:val="21"/>
                <w:highlight w:val="none"/>
              </w:rPr>
            </w:pPr>
          </w:p>
        </w:tc>
        <w:tc>
          <w:tcPr>
            <w:tcW w:w="820" w:type="pct"/>
            <w:vAlign w:val="center"/>
          </w:tcPr>
          <w:p w14:paraId="0E8CF242">
            <w:pPr>
              <w:pStyle w:val="16"/>
              <w:spacing w:line="360" w:lineRule="auto"/>
              <w:ind w:firstLine="0" w:firstLineChars="0"/>
              <w:jc w:val="center"/>
              <w:rPr>
                <w:rFonts w:hint="eastAsia" w:ascii="宋体" w:hAnsi="宋体" w:eastAsia="宋体" w:cs="宋体"/>
                <w:color w:val="auto"/>
                <w:kern w:val="2"/>
                <w:sz w:val="21"/>
                <w:szCs w:val="21"/>
                <w:highlight w:val="none"/>
              </w:rPr>
            </w:pPr>
          </w:p>
        </w:tc>
      </w:tr>
      <w:tr w14:paraId="394E9E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221861A4">
            <w:pPr>
              <w:pStyle w:val="16"/>
              <w:spacing w:line="360" w:lineRule="auto"/>
              <w:ind w:firstLine="0" w:firstLineChars="0"/>
              <w:jc w:val="center"/>
              <w:rPr>
                <w:rFonts w:hint="eastAsia" w:ascii="宋体" w:hAnsi="宋体" w:eastAsia="宋体" w:cs="宋体"/>
                <w:color w:val="auto"/>
                <w:kern w:val="2"/>
                <w:sz w:val="21"/>
                <w:szCs w:val="21"/>
                <w:highlight w:val="none"/>
              </w:rPr>
            </w:pPr>
            <w:bookmarkStart w:id="126" w:name="_Toc383699913"/>
            <w:bookmarkStart w:id="127" w:name="_Toc295404988"/>
            <w:bookmarkStart w:id="128" w:name="_Toc297193192"/>
            <w:bookmarkStart w:id="129" w:name="_Toc301781618"/>
            <w:bookmarkStart w:id="130" w:name="_Toc373333696"/>
            <w:bookmarkStart w:id="131" w:name="_Toc173211907"/>
            <w:bookmarkStart w:id="132" w:name="_Toc254970736"/>
            <w:bookmarkStart w:id="133" w:name="_Toc173066408"/>
            <w:bookmarkStart w:id="134" w:name="_Toc254970595"/>
            <w:r>
              <w:rPr>
                <w:rFonts w:hint="eastAsia" w:ascii="宋体" w:hAnsi="宋体" w:eastAsia="宋体" w:cs="宋体"/>
                <w:color w:val="auto"/>
                <w:kern w:val="2"/>
                <w:sz w:val="21"/>
                <w:szCs w:val="21"/>
                <w:highlight w:val="none"/>
              </w:rPr>
              <w:t>3</w:t>
            </w:r>
            <w:bookmarkEnd w:id="126"/>
            <w:bookmarkEnd w:id="127"/>
            <w:bookmarkEnd w:id="128"/>
            <w:bookmarkEnd w:id="129"/>
            <w:bookmarkEnd w:id="130"/>
            <w:bookmarkEnd w:id="131"/>
            <w:bookmarkEnd w:id="132"/>
            <w:bookmarkEnd w:id="133"/>
            <w:bookmarkEnd w:id="134"/>
          </w:p>
        </w:tc>
        <w:tc>
          <w:tcPr>
            <w:tcW w:w="503" w:type="pct"/>
            <w:tcBorders>
              <w:right w:val="single" w:color="auto" w:sz="4" w:space="0"/>
            </w:tcBorders>
            <w:vAlign w:val="center"/>
          </w:tcPr>
          <w:p w14:paraId="05E5ACB4">
            <w:pPr>
              <w:pStyle w:val="16"/>
              <w:spacing w:line="360" w:lineRule="auto"/>
              <w:ind w:firstLine="0" w:firstLineChars="0"/>
              <w:jc w:val="center"/>
              <w:rPr>
                <w:rFonts w:hint="eastAsia" w:ascii="宋体" w:hAnsi="宋体" w:eastAsia="宋体" w:cs="宋体"/>
                <w:color w:val="auto"/>
                <w:kern w:val="2"/>
                <w:sz w:val="21"/>
                <w:szCs w:val="21"/>
                <w:highlight w:val="none"/>
              </w:rPr>
            </w:pPr>
          </w:p>
        </w:tc>
        <w:tc>
          <w:tcPr>
            <w:tcW w:w="1670" w:type="pct"/>
            <w:tcBorders>
              <w:left w:val="single" w:color="auto" w:sz="4" w:space="0"/>
            </w:tcBorders>
            <w:vAlign w:val="center"/>
          </w:tcPr>
          <w:p w14:paraId="645CEE26">
            <w:pPr>
              <w:pStyle w:val="16"/>
              <w:spacing w:line="360" w:lineRule="auto"/>
              <w:ind w:firstLine="0" w:firstLineChars="0"/>
              <w:jc w:val="center"/>
              <w:rPr>
                <w:rFonts w:hint="eastAsia" w:ascii="宋体" w:hAnsi="宋体" w:eastAsia="宋体" w:cs="宋体"/>
                <w:color w:val="auto"/>
                <w:kern w:val="2"/>
                <w:sz w:val="21"/>
                <w:szCs w:val="21"/>
                <w:highlight w:val="none"/>
              </w:rPr>
            </w:pPr>
          </w:p>
        </w:tc>
        <w:tc>
          <w:tcPr>
            <w:tcW w:w="1503" w:type="pct"/>
            <w:vAlign w:val="center"/>
          </w:tcPr>
          <w:p w14:paraId="2BAF0443">
            <w:pPr>
              <w:pStyle w:val="16"/>
              <w:spacing w:line="360" w:lineRule="auto"/>
              <w:ind w:firstLine="0" w:firstLineChars="0"/>
              <w:jc w:val="center"/>
              <w:rPr>
                <w:rFonts w:hint="eastAsia" w:ascii="宋体" w:hAnsi="宋体" w:eastAsia="宋体" w:cs="宋体"/>
                <w:color w:val="auto"/>
                <w:kern w:val="2"/>
                <w:sz w:val="21"/>
                <w:szCs w:val="21"/>
                <w:highlight w:val="none"/>
              </w:rPr>
            </w:pPr>
          </w:p>
        </w:tc>
        <w:tc>
          <w:tcPr>
            <w:tcW w:w="820" w:type="pct"/>
            <w:vAlign w:val="center"/>
          </w:tcPr>
          <w:p w14:paraId="2F7E3614">
            <w:pPr>
              <w:pStyle w:val="16"/>
              <w:spacing w:line="360" w:lineRule="auto"/>
              <w:ind w:firstLine="0" w:firstLineChars="0"/>
              <w:jc w:val="center"/>
              <w:rPr>
                <w:rFonts w:hint="eastAsia" w:ascii="宋体" w:hAnsi="宋体" w:eastAsia="宋体" w:cs="宋体"/>
                <w:color w:val="auto"/>
                <w:kern w:val="2"/>
                <w:sz w:val="21"/>
                <w:szCs w:val="21"/>
                <w:highlight w:val="none"/>
              </w:rPr>
            </w:pPr>
          </w:p>
        </w:tc>
      </w:tr>
      <w:tr w14:paraId="08018A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7D5237A7">
            <w:pPr>
              <w:pStyle w:val="16"/>
              <w:spacing w:line="360" w:lineRule="auto"/>
              <w:ind w:firstLine="0" w:firstLineChars="0"/>
              <w:jc w:val="center"/>
              <w:rPr>
                <w:rFonts w:hint="eastAsia" w:ascii="宋体" w:hAnsi="宋体" w:eastAsia="宋体" w:cs="宋体"/>
                <w:color w:val="auto"/>
                <w:kern w:val="2"/>
                <w:sz w:val="21"/>
                <w:szCs w:val="21"/>
                <w:highlight w:val="none"/>
              </w:rPr>
            </w:pPr>
            <w:bookmarkStart w:id="135" w:name="_Toc383699914"/>
            <w:bookmarkStart w:id="136" w:name="_Toc254970596"/>
            <w:bookmarkStart w:id="137" w:name="_Toc295404989"/>
            <w:bookmarkStart w:id="138" w:name="_Toc301781619"/>
            <w:bookmarkStart w:id="139" w:name="_Toc173066409"/>
            <w:bookmarkStart w:id="140" w:name="_Toc254970737"/>
            <w:bookmarkStart w:id="141" w:name="_Toc297193193"/>
            <w:bookmarkStart w:id="142" w:name="_Toc173211908"/>
            <w:bookmarkStart w:id="143" w:name="_Toc373333697"/>
            <w:r>
              <w:rPr>
                <w:rFonts w:hint="eastAsia" w:ascii="宋体" w:hAnsi="宋体" w:eastAsia="宋体" w:cs="宋体"/>
                <w:color w:val="auto"/>
                <w:kern w:val="2"/>
                <w:sz w:val="21"/>
                <w:szCs w:val="21"/>
                <w:highlight w:val="none"/>
              </w:rPr>
              <w:t>4</w:t>
            </w:r>
            <w:bookmarkEnd w:id="135"/>
            <w:bookmarkEnd w:id="136"/>
            <w:bookmarkEnd w:id="137"/>
            <w:bookmarkEnd w:id="138"/>
            <w:bookmarkEnd w:id="139"/>
            <w:bookmarkEnd w:id="140"/>
            <w:bookmarkEnd w:id="141"/>
            <w:bookmarkEnd w:id="142"/>
            <w:bookmarkEnd w:id="143"/>
          </w:p>
        </w:tc>
        <w:tc>
          <w:tcPr>
            <w:tcW w:w="503" w:type="pct"/>
            <w:tcBorders>
              <w:right w:val="single" w:color="auto" w:sz="4" w:space="0"/>
            </w:tcBorders>
            <w:vAlign w:val="center"/>
          </w:tcPr>
          <w:p w14:paraId="41254D67">
            <w:pPr>
              <w:pStyle w:val="16"/>
              <w:spacing w:line="360" w:lineRule="auto"/>
              <w:ind w:firstLine="0" w:firstLineChars="0"/>
              <w:jc w:val="center"/>
              <w:rPr>
                <w:rFonts w:hint="eastAsia" w:ascii="宋体" w:hAnsi="宋体" w:eastAsia="宋体" w:cs="宋体"/>
                <w:color w:val="auto"/>
                <w:kern w:val="2"/>
                <w:sz w:val="21"/>
                <w:szCs w:val="21"/>
                <w:highlight w:val="none"/>
              </w:rPr>
            </w:pPr>
          </w:p>
        </w:tc>
        <w:tc>
          <w:tcPr>
            <w:tcW w:w="1670" w:type="pct"/>
            <w:tcBorders>
              <w:left w:val="single" w:color="auto" w:sz="4" w:space="0"/>
            </w:tcBorders>
            <w:vAlign w:val="center"/>
          </w:tcPr>
          <w:p w14:paraId="68024515">
            <w:pPr>
              <w:pStyle w:val="16"/>
              <w:spacing w:line="360" w:lineRule="auto"/>
              <w:ind w:firstLine="0" w:firstLineChars="0"/>
              <w:jc w:val="center"/>
              <w:rPr>
                <w:rFonts w:hint="eastAsia" w:ascii="宋体" w:hAnsi="宋体" w:eastAsia="宋体" w:cs="宋体"/>
                <w:color w:val="auto"/>
                <w:kern w:val="2"/>
                <w:sz w:val="21"/>
                <w:szCs w:val="21"/>
                <w:highlight w:val="none"/>
              </w:rPr>
            </w:pPr>
          </w:p>
        </w:tc>
        <w:tc>
          <w:tcPr>
            <w:tcW w:w="1503" w:type="pct"/>
            <w:vAlign w:val="center"/>
          </w:tcPr>
          <w:p w14:paraId="094D4657">
            <w:pPr>
              <w:pStyle w:val="16"/>
              <w:spacing w:line="360" w:lineRule="auto"/>
              <w:ind w:firstLine="0" w:firstLineChars="0"/>
              <w:jc w:val="center"/>
              <w:rPr>
                <w:rFonts w:hint="eastAsia" w:ascii="宋体" w:hAnsi="宋体" w:eastAsia="宋体" w:cs="宋体"/>
                <w:color w:val="auto"/>
                <w:kern w:val="2"/>
                <w:sz w:val="21"/>
                <w:szCs w:val="21"/>
                <w:highlight w:val="none"/>
              </w:rPr>
            </w:pPr>
          </w:p>
        </w:tc>
        <w:tc>
          <w:tcPr>
            <w:tcW w:w="820" w:type="pct"/>
            <w:vAlign w:val="center"/>
          </w:tcPr>
          <w:p w14:paraId="7477D856">
            <w:pPr>
              <w:pStyle w:val="16"/>
              <w:spacing w:line="360" w:lineRule="auto"/>
              <w:ind w:firstLine="0" w:firstLineChars="0"/>
              <w:jc w:val="center"/>
              <w:rPr>
                <w:rFonts w:hint="eastAsia" w:ascii="宋体" w:hAnsi="宋体" w:eastAsia="宋体" w:cs="宋体"/>
                <w:color w:val="auto"/>
                <w:kern w:val="2"/>
                <w:sz w:val="21"/>
                <w:szCs w:val="21"/>
                <w:highlight w:val="none"/>
              </w:rPr>
            </w:pPr>
          </w:p>
        </w:tc>
      </w:tr>
      <w:tr w14:paraId="402352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643095F4">
            <w:pPr>
              <w:pStyle w:val="16"/>
              <w:spacing w:line="360" w:lineRule="auto"/>
              <w:ind w:firstLine="0" w:firstLineChars="0"/>
              <w:jc w:val="center"/>
              <w:rPr>
                <w:rFonts w:hint="eastAsia" w:ascii="宋体" w:hAnsi="宋体" w:eastAsia="宋体" w:cs="宋体"/>
                <w:color w:val="auto"/>
                <w:kern w:val="2"/>
                <w:sz w:val="21"/>
                <w:szCs w:val="21"/>
                <w:highlight w:val="none"/>
              </w:rPr>
            </w:pPr>
            <w:bookmarkStart w:id="144" w:name="_Toc173066410"/>
            <w:bookmarkStart w:id="145" w:name="_Toc373333698"/>
            <w:bookmarkStart w:id="146" w:name="_Toc383699915"/>
            <w:bookmarkStart w:id="147" w:name="_Toc173211909"/>
            <w:bookmarkStart w:id="148" w:name="_Toc254970738"/>
            <w:bookmarkStart w:id="149" w:name="_Toc254970597"/>
            <w:bookmarkStart w:id="150" w:name="_Toc295404990"/>
            <w:bookmarkStart w:id="151" w:name="_Toc301781620"/>
            <w:bookmarkStart w:id="152" w:name="_Toc297193194"/>
            <w:r>
              <w:rPr>
                <w:rFonts w:hint="eastAsia" w:ascii="宋体" w:hAnsi="宋体" w:eastAsia="宋体" w:cs="宋体"/>
                <w:color w:val="auto"/>
                <w:kern w:val="2"/>
                <w:sz w:val="21"/>
                <w:szCs w:val="21"/>
                <w:highlight w:val="none"/>
              </w:rPr>
              <w:t>5</w:t>
            </w:r>
            <w:bookmarkEnd w:id="144"/>
            <w:bookmarkEnd w:id="145"/>
            <w:bookmarkEnd w:id="146"/>
            <w:bookmarkEnd w:id="147"/>
            <w:bookmarkEnd w:id="148"/>
            <w:bookmarkEnd w:id="149"/>
            <w:bookmarkEnd w:id="150"/>
            <w:bookmarkEnd w:id="151"/>
            <w:bookmarkEnd w:id="152"/>
          </w:p>
        </w:tc>
        <w:tc>
          <w:tcPr>
            <w:tcW w:w="503" w:type="pct"/>
            <w:tcBorders>
              <w:right w:val="single" w:color="auto" w:sz="4" w:space="0"/>
            </w:tcBorders>
            <w:vAlign w:val="center"/>
          </w:tcPr>
          <w:p w14:paraId="70FC2794">
            <w:pPr>
              <w:pStyle w:val="16"/>
              <w:spacing w:line="360" w:lineRule="auto"/>
              <w:ind w:firstLine="0" w:firstLineChars="0"/>
              <w:jc w:val="center"/>
              <w:rPr>
                <w:rFonts w:hint="eastAsia" w:ascii="宋体" w:hAnsi="宋体" w:eastAsia="宋体" w:cs="宋体"/>
                <w:color w:val="auto"/>
                <w:kern w:val="2"/>
                <w:sz w:val="21"/>
                <w:szCs w:val="21"/>
                <w:highlight w:val="none"/>
              </w:rPr>
            </w:pPr>
          </w:p>
        </w:tc>
        <w:tc>
          <w:tcPr>
            <w:tcW w:w="1670" w:type="pct"/>
            <w:tcBorders>
              <w:left w:val="single" w:color="auto" w:sz="4" w:space="0"/>
            </w:tcBorders>
            <w:vAlign w:val="center"/>
          </w:tcPr>
          <w:p w14:paraId="5AA0F9CE">
            <w:pPr>
              <w:pStyle w:val="16"/>
              <w:spacing w:line="360" w:lineRule="auto"/>
              <w:ind w:firstLine="0" w:firstLineChars="0"/>
              <w:jc w:val="center"/>
              <w:rPr>
                <w:rFonts w:hint="eastAsia" w:ascii="宋体" w:hAnsi="宋体" w:eastAsia="宋体" w:cs="宋体"/>
                <w:color w:val="auto"/>
                <w:kern w:val="2"/>
                <w:sz w:val="21"/>
                <w:szCs w:val="21"/>
                <w:highlight w:val="none"/>
              </w:rPr>
            </w:pPr>
          </w:p>
        </w:tc>
        <w:tc>
          <w:tcPr>
            <w:tcW w:w="1503" w:type="pct"/>
            <w:vAlign w:val="center"/>
          </w:tcPr>
          <w:p w14:paraId="14714A14">
            <w:pPr>
              <w:pStyle w:val="16"/>
              <w:spacing w:line="360" w:lineRule="auto"/>
              <w:ind w:firstLine="0" w:firstLineChars="0"/>
              <w:jc w:val="center"/>
              <w:rPr>
                <w:rFonts w:hint="eastAsia" w:ascii="宋体" w:hAnsi="宋体" w:eastAsia="宋体" w:cs="宋体"/>
                <w:color w:val="auto"/>
                <w:kern w:val="2"/>
                <w:sz w:val="21"/>
                <w:szCs w:val="21"/>
                <w:highlight w:val="none"/>
              </w:rPr>
            </w:pPr>
          </w:p>
        </w:tc>
        <w:tc>
          <w:tcPr>
            <w:tcW w:w="820" w:type="pct"/>
            <w:vAlign w:val="center"/>
          </w:tcPr>
          <w:p w14:paraId="63C2E850">
            <w:pPr>
              <w:pStyle w:val="16"/>
              <w:spacing w:line="360" w:lineRule="auto"/>
              <w:ind w:firstLine="0" w:firstLineChars="0"/>
              <w:jc w:val="center"/>
              <w:rPr>
                <w:rFonts w:hint="eastAsia" w:ascii="宋体" w:hAnsi="宋体" w:eastAsia="宋体" w:cs="宋体"/>
                <w:color w:val="auto"/>
                <w:kern w:val="2"/>
                <w:sz w:val="21"/>
                <w:szCs w:val="21"/>
                <w:highlight w:val="none"/>
              </w:rPr>
            </w:pPr>
          </w:p>
        </w:tc>
      </w:tr>
      <w:tr w14:paraId="4C3AE6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vAlign w:val="center"/>
          </w:tcPr>
          <w:p w14:paraId="1CE55B47">
            <w:pPr>
              <w:pStyle w:val="16"/>
              <w:spacing w:line="360" w:lineRule="auto"/>
              <w:ind w:firstLine="0" w:firstLineChars="0"/>
              <w:jc w:val="center"/>
              <w:rPr>
                <w:rFonts w:hint="eastAsia" w:ascii="宋体" w:hAnsi="宋体" w:eastAsia="宋体" w:cs="宋体"/>
                <w:color w:val="auto"/>
                <w:kern w:val="2"/>
                <w:sz w:val="21"/>
                <w:szCs w:val="21"/>
                <w:highlight w:val="none"/>
              </w:rPr>
            </w:pPr>
            <w:bookmarkStart w:id="153" w:name="_Toc295404991"/>
            <w:bookmarkStart w:id="154" w:name="_Toc297193195"/>
            <w:bookmarkStart w:id="155" w:name="_Toc301781621"/>
            <w:bookmarkStart w:id="156" w:name="_Toc254970602"/>
            <w:bookmarkStart w:id="157" w:name="_Toc173066415"/>
            <w:bookmarkStart w:id="158" w:name="_Toc373333699"/>
            <w:bookmarkStart w:id="159" w:name="_Toc383699916"/>
            <w:bookmarkStart w:id="160" w:name="_Toc173211914"/>
            <w:bookmarkStart w:id="161" w:name="_Toc254970743"/>
            <w:r>
              <w:rPr>
                <w:rFonts w:hint="eastAsia" w:ascii="宋体" w:hAnsi="宋体" w:eastAsia="宋体" w:cs="宋体"/>
                <w:color w:val="auto"/>
                <w:kern w:val="2"/>
                <w:sz w:val="21"/>
                <w:szCs w:val="21"/>
                <w:highlight w:val="none"/>
              </w:rPr>
              <w:t>…</w:t>
            </w:r>
            <w:bookmarkEnd w:id="153"/>
            <w:bookmarkEnd w:id="154"/>
            <w:bookmarkEnd w:id="155"/>
            <w:bookmarkEnd w:id="156"/>
            <w:bookmarkEnd w:id="157"/>
            <w:bookmarkEnd w:id="158"/>
            <w:bookmarkEnd w:id="159"/>
            <w:bookmarkEnd w:id="160"/>
            <w:bookmarkEnd w:id="161"/>
          </w:p>
        </w:tc>
        <w:tc>
          <w:tcPr>
            <w:tcW w:w="503" w:type="pct"/>
            <w:tcBorders>
              <w:right w:val="single" w:color="auto" w:sz="4" w:space="0"/>
            </w:tcBorders>
            <w:vAlign w:val="center"/>
          </w:tcPr>
          <w:p w14:paraId="10FCB510">
            <w:pPr>
              <w:pStyle w:val="16"/>
              <w:spacing w:line="360" w:lineRule="auto"/>
              <w:ind w:firstLine="0" w:firstLineChars="0"/>
              <w:jc w:val="center"/>
              <w:rPr>
                <w:rFonts w:hint="eastAsia" w:ascii="宋体" w:hAnsi="宋体" w:eastAsia="宋体" w:cs="宋体"/>
                <w:color w:val="auto"/>
                <w:kern w:val="2"/>
                <w:sz w:val="21"/>
                <w:szCs w:val="21"/>
                <w:highlight w:val="none"/>
              </w:rPr>
            </w:pPr>
          </w:p>
        </w:tc>
        <w:tc>
          <w:tcPr>
            <w:tcW w:w="1670" w:type="pct"/>
            <w:tcBorders>
              <w:left w:val="single" w:color="auto" w:sz="4" w:space="0"/>
            </w:tcBorders>
            <w:vAlign w:val="center"/>
          </w:tcPr>
          <w:p w14:paraId="397AD4A3">
            <w:pPr>
              <w:pStyle w:val="16"/>
              <w:spacing w:line="360" w:lineRule="auto"/>
              <w:ind w:firstLine="0" w:firstLineChars="0"/>
              <w:jc w:val="center"/>
              <w:rPr>
                <w:rFonts w:hint="eastAsia" w:ascii="宋体" w:hAnsi="宋体" w:eastAsia="宋体" w:cs="宋体"/>
                <w:color w:val="auto"/>
                <w:kern w:val="2"/>
                <w:sz w:val="21"/>
                <w:szCs w:val="21"/>
                <w:highlight w:val="none"/>
              </w:rPr>
            </w:pPr>
          </w:p>
        </w:tc>
        <w:tc>
          <w:tcPr>
            <w:tcW w:w="1503" w:type="pct"/>
            <w:vAlign w:val="center"/>
          </w:tcPr>
          <w:p w14:paraId="3F18A3C4">
            <w:pPr>
              <w:pStyle w:val="16"/>
              <w:spacing w:line="360" w:lineRule="auto"/>
              <w:ind w:firstLine="0" w:firstLineChars="0"/>
              <w:jc w:val="center"/>
              <w:rPr>
                <w:rFonts w:hint="eastAsia" w:ascii="宋体" w:hAnsi="宋体" w:eastAsia="宋体" w:cs="宋体"/>
                <w:color w:val="auto"/>
                <w:kern w:val="2"/>
                <w:sz w:val="21"/>
                <w:szCs w:val="21"/>
                <w:highlight w:val="none"/>
              </w:rPr>
            </w:pPr>
          </w:p>
        </w:tc>
        <w:tc>
          <w:tcPr>
            <w:tcW w:w="820" w:type="pct"/>
            <w:tcBorders>
              <w:right w:val="single" w:color="auto" w:sz="4" w:space="0"/>
            </w:tcBorders>
            <w:vAlign w:val="center"/>
          </w:tcPr>
          <w:p w14:paraId="55B991FC">
            <w:pPr>
              <w:pStyle w:val="16"/>
              <w:spacing w:line="360" w:lineRule="auto"/>
              <w:ind w:firstLine="0" w:firstLineChars="0"/>
              <w:jc w:val="center"/>
              <w:rPr>
                <w:rFonts w:hint="eastAsia" w:ascii="宋体" w:hAnsi="宋体" w:eastAsia="宋体" w:cs="宋体"/>
                <w:color w:val="auto"/>
                <w:kern w:val="2"/>
                <w:sz w:val="21"/>
                <w:szCs w:val="21"/>
                <w:highlight w:val="none"/>
              </w:rPr>
            </w:pPr>
          </w:p>
        </w:tc>
      </w:tr>
    </w:tbl>
    <w:p w14:paraId="6485EB3C">
      <w:pPr>
        <w:pStyle w:val="16"/>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02C2050B">
      <w:pPr>
        <w:pStyle w:val="16"/>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1.说明：应对照磋商文件“第三章 采购需求”中的</w:t>
      </w:r>
      <w:r>
        <w:rPr>
          <w:rFonts w:hint="eastAsia" w:ascii="宋体" w:hAnsi="宋体" w:eastAsia="宋体" w:cs="宋体"/>
          <w:color w:val="auto"/>
          <w:sz w:val="21"/>
          <w:szCs w:val="21"/>
          <w:highlight w:val="none"/>
          <w:lang w:val="en-US" w:eastAsia="zh-CN"/>
        </w:rPr>
        <w:t>技术或服务要</w:t>
      </w:r>
      <w:r>
        <w:rPr>
          <w:rFonts w:hint="eastAsia" w:ascii="宋体" w:hAnsi="宋体" w:eastAsia="宋体" w:cs="宋体"/>
          <w:color w:val="auto"/>
          <w:sz w:val="21"/>
          <w:szCs w:val="21"/>
          <w:highlight w:val="none"/>
          <w:lang w:eastAsia="zh-CN"/>
        </w:rPr>
        <w:t>求</w:t>
      </w:r>
      <w:r>
        <w:rPr>
          <w:rFonts w:hint="eastAsia" w:ascii="宋体" w:hAnsi="宋体" w:eastAsia="宋体" w:cs="宋体"/>
          <w:color w:val="auto"/>
          <w:sz w:val="21"/>
          <w:szCs w:val="21"/>
          <w:highlight w:val="none"/>
        </w:rPr>
        <w:t>逐条实质性响应，并作出偏离说明。</w:t>
      </w:r>
    </w:p>
    <w:p w14:paraId="1F376D51">
      <w:pPr>
        <w:pStyle w:val="16"/>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w:t>
      </w:r>
    </w:p>
    <w:p w14:paraId="7C5DC2C4">
      <w:pPr>
        <w:pStyle w:val="19"/>
        <w:spacing w:line="360" w:lineRule="auto"/>
        <w:rPr>
          <w:rFonts w:hint="eastAsia" w:ascii="宋体" w:hAnsi="宋体" w:eastAsia="宋体" w:cs="宋体"/>
          <w:color w:val="auto"/>
          <w:sz w:val="21"/>
          <w:szCs w:val="21"/>
          <w:highlight w:val="none"/>
        </w:rPr>
      </w:pPr>
    </w:p>
    <w:p w14:paraId="5DBB301B">
      <w:pPr>
        <w:spacing w:line="360" w:lineRule="auto"/>
        <w:ind w:firstLine="6090" w:firstLineChars="29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供应商名称（电子签章）：</w:t>
      </w:r>
    </w:p>
    <w:p w14:paraId="362B434F">
      <w:pPr>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1"/>
          <w:szCs w:val="21"/>
          <w:highlight w:val="none"/>
        </w:rPr>
        <w:t xml:space="preserve">                                                   日期：  年  月   日</w:t>
      </w:r>
    </w:p>
    <w:p w14:paraId="41C845CD">
      <w:pPr>
        <w:snapToGrid w:val="0"/>
        <w:spacing w:before="156" w:beforeLines="50" w:after="50"/>
        <w:ind w:left="142"/>
        <w:jc w:val="left"/>
        <w:rPr>
          <w:rFonts w:hint="eastAsia" w:ascii="宋体" w:hAnsi="宋体" w:eastAsia="宋体" w:cs="宋体"/>
          <w:color w:val="auto"/>
          <w:sz w:val="24"/>
          <w:highlight w:val="none"/>
        </w:rPr>
      </w:pPr>
    </w:p>
    <w:p w14:paraId="665CFBE3">
      <w:pPr>
        <w:snapToGrid w:val="0"/>
        <w:spacing w:before="156" w:beforeLines="50" w:after="50"/>
        <w:ind w:left="142"/>
        <w:jc w:val="left"/>
        <w:rPr>
          <w:rFonts w:hint="eastAsia" w:ascii="宋体" w:hAnsi="宋体" w:eastAsia="宋体" w:cs="宋体"/>
          <w:color w:val="auto"/>
          <w:sz w:val="24"/>
          <w:highlight w:val="none"/>
        </w:rPr>
      </w:pPr>
    </w:p>
    <w:p w14:paraId="4A14DC63">
      <w:pPr>
        <w:jc w:val="left"/>
        <w:rPr>
          <w:rFonts w:hint="eastAsia" w:ascii="宋体" w:hAnsi="宋体" w:eastAsia="宋体" w:cs="宋体"/>
          <w:color w:val="auto"/>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0"/>
          <w:szCs w:val="30"/>
          <w:highlight w:val="none"/>
          <w:lang w:val="en-US" w:eastAsia="zh-CN"/>
        </w:rPr>
        <w:t>七</w:t>
      </w:r>
      <w:r>
        <w:rPr>
          <w:rFonts w:hint="eastAsia" w:ascii="宋体" w:hAnsi="宋体" w:eastAsia="宋体" w:cs="宋体"/>
          <w:b/>
          <w:bCs/>
          <w:color w:val="auto"/>
          <w:sz w:val="30"/>
          <w:szCs w:val="30"/>
          <w:highlight w:val="none"/>
        </w:rPr>
        <w:t>、服务方案</w:t>
      </w:r>
    </w:p>
    <w:p w14:paraId="21CF34DA">
      <w:pPr>
        <w:pStyle w:val="22"/>
        <w:rPr>
          <w:rFonts w:hint="eastAsia" w:ascii="宋体" w:hAnsi="宋体" w:eastAsia="宋体" w:cs="宋体"/>
          <w:color w:val="auto"/>
          <w:highlight w:val="none"/>
        </w:rPr>
      </w:pPr>
    </w:p>
    <w:p w14:paraId="2FBCD9BD">
      <w:pPr>
        <w:pStyle w:val="22"/>
        <w:rPr>
          <w:rFonts w:hint="eastAsia" w:ascii="宋体" w:hAnsi="宋体" w:eastAsia="宋体" w:cs="宋体"/>
          <w:color w:val="auto"/>
          <w:highlight w:val="none"/>
        </w:rPr>
      </w:pPr>
    </w:p>
    <w:p w14:paraId="1CB5E2F9">
      <w:pPr>
        <w:spacing w:line="360" w:lineRule="auto"/>
        <w:ind w:firstLine="6090" w:firstLineChars="29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供应商名称（电子签章）：</w:t>
      </w:r>
    </w:p>
    <w:p w14:paraId="39EE0407">
      <w:pPr>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日期：  年  月   日</w:t>
      </w:r>
    </w:p>
    <w:p w14:paraId="7BFE329F">
      <w:pPr>
        <w:pStyle w:val="22"/>
        <w:rPr>
          <w:rFonts w:hint="eastAsia" w:ascii="宋体" w:hAnsi="宋体" w:eastAsia="宋体" w:cs="宋体"/>
          <w:color w:val="auto"/>
          <w:highlight w:val="none"/>
        </w:rPr>
      </w:pPr>
    </w:p>
    <w:p w14:paraId="26BEC4D6">
      <w:pPr>
        <w:pStyle w:val="22"/>
        <w:rPr>
          <w:rFonts w:hint="eastAsia" w:ascii="宋体" w:hAnsi="宋体" w:eastAsia="宋体" w:cs="宋体"/>
          <w:color w:val="auto"/>
          <w:highlight w:val="none"/>
        </w:rPr>
      </w:pPr>
    </w:p>
    <w:p w14:paraId="68A5939E">
      <w:pPr>
        <w:pStyle w:val="22"/>
        <w:rPr>
          <w:rFonts w:hint="eastAsia" w:ascii="宋体" w:hAnsi="宋体" w:eastAsia="宋体" w:cs="宋体"/>
          <w:color w:val="auto"/>
          <w:highlight w:val="none"/>
        </w:rPr>
      </w:pPr>
    </w:p>
    <w:p w14:paraId="0914657F">
      <w:pPr>
        <w:pStyle w:val="22"/>
        <w:rPr>
          <w:rFonts w:hint="eastAsia" w:ascii="宋体" w:hAnsi="宋体" w:eastAsia="宋体" w:cs="宋体"/>
          <w:color w:val="auto"/>
          <w:highlight w:val="none"/>
        </w:rPr>
      </w:pPr>
    </w:p>
    <w:p w14:paraId="26EB7E3D">
      <w:pPr>
        <w:jc w:val="both"/>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八、</w:t>
      </w:r>
      <w:r>
        <w:rPr>
          <w:rFonts w:hint="eastAsia" w:ascii="宋体" w:hAnsi="宋体" w:eastAsia="宋体" w:cs="宋体"/>
          <w:b/>
          <w:bCs/>
          <w:color w:val="auto"/>
          <w:sz w:val="30"/>
          <w:szCs w:val="30"/>
          <w:highlight w:val="none"/>
        </w:rPr>
        <w:t>项目实施人员一览表</w:t>
      </w:r>
    </w:p>
    <w:p w14:paraId="584180DF">
      <w:pPr>
        <w:rPr>
          <w:rFonts w:hint="eastAsia" w:ascii="宋体" w:hAnsi="宋体" w:eastAsia="宋体" w:cs="宋体"/>
          <w:color w:val="auto"/>
          <w:highlight w:val="none"/>
        </w:rPr>
      </w:pPr>
    </w:p>
    <w:p w14:paraId="0E3B5C65">
      <w:pPr>
        <w:jc w:val="center"/>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t>项目实施人员一览表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766"/>
        <w:gridCol w:w="1837"/>
        <w:gridCol w:w="1533"/>
        <w:gridCol w:w="1833"/>
        <w:gridCol w:w="1990"/>
      </w:tblGrid>
      <w:tr w14:paraId="4C466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882" w:type="dxa"/>
            <w:vAlign w:val="center"/>
          </w:tcPr>
          <w:p w14:paraId="6E408A76">
            <w:pPr>
              <w:snapToGrid w:val="0"/>
              <w:spacing w:before="50" w:after="156" w:afterLines="50"/>
              <w:jc w:val="center"/>
              <w:rPr>
                <w:rFonts w:hint="eastAsia" w:ascii="宋体" w:hAnsi="宋体" w:eastAsia="宋体" w:cs="宋体"/>
                <w:color w:val="auto"/>
                <w:sz w:val="21"/>
                <w:szCs w:val="21"/>
                <w:highlight w:val="none"/>
              </w:rPr>
            </w:pPr>
          </w:p>
          <w:p w14:paraId="64B322F7">
            <w:pPr>
              <w:snapToGrid w:val="0"/>
              <w:spacing w:before="50" w:after="156" w:after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766" w:type="dxa"/>
            <w:vAlign w:val="center"/>
          </w:tcPr>
          <w:p w14:paraId="373F1F60">
            <w:pPr>
              <w:snapToGrid w:val="0"/>
              <w:spacing w:before="50" w:after="156" w:after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837" w:type="dxa"/>
            <w:vAlign w:val="center"/>
          </w:tcPr>
          <w:p w14:paraId="13457AF5">
            <w:pPr>
              <w:snapToGrid w:val="0"/>
              <w:spacing w:before="50" w:after="156" w:after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专业技术资格（职称）或者职业资格或者执业资格证或者其他证书</w:t>
            </w:r>
          </w:p>
        </w:tc>
        <w:tc>
          <w:tcPr>
            <w:tcW w:w="1533" w:type="dxa"/>
            <w:vAlign w:val="center"/>
          </w:tcPr>
          <w:p w14:paraId="37308908">
            <w:pPr>
              <w:snapToGrid w:val="0"/>
              <w:spacing w:before="50" w:after="156" w:after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证书编号</w:t>
            </w:r>
          </w:p>
        </w:tc>
        <w:tc>
          <w:tcPr>
            <w:tcW w:w="1833" w:type="dxa"/>
            <w:vAlign w:val="center"/>
          </w:tcPr>
          <w:p w14:paraId="200504BC">
            <w:pPr>
              <w:snapToGrid w:val="0"/>
              <w:spacing w:before="50" w:after="156" w:after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参加本单位</w:t>
            </w:r>
          </w:p>
          <w:p w14:paraId="3079EECA">
            <w:pPr>
              <w:snapToGrid w:val="0"/>
              <w:spacing w:before="50" w:after="156" w:after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工作时间</w:t>
            </w:r>
          </w:p>
        </w:tc>
        <w:tc>
          <w:tcPr>
            <w:tcW w:w="1990" w:type="dxa"/>
            <w:vAlign w:val="center"/>
          </w:tcPr>
          <w:p w14:paraId="28A23809">
            <w:pPr>
              <w:snapToGrid w:val="0"/>
              <w:spacing w:before="50" w:after="156" w:after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劳动合同编号</w:t>
            </w:r>
          </w:p>
        </w:tc>
      </w:tr>
      <w:tr w14:paraId="69B42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82" w:type="dxa"/>
            <w:vAlign w:val="center"/>
          </w:tcPr>
          <w:p w14:paraId="31763957">
            <w:pPr>
              <w:snapToGrid w:val="0"/>
              <w:spacing w:before="50" w:after="156" w:afterLines="50"/>
              <w:jc w:val="center"/>
              <w:rPr>
                <w:rFonts w:hint="eastAsia" w:ascii="宋体" w:hAnsi="宋体" w:eastAsia="宋体" w:cs="宋体"/>
                <w:color w:val="auto"/>
                <w:sz w:val="21"/>
                <w:szCs w:val="21"/>
                <w:highlight w:val="none"/>
              </w:rPr>
            </w:pPr>
          </w:p>
        </w:tc>
        <w:tc>
          <w:tcPr>
            <w:tcW w:w="766" w:type="dxa"/>
            <w:vAlign w:val="center"/>
          </w:tcPr>
          <w:p w14:paraId="738336AE">
            <w:pPr>
              <w:snapToGrid w:val="0"/>
              <w:spacing w:before="50" w:after="156" w:afterLines="50"/>
              <w:jc w:val="center"/>
              <w:rPr>
                <w:rFonts w:hint="eastAsia" w:ascii="宋体" w:hAnsi="宋体" w:eastAsia="宋体" w:cs="宋体"/>
                <w:color w:val="auto"/>
                <w:sz w:val="21"/>
                <w:szCs w:val="21"/>
                <w:highlight w:val="none"/>
              </w:rPr>
            </w:pPr>
          </w:p>
        </w:tc>
        <w:tc>
          <w:tcPr>
            <w:tcW w:w="1837" w:type="dxa"/>
            <w:vAlign w:val="center"/>
          </w:tcPr>
          <w:p w14:paraId="56DF567A">
            <w:pPr>
              <w:snapToGrid w:val="0"/>
              <w:spacing w:before="50" w:after="156" w:afterLines="50"/>
              <w:jc w:val="center"/>
              <w:rPr>
                <w:rFonts w:hint="eastAsia" w:ascii="宋体" w:hAnsi="宋体" w:eastAsia="宋体" w:cs="宋体"/>
                <w:color w:val="auto"/>
                <w:sz w:val="21"/>
                <w:szCs w:val="21"/>
                <w:highlight w:val="none"/>
              </w:rPr>
            </w:pPr>
          </w:p>
        </w:tc>
        <w:tc>
          <w:tcPr>
            <w:tcW w:w="1533" w:type="dxa"/>
            <w:vAlign w:val="center"/>
          </w:tcPr>
          <w:p w14:paraId="52CA5C1A">
            <w:pPr>
              <w:snapToGrid w:val="0"/>
              <w:spacing w:before="50" w:after="156" w:afterLines="50"/>
              <w:jc w:val="center"/>
              <w:rPr>
                <w:rFonts w:hint="eastAsia" w:ascii="宋体" w:hAnsi="宋体" w:eastAsia="宋体" w:cs="宋体"/>
                <w:color w:val="auto"/>
                <w:sz w:val="21"/>
                <w:szCs w:val="21"/>
                <w:highlight w:val="none"/>
              </w:rPr>
            </w:pPr>
          </w:p>
        </w:tc>
        <w:tc>
          <w:tcPr>
            <w:tcW w:w="1833" w:type="dxa"/>
            <w:vAlign w:val="center"/>
          </w:tcPr>
          <w:p w14:paraId="3146229E">
            <w:pPr>
              <w:snapToGrid w:val="0"/>
              <w:spacing w:before="50" w:after="156" w:afterLines="50"/>
              <w:jc w:val="center"/>
              <w:rPr>
                <w:rFonts w:hint="eastAsia" w:ascii="宋体" w:hAnsi="宋体" w:eastAsia="宋体" w:cs="宋体"/>
                <w:color w:val="auto"/>
                <w:sz w:val="21"/>
                <w:szCs w:val="21"/>
                <w:highlight w:val="none"/>
              </w:rPr>
            </w:pPr>
          </w:p>
        </w:tc>
        <w:tc>
          <w:tcPr>
            <w:tcW w:w="1990" w:type="dxa"/>
            <w:vAlign w:val="center"/>
          </w:tcPr>
          <w:p w14:paraId="6638FF32">
            <w:pPr>
              <w:snapToGrid w:val="0"/>
              <w:spacing w:before="50" w:after="156" w:afterLines="50"/>
              <w:jc w:val="center"/>
              <w:rPr>
                <w:rFonts w:hint="eastAsia" w:ascii="宋体" w:hAnsi="宋体" w:eastAsia="宋体" w:cs="宋体"/>
                <w:color w:val="auto"/>
                <w:sz w:val="21"/>
                <w:szCs w:val="21"/>
                <w:highlight w:val="none"/>
              </w:rPr>
            </w:pPr>
          </w:p>
        </w:tc>
      </w:tr>
      <w:tr w14:paraId="3DD6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82" w:type="dxa"/>
            <w:vAlign w:val="center"/>
          </w:tcPr>
          <w:p w14:paraId="789727A8">
            <w:pPr>
              <w:snapToGrid w:val="0"/>
              <w:spacing w:before="50" w:after="156" w:afterLines="50"/>
              <w:jc w:val="center"/>
              <w:rPr>
                <w:rFonts w:hint="eastAsia" w:ascii="宋体" w:hAnsi="宋体" w:eastAsia="宋体" w:cs="宋体"/>
                <w:color w:val="auto"/>
                <w:sz w:val="21"/>
                <w:szCs w:val="21"/>
                <w:highlight w:val="none"/>
              </w:rPr>
            </w:pPr>
          </w:p>
        </w:tc>
        <w:tc>
          <w:tcPr>
            <w:tcW w:w="766" w:type="dxa"/>
            <w:vAlign w:val="center"/>
          </w:tcPr>
          <w:p w14:paraId="1D684BC2">
            <w:pPr>
              <w:snapToGrid w:val="0"/>
              <w:spacing w:before="50" w:after="156" w:afterLines="50"/>
              <w:jc w:val="center"/>
              <w:rPr>
                <w:rFonts w:hint="eastAsia" w:ascii="宋体" w:hAnsi="宋体" w:eastAsia="宋体" w:cs="宋体"/>
                <w:color w:val="auto"/>
                <w:sz w:val="21"/>
                <w:szCs w:val="21"/>
                <w:highlight w:val="none"/>
              </w:rPr>
            </w:pPr>
          </w:p>
        </w:tc>
        <w:tc>
          <w:tcPr>
            <w:tcW w:w="1837" w:type="dxa"/>
            <w:vAlign w:val="center"/>
          </w:tcPr>
          <w:p w14:paraId="3463E07A">
            <w:pPr>
              <w:snapToGrid w:val="0"/>
              <w:spacing w:before="50" w:after="156" w:afterLines="50"/>
              <w:jc w:val="center"/>
              <w:rPr>
                <w:rFonts w:hint="eastAsia" w:ascii="宋体" w:hAnsi="宋体" w:eastAsia="宋体" w:cs="宋体"/>
                <w:color w:val="auto"/>
                <w:sz w:val="21"/>
                <w:szCs w:val="21"/>
                <w:highlight w:val="none"/>
              </w:rPr>
            </w:pPr>
          </w:p>
        </w:tc>
        <w:tc>
          <w:tcPr>
            <w:tcW w:w="1533" w:type="dxa"/>
            <w:vAlign w:val="center"/>
          </w:tcPr>
          <w:p w14:paraId="19620215">
            <w:pPr>
              <w:snapToGrid w:val="0"/>
              <w:spacing w:before="50" w:after="156" w:afterLines="50"/>
              <w:jc w:val="center"/>
              <w:rPr>
                <w:rFonts w:hint="eastAsia" w:ascii="宋体" w:hAnsi="宋体" w:eastAsia="宋体" w:cs="宋体"/>
                <w:color w:val="auto"/>
                <w:sz w:val="21"/>
                <w:szCs w:val="21"/>
                <w:highlight w:val="none"/>
              </w:rPr>
            </w:pPr>
          </w:p>
        </w:tc>
        <w:tc>
          <w:tcPr>
            <w:tcW w:w="1833" w:type="dxa"/>
            <w:vAlign w:val="center"/>
          </w:tcPr>
          <w:p w14:paraId="06CA3BD2">
            <w:pPr>
              <w:snapToGrid w:val="0"/>
              <w:spacing w:before="50" w:after="156" w:afterLines="50"/>
              <w:jc w:val="center"/>
              <w:rPr>
                <w:rFonts w:hint="eastAsia" w:ascii="宋体" w:hAnsi="宋体" w:eastAsia="宋体" w:cs="宋体"/>
                <w:color w:val="auto"/>
                <w:sz w:val="21"/>
                <w:szCs w:val="21"/>
                <w:highlight w:val="none"/>
              </w:rPr>
            </w:pPr>
          </w:p>
        </w:tc>
        <w:tc>
          <w:tcPr>
            <w:tcW w:w="1990" w:type="dxa"/>
            <w:vAlign w:val="center"/>
          </w:tcPr>
          <w:p w14:paraId="18E6A76A">
            <w:pPr>
              <w:snapToGrid w:val="0"/>
              <w:spacing w:before="50" w:after="156" w:afterLines="50"/>
              <w:jc w:val="center"/>
              <w:rPr>
                <w:rFonts w:hint="eastAsia" w:ascii="宋体" w:hAnsi="宋体" w:eastAsia="宋体" w:cs="宋体"/>
                <w:color w:val="auto"/>
                <w:sz w:val="21"/>
                <w:szCs w:val="21"/>
                <w:highlight w:val="none"/>
              </w:rPr>
            </w:pPr>
          </w:p>
        </w:tc>
      </w:tr>
      <w:tr w14:paraId="2697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82" w:type="dxa"/>
            <w:vAlign w:val="center"/>
          </w:tcPr>
          <w:p w14:paraId="5C706BCC">
            <w:pPr>
              <w:snapToGrid w:val="0"/>
              <w:spacing w:before="50" w:after="156" w:afterLines="50"/>
              <w:jc w:val="center"/>
              <w:rPr>
                <w:rFonts w:hint="eastAsia" w:ascii="宋体" w:hAnsi="宋体" w:eastAsia="宋体" w:cs="宋体"/>
                <w:color w:val="auto"/>
                <w:sz w:val="21"/>
                <w:szCs w:val="21"/>
                <w:highlight w:val="none"/>
              </w:rPr>
            </w:pPr>
          </w:p>
        </w:tc>
        <w:tc>
          <w:tcPr>
            <w:tcW w:w="766" w:type="dxa"/>
            <w:vAlign w:val="center"/>
          </w:tcPr>
          <w:p w14:paraId="6682651A">
            <w:pPr>
              <w:snapToGrid w:val="0"/>
              <w:spacing w:before="50" w:after="156" w:afterLines="50"/>
              <w:jc w:val="center"/>
              <w:rPr>
                <w:rFonts w:hint="eastAsia" w:ascii="宋体" w:hAnsi="宋体" w:eastAsia="宋体" w:cs="宋体"/>
                <w:color w:val="auto"/>
                <w:sz w:val="21"/>
                <w:szCs w:val="21"/>
                <w:highlight w:val="none"/>
              </w:rPr>
            </w:pPr>
          </w:p>
        </w:tc>
        <w:tc>
          <w:tcPr>
            <w:tcW w:w="1837" w:type="dxa"/>
            <w:vAlign w:val="center"/>
          </w:tcPr>
          <w:p w14:paraId="3FF94F00">
            <w:pPr>
              <w:snapToGrid w:val="0"/>
              <w:spacing w:before="50" w:after="156" w:afterLines="50"/>
              <w:jc w:val="center"/>
              <w:rPr>
                <w:rFonts w:hint="eastAsia" w:ascii="宋体" w:hAnsi="宋体" w:eastAsia="宋体" w:cs="宋体"/>
                <w:color w:val="auto"/>
                <w:sz w:val="21"/>
                <w:szCs w:val="21"/>
                <w:highlight w:val="none"/>
              </w:rPr>
            </w:pPr>
          </w:p>
        </w:tc>
        <w:tc>
          <w:tcPr>
            <w:tcW w:w="1533" w:type="dxa"/>
            <w:vAlign w:val="center"/>
          </w:tcPr>
          <w:p w14:paraId="28C768A1">
            <w:pPr>
              <w:snapToGrid w:val="0"/>
              <w:spacing w:before="50" w:after="156" w:afterLines="50"/>
              <w:jc w:val="center"/>
              <w:rPr>
                <w:rFonts w:hint="eastAsia" w:ascii="宋体" w:hAnsi="宋体" w:eastAsia="宋体" w:cs="宋体"/>
                <w:color w:val="auto"/>
                <w:sz w:val="21"/>
                <w:szCs w:val="21"/>
                <w:highlight w:val="none"/>
              </w:rPr>
            </w:pPr>
          </w:p>
        </w:tc>
        <w:tc>
          <w:tcPr>
            <w:tcW w:w="1833" w:type="dxa"/>
            <w:vAlign w:val="center"/>
          </w:tcPr>
          <w:p w14:paraId="213648DD">
            <w:pPr>
              <w:snapToGrid w:val="0"/>
              <w:spacing w:before="50" w:after="156" w:afterLines="50"/>
              <w:jc w:val="center"/>
              <w:rPr>
                <w:rFonts w:hint="eastAsia" w:ascii="宋体" w:hAnsi="宋体" w:eastAsia="宋体" w:cs="宋体"/>
                <w:color w:val="auto"/>
                <w:sz w:val="21"/>
                <w:szCs w:val="21"/>
                <w:highlight w:val="none"/>
              </w:rPr>
            </w:pPr>
          </w:p>
        </w:tc>
        <w:tc>
          <w:tcPr>
            <w:tcW w:w="1990" w:type="dxa"/>
            <w:vAlign w:val="center"/>
          </w:tcPr>
          <w:p w14:paraId="3B3A1882">
            <w:pPr>
              <w:snapToGrid w:val="0"/>
              <w:spacing w:before="50" w:after="156" w:afterLines="50"/>
              <w:jc w:val="center"/>
              <w:rPr>
                <w:rFonts w:hint="eastAsia" w:ascii="宋体" w:hAnsi="宋体" w:eastAsia="宋体" w:cs="宋体"/>
                <w:color w:val="auto"/>
                <w:sz w:val="21"/>
                <w:szCs w:val="21"/>
                <w:highlight w:val="none"/>
              </w:rPr>
            </w:pPr>
          </w:p>
        </w:tc>
      </w:tr>
    </w:tbl>
    <w:p w14:paraId="1DAB01BF">
      <w:pPr>
        <w:snapToGrid w:val="0"/>
        <w:spacing w:before="50" w:after="156" w:afterLines="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注：在填写时，如本表格不适合供应商的实际情况，可根据本表格式自行制表填写。</w:t>
      </w:r>
    </w:p>
    <w:p w14:paraId="4399CDCB">
      <w:pPr>
        <w:spacing w:line="360" w:lineRule="auto"/>
        <w:ind w:firstLine="3360" w:firstLineChars="1600"/>
        <w:rPr>
          <w:rFonts w:hint="eastAsia" w:ascii="宋体" w:hAnsi="宋体" w:eastAsia="宋体" w:cs="宋体"/>
          <w:color w:val="auto"/>
          <w:kern w:val="0"/>
          <w:sz w:val="21"/>
          <w:szCs w:val="21"/>
          <w:highlight w:val="none"/>
        </w:rPr>
      </w:pPr>
    </w:p>
    <w:p w14:paraId="4A54AF16">
      <w:pPr>
        <w:spacing w:line="360" w:lineRule="auto"/>
        <w:ind w:firstLine="6090" w:firstLineChars="29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供应商名称（电子签章）：</w:t>
      </w:r>
    </w:p>
    <w:p w14:paraId="6F849A68">
      <w:pPr>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日期：  年  月   日</w:t>
      </w:r>
    </w:p>
    <w:p w14:paraId="2D8E3A63">
      <w:pPr>
        <w:pStyle w:val="28"/>
        <w:ind w:firstLine="210"/>
        <w:rPr>
          <w:rFonts w:hint="eastAsia" w:ascii="宋体" w:hAnsi="宋体" w:eastAsia="宋体" w:cs="宋体"/>
          <w:color w:val="auto"/>
          <w:highlight w:val="none"/>
        </w:rPr>
      </w:pPr>
    </w:p>
    <w:p w14:paraId="61C55AFE">
      <w:pPr>
        <w:pStyle w:val="22"/>
        <w:rPr>
          <w:rFonts w:hint="eastAsia" w:ascii="宋体" w:hAnsi="宋体" w:eastAsia="宋体" w:cs="宋体"/>
          <w:color w:val="auto"/>
          <w:highlight w:val="none"/>
        </w:rPr>
      </w:pPr>
    </w:p>
    <w:p w14:paraId="0AD70B52">
      <w:pPr>
        <w:pStyle w:val="22"/>
        <w:rPr>
          <w:rFonts w:hint="eastAsia" w:ascii="宋体" w:hAnsi="宋体" w:eastAsia="宋体" w:cs="宋体"/>
          <w:color w:val="auto"/>
          <w:highlight w:val="none"/>
        </w:rPr>
      </w:pPr>
    </w:p>
    <w:p w14:paraId="6002C5AC">
      <w:pPr>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九</w:t>
      </w:r>
      <w:r>
        <w:rPr>
          <w:rFonts w:hint="eastAsia" w:ascii="宋体" w:hAnsi="宋体" w:eastAsia="宋体" w:cs="宋体"/>
          <w:b/>
          <w:bCs/>
          <w:color w:val="auto"/>
          <w:sz w:val="30"/>
          <w:szCs w:val="30"/>
          <w:highlight w:val="none"/>
        </w:rPr>
        <w:t>、供应商认为需要提供的其他有关资料</w:t>
      </w:r>
    </w:p>
    <w:p w14:paraId="7CD4C694">
      <w:pPr>
        <w:spacing w:line="360" w:lineRule="auto"/>
        <w:ind w:firstLine="5760" w:firstLineChars="1600"/>
        <w:rPr>
          <w:rFonts w:hint="eastAsia" w:ascii="宋体" w:hAnsi="宋体" w:eastAsia="宋体" w:cs="宋体"/>
          <w:color w:val="auto"/>
          <w:sz w:val="36"/>
          <w:szCs w:val="36"/>
          <w:highlight w:val="none"/>
        </w:rPr>
      </w:pPr>
    </w:p>
    <w:p w14:paraId="3962B948">
      <w:pPr>
        <w:spacing w:line="360" w:lineRule="auto"/>
        <w:ind w:firstLine="6090" w:firstLineChars="29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供应商名称（电子签章）：</w:t>
      </w:r>
    </w:p>
    <w:p w14:paraId="7BDE58E5">
      <w:pPr>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日期：  年  月   日</w:t>
      </w:r>
    </w:p>
    <w:p w14:paraId="06B1554F">
      <w:pPr>
        <w:pStyle w:val="3"/>
        <w:rPr>
          <w:rFonts w:hint="eastAsia" w:ascii="宋体" w:hAnsi="宋体" w:eastAsia="宋体" w:cs="宋体"/>
          <w:color w:val="auto"/>
          <w:sz w:val="30"/>
          <w:szCs w:val="30"/>
          <w:highlight w:val="none"/>
        </w:rPr>
      </w:pPr>
      <w:r>
        <w:rPr>
          <w:rFonts w:hint="eastAsia" w:ascii="宋体" w:hAnsi="宋体" w:eastAsia="宋体" w:cs="宋体"/>
          <w:color w:val="auto"/>
          <w:highlight w:val="none"/>
        </w:rPr>
        <w:br w:type="page"/>
      </w:r>
      <w:bookmarkStart w:id="162" w:name="_Toc17854"/>
      <w:r>
        <w:rPr>
          <w:rFonts w:hint="eastAsia" w:ascii="宋体" w:hAnsi="宋体" w:eastAsia="宋体" w:cs="宋体"/>
          <w:color w:val="auto"/>
          <w:sz w:val="30"/>
          <w:szCs w:val="30"/>
          <w:highlight w:val="none"/>
        </w:rPr>
        <w:t>三、报价文件格式</w:t>
      </w:r>
      <w:bookmarkEnd w:id="162"/>
    </w:p>
    <w:p w14:paraId="2DBD3942">
      <w:pPr>
        <w:snapToGrid w:val="0"/>
        <w:spacing w:before="156" w:beforeLines="50" w:after="50"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30"/>
          <w:szCs w:val="30"/>
          <w:highlight w:val="none"/>
        </w:rPr>
        <w:t>1.报价文件封面格式：</w:t>
      </w:r>
      <w:r>
        <w:rPr>
          <w:rFonts w:hint="eastAsia" w:ascii="宋体" w:hAnsi="宋体" w:eastAsia="宋体" w:cs="宋体"/>
          <w:b/>
          <w:color w:val="auto"/>
          <w:sz w:val="24"/>
          <w:highlight w:val="none"/>
        </w:rPr>
        <w:t xml:space="preserve"> </w:t>
      </w:r>
    </w:p>
    <w:p w14:paraId="69CD2678">
      <w:pPr>
        <w:snapToGrid w:val="0"/>
        <w:spacing w:before="156"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电子响应文件</w:t>
      </w:r>
    </w:p>
    <w:p w14:paraId="36EE7365">
      <w:pPr>
        <w:snapToGrid w:val="0"/>
        <w:spacing w:before="156" w:beforeLines="50" w:after="50"/>
        <w:rPr>
          <w:rFonts w:hint="eastAsia" w:ascii="宋体" w:hAnsi="宋体" w:eastAsia="宋体" w:cs="宋体"/>
          <w:color w:val="auto"/>
          <w:sz w:val="24"/>
          <w:szCs w:val="20"/>
          <w:highlight w:val="none"/>
        </w:rPr>
      </w:pPr>
    </w:p>
    <w:p w14:paraId="357DA00D">
      <w:pPr>
        <w:snapToGrid w:val="0"/>
        <w:spacing w:before="156" w:beforeLines="50" w:after="50"/>
        <w:rPr>
          <w:rFonts w:hint="eastAsia" w:ascii="宋体" w:hAnsi="宋体" w:eastAsia="宋体" w:cs="宋体"/>
          <w:color w:val="auto"/>
          <w:sz w:val="24"/>
          <w:szCs w:val="20"/>
          <w:highlight w:val="none"/>
        </w:rPr>
      </w:pPr>
    </w:p>
    <w:p w14:paraId="6B97392E">
      <w:pPr>
        <w:snapToGrid w:val="0"/>
        <w:spacing w:before="156"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w:t>
      </w:r>
    </w:p>
    <w:p w14:paraId="72E33E7F">
      <w:pPr>
        <w:snapToGrid w:val="0"/>
        <w:spacing w:before="156" w:beforeLines="50" w:after="50"/>
        <w:rPr>
          <w:rFonts w:hint="eastAsia" w:ascii="宋体" w:hAnsi="宋体" w:eastAsia="宋体" w:cs="宋体"/>
          <w:bCs/>
          <w:color w:val="auto"/>
          <w:sz w:val="24"/>
          <w:szCs w:val="20"/>
          <w:highlight w:val="none"/>
        </w:rPr>
      </w:pPr>
    </w:p>
    <w:p w14:paraId="6E99C36C">
      <w:pPr>
        <w:snapToGrid w:val="0"/>
        <w:spacing w:before="156" w:beforeLines="50" w:after="50"/>
        <w:rPr>
          <w:rFonts w:hint="eastAsia" w:ascii="宋体" w:hAnsi="宋体" w:eastAsia="宋体" w:cs="宋体"/>
          <w:bCs/>
          <w:color w:val="auto"/>
          <w:sz w:val="24"/>
          <w:szCs w:val="20"/>
          <w:highlight w:val="none"/>
        </w:rPr>
      </w:pPr>
    </w:p>
    <w:p w14:paraId="74C91430">
      <w:pPr>
        <w:snapToGrid w:val="0"/>
        <w:spacing w:before="156" w:beforeLines="50" w:after="50"/>
        <w:rPr>
          <w:rFonts w:hint="eastAsia" w:ascii="宋体" w:hAnsi="宋体" w:eastAsia="宋体" w:cs="宋体"/>
          <w:bCs/>
          <w:color w:val="auto"/>
          <w:sz w:val="24"/>
          <w:szCs w:val="20"/>
          <w:highlight w:val="none"/>
        </w:rPr>
      </w:pPr>
    </w:p>
    <w:p w14:paraId="201565EF">
      <w:pPr>
        <w:snapToGrid w:val="0"/>
        <w:spacing w:before="156" w:beforeLines="50" w:after="50"/>
        <w:rPr>
          <w:rFonts w:hint="eastAsia" w:ascii="宋体" w:hAnsi="宋体" w:eastAsia="宋体" w:cs="宋体"/>
          <w:bCs/>
          <w:color w:val="auto"/>
          <w:sz w:val="24"/>
          <w:szCs w:val="20"/>
          <w:highlight w:val="none"/>
        </w:rPr>
      </w:pPr>
    </w:p>
    <w:p w14:paraId="51BDB2A1">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569F507F">
      <w:pPr>
        <w:snapToGrid w:val="0"/>
        <w:spacing w:before="156" w:beforeLines="50" w:after="50"/>
        <w:ind w:firstLine="720" w:firstLineChars="225"/>
        <w:rPr>
          <w:rFonts w:hint="eastAsia" w:ascii="宋体" w:hAnsi="宋体" w:eastAsia="宋体" w:cs="宋体"/>
          <w:bCs/>
          <w:color w:val="auto"/>
          <w:sz w:val="32"/>
          <w:szCs w:val="32"/>
          <w:highlight w:val="none"/>
        </w:rPr>
      </w:pPr>
    </w:p>
    <w:p w14:paraId="264E16F0">
      <w:pPr>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6A5024E5">
      <w:pPr>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7729010">
      <w:pPr>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5F5700F">
      <w:pPr>
        <w:snapToGrid w:val="0"/>
        <w:spacing w:before="156" w:beforeLines="50" w:after="50"/>
        <w:ind w:firstLine="720" w:firstLineChars="225"/>
        <w:rPr>
          <w:rFonts w:hint="eastAsia" w:ascii="宋体" w:hAnsi="宋体" w:eastAsia="宋体" w:cs="宋体"/>
          <w:bCs/>
          <w:color w:val="auto"/>
          <w:sz w:val="32"/>
          <w:szCs w:val="32"/>
          <w:highlight w:val="none"/>
        </w:rPr>
      </w:pPr>
    </w:p>
    <w:p w14:paraId="3D65ED7B">
      <w:pPr>
        <w:pStyle w:val="9"/>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109CD1B">
      <w:pPr>
        <w:pStyle w:val="9"/>
        <w:snapToGrid w:val="0"/>
        <w:spacing w:before="50" w:after="50"/>
        <w:ind w:firstLine="1280" w:firstLineChars="400"/>
        <w:rPr>
          <w:rFonts w:hint="eastAsia" w:ascii="宋体" w:hAnsi="宋体" w:eastAsia="宋体" w:cs="宋体"/>
          <w:bCs/>
          <w:color w:val="auto"/>
          <w:sz w:val="32"/>
          <w:szCs w:val="32"/>
          <w:highlight w:val="none"/>
        </w:rPr>
      </w:pPr>
    </w:p>
    <w:p w14:paraId="0578AC49">
      <w:pPr>
        <w:snapToGrid w:val="0"/>
        <w:spacing w:before="156"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CFC22D7">
      <w:pPr>
        <w:keepNext w:val="0"/>
        <w:keepLines w:val="0"/>
        <w:pageBreakBefore w:val="0"/>
        <w:widowControl w:val="0"/>
        <w:kinsoku/>
        <w:wordWrap/>
        <w:overflowPunct/>
        <w:topLinePunct w:val="0"/>
        <w:autoSpaceDE/>
        <w:autoSpaceDN/>
        <w:bidi w:val="0"/>
        <w:adjustRightInd/>
        <w:snapToGrid w:val="0"/>
        <w:spacing w:line="500" w:lineRule="exact"/>
        <w:ind w:left="142"/>
        <w:jc w:val="left"/>
        <w:textAlignment w:val="auto"/>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0"/>
          <w:szCs w:val="30"/>
          <w:highlight w:val="none"/>
        </w:rPr>
        <w:t>2.报价文件目录</w:t>
      </w:r>
    </w:p>
    <w:p w14:paraId="2DAE4133">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w:t>
      </w:r>
      <w:r>
        <w:rPr>
          <w:rFonts w:hint="eastAsia" w:ascii="宋体" w:hAnsi="宋体" w:eastAsia="宋体" w:cs="宋体"/>
          <w:color w:val="auto"/>
          <w:sz w:val="21"/>
          <w:szCs w:val="21"/>
          <w:highlight w:val="none"/>
        </w:rPr>
        <w:t>响应函</w:t>
      </w:r>
      <w:r>
        <w:rPr>
          <w:rFonts w:hint="eastAsia" w:ascii="宋体" w:hAnsi="宋体" w:eastAsia="宋体" w:cs="宋体"/>
          <w:color w:val="auto"/>
          <w:kern w:val="0"/>
          <w:sz w:val="21"/>
          <w:szCs w:val="21"/>
          <w:highlight w:val="none"/>
        </w:rPr>
        <w:t>………………………………………………………………………………（页码）</w:t>
      </w:r>
    </w:p>
    <w:p w14:paraId="67E5E411">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二、响应报价表…………………………………………………………………………（页码）</w:t>
      </w:r>
    </w:p>
    <w:p w14:paraId="37A883A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三、中小企业声明函或者残疾人福利性单位声明函或者供应商属于监狱企业的证明材料</w:t>
      </w:r>
      <w:r>
        <w:rPr>
          <w:rFonts w:hint="eastAsia" w:ascii="宋体" w:hAnsi="宋体" w:eastAsia="宋体" w:cs="宋体"/>
          <w:color w:val="auto"/>
          <w:kern w:val="0"/>
          <w:sz w:val="21"/>
          <w:szCs w:val="21"/>
          <w:highlight w:val="none"/>
        </w:rPr>
        <w:t>…………………………………………………………………………………………（页码）</w:t>
      </w:r>
    </w:p>
    <w:p w14:paraId="1098D058">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p>
    <w:p w14:paraId="3B727338">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注：以上目录是编制供应商响应文件的基本格式要求，各供应商可根据自身情况进一步细化</w:t>
      </w:r>
      <w:r>
        <w:rPr>
          <w:rFonts w:hint="eastAsia" w:ascii="宋体" w:hAnsi="宋体" w:eastAsia="宋体" w:cs="宋体"/>
          <w:color w:val="auto"/>
          <w:sz w:val="21"/>
          <w:szCs w:val="21"/>
          <w:highlight w:val="none"/>
        </w:rPr>
        <w:t>。</w:t>
      </w:r>
    </w:p>
    <w:p w14:paraId="30177434">
      <w:pPr>
        <w:pStyle w:val="22"/>
        <w:rPr>
          <w:rFonts w:hint="eastAsia" w:ascii="宋体" w:hAnsi="宋体" w:eastAsia="宋体" w:cs="宋体"/>
          <w:color w:val="auto"/>
          <w:highlight w:val="none"/>
        </w:rPr>
      </w:pPr>
    </w:p>
    <w:p w14:paraId="1BB7B61D">
      <w:pPr>
        <w:spacing w:line="520" w:lineRule="exact"/>
        <w:jc w:val="both"/>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30"/>
          <w:szCs w:val="30"/>
          <w:highlight w:val="none"/>
        </w:rPr>
        <w:t>一、响应函</w:t>
      </w:r>
    </w:p>
    <w:p w14:paraId="3A586942">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t>响应函</w:t>
      </w:r>
    </w:p>
    <w:p w14:paraId="69B6CFEE">
      <w:pPr>
        <w:pStyle w:val="19"/>
        <w:keepNext w:val="0"/>
        <w:keepLines w:val="0"/>
        <w:pageBreakBefore w:val="0"/>
        <w:widowControl w:val="0"/>
        <w:kinsoku/>
        <w:wordWrap/>
        <w:overflowPunct/>
        <w:topLinePunct w:val="0"/>
        <w:bidi w:val="0"/>
        <w:adjustRightInd/>
        <w:snapToGrid/>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（采购人名称）</w:t>
      </w:r>
    </w:p>
    <w:p w14:paraId="756AE8D5">
      <w:pPr>
        <w:pStyle w:val="19"/>
        <w:keepNext w:val="0"/>
        <w:keepLines w:val="0"/>
        <w:pageBreakBefore w:val="0"/>
        <w:widowControl w:val="0"/>
        <w:kinsoku/>
        <w:wordWrap/>
        <w:overflowPunct/>
        <w:topLinePunct w:val="0"/>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我方已仔细阅读了贵方组织的</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项目（项目编号：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）的竞争性磋商文件的全部内容，现正式递交下述文件参加贵方组织的本次政府采购活动：</w:t>
      </w:r>
      <w:r>
        <w:rPr>
          <w:rFonts w:hint="eastAsia" w:ascii="宋体" w:hAnsi="宋体" w:eastAsia="宋体" w:cs="宋体"/>
          <w:color w:val="auto"/>
          <w:sz w:val="21"/>
          <w:szCs w:val="21"/>
          <w:highlight w:val="none"/>
        </w:rPr>
        <w:t xml:space="preserve"> </w:t>
      </w:r>
    </w:p>
    <w:p w14:paraId="73C4C056">
      <w:pPr>
        <w:pStyle w:val="19"/>
        <w:keepNext w:val="0"/>
        <w:keepLines w:val="0"/>
        <w:pageBreakBefore w:val="0"/>
        <w:widowControl w:val="0"/>
        <w:kinsoku/>
        <w:wordWrap/>
        <w:overflowPunct/>
        <w:topLinePunct w:val="0"/>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w:t>
      </w:r>
      <w:r>
        <w:rPr>
          <w:rFonts w:hint="eastAsia" w:ascii="宋体" w:hAnsi="宋体" w:eastAsia="宋体" w:cs="宋体"/>
          <w:color w:val="auto"/>
          <w:sz w:val="21"/>
          <w:szCs w:val="21"/>
          <w:highlight w:val="none"/>
          <w:lang w:val="en-US" w:eastAsia="zh-CN"/>
        </w:rPr>
        <w:t>证明</w:t>
      </w:r>
      <w:r>
        <w:rPr>
          <w:rFonts w:hint="eastAsia" w:ascii="宋体" w:hAnsi="宋体" w:eastAsia="宋体" w:cs="宋体"/>
          <w:color w:val="auto"/>
          <w:sz w:val="21"/>
          <w:szCs w:val="21"/>
          <w:highlight w:val="none"/>
        </w:rPr>
        <w:t>文件电子版一份（包含按供应商须知前附表要求提交的全部文件）；</w:t>
      </w:r>
    </w:p>
    <w:p w14:paraId="26033215">
      <w:pPr>
        <w:pStyle w:val="19"/>
        <w:keepNext w:val="0"/>
        <w:keepLines w:val="0"/>
        <w:pageBreakBefore w:val="0"/>
        <w:widowControl w:val="0"/>
        <w:kinsoku/>
        <w:wordWrap/>
        <w:overflowPunct/>
        <w:topLinePunct w:val="0"/>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二、商务技术文件电子版一份（包含按供应商须知前附表要求提交的全部文件）；</w:t>
      </w:r>
    </w:p>
    <w:p w14:paraId="44F63243">
      <w:pPr>
        <w:pStyle w:val="19"/>
        <w:keepNext w:val="0"/>
        <w:keepLines w:val="0"/>
        <w:pageBreakBefore w:val="0"/>
        <w:widowControl w:val="0"/>
        <w:kinsoku/>
        <w:wordWrap/>
        <w:overflowPunct/>
        <w:topLinePunct w:val="0"/>
        <w:bidi w:val="0"/>
        <w:adjustRightInd/>
        <w:snapToGrid/>
        <w:spacing w:line="48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val="en-US" w:eastAsia="zh-CN"/>
        </w:rPr>
        <w:t>首次</w:t>
      </w:r>
      <w:r>
        <w:rPr>
          <w:rFonts w:hint="eastAsia" w:ascii="宋体" w:hAnsi="宋体" w:eastAsia="宋体" w:cs="宋体"/>
          <w:color w:val="auto"/>
          <w:sz w:val="21"/>
          <w:szCs w:val="21"/>
          <w:highlight w:val="none"/>
        </w:rPr>
        <w:t>报价文件电子版一份（包含按供应商须知前附表要求提交的全部文件）</w:t>
      </w:r>
      <w:r>
        <w:rPr>
          <w:rFonts w:hint="eastAsia" w:ascii="宋体" w:hAnsi="宋体" w:eastAsia="宋体" w:cs="宋体"/>
          <w:color w:val="auto"/>
          <w:sz w:val="21"/>
          <w:szCs w:val="21"/>
          <w:highlight w:val="none"/>
          <w:lang w:eastAsia="zh-CN"/>
        </w:rPr>
        <w:t>。</w:t>
      </w:r>
    </w:p>
    <w:p w14:paraId="674BF9B4">
      <w:pPr>
        <w:pStyle w:val="19"/>
        <w:keepNext w:val="0"/>
        <w:keepLines w:val="0"/>
        <w:pageBreakBefore w:val="0"/>
        <w:widowControl w:val="0"/>
        <w:kinsoku/>
        <w:wordWrap/>
        <w:overflowPunct/>
        <w:topLinePunct w:val="0"/>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293B6ED9">
      <w:pPr>
        <w:pStyle w:val="19"/>
        <w:keepNext w:val="0"/>
        <w:keepLines w:val="0"/>
        <w:pageBreakBefore w:val="0"/>
        <w:widowControl w:val="0"/>
        <w:kinsoku/>
        <w:wordWrap/>
        <w:overflowPunct/>
        <w:topLinePunct w:val="0"/>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kern w:val="0"/>
          <w:sz w:val="21"/>
          <w:szCs w:val="21"/>
          <w:highlight w:val="none"/>
        </w:rPr>
        <w:t>我方愿意以</w:t>
      </w:r>
      <w:r>
        <w:rPr>
          <w:rFonts w:hint="eastAsia" w:hAnsi="宋体" w:cs="宋体"/>
          <w:color w:val="auto"/>
          <w:kern w:val="0"/>
          <w:sz w:val="21"/>
          <w:szCs w:val="21"/>
          <w:highlight w:val="none"/>
          <w:lang w:val="en-US" w:eastAsia="zh-CN"/>
        </w:rPr>
        <w:t>折扣率</w:t>
      </w:r>
      <w:r>
        <w:rPr>
          <w:rFonts w:hint="eastAsia"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的</w:t>
      </w:r>
      <w:r>
        <w:rPr>
          <w:rFonts w:hint="eastAsia" w:ascii="宋体" w:hAnsi="宋体" w:cs="宋体"/>
          <w:color w:val="auto"/>
          <w:kern w:val="0"/>
          <w:sz w:val="21"/>
          <w:szCs w:val="21"/>
          <w:highlight w:val="none"/>
        </w:rPr>
        <w:t>报价，</w:t>
      </w:r>
      <w:r>
        <w:rPr>
          <w:rFonts w:hint="eastAsia" w:ascii="宋体" w:hAnsi="宋体" w:cs="宋体"/>
          <w:color w:val="auto"/>
          <w:sz w:val="21"/>
          <w:szCs w:val="21"/>
          <w:highlight w:val="none"/>
        </w:rPr>
        <w:t>合同履行期限</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rPr>
        <w:t>，提供本项目</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文件第三章“采购需求”中的相应的采购内容。</w:t>
      </w:r>
    </w:p>
    <w:p w14:paraId="7AED879E">
      <w:pPr>
        <w:pStyle w:val="19"/>
        <w:keepNext w:val="0"/>
        <w:keepLines w:val="0"/>
        <w:pageBreakBefore w:val="0"/>
        <w:widowControl w:val="0"/>
        <w:kinsoku/>
        <w:wordWrap/>
        <w:overflowPunct/>
        <w:topLinePunct w:val="0"/>
        <w:bidi w:val="0"/>
        <w:adjustRightInd/>
        <w:snapToGrid/>
        <w:spacing w:line="48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cs="宋体"/>
          <w:color w:val="auto"/>
          <w:kern w:val="0"/>
          <w:sz w:val="21"/>
          <w:szCs w:val="21"/>
          <w:highlight w:val="none"/>
        </w:rPr>
        <w:t>我方同意自本项目竞争性磋商文件采购公告规定的递交响应文件截止时间起遵循本响应函，并承诺在第</w:t>
      </w:r>
      <w:r>
        <w:rPr>
          <w:rFonts w:hint="eastAsia" w:ascii="宋体" w:hAnsi="宋体" w:cs="宋体"/>
          <w:color w:val="auto"/>
          <w:kern w:val="0"/>
          <w:sz w:val="21"/>
          <w:szCs w:val="21"/>
          <w:highlight w:val="none"/>
          <w:lang w:val="en-US" w:eastAsia="zh-CN"/>
        </w:rPr>
        <w:t>二</w:t>
      </w:r>
      <w:r>
        <w:rPr>
          <w:rFonts w:hint="eastAsia" w:ascii="宋体" w:hAnsi="宋体" w:cs="宋体"/>
          <w:color w:val="auto"/>
          <w:kern w:val="0"/>
          <w:sz w:val="21"/>
          <w:szCs w:val="21"/>
          <w:highlight w:val="none"/>
        </w:rPr>
        <w:t>章“供应商须知”规定的响应有效期内不修改、撤销响应文件</w:t>
      </w:r>
      <w:r>
        <w:rPr>
          <w:rFonts w:hint="eastAsia" w:ascii="宋体" w:hAnsi="宋体" w:eastAsia="宋体" w:cs="宋体"/>
          <w:color w:val="auto"/>
          <w:sz w:val="21"/>
          <w:szCs w:val="21"/>
          <w:highlight w:val="none"/>
        </w:rPr>
        <w:t>。</w:t>
      </w:r>
    </w:p>
    <w:p w14:paraId="03C79186">
      <w:pPr>
        <w:pStyle w:val="19"/>
        <w:keepNext w:val="0"/>
        <w:keepLines w:val="0"/>
        <w:pageBreakBefore w:val="0"/>
        <w:widowControl w:val="0"/>
        <w:kinsoku/>
        <w:wordWrap/>
        <w:overflowPunct/>
        <w:topLinePunct w:val="0"/>
        <w:bidi w:val="0"/>
        <w:adjustRightInd/>
        <w:snapToGrid/>
        <w:spacing w:line="48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w:t>
      </w:r>
      <w:r>
        <w:rPr>
          <w:rFonts w:hint="eastAsia" w:ascii="宋体" w:hAnsi="宋体" w:cs="宋体"/>
          <w:color w:val="auto"/>
          <w:kern w:val="0"/>
          <w:sz w:val="21"/>
          <w:szCs w:val="21"/>
          <w:highlight w:val="none"/>
        </w:rPr>
        <w:t>我方在此声明，</w:t>
      </w:r>
      <w:r>
        <w:rPr>
          <w:rFonts w:hint="eastAsia" w:ascii="宋体" w:hAnsi="宋体" w:eastAsia="宋体" w:cs="宋体"/>
          <w:color w:val="auto"/>
          <w:sz w:val="21"/>
          <w:szCs w:val="21"/>
          <w:highlight w:val="none"/>
        </w:rPr>
        <w:t>所递交的响应文件及有关资料都是内容完整、真实和准确的。</w:t>
      </w:r>
    </w:p>
    <w:p w14:paraId="0B36CE7E">
      <w:pPr>
        <w:pStyle w:val="19"/>
        <w:keepNext w:val="0"/>
        <w:keepLines w:val="0"/>
        <w:pageBreakBefore w:val="0"/>
        <w:widowControl w:val="0"/>
        <w:kinsoku/>
        <w:wordWrap/>
        <w:overflowPunct/>
        <w:topLinePunct w:val="0"/>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4、如本项目采购内容涉及须符合国家强制规定的，我方承诺我方本次</w:t>
      </w:r>
      <w:r>
        <w:rPr>
          <w:rFonts w:hint="eastAsia" w:ascii="宋体" w:hAnsi="宋体" w:eastAsia="宋体" w:cs="宋体"/>
          <w:color w:val="auto"/>
          <w:sz w:val="21"/>
          <w:szCs w:val="21"/>
          <w:highlight w:val="none"/>
          <w:lang w:val="en-US" w:eastAsia="zh-CN"/>
        </w:rPr>
        <w:t>竞标</w:t>
      </w:r>
      <w:r>
        <w:rPr>
          <w:rFonts w:hint="eastAsia" w:ascii="宋体" w:hAnsi="宋体" w:eastAsia="宋体" w:cs="宋体"/>
          <w:color w:val="auto"/>
          <w:sz w:val="21"/>
          <w:szCs w:val="21"/>
          <w:highlight w:val="none"/>
        </w:rPr>
        <w:t>均符合国家有关强制规定。</w:t>
      </w:r>
    </w:p>
    <w:p w14:paraId="19C6945E">
      <w:pPr>
        <w:keepNext w:val="0"/>
        <w:keepLines w:val="0"/>
        <w:pageBreakBefore w:val="0"/>
        <w:widowControl w:val="0"/>
        <w:kinsoku/>
        <w:wordWrap/>
        <w:overflowPunct/>
        <w:topLinePunct w:val="0"/>
        <w:bidi w:val="0"/>
        <w:adjustRightInd/>
        <w:snapToGrid/>
        <w:spacing w:line="480" w:lineRule="exact"/>
        <w:ind w:firstLine="482"/>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5、我方承诺未被列入失信被执行人、重大税收违法失信主体、政府采购严重违法失信行为记录名单，并已经具备《中华人民共和国政府采购法》中规定的参加政府采购活动的供应商应当具备的条件：</w:t>
      </w:r>
    </w:p>
    <w:p w14:paraId="1EAF1493">
      <w:pPr>
        <w:keepNext w:val="0"/>
        <w:keepLines w:val="0"/>
        <w:pageBreakBefore w:val="0"/>
        <w:widowControl w:val="0"/>
        <w:numPr>
          <w:ilvl w:val="0"/>
          <w:numId w:val="1"/>
        </w:numPr>
        <w:tabs>
          <w:tab w:val="left" w:pos="945"/>
        </w:tabs>
        <w:kinsoku/>
        <w:wordWrap/>
        <w:overflowPunct/>
        <w:topLinePunct w:val="0"/>
        <w:bidi w:val="0"/>
        <w:adjustRightInd/>
        <w:snapToGrid/>
        <w:spacing w:line="480" w:lineRule="exac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具有独立承担民事责任的能力；</w:t>
      </w:r>
    </w:p>
    <w:p w14:paraId="64F32511">
      <w:pPr>
        <w:keepNext w:val="0"/>
        <w:keepLines w:val="0"/>
        <w:pageBreakBefore w:val="0"/>
        <w:widowControl w:val="0"/>
        <w:numPr>
          <w:ilvl w:val="0"/>
          <w:numId w:val="1"/>
        </w:numPr>
        <w:tabs>
          <w:tab w:val="left" w:pos="945"/>
        </w:tabs>
        <w:kinsoku/>
        <w:wordWrap/>
        <w:overflowPunct/>
        <w:topLinePunct w:val="0"/>
        <w:bidi w:val="0"/>
        <w:adjustRightInd/>
        <w:snapToGrid/>
        <w:spacing w:line="480" w:lineRule="exac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具有良好的商业信誉和健全的财务会计制度；</w:t>
      </w:r>
    </w:p>
    <w:p w14:paraId="60E29943">
      <w:pPr>
        <w:keepNext w:val="0"/>
        <w:keepLines w:val="0"/>
        <w:pageBreakBefore w:val="0"/>
        <w:widowControl w:val="0"/>
        <w:numPr>
          <w:ilvl w:val="0"/>
          <w:numId w:val="1"/>
        </w:numPr>
        <w:tabs>
          <w:tab w:val="left" w:pos="945"/>
        </w:tabs>
        <w:kinsoku/>
        <w:wordWrap/>
        <w:overflowPunct/>
        <w:topLinePunct w:val="0"/>
        <w:bidi w:val="0"/>
        <w:adjustRightInd/>
        <w:snapToGrid/>
        <w:spacing w:line="480" w:lineRule="exac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具有履行合同所必需的设备和专业技术能力；</w:t>
      </w:r>
    </w:p>
    <w:p w14:paraId="1D7877B8">
      <w:pPr>
        <w:keepNext w:val="0"/>
        <w:keepLines w:val="0"/>
        <w:pageBreakBefore w:val="0"/>
        <w:widowControl w:val="0"/>
        <w:numPr>
          <w:ilvl w:val="0"/>
          <w:numId w:val="1"/>
        </w:numPr>
        <w:tabs>
          <w:tab w:val="left" w:pos="945"/>
        </w:tabs>
        <w:kinsoku/>
        <w:wordWrap/>
        <w:overflowPunct/>
        <w:topLinePunct w:val="0"/>
        <w:bidi w:val="0"/>
        <w:adjustRightInd/>
        <w:snapToGrid/>
        <w:spacing w:line="480" w:lineRule="exac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有依法缴纳税收和社会保障资金的良好记录；</w:t>
      </w:r>
    </w:p>
    <w:p w14:paraId="2C1EF18A">
      <w:pPr>
        <w:keepNext w:val="0"/>
        <w:keepLines w:val="0"/>
        <w:pageBreakBefore w:val="0"/>
        <w:widowControl w:val="0"/>
        <w:numPr>
          <w:ilvl w:val="0"/>
          <w:numId w:val="1"/>
        </w:numPr>
        <w:tabs>
          <w:tab w:val="left" w:pos="945"/>
        </w:tabs>
        <w:kinsoku/>
        <w:wordWrap/>
        <w:overflowPunct/>
        <w:topLinePunct w:val="0"/>
        <w:bidi w:val="0"/>
        <w:adjustRightInd/>
        <w:snapToGrid/>
        <w:spacing w:line="480" w:lineRule="exac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参加政府采购活动前三年内，在经营活动中没有重大违法记录；</w:t>
      </w:r>
    </w:p>
    <w:p w14:paraId="5B8C8EC1">
      <w:pPr>
        <w:keepNext w:val="0"/>
        <w:keepLines w:val="0"/>
        <w:pageBreakBefore w:val="0"/>
        <w:widowControl w:val="0"/>
        <w:numPr>
          <w:ilvl w:val="0"/>
          <w:numId w:val="1"/>
        </w:numPr>
        <w:tabs>
          <w:tab w:val="left" w:pos="945"/>
        </w:tabs>
        <w:kinsoku/>
        <w:wordWrap/>
        <w:overflowPunct/>
        <w:topLinePunct w:val="0"/>
        <w:bidi w:val="0"/>
        <w:adjustRightInd/>
        <w:snapToGrid/>
        <w:spacing w:line="480" w:lineRule="exac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法律、行政法规规定的其他条件。</w:t>
      </w:r>
    </w:p>
    <w:p w14:paraId="60E0904D">
      <w:pPr>
        <w:keepNext w:val="0"/>
        <w:keepLines w:val="0"/>
        <w:pageBreakBefore w:val="0"/>
        <w:widowControl w:val="0"/>
        <w:kinsoku/>
        <w:wordWrap/>
        <w:overflowPunct/>
        <w:topLinePunct w:val="0"/>
        <w:bidi w:val="0"/>
        <w:adjustRightInd/>
        <w:snapToGrid/>
        <w:spacing w:line="480" w:lineRule="exact"/>
        <w:ind w:firstLine="482"/>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6、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770053E8">
      <w:pPr>
        <w:keepNext w:val="0"/>
        <w:keepLines w:val="0"/>
        <w:pageBreakBefore w:val="0"/>
        <w:widowControl w:val="0"/>
        <w:kinsoku/>
        <w:wordWrap/>
        <w:overflowPunct/>
        <w:topLinePunct w:val="0"/>
        <w:bidi w:val="0"/>
        <w:adjustRightInd/>
        <w:snapToGrid/>
        <w:spacing w:line="480" w:lineRule="exact"/>
        <w:ind w:firstLine="482"/>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7、我方已详细审核竞争性磋商文件，我方知道必须放弃提出含糊不清或误解问题的权利。</w:t>
      </w:r>
    </w:p>
    <w:p w14:paraId="02A2081D">
      <w:pPr>
        <w:keepNext w:val="0"/>
        <w:keepLines w:val="0"/>
        <w:pageBreakBefore w:val="0"/>
        <w:widowControl w:val="0"/>
        <w:kinsoku/>
        <w:wordWrap/>
        <w:overflowPunct/>
        <w:topLinePunct w:val="0"/>
        <w:bidi w:val="0"/>
        <w:adjustRightInd/>
        <w:snapToGrid/>
        <w:spacing w:line="480" w:lineRule="exact"/>
        <w:ind w:firstLine="482"/>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8、我方承诺满足竞争性磋商文件第六章“合同文本”的条款，承担完成合同的责任和义务。</w:t>
      </w:r>
    </w:p>
    <w:p w14:paraId="69FD3129">
      <w:pPr>
        <w:keepNext w:val="0"/>
        <w:keepLines w:val="0"/>
        <w:pageBreakBefore w:val="0"/>
        <w:widowControl w:val="0"/>
        <w:kinsoku/>
        <w:wordWrap/>
        <w:overflowPunct/>
        <w:topLinePunct w:val="0"/>
        <w:bidi w:val="0"/>
        <w:adjustRightInd/>
        <w:snapToGrid/>
        <w:spacing w:line="480" w:lineRule="exact"/>
        <w:ind w:firstLine="482"/>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9、我方同意应贵方要求提供与本竞标有关的任何数据或资料。若贵方需要，我方愿意提供我方做出的一切承诺的证明材料。</w:t>
      </w:r>
    </w:p>
    <w:p w14:paraId="49BBE37D">
      <w:pPr>
        <w:keepNext w:val="0"/>
        <w:keepLines w:val="0"/>
        <w:pageBreakBefore w:val="0"/>
        <w:widowControl w:val="0"/>
        <w:kinsoku/>
        <w:wordWrap/>
        <w:overflowPunct/>
        <w:topLinePunct w:val="0"/>
        <w:bidi w:val="0"/>
        <w:adjustRightInd/>
        <w:snapToGrid/>
        <w:spacing w:line="480" w:lineRule="exact"/>
        <w:ind w:firstLine="482"/>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10、我方完全理解贵方不一定接受响应报价最低的竞标人为成交供应商的行为。</w:t>
      </w:r>
    </w:p>
    <w:p w14:paraId="08165569">
      <w:pPr>
        <w:keepNext w:val="0"/>
        <w:keepLines w:val="0"/>
        <w:pageBreakBefore w:val="0"/>
        <w:widowControl w:val="0"/>
        <w:kinsoku/>
        <w:wordWrap/>
        <w:overflowPunct/>
        <w:topLinePunct w:val="0"/>
        <w:bidi w:val="0"/>
        <w:adjustRightInd/>
        <w:snapToGrid/>
        <w:spacing w:line="480" w:lineRule="exact"/>
        <w:ind w:firstLine="482"/>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1F99BE8">
      <w:pPr>
        <w:keepNext w:val="0"/>
        <w:keepLines w:val="0"/>
        <w:pageBreakBefore w:val="0"/>
        <w:widowControl w:val="0"/>
        <w:kinsoku/>
        <w:wordWrap/>
        <w:overflowPunct/>
        <w:topLinePunct w:val="0"/>
        <w:bidi w:val="0"/>
        <w:adjustRightInd/>
        <w:snapToGrid/>
        <w:spacing w:line="480" w:lineRule="exact"/>
        <w:ind w:firstLine="482"/>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提供虚假材料谋取中标、成交的；</w:t>
      </w:r>
    </w:p>
    <w:p w14:paraId="0A7D09D0">
      <w:pPr>
        <w:keepNext w:val="0"/>
        <w:keepLines w:val="0"/>
        <w:pageBreakBefore w:val="0"/>
        <w:widowControl w:val="0"/>
        <w:kinsoku/>
        <w:wordWrap/>
        <w:overflowPunct/>
        <w:topLinePunct w:val="0"/>
        <w:bidi w:val="0"/>
        <w:adjustRightInd/>
        <w:snapToGrid/>
        <w:spacing w:line="480" w:lineRule="exact"/>
        <w:ind w:firstLine="482"/>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采取不正当手段诋毁、排挤其他供应商的；</w:t>
      </w:r>
    </w:p>
    <w:p w14:paraId="3FA81443">
      <w:pPr>
        <w:keepNext w:val="0"/>
        <w:keepLines w:val="0"/>
        <w:pageBreakBefore w:val="0"/>
        <w:widowControl w:val="0"/>
        <w:kinsoku/>
        <w:wordWrap/>
        <w:overflowPunct/>
        <w:topLinePunct w:val="0"/>
        <w:bidi w:val="0"/>
        <w:adjustRightInd/>
        <w:snapToGrid/>
        <w:spacing w:line="480" w:lineRule="exact"/>
        <w:ind w:firstLine="482"/>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与采购人、其他供应商或者采购代理机构恶意串通的；</w:t>
      </w:r>
    </w:p>
    <w:p w14:paraId="6D89186B">
      <w:pPr>
        <w:keepNext w:val="0"/>
        <w:keepLines w:val="0"/>
        <w:pageBreakBefore w:val="0"/>
        <w:widowControl w:val="0"/>
        <w:kinsoku/>
        <w:wordWrap/>
        <w:overflowPunct/>
        <w:topLinePunct w:val="0"/>
        <w:bidi w:val="0"/>
        <w:adjustRightInd/>
        <w:snapToGrid/>
        <w:spacing w:line="480" w:lineRule="exact"/>
        <w:ind w:firstLine="482"/>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向采购人、采购代理机构行贿或者提供其他不正当利益的；</w:t>
      </w:r>
    </w:p>
    <w:p w14:paraId="1D767C04">
      <w:pPr>
        <w:keepNext w:val="0"/>
        <w:keepLines w:val="0"/>
        <w:pageBreakBefore w:val="0"/>
        <w:widowControl w:val="0"/>
        <w:kinsoku/>
        <w:wordWrap/>
        <w:overflowPunct/>
        <w:topLinePunct w:val="0"/>
        <w:bidi w:val="0"/>
        <w:adjustRightInd/>
        <w:snapToGrid/>
        <w:spacing w:line="480" w:lineRule="exact"/>
        <w:ind w:firstLine="482"/>
        <w:textAlignment w:val="auto"/>
        <w:rPr>
          <w:rFonts w:hint="eastAsia" w:ascii="宋体" w:hAnsi="宋体" w:cs="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（5）</w:t>
      </w:r>
      <w:r>
        <w:rPr>
          <w:rFonts w:hint="eastAsia" w:ascii="宋体" w:hAnsi="宋体" w:cs="宋体"/>
          <w:color w:val="auto"/>
          <w:kern w:val="0"/>
          <w:szCs w:val="21"/>
          <w:highlight w:val="none"/>
        </w:rPr>
        <w:t>在采购过程中与采购人进行协商的；</w:t>
      </w:r>
    </w:p>
    <w:p w14:paraId="4F664C07">
      <w:pPr>
        <w:keepNext w:val="0"/>
        <w:keepLines w:val="0"/>
        <w:pageBreakBefore w:val="0"/>
        <w:widowControl w:val="0"/>
        <w:kinsoku/>
        <w:wordWrap/>
        <w:overflowPunct/>
        <w:topLinePunct w:val="0"/>
        <w:bidi w:val="0"/>
        <w:adjustRightInd/>
        <w:snapToGrid/>
        <w:spacing w:line="480" w:lineRule="exact"/>
        <w:ind w:firstLine="482"/>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拒绝有关部门监督检查或提供虚假情况的。</w:t>
      </w:r>
    </w:p>
    <w:p w14:paraId="4B3959AC">
      <w:pPr>
        <w:keepNext w:val="0"/>
        <w:keepLines w:val="0"/>
        <w:pageBreakBefore w:val="0"/>
        <w:widowControl w:val="0"/>
        <w:kinsoku/>
        <w:wordWrap/>
        <w:overflowPunct/>
        <w:topLinePunct w:val="0"/>
        <w:bidi w:val="0"/>
        <w:adjustRightInd/>
        <w:snapToGrid/>
        <w:spacing w:line="480" w:lineRule="exact"/>
        <w:ind w:firstLine="420"/>
        <w:textAlignment w:val="auto"/>
        <w:rPr>
          <w:rFonts w:hint="eastAsia" w:ascii="宋体" w:hAnsi="宋体" w:cs="宋体"/>
          <w:color w:val="auto"/>
          <w:kern w:val="0"/>
          <w:sz w:val="21"/>
          <w:szCs w:val="21"/>
          <w:highlight w:val="none"/>
        </w:rPr>
      </w:pPr>
      <w:r>
        <w:rPr>
          <w:rFonts w:hint="eastAsia" w:ascii="宋体" w:hAnsi="宋体" w:cs="宋体"/>
          <w:color w:val="auto"/>
          <w:kern w:val="0"/>
          <w:szCs w:val="21"/>
          <w:highlight w:val="none"/>
        </w:rPr>
        <w:t>12.与本磋商有关的一切正式</w:t>
      </w:r>
      <w:r>
        <w:rPr>
          <w:rFonts w:hint="eastAsia" w:ascii="宋体" w:hAnsi="宋体" w:cs="宋体"/>
          <w:color w:val="auto"/>
          <w:kern w:val="0"/>
          <w:sz w:val="21"/>
          <w:szCs w:val="21"/>
          <w:highlight w:val="none"/>
        </w:rPr>
        <w:t>往来信函请寄：</w:t>
      </w:r>
    </w:p>
    <w:p w14:paraId="09AF5895">
      <w:pPr>
        <w:keepNext w:val="0"/>
        <w:keepLines w:val="0"/>
        <w:pageBreakBefore w:val="0"/>
        <w:widowControl w:val="0"/>
        <w:kinsoku/>
        <w:wordWrap/>
        <w:overflowPunct/>
        <w:topLinePunct w:val="0"/>
        <w:bidi w:val="0"/>
        <w:adjustRightInd/>
        <w:snapToGrid/>
        <w:spacing w:line="480" w:lineRule="exact"/>
        <w:ind w:firstLine="42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地址：</w:t>
      </w:r>
    </w:p>
    <w:p w14:paraId="471B5C77">
      <w:pPr>
        <w:keepNext w:val="0"/>
        <w:keepLines w:val="0"/>
        <w:pageBreakBefore w:val="0"/>
        <w:widowControl w:val="0"/>
        <w:kinsoku/>
        <w:wordWrap/>
        <w:overflowPunct/>
        <w:topLinePunct w:val="0"/>
        <w:bidi w:val="0"/>
        <w:adjustRightInd/>
        <w:snapToGrid/>
        <w:spacing w:line="480" w:lineRule="exact"/>
        <w:ind w:firstLine="42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电话：</w:t>
      </w:r>
    </w:p>
    <w:p w14:paraId="1E5AEAA7">
      <w:pPr>
        <w:keepNext w:val="0"/>
        <w:keepLines w:val="0"/>
        <w:pageBreakBefore w:val="0"/>
        <w:widowControl w:val="0"/>
        <w:kinsoku/>
        <w:wordWrap/>
        <w:overflowPunct/>
        <w:topLinePunct w:val="0"/>
        <w:bidi w:val="0"/>
        <w:adjustRightInd/>
        <w:snapToGrid/>
        <w:spacing w:line="480" w:lineRule="exact"/>
        <w:ind w:firstLine="42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传真：</w:t>
      </w:r>
    </w:p>
    <w:p w14:paraId="7B2D1AD0">
      <w:pPr>
        <w:keepNext w:val="0"/>
        <w:keepLines w:val="0"/>
        <w:pageBreakBefore w:val="0"/>
        <w:widowControl w:val="0"/>
        <w:kinsoku/>
        <w:wordWrap/>
        <w:overflowPunct/>
        <w:topLinePunct w:val="0"/>
        <w:bidi w:val="0"/>
        <w:adjustRightInd/>
        <w:snapToGrid/>
        <w:spacing w:line="480" w:lineRule="exact"/>
        <w:ind w:firstLine="42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邮政编码：</w:t>
      </w:r>
    </w:p>
    <w:p w14:paraId="5E3CDA7B">
      <w:pPr>
        <w:keepNext w:val="0"/>
        <w:keepLines w:val="0"/>
        <w:pageBreakBefore w:val="0"/>
        <w:widowControl w:val="0"/>
        <w:kinsoku/>
        <w:wordWrap/>
        <w:overflowPunct/>
        <w:topLinePunct w:val="0"/>
        <w:bidi w:val="0"/>
        <w:adjustRightInd/>
        <w:snapToGrid/>
        <w:spacing w:line="480" w:lineRule="exact"/>
        <w:ind w:firstLine="42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开户名称：</w:t>
      </w:r>
    </w:p>
    <w:p w14:paraId="109A3506">
      <w:pPr>
        <w:keepNext w:val="0"/>
        <w:keepLines w:val="0"/>
        <w:pageBreakBefore w:val="0"/>
        <w:widowControl w:val="0"/>
        <w:kinsoku/>
        <w:wordWrap/>
        <w:overflowPunct/>
        <w:topLinePunct w:val="0"/>
        <w:bidi w:val="0"/>
        <w:adjustRightInd/>
        <w:snapToGrid/>
        <w:spacing w:line="480" w:lineRule="exact"/>
        <w:ind w:firstLine="42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开户银行：</w:t>
      </w:r>
    </w:p>
    <w:p w14:paraId="11C53B6B">
      <w:pPr>
        <w:keepNext w:val="0"/>
        <w:keepLines w:val="0"/>
        <w:pageBreakBefore w:val="0"/>
        <w:widowControl w:val="0"/>
        <w:kinsoku/>
        <w:wordWrap/>
        <w:overflowPunct/>
        <w:topLinePunct w:val="0"/>
        <w:bidi w:val="0"/>
        <w:adjustRightInd/>
        <w:snapToGrid/>
        <w:spacing w:line="480" w:lineRule="exact"/>
        <w:ind w:firstLine="42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银行账号：</w:t>
      </w:r>
    </w:p>
    <w:p w14:paraId="78A2313A">
      <w:pPr>
        <w:keepNext w:val="0"/>
        <w:keepLines w:val="0"/>
        <w:pageBreakBefore w:val="0"/>
        <w:widowControl w:val="0"/>
        <w:tabs>
          <w:tab w:val="left" w:pos="939"/>
        </w:tabs>
        <w:kinsoku/>
        <w:wordWrap/>
        <w:overflowPunct/>
        <w:topLinePunct w:val="0"/>
        <w:bidi w:val="0"/>
        <w:adjustRightInd/>
        <w:snapToGrid/>
        <w:spacing w:line="480" w:lineRule="exact"/>
        <w:ind w:left="141" w:leftChars="67" w:firstLine="315" w:firstLineChars="15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特此承诺。</w:t>
      </w:r>
    </w:p>
    <w:p w14:paraId="522E2A47">
      <w:pPr>
        <w:keepNext w:val="0"/>
        <w:keepLines w:val="0"/>
        <w:pageBreakBefore w:val="0"/>
        <w:widowControl w:val="0"/>
        <w:kinsoku/>
        <w:wordWrap/>
        <w:overflowPunct/>
        <w:topLinePunct w:val="0"/>
        <w:bidi w:val="0"/>
        <w:adjustRightInd/>
        <w:snapToGrid/>
        <w:spacing w:line="480" w:lineRule="exact"/>
        <w:contextualSpacing/>
        <w:jc w:val="left"/>
        <w:textAlignment w:val="auto"/>
        <w:rPr>
          <w:rFonts w:hint="eastAsia" w:ascii="宋体" w:hAnsi="宋体" w:cs="宋体"/>
          <w:color w:val="auto"/>
          <w:sz w:val="21"/>
          <w:szCs w:val="21"/>
          <w:highlight w:val="none"/>
        </w:rPr>
      </w:pPr>
    </w:p>
    <w:p w14:paraId="22D9CD3D">
      <w:pPr>
        <w:keepNext w:val="0"/>
        <w:keepLines w:val="0"/>
        <w:pageBreakBefore w:val="0"/>
        <w:widowControl w:val="0"/>
        <w:kinsoku/>
        <w:wordWrap/>
        <w:overflowPunct/>
        <w:topLinePunct w:val="0"/>
        <w:autoSpaceDE w:val="0"/>
        <w:autoSpaceDN w:val="0"/>
        <w:bidi w:val="0"/>
        <w:adjustRightInd/>
        <w:snapToGrid/>
        <w:spacing w:line="480" w:lineRule="exact"/>
        <w:ind w:left="4305" w:leftChars="2050" w:firstLine="1470" w:firstLineChars="7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供应商名称（电子签章）：</w:t>
      </w:r>
    </w:p>
    <w:p w14:paraId="615F4217">
      <w:pPr>
        <w:keepNext w:val="0"/>
        <w:keepLines w:val="0"/>
        <w:pageBreakBefore w:val="0"/>
        <w:widowControl w:val="0"/>
        <w:kinsoku/>
        <w:wordWrap/>
        <w:overflowPunct/>
        <w:topLinePunct w:val="0"/>
        <w:autoSpaceDE w:val="0"/>
        <w:autoSpaceDN w:val="0"/>
        <w:bidi w:val="0"/>
        <w:adjustRightInd/>
        <w:snapToGrid/>
        <w:spacing w:line="480" w:lineRule="exact"/>
        <w:ind w:left="4305" w:leftChars="2050" w:firstLine="1470" w:firstLineChars="700"/>
        <w:textAlignment w:val="auto"/>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zh-CN"/>
        </w:rPr>
        <w:t>日期：</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年</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w:t>
      </w:r>
    </w:p>
    <w:p w14:paraId="165E3190">
      <w:pPr>
        <w:spacing w:line="520" w:lineRule="exact"/>
        <w:jc w:val="left"/>
        <w:rPr>
          <w:rFonts w:hint="eastAsia" w:ascii="宋体" w:hAnsi="宋体" w:eastAsia="宋体" w:cs="宋体"/>
          <w:bCs/>
          <w:color w:val="auto"/>
          <w:sz w:val="30"/>
          <w:szCs w:val="30"/>
          <w:highlight w:val="none"/>
        </w:rPr>
      </w:pPr>
      <w:r>
        <w:rPr>
          <w:rFonts w:hint="eastAsia" w:ascii="宋体" w:hAnsi="宋体" w:eastAsia="宋体" w:cs="宋体"/>
          <w:b/>
          <w:bCs/>
          <w:color w:val="auto"/>
          <w:sz w:val="30"/>
          <w:szCs w:val="30"/>
          <w:highlight w:val="none"/>
        </w:rPr>
        <w:t>二、响应报价表</w:t>
      </w:r>
    </w:p>
    <w:p w14:paraId="6D7DFBC0">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Cs/>
          <w:color w:val="auto"/>
          <w:sz w:val="30"/>
          <w:szCs w:val="30"/>
          <w:highlight w:val="none"/>
        </w:rPr>
      </w:pPr>
      <w:r>
        <w:rPr>
          <w:rFonts w:hint="eastAsia" w:ascii="宋体" w:hAnsi="宋体" w:eastAsia="宋体" w:cs="宋体"/>
          <w:b/>
          <w:bCs/>
          <w:color w:val="auto"/>
          <w:sz w:val="30"/>
          <w:szCs w:val="30"/>
          <w:highlight w:val="none"/>
        </w:rPr>
        <w:t>响应报价表</w:t>
      </w:r>
    </w:p>
    <w:p w14:paraId="4DE64AFB">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采购项目编号：</w:t>
      </w:r>
      <w:r>
        <w:rPr>
          <w:rFonts w:hint="eastAsia" w:ascii="宋体" w:hAnsi="宋体" w:eastAsia="宋体" w:cs="宋体"/>
          <w:color w:val="auto"/>
          <w:sz w:val="21"/>
          <w:szCs w:val="21"/>
          <w:highlight w:val="none"/>
          <w:u w:val="single"/>
        </w:rPr>
        <w:t xml:space="preserve">                 </w:t>
      </w:r>
    </w:p>
    <w:p w14:paraId="0E13C376">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single"/>
        </w:rPr>
        <w:t xml:space="preserve">                 </w:t>
      </w:r>
    </w:p>
    <w:p w14:paraId="0A24ECA2">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分标号（此处有分标时填写具体分标号，无分标时填写“无”）：</w:t>
      </w:r>
      <w:r>
        <w:rPr>
          <w:rFonts w:hint="eastAsia" w:ascii="宋体" w:hAnsi="宋体" w:eastAsia="宋体" w:cs="宋体"/>
          <w:color w:val="auto"/>
          <w:sz w:val="21"/>
          <w:szCs w:val="21"/>
          <w:highlight w:val="none"/>
          <w:u w:val="single"/>
        </w:rPr>
        <w:t xml:space="preserve">               </w:t>
      </w:r>
    </w:p>
    <w:tbl>
      <w:tblPr>
        <w:tblStyle w:val="29"/>
        <w:tblW w:w="8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8"/>
        <w:gridCol w:w="3221"/>
        <w:gridCol w:w="957"/>
        <w:gridCol w:w="957"/>
        <w:gridCol w:w="957"/>
        <w:gridCol w:w="1020"/>
        <w:gridCol w:w="957"/>
      </w:tblGrid>
      <w:tr w14:paraId="28920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5139BD53">
            <w:pPr>
              <w:keepNext w:val="0"/>
              <w:keepLines w:val="0"/>
              <w:pageBreakBefore w:val="0"/>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3221" w:type="dxa"/>
            <w:shd w:val="clear" w:color="auto" w:fill="auto"/>
            <w:noWrap w:val="0"/>
            <w:vAlign w:val="center"/>
          </w:tcPr>
          <w:p w14:paraId="2FE9F0DE">
            <w:pPr>
              <w:keepNext w:val="0"/>
              <w:keepLines w:val="0"/>
              <w:pageBreakBefore w:val="0"/>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体</w:t>
            </w:r>
            <w:r>
              <w:rPr>
                <w:rFonts w:ascii="宋体" w:hAnsi="宋体" w:cs="宋体"/>
                <w:b/>
                <w:color w:val="auto"/>
                <w:kern w:val="0"/>
                <w:szCs w:val="21"/>
                <w:highlight w:val="none"/>
              </w:rPr>
              <w:t>检项目</w:t>
            </w:r>
          </w:p>
        </w:tc>
        <w:tc>
          <w:tcPr>
            <w:tcW w:w="957" w:type="dxa"/>
            <w:shd w:val="clear" w:color="auto" w:fill="auto"/>
            <w:noWrap w:val="0"/>
            <w:vAlign w:val="center"/>
          </w:tcPr>
          <w:p w14:paraId="0FA3BB3B">
            <w:pPr>
              <w:keepNext w:val="0"/>
              <w:keepLines w:val="0"/>
              <w:pageBreakBefore w:val="0"/>
              <w:kinsoku/>
              <w:wordWrap/>
              <w:overflowPunct/>
              <w:topLinePunct w:val="0"/>
              <w:autoSpaceDE/>
              <w:autoSpaceDN/>
              <w:bidi w:val="0"/>
              <w:adjustRightInd/>
              <w:snapToGrid w:val="0"/>
              <w:spacing w:line="480" w:lineRule="exact"/>
              <w:ind w:left="0" w:leftChars="0" w:right="0" w:rightChars="0" w:firstLine="0" w:firstLineChars="0"/>
              <w:jc w:val="center"/>
              <w:rPr>
                <w:rFonts w:hint="default" w:ascii="宋体" w:hAnsi="宋体" w:cs="宋体" w:eastAsiaTheme="minorEastAsia"/>
                <w:b/>
                <w:color w:val="auto"/>
                <w:kern w:val="0"/>
                <w:szCs w:val="21"/>
                <w:highlight w:val="none"/>
                <w:lang w:val="en-US" w:eastAsia="zh-CN"/>
              </w:rPr>
            </w:pPr>
            <w:r>
              <w:rPr>
                <w:rFonts w:hint="eastAsia" w:ascii="宋体" w:hAnsi="宋体" w:cs="宋体"/>
                <w:b/>
                <w:color w:val="auto"/>
                <w:kern w:val="0"/>
                <w:szCs w:val="21"/>
                <w:highlight w:val="none"/>
              </w:rPr>
              <w:t>＜</w:t>
            </w:r>
            <w:r>
              <w:rPr>
                <w:rFonts w:hint="eastAsia" w:ascii="宋体" w:hAnsi="宋体" w:cs="宋体"/>
                <w:b/>
                <w:color w:val="auto"/>
                <w:kern w:val="0"/>
                <w:szCs w:val="21"/>
                <w:highlight w:val="none"/>
                <w:lang w:val="en-US" w:eastAsia="zh-CN"/>
              </w:rPr>
              <w:t>40岁男</w:t>
            </w:r>
          </w:p>
        </w:tc>
        <w:tc>
          <w:tcPr>
            <w:tcW w:w="957" w:type="dxa"/>
            <w:shd w:val="clear" w:color="auto" w:fill="auto"/>
            <w:noWrap w:val="0"/>
            <w:vAlign w:val="center"/>
          </w:tcPr>
          <w:p w14:paraId="0B45FBF2">
            <w:pPr>
              <w:keepNext w:val="0"/>
              <w:keepLines w:val="0"/>
              <w:pageBreakBefore w:val="0"/>
              <w:kinsoku/>
              <w:wordWrap/>
              <w:overflowPunct/>
              <w:topLinePunct w:val="0"/>
              <w:autoSpaceDE/>
              <w:autoSpaceDN/>
              <w:bidi w:val="0"/>
              <w:adjustRightInd/>
              <w:snapToGrid w:val="0"/>
              <w:spacing w:line="480" w:lineRule="exact"/>
              <w:ind w:left="0" w:leftChars="0" w:right="0" w:rightChars="0" w:firstLine="0" w:firstLineChars="0"/>
              <w:jc w:val="center"/>
              <w:rPr>
                <w:rFonts w:hint="default" w:ascii="宋体" w:hAnsi="宋体" w:cs="宋体" w:eastAsiaTheme="minorEastAsia"/>
                <w:b/>
                <w:color w:val="auto"/>
                <w:kern w:val="0"/>
                <w:szCs w:val="21"/>
                <w:highlight w:val="none"/>
                <w:lang w:val="en-US" w:eastAsia="zh-CN"/>
              </w:rPr>
            </w:pPr>
            <w:r>
              <w:rPr>
                <w:rFonts w:hint="eastAsia" w:ascii="宋体" w:hAnsi="宋体" w:cs="宋体"/>
                <w:b/>
                <w:color w:val="auto"/>
                <w:kern w:val="0"/>
                <w:szCs w:val="21"/>
                <w:highlight w:val="none"/>
              </w:rPr>
              <w:t>≥</w:t>
            </w:r>
            <w:r>
              <w:rPr>
                <w:rFonts w:hint="eastAsia" w:ascii="宋体" w:hAnsi="宋体" w:cs="宋体"/>
                <w:b/>
                <w:color w:val="auto"/>
                <w:kern w:val="0"/>
                <w:szCs w:val="21"/>
                <w:highlight w:val="none"/>
                <w:lang w:val="en-US" w:eastAsia="zh-CN"/>
              </w:rPr>
              <w:t>40岁男</w:t>
            </w:r>
          </w:p>
        </w:tc>
        <w:tc>
          <w:tcPr>
            <w:tcW w:w="957" w:type="dxa"/>
            <w:shd w:val="clear" w:color="auto" w:fill="auto"/>
            <w:noWrap w:val="0"/>
            <w:vAlign w:val="center"/>
          </w:tcPr>
          <w:p w14:paraId="401072BC">
            <w:pPr>
              <w:keepNext w:val="0"/>
              <w:keepLines w:val="0"/>
              <w:pageBreakBefore w:val="0"/>
              <w:kinsoku/>
              <w:wordWrap/>
              <w:overflowPunct/>
              <w:topLinePunct w:val="0"/>
              <w:autoSpaceDE/>
              <w:autoSpaceDN/>
              <w:bidi w:val="0"/>
              <w:adjustRightInd/>
              <w:snapToGrid w:val="0"/>
              <w:spacing w:line="480" w:lineRule="exact"/>
              <w:ind w:left="0" w:leftChars="0" w:right="0" w:rightChars="0" w:firstLine="0" w:firstLineChars="0"/>
              <w:jc w:val="center"/>
              <w:rPr>
                <w:rFonts w:hint="default" w:ascii="宋体" w:hAnsi="宋体" w:cs="宋体" w:eastAsiaTheme="minorEastAsia"/>
                <w:b/>
                <w:color w:val="auto"/>
                <w:kern w:val="0"/>
                <w:szCs w:val="21"/>
                <w:highlight w:val="none"/>
                <w:lang w:val="en-US" w:eastAsia="zh-CN"/>
              </w:rPr>
            </w:pPr>
            <w:r>
              <w:rPr>
                <w:rFonts w:hint="eastAsia" w:ascii="宋体" w:hAnsi="宋体" w:cs="宋体"/>
                <w:b/>
                <w:color w:val="auto"/>
                <w:kern w:val="0"/>
                <w:szCs w:val="21"/>
                <w:highlight w:val="none"/>
                <w:lang w:val="en-US" w:eastAsia="zh-CN"/>
              </w:rPr>
              <w:t>女未婚</w:t>
            </w:r>
          </w:p>
        </w:tc>
        <w:tc>
          <w:tcPr>
            <w:tcW w:w="1020" w:type="dxa"/>
            <w:shd w:val="clear" w:color="auto" w:fill="auto"/>
            <w:noWrap w:val="0"/>
            <w:vAlign w:val="center"/>
          </w:tcPr>
          <w:p w14:paraId="566E183C">
            <w:pPr>
              <w:keepNext w:val="0"/>
              <w:keepLines w:val="0"/>
              <w:pageBreakBefore w:val="0"/>
              <w:kinsoku/>
              <w:wordWrap/>
              <w:overflowPunct/>
              <w:topLinePunct w:val="0"/>
              <w:autoSpaceDE/>
              <w:autoSpaceDN/>
              <w:bidi w:val="0"/>
              <w:adjustRightInd/>
              <w:snapToGrid w:val="0"/>
              <w:spacing w:line="480" w:lineRule="exact"/>
              <w:ind w:left="0" w:leftChars="0" w:right="0" w:rightChars="0" w:firstLine="0" w:firstLineChars="0"/>
              <w:jc w:val="center"/>
              <w:rPr>
                <w:rFonts w:hint="default" w:ascii="宋体" w:hAnsi="宋体" w:cs="宋体" w:eastAsiaTheme="minorEastAsia"/>
                <w:b/>
                <w:color w:val="auto"/>
                <w:kern w:val="0"/>
                <w:szCs w:val="21"/>
                <w:highlight w:val="none"/>
                <w:lang w:val="en-US" w:eastAsia="zh-CN"/>
              </w:rPr>
            </w:pPr>
            <w:r>
              <w:rPr>
                <w:rFonts w:hint="eastAsia" w:ascii="宋体" w:hAnsi="宋体" w:cs="宋体"/>
                <w:b/>
                <w:color w:val="auto"/>
                <w:kern w:val="0"/>
                <w:szCs w:val="21"/>
                <w:highlight w:val="none"/>
              </w:rPr>
              <w:t>﹤</w:t>
            </w:r>
            <w:r>
              <w:rPr>
                <w:rFonts w:hint="eastAsia" w:ascii="宋体" w:hAnsi="宋体" w:cs="宋体"/>
                <w:b/>
                <w:color w:val="auto"/>
                <w:kern w:val="0"/>
                <w:szCs w:val="21"/>
                <w:highlight w:val="none"/>
                <w:lang w:val="en-US" w:eastAsia="zh-CN"/>
              </w:rPr>
              <w:t>40岁女已婚</w:t>
            </w:r>
          </w:p>
        </w:tc>
        <w:tc>
          <w:tcPr>
            <w:tcW w:w="957" w:type="dxa"/>
            <w:shd w:val="clear" w:color="auto" w:fill="auto"/>
            <w:noWrap w:val="0"/>
            <w:vAlign w:val="center"/>
          </w:tcPr>
          <w:p w14:paraId="3E3CC4E6">
            <w:pPr>
              <w:keepNext w:val="0"/>
              <w:keepLines w:val="0"/>
              <w:pageBreakBefore w:val="0"/>
              <w:kinsoku/>
              <w:wordWrap/>
              <w:overflowPunct/>
              <w:topLinePunct w:val="0"/>
              <w:autoSpaceDE/>
              <w:autoSpaceDN/>
              <w:bidi w:val="0"/>
              <w:adjustRightInd/>
              <w:snapToGrid w:val="0"/>
              <w:spacing w:line="480" w:lineRule="exact"/>
              <w:ind w:left="0" w:leftChars="0" w:right="0" w:rightChars="0" w:firstLine="0" w:firstLineChars="0"/>
              <w:jc w:val="center"/>
              <w:rPr>
                <w:rFonts w:hint="default" w:ascii="宋体" w:hAnsi="宋体" w:cs="宋体" w:eastAsiaTheme="minorEastAsia"/>
                <w:b/>
                <w:color w:val="auto"/>
                <w:kern w:val="0"/>
                <w:szCs w:val="21"/>
                <w:highlight w:val="none"/>
                <w:lang w:val="en-US" w:eastAsia="zh-CN"/>
              </w:rPr>
            </w:pPr>
            <w:r>
              <w:rPr>
                <w:rFonts w:hint="eastAsia" w:ascii="宋体" w:hAnsi="宋体" w:cs="宋体"/>
                <w:b/>
                <w:color w:val="auto"/>
                <w:kern w:val="0"/>
                <w:szCs w:val="21"/>
                <w:highlight w:val="none"/>
              </w:rPr>
              <w:t>≥</w:t>
            </w:r>
            <w:r>
              <w:rPr>
                <w:rFonts w:hint="eastAsia" w:ascii="宋体" w:hAnsi="宋体" w:cs="宋体"/>
                <w:b/>
                <w:color w:val="auto"/>
                <w:kern w:val="0"/>
                <w:szCs w:val="21"/>
                <w:highlight w:val="none"/>
                <w:lang w:val="en-US" w:eastAsia="zh-CN"/>
              </w:rPr>
              <w:t>40岁女已婚</w:t>
            </w:r>
          </w:p>
        </w:tc>
      </w:tr>
      <w:tr w14:paraId="60910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1C61160A">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1</w:t>
            </w:r>
          </w:p>
        </w:tc>
        <w:tc>
          <w:tcPr>
            <w:tcW w:w="3221" w:type="dxa"/>
            <w:shd w:val="clear" w:color="auto" w:fill="auto"/>
            <w:noWrap w:val="0"/>
            <w:vAlign w:val="center"/>
          </w:tcPr>
          <w:p w14:paraId="35DEE2D1">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ascii="宋体" w:hAnsi="宋体"/>
                <w:color w:val="auto"/>
                <w:szCs w:val="21"/>
                <w:highlight w:val="none"/>
              </w:rPr>
            </w:pPr>
            <w:r>
              <w:rPr>
                <w:rFonts w:hint="eastAsia" w:ascii="宋体" w:hAnsi="宋体"/>
                <w:color w:val="auto"/>
                <w:kern w:val="0"/>
                <w:szCs w:val="21"/>
                <w:highlight w:val="none"/>
              </w:rPr>
              <w:t>临床内科</w:t>
            </w:r>
          </w:p>
        </w:tc>
        <w:tc>
          <w:tcPr>
            <w:tcW w:w="957" w:type="dxa"/>
            <w:shd w:val="clear" w:color="auto" w:fill="auto"/>
            <w:noWrap w:val="0"/>
            <w:vAlign w:val="center"/>
          </w:tcPr>
          <w:p w14:paraId="3A2EDCDF">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35D0C387">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0F4FECAC">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1020" w:type="dxa"/>
            <w:shd w:val="clear" w:color="auto" w:fill="auto"/>
            <w:noWrap w:val="0"/>
            <w:vAlign w:val="center"/>
          </w:tcPr>
          <w:p w14:paraId="316ECAB0">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71A6EB1D">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4762A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566EA95A">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w:t>
            </w:r>
          </w:p>
        </w:tc>
        <w:tc>
          <w:tcPr>
            <w:tcW w:w="3221" w:type="dxa"/>
            <w:shd w:val="clear" w:color="auto" w:fill="auto"/>
            <w:noWrap w:val="0"/>
            <w:vAlign w:val="center"/>
          </w:tcPr>
          <w:p w14:paraId="55E4E0EB">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ascii="宋体" w:hAnsi="宋体"/>
                <w:color w:val="auto"/>
                <w:szCs w:val="21"/>
                <w:highlight w:val="none"/>
              </w:rPr>
            </w:pPr>
            <w:r>
              <w:rPr>
                <w:rFonts w:hint="eastAsia" w:ascii="宋体" w:hAnsi="宋体"/>
                <w:color w:val="auto"/>
                <w:kern w:val="0"/>
                <w:szCs w:val="21"/>
                <w:highlight w:val="none"/>
              </w:rPr>
              <w:t>临床外科</w:t>
            </w:r>
          </w:p>
        </w:tc>
        <w:tc>
          <w:tcPr>
            <w:tcW w:w="957" w:type="dxa"/>
            <w:shd w:val="clear" w:color="auto" w:fill="auto"/>
            <w:noWrap w:val="0"/>
            <w:vAlign w:val="center"/>
          </w:tcPr>
          <w:p w14:paraId="5D3956A6">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4B2215E3">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143AC2D8">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1020" w:type="dxa"/>
            <w:shd w:val="clear" w:color="auto" w:fill="auto"/>
            <w:noWrap w:val="0"/>
            <w:vAlign w:val="center"/>
          </w:tcPr>
          <w:p w14:paraId="4A035AA4">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19045797">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004DE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588F896F">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w:t>
            </w:r>
          </w:p>
        </w:tc>
        <w:tc>
          <w:tcPr>
            <w:tcW w:w="3221" w:type="dxa"/>
            <w:shd w:val="clear" w:color="auto" w:fill="auto"/>
            <w:noWrap w:val="0"/>
            <w:vAlign w:val="center"/>
          </w:tcPr>
          <w:p w14:paraId="0D6EFF2E">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ascii="宋体" w:hAnsi="宋体"/>
                <w:color w:val="auto"/>
                <w:szCs w:val="21"/>
                <w:highlight w:val="none"/>
              </w:rPr>
            </w:pPr>
            <w:r>
              <w:rPr>
                <w:rFonts w:hint="eastAsia" w:ascii="宋体" w:hAnsi="宋体"/>
                <w:color w:val="auto"/>
                <w:kern w:val="0"/>
                <w:szCs w:val="21"/>
                <w:highlight w:val="none"/>
              </w:rPr>
              <w:t>临床耳鼻喉科</w:t>
            </w:r>
          </w:p>
        </w:tc>
        <w:tc>
          <w:tcPr>
            <w:tcW w:w="957" w:type="dxa"/>
            <w:shd w:val="clear" w:color="auto" w:fill="auto"/>
            <w:noWrap w:val="0"/>
            <w:vAlign w:val="center"/>
          </w:tcPr>
          <w:p w14:paraId="5BAA6709">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587093AE">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7B892669">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1020" w:type="dxa"/>
            <w:shd w:val="clear" w:color="auto" w:fill="auto"/>
            <w:noWrap w:val="0"/>
            <w:vAlign w:val="center"/>
          </w:tcPr>
          <w:p w14:paraId="141F8078">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7D6C90A7">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2DFAC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64935669">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4</w:t>
            </w:r>
          </w:p>
        </w:tc>
        <w:tc>
          <w:tcPr>
            <w:tcW w:w="3221" w:type="dxa"/>
            <w:shd w:val="clear" w:color="auto" w:fill="auto"/>
            <w:noWrap w:val="0"/>
            <w:vAlign w:val="center"/>
          </w:tcPr>
          <w:p w14:paraId="10D863AC">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hint="default" w:ascii="宋体" w:hAnsi="宋体" w:eastAsia="宋体"/>
                <w:color w:val="auto"/>
                <w:szCs w:val="21"/>
                <w:highlight w:val="none"/>
                <w:lang w:val="en-US" w:eastAsia="zh-CN"/>
              </w:rPr>
            </w:pPr>
            <w:r>
              <w:rPr>
                <w:rFonts w:hint="eastAsia" w:ascii="宋体" w:hAnsi="宋体"/>
                <w:color w:val="auto"/>
                <w:kern w:val="0"/>
                <w:szCs w:val="21"/>
                <w:highlight w:val="none"/>
              </w:rPr>
              <w:t>眼科</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眼底+裂隙灯）</w:t>
            </w:r>
          </w:p>
        </w:tc>
        <w:tc>
          <w:tcPr>
            <w:tcW w:w="957" w:type="dxa"/>
            <w:shd w:val="clear" w:color="auto" w:fill="auto"/>
            <w:noWrap w:val="0"/>
            <w:vAlign w:val="center"/>
          </w:tcPr>
          <w:p w14:paraId="1ADC8DD4">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55B0E050">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4E059F24">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1020" w:type="dxa"/>
            <w:shd w:val="clear" w:color="auto" w:fill="auto"/>
            <w:noWrap w:val="0"/>
            <w:vAlign w:val="center"/>
          </w:tcPr>
          <w:p w14:paraId="151C0EE7">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5FA5AA40">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3CE59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007BB41F">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5</w:t>
            </w:r>
          </w:p>
        </w:tc>
        <w:tc>
          <w:tcPr>
            <w:tcW w:w="3221" w:type="dxa"/>
            <w:shd w:val="clear" w:color="auto" w:fill="auto"/>
            <w:noWrap w:val="0"/>
            <w:vAlign w:val="center"/>
          </w:tcPr>
          <w:p w14:paraId="581DB539">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ascii="宋体" w:hAnsi="宋体"/>
                <w:color w:val="auto"/>
                <w:szCs w:val="21"/>
                <w:highlight w:val="none"/>
              </w:rPr>
            </w:pPr>
            <w:r>
              <w:rPr>
                <w:rFonts w:hint="eastAsia" w:ascii="宋体" w:hAnsi="宋体"/>
                <w:color w:val="auto"/>
                <w:kern w:val="0"/>
                <w:szCs w:val="21"/>
                <w:highlight w:val="none"/>
              </w:rPr>
              <w:t>口腔科</w:t>
            </w:r>
          </w:p>
        </w:tc>
        <w:tc>
          <w:tcPr>
            <w:tcW w:w="957" w:type="dxa"/>
            <w:shd w:val="clear" w:color="auto" w:fill="auto"/>
            <w:noWrap w:val="0"/>
            <w:vAlign w:val="center"/>
          </w:tcPr>
          <w:p w14:paraId="38CA1580">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2D8A7627">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1FE0E998">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1020" w:type="dxa"/>
            <w:shd w:val="clear" w:color="auto" w:fill="auto"/>
            <w:noWrap w:val="0"/>
            <w:vAlign w:val="center"/>
          </w:tcPr>
          <w:p w14:paraId="6D3D0549">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38ED7269">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44107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32F3D82D">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6</w:t>
            </w:r>
          </w:p>
        </w:tc>
        <w:tc>
          <w:tcPr>
            <w:tcW w:w="3221" w:type="dxa"/>
            <w:shd w:val="clear" w:color="auto" w:fill="auto"/>
            <w:noWrap w:val="0"/>
            <w:vAlign w:val="center"/>
          </w:tcPr>
          <w:p w14:paraId="07C0B895">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ascii="宋体" w:hAnsi="宋体"/>
                <w:color w:val="auto"/>
                <w:szCs w:val="21"/>
                <w:highlight w:val="none"/>
              </w:rPr>
            </w:pPr>
            <w:r>
              <w:rPr>
                <w:rFonts w:hint="eastAsia" w:ascii="宋体" w:hAnsi="宋体"/>
                <w:color w:val="auto"/>
                <w:kern w:val="0"/>
                <w:szCs w:val="21"/>
                <w:highlight w:val="none"/>
              </w:rPr>
              <w:t>血常规</w:t>
            </w:r>
          </w:p>
        </w:tc>
        <w:tc>
          <w:tcPr>
            <w:tcW w:w="957" w:type="dxa"/>
            <w:shd w:val="clear" w:color="auto" w:fill="auto"/>
            <w:noWrap w:val="0"/>
            <w:vAlign w:val="center"/>
          </w:tcPr>
          <w:p w14:paraId="57A8839C">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1386ABA3">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2098110C">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1020" w:type="dxa"/>
            <w:shd w:val="clear" w:color="auto" w:fill="auto"/>
            <w:noWrap w:val="0"/>
            <w:vAlign w:val="center"/>
          </w:tcPr>
          <w:p w14:paraId="4BBF57D0">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5599E3FD">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402EA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58F55361">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7</w:t>
            </w:r>
          </w:p>
        </w:tc>
        <w:tc>
          <w:tcPr>
            <w:tcW w:w="3221" w:type="dxa"/>
            <w:shd w:val="clear" w:color="auto" w:fill="auto"/>
            <w:noWrap w:val="0"/>
            <w:vAlign w:val="center"/>
          </w:tcPr>
          <w:p w14:paraId="48B834D9">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hint="default" w:ascii="宋体" w:hAnsi="宋体" w:eastAsiaTheme="minorEastAsia"/>
                <w:color w:val="auto"/>
                <w:szCs w:val="21"/>
                <w:highlight w:val="none"/>
                <w:lang w:val="en-US" w:eastAsia="zh-CN"/>
              </w:rPr>
            </w:pPr>
            <w:r>
              <w:rPr>
                <w:rFonts w:hint="eastAsia" w:ascii="宋体" w:hAnsi="宋体"/>
                <w:color w:val="auto"/>
                <w:kern w:val="0"/>
                <w:szCs w:val="21"/>
                <w:highlight w:val="none"/>
              </w:rPr>
              <w:t>尿常规</w:t>
            </w:r>
            <w:r>
              <w:rPr>
                <w:rFonts w:hint="eastAsia" w:ascii="宋体" w:hAnsi="宋体"/>
                <w:color w:val="auto"/>
                <w:kern w:val="0"/>
                <w:szCs w:val="21"/>
                <w:highlight w:val="none"/>
                <w:lang w:val="en-US" w:eastAsia="zh-CN"/>
              </w:rPr>
              <w:t>+分析</w:t>
            </w:r>
          </w:p>
        </w:tc>
        <w:tc>
          <w:tcPr>
            <w:tcW w:w="957" w:type="dxa"/>
            <w:shd w:val="clear" w:color="auto" w:fill="auto"/>
            <w:noWrap w:val="0"/>
            <w:vAlign w:val="center"/>
          </w:tcPr>
          <w:p w14:paraId="12DD3FE9">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7962CA0B">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21B49B8D">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1020" w:type="dxa"/>
            <w:shd w:val="clear" w:color="auto" w:fill="auto"/>
            <w:noWrap w:val="0"/>
            <w:vAlign w:val="center"/>
          </w:tcPr>
          <w:p w14:paraId="4F2E9259">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08FB9836">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3E930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5F43EB11">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8</w:t>
            </w:r>
          </w:p>
        </w:tc>
        <w:tc>
          <w:tcPr>
            <w:tcW w:w="3221" w:type="dxa"/>
            <w:shd w:val="clear" w:color="auto" w:fill="auto"/>
            <w:noWrap w:val="0"/>
            <w:vAlign w:val="center"/>
          </w:tcPr>
          <w:p w14:paraId="417D58F8">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hint="default" w:ascii="宋体" w:hAnsi="宋体" w:eastAsiaTheme="minorEastAsia"/>
                <w:color w:val="auto"/>
                <w:szCs w:val="21"/>
                <w:highlight w:val="none"/>
                <w:lang w:val="en-US" w:eastAsia="zh-CN"/>
              </w:rPr>
            </w:pPr>
            <w:r>
              <w:rPr>
                <w:rFonts w:hint="eastAsia" w:ascii="宋体" w:hAnsi="宋体"/>
                <w:color w:val="auto"/>
                <w:kern w:val="0"/>
                <w:szCs w:val="21"/>
                <w:highlight w:val="none"/>
                <w:lang w:val="en-US" w:eastAsia="zh-CN"/>
              </w:rPr>
              <w:t>肝功全套</w:t>
            </w:r>
          </w:p>
        </w:tc>
        <w:tc>
          <w:tcPr>
            <w:tcW w:w="957" w:type="dxa"/>
            <w:shd w:val="clear" w:color="auto" w:fill="auto"/>
            <w:noWrap w:val="0"/>
            <w:vAlign w:val="center"/>
          </w:tcPr>
          <w:p w14:paraId="3A0C35C6">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0328CED5">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0997FD50">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1020" w:type="dxa"/>
            <w:shd w:val="clear" w:color="auto" w:fill="auto"/>
            <w:noWrap w:val="0"/>
            <w:vAlign w:val="center"/>
          </w:tcPr>
          <w:p w14:paraId="3C81A199">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1D2EE948">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7B254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14609F21">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9</w:t>
            </w:r>
          </w:p>
        </w:tc>
        <w:tc>
          <w:tcPr>
            <w:tcW w:w="3221" w:type="dxa"/>
            <w:shd w:val="clear" w:color="auto" w:fill="auto"/>
            <w:noWrap w:val="0"/>
            <w:vAlign w:val="center"/>
          </w:tcPr>
          <w:p w14:paraId="14764287">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hint="default" w:ascii="宋体" w:hAnsi="宋体" w:eastAsiaTheme="minorEastAsia"/>
                <w:color w:val="auto"/>
                <w:szCs w:val="21"/>
                <w:highlight w:val="none"/>
                <w:lang w:val="en-US" w:eastAsia="zh-CN"/>
              </w:rPr>
            </w:pPr>
            <w:r>
              <w:rPr>
                <w:rFonts w:hint="eastAsia" w:ascii="宋体" w:hAnsi="宋体"/>
                <w:color w:val="auto"/>
                <w:kern w:val="0"/>
                <w:szCs w:val="21"/>
                <w:highlight w:val="none"/>
              </w:rPr>
              <w:t>肾功能</w:t>
            </w:r>
            <w:r>
              <w:rPr>
                <w:rFonts w:hint="eastAsia" w:ascii="宋体" w:hAnsi="宋体"/>
                <w:color w:val="auto"/>
                <w:kern w:val="0"/>
                <w:szCs w:val="21"/>
                <w:highlight w:val="none"/>
                <w:lang w:val="en-US" w:eastAsia="zh-CN"/>
              </w:rPr>
              <w:t>4项</w:t>
            </w:r>
          </w:p>
        </w:tc>
        <w:tc>
          <w:tcPr>
            <w:tcW w:w="957" w:type="dxa"/>
            <w:shd w:val="clear" w:color="auto" w:fill="auto"/>
            <w:noWrap w:val="0"/>
            <w:vAlign w:val="center"/>
          </w:tcPr>
          <w:p w14:paraId="30D5CF02">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00994BFB">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230711BB">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1020" w:type="dxa"/>
            <w:shd w:val="clear" w:color="auto" w:fill="auto"/>
            <w:noWrap w:val="0"/>
            <w:vAlign w:val="center"/>
          </w:tcPr>
          <w:p w14:paraId="1844901E">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36AB06A2">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5C382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68206370">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10</w:t>
            </w:r>
          </w:p>
        </w:tc>
        <w:tc>
          <w:tcPr>
            <w:tcW w:w="3221" w:type="dxa"/>
            <w:shd w:val="clear" w:color="auto" w:fill="auto"/>
            <w:noWrap w:val="0"/>
            <w:vAlign w:val="center"/>
          </w:tcPr>
          <w:p w14:paraId="14F35B09">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ascii="宋体" w:hAnsi="宋体"/>
                <w:color w:val="auto"/>
                <w:szCs w:val="21"/>
                <w:highlight w:val="none"/>
              </w:rPr>
            </w:pPr>
            <w:r>
              <w:rPr>
                <w:rFonts w:hint="eastAsia" w:ascii="宋体" w:hAnsi="宋体"/>
                <w:color w:val="auto"/>
                <w:kern w:val="0"/>
                <w:szCs w:val="21"/>
                <w:highlight w:val="none"/>
              </w:rPr>
              <w:t>血脂检测4项</w:t>
            </w:r>
          </w:p>
        </w:tc>
        <w:tc>
          <w:tcPr>
            <w:tcW w:w="957" w:type="dxa"/>
            <w:shd w:val="clear" w:color="auto" w:fill="auto"/>
            <w:noWrap w:val="0"/>
            <w:vAlign w:val="center"/>
          </w:tcPr>
          <w:p w14:paraId="38D0CEE0">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032267D5">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7AB81A44">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1020" w:type="dxa"/>
            <w:shd w:val="clear" w:color="auto" w:fill="auto"/>
            <w:noWrap w:val="0"/>
            <w:vAlign w:val="center"/>
          </w:tcPr>
          <w:p w14:paraId="088709E3">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0D5ED060">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3A80B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308E0D4B">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11</w:t>
            </w:r>
          </w:p>
        </w:tc>
        <w:tc>
          <w:tcPr>
            <w:tcW w:w="3221" w:type="dxa"/>
            <w:shd w:val="clear" w:color="auto" w:fill="auto"/>
            <w:noWrap w:val="0"/>
            <w:vAlign w:val="center"/>
          </w:tcPr>
          <w:p w14:paraId="2FE02879">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ascii="宋体" w:hAnsi="宋体"/>
                <w:color w:val="auto"/>
                <w:szCs w:val="21"/>
                <w:highlight w:val="none"/>
              </w:rPr>
            </w:pPr>
            <w:r>
              <w:rPr>
                <w:rFonts w:hint="eastAsia" w:ascii="宋体" w:hAnsi="宋体"/>
                <w:color w:val="auto"/>
                <w:kern w:val="0"/>
                <w:szCs w:val="21"/>
                <w:highlight w:val="none"/>
              </w:rPr>
              <w:t>空腹血糖</w:t>
            </w:r>
          </w:p>
        </w:tc>
        <w:tc>
          <w:tcPr>
            <w:tcW w:w="957" w:type="dxa"/>
            <w:shd w:val="clear" w:color="auto" w:fill="auto"/>
            <w:noWrap w:val="0"/>
            <w:vAlign w:val="center"/>
          </w:tcPr>
          <w:p w14:paraId="19D68FD2">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0C1FBDEA">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4A04C936">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1020" w:type="dxa"/>
            <w:shd w:val="clear" w:color="auto" w:fill="auto"/>
            <w:noWrap w:val="0"/>
            <w:vAlign w:val="center"/>
          </w:tcPr>
          <w:p w14:paraId="0E885C4B">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6D188F1B">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3FD01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0970DD2A">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12</w:t>
            </w:r>
          </w:p>
        </w:tc>
        <w:tc>
          <w:tcPr>
            <w:tcW w:w="3221" w:type="dxa"/>
            <w:shd w:val="clear" w:color="auto" w:fill="auto"/>
            <w:noWrap w:val="0"/>
            <w:vAlign w:val="center"/>
          </w:tcPr>
          <w:p w14:paraId="115399ED">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hint="default" w:ascii="宋体" w:hAnsi="宋体" w:eastAsiaTheme="minorEastAsia"/>
                <w:color w:val="auto"/>
                <w:kern w:val="0"/>
                <w:szCs w:val="21"/>
                <w:highlight w:val="none"/>
                <w:lang w:val="en-US" w:eastAsia="zh-CN"/>
              </w:rPr>
            </w:pPr>
            <w:r>
              <w:rPr>
                <w:rFonts w:hint="eastAsia" w:ascii="宋体" w:hAnsi="宋体"/>
                <w:color w:val="auto"/>
                <w:kern w:val="0"/>
                <w:szCs w:val="21"/>
                <w:highlight w:val="none"/>
                <w:lang w:val="en-US" w:eastAsia="zh-CN"/>
              </w:rPr>
              <w:t>餐后血糖</w:t>
            </w:r>
          </w:p>
        </w:tc>
        <w:tc>
          <w:tcPr>
            <w:tcW w:w="957" w:type="dxa"/>
            <w:shd w:val="clear" w:color="auto" w:fill="auto"/>
            <w:noWrap w:val="0"/>
            <w:vAlign w:val="center"/>
          </w:tcPr>
          <w:p w14:paraId="75C24461">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lang w:val="en-US" w:eastAsia="zh-CN"/>
              </w:rPr>
              <w:t>/</w:t>
            </w:r>
          </w:p>
        </w:tc>
        <w:tc>
          <w:tcPr>
            <w:tcW w:w="957" w:type="dxa"/>
            <w:shd w:val="clear" w:color="auto" w:fill="auto"/>
            <w:noWrap w:val="0"/>
            <w:vAlign w:val="center"/>
          </w:tcPr>
          <w:p w14:paraId="63949E7F">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52088859">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lang w:val="en-US" w:eastAsia="zh-CN"/>
              </w:rPr>
              <w:t>/</w:t>
            </w:r>
          </w:p>
        </w:tc>
        <w:tc>
          <w:tcPr>
            <w:tcW w:w="1020" w:type="dxa"/>
            <w:shd w:val="clear" w:color="auto" w:fill="auto"/>
            <w:noWrap w:val="0"/>
            <w:vAlign w:val="center"/>
          </w:tcPr>
          <w:p w14:paraId="0A302D25">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lang w:val="en-US" w:eastAsia="zh-CN"/>
              </w:rPr>
              <w:t>/</w:t>
            </w:r>
          </w:p>
        </w:tc>
        <w:tc>
          <w:tcPr>
            <w:tcW w:w="957" w:type="dxa"/>
            <w:shd w:val="clear" w:color="auto" w:fill="auto"/>
            <w:noWrap w:val="0"/>
            <w:vAlign w:val="center"/>
          </w:tcPr>
          <w:p w14:paraId="35D0CF9E">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59C4B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3DC3A025">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13</w:t>
            </w:r>
          </w:p>
        </w:tc>
        <w:tc>
          <w:tcPr>
            <w:tcW w:w="3221" w:type="dxa"/>
            <w:shd w:val="clear" w:color="auto" w:fill="auto"/>
            <w:noWrap w:val="0"/>
            <w:vAlign w:val="center"/>
          </w:tcPr>
          <w:p w14:paraId="367FEB62">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hint="default" w:ascii="宋体" w:hAnsi="宋体" w:eastAsiaTheme="minorEastAsia"/>
                <w:color w:val="auto"/>
                <w:kern w:val="0"/>
                <w:szCs w:val="21"/>
                <w:highlight w:val="none"/>
                <w:lang w:val="en-US" w:eastAsia="zh-CN"/>
              </w:rPr>
            </w:pPr>
            <w:r>
              <w:rPr>
                <w:rFonts w:hint="eastAsia" w:ascii="宋体" w:hAnsi="宋体"/>
                <w:color w:val="auto"/>
                <w:kern w:val="0"/>
                <w:szCs w:val="21"/>
                <w:highlight w:val="none"/>
                <w:lang w:val="en-US" w:eastAsia="zh-CN"/>
              </w:rPr>
              <w:t>糖化血红蛋白</w:t>
            </w:r>
          </w:p>
        </w:tc>
        <w:tc>
          <w:tcPr>
            <w:tcW w:w="957" w:type="dxa"/>
            <w:shd w:val="clear" w:color="auto" w:fill="auto"/>
            <w:noWrap w:val="0"/>
            <w:vAlign w:val="center"/>
          </w:tcPr>
          <w:p w14:paraId="7017B034">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rPr>
              <w:t>√</w:t>
            </w:r>
          </w:p>
        </w:tc>
        <w:tc>
          <w:tcPr>
            <w:tcW w:w="957" w:type="dxa"/>
            <w:shd w:val="clear" w:color="auto" w:fill="auto"/>
            <w:noWrap w:val="0"/>
            <w:vAlign w:val="center"/>
          </w:tcPr>
          <w:p w14:paraId="5E57F0B7">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rPr>
              <w:t>√</w:t>
            </w:r>
          </w:p>
        </w:tc>
        <w:tc>
          <w:tcPr>
            <w:tcW w:w="957" w:type="dxa"/>
            <w:shd w:val="clear" w:color="auto" w:fill="auto"/>
            <w:noWrap w:val="0"/>
            <w:vAlign w:val="center"/>
          </w:tcPr>
          <w:p w14:paraId="04C670AF">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rPr>
              <w:t>√</w:t>
            </w:r>
          </w:p>
        </w:tc>
        <w:tc>
          <w:tcPr>
            <w:tcW w:w="1020" w:type="dxa"/>
            <w:shd w:val="clear" w:color="auto" w:fill="auto"/>
            <w:noWrap w:val="0"/>
            <w:vAlign w:val="center"/>
          </w:tcPr>
          <w:p w14:paraId="4BE0D897">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rPr>
              <w:t>√</w:t>
            </w:r>
          </w:p>
        </w:tc>
        <w:tc>
          <w:tcPr>
            <w:tcW w:w="957" w:type="dxa"/>
            <w:shd w:val="clear" w:color="auto" w:fill="auto"/>
            <w:noWrap w:val="0"/>
            <w:vAlign w:val="center"/>
          </w:tcPr>
          <w:p w14:paraId="5AF05F4B">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rPr>
              <w:t>√</w:t>
            </w:r>
          </w:p>
        </w:tc>
      </w:tr>
      <w:tr w14:paraId="6D85B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06024901">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14</w:t>
            </w:r>
          </w:p>
        </w:tc>
        <w:tc>
          <w:tcPr>
            <w:tcW w:w="3221" w:type="dxa"/>
            <w:shd w:val="clear" w:color="auto" w:fill="auto"/>
            <w:noWrap w:val="0"/>
            <w:vAlign w:val="center"/>
          </w:tcPr>
          <w:p w14:paraId="74D3F2F3">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ascii="宋体" w:hAnsi="宋体"/>
                <w:color w:val="auto"/>
                <w:szCs w:val="21"/>
                <w:highlight w:val="none"/>
              </w:rPr>
            </w:pPr>
            <w:r>
              <w:rPr>
                <w:rFonts w:hint="eastAsia" w:ascii="宋体" w:hAnsi="宋体"/>
                <w:color w:val="auto"/>
                <w:kern w:val="0"/>
                <w:szCs w:val="21"/>
                <w:highlight w:val="none"/>
              </w:rPr>
              <w:t>同型半胱氨酸</w:t>
            </w:r>
          </w:p>
        </w:tc>
        <w:tc>
          <w:tcPr>
            <w:tcW w:w="957" w:type="dxa"/>
            <w:shd w:val="clear" w:color="auto" w:fill="auto"/>
            <w:noWrap w:val="0"/>
            <w:vAlign w:val="center"/>
          </w:tcPr>
          <w:p w14:paraId="5E4603EB">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Theme="minorEastAsia"/>
                <w:color w:val="auto"/>
                <w:kern w:val="0"/>
                <w:szCs w:val="21"/>
                <w:highlight w:val="none"/>
                <w:lang w:val="en-US" w:eastAsia="zh-CN"/>
              </w:rPr>
            </w:pPr>
            <w:r>
              <w:rPr>
                <w:rFonts w:hint="eastAsia" w:ascii="宋体" w:hAnsi="宋体"/>
                <w:color w:val="auto"/>
                <w:kern w:val="0"/>
                <w:szCs w:val="21"/>
                <w:highlight w:val="none"/>
                <w:lang w:val="en-US" w:eastAsia="zh-CN"/>
              </w:rPr>
              <w:t>/</w:t>
            </w:r>
          </w:p>
        </w:tc>
        <w:tc>
          <w:tcPr>
            <w:tcW w:w="957" w:type="dxa"/>
            <w:shd w:val="clear" w:color="auto" w:fill="auto"/>
            <w:noWrap w:val="0"/>
            <w:vAlign w:val="center"/>
          </w:tcPr>
          <w:p w14:paraId="007A5317">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1151EA1F">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eastAsiaTheme="minorEastAsia"/>
                <w:color w:val="auto"/>
                <w:kern w:val="0"/>
                <w:szCs w:val="21"/>
                <w:highlight w:val="none"/>
                <w:lang w:val="en-US" w:eastAsia="zh-CN"/>
              </w:rPr>
            </w:pPr>
            <w:r>
              <w:rPr>
                <w:rFonts w:hint="eastAsia" w:ascii="宋体" w:hAnsi="宋体"/>
                <w:color w:val="auto"/>
                <w:kern w:val="0"/>
                <w:szCs w:val="21"/>
                <w:highlight w:val="none"/>
                <w:lang w:val="en-US" w:eastAsia="zh-CN"/>
              </w:rPr>
              <w:t>/</w:t>
            </w:r>
          </w:p>
        </w:tc>
        <w:tc>
          <w:tcPr>
            <w:tcW w:w="1020" w:type="dxa"/>
            <w:shd w:val="clear" w:color="auto" w:fill="auto"/>
            <w:noWrap w:val="0"/>
            <w:vAlign w:val="center"/>
          </w:tcPr>
          <w:p w14:paraId="1A1940A3">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lang w:val="en-US" w:eastAsia="zh-CN"/>
              </w:rPr>
              <w:t>/</w:t>
            </w:r>
          </w:p>
        </w:tc>
        <w:tc>
          <w:tcPr>
            <w:tcW w:w="957" w:type="dxa"/>
            <w:shd w:val="clear" w:color="auto" w:fill="auto"/>
            <w:noWrap w:val="0"/>
            <w:vAlign w:val="center"/>
          </w:tcPr>
          <w:p w14:paraId="4B4CE599">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6D9E3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37B47C7E">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15</w:t>
            </w:r>
          </w:p>
        </w:tc>
        <w:tc>
          <w:tcPr>
            <w:tcW w:w="3221" w:type="dxa"/>
            <w:shd w:val="clear" w:color="auto" w:fill="auto"/>
            <w:noWrap w:val="0"/>
            <w:vAlign w:val="center"/>
          </w:tcPr>
          <w:p w14:paraId="6C6F1F05">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ascii="宋体" w:hAnsi="宋体"/>
                <w:color w:val="auto"/>
                <w:szCs w:val="21"/>
                <w:highlight w:val="none"/>
              </w:rPr>
            </w:pPr>
            <w:r>
              <w:rPr>
                <w:rFonts w:hint="eastAsia" w:ascii="宋体" w:hAnsi="宋体"/>
                <w:color w:val="auto"/>
                <w:kern w:val="0"/>
                <w:szCs w:val="21"/>
                <w:highlight w:val="none"/>
              </w:rPr>
              <w:t>甲胎蛋白AFP</w:t>
            </w:r>
          </w:p>
        </w:tc>
        <w:tc>
          <w:tcPr>
            <w:tcW w:w="957" w:type="dxa"/>
            <w:shd w:val="clear" w:color="auto" w:fill="auto"/>
            <w:noWrap w:val="0"/>
            <w:vAlign w:val="center"/>
          </w:tcPr>
          <w:p w14:paraId="7FD900CE">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731E6DA0">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651018CC">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1020" w:type="dxa"/>
            <w:shd w:val="clear" w:color="auto" w:fill="auto"/>
            <w:noWrap w:val="0"/>
            <w:vAlign w:val="center"/>
          </w:tcPr>
          <w:p w14:paraId="23393A41">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27E7DF5B">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3B62C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47F06A4E">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16</w:t>
            </w:r>
          </w:p>
        </w:tc>
        <w:tc>
          <w:tcPr>
            <w:tcW w:w="3221" w:type="dxa"/>
            <w:shd w:val="clear" w:color="auto" w:fill="auto"/>
            <w:noWrap w:val="0"/>
            <w:vAlign w:val="center"/>
          </w:tcPr>
          <w:p w14:paraId="78315739">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ascii="宋体" w:hAnsi="宋体"/>
                <w:color w:val="auto"/>
                <w:szCs w:val="21"/>
                <w:highlight w:val="none"/>
              </w:rPr>
            </w:pPr>
            <w:r>
              <w:rPr>
                <w:rFonts w:hint="eastAsia" w:ascii="宋体" w:hAnsi="宋体"/>
                <w:color w:val="auto"/>
                <w:kern w:val="0"/>
                <w:szCs w:val="21"/>
                <w:highlight w:val="none"/>
              </w:rPr>
              <w:t>EB病毒2项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鼻咽癌筛查）</w:t>
            </w:r>
          </w:p>
        </w:tc>
        <w:tc>
          <w:tcPr>
            <w:tcW w:w="957" w:type="dxa"/>
            <w:shd w:val="clear" w:color="auto" w:fill="auto"/>
            <w:noWrap w:val="0"/>
            <w:vAlign w:val="center"/>
          </w:tcPr>
          <w:p w14:paraId="47EAC1A0">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47A63F78">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6B1FB37E">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1020" w:type="dxa"/>
            <w:shd w:val="clear" w:color="auto" w:fill="auto"/>
            <w:noWrap w:val="0"/>
            <w:vAlign w:val="center"/>
          </w:tcPr>
          <w:p w14:paraId="0D465F42">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68851D71">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607D8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0FE6E65B">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17</w:t>
            </w:r>
          </w:p>
        </w:tc>
        <w:tc>
          <w:tcPr>
            <w:tcW w:w="3221" w:type="dxa"/>
            <w:shd w:val="clear" w:color="auto" w:fill="auto"/>
            <w:noWrap w:val="0"/>
            <w:vAlign w:val="center"/>
          </w:tcPr>
          <w:p w14:paraId="4109B8EA">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ascii="宋体" w:hAnsi="宋体"/>
                <w:color w:val="auto"/>
                <w:szCs w:val="21"/>
                <w:highlight w:val="none"/>
              </w:rPr>
            </w:pPr>
            <w:r>
              <w:rPr>
                <w:rFonts w:hint="eastAsia" w:ascii="宋体" w:hAnsi="宋体"/>
                <w:color w:val="auto"/>
                <w:kern w:val="0"/>
                <w:szCs w:val="21"/>
                <w:highlight w:val="none"/>
              </w:rPr>
              <w:t>癌胚抗原（CEA)</w:t>
            </w:r>
          </w:p>
        </w:tc>
        <w:tc>
          <w:tcPr>
            <w:tcW w:w="957" w:type="dxa"/>
            <w:shd w:val="clear" w:color="auto" w:fill="auto"/>
            <w:noWrap w:val="0"/>
            <w:vAlign w:val="center"/>
          </w:tcPr>
          <w:p w14:paraId="52EFA2E9">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3D456880">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7B65260B">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1020" w:type="dxa"/>
            <w:shd w:val="clear" w:color="auto" w:fill="auto"/>
            <w:noWrap w:val="0"/>
            <w:vAlign w:val="center"/>
          </w:tcPr>
          <w:p w14:paraId="12A918D1">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0749F36C">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5AF10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73CFF5C7">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18</w:t>
            </w:r>
          </w:p>
        </w:tc>
        <w:tc>
          <w:tcPr>
            <w:tcW w:w="3221" w:type="dxa"/>
            <w:shd w:val="clear" w:color="auto" w:fill="auto"/>
            <w:noWrap w:val="0"/>
            <w:vAlign w:val="center"/>
          </w:tcPr>
          <w:p w14:paraId="1E61450A">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hint="default" w:ascii="宋体" w:hAnsi="宋体" w:eastAsiaTheme="minorEastAsia"/>
                <w:color w:val="auto"/>
                <w:szCs w:val="21"/>
                <w:highlight w:val="none"/>
                <w:lang w:val="en-US" w:eastAsia="zh-CN"/>
              </w:rPr>
            </w:pPr>
            <w:r>
              <w:rPr>
                <w:rFonts w:hint="eastAsia" w:ascii="宋体" w:hAnsi="宋体"/>
                <w:color w:val="auto"/>
                <w:kern w:val="0"/>
                <w:szCs w:val="21"/>
                <w:highlight w:val="none"/>
                <w:lang w:val="en-US" w:eastAsia="zh-CN"/>
              </w:rPr>
              <w:t>前列腺特异性抗原三项（前列腺癌相关标志物）</w:t>
            </w:r>
          </w:p>
        </w:tc>
        <w:tc>
          <w:tcPr>
            <w:tcW w:w="957" w:type="dxa"/>
            <w:shd w:val="clear" w:color="auto" w:fill="auto"/>
            <w:noWrap w:val="0"/>
            <w:vAlign w:val="center"/>
          </w:tcPr>
          <w:p w14:paraId="3F0BCBA2">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rPr>
              <w:t>√</w:t>
            </w:r>
          </w:p>
        </w:tc>
        <w:tc>
          <w:tcPr>
            <w:tcW w:w="957" w:type="dxa"/>
            <w:shd w:val="clear" w:color="auto" w:fill="auto"/>
            <w:noWrap w:val="0"/>
            <w:vAlign w:val="center"/>
          </w:tcPr>
          <w:p w14:paraId="60BDC5DD">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rPr>
              <w:t>√</w:t>
            </w:r>
          </w:p>
        </w:tc>
        <w:tc>
          <w:tcPr>
            <w:tcW w:w="957" w:type="dxa"/>
            <w:shd w:val="clear" w:color="auto" w:fill="auto"/>
            <w:noWrap w:val="0"/>
            <w:vAlign w:val="center"/>
          </w:tcPr>
          <w:p w14:paraId="6A9E99FC">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w:t>
            </w:r>
          </w:p>
        </w:tc>
        <w:tc>
          <w:tcPr>
            <w:tcW w:w="1020" w:type="dxa"/>
            <w:shd w:val="clear" w:color="auto" w:fill="auto"/>
            <w:noWrap w:val="0"/>
            <w:vAlign w:val="center"/>
          </w:tcPr>
          <w:p w14:paraId="4DC05B0F">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w:t>
            </w:r>
          </w:p>
        </w:tc>
        <w:tc>
          <w:tcPr>
            <w:tcW w:w="957" w:type="dxa"/>
            <w:shd w:val="clear" w:color="auto" w:fill="auto"/>
            <w:noWrap w:val="0"/>
            <w:vAlign w:val="center"/>
          </w:tcPr>
          <w:p w14:paraId="28BB919B">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w:t>
            </w:r>
          </w:p>
        </w:tc>
      </w:tr>
      <w:tr w14:paraId="5C167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5CEACF5B">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19</w:t>
            </w:r>
          </w:p>
        </w:tc>
        <w:tc>
          <w:tcPr>
            <w:tcW w:w="3221" w:type="dxa"/>
            <w:shd w:val="clear" w:color="auto" w:fill="auto"/>
            <w:noWrap w:val="0"/>
            <w:vAlign w:val="center"/>
          </w:tcPr>
          <w:p w14:paraId="321B4421">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ascii="宋体" w:hAnsi="宋体"/>
                <w:color w:val="auto"/>
                <w:szCs w:val="21"/>
                <w:highlight w:val="none"/>
              </w:rPr>
            </w:pPr>
            <w:r>
              <w:rPr>
                <w:rFonts w:hint="eastAsia" w:ascii="宋体" w:hAnsi="宋体"/>
                <w:color w:val="auto"/>
                <w:kern w:val="0"/>
                <w:szCs w:val="21"/>
                <w:highlight w:val="none"/>
              </w:rPr>
              <w:t>糖基抗原CA153（女）</w:t>
            </w:r>
          </w:p>
        </w:tc>
        <w:tc>
          <w:tcPr>
            <w:tcW w:w="957" w:type="dxa"/>
            <w:shd w:val="clear" w:color="auto" w:fill="auto"/>
            <w:noWrap w:val="0"/>
            <w:vAlign w:val="center"/>
          </w:tcPr>
          <w:p w14:paraId="692D8980">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lang w:val="en-US" w:eastAsia="zh-CN"/>
              </w:rPr>
              <w:t>/</w:t>
            </w:r>
          </w:p>
        </w:tc>
        <w:tc>
          <w:tcPr>
            <w:tcW w:w="957" w:type="dxa"/>
            <w:shd w:val="clear" w:color="auto" w:fill="auto"/>
            <w:noWrap w:val="0"/>
            <w:vAlign w:val="center"/>
          </w:tcPr>
          <w:p w14:paraId="2032EBAD">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lang w:val="en-US" w:eastAsia="zh-CN"/>
              </w:rPr>
              <w:t>/</w:t>
            </w:r>
          </w:p>
        </w:tc>
        <w:tc>
          <w:tcPr>
            <w:tcW w:w="957" w:type="dxa"/>
            <w:shd w:val="clear" w:color="auto" w:fill="auto"/>
            <w:noWrap w:val="0"/>
            <w:vAlign w:val="center"/>
          </w:tcPr>
          <w:p w14:paraId="10ACD923">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1020" w:type="dxa"/>
            <w:shd w:val="clear" w:color="auto" w:fill="auto"/>
            <w:noWrap w:val="0"/>
            <w:vAlign w:val="center"/>
          </w:tcPr>
          <w:p w14:paraId="5B33D489">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7213E1D6">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28A6C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657C79B8">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20</w:t>
            </w:r>
          </w:p>
        </w:tc>
        <w:tc>
          <w:tcPr>
            <w:tcW w:w="3221" w:type="dxa"/>
            <w:shd w:val="clear" w:color="auto" w:fill="auto"/>
            <w:noWrap w:val="0"/>
            <w:vAlign w:val="center"/>
          </w:tcPr>
          <w:p w14:paraId="56CC53F5">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hint="default" w:ascii="宋体" w:hAnsi="宋体" w:eastAsiaTheme="minorEastAsia"/>
                <w:color w:val="auto"/>
                <w:kern w:val="0"/>
                <w:szCs w:val="21"/>
                <w:highlight w:val="none"/>
                <w:lang w:val="en-US" w:eastAsia="zh-CN"/>
              </w:rPr>
            </w:pPr>
            <w:r>
              <w:rPr>
                <w:rFonts w:hint="eastAsia" w:ascii="宋体" w:hAnsi="宋体"/>
                <w:color w:val="auto"/>
                <w:kern w:val="0"/>
                <w:szCs w:val="21"/>
                <w:highlight w:val="none"/>
                <w:lang w:val="en-US" w:eastAsia="zh-CN"/>
              </w:rPr>
              <w:t>CA-199（胰腺癌筛查）</w:t>
            </w:r>
          </w:p>
        </w:tc>
        <w:tc>
          <w:tcPr>
            <w:tcW w:w="957" w:type="dxa"/>
            <w:shd w:val="clear" w:color="auto" w:fill="auto"/>
            <w:noWrap w:val="0"/>
            <w:vAlign w:val="center"/>
          </w:tcPr>
          <w:p w14:paraId="2E339CCD">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rPr>
              <w:t>√</w:t>
            </w:r>
          </w:p>
        </w:tc>
        <w:tc>
          <w:tcPr>
            <w:tcW w:w="957" w:type="dxa"/>
            <w:shd w:val="clear" w:color="auto" w:fill="auto"/>
            <w:noWrap w:val="0"/>
            <w:vAlign w:val="center"/>
          </w:tcPr>
          <w:p w14:paraId="4461E718">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rPr>
              <w:t>√</w:t>
            </w:r>
          </w:p>
        </w:tc>
        <w:tc>
          <w:tcPr>
            <w:tcW w:w="957" w:type="dxa"/>
            <w:shd w:val="clear" w:color="auto" w:fill="auto"/>
            <w:noWrap w:val="0"/>
            <w:vAlign w:val="center"/>
          </w:tcPr>
          <w:p w14:paraId="4E065E2D">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rPr>
              <w:t>√</w:t>
            </w:r>
          </w:p>
        </w:tc>
        <w:tc>
          <w:tcPr>
            <w:tcW w:w="1020" w:type="dxa"/>
            <w:shd w:val="clear" w:color="auto" w:fill="auto"/>
            <w:noWrap w:val="0"/>
            <w:vAlign w:val="center"/>
          </w:tcPr>
          <w:p w14:paraId="5102DB81">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rPr>
              <w:t>√</w:t>
            </w:r>
          </w:p>
        </w:tc>
        <w:tc>
          <w:tcPr>
            <w:tcW w:w="957" w:type="dxa"/>
            <w:shd w:val="clear" w:color="auto" w:fill="auto"/>
            <w:noWrap w:val="0"/>
            <w:vAlign w:val="center"/>
          </w:tcPr>
          <w:p w14:paraId="0739067E">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rPr>
              <w:t>√</w:t>
            </w:r>
          </w:p>
        </w:tc>
      </w:tr>
      <w:tr w14:paraId="5C3EA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4C795CB5">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21</w:t>
            </w:r>
          </w:p>
        </w:tc>
        <w:tc>
          <w:tcPr>
            <w:tcW w:w="3221" w:type="dxa"/>
            <w:shd w:val="clear" w:color="auto" w:fill="auto"/>
            <w:noWrap w:val="0"/>
            <w:vAlign w:val="center"/>
          </w:tcPr>
          <w:p w14:paraId="7956C63B">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hint="default" w:ascii="宋体" w:hAnsi="宋体" w:eastAsiaTheme="minorEastAsia"/>
                <w:color w:val="auto"/>
                <w:kern w:val="0"/>
                <w:szCs w:val="21"/>
                <w:highlight w:val="none"/>
                <w:lang w:val="en-US" w:eastAsia="zh-CN"/>
              </w:rPr>
            </w:pPr>
            <w:r>
              <w:rPr>
                <w:rFonts w:hint="eastAsia" w:ascii="宋体" w:hAnsi="宋体"/>
                <w:color w:val="auto"/>
                <w:kern w:val="0"/>
                <w:szCs w:val="21"/>
                <w:highlight w:val="none"/>
                <w:lang w:val="en-US" w:eastAsia="zh-CN"/>
              </w:rPr>
              <w:t>甲状腺功能三项</w:t>
            </w:r>
          </w:p>
        </w:tc>
        <w:tc>
          <w:tcPr>
            <w:tcW w:w="957" w:type="dxa"/>
            <w:shd w:val="clear" w:color="auto" w:fill="auto"/>
            <w:noWrap w:val="0"/>
            <w:vAlign w:val="center"/>
          </w:tcPr>
          <w:p w14:paraId="51150CB7">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rPr>
              <w:t>√</w:t>
            </w:r>
          </w:p>
        </w:tc>
        <w:tc>
          <w:tcPr>
            <w:tcW w:w="957" w:type="dxa"/>
            <w:shd w:val="clear" w:color="auto" w:fill="auto"/>
            <w:noWrap w:val="0"/>
            <w:vAlign w:val="center"/>
          </w:tcPr>
          <w:p w14:paraId="3247DA54">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rPr>
              <w:t>√</w:t>
            </w:r>
          </w:p>
        </w:tc>
        <w:tc>
          <w:tcPr>
            <w:tcW w:w="957" w:type="dxa"/>
            <w:shd w:val="clear" w:color="auto" w:fill="auto"/>
            <w:noWrap w:val="0"/>
            <w:vAlign w:val="center"/>
          </w:tcPr>
          <w:p w14:paraId="7CA09C20">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rPr>
              <w:t>√</w:t>
            </w:r>
          </w:p>
        </w:tc>
        <w:tc>
          <w:tcPr>
            <w:tcW w:w="1020" w:type="dxa"/>
            <w:shd w:val="clear" w:color="auto" w:fill="auto"/>
            <w:noWrap w:val="0"/>
            <w:vAlign w:val="center"/>
          </w:tcPr>
          <w:p w14:paraId="2884632B">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rPr>
              <w:t>√</w:t>
            </w:r>
          </w:p>
        </w:tc>
        <w:tc>
          <w:tcPr>
            <w:tcW w:w="957" w:type="dxa"/>
            <w:shd w:val="clear" w:color="auto" w:fill="auto"/>
            <w:noWrap w:val="0"/>
            <w:vAlign w:val="center"/>
          </w:tcPr>
          <w:p w14:paraId="28DCE132">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rPr>
              <w:t>√</w:t>
            </w:r>
          </w:p>
        </w:tc>
      </w:tr>
      <w:tr w14:paraId="16F3C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497F758D">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22</w:t>
            </w:r>
          </w:p>
        </w:tc>
        <w:tc>
          <w:tcPr>
            <w:tcW w:w="3221" w:type="dxa"/>
            <w:shd w:val="clear" w:color="auto" w:fill="auto"/>
            <w:noWrap w:val="0"/>
            <w:vAlign w:val="center"/>
          </w:tcPr>
          <w:p w14:paraId="278B9147">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ascii="宋体" w:hAnsi="宋体"/>
                <w:color w:val="auto"/>
                <w:szCs w:val="21"/>
                <w:highlight w:val="none"/>
              </w:rPr>
            </w:pPr>
            <w:r>
              <w:rPr>
                <w:rFonts w:hint="eastAsia" w:ascii="宋体" w:hAnsi="宋体"/>
                <w:color w:val="auto"/>
                <w:kern w:val="0"/>
                <w:szCs w:val="21"/>
                <w:highlight w:val="none"/>
              </w:rPr>
              <w:t>彩超</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肝、胆、脾、胰输尿管、膀胱、前列腺)(男)</w:t>
            </w:r>
          </w:p>
        </w:tc>
        <w:tc>
          <w:tcPr>
            <w:tcW w:w="957" w:type="dxa"/>
            <w:shd w:val="clear" w:color="auto" w:fill="auto"/>
            <w:noWrap w:val="0"/>
            <w:vAlign w:val="center"/>
          </w:tcPr>
          <w:p w14:paraId="5ACCBA09">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438EC829">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746CEE49">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lang w:val="en-US" w:eastAsia="zh-CN"/>
              </w:rPr>
              <w:t>/</w:t>
            </w:r>
          </w:p>
        </w:tc>
        <w:tc>
          <w:tcPr>
            <w:tcW w:w="1020" w:type="dxa"/>
            <w:shd w:val="clear" w:color="auto" w:fill="auto"/>
            <w:noWrap w:val="0"/>
            <w:vAlign w:val="center"/>
          </w:tcPr>
          <w:p w14:paraId="60C3DD8F">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lang w:val="en-US" w:eastAsia="zh-CN"/>
              </w:rPr>
              <w:t>/</w:t>
            </w:r>
          </w:p>
        </w:tc>
        <w:tc>
          <w:tcPr>
            <w:tcW w:w="957" w:type="dxa"/>
            <w:shd w:val="clear" w:color="auto" w:fill="auto"/>
            <w:noWrap w:val="0"/>
            <w:vAlign w:val="center"/>
          </w:tcPr>
          <w:p w14:paraId="60C237B9">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lang w:val="en-US" w:eastAsia="zh-CN"/>
              </w:rPr>
              <w:t>/</w:t>
            </w:r>
          </w:p>
        </w:tc>
      </w:tr>
      <w:tr w14:paraId="422BB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4E9CC89D">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23</w:t>
            </w:r>
          </w:p>
        </w:tc>
        <w:tc>
          <w:tcPr>
            <w:tcW w:w="3221" w:type="dxa"/>
            <w:shd w:val="clear" w:color="auto" w:fill="auto"/>
            <w:noWrap w:val="0"/>
            <w:vAlign w:val="center"/>
          </w:tcPr>
          <w:p w14:paraId="4DE09137">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hint="default" w:ascii="宋体" w:hAnsi="宋体" w:eastAsiaTheme="minorEastAsia"/>
                <w:color w:val="auto"/>
                <w:szCs w:val="21"/>
                <w:highlight w:val="none"/>
                <w:lang w:val="en-US" w:eastAsia="zh-CN"/>
              </w:rPr>
            </w:pPr>
            <w:r>
              <w:rPr>
                <w:rFonts w:hint="eastAsia" w:ascii="宋体" w:hAnsi="宋体"/>
                <w:color w:val="auto"/>
                <w:kern w:val="0"/>
                <w:szCs w:val="21"/>
                <w:highlight w:val="none"/>
              </w:rPr>
              <w:t>彩超（肝、胆、脾、胰</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输尿管、膀胱（女）</w:t>
            </w:r>
          </w:p>
        </w:tc>
        <w:tc>
          <w:tcPr>
            <w:tcW w:w="957" w:type="dxa"/>
            <w:shd w:val="clear" w:color="auto" w:fill="auto"/>
            <w:noWrap w:val="0"/>
            <w:vAlign w:val="center"/>
          </w:tcPr>
          <w:p w14:paraId="0BC9731D">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lang w:val="en-US" w:eastAsia="zh-CN"/>
              </w:rPr>
              <w:t>/</w:t>
            </w:r>
          </w:p>
        </w:tc>
        <w:tc>
          <w:tcPr>
            <w:tcW w:w="957" w:type="dxa"/>
            <w:shd w:val="clear" w:color="auto" w:fill="auto"/>
            <w:noWrap w:val="0"/>
            <w:vAlign w:val="center"/>
          </w:tcPr>
          <w:p w14:paraId="7383383F">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lang w:val="en-US" w:eastAsia="zh-CN"/>
              </w:rPr>
              <w:t>/</w:t>
            </w:r>
          </w:p>
        </w:tc>
        <w:tc>
          <w:tcPr>
            <w:tcW w:w="957" w:type="dxa"/>
            <w:shd w:val="clear" w:color="auto" w:fill="auto"/>
            <w:noWrap w:val="0"/>
            <w:vAlign w:val="center"/>
          </w:tcPr>
          <w:p w14:paraId="0396AAAC">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1020" w:type="dxa"/>
            <w:shd w:val="clear" w:color="auto" w:fill="auto"/>
            <w:noWrap w:val="0"/>
            <w:vAlign w:val="center"/>
          </w:tcPr>
          <w:p w14:paraId="1EE966F0">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3343E375">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4EB90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17D3C2EE">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24</w:t>
            </w:r>
          </w:p>
        </w:tc>
        <w:tc>
          <w:tcPr>
            <w:tcW w:w="3221" w:type="dxa"/>
            <w:shd w:val="clear" w:color="auto" w:fill="auto"/>
            <w:noWrap w:val="0"/>
            <w:vAlign w:val="center"/>
          </w:tcPr>
          <w:p w14:paraId="62757FB6">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ascii="宋体" w:hAnsi="宋体"/>
                <w:color w:val="auto"/>
                <w:szCs w:val="21"/>
                <w:highlight w:val="none"/>
              </w:rPr>
            </w:pPr>
            <w:r>
              <w:rPr>
                <w:rFonts w:hint="eastAsia" w:ascii="宋体" w:hAnsi="宋体"/>
                <w:color w:val="auto"/>
                <w:kern w:val="0"/>
                <w:szCs w:val="21"/>
                <w:highlight w:val="none"/>
                <w:lang w:val="en-US" w:eastAsia="zh-CN"/>
              </w:rPr>
              <w:t>彩超：（腹式）</w:t>
            </w:r>
            <w:r>
              <w:rPr>
                <w:rFonts w:hint="eastAsia" w:ascii="宋体" w:hAnsi="宋体"/>
                <w:color w:val="auto"/>
                <w:kern w:val="0"/>
                <w:szCs w:val="21"/>
                <w:highlight w:val="none"/>
              </w:rPr>
              <w:t>子宫、附件（女）</w:t>
            </w:r>
          </w:p>
        </w:tc>
        <w:tc>
          <w:tcPr>
            <w:tcW w:w="957" w:type="dxa"/>
            <w:shd w:val="clear" w:color="auto" w:fill="auto"/>
            <w:noWrap w:val="0"/>
            <w:vAlign w:val="center"/>
          </w:tcPr>
          <w:p w14:paraId="3020F96F">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lang w:val="en-US" w:eastAsia="zh-CN"/>
              </w:rPr>
              <w:t>/</w:t>
            </w:r>
          </w:p>
        </w:tc>
        <w:tc>
          <w:tcPr>
            <w:tcW w:w="957" w:type="dxa"/>
            <w:shd w:val="clear" w:color="auto" w:fill="auto"/>
            <w:noWrap w:val="0"/>
            <w:vAlign w:val="center"/>
          </w:tcPr>
          <w:p w14:paraId="34FDD8CE">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lang w:val="en-US" w:eastAsia="zh-CN"/>
              </w:rPr>
              <w:t>/</w:t>
            </w:r>
          </w:p>
        </w:tc>
        <w:tc>
          <w:tcPr>
            <w:tcW w:w="957" w:type="dxa"/>
            <w:shd w:val="clear" w:color="auto" w:fill="auto"/>
            <w:noWrap w:val="0"/>
            <w:vAlign w:val="center"/>
          </w:tcPr>
          <w:p w14:paraId="5A573F95">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1020" w:type="dxa"/>
            <w:shd w:val="clear" w:color="auto" w:fill="auto"/>
            <w:noWrap w:val="0"/>
            <w:vAlign w:val="center"/>
          </w:tcPr>
          <w:p w14:paraId="01964993">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lang w:val="en-US" w:eastAsia="zh-CN"/>
              </w:rPr>
              <w:t>/</w:t>
            </w:r>
          </w:p>
        </w:tc>
        <w:tc>
          <w:tcPr>
            <w:tcW w:w="957" w:type="dxa"/>
            <w:shd w:val="clear" w:color="auto" w:fill="auto"/>
            <w:noWrap w:val="0"/>
            <w:vAlign w:val="center"/>
          </w:tcPr>
          <w:p w14:paraId="0CE3F71A">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lang w:val="en-US" w:eastAsia="zh-CN"/>
              </w:rPr>
              <w:t>/</w:t>
            </w:r>
          </w:p>
        </w:tc>
      </w:tr>
      <w:tr w14:paraId="68CD7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7654B787">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25</w:t>
            </w:r>
          </w:p>
        </w:tc>
        <w:tc>
          <w:tcPr>
            <w:tcW w:w="3221" w:type="dxa"/>
            <w:shd w:val="clear" w:color="auto" w:fill="auto"/>
            <w:noWrap w:val="0"/>
            <w:vAlign w:val="center"/>
          </w:tcPr>
          <w:p w14:paraId="22A02DA7">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ascii="宋体" w:hAnsi="宋体"/>
                <w:color w:val="auto"/>
                <w:szCs w:val="21"/>
                <w:highlight w:val="none"/>
              </w:rPr>
            </w:pPr>
            <w:r>
              <w:rPr>
                <w:rFonts w:hint="eastAsia" w:ascii="宋体" w:hAnsi="宋体"/>
                <w:color w:val="auto"/>
                <w:kern w:val="0"/>
                <w:szCs w:val="21"/>
                <w:highlight w:val="none"/>
                <w:lang w:val="en-US" w:eastAsia="zh-CN"/>
              </w:rPr>
              <w:t>彩超：（</w:t>
            </w:r>
            <w:r>
              <w:rPr>
                <w:rFonts w:hint="eastAsia" w:ascii="宋体" w:hAnsi="宋体"/>
                <w:color w:val="auto"/>
                <w:kern w:val="0"/>
                <w:szCs w:val="21"/>
                <w:highlight w:val="none"/>
              </w:rPr>
              <w:t>阴</w:t>
            </w:r>
            <w:r>
              <w:rPr>
                <w:rFonts w:hint="eastAsia" w:ascii="宋体" w:hAnsi="宋体"/>
                <w:color w:val="auto"/>
                <w:kern w:val="0"/>
                <w:szCs w:val="21"/>
                <w:highlight w:val="none"/>
                <w:lang w:val="en-US" w:eastAsia="zh-CN"/>
              </w:rPr>
              <w:t>式）</w:t>
            </w:r>
            <w:r>
              <w:rPr>
                <w:rFonts w:hint="eastAsia" w:ascii="宋体" w:hAnsi="宋体"/>
                <w:color w:val="auto"/>
                <w:kern w:val="0"/>
                <w:szCs w:val="21"/>
                <w:highlight w:val="none"/>
              </w:rPr>
              <w:t>子宫、附件（女）</w:t>
            </w:r>
          </w:p>
        </w:tc>
        <w:tc>
          <w:tcPr>
            <w:tcW w:w="957" w:type="dxa"/>
            <w:shd w:val="clear" w:color="auto" w:fill="auto"/>
            <w:noWrap w:val="0"/>
            <w:vAlign w:val="center"/>
          </w:tcPr>
          <w:p w14:paraId="121FA7E9">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lang w:val="en-US" w:eastAsia="zh-CN"/>
              </w:rPr>
              <w:t>/</w:t>
            </w:r>
          </w:p>
        </w:tc>
        <w:tc>
          <w:tcPr>
            <w:tcW w:w="957" w:type="dxa"/>
            <w:shd w:val="clear" w:color="auto" w:fill="auto"/>
            <w:noWrap w:val="0"/>
            <w:vAlign w:val="center"/>
          </w:tcPr>
          <w:p w14:paraId="58D0253C">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lang w:val="en-US" w:eastAsia="zh-CN"/>
              </w:rPr>
              <w:t>/</w:t>
            </w:r>
          </w:p>
        </w:tc>
        <w:tc>
          <w:tcPr>
            <w:tcW w:w="957" w:type="dxa"/>
            <w:shd w:val="clear" w:color="auto" w:fill="auto"/>
            <w:noWrap w:val="0"/>
            <w:vAlign w:val="center"/>
          </w:tcPr>
          <w:p w14:paraId="52A166E6">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lang w:val="en-US" w:eastAsia="zh-CN"/>
              </w:rPr>
              <w:t>/</w:t>
            </w:r>
          </w:p>
        </w:tc>
        <w:tc>
          <w:tcPr>
            <w:tcW w:w="1020" w:type="dxa"/>
            <w:shd w:val="clear" w:color="auto" w:fill="auto"/>
            <w:noWrap w:val="0"/>
            <w:vAlign w:val="center"/>
          </w:tcPr>
          <w:p w14:paraId="09814774">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104B5DF6">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47325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370237B1">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26</w:t>
            </w:r>
          </w:p>
        </w:tc>
        <w:tc>
          <w:tcPr>
            <w:tcW w:w="3221" w:type="dxa"/>
            <w:shd w:val="clear" w:color="auto" w:fill="auto"/>
            <w:noWrap w:val="0"/>
            <w:vAlign w:val="center"/>
          </w:tcPr>
          <w:p w14:paraId="775D7F18">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hint="default" w:ascii="宋体" w:hAnsi="宋体" w:eastAsiaTheme="minorEastAsia"/>
                <w:color w:val="auto"/>
                <w:szCs w:val="21"/>
                <w:highlight w:val="none"/>
                <w:lang w:val="en-US" w:eastAsia="zh-CN"/>
              </w:rPr>
            </w:pPr>
            <w:r>
              <w:rPr>
                <w:rFonts w:hint="eastAsia" w:ascii="宋体" w:hAnsi="宋体"/>
                <w:color w:val="auto"/>
                <w:kern w:val="0"/>
                <w:szCs w:val="21"/>
                <w:highlight w:val="none"/>
                <w:lang w:val="en-US" w:eastAsia="zh-CN"/>
              </w:rPr>
              <w:t>颈动脉彩超</w:t>
            </w:r>
          </w:p>
        </w:tc>
        <w:tc>
          <w:tcPr>
            <w:tcW w:w="957" w:type="dxa"/>
            <w:shd w:val="clear" w:color="auto" w:fill="auto"/>
            <w:noWrap w:val="0"/>
            <w:vAlign w:val="center"/>
          </w:tcPr>
          <w:p w14:paraId="407A4860">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w:t>
            </w:r>
          </w:p>
        </w:tc>
        <w:tc>
          <w:tcPr>
            <w:tcW w:w="957" w:type="dxa"/>
            <w:shd w:val="clear" w:color="auto" w:fill="auto"/>
            <w:noWrap w:val="0"/>
            <w:vAlign w:val="center"/>
          </w:tcPr>
          <w:p w14:paraId="07459F5F">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rPr>
              <w:t>√</w:t>
            </w:r>
          </w:p>
        </w:tc>
        <w:tc>
          <w:tcPr>
            <w:tcW w:w="957" w:type="dxa"/>
            <w:shd w:val="clear" w:color="auto" w:fill="auto"/>
            <w:noWrap w:val="0"/>
            <w:vAlign w:val="center"/>
          </w:tcPr>
          <w:p w14:paraId="58658A77">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w:t>
            </w:r>
          </w:p>
        </w:tc>
        <w:tc>
          <w:tcPr>
            <w:tcW w:w="1020" w:type="dxa"/>
            <w:shd w:val="clear" w:color="auto" w:fill="auto"/>
            <w:noWrap w:val="0"/>
            <w:vAlign w:val="center"/>
          </w:tcPr>
          <w:p w14:paraId="5BE78A1A">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w:t>
            </w:r>
          </w:p>
        </w:tc>
        <w:tc>
          <w:tcPr>
            <w:tcW w:w="957" w:type="dxa"/>
            <w:shd w:val="clear" w:color="auto" w:fill="auto"/>
            <w:noWrap w:val="0"/>
            <w:vAlign w:val="center"/>
          </w:tcPr>
          <w:p w14:paraId="44B7D66F">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rPr>
              <w:t>√</w:t>
            </w:r>
          </w:p>
        </w:tc>
      </w:tr>
      <w:tr w14:paraId="7FCCB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1E5678A4">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27</w:t>
            </w:r>
          </w:p>
        </w:tc>
        <w:tc>
          <w:tcPr>
            <w:tcW w:w="3221" w:type="dxa"/>
            <w:shd w:val="clear" w:color="auto" w:fill="auto"/>
            <w:noWrap w:val="0"/>
            <w:vAlign w:val="center"/>
          </w:tcPr>
          <w:p w14:paraId="50F43931">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ascii="宋体" w:hAnsi="宋体"/>
                <w:color w:val="auto"/>
                <w:szCs w:val="21"/>
                <w:highlight w:val="none"/>
              </w:rPr>
            </w:pPr>
            <w:r>
              <w:rPr>
                <w:rFonts w:hint="eastAsia" w:ascii="宋体" w:hAnsi="宋体"/>
                <w:color w:val="auto"/>
                <w:kern w:val="0"/>
                <w:szCs w:val="21"/>
                <w:highlight w:val="none"/>
              </w:rPr>
              <w:t>甲状腺彩色超声</w:t>
            </w:r>
          </w:p>
        </w:tc>
        <w:tc>
          <w:tcPr>
            <w:tcW w:w="957" w:type="dxa"/>
            <w:shd w:val="clear" w:color="auto" w:fill="auto"/>
            <w:noWrap w:val="0"/>
            <w:vAlign w:val="center"/>
          </w:tcPr>
          <w:p w14:paraId="477021DE">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rPr>
              <w:t>√</w:t>
            </w:r>
          </w:p>
        </w:tc>
        <w:tc>
          <w:tcPr>
            <w:tcW w:w="957" w:type="dxa"/>
            <w:shd w:val="clear" w:color="auto" w:fill="auto"/>
            <w:noWrap w:val="0"/>
            <w:vAlign w:val="center"/>
          </w:tcPr>
          <w:p w14:paraId="624216AC">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rPr>
              <w:t>√</w:t>
            </w:r>
          </w:p>
        </w:tc>
        <w:tc>
          <w:tcPr>
            <w:tcW w:w="957" w:type="dxa"/>
            <w:shd w:val="clear" w:color="auto" w:fill="auto"/>
            <w:noWrap w:val="0"/>
            <w:vAlign w:val="center"/>
          </w:tcPr>
          <w:p w14:paraId="28D7C310">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rPr>
              <w:t>√</w:t>
            </w:r>
          </w:p>
        </w:tc>
        <w:tc>
          <w:tcPr>
            <w:tcW w:w="1020" w:type="dxa"/>
            <w:shd w:val="clear" w:color="auto" w:fill="auto"/>
            <w:noWrap w:val="0"/>
            <w:vAlign w:val="center"/>
          </w:tcPr>
          <w:p w14:paraId="5833C579">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rPr>
              <w:t>√</w:t>
            </w:r>
          </w:p>
        </w:tc>
        <w:tc>
          <w:tcPr>
            <w:tcW w:w="957" w:type="dxa"/>
            <w:shd w:val="clear" w:color="auto" w:fill="auto"/>
            <w:noWrap w:val="0"/>
            <w:vAlign w:val="center"/>
          </w:tcPr>
          <w:p w14:paraId="50F3E8B0">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rPr>
              <w:t>√</w:t>
            </w:r>
          </w:p>
        </w:tc>
      </w:tr>
      <w:tr w14:paraId="18594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09FC1BD6">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28</w:t>
            </w:r>
          </w:p>
        </w:tc>
        <w:tc>
          <w:tcPr>
            <w:tcW w:w="3221" w:type="dxa"/>
            <w:shd w:val="clear" w:color="auto" w:fill="auto"/>
            <w:noWrap w:val="0"/>
            <w:vAlign w:val="center"/>
          </w:tcPr>
          <w:p w14:paraId="79A7284C">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ascii="宋体" w:hAnsi="宋体"/>
                <w:color w:val="auto"/>
                <w:szCs w:val="21"/>
                <w:highlight w:val="none"/>
              </w:rPr>
            </w:pPr>
            <w:r>
              <w:rPr>
                <w:rFonts w:hint="eastAsia" w:ascii="宋体" w:hAnsi="宋体"/>
                <w:color w:val="auto"/>
                <w:kern w:val="0"/>
                <w:szCs w:val="21"/>
                <w:highlight w:val="none"/>
              </w:rPr>
              <w:t>高频双乳腺彩色超声（女）</w:t>
            </w:r>
          </w:p>
        </w:tc>
        <w:tc>
          <w:tcPr>
            <w:tcW w:w="957" w:type="dxa"/>
            <w:shd w:val="clear" w:color="auto" w:fill="auto"/>
            <w:noWrap w:val="0"/>
            <w:vAlign w:val="center"/>
          </w:tcPr>
          <w:p w14:paraId="414ACC83">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lang w:val="en-US" w:eastAsia="zh-CN"/>
              </w:rPr>
              <w:t>/</w:t>
            </w:r>
          </w:p>
        </w:tc>
        <w:tc>
          <w:tcPr>
            <w:tcW w:w="957" w:type="dxa"/>
            <w:shd w:val="clear" w:color="auto" w:fill="auto"/>
            <w:noWrap w:val="0"/>
            <w:vAlign w:val="center"/>
          </w:tcPr>
          <w:p w14:paraId="72BF839C">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lang w:val="en-US" w:eastAsia="zh-CN"/>
              </w:rPr>
              <w:t>/</w:t>
            </w:r>
          </w:p>
        </w:tc>
        <w:tc>
          <w:tcPr>
            <w:tcW w:w="957" w:type="dxa"/>
            <w:shd w:val="clear" w:color="auto" w:fill="auto"/>
            <w:noWrap w:val="0"/>
            <w:vAlign w:val="center"/>
          </w:tcPr>
          <w:p w14:paraId="318F42B6">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1020" w:type="dxa"/>
            <w:shd w:val="clear" w:color="auto" w:fill="auto"/>
            <w:noWrap w:val="0"/>
            <w:vAlign w:val="center"/>
          </w:tcPr>
          <w:p w14:paraId="59316F0F">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41199CDF">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5DF24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21103CAE">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29</w:t>
            </w:r>
          </w:p>
        </w:tc>
        <w:tc>
          <w:tcPr>
            <w:tcW w:w="3221" w:type="dxa"/>
            <w:shd w:val="clear" w:color="auto" w:fill="auto"/>
            <w:noWrap w:val="0"/>
            <w:vAlign w:val="center"/>
          </w:tcPr>
          <w:p w14:paraId="6D8D1E81">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ascii="宋体" w:hAnsi="宋体"/>
                <w:color w:val="auto"/>
                <w:szCs w:val="21"/>
                <w:highlight w:val="none"/>
              </w:rPr>
            </w:pPr>
            <w:r>
              <w:rPr>
                <w:rFonts w:hint="eastAsia" w:ascii="宋体" w:hAnsi="宋体"/>
                <w:color w:val="auto"/>
                <w:kern w:val="0"/>
                <w:szCs w:val="21"/>
                <w:highlight w:val="none"/>
              </w:rPr>
              <w:t>妇检+妇科液基薄层细胞学（女）</w:t>
            </w:r>
          </w:p>
        </w:tc>
        <w:tc>
          <w:tcPr>
            <w:tcW w:w="957" w:type="dxa"/>
            <w:shd w:val="clear" w:color="auto" w:fill="auto"/>
            <w:noWrap w:val="0"/>
            <w:vAlign w:val="center"/>
          </w:tcPr>
          <w:p w14:paraId="1C6DAA3B">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lang w:val="en-US" w:eastAsia="zh-CN"/>
              </w:rPr>
              <w:t>/</w:t>
            </w:r>
          </w:p>
        </w:tc>
        <w:tc>
          <w:tcPr>
            <w:tcW w:w="957" w:type="dxa"/>
            <w:shd w:val="clear" w:color="auto" w:fill="auto"/>
            <w:noWrap w:val="0"/>
            <w:vAlign w:val="center"/>
          </w:tcPr>
          <w:p w14:paraId="75C47F9C">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lang w:val="en-US" w:eastAsia="zh-CN"/>
              </w:rPr>
              <w:t>/</w:t>
            </w:r>
          </w:p>
        </w:tc>
        <w:tc>
          <w:tcPr>
            <w:tcW w:w="957" w:type="dxa"/>
            <w:shd w:val="clear" w:color="auto" w:fill="auto"/>
            <w:noWrap w:val="0"/>
            <w:vAlign w:val="center"/>
          </w:tcPr>
          <w:p w14:paraId="2A0DE409">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lang w:val="en-US" w:eastAsia="zh-CN"/>
              </w:rPr>
              <w:t>/</w:t>
            </w:r>
          </w:p>
        </w:tc>
        <w:tc>
          <w:tcPr>
            <w:tcW w:w="1020" w:type="dxa"/>
            <w:shd w:val="clear" w:color="auto" w:fill="auto"/>
            <w:noWrap w:val="0"/>
            <w:vAlign w:val="center"/>
          </w:tcPr>
          <w:p w14:paraId="7F026303">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6E6801BA">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5B42B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753E7E9F">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default" w:ascii="宋体" w:hAnsi="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SA"/>
              </w:rPr>
              <w:t>30</w:t>
            </w:r>
          </w:p>
        </w:tc>
        <w:tc>
          <w:tcPr>
            <w:tcW w:w="3221" w:type="dxa"/>
            <w:shd w:val="clear" w:color="auto" w:fill="auto"/>
            <w:noWrap w:val="0"/>
            <w:vAlign w:val="center"/>
          </w:tcPr>
          <w:p w14:paraId="4B5DF9C7">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hint="default" w:ascii="宋体" w:hAnsi="宋体" w:eastAsiaTheme="minorEastAsia"/>
                <w:color w:val="auto"/>
                <w:kern w:val="0"/>
                <w:szCs w:val="21"/>
                <w:highlight w:val="none"/>
                <w:lang w:val="en-US" w:eastAsia="zh-CN"/>
              </w:rPr>
            </w:pPr>
            <w:r>
              <w:rPr>
                <w:rFonts w:hint="eastAsia" w:ascii="宋体" w:hAnsi="宋体"/>
                <w:color w:val="auto"/>
                <w:kern w:val="0"/>
                <w:szCs w:val="21"/>
                <w:highlight w:val="none"/>
                <w:lang w:val="en-US" w:eastAsia="zh-CN"/>
              </w:rPr>
              <w:t>宫颈分泌物检查</w:t>
            </w:r>
          </w:p>
        </w:tc>
        <w:tc>
          <w:tcPr>
            <w:tcW w:w="957" w:type="dxa"/>
            <w:shd w:val="clear" w:color="auto" w:fill="auto"/>
            <w:noWrap w:val="0"/>
            <w:vAlign w:val="center"/>
          </w:tcPr>
          <w:p w14:paraId="3F396A2E">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w:t>
            </w:r>
          </w:p>
        </w:tc>
        <w:tc>
          <w:tcPr>
            <w:tcW w:w="957" w:type="dxa"/>
            <w:shd w:val="clear" w:color="auto" w:fill="auto"/>
            <w:noWrap w:val="0"/>
            <w:vAlign w:val="center"/>
          </w:tcPr>
          <w:p w14:paraId="0968CFD9">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w:t>
            </w:r>
          </w:p>
        </w:tc>
        <w:tc>
          <w:tcPr>
            <w:tcW w:w="957" w:type="dxa"/>
            <w:shd w:val="clear" w:color="auto" w:fill="auto"/>
            <w:noWrap w:val="0"/>
            <w:vAlign w:val="center"/>
          </w:tcPr>
          <w:p w14:paraId="74B72FD6">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w:t>
            </w:r>
          </w:p>
        </w:tc>
        <w:tc>
          <w:tcPr>
            <w:tcW w:w="1020" w:type="dxa"/>
            <w:shd w:val="clear" w:color="auto" w:fill="auto"/>
            <w:noWrap w:val="0"/>
            <w:vAlign w:val="center"/>
          </w:tcPr>
          <w:p w14:paraId="11CB5F03">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rPr>
              <w:t>√</w:t>
            </w:r>
          </w:p>
        </w:tc>
        <w:tc>
          <w:tcPr>
            <w:tcW w:w="957" w:type="dxa"/>
            <w:shd w:val="clear" w:color="auto" w:fill="auto"/>
            <w:noWrap w:val="0"/>
            <w:vAlign w:val="center"/>
          </w:tcPr>
          <w:p w14:paraId="589C8C09">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rPr>
              <w:t>√</w:t>
            </w:r>
          </w:p>
        </w:tc>
      </w:tr>
      <w:tr w14:paraId="2FEDA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22F1CAC9">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31</w:t>
            </w:r>
          </w:p>
        </w:tc>
        <w:tc>
          <w:tcPr>
            <w:tcW w:w="3221" w:type="dxa"/>
            <w:shd w:val="clear" w:color="auto" w:fill="auto"/>
            <w:noWrap w:val="0"/>
            <w:vAlign w:val="center"/>
          </w:tcPr>
          <w:p w14:paraId="2D502F59">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ascii="宋体" w:hAnsi="宋体"/>
                <w:color w:val="auto"/>
                <w:szCs w:val="21"/>
                <w:highlight w:val="none"/>
              </w:rPr>
            </w:pPr>
            <w:r>
              <w:rPr>
                <w:rFonts w:hint="eastAsia" w:ascii="宋体" w:hAnsi="宋体"/>
                <w:color w:val="auto"/>
                <w:kern w:val="0"/>
                <w:szCs w:val="21"/>
                <w:highlight w:val="none"/>
              </w:rPr>
              <w:t>常规心电图检查</w:t>
            </w:r>
          </w:p>
        </w:tc>
        <w:tc>
          <w:tcPr>
            <w:tcW w:w="957" w:type="dxa"/>
            <w:shd w:val="clear" w:color="auto" w:fill="auto"/>
            <w:noWrap w:val="0"/>
            <w:vAlign w:val="center"/>
          </w:tcPr>
          <w:p w14:paraId="34A92285">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7786EDCF">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28E66373">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1020" w:type="dxa"/>
            <w:shd w:val="clear" w:color="auto" w:fill="auto"/>
            <w:noWrap w:val="0"/>
            <w:vAlign w:val="center"/>
          </w:tcPr>
          <w:p w14:paraId="66CD765C">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6F32D149">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5CF05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75442B10">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32</w:t>
            </w:r>
          </w:p>
        </w:tc>
        <w:tc>
          <w:tcPr>
            <w:tcW w:w="3221" w:type="dxa"/>
            <w:shd w:val="clear" w:color="auto" w:fill="auto"/>
            <w:noWrap w:val="0"/>
            <w:vAlign w:val="center"/>
          </w:tcPr>
          <w:p w14:paraId="5AC53B9F">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hint="default" w:ascii="宋体" w:hAnsi="宋体" w:eastAsiaTheme="minorEastAsia"/>
                <w:color w:val="auto"/>
                <w:kern w:val="0"/>
                <w:szCs w:val="21"/>
                <w:highlight w:val="none"/>
                <w:lang w:val="en-US" w:eastAsia="zh-CN"/>
              </w:rPr>
            </w:pPr>
            <w:r>
              <w:rPr>
                <w:rFonts w:hint="eastAsia" w:ascii="宋体" w:hAnsi="宋体"/>
                <w:color w:val="auto"/>
                <w:kern w:val="0"/>
                <w:szCs w:val="21"/>
                <w:highlight w:val="none"/>
                <w:lang w:val="en-US" w:eastAsia="zh-CN"/>
              </w:rPr>
              <w:t>心电向量</w:t>
            </w:r>
          </w:p>
        </w:tc>
        <w:tc>
          <w:tcPr>
            <w:tcW w:w="957" w:type="dxa"/>
            <w:shd w:val="clear" w:color="auto" w:fill="auto"/>
            <w:noWrap w:val="0"/>
            <w:vAlign w:val="center"/>
          </w:tcPr>
          <w:p w14:paraId="3CDB7ED7">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1586F29F">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453FD12F">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1020" w:type="dxa"/>
            <w:shd w:val="clear" w:color="auto" w:fill="auto"/>
            <w:noWrap w:val="0"/>
            <w:vAlign w:val="center"/>
          </w:tcPr>
          <w:p w14:paraId="3FE6F6E1">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5BD2299A">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78DED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7A77053B">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33</w:t>
            </w:r>
          </w:p>
        </w:tc>
        <w:tc>
          <w:tcPr>
            <w:tcW w:w="3221" w:type="dxa"/>
            <w:shd w:val="clear" w:color="auto" w:fill="auto"/>
            <w:noWrap w:val="0"/>
            <w:vAlign w:val="center"/>
          </w:tcPr>
          <w:p w14:paraId="189472B1">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动脉硬化检测</w:t>
            </w:r>
          </w:p>
        </w:tc>
        <w:tc>
          <w:tcPr>
            <w:tcW w:w="957" w:type="dxa"/>
            <w:shd w:val="clear" w:color="auto" w:fill="auto"/>
            <w:noWrap w:val="0"/>
            <w:vAlign w:val="center"/>
          </w:tcPr>
          <w:p w14:paraId="7283BC22">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lang w:val="en-US" w:eastAsia="zh-CN"/>
              </w:rPr>
              <w:t>/</w:t>
            </w:r>
          </w:p>
        </w:tc>
        <w:tc>
          <w:tcPr>
            <w:tcW w:w="957" w:type="dxa"/>
            <w:shd w:val="clear" w:color="auto" w:fill="auto"/>
            <w:noWrap w:val="0"/>
            <w:vAlign w:val="center"/>
          </w:tcPr>
          <w:p w14:paraId="0744E82B">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7DC62C57">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lang w:val="en-US" w:eastAsia="zh-CN"/>
              </w:rPr>
              <w:t>/</w:t>
            </w:r>
          </w:p>
        </w:tc>
        <w:tc>
          <w:tcPr>
            <w:tcW w:w="1020" w:type="dxa"/>
            <w:shd w:val="clear" w:color="auto" w:fill="auto"/>
            <w:noWrap w:val="0"/>
            <w:vAlign w:val="center"/>
          </w:tcPr>
          <w:p w14:paraId="5D370E0A">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lang w:val="en-US" w:eastAsia="zh-CN"/>
              </w:rPr>
              <w:t>/</w:t>
            </w:r>
          </w:p>
        </w:tc>
        <w:tc>
          <w:tcPr>
            <w:tcW w:w="957" w:type="dxa"/>
            <w:shd w:val="clear" w:color="auto" w:fill="auto"/>
            <w:noWrap w:val="0"/>
            <w:vAlign w:val="center"/>
          </w:tcPr>
          <w:p w14:paraId="5A2F2ED3">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07282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796F7A91">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34</w:t>
            </w:r>
          </w:p>
        </w:tc>
        <w:tc>
          <w:tcPr>
            <w:tcW w:w="3221" w:type="dxa"/>
            <w:shd w:val="clear" w:color="auto" w:fill="auto"/>
            <w:noWrap w:val="0"/>
            <w:vAlign w:val="center"/>
          </w:tcPr>
          <w:p w14:paraId="438FAB7C">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64排胸部CT平扫</w:t>
            </w:r>
          </w:p>
        </w:tc>
        <w:tc>
          <w:tcPr>
            <w:tcW w:w="957" w:type="dxa"/>
            <w:shd w:val="clear" w:color="auto" w:fill="auto"/>
            <w:noWrap w:val="0"/>
            <w:vAlign w:val="center"/>
          </w:tcPr>
          <w:p w14:paraId="192FAE76">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szCs w:val="21"/>
                <w:highlight w:val="none"/>
                <w:lang w:val="en-US" w:eastAsia="zh-CN"/>
              </w:rPr>
            </w:pPr>
            <w:r>
              <w:rPr>
                <w:rFonts w:hint="eastAsia" w:ascii="宋体" w:hAnsi="宋体"/>
                <w:color w:val="auto"/>
                <w:kern w:val="0"/>
                <w:szCs w:val="21"/>
                <w:highlight w:val="none"/>
              </w:rPr>
              <w:t>√</w:t>
            </w:r>
          </w:p>
        </w:tc>
        <w:tc>
          <w:tcPr>
            <w:tcW w:w="957" w:type="dxa"/>
            <w:shd w:val="clear" w:color="auto" w:fill="auto"/>
            <w:noWrap w:val="0"/>
            <w:vAlign w:val="center"/>
          </w:tcPr>
          <w:p w14:paraId="7FC4CE66">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szCs w:val="21"/>
                <w:highlight w:val="none"/>
                <w:lang w:val="en-US" w:eastAsia="zh-CN"/>
              </w:rPr>
            </w:pPr>
            <w:r>
              <w:rPr>
                <w:rFonts w:hint="eastAsia" w:ascii="宋体" w:hAnsi="宋体"/>
                <w:color w:val="auto"/>
                <w:kern w:val="0"/>
                <w:szCs w:val="21"/>
                <w:highlight w:val="none"/>
              </w:rPr>
              <w:t>√</w:t>
            </w:r>
          </w:p>
        </w:tc>
        <w:tc>
          <w:tcPr>
            <w:tcW w:w="957" w:type="dxa"/>
            <w:shd w:val="clear" w:color="auto" w:fill="auto"/>
            <w:noWrap w:val="0"/>
            <w:vAlign w:val="center"/>
          </w:tcPr>
          <w:p w14:paraId="6A2DA798">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szCs w:val="21"/>
                <w:highlight w:val="none"/>
                <w:lang w:val="en-US" w:eastAsia="zh-CN"/>
              </w:rPr>
            </w:pPr>
            <w:r>
              <w:rPr>
                <w:rFonts w:hint="eastAsia" w:ascii="宋体" w:hAnsi="宋体"/>
                <w:color w:val="auto"/>
                <w:kern w:val="0"/>
                <w:szCs w:val="21"/>
                <w:highlight w:val="none"/>
              </w:rPr>
              <w:t>√</w:t>
            </w:r>
          </w:p>
        </w:tc>
        <w:tc>
          <w:tcPr>
            <w:tcW w:w="1020" w:type="dxa"/>
            <w:shd w:val="clear" w:color="auto" w:fill="auto"/>
            <w:noWrap w:val="0"/>
            <w:vAlign w:val="center"/>
          </w:tcPr>
          <w:p w14:paraId="60F444BE">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szCs w:val="21"/>
                <w:highlight w:val="none"/>
                <w:lang w:val="en-US" w:eastAsia="zh-CN"/>
              </w:rPr>
            </w:pPr>
            <w:r>
              <w:rPr>
                <w:rFonts w:hint="eastAsia" w:ascii="宋体" w:hAnsi="宋体"/>
                <w:color w:val="auto"/>
                <w:kern w:val="0"/>
                <w:szCs w:val="21"/>
                <w:highlight w:val="none"/>
              </w:rPr>
              <w:t>√</w:t>
            </w:r>
          </w:p>
        </w:tc>
        <w:tc>
          <w:tcPr>
            <w:tcW w:w="957" w:type="dxa"/>
            <w:shd w:val="clear" w:color="auto" w:fill="auto"/>
            <w:noWrap w:val="0"/>
            <w:vAlign w:val="center"/>
          </w:tcPr>
          <w:p w14:paraId="2267CA59">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szCs w:val="21"/>
                <w:highlight w:val="none"/>
                <w:lang w:val="en-US" w:eastAsia="zh-CN"/>
              </w:rPr>
            </w:pPr>
            <w:r>
              <w:rPr>
                <w:rFonts w:hint="eastAsia" w:ascii="宋体" w:hAnsi="宋体"/>
                <w:color w:val="auto"/>
                <w:kern w:val="0"/>
                <w:szCs w:val="21"/>
                <w:highlight w:val="none"/>
              </w:rPr>
              <w:t>√</w:t>
            </w:r>
          </w:p>
        </w:tc>
      </w:tr>
      <w:tr w14:paraId="4F193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373F06CD">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35</w:t>
            </w:r>
          </w:p>
        </w:tc>
        <w:tc>
          <w:tcPr>
            <w:tcW w:w="3221" w:type="dxa"/>
            <w:shd w:val="clear" w:color="auto" w:fill="auto"/>
            <w:noWrap w:val="0"/>
            <w:vAlign w:val="center"/>
          </w:tcPr>
          <w:p w14:paraId="3714449F">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ascii="宋体" w:hAnsi="宋体"/>
                <w:color w:val="auto"/>
                <w:szCs w:val="21"/>
                <w:highlight w:val="none"/>
              </w:rPr>
            </w:pPr>
            <w:r>
              <w:rPr>
                <w:rFonts w:hint="eastAsia" w:ascii="宋体" w:hAnsi="宋体"/>
                <w:color w:val="auto"/>
                <w:kern w:val="0"/>
                <w:szCs w:val="21"/>
                <w:highlight w:val="none"/>
              </w:rPr>
              <w:t>采血、试管</w:t>
            </w:r>
          </w:p>
        </w:tc>
        <w:tc>
          <w:tcPr>
            <w:tcW w:w="957" w:type="dxa"/>
            <w:shd w:val="clear" w:color="auto" w:fill="auto"/>
            <w:noWrap w:val="0"/>
            <w:vAlign w:val="center"/>
          </w:tcPr>
          <w:p w14:paraId="25C07E2C">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18C5ED93">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4526BB22">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1020" w:type="dxa"/>
            <w:shd w:val="clear" w:color="auto" w:fill="auto"/>
            <w:noWrap w:val="0"/>
            <w:vAlign w:val="center"/>
          </w:tcPr>
          <w:p w14:paraId="3803DC2A">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0C6BDBB0">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04AC1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77D11752">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36</w:t>
            </w:r>
          </w:p>
        </w:tc>
        <w:tc>
          <w:tcPr>
            <w:tcW w:w="3221" w:type="dxa"/>
            <w:shd w:val="clear" w:color="auto" w:fill="auto"/>
            <w:noWrap w:val="0"/>
            <w:vAlign w:val="center"/>
          </w:tcPr>
          <w:p w14:paraId="56E9A04C">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ascii="宋体" w:hAnsi="宋体"/>
                <w:color w:val="auto"/>
                <w:szCs w:val="21"/>
                <w:highlight w:val="none"/>
              </w:rPr>
            </w:pPr>
            <w:r>
              <w:rPr>
                <w:rFonts w:hint="eastAsia" w:ascii="宋体" w:hAnsi="宋体"/>
                <w:color w:val="auto"/>
                <w:kern w:val="0"/>
                <w:szCs w:val="21"/>
                <w:highlight w:val="none"/>
              </w:rPr>
              <w:t>建立健康档案</w:t>
            </w:r>
          </w:p>
        </w:tc>
        <w:tc>
          <w:tcPr>
            <w:tcW w:w="957" w:type="dxa"/>
            <w:shd w:val="clear" w:color="auto" w:fill="auto"/>
            <w:noWrap w:val="0"/>
            <w:vAlign w:val="center"/>
          </w:tcPr>
          <w:p w14:paraId="53389B97">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0CF634EF">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24E54A92">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1020" w:type="dxa"/>
            <w:shd w:val="clear" w:color="auto" w:fill="auto"/>
            <w:noWrap w:val="0"/>
            <w:vAlign w:val="center"/>
          </w:tcPr>
          <w:p w14:paraId="2F69B900">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07EBB1DF">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13D79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0C38F7D4">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37</w:t>
            </w:r>
          </w:p>
        </w:tc>
        <w:tc>
          <w:tcPr>
            <w:tcW w:w="3221" w:type="dxa"/>
            <w:shd w:val="clear" w:color="auto" w:fill="auto"/>
            <w:noWrap w:val="0"/>
            <w:vAlign w:val="center"/>
          </w:tcPr>
          <w:p w14:paraId="6429C9DD">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hint="default" w:ascii="宋体" w:hAnsi="宋体" w:eastAsiaTheme="minorEastAsia"/>
                <w:color w:val="auto"/>
                <w:kern w:val="0"/>
                <w:szCs w:val="21"/>
                <w:highlight w:val="none"/>
                <w:lang w:val="en-US" w:eastAsia="zh-CN"/>
              </w:rPr>
            </w:pPr>
            <w:r>
              <w:rPr>
                <w:rFonts w:hint="eastAsia" w:ascii="宋体" w:hAnsi="宋体"/>
                <w:color w:val="auto"/>
                <w:kern w:val="0"/>
                <w:szCs w:val="21"/>
                <w:highlight w:val="none"/>
                <w:lang w:val="en-US" w:eastAsia="zh-CN"/>
              </w:rPr>
              <w:t>生活史、家族史、既往史、遗传史</w:t>
            </w:r>
          </w:p>
        </w:tc>
        <w:tc>
          <w:tcPr>
            <w:tcW w:w="957" w:type="dxa"/>
            <w:shd w:val="clear" w:color="auto" w:fill="auto"/>
            <w:noWrap w:val="0"/>
            <w:vAlign w:val="center"/>
          </w:tcPr>
          <w:p w14:paraId="41380B46">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0D7DCD33">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36F8DC15">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1020" w:type="dxa"/>
            <w:shd w:val="clear" w:color="auto" w:fill="auto"/>
            <w:noWrap w:val="0"/>
            <w:vAlign w:val="center"/>
          </w:tcPr>
          <w:p w14:paraId="407A6F65">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533DAE0D">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68512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08EF6827">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38</w:t>
            </w:r>
          </w:p>
        </w:tc>
        <w:tc>
          <w:tcPr>
            <w:tcW w:w="3221" w:type="dxa"/>
            <w:shd w:val="clear" w:color="auto" w:fill="auto"/>
            <w:noWrap w:val="0"/>
            <w:vAlign w:val="center"/>
          </w:tcPr>
          <w:p w14:paraId="6A7BC900">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hint="default" w:ascii="宋体" w:hAnsi="宋体" w:eastAsiaTheme="minorEastAsia"/>
                <w:color w:val="auto"/>
                <w:szCs w:val="21"/>
                <w:highlight w:val="none"/>
                <w:lang w:val="en-US" w:eastAsia="zh-CN"/>
              </w:rPr>
            </w:pPr>
            <w:r>
              <w:rPr>
                <w:rFonts w:hint="eastAsia" w:ascii="宋体" w:hAnsi="宋体"/>
                <w:color w:val="auto"/>
                <w:kern w:val="0"/>
                <w:szCs w:val="21"/>
                <w:highlight w:val="none"/>
              </w:rPr>
              <w:t>血压、身高、体重</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腰围、臀围、体重指数</w:t>
            </w:r>
          </w:p>
        </w:tc>
        <w:tc>
          <w:tcPr>
            <w:tcW w:w="957" w:type="dxa"/>
            <w:shd w:val="clear" w:color="auto" w:fill="auto"/>
            <w:noWrap w:val="0"/>
            <w:vAlign w:val="center"/>
          </w:tcPr>
          <w:p w14:paraId="6EEB1E02">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742F61FE">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41603C94">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1020" w:type="dxa"/>
            <w:shd w:val="clear" w:color="auto" w:fill="auto"/>
            <w:noWrap w:val="0"/>
            <w:vAlign w:val="center"/>
          </w:tcPr>
          <w:p w14:paraId="0D895D35">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55071829">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19189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88" w:type="dxa"/>
            <w:shd w:val="clear" w:color="auto" w:fill="auto"/>
            <w:noWrap w:val="0"/>
            <w:vAlign w:val="center"/>
          </w:tcPr>
          <w:p w14:paraId="247C6C14">
            <w:pPr>
              <w:keepNext w:val="0"/>
              <w:keepLines w:val="0"/>
              <w:pageBreakBefore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center"/>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39</w:t>
            </w:r>
          </w:p>
        </w:tc>
        <w:tc>
          <w:tcPr>
            <w:tcW w:w="3221" w:type="dxa"/>
            <w:shd w:val="clear" w:color="auto" w:fill="auto"/>
            <w:noWrap w:val="0"/>
            <w:vAlign w:val="center"/>
          </w:tcPr>
          <w:p w14:paraId="5DA1320B">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center"/>
              <w:rPr>
                <w:rFonts w:ascii="宋体" w:hAnsi="宋体"/>
                <w:color w:val="auto"/>
                <w:szCs w:val="21"/>
                <w:highlight w:val="none"/>
              </w:rPr>
            </w:pPr>
            <w:r>
              <w:rPr>
                <w:rFonts w:hint="eastAsia" w:ascii="宋体" w:hAnsi="宋体"/>
                <w:color w:val="auto"/>
                <w:kern w:val="0"/>
                <w:szCs w:val="21"/>
                <w:highlight w:val="none"/>
              </w:rPr>
              <w:t>营养早餐</w:t>
            </w:r>
          </w:p>
        </w:tc>
        <w:tc>
          <w:tcPr>
            <w:tcW w:w="957" w:type="dxa"/>
            <w:shd w:val="clear" w:color="auto" w:fill="auto"/>
            <w:noWrap w:val="0"/>
            <w:vAlign w:val="center"/>
          </w:tcPr>
          <w:p w14:paraId="76BFE675">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4D0F4836">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304970F8">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1020" w:type="dxa"/>
            <w:shd w:val="clear" w:color="auto" w:fill="auto"/>
            <w:noWrap w:val="0"/>
            <w:vAlign w:val="center"/>
          </w:tcPr>
          <w:p w14:paraId="6399333A">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957" w:type="dxa"/>
            <w:shd w:val="clear" w:color="auto" w:fill="auto"/>
            <w:noWrap w:val="0"/>
            <w:vAlign w:val="center"/>
          </w:tcPr>
          <w:p w14:paraId="189BEAC6">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55271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709" w:type="dxa"/>
            <w:gridSpan w:val="2"/>
            <w:shd w:val="clear" w:color="auto" w:fill="auto"/>
            <w:noWrap w:val="0"/>
            <w:vAlign w:val="center"/>
          </w:tcPr>
          <w:p w14:paraId="0327FEE0">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default" w:ascii="宋体" w:hAnsi="宋体"/>
                <w:b/>
                <w:color w:val="auto"/>
                <w:kern w:val="0"/>
                <w:szCs w:val="21"/>
                <w:highlight w:val="none"/>
                <w:lang w:val="en-US"/>
              </w:rPr>
            </w:pPr>
            <w:r>
              <w:rPr>
                <w:rFonts w:hint="eastAsia" w:ascii="宋体" w:hAnsi="宋体" w:cs="宋体"/>
                <w:b/>
                <w:color w:val="auto"/>
                <w:kern w:val="0"/>
                <w:szCs w:val="21"/>
                <w:highlight w:val="none"/>
                <w:lang w:val="en-US" w:eastAsia="zh-CN"/>
              </w:rPr>
              <w:t>最高限价（元/人）</w:t>
            </w:r>
          </w:p>
        </w:tc>
        <w:tc>
          <w:tcPr>
            <w:tcW w:w="957" w:type="dxa"/>
            <w:shd w:val="clear" w:color="auto" w:fill="auto"/>
            <w:noWrap w:val="0"/>
            <w:vAlign w:val="center"/>
          </w:tcPr>
          <w:p w14:paraId="5258F25B">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default" w:ascii="宋体" w:hAnsi="宋体"/>
                <w:b/>
                <w:color w:val="auto"/>
                <w:kern w:val="0"/>
                <w:szCs w:val="21"/>
                <w:highlight w:val="none"/>
                <w:lang w:val="en-US"/>
              </w:rPr>
            </w:pPr>
            <w:r>
              <w:rPr>
                <w:rFonts w:hint="eastAsia" w:ascii="宋体" w:hAnsi="宋体" w:cs="宋体"/>
                <w:b/>
                <w:bCs/>
                <w:color w:val="auto"/>
                <w:sz w:val="21"/>
                <w:szCs w:val="21"/>
                <w:highlight w:val="none"/>
                <w:lang w:val="en-US" w:eastAsia="zh-CN"/>
              </w:rPr>
              <w:t>1209.00</w:t>
            </w:r>
          </w:p>
        </w:tc>
        <w:tc>
          <w:tcPr>
            <w:tcW w:w="957" w:type="dxa"/>
            <w:shd w:val="clear" w:color="auto" w:fill="auto"/>
            <w:noWrap w:val="0"/>
            <w:vAlign w:val="center"/>
          </w:tcPr>
          <w:p w14:paraId="3B4FF2C4">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default" w:ascii="宋体" w:hAnsi="宋体"/>
                <w:b/>
                <w:color w:val="auto"/>
                <w:kern w:val="0"/>
                <w:szCs w:val="21"/>
                <w:highlight w:val="none"/>
                <w:lang w:val="en-US"/>
              </w:rPr>
            </w:pPr>
            <w:r>
              <w:rPr>
                <w:rFonts w:hint="eastAsia" w:ascii="宋体" w:hAnsi="宋体" w:cs="宋体"/>
                <w:b/>
                <w:bCs/>
                <w:color w:val="auto"/>
                <w:sz w:val="21"/>
                <w:szCs w:val="21"/>
                <w:highlight w:val="none"/>
                <w:lang w:val="en-US" w:eastAsia="zh-CN"/>
              </w:rPr>
              <w:t>1430.00</w:t>
            </w:r>
          </w:p>
        </w:tc>
        <w:tc>
          <w:tcPr>
            <w:tcW w:w="957" w:type="dxa"/>
            <w:shd w:val="clear" w:color="auto" w:fill="auto"/>
            <w:noWrap w:val="0"/>
            <w:vAlign w:val="center"/>
          </w:tcPr>
          <w:p w14:paraId="646195CA">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default" w:ascii="宋体" w:hAnsi="宋体"/>
                <w:b/>
                <w:color w:val="auto"/>
                <w:kern w:val="0"/>
                <w:szCs w:val="21"/>
                <w:highlight w:val="none"/>
                <w:lang w:val="en-US"/>
              </w:rPr>
            </w:pPr>
            <w:r>
              <w:rPr>
                <w:rFonts w:hint="eastAsia" w:ascii="宋体" w:hAnsi="宋体" w:cs="宋体"/>
                <w:b/>
                <w:bCs/>
                <w:color w:val="auto"/>
                <w:sz w:val="21"/>
                <w:szCs w:val="21"/>
                <w:highlight w:val="none"/>
                <w:lang w:val="en-US" w:eastAsia="zh-CN"/>
              </w:rPr>
              <w:t>1317.00</w:t>
            </w:r>
          </w:p>
        </w:tc>
        <w:tc>
          <w:tcPr>
            <w:tcW w:w="1020" w:type="dxa"/>
            <w:shd w:val="clear" w:color="auto" w:fill="auto"/>
            <w:noWrap w:val="0"/>
            <w:vAlign w:val="center"/>
          </w:tcPr>
          <w:p w14:paraId="2E783296">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default" w:ascii="宋体" w:hAnsi="宋体"/>
                <w:b/>
                <w:color w:val="auto"/>
                <w:kern w:val="0"/>
                <w:szCs w:val="21"/>
                <w:highlight w:val="none"/>
                <w:lang w:val="en-US"/>
              </w:rPr>
            </w:pPr>
            <w:r>
              <w:rPr>
                <w:rFonts w:hint="eastAsia" w:ascii="宋体" w:hAnsi="宋体" w:cs="宋体"/>
                <w:b/>
                <w:bCs/>
                <w:color w:val="auto"/>
                <w:sz w:val="21"/>
                <w:szCs w:val="21"/>
                <w:highlight w:val="none"/>
                <w:lang w:val="en-US" w:eastAsia="zh-CN"/>
              </w:rPr>
              <w:t>1624.00</w:t>
            </w:r>
          </w:p>
        </w:tc>
        <w:tc>
          <w:tcPr>
            <w:tcW w:w="957" w:type="dxa"/>
            <w:shd w:val="clear" w:color="auto" w:fill="auto"/>
            <w:noWrap w:val="0"/>
            <w:vAlign w:val="center"/>
          </w:tcPr>
          <w:p w14:paraId="6F51ED3D">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default" w:ascii="宋体" w:hAnsi="宋体"/>
                <w:b/>
                <w:color w:val="auto"/>
                <w:kern w:val="0"/>
                <w:szCs w:val="21"/>
                <w:highlight w:val="none"/>
                <w:lang w:val="en-US"/>
              </w:rPr>
            </w:pPr>
            <w:r>
              <w:rPr>
                <w:rFonts w:hint="eastAsia" w:ascii="宋体" w:hAnsi="宋体" w:cs="宋体"/>
                <w:b/>
                <w:bCs/>
                <w:color w:val="auto"/>
                <w:sz w:val="21"/>
                <w:szCs w:val="21"/>
                <w:highlight w:val="none"/>
                <w:lang w:val="en-US" w:eastAsia="zh-CN"/>
              </w:rPr>
              <w:t>1845.00</w:t>
            </w:r>
          </w:p>
        </w:tc>
      </w:tr>
      <w:tr w14:paraId="03990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709" w:type="dxa"/>
            <w:gridSpan w:val="2"/>
            <w:shd w:val="clear" w:color="auto" w:fill="auto"/>
            <w:noWrap w:val="0"/>
            <w:vAlign w:val="center"/>
          </w:tcPr>
          <w:p w14:paraId="36F1993B">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折扣率（%）</w:t>
            </w:r>
          </w:p>
        </w:tc>
        <w:tc>
          <w:tcPr>
            <w:tcW w:w="4848" w:type="dxa"/>
            <w:gridSpan w:val="5"/>
            <w:shd w:val="clear" w:color="auto" w:fill="auto"/>
            <w:noWrap w:val="0"/>
            <w:vAlign w:val="center"/>
          </w:tcPr>
          <w:p w14:paraId="1A1F59AE">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hint="eastAsia" w:ascii="宋体" w:hAnsi="宋体"/>
                <w:b/>
                <w:color w:val="auto"/>
                <w:kern w:val="0"/>
                <w:szCs w:val="21"/>
                <w:highlight w:val="none"/>
              </w:rPr>
            </w:pPr>
          </w:p>
        </w:tc>
      </w:tr>
    </w:tbl>
    <w:p w14:paraId="5B8FB34B">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p>
    <w:p w14:paraId="2DD286D5">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供应商的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报价表必须加盖供应商电子公章，</w:t>
      </w:r>
      <w:r>
        <w:rPr>
          <w:rFonts w:hint="eastAsia" w:ascii="宋体" w:hAnsi="宋体" w:eastAsia="宋体" w:cs="宋体"/>
          <w:b/>
          <w:color w:val="auto"/>
          <w:sz w:val="21"/>
          <w:szCs w:val="21"/>
          <w:highlight w:val="none"/>
        </w:rPr>
        <w:t>否则其响应文件按无效响应处理</w:t>
      </w:r>
      <w:r>
        <w:rPr>
          <w:rFonts w:hint="eastAsia" w:ascii="宋体" w:hAnsi="宋体" w:eastAsia="宋体" w:cs="宋体"/>
          <w:color w:val="auto"/>
          <w:sz w:val="21"/>
          <w:szCs w:val="21"/>
          <w:highlight w:val="none"/>
        </w:rPr>
        <w:t>。</w:t>
      </w:r>
    </w:p>
    <w:p w14:paraId="20B7C35C">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15AACABA">
      <w:pPr>
        <w:keepNext w:val="0"/>
        <w:keepLines w:val="0"/>
        <w:pageBreakBefore w:val="0"/>
        <w:widowControl w:val="0"/>
        <w:kinsoku/>
        <w:wordWrap/>
        <w:overflowPunct/>
        <w:topLinePunct w:val="0"/>
        <w:autoSpaceDE/>
        <w:autoSpaceDN/>
        <w:bidi w:val="0"/>
        <w:adjustRightInd/>
        <w:snapToGrid w:val="0"/>
        <w:spacing w:line="500" w:lineRule="exact"/>
        <w:ind w:firstLine="4410" w:firstLineChars="2100"/>
        <w:textAlignment w:val="auto"/>
        <w:rPr>
          <w:rFonts w:hint="eastAsia" w:ascii="宋体" w:hAnsi="宋体" w:eastAsia="宋体" w:cs="宋体"/>
          <w:color w:val="auto"/>
          <w:kern w:val="0"/>
          <w:sz w:val="21"/>
          <w:szCs w:val="21"/>
          <w:highlight w:val="none"/>
          <w:lang w:val="zh-CN"/>
        </w:rPr>
      </w:pPr>
    </w:p>
    <w:p w14:paraId="5B785C14">
      <w:pPr>
        <w:keepNext w:val="0"/>
        <w:keepLines w:val="0"/>
        <w:pageBreakBefore w:val="0"/>
        <w:widowControl w:val="0"/>
        <w:kinsoku/>
        <w:wordWrap/>
        <w:overflowPunct/>
        <w:topLinePunct w:val="0"/>
        <w:autoSpaceDE/>
        <w:autoSpaceDN/>
        <w:bidi w:val="0"/>
        <w:adjustRightInd/>
        <w:snapToGrid w:val="0"/>
        <w:spacing w:line="500" w:lineRule="exact"/>
        <w:ind w:firstLine="4620" w:firstLineChars="22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供应商名称(电子签章）：</w:t>
      </w:r>
    </w:p>
    <w:p w14:paraId="01E56B5A">
      <w:pPr>
        <w:keepNext w:val="0"/>
        <w:keepLines w:val="0"/>
        <w:pageBreakBefore w:val="0"/>
        <w:widowControl w:val="0"/>
        <w:kinsoku/>
        <w:wordWrap/>
        <w:overflowPunct/>
        <w:topLinePunct w:val="0"/>
        <w:autoSpaceDE/>
        <w:autoSpaceDN/>
        <w:bidi w:val="0"/>
        <w:adjustRightInd/>
        <w:snapToGrid w:val="0"/>
        <w:spacing w:line="500" w:lineRule="exact"/>
        <w:ind w:firstLine="4620" w:firstLineChars="22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1D4F372B">
      <w:pP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br w:type="page"/>
      </w:r>
    </w:p>
    <w:p w14:paraId="45A47E98">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三</w:t>
      </w:r>
      <w:r>
        <w:rPr>
          <w:rFonts w:hint="eastAsia" w:ascii="宋体" w:hAnsi="宋体" w:eastAsia="宋体" w:cs="宋体"/>
          <w:b/>
          <w:color w:val="auto"/>
          <w:sz w:val="30"/>
          <w:szCs w:val="30"/>
          <w:highlight w:val="none"/>
        </w:rPr>
        <w:t>、中小企业声明函或者残疾人福利性单位声明函或者供应商属于监狱企业的证明材料</w:t>
      </w:r>
    </w:p>
    <w:p w14:paraId="5EDE5F4F">
      <w:pPr>
        <w:pStyle w:val="22"/>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highlight w:val="none"/>
        </w:rPr>
      </w:pPr>
    </w:p>
    <w:p w14:paraId="222260B4">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中小企业声明函</w:t>
      </w:r>
    </w:p>
    <w:p w14:paraId="198428B2">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本公司(联合体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郑重声明，根据“政府采购促进中小企业发展管理办法”(财库〔2020〕46号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的规定，本公司(联合体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参加</w:t>
      </w:r>
      <w:r>
        <w:rPr>
          <w:rFonts w:hint="eastAsia" w:ascii="宋体" w:hAnsi="宋体" w:eastAsia="宋体" w:cs="宋体"/>
          <w:color w:val="auto"/>
          <w:sz w:val="21"/>
          <w:szCs w:val="21"/>
          <w:highlight w:val="none"/>
          <w:u w:val="single"/>
        </w:rPr>
        <w:t xml:space="preserve"> (单位名称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采购活动，服务全部由符合政策要求的中小企业承接。相关企业(含联合体中的中小企业、签订分包意向协议的中小企业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的具体情况如下</w:t>
      </w:r>
      <w:r>
        <w:rPr>
          <w:rFonts w:hint="eastAsia" w:ascii="宋体" w:hAnsi="宋体" w:eastAsia="宋体" w:cs="宋体"/>
          <w:color w:val="auto"/>
          <w:sz w:val="21"/>
          <w:szCs w:val="21"/>
          <w:highlight w:val="none"/>
          <w:lang w:eastAsia="zh-CN"/>
        </w:rPr>
        <w:t>：</w:t>
      </w:r>
    </w:p>
    <w:p w14:paraId="4A3A1BBB">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 xml:space="preserve"> (采购文件中明确的所属行业</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 xml:space="preserve"> (中型企业、小型企业、微型企业</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w:t>
      </w:r>
    </w:p>
    <w:p w14:paraId="6D4FFB74">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 xml:space="preserve"> (采购文件中明确的所属行业</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承接企业为 </w:t>
      </w:r>
      <w:r>
        <w:rPr>
          <w:rFonts w:hint="eastAsia" w:ascii="宋体" w:hAnsi="宋体" w:eastAsia="宋体" w:cs="宋体"/>
          <w:color w:val="auto"/>
          <w:sz w:val="21"/>
          <w:szCs w:val="21"/>
          <w:highlight w:val="none"/>
          <w:u w:val="single"/>
        </w:rPr>
        <w:t>(企业名称2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 xml:space="preserve"> (中型企业、小型企业、微型企业</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lang w:eastAsia="zh-CN"/>
        </w:rPr>
        <w:t>；</w:t>
      </w:r>
    </w:p>
    <w:p w14:paraId="6D84286F">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14:paraId="42F881BF">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0E0C3DA2">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540C7410">
      <w:pPr>
        <w:keepNext w:val="0"/>
        <w:keepLines w:val="0"/>
        <w:pageBreakBefore w:val="0"/>
        <w:widowControl w:val="0"/>
        <w:kinsoku/>
        <w:wordWrap/>
        <w:overflowPunct/>
        <w:topLinePunct w:val="0"/>
        <w:autoSpaceDE/>
        <w:autoSpaceDN/>
        <w:bidi w:val="0"/>
        <w:adjustRightInd/>
        <w:spacing w:line="500" w:lineRule="exact"/>
        <w:ind w:firstLine="3780" w:firstLineChars="1800"/>
        <w:textAlignment w:val="auto"/>
        <w:rPr>
          <w:rFonts w:hint="eastAsia" w:ascii="宋体" w:hAnsi="宋体" w:eastAsia="宋体" w:cs="宋体"/>
          <w:color w:val="auto"/>
          <w:sz w:val="21"/>
          <w:szCs w:val="21"/>
          <w:highlight w:val="none"/>
        </w:rPr>
      </w:pPr>
    </w:p>
    <w:p w14:paraId="15376FF3">
      <w:pPr>
        <w:keepNext w:val="0"/>
        <w:keepLines w:val="0"/>
        <w:pageBreakBefore w:val="0"/>
        <w:widowControl w:val="0"/>
        <w:kinsoku/>
        <w:wordWrap/>
        <w:overflowPunct/>
        <w:topLinePunct w:val="0"/>
        <w:autoSpaceDE/>
        <w:autoSpaceDN/>
        <w:bidi w:val="0"/>
        <w:adjustRightInd/>
        <w:spacing w:line="500" w:lineRule="exact"/>
        <w:ind w:firstLine="3780" w:firstLine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供应商名称（电子签章）：</w:t>
      </w:r>
    </w:p>
    <w:p w14:paraId="278C2FC8">
      <w:pPr>
        <w:keepNext w:val="0"/>
        <w:keepLines w:val="0"/>
        <w:pageBreakBefore w:val="0"/>
        <w:widowControl w:val="0"/>
        <w:kinsoku/>
        <w:wordWrap/>
        <w:overflowPunct/>
        <w:topLinePunct w:val="0"/>
        <w:autoSpaceDE/>
        <w:autoSpaceDN/>
        <w:bidi w:val="0"/>
        <w:adjustRightInd/>
        <w:spacing w:line="500" w:lineRule="exact"/>
        <w:ind w:firstLine="3780" w:firstLine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05727EEA">
      <w:pPr>
        <w:keepNext w:val="0"/>
        <w:keepLines w:val="0"/>
        <w:pageBreakBefore w:val="0"/>
        <w:widowControl w:val="0"/>
        <w:kinsoku/>
        <w:wordWrap/>
        <w:overflowPunct/>
        <w:topLinePunct w:val="0"/>
        <w:autoSpaceDE/>
        <w:autoSpaceDN/>
        <w:bidi w:val="0"/>
        <w:adjustRightInd/>
        <w:spacing w:line="500" w:lineRule="exact"/>
        <w:ind w:firstLine="3780" w:firstLineChars="1800"/>
        <w:textAlignment w:val="auto"/>
        <w:rPr>
          <w:rFonts w:hint="eastAsia" w:ascii="宋体" w:hAnsi="宋体" w:eastAsia="宋体" w:cs="宋体"/>
          <w:color w:val="auto"/>
          <w:sz w:val="21"/>
          <w:szCs w:val="21"/>
          <w:highlight w:val="none"/>
        </w:rPr>
      </w:pPr>
    </w:p>
    <w:p w14:paraId="7D2C9BBC">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注：享受《政府采购促进中小企业发展管理办法》（财库〔2020〕46号）规定的中小企业扶持政策的，采购人、采购代理机构应当随</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结果公开</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供应商的《中小企业声明函》。从业人员、营业收入、资产总额填报上一年度数据，无上一年度数据的新成立企业可不填报。</w:t>
      </w:r>
    </w:p>
    <w:p w14:paraId="0C818B3D">
      <w:pPr>
        <w:pStyle w:val="22"/>
        <w:spacing w:line="276" w:lineRule="auto"/>
        <w:rPr>
          <w:rFonts w:hint="eastAsia" w:ascii="宋体" w:hAnsi="宋体" w:eastAsia="宋体" w:cs="宋体"/>
          <w:color w:val="auto"/>
          <w:sz w:val="24"/>
          <w:szCs w:val="24"/>
          <w:highlight w:val="none"/>
        </w:rPr>
      </w:pPr>
    </w:p>
    <w:p w14:paraId="1B6F5DB7">
      <w:pPr>
        <w:pStyle w:val="22"/>
        <w:spacing w:line="276" w:lineRule="auto"/>
        <w:rPr>
          <w:rFonts w:hint="eastAsia" w:ascii="宋体" w:hAnsi="宋体" w:eastAsia="宋体" w:cs="宋体"/>
          <w:color w:val="auto"/>
          <w:sz w:val="24"/>
          <w:szCs w:val="24"/>
          <w:highlight w:val="none"/>
        </w:rPr>
      </w:pPr>
    </w:p>
    <w:p w14:paraId="75A2B6D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0"/>
          <w:szCs w:val="30"/>
          <w:highlight w:val="none"/>
        </w:rPr>
        <w:t>残疾人福利性单位声明函</w:t>
      </w:r>
    </w:p>
    <w:p w14:paraId="2B22B2F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p>
    <w:p w14:paraId="6AD7A18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项目采购活动由本单位提供服务。</w:t>
      </w:r>
    </w:p>
    <w:p w14:paraId="7C0C424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2E5B43D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p w14:paraId="08E75072">
      <w:pPr>
        <w:keepNext w:val="0"/>
        <w:keepLines w:val="0"/>
        <w:pageBreakBefore w:val="0"/>
        <w:widowControl w:val="0"/>
        <w:kinsoku/>
        <w:wordWrap/>
        <w:overflowPunct/>
        <w:topLinePunct w:val="0"/>
        <w:autoSpaceDE/>
        <w:autoSpaceDN/>
        <w:bidi w:val="0"/>
        <w:adjustRightInd/>
        <w:snapToGrid/>
        <w:spacing w:line="500" w:lineRule="exact"/>
        <w:ind w:firstLine="3780" w:firstLineChars="1800"/>
        <w:textAlignment w:val="auto"/>
        <w:rPr>
          <w:rFonts w:hint="eastAsia" w:ascii="宋体" w:hAnsi="宋体" w:eastAsia="宋体" w:cs="宋体"/>
          <w:color w:val="auto"/>
          <w:sz w:val="21"/>
          <w:szCs w:val="21"/>
          <w:highlight w:val="none"/>
        </w:rPr>
      </w:pPr>
    </w:p>
    <w:p w14:paraId="2AA964E0">
      <w:pPr>
        <w:keepNext w:val="0"/>
        <w:keepLines w:val="0"/>
        <w:pageBreakBefore w:val="0"/>
        <w:widowControl w:val="0"/>
        <w:kinsoku/>
        <w:wordWrap/>
        <w:overflowPunct/>
        <w:topLinePunct w:val="0"/>
        <w:autoSpaceDE/>
        <w:autoSpaceDN/>
        <w:bidi w:val="0"/>
        <w:adjustRightInd/>
        <w:snapToGrid/>
        <w:spacing w:line="500" w:lineRule="exact"/>
        <w:ind w:firstLine="3780" w:firstLine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供应商名称（电子签章）：</w:t>
      </w:r>
    </w:p>
    <w:p w14:paraId="3D9BEBE0">
      <w:pPr>
        <w:keepNext w:val="0"/>
        <w:keepLines w:val="0"/>
        <w:pageBreakBefore w:val="0"/>
        <w:widowControl w:val="0"/>
        <w:kinsoku/>
        <w:wordWrap/>
        <w:overflowPunct/>
        <w:topLinePunct w:val="0"/>
        <w:autoSpaceDE/>
        <w:autoSpaceDN/>
        <w:bidi w:val="0"/>
        <w:adjustRightInd/>
        <w:snapToGrid/>
        <w:spacing w:line="500" w:lineRule="exact"/>
        <w:ind w:firstLine="3780" w:firstLine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6DAEEF7C">
      <w:pPr>
        <w:spacing w:line="360" w:lineRule="auto"/>
        <w:rPr>
          <w:rFonts w:hint="eastAsia" w:ascii="宋体" w:hAnsi="宋体" w:eastAsia="宋体" w:cs="宋体"/>
          <w:color w:val="auto"/>
          <w:sz w:val="21"/>
          <w:szCs w:val="21"/>
          <w:highlight w:val="none"/>
        </w:rPr>
      </w:pPr>
    </w:p>
    <w:p w14:paraId="5D3DE1AF">
      <w:pPr>
        <w:spacing w:line="360" w:lineRule="auto"/>
        <w:rPr>
          <w:rFonts w:hint="eastAsia" w:ascii="宋体" w:hAnsi="宋体" w:eastAsia="宋体" w:cs="宋体"/>
          <w:color w:val="auto"/>
          <w:sz w:val="21"/>
          <w:szCs w:val="21"/>
          <w:highlight w:val="none"/>
        </w:rPr>
      </w:pPr>
    </w:p>
    <w:p w14:paraId="6BAFC8B0">
      <w:pPr>
        <w:spacing w:line="360" w:lineRule="auto"/>
        <w:rPr>
          <w:rFonts w:hint="eastAsia" w:ascii="宋体" w:hAnsi="宋体" w:eastAsia="宋体" w:cs="宋体"/>
          <w:color w:val="auto"/>
          <w:sz w:val="21"/>
          <w:szCs w:val="21"/>
          <w:highlight w:val="none"/>
        </w:rPr>
      </w:pPr>
    </w:p>
    <w:p w14:paraId="1B58B7A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6101A1E2">
      <w:pPr>
        <w:pStyle w:val="22"/>
        <w:spacing w:line="276" w:lineRule="auto"/>
        <w:rPr>
          <w:rFonts w:hint="eastAsia" w:ascii="宋体" w:hAnsi="宋体" w:eastAsia="宋体" w:cs="宋体"/>
          <w:color w:val="auto"/>
          <w:sz w:val="24"/>
          <w:szCs w:val="24"/>
          <w:highlight w:val="none"/>
        </w:rPr>
      </w:pPr>
    </w:p>
    <w:p w14:paraId="4CB5C7BE">
      <w:pPr>
        <w:snapToGrid w:val="0"/>
        <w:spacing w:line="360" w:lineRule="auto"/>
        <w:ind w:firstLine="5160" w:firstLineChars="2150"/>
        <w:rPr>
          <w:rFonts w:hint="eastAsia" w:ascii="宋体" w:hAnsi="宋体" w:eastAsia="宋体" w:cs="宋体"/>
          <w:color w:val="auto"/>
          <w:kern w:val="0"/>
          <w:sz w:val="24"/>
          <w:highlight w:val="none"/>
          <w:lang w:val="zh-CN"/>
        </w:rPr>
      </w:pPr>
    </w:p>
    <w:p w14:paraId="408BC27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bCs/>
          <w:color w:val="auto"/>
          <w:sz w:val="30"/>
          <w:szCs w:val="30"/>
          <w:highlight w:val="none"/>
        </w:rPr>
        <w:t>质疑函（格式）</w:t>
      </w:r>
    </w:p>
    <w:p w14:paraId="2287390E">
      <w:pPr>
        <w:pStyle w:val="19"/>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一、质疑供应商基本信息：</w:t>
      </w:r>
    </w:p>
    <w:p w14:paraId="6EDD0888">
      <w:pPr>
        <w:pStyle w:val="19"/>
        <w:spacing w:line="360" w:lineRule="auto"/>
        <w:ind w:firstLine="420" w:firstLineChars="200"/>
        <w:contextualSpacing/>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质疑供应商：</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16A9F757">
      <w:pPr>
        <w:pStyle w:val="19"/>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25072530">
      <w:pPr>
        <w:pStyle w:val="19"/>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4500F3C0">
      <w:pPr>
        <w:pStyle w:val="19"/>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授权代表：</w:t>
      </w:r>
      <w:r>
        <w:rPr>
          <w:rFonts w:hint="eastAsia" w:ascii="宋体" w:hAnsi="宋体" w:eastAsia="宋体" w:cs="宋体"/>
          <w:bCs/>
          <w:color w:val="auto"/>
          <w:sz w:val="21"/>
          <w:szCs w:val="21"/>
          <w:highlight w:val="none"/>
          <w:u w:val="single"/>
        </w:rPr>
        <w:t xml:space="preserve">                      </w:t>
      </w:r>
    </w:p>
    <w:p w14:paraId="5B969228">
      <w:pPr>
        <w:pStyle w:val="19"/>
        <w:spacing w:line="360" w:lineRule="auto"/>
        <w:ind w:firstLine="420" w:firstLineChars="200"/>
        <w:contextualSpacing/>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400F55F3">
      <w:pPr>
        <w:pStyle w:val="19"/>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704CDBF0">
      <w:pPr>
        <w:pStyle w:val="19"/>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二、质疑项目基本情况：</w:t>
      </w:r>
    </w:p>
    <w:p w14:paraId="4F407ECF">
      <w:pPr>
        <w:pStyle w:val="19"/>
        <w:spacing w:line="360" w:lineRule="auto"/>
        <w:ind w:left="25" w:leftChars="12" w:firstLine="413" w:firstLineChars="197"/>
        <w:contextualSpacing/>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质疑</w:t>
      </w:r>
      <w:r>
        <w:rPr>
          <w:rFonts w:hint="eastAsia" w:ascii="宋体" w:hAnsi="宋体" w:eastAsia="宋体" w:cs="宋体"/>
          <w:color w:val="auto"/>
          <w:sz w:val="21"/>
          <w:szCs w:val="21"/>
          <w:highlight w:val="none"/>
        </w:rPr>
        <w:t>项目的名称：</w:t>
      </w:r>
      <w:r>
        <w:rPr>
          <w:rFonts w:hint="eastAsia" w:ascii="宋体" w:hAnsi="宋体" w:eastAsia="宋体" w:cs="宋体"/>
          <w:bCs/>
          <w:color w:val="auto"/>
          <w:sz w:val="21"/>
          <w:szCs w:val="21"/>
          <w:highlight w:val="none"/>
          <w:u w:val="single"/>
        </w:rPr>
        <w:t xml:space="preserve">                  </w:t>
      </w:r>
    </w:p>
    <w:p w14:paraId="55A93F86">
      <w:pPr>
        <w:pStyle w:val="19"/>
        <w:spacing w:line="360" w:lineRule="auto"/>
        <w:ind w:left="25" w:leftChars="12" w:firstLine="413" w:firstLineChars="197"/>
        <w:contextualSpacing/>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质疑</w:t>
      </w:r>
      <w:r>
        <w:rPr>
          <w:rFonts w:hint="eastAsia" w:ascii="宋体" w:hAnsi="宋体" w:eastAsia="宋体" w:cs="宋体"/>
          <w:color w:val="auto"/>
          <w:sz w:val="21"/>
          <w:szCs w:val="21"/>
          <w:highlight w:val="none"/>
        </w:rPr>
        <w:t>项目的编号：</w:t>
      </w:r>
      <w:r>
        <w:rPr>
          <w:rFonts w:hint="eastAsia" w:ascii="宋体" w:hAnsi="宋体" w:eastAsia="宋体" w:cs="宋体"/>
          <w:bCs/>
          <w:color w:val="auto"/>
          <w:sz w:val="21"/>
          <w:szCs w:val="21"/>
          <w:highlight w:val="none"/>
          <w:u w:val="single"/>
        </w:rPr>
        <w:t xml:space="preserve"> </w:t>
      </w:r>
      <w:bookmarkStart w:id="163" w:name="PO_3000001871_PM001_9"/>
      <w:bookmarkEnd w:id="163"/>
      <w:r>
        <w:rPr>
          <w:rFonts w:hint="eastAsia" w:ascii="宋体" w:hAnsi="宋体" w:eastAsia="宋体" w:cs="宋体"/>
          <w:bCs/>
          <w:color w:val="auto"/>
          <w:sz w:val="21"/>
          <w:szCs w:val="21"/>
          <w:highlight w:val="none"/>
          <w:u w:val="single"/>
        </w:rPr>
        <w:t xml:space="preserve">                 </w:t>
      </w:r>
    </w:p>
    <w:p w14:paraId="4B39AD6A">
      <w:pPr>
        <w:pStyle w:val="19"/>
        <w:spacing w:line="360" w:lineRule="auto"/>
        <w:ind w:left="25" w:leftChars="12" w:firstLine="413" w:firstLineChars="19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r>
        <w:rPr>
          <w:rFonts w:hint="eastAsia" w:ascii="宋体" w:hAnsi="宋体" w:eastAsia="宋体" w:cs="宋体"/>
          <w:bCs/>
          <w:color w:val="auto"/>
          <w:sz w:val="21"/>
          <w:szCs w:val="21"/>
          <w:highlight w:val="none"/>
          <w:u w:val="single"/>
        </w:rPr>
        <w:t xml:space="preserve">                      </w:t>
      </w:r>
    </w:p>
    <w:p w14:paraId="0E148F82">
      <w:pPr>
        <w:pStyle w:val="19"/>
        <w:spacing w:line="360" w:lineRule="auto"/>
        <w:ind w:left="25" w:leftChars="12" w:firstLine="413" w:firstLineChars="19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w:t>
      </w:r>
    </w:p>
    <w:p w14:paraId="4E0FE087">
      <w:pPr>
        <w:pStyle w:val="19"/>
        <w:spacing w:line="360" w:lineRule="auto"/>
        <w:ind w:left="25" w:leftChars="12" w:firstLine="308" w:firstLineChars="14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   采购文件获取日期：</w:t>
      </w:r>
      <w:r>
        <w:rPr>
          <w:rFonts w:hint="eastAsia" w:ascii="宋体" w:hAnsi="宋体" w:eastAsia="宋体" w:cs="宋体"/>
          <w:bCs/>
          <w:color w:val="auto"/>
          <w:sz w:val="21"/>
          <w:szCs w:val="21"/>
          <w:highlight w:val="none"/>
          <w:u w:val="single"/>
        </w:rPr>
        <w:t xml:space="preserve">                         </w:t>
      </w:r>
    </w:p>
    <w:p w14:paraId="48B366F0">
      <w:pPr>
        <w:pStyle w:val="19"/>
        <w:spacing w:line="360" w:lineRule="auto"/>
        <w:ind w:left="25" w:leftChars="12" w:firstLine="308" w:firstLineChars="14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□采购过程   </w:t>
      </w:r>
    </w:p>
    <w:p w14:paraId="5E1928C6">
      <w:pPr>
        <w:pStyle w:val="19"/>
        <w:spacing w:line="360" w:lineRule="auto"/>
        <w:ind w:left="25" w:leftChars="12" w:firstLine="308" w:firstLineChars="147"/>
        <w:contextualSpacing/>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 xml:space="preserve">□成交结果   </w:t>
      </w:r>
    </w:p>
    <w:p w14:paraId="49D4E7C1">
      <w:pPr>
        <w:pStyle w:val="19"/>
        <w:spacing w:line="360" w:lineRule="auto"/>
        <w:ind w:left="25" w:leftChars="12" w:firstLine="413" w:firstLineChars="196"/>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三、质疑事项具体内容</w:t>
      </w:r>
    </w:p>
    <w:p w14:paraId="161A656A">
      <w:pPr>
        <w:pStyle w:val="19"/>
        <w:spacing w:line="360" w:lineRule="auto"/>
        <w:ind w:left="25" w:leftChars="12" w:firstLine="413" w:firstLineChars="19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质疑事项1：</w:t>
      </w:r>
      <w:r>
        <w:rPr>
          <w:rFonts w:hint="eastAsia" w:ascii="宋体" w:hAnsi="宋体" w:eastAsia="宋体" w:cs="宋体"/>
          <w:bCs/>
          <w:color w:val="auto"/>
          <w:sz w:val="21"/>
          <w:szCs w:val="21"/>
          <w:highlight w:val="none"/>
          <w:u w:val="single"/>
        </w:rPr>
        <w:t xml:space="preserve">                                            </w:t>
      </w:r>
    </w:p>
    <w:p w14:paraId="5C4F3C75">
      <w:pPr>
        <w:pStyle w:val="19"/>
        <w:spacing w:line="360" w:lineRule="auto"/>
        <w:ind w:left="25" w:leftChars="12" w:firstLine="413" w:firstLineChars="19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bCs/>
          <w:color w:val="auto"/>
          <w:sz w:val="21"/>
          <w:szCs w:val="21"/>
          <w:highlight w:val="none"/>
          <w:u w:val="single"/>
        </w:rPr>
        <w:t xml:space="preserve">                                              </w:t>
      </w:r>
    </w:p>
    <w:p w14:paraId="7CB13A4A">
      <w:pPr>
        <w:pStyle w:val="19"/>
        <w:spacing w:line="360" w:lineRule="auto"/>
        <w:ind w:left="25" w:leftChars="12" w:firstLine="413" w:firstLineChars="19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u w:val="single"/>
        </w:rPr>
        <w:t xml:space="preserve">               </w:t>
      </w:r>
    </w:p>
    <w:p w14:paraId="3737B980">
      <w:pPr>
        <w:pStyle w:val="19"/>
        <w:spacing w:line="360" w:lineRule="auto"/>
        <w:ind w:left="25" w:leftChars="12" w:firstLine="413" w:firstLineChars="19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质疑事项2</w:t>
      </w:r>
    </w:p>
    <w:p w14:paraId="67C1A090">
      <w:pPr>
        <w:pStyle w:val="19"/>
        <w:spacing w:line="360" w:lineRule="auto"/>
        <w:ind w:left="25" w:leftChars="12" w:firstLine="413" w:firstLineChars="19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10373F06">
      <w:pPr>
        <w:pStyle w:val="19"/>
        <w:spacing w:line="360" w:lineRule="auto"/>
        <w:ind w:left="25" w:leftChars="12" w:firstLine="413" w:firstLineChars="19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四、与质疑事项相关的质疑请求：</w:t>
      </w:r>
    </w:p>
    <w:p w14:paraId="6D305D30">
      <w:pPr>
        <w:pStyle w:val="19"/>
        <w:spacing w:line="360" w:lineRule="auto"/>
        <w:ind w:left="25" w:leftChars="12" w:firstLine="413" w:firstLineChars="19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bCs/>
          <w:color w:val="auto"/>
          <w:sz w:val="21"/>
          <w:szCs w:val="21"/>
          <w:highlight w:val="none"/>
          <w:u w:val="single"/>
        </w:rPr>
        <w:t xml:space="preserve">                                                  </w:t>
      </w:r>
    </w:p>
    <w:p w14:paraId="4667C3A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BEEAE36">
      <w:pPr>
        <w:pStyle w:val="19"/>
        <w:spacing w:line="360" w:lineRule="auto"/>
        <w:ind w:left="25" w:leftChars="12" w:firstLine="413" w:firstLineChars="19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                                       公章：</w:t>
      </w:r>
    </w:p>
    <w:p w14:paraId="0D46D4D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1679AF9">
      <w:pPr>
        <w:pStyle w:val="19"/>
        <w:spacing w:line="360" w:lineRule="auto"/>
        <w:ind w:left="25" w:leftChars="12" w:firstLine="413" w:firstLineChars="19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06650FFA">
      <w:pPr>
        <w:pStyle w:val="19"/>
        <w:spacing w:line="360" w:lineRule="auto"/>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p>
    <w:p w14:paraId="278D50CA">
      <w:pPr>
        <w:pStyle w:val="19"/>
        <w:spacing w:line="360" w:lineRule="auto"/>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说明：</w:t>
      </w:r>
    </w:p>
    <w:p w14:paraId="2580E489">
      <w:pPr>
        <w:pStyle w:val="19"/>
        <w:spacing w:line="360" w:lineRule="auto"/>
        <w:ind w:left="25" w:leftChars="12" w:firstLine="310" w:firstLineChars="147"/>
        <w:contextualSpacing/>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1.供应商提出质疑时，应提交质疑函和必要的证明材料</w:t>
      </w:r>
      <w:r>
        <w:rPr>
          <w:rFonts w:hint="eastAsia" w:ascii="宋体" w:hAnsi="宋体" w:eastAsia="宋体" w:cs="宋体"/>
          <w:b/>
          <w:bCs/>
          <w:color w:val="auto"/>
          <w:sz w:val="21"/>
          <w:szCs w:val="21"/>
          <w:highlight w:val="none"/>
        </w:rPr>
        <w:t>。</w:t>
      </w:r>
    </w:p>
    <w:p w14:paraId="4E06B8AA">
      <w:pPr>
        <w:pStyle w:val="19"/>
        <w:spacing w:line="360" w:lineRule="auto"/>
        <w:ind w:left="25" w:leftChars="12" w:firstLine="310" w:firstLineChars="147"/>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E43B3F4">
      <w:pPr>
        <w:pStyle w:val="19"/>
        <w:spacing w:line="360" w:lineRule="auto"/>
        <w:ind w:left="25" w:leftChars="12" w:firstLine="310" w:firstLineChars="147"/>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3.质疑函的质疑事项应具体、明确，并有必要的事实依据和法律依据。</w:t>
      </w:r>
    </w:p>
    <w:p w14:paraId="715C3477">
      <w:pPr>
        <w:pStyle w:val="19"/>
        <w:spacing w:line="360" w:lineRule="auto"/>
        <w:ind w:left="25" w:leftChars="12" w:firstLine="310" w:firstLineChars="147"/>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4.质疑函的质疑请求应与质疑事项相关。</w:t>
      </w:r>
    </w:p>
    <w:p w14:paraId="11EBF183">
      <w:pPr>
        <w:pStyle w:val="19"/>
        <w:spacing w:line="360" w:lineRule="auto"/>
        <w:ind w:left="25" w:leftChars="12" w:firstLine="310" w:firstLineChars="147"/>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5.质疑供应商为法人或者其他组织的，质疑函应由法定代表人、主要负责人，或者其授权代表签字或者盖章，并加盖公章。</w:t>
      </w:r>
    </w:p>
    <w:p w14:paraId="42C94FF9">
      <w:pPr>
        <w:pStyle w:val="19"/>
        <w:snapToGrid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14:paraId="45031B6E">
      <w:pPr>
        <w:spacing w:line="46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5ADEEB02">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0"/>
          <w:szCs w:val="30"/>
          <w:highlight w:val="none"/>
        </w:rPr>
        <w:t>投诉书（格式）</w:t>
      </w:r>
    </w:p>
    <w:p w14:paraId="0605BE66">
      <w:pPr>
        <w:pStyle w:val="19"/>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一、投诉相关主体基本情况：</w:t>
      </w:r>
    </w:p>
    <w:p w14:paraId="59076C08">
      <w:pPr>
        <w:pStyle w:val="19"/>
        <w:snapToGrid w:val="0"/>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供应商：</w:t>
      </w:r>
      <w:r>
        <w:rPr>
          <w:rFonts w:hint="eastAsia" w:ascii="宋体" w:hAnsi="宋体" w:eastAsia="宋体" w:cs="宋体"/>
          <w:bCs/>
          <w:color w:val="auto"/>
          <w:sz w:val="21"/>
          <w:szCs w:val="21"/>
          <w:highlight w:val="none"/>
          <w:u w:val="single"/>
        </w:rPr>
        <w:t xml:space="preserve">                                                              </w:t>
      </w:r>
    </w:p>
    <w:p w14:paraId="0AC9E150">
      <w:pPr>
        <w:pStyle w:val="19"/>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536B434F">
      <w:pPr>
        <w:pStyle w:val="19"/>
        <w:snapToGrid w:val="0"/>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法定代表人/主要负责人：</w:t>
      </w:r>
      <w:r>
        <w:rPr>
          <w:rFonts w:hint="eastAsia" w:ascii="宋体" w:hAnsi="宋体" w:eastAsia="宋体" w:cs="宋体"/>
          <w:bCs/>
          <w:color w:val="auto"/>
          <w:sz w:val="21"/>
          <w:szCs w:val="21"/>
          <w:highlight w:val="none"/>
          <w:u w:val="single"/>
        </w:rPr>
        <w:t xml:space="preserve">                                               </w:t>
      </w:r>
    </w:p>
    <w:p w14:paraId="03B90115">
      <w:pPr>
        <w:pStyle w:val="19"/>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4067A6BF">
      <w:pPr>
        <w:pStyle w:val="19"/>
        <w:snapToGrid w:val="0"/>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授权代表：</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58544975">
      <w:pPr>
        <w:pStyle w:val="19"/>
        <w:snapToGrid w:val="0"/>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5498F082">
      <w:pPr>
        <w:pStyle w:val="19"/>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6E48396D">
      <w:pPr>
        <w:pStyle w:val="19"/>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被投诉人1：</w:t>
      </w:r>
    </w:p>
    <w:p w14:paraId="1853EC77">
      <w:pPr>
        <w:pStyle w:val="19"/>
        <w:snapToGrid w:val="0"/>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14A98291">
      <w:pPr>
        <w:pStyle w:val="19"/>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3BE68185">
      <w:pPr>
        <w:pStyle w:val="19"/>
        <w:snapToGrid w:val="0"/>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3286EC9C">
      <w:pPr>
        <w:pStyle w:val="19"/>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被投诉人2：</w:t>
      </w:r>
    </w:p>
    <w:p w14:paraId="413761B8">
      <w:pPr>
        <w:pStyle w:val="19"/>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p w14:paraId="33600C63">
      <w:pPr>
        <w:pStyle w:val="19"/>
        <w:snapToGrid w:val="0"/>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相关供应商：</w:t>
      </w:r>
      <w:r>
        <w:rPr>
          <w:rFonts w:hint="eastAsia" w:ascii="宋体" w:hAnsi="宋体" w:eastAsia="宋体" w:cs="宋体"/>
          <w:bCs/>
          <w:color w:val="auto"/>
          <w:sz w:val="21"/>
          <w:szCs w:val="21"/>
          <w:highlight w:val="none"/>
          <w:u w:val="single"/>
        </w:rPr>
        <w:t xml:space="preserve">                                                         </w:t>
      </w:r>
    </w:p>
    <w:p w14:paraId="273B512E">
      <w:pPr>
        <w:pStyle w:val="19"/>
        <w:snapToGrid w:val="0"/>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p>
    <w:p w14:paraId="3FE4F93C">
      <w:pPr>
        <w:pStyle w:val="19"/>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27F70F5A">
      <w:pPr>
        <w:pStyle w:val="19"/>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二、投诉项目基本情况：</w:t>
      </w:r>
    </w:p>
    <w:p w14:paraId="5AEAC27F">
      <w:pPr>
        <w:pStyle w:val="19"/>
        <w:spacing w:line="36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w:t>
      </w:r>
      <w:r>
        <w:rPr>
          <w:rFonts w:hint="eastAsia" w:ascii="宋体" w:hAnsi="宋体" w:eastAsia="宋体" w:cs="宋体"/>
          <w:color w:val="auto"/>
          <w:sz w:val="21"/>
          <w:szCs w:val="21"/>
          <w:highlight w:val="none"/>
        </w:rPr>
        <w:t>项目的名称：</w:t>
      </w:r>
      <w:r>
        <w:rPr>
          <w:rFonts w:hint="eastAsia" w:ascii="宋体" w:hAnsi="宋体" w:eastAsia="宋体" w:cs="宋体"/>
          <w:bCs/>
          <w:color w:val="auto"/>
          <w:sz w:val="21"/>
          <w:szCs w:val="21"/>
          <w:highlight w:val="none"/>
          <w:u w:val="single"/>
        </w:rPr>
        <w:t xml:space="preserve">                      </w:t>
      </w:r>
    </w:p>
    <w:p w14:paraId="6A8A634D">
      <w:pPr>
        <w:pStyle w:val="19"/>
        <w:spacing w:line="36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w:t>
      </w:r>
      <w:r>
        <w:rPr>
          <w:rFonts w:hint="eastAsia" w:ascii="宋体" w:hAnsi="宋体" w:eastAsia="宋体" w:cs="宋体"/>
          <w:color w:val="auto"/>
          <w:sz w:val="21"/>
          <w:szCs w:val="21"/>
          <w:highlight w:val="none"/>
        </w:rPr>
        <w:t>项目的编号：</w:t>
      </w:r>
      <w:bookmarkStart w:id="164" w:name="PO_3000001871_PM001_10"/>
      <w:bookmarkEnd w:id="164"/>
      <w:r>
        <w:rPr>
          <w:rFonts w:hint="eastAsia" w:ascii="宋体" w:hAnsi="宋体" w:eastAsia="宋体" w:cs="宋体"/>
          <w:bCs/>
          <w:color w:val="auto"/>
          <w:sz w:val="21"/>
          <w:szCs w:val="21"/>
          <w:highlight w:val="none"/>
          <w:u w:val="single"/>
        </w:rPr>
        <w:t xml:space="preserve">                      </w:t>
      </w:r>
    </w:p>
    <w:p w14:paraId="0916F246">
      <w:pPr>
        <w:pStyle w:val="19"/>
        <w:spacing w:line="360" w:lineRule="auto"/>
        <w:ind w:left="25" w:leftChars="12" w:firstLine="413" w:firstLineChars="197"/>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采购人名称：</w:t>
      </w:r>
      <w:r>
        <w:rPr>
          <w:rFonts w:hint="eastAsia" w:ascii="宋体" w:hAnsi="宋体" w:eastAsia="宋体" w:cs="宋体"/>
          <w:bCs/>
          <w:color w:val="auto"/>
          <w:sz w:val="21"/>
          <w:szCs w:val="21"/>
          <w:highlight w:val="none"/>
          <w:u w:val="single"/>
        </w:rPr>
        <w:t xml:space="preserve">                          </w:t>
      </w:r>
    </w:p>
    <w:p w14:paraId="753749D0">
      <w:pPr>
        <w:pStyle w:val="19"/>
        <w:spacing w:line="360" w:lineRule="auto"/>
        <w:ind w:left="25" w:leftChars="12" w:firstLine="413" w:firstLineChars="197"/>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代理机构名称：</w:t>
      </w:r>
      <w:bookmarkStart w:id="165" w:name="PO_3000001871_PM031_5"/>
      <w:bookmarkEnd w:id="165"/>
      <w:r>
        <w:rPr>
          <w:rFonts w:hint="eastAsia" w:ascii="宋体" w:hAnsi="宋体" w:eastAsia="宋体" w:cs="宋体"/>
          <w:bCs/>
          <w:color w:val="auto"/>
          <w:sz w:val="21"/>
          <w:szCs w:val="21"/>
          <w:highlight w:val="none"/>
          <w:u w:val="single"/>
        </w:rPr>
        <w:t xml:space="preserve">                        </w:t>
      </w:r>
    </w:p>
    <w:p w14:paraId="23BC6A84">
      <w:pPr>
        <w:pStyle w:val="19"/>
        <w:spacing w:line="360" w:lineRule="auto"/>
        <w:ind w:left="25" w:leftChars="12" w:firstLine="413" w:firstLineChars="197"/>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招标文件公告：</w:t>
      </w:r>
      <w:r>
        <w:rPr>
          <w:rFonts w:hint="eastAsia" w:ascii="宋体" w:hAnsi="宋体" w:eastAsia="宋体" w:cs="宋体"/>
          <w:bCs/>
          <w:color w:val="auto"/>
          <w:sz w:val="21"/>
          <w:szCs w:val="21"/>
          <w:highlight w:val="none"/>
          <w:u w:val="single"/>
        </w:rPr>
        <w:t>是/否</w:t>
      </w:r>
      <w:r>
        <w:rPr>
          <w:rFonts w:hint="eastAsia" w:ascii="宋体" w:hAnsi="宋体" w:eastAsia="宋体" w:cs="宋体"/>
          <w:bCs/>
          <w:color w:val="auto"/>
          <w:sz w:val="21"/>
          <w:szCs w:val="21"/>
          <w:highlight w:val="none"/>
        </w:rPr>
        <w:t>公告期限：</w:t>
      </w:r>
      <w:r>
        <w:rPr>
          <w:rFonts w:hint="eastAsia" w:ascii="宋体" w:hAnsi="宋体" w:eastAsia="宋体" w:cs="宋体"/>
          <w:bCs/>
          <w:color w:val="auto"/>
          <w:sz w:val="21"/>
          <w:szCs w:val="21"/>
          <w:highlight w:val="none"/>
          <w:u w:val="single"/>
        </w:rPr>
        <w:t xml:space="preserve">                                        </w:t>
      </w:r>
    </w:p>
    <w:p w14:paraId="61006908">
      <w:pPr>
        <w:pStyle w:val="19"/>
        <w:spacing w:line="360" w:lineRule="auto"/>
        <w:ind w:left="25" w:leftChars="12" w:firstLine="413" w:firstLineChars="197"/>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采购结果公告：</w:t>
      </w:r>
      <w:r>
        <w:rPr>
          <w:rFonts w:hint="eastAsia" w:ascii="宋体" w:hAnsi="宋体" w:eastAsia="宋体" w:cs="宋体"/>
          <w:bCs/>
          <w:color w:val="auto"/>
          <w:sz w:val="21"/>
          <w:szCs w:val="21"/>
          <w:highlight w:val="none"/>
          <w:u w:val="single"/>
        </w:rPr>
        <w:t>是/否</w:t>
      </w:r>
      <w:r>
        <w:rPr>
          <w:rFonts w:hint="eastAsia" w:ascii="宋体" w:hAnsi="宋体" w:eastAsia="宋体" w:cs="宋体"/>
          <w:bCs/>
          <w:color w:val="auto"/>
          <w:sz w:val="21"/>
          <w:szCs w:val="21"/>
          <w:highlight w:val="none"/>
        </w:rPr>
        <w:t>公告期限：</w:t>
      </w:r>
      <w:r>
        <w:rPr>
          <w:rFonts w:hint="eastAsia" w:ascii="宋体" w:hAnsi="宋体" w:eastAsia="宋体" w:cs="宋体"/>
          <w:bCs/>
          <w:color w:val="auto"/>
          <w:sz w:val="21"/>
          <w:szCs w:val="21"/>
          <w:highlight w:val="none"/>
          <w:u w:val="single"/>
        </w:rPr>
        <w:t xml:space="preserve">                                        </w:t>
      </w:r>
    </w:p>
    <w:p w14:paraId="55D50B57">
      <w:pPr>
        <w:pStyle w:val="19"/>
        <w:spacing w:line="360" w:lineRule="auto"/>
        <w:ind w:left="25" w:leftChars="12"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三、质疑基本情况</w:t>
      </w:r>
    </w:p>
    <w:p w14:paraId="4621B310">
      <w:pPr>
        <w:pStyle w:val="19"/>
        <w:spacing w:line="360" w:lineRule="auto"/>
        <w:ind w:firstLine="659" w:firstLineChars="314"/>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投诉人于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提出质疑，质疑事项为：</w:t>
      </w:r>
      <w:r>
        <w:rPr>
          <w:rFonts w:hint="eastAsia" w:ascii="宋体" w:hAnsi="宋体" w:eastAsia="宋体" w:cs="宋体"/>
          <w:bCs/>
          <w:color w:val="auto"/>
          <w:sz w:val="21"/>
          <w:szCs w:val="21"/>
          <w:highlight w:val="none"/>
          <w:u w:val="single"/>
        </w:rPr>
        <w:t xml:space="preserve">                                                                          </w:t>
      </w:r>
    </w:p>
    <w:p w14:paraId="7B251120">
      <w:pPr>
        <w:pStyle w:val="1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u w:val="single"/>
        </w:rPr>
        <w:t>采购人/代理机构</w:t>
      </w:r>
      <w:r>
        <w:rPr>
          <w:rFonts w:hint="eastAsia" w:ascii="宋体" w:hAnsi="宋体" w:eastAsia="宋体" w:cs="宋体"/>
          <w:bCs/>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bCs/>
          <w:color w:val="auto"/>
          <w:sz w:val="21"/>
          <w:szCs w:val="21"/>
          <w:highlight w:val="none"/>
        </w:rPr>
        <w:t>就质疑事项作出了答复/没有在法定期限内作出答复。</w:t>
      </w:r>
    </w:p>
    <w:p w14:paraId="3ACAD141">
      <w:pPr>
        <w:pStyle w:val="19"/>
        <w:spacing w:line="360" w:lineRule="auto"/>
        <w:ind w:left="25" w:leftChars="12"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四、投诉事项具体内容</w:t>
      </w:r>
    </w:p>
    <w:p w14:paraId="58FB83DD">
      <w:pPr>
        <w:pStyle w:val="19"/>
        <w:spacing w:line="360" w:lineRule="auto"/>
        <w:ind w:left="25" w:leftChars="12" w:firstLine="413" w:firstLineChars="197"/>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投诉事项1：</w:t>
      </w:r>
      <w:r>
        <w:rPr>
          <w:rFonts w:hint="eastAsia" w:ascii="宋体" w:hAnsi="宋体" w:eastAsia="宋体" w:cs="宋体"/>
          <w:bCs/>
          <w:color w:val="auto"/>
          <w:sz w:val="21"/>
          <w:szCs w:val="21"/>
          <w:highlight w:val="none"/>
          <w:u w:val="single"/>
        </w:rPr>
        <w:t xml:space="preserve">                                                         </w:t>
      </w:r>
    </w:p>
    <w:p w14:paraId="666E3747">
      <w:pPr>
        <w:pStyle w:val="19"/>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事实依据：</w:t>
      </w: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386F5CA1">
      <w:pPr>
        <w:pStyle w:val="19"/>
        <w:spacing w:line="36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u w:val="single"/>
        </w:rPr>
        <w:t xml:space="preserve">                                                                     </w:t>
      </w:r>
    </w:p>
    <w:p w14:paraId="4EA35F74">
      <w:pPr>
        <w:pStyle w:val="19"/>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法律依据：</w:t>
      </w: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3D4E8DBD">
      <w:pPr>
        <w:pStyle w:val="19"/>
        <w:spacing w:line="360" w:lineRule="auto"/>
        <w:ind w:left="25" w:leftChars="12" w:firstLine="308" w:firstLineChars="147"/>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339216BF">
      <w:pPr>
        <w:pStyle w:val="19"/>
        <w:spacing w:line="360" w:lineRule="auto"/>
        <w:ind w:left="25" w:leftChars="12" w:firstLine="413" w:firstLineChars="197"/>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投诉事项2  </w:t>
      </w:r>
      <w:r>
        <w:rPr>
          <w:rFonts w:hint="eastAsia" w:ascii="宋体" w:hAnsi="宋体" w:eastAsia="宋体" w:cs="宋体"/>
          <w:bCs/>
          <w:color w:val="auto"/>
          <w:sz w:val="21"/>
          <w:szCs w:val="21"/>
          <w:highlight w:val="none"/>
        </w:rPr>
        <w:t xml:space="preserve">   </w:t>
      </w:r>
    </w:p>
    <w:p w14:paraId="57F9FFCD">
      <w:pPr>
        <w:pStyle w:val="19"/>
        <w:spacing w:line="360" w:lineRule="auto"/>
        <w:ind w:left="25" w:leftChars="12" w:firstLine="413" w:firstLineChars="197"/>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p w14:paraId="24AFCDB1">
      <w:pPr>
        <w:pStyle w:val="19"/>
        <w:spacing w:line="360" w:lineRule="auto"/>
        <w:ind w:left="25" w:leftChars="12"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五、与投诉事项相关的投诉请求：</w:t>
      </w:r>
    </w:p>
    <w:p w14:paraId="72C246EE">
      <w:pPr>
        <w:pStyle w:val="19"/>
        <w:spacing w:line="36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bCs/>
          <w:color w:val="auto"/>
          <w:sz w:val="21"/>
          <w:szCs w:val="21"/>
          <w:highlight w:val="none"/>
          <w:u w:val="single"/>
        </w:rPr>
        <w:t xml:space="preserve">                                                               </w:t>
      </w:r>
    </w:p>
    <w:p w14:paraId="548D5C6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22849C3">
      <w:pPr>
        <w:pStyle w:val="19"/>
        <w:spacing w:line="36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                                       公章：</w:t>
      </w:r>
    </w:p>
    <w:p w14:paraId="27B6E73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B8267F1">
      <w:pPr>
        <w:pStyle w:val="19"/>
        <w:spacing w:line="36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2816C6DF">
      <w:pPr>
        <w:rPr>
          <w:rFonts w:hint="eastAsia" w:ascii="宋体" w:hAnsi="宋体" w:eastAsia="宋体" w:cs="宋体"/>
          <w:color w:val="auto"/>
          <w:sz w:val="21"/>
          <w:szCs w:val="21"/>
          <w:highlight w:val="none"/>
        </w:rPr>
      </w:pPr>
    </w:p>
    <w:p w14:paraId="772E078A">
      <w:pPr>
        <w:pStyle w:val="19"/>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5229C26F">
      <w:pPr>
        <w:pStyle w:val="19"/>
        <w:spacing w:line="360" w:lineRule="auto"/>
        <w:ind w:left="25" w:leftChars="12" w:firstLine="310" w:firstLineChars="147"/>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1"/>
          <w:szCs w:val="21"/>
          <w:highlight w:val="none"/>
        </w:rPr>
        <w:t>。</w:t>
      </w:r>
    </w:p>
    <w:p w14:paraId="5F4319DC">
      <w:pPr>
        <w:pStyle w:val="19"/>
        <w:spacing w:line="36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CD96A66">
      <w:pPr>
        <w:pStyle w:val="19"/>
        <w:spacing w:line="36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3.投诉书应简要列明质疑事项，质疑函、质疑答复等作为附件材料提供。</w:t>
      </w:r>
    </w:p>
    <w:p w14:paraId="35F2BE78">
      <w:pPr>
        <w:pStyle w:val="19"/>
        <w:spacing w:line="36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4.投诉书的投诉事项应具体、明确，并有必要的事实依据和法律依据。</w:t>
      </w:r>
    </w:p>
    <w:p w14:paraId="5DA9A6FD">
      <w:pPr>
        <w:pStyle w:val="19"/>
        <w:spacing w:line="36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5.投诉书的投诉请求应与投诉事项相关。</w:t>
      </w:r>
    </w:p>
    <w:p w14:paraId="5CB0289F">
      <w:pPr>
        <w:pStyle w:val="19"/>
        <w:spacing w:line="36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6.投诉人为法人或者其他组织的，投诉书应由法定代表人、主要负责人，或者其授权代表签字或者盖章，并加盖公章。</w:t>
      </w:r>
    </w:p>
    <w:p w14:paraId="553F7614">
      <w:pPr>
        <w:pStyle w:val="19"/>
        <w:snapToGrid w:val="0"/>
        <w:rPr>
          <w:rFonts w:hint="eastAsia" w:ascii="宋体" w:hAnsi="宋体" w:eastAsia="宋体" w:cs="宋体"/>
          <w:b/>
          <w:color w:val="auto"/>
          <w:sz w:val="24"/>
          <w:szCs w:val="24"/>
          <w:highlight w:val="none"/>
        </w:rPr>
      </w:pPr>
    </w:p>
    <w:p w14:paraId="7B4039DA">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0C1884AE">
      <w:pPr>
        <w:pStyle w:val="3"/>
        <w:numPr>
          <w:ilvl w:val="0"/>
          <w:numId w:val="2"/>
        </w:numPr>
        <w:spacing w:line="5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bookmarkStart w:id="166" w:name="_Toc19781"/>
      <w:r>
        <w:rPr>
          <w:rFonts w:hint="eastAsia" w:ascii="宋体" w:hAnsi="宋体" w:eastAsia="宋体" w:cs="宋体"/>
          <w:color w:val="auto"/>
          <w:highlight w:val="none"/>
        </w:rPr>
        <w:t>合同文本</w:t>
      </w:r>
      <w:bookmarkEnd w:id="166"/>
    </w:p>
    <w:p w14:paraId="4B522B18">
      <w:pPr>
        <w:rPr>
          <w:rFonts w:hint="eastAsia" w:ascii="宋体" w:hAnsi="宋体" w:eastAsia="宋体" w:cs="宋体"/>
          <w:color w:val="auto"/>
          <w:highlight w:val="none"/>
        </w:rPr>
      </w:pPr>
    </w:p>
    <w:p w14:paraId="3486BD05">
      <w:pPr>
        <w:pStyle w:val="14"/>
        <w:rPr>
          <w:rFonts w:hint="eastAsia" w:ascii="宋体" w:hAnsi="宋体" w:eastAsia="宋体" w:cs="宋体"/>
          <w:color w:val="auto"/>
          <w:highlight w:val="none"/>
        </w:rPr>
      </w:pPr>
    </w:p>
    <w:p w14:paraId="7146521E">
      <w:pPr>
        <w:pStyle w:val="14"/>
        <w:rPr>
          <w:rFonts w:hint="eastAsia" w:ascii="宋体" w:hAnsi="宋体" w:eastAsia="宋体" w:cs="宋体"/>
          <w:color w:val="auto"/>
          <w:highlight w:val="none"/>
        </w:rPr>
      </w:pPr>
    </w:p>
    <w:p w14:paraId="514878CC">
      <w:pPr>
        <w:pStyle w:val="14"/>
        <w:rPr>
          <w:rFonts w:hint="eastAsia" w:ascii="宋体" w:hAnsi="宋体" w:eastAsia="宋体" w:cs="宋体"/>
          <w:color w:val="auto"/>
          <w:highlight w:val="none"/>
        </w:rPr>
      </w:pPr>
    </w:p>
    <w:p w14:paraId="115BC65D">
      <w:pPr>
        <w:pStyle w:val="19"/>
        <w:jc w:val="center"/>
        <w:rPr>
          <w:rFonts w:hint="eastAsia" w:ascii="宋体" w:hAnsi="宋体" w:eastAsia="宋体" w:cs="宋体"/>
          <w:bCs/>
          <w:color w:val="auto"/>
          <w:sz w:val="52"/>
          <w:szCs w:val="52"/>
          <w:highlight w:val="none"/>
        </w:rPr>
      </w:pPr>
      <w:r>
        <w:rPr>
          <w:rFonts w:hint="eastAsia" w:ascii="宋体" w:hAnsi="宋体" w:eastAsia="宋体" w:cs="宋体"/>
          <w:bCs/>
          <w:color w:val="auto"/>
          <w:sz w:val="52"/>
          <w:szCs w:val="52"/>
          <w:highlight w:val="none"/>
        </w:rPr>
        <w:t>采购合同</w:t>
      </w:r>
    </w:p>
    <w:p w14:paraId="76E66ADF">
      <w:pPr>
        <w:pStyle w:val="19"/>
        <w:rPr>
          <w:rFonts w:hint="eastAsia" w:ascii="宋体" w:hAnsi="宋体" w:eastAsia="宋体" w:cs="宋体"/>
          <w:color w:val="auto"/>
          <w:highlight w:val="none"/>
        </w:rPr>
      </w:pPr>
    </w:p>
    <w:p w14:paraId="5ABF9550">
      <w:pPr>
        <w:pStyle w:val="19"/>
        <w:rPr>
          <w:rFonts w:hint="eastAsia" w:ascii="宋体" w:hAnsi="宋体" w:eastAsia="宋体" w:cs="宋体"/>
          <w:color w:val="auto"/>
          <w:highlight w:val="none"/>
        </w:rPr>
      </w:pPr>
    </w:p>
    <w:p w14:paraId="468098C5">
      <w:pPr>
        <w:pStyle w:val="19"/>
        <w:rPr>
          <w:rFonts w:hint="eastAsia" w:ascii="宋体" w:hAnsi="宋体" w:eastAsia="宋体" w:cs="宋体"/>
          <w:color w:val="auto"/>
          <w:highlight w:val="none"/>
        </w:rPr>
      </w:pPr>
    </w:p>
    <w:p w14:paraId="4892EAF9">
      <w:pPr>
        <w:pStyle w:val="19"/>
        <w:rPr>
          <w:rFonts w:hint="eastAsia" w:ascii="宋体" w:hAnsi="宋体" w:eastAsia="宋体" w:cs="宋体"/>
          <w:color w:val="auto"/>
          <w:highlight w:val="none"/>
        </w:rPr>
      </w:pPr>
    </w:p>
    <w:p w14:paraId="112FB913">
      <w:pPr>
        <w:pStyle w:val="19"/>
        <w:rPr>
          <w:rFonts w:hint="eastAsia" w:ascii="宋体" w:hAnsi="宋体" w:eastAsia="宋体" w:cs="宋体"/>
          <w:color w:val="auto"/>
          <w:highlight w:val="none"/>
        </w:rPr>
      </w:pPr>
    </w:p>
    <w:p w14:paraId="2F42FF92">
      <w:pPr>
        <w:pStyle w:val="19"/>
        <w:rPr>
          <w:rFonts w:hint="eastAsia" w:ascii="宋体" w:hAnsi="宋体" w:eastAsia="宋体" w:cs="宋体"/>
          <w:color w:val="auto"/>
          <w:highlight w:val="none"/>
        </w:rPr>
      </w:pPr>
    </w:p>
    <w:p w14:paraId="2D16FA2B">
      <w:pPr>
        <w:pStyle w:val="19"/>
        <w:rPr>
          <w:rFonts w:hint="eastAsia" w:ascii="宋体" w:hAnsi="宋体" w:eastAsia="宋体" w:cs="宋体"/>
          <w:color w:val="auto"/>
          <w:highlight w:val="none"/>
        </w:rPr>
      </w:pPr>
    </w:p>
    <w:p w14:paraId="71F27C9A">
      <w:pPr>
        <w:pStyle w:val="19"/>
        <w:ind w:firstLine="1386" w:firstLineChars="495"/>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lang w:val="en-US" w:eastAsia="zh-CN"/>
        </w:rPr>
        <w:t>项目</w:t>
      </w:r>
      <w:r>
        <w:rPr>
          <w:rFonts w:hint="eastAsia" w:ascii="宋体" w:hAnsi="宋体" w:eastAsia="宋体" w:cs="宋体"/>
          <w:bCs/>
          <w:color w:val="auto"/>
          <w:sz w:val="28"/>
          <w:szCs w:val="28"/>
          <w:highlight w:val="none"/>
        </w:rPr>
        <w:t>名称：广西财经学院2026年教职工体检项目</w:t>
      </w:r>
      <w:r>
        <w:rPr>
          <w:rFonts w:hint="eastAsia" w:ascii="宋体" w:hAnsi="宋体" w:eastAsia="宋体" w:cs="宋体"/>
          <w:bCs/>
          <w:color w:val="auto"/>
          <w:sz w:val="28"/>
          <w:szCs w:val="28"/>
          <w:highlight w:val="none"/>
          <w:u w:val="single"/>
        </w:rPr>
        <w:t xml:space="preserve"> </w:t>
      </w:r>
    </w:p>
    <w:p w14:paraId="2AE25471">
      <w:pPr>
        <w:pStyle w:val="19"/>
        <w:ind w:firstLine="1386" w:firstLineChars="495"/>
        <w:rPr>
          <w:rFonts w:hint="eastAsia" w:ascii="宋体" w:hAnsi="宋体" w:eastAsia="宋体" w:cs="宋体"/>
          <w:bCs/>
          <w:color w:val="auto"/>
          <w:sz w:val="28"/>
          <w:szCs w:val="28"/>
          <w:highlight w:val="none"/>
          <w:u w:val="single"/>
        </w:rPr>
      </w:pPr>
    </w:p>
    <w:p w14:paraId="5E767FD9">
      <w:pPr>
        <w:pStyle w:val="19"/>
        <w:ind w:firstLine="1386" w:firstLineChars="495"/>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lang w:val="en-US" w:eastAsia="zh-CN"/>
        </w:rPr>
        <w:t>合同</w:t>
      </w:r>
      <w:r>
        <w:rPr>
          <w:rFonts w:hint="eastAsia" w:ascii="宋体" w:hAnsi="宋体" w:eastAsia="宋体" w:cs="宋体"/>
          <w:bCs/>
          <w:color w:val="auto"/>
          <w:sz w:val="28"/>
          <w:szCs w:val="28"/>
          <w:highlight w:val="none"/>
        </w:rPr>
        <w:t>编号：</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rPr>
        <w:t xml:space="preserve">         </w:t>
      </w:r>
    </w:p>
    <w:p w14:paraId="3B1C3471">
      <w:pPr>
        <w:pStyle w:val="19"/>
        <w:jc w:val="center"/>
        <w:rPr>
          <w:rFonts w:hint="eastAsia" w:ascii="宋体" w:hAnsi="宋体" w:eastAsia="宋体" w:cs="宋体"/>
          <w:bCs/>
          <w:color w:val="auto"/>
          <w:sz w:val="28"/>
          <w:szCs w:val="28"/>
          <w:highlight w:val="none"/>
        </w:rPr>
      </w:pPr>
    </w:p>
    <w:p w14:paraId="77D2B3A9">
      <w:pPr>
        <w:pStyle w:val="19"/>
        <w:jc w:val="both"/>
        <w:rPr>
          <w:rFonts w:hint="eastAsia" w:ascii="宋体" w:hAnsi="宋体" w:eastAsia="宋体" w:cs="宋体"/>
          <w:bCs/>
          <w:color w:val="auto"/>
          <w:sz w:val="28"/>
          <w:szCs w:val="28"/>
          <w:highlight w:val="none"/>
        </w:rPr>
      </w:pPr>
    </w:p>
    <w:p w14:paraId="19BE186E">
      <w:pPr>
        <w:pStyle w:val="19"/>
        <w:jc w:val="center"/>
        <w:rPr>
          <w:rFonts w:hint="eastAsia" w:ascii="宋体" w:hAnsi="宋体" w:eastAsia="宋体" w:cs="宋体"/>
          <w:bCs/>
          <w:color w:val="auto"/>
          <w:sz w:val="28"/>
          <w:szCs w:val="28"/>
          <w:highlight w:val="none"/>
        </w:rPr>
      </w:pPr>
    </w:p>
    <w:p w14:paraId="5BDE117B">
      <w:pPr>
        <w:pStyle w:val="19"/>
        <w:jc w:val="center"/>
        <w:rPr>
          <w:rFonts w:hint="eastAsia" w:ascii="宋体" w:hAnsi="宋体" w:eastAsia="宋体" w:cs="宋体"/>
          <w:bCs/>
          <w:color w:val="auto"/>
          <w:sz w:val="28"/>
          <w:szCs w:val="28"/>
          <w:highlight w:val="none"/>
        </w:rPr>
      </w:pPr>
    </w:p>
    <w:p w14:paraId="20F06152">
      <w:pPr>
        <w:pStyle w:val="19"/>
        <w:spacing w:line="340" w:lineRule="exact"/>
        <w:ind w:firstLine="1386" w:firstLineChars="49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采购</w:t>
      </w:r>
      <w:r>
        <w:rPr>
          <w:rFonts w:hint="eastAsia" w:ascii="宋体" w:hAnsi="宋体" w:eastAsia="宋体" w:cs="宋体"/>
          <w:bCs/>
          <w:color w:val="auto"/>
          <w:sz w:val="28"/>
          <w:szCs w:val="28"/>
          <w:highlight w:val="none"/>
          <w:lang w:val="en-US" w:eastAsia="zh-CN"/>
        </w:rPr>
        <w:t>人</w:t>
      </w:r>
      <w:r>
        <w:rPr>
          <w:rFonts w:hint="eastAsia" w:ascii="宋体" w:hAnsi="宋体" w:eastAsia="宋体" w:cs="宋体"/>
          <w:bCs/>
          <w:color w:val="auto"/>
          <w:sz w:val="28"/>
          <w:szCs w:val="28"/>
          <w:highlight w:val="none"/>
        </w:rPr>
        <w:t>（甲方）</w:t>
      </w:r>
      <w:r>
        <w:rPr>
          <w:rFonts w:hint="eastAsia" w:ascii="宋体" w:hAnsi="宋体" w:eastAsia="宋体" w:cs="宋体"/>
          <w:bCs/>
          <w:color w:val="auto"/>
          <w:sz w:val="28"/>
          <w:szCs w:val="28"/>
          <w:highlight w:val="none"/>
          <w:u w:val="single"/>
        </w:rPr>
        <w:t xml:space="preserve">                    </w:t>
      </w:r>
    </w:p>
    <w:p w14:paraId="32E21206">
      <w:pPr>
        <w:pStyle w:val="19"/>
        <w:spacing w:line="340" w:lineRule="exact"/>
        <w:ind w:firstLine="1386" w:firstLineChars="495"/>
        <w:rPr>
          <w:rFonts w:hint="eastAsia" w:ascii="宋体" w:hAnsi="宋体" w:eastAsia="宋体" w:cs="宋体"/>
          <w:bCs/>
          <w:color w:val="auto"/>
          <w:sz w:val="28"/>
          <w:szCs w:val="28"/>
          <w:highlight w:val="none"/>
        </w:rPr>
      </w:pPr>
    </w:p>
    <w:p w14:paraId="49A6B971">
      <w:pPr>
        <w:pStyle w:val="19"/>
        <w:spacing w:line="340" w:lineRule="exact"/>
        <w:rPr>
          <w:rFonts w:hint="eastAsia" w:ascii="宋体" w:hAnsi="宋体" w:eastAsia="宋体" w:cs="宋体"/>
          <w:bCs/>
          <w:color w:val="auto"/>
          <w:sz w:val="28"/>
          <w:szCs w:val="28"/>
          <w:highlight w:val="none"/>
        </w:rPr>
      </w:pPr>
    </w:p>
    <w:p w14:paraId="2CD80173">
      <w:pPr>
        <w:pStyle w:val="19"/>
        <w:spacing w:line="340" w:lineRule="exact"/>
        <w:ind w:firstLine="1386" w:firstLineChars="49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供应商（乙方）</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rPr>
        <w:t xml:space="preserve">     </w:t>
      </w:r>
    </w:p>
    <w:p w14:paraId="32068979">
      <w:pPr>
        <w:pStyle w:val="19"/>
        <w:spacing w:line="340" w:lineRule="exact"/>
        <w:ind w:firstLine="990" w:firstLineChars="495"/>
        <w:rPr>
          <w:rFonts w:hint="eastAsia" w:ascii="宋体" w:hAnsi="宋体" w:eastAsia="宋体" w:cs="宋体"/>
          <w:bCs/>
          <w:color w:val="auto"/>
          <w:highlight w:val="none"/>
        </w:rPr>
      </w:pPr>
      <w:r>
        <w:rPr>
          <w:rFonts w:hint="eastAsia" w:ascii="宋体" w:hAnsi="宋体" w:eastAsia="宋体" w:cs="宋体"/>
          <w:bCs/>
          <w:color w:val="auto"/>
          <w:highlight w:val="none"/>
        </w:rPr>
        <w:t xml:space="preserve">     </w:t>
      </w:r>
    </w:p>
    <w:p w14:paraId="2D3105D8">
      <w:pPr>
        <w:widowControl/>
        <w:spacing w:line="720" w:lineRule="auto"/>
        <w:ind w:left="1470" w:leftChars="700" w:firstLine="1171" w:firstLineChars="265"/>
        <w:jc w:val="left"/>
        <w:rPr>
          <w:rFonts w:ascii="宋体" w:hAnsi="宋体" w:cs="宋体"/>
          <w:b/>
          <w:bCs/>
          <w:color w:val="auto"/>
          <w:sz w:val="30"/>
          <w:szCs w:val="30"/>
          <w:highlight w:val="none"/>
        </w:rPr>
        <w:sectPr>
          <w:headerReference r:id="rId6" w:type="first"/>
          <w:headerReference r:id="rId4" w:type="default"/>
          <w:footerReference r:id="rId7" w:type="default"/>
          <w:headerReference r:id="rId5" w:type="even"/>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宋体"/>
          <w:b/>
          <w:bCs/>
          <w:color w:val="auto"/>
          <w:sz w:val="44"/>
          <w:highlight w:val="none"/>
        </w:rPr>
        <w:br w:type="page"/>
      </w:r>
    </w:p>
    <w:p w14:paraId="00951B0C">
      <w:pPr>
        <w:snapToGrid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采购合同</w:t>
      </w:r>
    </w:p>
    <w:p w14:paraId="18C70F3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                                    </w:t>
      </w:r>
    </w:p>
    <w:p w14:paraId="65FD066C">
      <w:pPr>
        <w:keepNext w:val="0"/>
        <w:keepLines w:val="0"/>
        <w:pageBreakBefore w:val="0"/>
        <w:widowControl w:val="0"/>
        <w:kinsoku/>
        <w:wordWrap/>
        <w:overflowPunct/>
        <w:topLinePunct w:val="0"/>
        <w:autoSpaceDE/>
        <w:autoSpaceDN/>
        <w:bidi w:val="0"/>
        <w:adjustRightInd/>
        <w:snapToGrid w:val="0"/>
        <w:spacing w:line="5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采购计划号：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 xml:space="preserve">   合同编号：</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2CE7177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 xml:space="preserve">广西财经学院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7D79F3C7">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项目名称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cs="宋体"/>
          <w:color w:val="auto"/>
          <w:szCs w:val="21"/>
          <w:highlight w:val="none"/>
        </w:rPr>
        <w:t>项目编号：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p>
    <w:p w14:paraId="015DBA9F">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签订地点：</w:t>
      </w:r>
      <w:r>
        <w:rPr>
          <w:rFonts w:hint="eastAsia" w:ascii="宋体" w:hAnsi="宋体" w:eastAsia="宋体" w:cs="宋体"/>
          <w:color w:val="auto"/>
          <w:sz w:val="21"/>
          <w:szCs w:val="21"/>
          <w:highlight w:val="none"/>
          <w:u w:val="single"/>
        </w:rPr>
        <w:t xml:space="preserve">广西南宁市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签订时间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B5EF219">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p>
    <w:p w14:paraId="4284A4E2">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cs="宋体"/>
          <w:color w:val="auto"/>
          <w:szCs w:val="21"/>
          <w:highlight w:val="none"/>
        </w:rPr>
        <w:t>《中华人民共和国政府采购法》、</w:t>
      </w:r>
      <w:r>
        <w:rPr>
          <w:rFonts w:hint="eastAsia" w:ascii="宋体" w:hAnsi="宋体" w:eastAsia="宋体" w:cs="宋体"/>
          <w:color w:val="auto"/>
          <w:sz w:val="21"/>
          <w:szCs w:val="21"/>
          <w:highlight w:val="none"/>
        </w:rPr>
        <w:t>《中华人民共和国民法典》等法律、法规规定，按照</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文件规定条款和</w:t>
      </w:r>
      <w:r>
        <w:rPr>
          <w:rFonts w:hint="eastAsia" w:ascii="宋体" w:hAnsi="宋体" w:eastAsia="宋体" w:cs="宋体"/>
          <w:color w:val="auto"/>
          <w:sz w:val="21"/>
          <w:szCs w:val="21"/>
          <w:highlight w:val="none"/>
          <w:lang w:val="en-US" w:eastAsia="zh-CN"/>
        </w:rPr>
        <w:t>乙方响应文件</w:t>
      </w:r>
      <w:r>
        <w:rPr>
          <w:rFonts w:hint="eastAsia" w:ascii="宋体" w:hAnsi="宋体" w:eastAsia="宋体" w:cs="宋体"/>
          <w:color w:val="auto"/>
          <w:sz w:val="21"/>
          <w:szCs w:val="21"/>
          <w:highlight w:val="none"/>
        </w:rPr>
        <w:t>承诺，甲乙双方签订本合同。</w:t>
      </w:r>
    </w:p>
    <w:p w14:paraId="03B99F13">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合同标的</w:t>
      </w:r>
    </w:p>
    <w:p w14:paraId="387590DA">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1.服务</w:t>
      </w:r>
      <w:r>
        <w:rPr>
          <w:rFonts w:hint="eastAsia" w:ascii="宋体" w:hAnsi="宋体" w:eastAsia="宋体" w:cs="宋体"/>
          <w:color w:val="auto"/>
          <w:sz w:val="21"/>
          <w:szCs w:val="21"/>
          <w:highlight w:val="none"/>
          <w:lang w:val="en-US" w:eastAsia="zh-CN"/>
        </w:rPr>
        <w:t>项目</w:t>
      </w:r>
    </w:p>
    <w:p w14:paraId="0172D95F">
      <w:pPr>
        <w:keepNext w:val="0"/>
        <w:keepLines w:val="0"/>
        <w:pageBreakBefore w:val="0"/>
        <w:tabs>
          <w:tab w:val="left" w:pos="8280"/>
        </w:tabs>
        <w:kinsoku/>
        <w:wordWrap/>
        <w:overflowPunct/>
        <w:topLinePunct w:val="0"/>
        <w:autoSpaceDE/>
        <w:autoSpaceDN/>
        <w:bidi w:val="0"/>
        <w:adjustRightInd/>
        <w:snapToGrid w:val="0"/>
        <w:spacing w:line="500" w:lineRule="exact"/>
        <w:ind w:right="26"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乙方接受甲方委托，承担《</w:t>
      </w:r>
      <w:r>
        <w:rPr>
          <w:rFonts w:hint="eastAsia" w:ascii="宋体" w:hAnsi="宋体"/>
          <w:color w:val="auto"/>
          <w:szCs w:val="21"/>
          <w:highlight w:val="none"/>
          <w:u w:val="single"/>
        </w:rPr>
        <w:t xml:space="preserve">            </w:t>
      </w:r>
      <w:r>
        <w:rPr>
          <w:rFonts w:hint="eastAsia" w:ascii="宋体" w:hAnsi="宋体"/>
          <w:color w:val="auto"/>
          <w:szCs w:val="21"/>
          <w:highlight w:val="none"/>
        </w:rPr>
        <w:t>》项目服务工作，并为甲方提供专业服务，以满足甲方对本合同项目服务需求及要求。</w:t>
      </w:r>
      <w:r>
        <w:rPr>
          <w:rFonts w:hint="eastAsia" w:ascii="宋体" w:hAnsi="宋体"/>
          <w:b/>
          <w:color w:val="auto"/>
          <w:szCs w:val="21"/>
          <w:highlight w:val="none"/>
          <w:u w:val="single"/>
        </w:rPr>
        <w:t>合同金额（大写）人民币            （¥       ）</w:t>
      </w:r>
      <w:r>
        <w:rPr>
          <w:rFonts w:hint="eastAsia" w:ascii="宋体" w:hAnsi="宋体"/>
          <w:b/>
          <w:color w:val="auto"/>
          <w:szCs w:val="21"/>
          <w:highlight w:val="none"/>
          <w:u w:val="single"/>
          <w:lang w:eastAsia="zh-CN"/>
        </w:rPr>
        <w:t>，</w:t>
      </w:r>
      <w:r>
        <w:rPr>
          <w:rFonts w:hint="eastAsia" w:ascii="宋体" w:hAnsi="宋体"/>
          <w:b/>
          <w:color w:val="auto"/>
          <w:szCs w:val="21"/>
          <w:highlight w:val="none"/>
          <w:u w:val="single"/>
          <w:lang w:val="en-US" w:eastAsia="zh-CN"/>
        </w:rPr>
        <w:t>折扣率    %</w:t>
      </w:r>
      <w:r>
        <w:rPr>
          <w:rFonts w:hint="eastAsia" w:ascii="宋体" w:hAnsi="宋体"/>
          <w:b/>
          <w:color w:val="auto"/>
          <w:szCs w:val="21"/>
          <w:highlight w:val="none"/>
        </w:rPr>
        <w:t>，</w:t>
      </w:r>
      <w:r>
        <w:rPr>
          <w:rFonts w:hint="eastAsia" w:ascii="宋体" w:hAnsi="宋体"/>
          <w:color w:val="auto"/>
          <w:szCs w:val="21"/>
          <w:highlight w:val="none"/>
        </w:rPr>
        <w:t>合同结算金额以实际体检人数、乙方成交优惠率进行结算</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教职工根据自身需求增加体检项目，项目费用须按照成交优惠率由个人现场自付费用</w:t>
      </w:r>
      <w:r>
        <w:rPr>
          <w:rFonts w:hint="eastAsia" w:ascii="宋体" w:hAnsi="宋体"/>
          <w:color w:val="auto"/>
          <w:szCs w:val="21"/>
          <w:highlight w:val="none"/>
        </w:rPr>
        <w:t>。结算金额最高不超过本项目合同金额。</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详见响应报价表</w:t>
      </w:r>
      <w:r>
        <w:rPr>
          <w:rFonts w:hint="eastAsia" w:ascii="宋体" w:hAnsi="宋体"/>
          <w:color w:val="auto"/>
          <w:szCs w:val="21"/>
          <w:highlight w:val="none"/>
          <w:lang w:eastAsia="zh-CN"/>
        </w:rPr>
        <w:t>）</w:t>
      </w:r>
    </w:p>
    <w:p w14:paraId="7C2EA8A9">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2.合同合计金额</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rPr>
        <w:t>按要求完成服务的全部价格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cs="宋体"/>
          <w:color w:val="auto"/>
          <w:sz w:val="21"/>
          <w:szCs w:val="21"/>
          <w:highlight w:val="none"/>
          <w:lang w:val="en-US" w:eastAsia="zh-CN"/>
        </w:rPr>
        <w:t>但不限于</w:t>
      </w:r>
      <w:r>
        <w:rPr>
          <w:rFonts w:hint="eastAsia" w:ascii="宋体" w:hAnsi="宋体" w:eastAsia="宋体" w:cs="宋体"/>
          <w:color w:val="auto"/>
          <w:sz w:val="21"/>
          <w:szCs w:val="21"/>
          <w:highlight w:val="none"/>
        </w:rPr>
        <w:t>体检、化验、材料（如设备、体检表格、消耗性材料等)、医疗垃圾管理及处置、体检结果分析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与本项目服务业务有关的一切投入、项目验收费、售后服务、税金等费用和政策性文件规定及合同包含的所有风险、责任等全部费用。</w:t>
      </w:r>
    </w:p>
    <w:p w14:paraId="45F24644">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质量保证</w:t>
      </w:r>
    </w:p>
    <w:p w14:paraId="237C0E6A">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乙方所提供的服务</w:t>
      </w:r>
      <w:r>
        <w:rPr>
          <w:rFonts w:hint="eastAsia" w:ascii="宋体" w:hAnsi="宋体" w:eastAsia="宋体" w:cs="宋体"/>
          <w:color w:val="auto"/>
          <w:sz w:val="21"/>
          <w:szCs w:val="21"/>
          <w:highlight w:val="none"/>
          <w:lang w:eastAsia="zh-CN"/>
        </w:rPr>
        <w:t>及服务内容</w:t>
      </w:r>
      <w:r>
        <w:rPr>
          <w:rFonts w:hint="eastAsia" w:ascii="宋体" w:hAnsi="宋体" w:eastAsia="宋体" w:cs="宋体"/>
          <w:color w:val="auto"/>
          <w:sz w:val="21"/>
          <w:szCs w:val="21"/>
          <w:highlight w:val="none"/>
        </w:rPr>
        <w:t>内容必须与</w:t>
      </w:r>
      <w:r>
        <w:rPr>
          <w:rFonts w:hint="eastAsia" w:ascii="宋体" w:hAnsi="宋体" w:eastAsia="宋体" w:cs="宋体"/>
          <w:color w:val="auto"/>
          <w:sz w:val="21"/>
          <w:szCs w:val="21"/>
          <w:highlight w:val="none"/>
          <w:lang w:val="en-US" w:eastAsia="zh-CN"/>
        </w:rPr>
        <w:t>磋商文件、响应文件</w:t>
      </w:r>
      <w:r>
        <w:rPr>
          <w:rFonts w:hint="eastAsia" w:ascii="宋体" w:hAnsi="宋体" w:eastAsia="宋体" w:cs="宋体"/>
          <w:color w:val="auto"/>
          <w:sz w:val="21"/>
          <w:szCs w:val="21"/>
          <w:highlight w:val="none"/>
        </w:rPr>
        <w:t>和承诺相一致。</w:t>
      </w:r>
      <w:r>
        <w:rPr>
          <w:rFonts w:hint="eastAsia" w:ascii="宋体" w:hAnsi="宋体" w:eastAsia="宋体" w:cs="宋体"/>
          <w:color w:val="auto"/>
          <w:sz w:val="21"/>
          <w:szCs w:val="21"/>
          <w:highlight w:val="none"/>
          <w:lang w:eastAsia="zh-CN"/>
        </w:rPr>
        <w:t>有国家强制性标准的，还必须符合国家强制性标准的规定，没有国家强制性标准但有其他强制性标准的，必须符合其他强制性标准的规定。</w:t>
      </w:r>
    </w:p>
    <w:p w14:paraId="34B12203">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乙方所提供的</w:t>
      </w:r>
      <w:r>
        <w:rPr>
          <w:rFonts w:hint="eastAsia" w:ascii="宋体" w:hAnsi="宋体" w:cs="宋体"/>
          <w:color w:val="auto"/>
          <w:szCs w:val="21"/>
          <w:highlight w:val="none"/>
        </w:rPr>
        <w:t>体检服务，必须符合《医疗机构管理办法》、《医师法》等相关要求</w:t>
      </w:r>
      <w:r>
        <w:rPr>
          <w:rFonts w:hint="eastAsia" w:ascii="宋体" w:hAnsi="宋体"/>
          <w:color w:val="auto"/>
          <w:szCs w:val="21"/>
          <w:highlight w:val="none"/>
        </w:rPr>
        <w:t>。</w:t>
      </w:r>
    </w:p>
    <w:p w14:paraId="51B7CA6D">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rPr>
        <w:t>乙方投入服务的医务工作人员必须具备国家规定的资质，要求业务技术精、工作责任心强、服务态度好的医务人员参加体检工作。</w:t>
      </w:r>
    </w:p>
    <w:p w14:paraId="2563E7EF">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权利保证</w:t>
      </w:r>
    </w:p>
    <w:p w14:paraId="4B1A74A8">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1.乙方应保证所提供服务</w:t>
      </w:r>
      <w:r>
        <w:rPr>
          <w:rFonts w:hint="eastAsia" w:ascii="宋体" w:hAnsi="宋体" w:eastAsia="宋体" w:cs="宋体"/>
          <w:color w:val="auto"/>
          <w:sz w:val="21"/>
          <w:szCs w:val="21"/>
          <w:highlight w:val="none"/>
          <w:lang w:val="en-US" w:eastAsia="zh-CN"/>
        </w:rPr>
        <w:t>及服务中使用的货物</w:t>
      </w:r>
      <w:r>
        <w:rPr>
          <w:rFonts w:hint="eastAsia" w:ascii="宋体" w:hAnsi="宋体" w:eastAsia="宋体" w:cs="宋体"/>
          <w:color w:val="auto"/>
          <w:sz w:val="21"/>
          <w:szCs w:val="21"/>
          <w:highlight w:val="none"/>
        </w:rPr>
        <w:t>在使用时不会侵犯任何第三方的专利权、商标权、工业设计权或其他权利</w:t>
      </w:r>
      <w:r>
        <w:rPr>
          <w:rFonts w:hint="eastAsia" w:ascii="宋体" w:hAnsi="宋体" w:cs="宋体"/>
          <w:color w:val="auto"/>
          <w:szCs w:val="21"/>
          <w:highlight w:val="none"/>
        </w:rPr>
        <w:t>，且所有权、处分权等没有受到任何限制</w:t>
      </w:r>
      <w:r>
        <w:rPr>
          <w:rFonts w:hint="eastAsia" w:ascii="宋体" w:hAnsi="宋体" w:eastAsia="宋体" w:cs="宋体"/>
          <w:color w:val="auto"/>
          <w:sz w:val="21"/>
          <w:szCs w:val="21"/>
          <w:highlight w:val="none"/>
        </w:rPr>
        <w:t>。</w:t>
      </w:r>
    </w:p>
    <w:p w14:paraId="1D137FC8">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2.乙方应按</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文件规定的时间向甲方提供服务的有关技术资料。</w:t>
      </w:r>
    </w:p>
    <w:p w14:paraId="01CBF724">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3.没有甲方事先书面同意，乙方不得将由甲方提供的有关合同</w:t>
      </w:r>
      <w:r>
        <w:rPr>
          <w:rFonts w:hint="eastAsia" w:ascii="宋体" w:hAnsi="宋体" w:eastAsia="宋体" w:cs="宋体"/>
          <w:color w:val="auto"/>
          <w:sz w:val="21"/>
          <w:szCs w:val="21"/>
          <w:highlight w:val="none"/>
          <w:lang w:val="en-US" w:eastAsia="zh-CN"/>
        </w:rPr>
        <w:t>履行涉及到的任何数据信息</w:t>
      </w:r>
      <w:r>
        <w:rPr>
          <w:rFonts w:hint="eastAsia" w:ascii="宋体" w:hAnsi="宋体" w:eastAsia="宋体" w:cs="宋体"/>
          <w:color w:val="auto"/>
          <w:sz w:val="21"/>
          <w:szCs w:val="21"/>
          <w:highlight w:val="none"/>
        </w:rPr>
        <w:t>或任何合同条文、规格、计划、图纸、样品或资料提供给与履行本合同无关的任何其他人。即使向履行本合同有关的人员提供，也应注意保密并限于履行合同的必需范围。如有泄漏，乙方需承担相应的法律责任。</w:t>
      </w:r>
    </w:p>
    <w:p w14:paraId="78E6804D">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4.乙方保证所交付的服务</w:t>
      </w:r>
      <w:r>
        <w:rPr>
          <w:rFonts w:hint="eastAsia" w:ascii="宋体" w:hAnsi="宋体" w:eastAsia="宋体" w:cs="宋体"/>
          <w:color w:val="auto"/>
          <w:sz w:val="21"/>
          <w:szCs w:val="21"/>
          <w:highlight w:val="none"/>
          <w:lang w:val="en-US" w:eastAsia="zh-CN"/>
        </w:rPr>
        <w:t>及服务中使用的货物</w:t>
      </w:r>
      <w:r>
        <w:rPr>
          <w:rFonts w:hint="eastAsia" w:ascii="宋体" w:hAnsi="宋体" w:eastAsia="宋体" w:cs="宋体"/>
          <w:color w:val="auto"/>
          <w:sz w:val="21"/>
          <w:szCs w:val="21"/>
          <w:highlight w:val="none"/>
        </w:rPr>
        <w:t>的所有权完全属于乙方且无任何抵押、质押、查封等产权瑕疵。</w:t>
      </w:r>
    </w:p>
    <w:p w14:paraId="168B7DB4">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双方责任</w:t>
      </w:r>
    </w:p>
    <w:p w14:paraId="712A53A8">
      <w:pPr>
        <w:pStyle w:val="22"/>
        <w:keepNext w:val="0"/>
        <w:keepLines w:val="0"/>
        <w:pageBreakBefore w:val="0"/>
        <w:widowControl w:val="0"/>
        <w:numPr>
          <w:ilvl w:val="0"/>
          <w:numId w:val="0"/>
        </w:numPr>
        <w:kinsoku/>
        <w:wordWrap/>
        <w:overflowPunct/>
        <w:topLinePunct w:val="0"/>
        <w:autoSpaceDE/>
        <w:autoSpaceDN/>
        <w:bidi w:val="0"/>
        <w:adjustRightInd/>
        <w:spacing w:line="500" w:lineRule="exact"/>
        <w:ind w:left="315"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甲方责任</w:t>
      </w:r>
    </w:p>
    <w:p w14:paraId="0ADC89F3">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1.为确保体检服务顺利，甲方应积极配合乙方的健康检查工作，并遵守乙方在体检之前对甲方受检人员的要求。</w:t>
      </w:r>
    </w:p>
    <w:p w14:paraId="553DBD0F">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2.甲方负责受检人员的组织工作，向乙方提供参加体检人员名册（姓名、性别、年龄、特殊情况等信息），协助乙方保证体检的顺利进行，做好组织协调和解释工作，保守医密。</w:t>
      </w:r>
    </w:p>
    <w:p w14:paraId="3640008F">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按时支付乙方体检服务费用。</w:t>
      </w:r>
    </w:p>
    <w:p w14:paraId="584E0F81">
      <w:pPr>
        <w:pStyle w:val="22"/>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（二）乙方责任</w:t>
      </w:r>
    </w:p>
    <w:p w14:paraId="1F7A1D75">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乙方应本着科学、严谨的工作态度，依据双方约定事项及体检项目，按体检规范流程认真负责为甲方受检人员提供体检服务，确保体检工作质量，对检查结果的准确性与科学性承担相应的质量保证责任。并在规定时间节点完成服务工作，提供检查结果数据及体检报告。</w:t>
      </w:r>
    </w:p>
    <w:p w14:paraId="7A341690">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体检过程中乙方保证使用合格医疗用品，如一次性注射器、一次性窥器、一次性刮板等，如因未使用合格医疗用品造成的不良后果由乙方负责。</w:t>
      </w:r>
    </w:p>
    <w:p w14:paraId="70085D95">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在体检过程中，因服务人员操作失误或检查材料问题导致的责任事故，由乙方负责。</w:t>
      </w:r>
    </w:p>
    <w:p w14:paraId="5B6D1AD2">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乙方体检服务必须符合国家和行业相关规范及标准的要求。</w:t>
      </w:r>
    </w:p>
    <w:p w14:paraId="152B0920">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乙方体检使用的医疗设备或检测设备应符合国家有关规定，国家对相关设备有年审要求的，相关设备应通过质量监督部门年审。</w:t>
      </w:r>
    </w:p>
    <w:p w14:paraId="305DA609">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乙方应做好体检场所电源、桌椅等设施的准备，做好体检过程中医疗污物及一次性医疗废弃物的处理，不得违反国家相关法律、法规。</w:t>
      </w:r>
    </w:p>
    <w:p w14:paraId="7C7B9872">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.乙方参加体检服务工作的医、护、技人员应具有合法资质。</w:t>
      </w:r>
    </w:p>
    <w:p w14:paraId="701F2A6A">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乙方对体检结果有保密义务，除甲方及受检人员外，相关体检资料未经甲方书面同意，乙方不得对外进行公布或提供给其他第三方。</w:t>
      </w:r>
    </w:p>
    <w:p w14:paraId="377BC735">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olor w:val="auto"/>
          <w:szCs w:val="21"/>
          <w:highlight w:val="none"/>
        </w:rPr>
        <w:t>9.乙方在体检报告中应注明咨询电话，为参检人员提供专业的结果咨询、就医指导和长期健康指导服务。</w:t>
      </w:r>
    </w:p>
    <w:p w14:paraId="5AD23A20">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第五条 </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交付和验收</w:t>
      </w:r>
    </w:p>
    <w:p w14:paraId="11AD35F4">
      <w:pPr>
        <w:pStyle w:val="22"/>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1.体检时间：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7F23B9FC">
      <w:pPr>
        <w:pStyle w:val="22"/>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2.提交服务成果地点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663344BC">
      <w:pPr>
        <w:pStyle w:val="22"/>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.乙方应按响应文件的承诺向甲方提供相应的服务，并提供服务内容的相关技术资料。</w:t>
      </w:r>
    </w:p>
    <w:p w14:paraId="19DFF34A">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.乙方提供不符合响应文件或本合同规定的服务，甲方有权拒绝接受。</w:t>
      </w:r>
    </w:p>
    <w:p w14:paraId="5BDB707E">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.乙方完成服务后应及时书面通知甲方进行验收，甲方应在收到通知后5个工作日内组织开展履约验收。验收合格后由甲乙双方签署验收单并加盖甲</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方公章，甲乙双方各执壹份。</w:t>
      </w:r>
    </w:p>
    <w:p w14:paraId="2B78DD76">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.甲乙双方应按照《广西壮族自治区政府采购项目履约验收管理方法》、双方合同、投标（响应）文件验收。</w:t>
      </w:r>
    </w:p>
    <w:p w14:paraId="4FDB000D">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甲方在验收后如发现乙方提供的服务成果不满足响应文件及本合同规定的可暂缓向乙方付款</w:t>
      </w:r>
      <w:r>
        <w:rPr>
          <w:rFonts w:hint="eastAsia" w:ascii="宋体" w:hAnsi="宋体" w:eastAsia="宋体" w:cs="宋体"/>
          <w:color w:val="auto"/>
          <w:sz w:val="21"/>
          <w:szCs w:val="21"/>
          <w:highlight w:val="none"/>
          <w:lang w:val="en-US" w:eastAsia="zh-CN"/>
        </w:rPr>
        <w:t>且甲方不承担任何违约责任</w:t>
      </w:r>
      <w:r>
        <w:rPr>
          <w:rFonts w:hint="eastAsia" w:ascii="宋体" w:hAnsi="宋体" w:eastAsia="宋体" w:cs="宋体"/>
          <w:color w:val="auto"/>
          <w:sz w:val="21"/>
          <w:szCs w:val="21"/>
          <w:highlight w:val="none"/>
          <w:lang w:eastAsia="zh-CN"/>
        </w:rPr>
        <w:t>，直到乙方及时完善并提交相应的服务成果且经甲方验收合格后，方可办理付款</w:t>
      </w:r>
      <w:r>
        <w:rPr>
          <w:rFonts w:hint="eastAsia" w:ascii="宋体" w:hAnsi="宋体" w:eastAsia="宋体" w:cs="宋体"/>
          <w:color w:val="auto"/>
          <w:sz w:val="21"/>
          <w:szCs w:val="21"/>
          <w:highlight w:val="none"/>
        </w:rPr>
        <w:t>。</w:t>
      </w:r>
    </w:p>
    <w:p w14:paraId="605E643B">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.甲方对验收有异议的，在验收后5个工作日内以书面形式向乙方提出，乙方应自收到甲方书面异议后3个工作日内及时予以解决，否则甲方有权不出具验收合格单。</w:t>
      </w:r>
    </w:p>
    <w:p w14:paraId="3A5F24EC">
      <w:pPr>
        <w:pStyle w:val="22"/>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.本合同的验收条款与采购需求商务条款中的验收要求条款互为补充。</w:t>
      </w:r>
    </w:p>
    <w:p w14:paraId="1E5E880A">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b/>
          <w:bCs/>
          <w:color w:val="auto"/>
          <w:sz w:val="21"/>
          <w:szCs w:val="21"/>
          <w:highlight w:val="none"/>
        </w:rPr>
        <w:t>第六条　付款方式</w:t>
      </w:r>
    </w:p>
    <w:p w14:paraId="7FE6FFA1">
      <w:pPr>
        <w:pStyle w:val="22"/>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1.付款方式：本项目无预付款，乙方完成服务并验收合格后，由乙方与甲方核对实际体检人数与乙方的最终单价报价进行结算，乙方向甲方提供合法有效的</w:t>
      </w:r>
      <w:r>
        <w:rPr>
          <w:rFonts w:hint="eastAsia" w:ascii="宋体" w:hAnsi="宋体" w:eastAsia="宋体" w:cs="宋体"/>
          <w:color w:val="auto"/>
          <w:sz w:val="21"/>
          <w:szCs w:val="21"/>
          <w:highlight w:val="none"/>
        </w:rPr>
        <w:t>正规医疗收费票据</w:t>
      </w:r>
      <w:r>
        <w:rPr>
          <w:rFonts w:hint="eastAsia" w:ascii="宋体" w:hAnsi="宋体" w:eastAsia="宋体" w:cs="宋体"/>
          <w:color w:val="auto"/>
          <w:sz w:val="21"/>
          <w:szCs w:val="21"/>
          <w:highlight w:val="none"/>
          <w:lang w:val="en-US" w:eastAsia="zh-CN"/>
        </w:rPr>
        <w:t>，甲方在收到乙方提供的票据及《体检费用请款函》后，15个工作日内一次性付清项目款。如甲方或任何第三方（包括但不限于甲方财务部门、审计部门、政府税务机关、独立审计机构）在任何时候发现乙方开具的票据不符合要求，乙方应立即重新为甲方开具符合要求的票据，并向甲方支付与不符合要求的票据总金额相符的违约金。如甲方因为乙方开具的票据不符合要求而受到有权机关处罚，乙方还应全额赔偿甲方因该项处罚而受到的损失。</w:t>
      </w:r>
    </w:p>
    <w:p w14:paraId="0FE62163">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 履约保证金</w:t>
      </w:r>
    </w:p>
    <w:p w14:paraId="10D55D9C">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履约保证金金额：</w:t>
      </w:r>
      <w:r>
        <w:rPr>
          <w:rFonts w:hint="eastAsia" w:ascii="宋体" w:hAnsi="宋体"/>
          <w:b/>
          <w:color w:val="auto"/>
          <w:szCs w:val="21"/>
          <w:highlight w:val="none"/>
          <w:u w:val="single"/>
        </w:rPr>
        <w:t>人民币            （¥       ）</w:t>
      </w:r>
      <w:r>
        <w:rPr>
          <w:rFonts w:hint="eastAsia" w:ascii="宋体" w:hAnsi="宋体"/>
          <w:b/>
          <w:color w:val="auto"/>
          <w:szCs w:val="21"/>
          <w:highlight w:val="none"/>
          <w:u w:val="none"/>
          <w:lang w:val="en-US" w:eastAsia="zh-CN"/>
        </w:rPr>
        <w:t>；</w:t>
      </w:r>
      <w:r>
        <w:rPr>
          <w:rFonts w:hint="eastAsia" w:ascii="宋体" w:hAnsi="宋体" w:eastAsia="宋体" w:cs="宋体"/>
          <w:color w:val="auto"/>
          <w:sz w:val="21"/>
          <w:szCs w:val="21"/>
          <w:highlight w:val="none"/>
          <w:u w:val="none"/>
          <w:lang w:val="en-US" w:eastAsia="zh-CN"/>
        </w:rPr>
        <w:t>按本项目成交总金额的</w:t>
      </w:r>
      <w:r>
        <w:rPr>
          <w:rFonts w:hint="eastAsia" w:ascii="宋体" w:hAnsi="宋体" w:eastAsia="宋体" w:cs="宋体"/>
          <w:color w:val="auto"/>
          <w:szCs w:val="21"/>
          <w:highlight w:val="none"/>
          <w:u w:val="none"/>
          <w:lang w:val="en-US" w:eastAsia="zh-CN"/>
        </w:rPr>
        <w:t>5%</w:t>
      </w:r>
      <w:r>
        <w:rPr>
          <w:rFonts w:hint="eastAsia" w:ascii="宋体" w:hAnsi="宋体" w:eastAsia="宋体" w:cs="宋体"/>
          <w:color w:val="auto"/>
          <w:szCs w:val="21"/>
          <w:highlight w:val="none"/>
          <w:u w:val="none"/>
        </w:rPr>
        <w:t>（如</w:t>
      </w:r>
      <w:r>
        <w:rPr>
          <w:rFonts w:hint="eastAsia" w:ascii="宋体" w:hAnsi="宋体" w:eastAsia="宋体" w:cs="宋体"/>
          <w:color w:val="auto"/>
          <w:szCs w:val="21"/>
          <w:highlight w:val="none"/>
          <w:u w:val="none"/>
          <w:lang w:val="en-US" w:eastAsia="zh-CN"/>
        </w:rPr>
        <w:t>乙方</w:t>
      </w:r>
      <w:r>
        <w:rPr>
          <w:rFonts w:hint="eastAsia" w:ascii="宋体" w:hAnsi="宋体" w:eastAsia="宋体" w:cs="宋体"/>
          <w:color w:val="auto"/>
          <w:szCs w:val="21"/>
          <w:highlight w:val="none"/>
          <w:u w:val="none"/>
        </w:rPr>
        <w:t>为中小企业，履约保证金为合同价款的2%）</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lang w:val="en-US" w:eastAsia="zh-CN"/>
        </w:rPr>
        <w:t>乙方</w:t>
      </w:r>
      <w:r>
        <w:rPr>
          <w:rFonts w:hint="eastAsia" w:ascii="宋体" w:hAnsi="宋体" w:eastAsia="宋体" w:cs="宋体"/>
          <w:color w:val="auto"/>
          <w:szCs w:val="21"/>
          <w:highlight w:val="none"/>
          <w:u w:val="none"/>
        </w:rPr>
        <w:t>在签订合同前</w:t>
      </w:r>
      <w:r>
        <w:rPr>
          <w:rFonts w:hint="eastAsia" w:ascii="宋体" w:hAnsi="宋体" w:eastAsia="宋体" w:cs="宋体"/>
          <w:color w:val="auto"/>
          <w:szCs w:val="21"/>
          <w:highlight w:val="none"/>
          <w:u w:val="none"/>
          <w:lang w:val="en-US" w:eastAsia="zh-CN"/>
        </w:rPr>
        <w:t>7个工作日</w:t>
      </w:r>
      <w:r>
        <w:rPr>
          <w:rFonts w:hint="eastAsia" w:ascii="宋体" w:hAnsi="宋体" w:eastAsia="宋体" w:cs="宋体"/>
          <w:color w:val="auto"/>
          <w:szCs w:val="21"/>
          <w:highlight w:val="none"/>
          <w:u w:val="none"/>
        </w:rPr>
        <w:t>交至指定账户</w:t>
      </w:r>
      <w:r>
        <w:rPr>
          <w:rFonts w:hint="eastAsia" w:ascii="宋体" w:hAnsi="宋体" w:eastAsia="宋体" w:cs="宋体"/>
          <w:color w:val="auto"/>
          <w:szCs w:val="21"/>
          <w:highlight w:val="none"/>
          <w:u w:val="none"/>
          <w:lang w:eastAsia="zh-CN"/>
        </w:rPr>
        <w:t>。</w:t>
      </w:r>
    </w:p>
    <w:p w14:paraId="032F071D">
      <w:pPr>
        <w:keepNext w:val="0"/>
        <w:keepLines w:val="0"/>
        <w:pageBreakBefore w:val="0"/>
        <w:kinsoku/>
        <w:wordWrap/>
        <w:overflowPunct/>
        <w:topLinePunct w:val="0"/>
        <w:autoSpaceDE/>
        <w:autoSpaceDN/>
        <w:bidi w:val="0"/>
        <w:adjustRightInd/>
        <w:snapToGrid w:val="0"/>
        <w:spacing w:line="500" w:lineRule="exact"/>
        <w:ind w:left="-61" w:leftChars="-29" w:firstLine="514" w:firstLineChars="245"/>
        <w:textAlignment w:val="auto"/>
        <w:rPr>
          <w:rFonts w:hint="eastAsia" w:ascii="宋体" w:hAnsi="宋体"/>
          <w:color w:val="auto"/>
          <w:szCs w:val="21"/>
          <w:highlight w:val="none"/>
          <w:u w:val="none"/>
        </w:rPr>
      </w:pPr>
      <w:r>
        <w:rPr>
          <w:rFonts w:hint="eastAsia" w:ascii="宋体" w:hAnsi="宋体"/>
          <w:color w:val="auto"/>
          <w:szCs w:val="21"/>
          <w:highlight w:val="none"/>
          <w:u w:val="none"/>
        </w:rPr>
        <w:t>2</w:t>
      </w:r>
      <w:r>
        <w:rPr>
          <w:rFonts w:ascii="宋体" w:hAnsi="宋体"/>
          <w:color w:val="auto"/>
          <w:szCs w:val="21"/>
          <w:highlight w:val="none"/>
          <w:u w:val="none"/>
        </w:rPr>
        <w:t>.</w:t>
      </w:r>
      <w:r>
        <w:rPr>
          <w:rFonts w:hint="eastAsia" w:ascii="宋体" w:hAnsi="宋体"/>
          <w:color w:val="auto"/>
          <w:szCs w:val="21"/>
          <w:highlight w:val="none"/>
          <w:u w:val="none"/>
        </w:rPr>
        <w:t>履约保证金提交方式：</w:t>
      </w:r>
      <w:r>
        <w:rPr>
          <w:rFonts w:hint="eastAsia"/>
          <w:color w:val="auto"/>
          <w:lang w:val="en-US" w:eastAsia="zh-CN"/>
        </w:rPr>
        <w:t>现金、银行转账或银行保函等形式</w:t>
      </w:r>
      <w:r>
        <w:rPr>
          <w:rFonts w:hint="eastAsia" w:ascii="宋体" w:hAnsi="宋体"/>
          <w:color w:val="auto"/>
          <w:szCs w:val="21"/>
          <w:highlight w:val="none"/>
          <w:u w:val="none"/>
        </w:rPr>
        <w:t>。</w:t>
      </w:r>
    </w:p>
    <w:p w14:paraId="4C99C4E1">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line="500" w:lineRule="exact"/>
        <w:ind w:left="0" w:right="0" w:firstLine="420" w:firstLineChars="200"/>
        <w:jc w:val="left"/>
        <w:textAlignment w:val="auto"/>
        <w:rPr>
          <w:rFonts w:hint="eastAsia" w:ascii="宋体" w:hAnsi="宋体" w:eastAsia="宋体" w:cs="宋体"/>
          <w:color w:val="auto"/>
          <w:kern w:val="2"/>
          <w:sz w:val="21"/>
          <w:szCs w:val="21"/>
          <w:highlight w:val="none"/>
          <w:u w:val="none"/>
          <w:lang w:val="en-US" w:eastAsia="zh-CN" w:bidi="ar"/>
        </w:rPr>
      </w:pPr>
      <w:r>
        <w:rPr>
          <w:rFonts w:hint="eastAsia" w:ascii="宋体" w:hAnsi="宋体"/>
          <w:color w:val="auto"/>
          <w:szCs w:val="21"/>
          <w:highlight w:val="none"/>
          <w:u w:val="none"/>
        </w:rPr>
        <w:t>3</w:t>
      </w:r>
      <w:r>
        <w:rPr>
          <w:rFonts w:ascii="宋体" w:hAnsi="宋体"/>
          <w:color w:val="auto"/>
          <w:szCs w:val="21"/>
          <w:highlight w:val="none"/>
          <w:u w:val="none"/>
        </w:rPr>
        <w:t>.</w:t>
      </w:r>
      <w:r>
        <w:rPr>
          <w:rFonts w:hint="eastAsia" w:ascii="宋体" w:hAnsi="宋体"/>
          <w:color w:val="auto"/>
          <w:szCs w:val="21"/>
          <w:highlight w:val="none"/>
          <w:u w:val="none"/>
        </w:rPr>
        <w:t>履约保证金退付方式、时间及条件：</w:t>
      </w:r>
      <w:r>
        <w:rPr>
          <w:rFonts w:hint="eastAsia" w:ascii="宋体" w:hAnsi="宋体" w:eastAsia="宋体" w:cs="宋体"/>
          <w:color w:val="auto"/>
          <w:szCs w:val="21"/>
          <w:highlight w:val="none"/>
          <w:u w:val="none"/>
        </w:rPr>
        <w:t>在</w:t>
      </w:r>
      <w:r>
        <w:rPr>
          <w:rFonts w:hint="eastAsia" w:ascii="宋体" w:hAnsi="宋体" w:eastAsia="宋体" w:cs="宋体"/>
          <w:color w:val="auto"/>
          <w:szCs w:val="21"/>
          <w:highlight w:val="none"/>
          <w:u w:val="none"/>
          <w:lang w:val="en-US" w:eastAsia="zh-CN"/>
        </w:rPr>
        <w:t>乙方</w:t>
      </w:r>
      <w:r>
        <w:rPr>
          <w:rFonts w:hint="eastAsia" w:ascii="宋体" w:hAnsi="宋体" w:eastAsia="宋体" w:cs="宋体"/>
          <w:color w:val="auto"/>
          <w:szCs w:val="21"/>
          <w:highlight w:val="none"/>
          <w:u w:val="none"/>
        </w:rPr>
        <w:t>按合同履约完毕并验收合格，由</w:t>
      </w:r>
      <w:r>
        <w:rPr>
          <w:rFonts w:hint="eastAsia" w:ascii="宋体" w:hAnsi="宋体" w:eastAsia="宋体" w:cs="宋体"/>
          <w:color w:val="auto"/>
          <w:szCs w:val="21"/>
          <w:highlight w:val="none"/>
          <w:u w:val="none"/>
          <w:lang w:val="en-US" w:eastAsia="zh-CN"/>
        </w:rPr>
        <w:t>乙方</w:t>
      </w:r>
      <w:r>
        <w:rPr>
          <w:rFonts w:hint="eastAsia" w:ascii="宋体" w:hAnsi="宋体" w:eastAsia="宋体" w:cs="宋体"/>
          <w:color w:val="auto"/>
          <w:szCs w:val="21"/>
          <w:highlight w:val="none"/>
          <w:u w:val="none"/>
        </w:rPr>
        <w:t>向</w:t>
      </w:r>
      <w:r>
        <w:rPr>
          <w:rFonts w:hint="eastAsia" w:ascii="宋体" w:hAnsi="宋体" w:eastAsia="宋体" w:cs="宋体"/>
          <w:color w:val="auto"/>
          <w:szCs w:val="21"/>
          <w:highlight w:val="none"/>
          <w:u w:val="none"/>
          <w:lang w:val="en-US" w:eastAsia="zh-CN"/>
        </w:rPr>
        <w:t>甲方</w:t>
      </w:r>
      <w:r>
        <w:rPr>
          <w:rFonts w:hint="eastAsia" w:ascii="宋体" w:hAnsi="宋体" w:eastAsia="宋体" w:cs="宋体"/>
          <w:color w:val="auto"/>
          <w:szCs w:val="21"/>
          <w:highlight w:val="none"/>
          <w:u w:val="none"/>
        </w:rPr>
        <w:t>提供《政府采购项目履约保证金退付意见书》及《广西壮族自治区政府采购项目合同验收书》，</w:t>
      </w:r>
      <w:r>
        <w:rPr>
          <w:rFonts w:hint="eastAsia" w:ascii="宋体" w:hAnsi="宋体" w:eastAsia="宋体" w:cs="宋体"/>
          <w:color w:val="auto"/>
          <w:szCs w:val="21"/>
          <w:highlight w:val="none"/>
          <w:u w:val="none"/>
          <w:lang w:val="en-US" w:eastAsia="zh-CN"/>
        </w:rPr>
        <w:t>甲方</w:t>
      </w:r>
      <w:r>
        <w:rPr>
          <w:rFonts w:hint="eastAsia" w:ascii="宋体" w:hAnsi="宋体" w:eastAsia="宋体" w:cs="宋体"/>
          <w:color w:val="auto"/>
          <w:szCs w:val="21"/>
          <w:highlight w:val="none"/>
          <w:u w:val="none"/>
        </w:rPr>
        <w:t>在收到合格材料后5个工作日内进行核对，涉及违约的违约金和损失赔偿从履约保证金中扣减，后以银行转账方式退还（不计利息）</w:t>
      </w:r>
      <w:r>
        <w:rPr>
          <w:rFonts w:hint="eastAsia" w:ascii="宋体" w:hAnsi="宋体" w:eastAsia="宋体" w:cs="宋体"/>
          <w:color w:val="auto"/>
          <w:kern w:val="2"/>
          <w:sz w:val="21"/>
          <w:szCs w:val="21"/>
          <w:highlight w:val="none"/>
          <w:u w:val="none"/>
          <w:lang w:val="en-US" w:eastAsia="zh-CN" w:bidi="ar"/>
        </w:rPr>
        <w:t>。</w:t>
      </w:r>
    </w:p>
    <w:p w14:paraId="45F73BE2">
      <w:pPr>
        <w:keepNext w:val="0"/>
        <w:keepLines w:val="0"/>
        <w:pageBreakBefore w:val="0"/>
        <w:kinsoku/>
        <w:wordWrap/>
        <w:overflowPunct/>
        <w:topLinePunct w:val="0"/>
        <w:autoSpaceDE/>
        <w:autoSpaceDN/>
        <w:bidi w:val="0"/>
        <w:adjustRightInd/>
        <w:snapToGrid w:val="0"/>
        <w:spacing w:line="500" w:lineRule="exact"/>
        <w:ind w:left="-61" w:leftChars="-29" w:firstLine="514" w:firstLineChars="245"/>
        <w:textAlignment w:val="auto"/>
        <w:rPr>
          <w:rFonts w:hint="eastAsia" w:ascii="宋体" w:hAnsi="宋体"/>
          <w:color w:val="auto"/>
          <w:szCs w:val="21"/>
          <w:highlight w:val="none"/>
          <w:u w:val="none"/>
        </w:rPr>
      </w:pPr>
      <w:r>
        <w:rPr>
          <w:rFonts w:hint="eastAsia" w:ascii="宋体" w:hAnsi="宋体"/>
          <w:color w:val="auto"/>
          <w:szCs w:val="21"/>
          <w:highlight w:val="none"/>
          <w:u w:val="none"/>
        </w:rPr>
        <w:t>4</w:t>
      </w:r>
      <w:r>
        <w:rPr>
          <w:rFonts w:ascii="宋体" w:hAnsi="宋体"/>
          <w:color w:val="auto"/>
          <w:szCs w:val="21"/>
          <w:highlight w:val="none"/>
          <w:u w:val="none"/>
        </w:rPr>
        <w:t>.</w:t>
      </w:r>
      <w:r>
        <w:rPr>
          <w:rFonts w:hint="eastAsia" w:ascii="宋体" w:hAnsi="宋体"/>
          <w:color w:val="auto"/>
          <w:szCs w:val="21"/>
          <w:highlight w:val="none"/>
          <w:u w:val="none"/>
        </w:rPr>
        <w:t>履约保证金指定账户：</w:t>
      </w:r>
    </w:p>
    <w:p w14:paraId="3B310AC6">
      <w:pPr>
        <w:keepNext w:val="0"/>
        <w:keepLines w:val="0"/>
        <w:pageBreakBefore w:val="0"/>
        <w:kinsoku/>
        <w:wordWrap/>
        <w:overflowPunct/>
        <w:topLinePunct w:val="0"/>
        <w:autoSpaceDE/>
        <w:autoSpaceDN/>
        <w:bidi w:val="0"/>
        <w:adjustRightInd/>
        <w:snapToGrid w:val="0"/>
        <w:spacing w:line="500" w:lineRule="exact"/>
        <w:ind w:left="-61" w:leftChars="-29" w:firstLine="514" w:firstLineChars="245"/>
        <w:textAlignment w:val="auto"/>
        <w:rPr>
          <w:rFonts w:hint="eastAsia" w:ascii="宋体" w:hAnsi="宋体"/>
          <w:color w:val="auto"/>
          <w:szCs w:val="21"/>
          <w:highlight w:val="none"/>
          <w:u w:val="none"/>
        </w:rPr>
      </w:pPr>
      <w:r>
        <w:rPr>
          <w:rFonts w:hint="eastAsia" w:ascii="宋体" w:hAnsi="宋体"/>
          <w:color w:val="auto"/>
          <w:szCs w:val="21"/>
          <w:highlight w:val="none"/>
          <w:u w:val="none"/>
        </w:rPr>
        <w:t xml:space="preserve">开户名称：广西财经学院            </w:t>
      </w:r>
    </w:p>
    <w:p w14:paraId="24E18839">
      <w:pPr>
        <w:keepNext w:val="0"/>
        <w:keepLines w:val="0"/>
        <w:pageBreakBefore w:val="0"/>
        <w:kinsoku/>
        <w:wordWrap/>
        <w:overflowPunct/>
        <w:topLinePunct w:val="0"/>
        <w:autoSpaceDE/>
        <w:autoSpaceDN/>
        <w:bidi w:val="0"/>
        <w:adjustRightInd/>
        <w:snapToGrid w:val="0"/>
        <w:spacing w:line="500" w:lineRule="exact"/>
        <w:ind w:left="-61" w:leftChars="-29" w:firstLine="514" w:firstLineChars="245"/>
        <w:textAlignment w:val="auto"/>
        <w:rPr>
          <w:rFonts w:hint="eastAsia" w:ascii="宋体" w:hAnsi="宋体"/>
          <w:color w:val="auto"/>
          <w:szCs w:val="21"/>
          <w:highlight w:val="none"/>
          <w:u w:val="none"/>
        </w:rPr>
      </w:pPr>
      <w:r>
        <w:rPr>
          <w:rFonts w:hint="eastAsia" w:ascii="宋体" w:hAnsi="宋体"/>
          <w:color w:val="auto"/>
          <w:szCs w:val="21"/>
          <w:highlight w:val="none"/>
          <w:u w:val="none"/>
        </w:rPr>
        <w:t xml:space="preserve">开户银行：中国银行南宁明秀西路支行   </w:t>
      </w:r>
    </w:p>
    <w:p w14:paraId="1A1278D7">
      <w:pPr>
        <w:keepNext w:val="0"/>
        <w:keepLines w:val="0"/>
        <w:pageBreakBefore w:val="0"/>
        <w:kinsoku/>
        <w:wordWrap/>
        <w:overflowPunct/>
        <w:topLinePunct w:val="0"/>
        <w:autoSpaceDE/>
        <w:autoSpaceDN/>
        <w:bidi w:val="0"/>
        <w:adjustRightInd/>
        <w:snapToGrid w:val="0"/>
        <w:spacing w:line="500" w:lineRule="exact"/>
        <w:ind w:left="-61" w:leftChars="-29" w:firstLine="514" w:firstLineChars="245"/>
        <w:textAlignment w:val="auto"/>
        <w:rPr>
          <w:rFonts w:hint="eastAsia" w:ascii="宋体" w:hAnsi="宋体"/>
          <w:color w:val="auto"/>
          <w:szCs w:val="21"/>
          <w:highlight w:val="none"/>
          <w:u w:val="none"/>
        </w:rPr>
      </w:pPr>
      <w:r>
        <w:rPr>
          <w:rFonts w:hint="eastAsia" w:ascii="宋体" w:hAnsi="宋体"/>
          <w:color w:val="auto"/>
          <w:szCs w:val="21"/>
          <w:highlight w:val="none"/>
          <w:u w:val="none"/>
        </w:rPr>
        <w:t xml:space="preserve">银行账号：611957485481             </w:t>
      </w:r>
    </w:p>
    <w:p w14:paraId="42ACE8CC">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第八条  本合同执行中相关的一切税费均由乙方负担。</w:t>
      </w:r>
    </w:p>
    <w:p w14:paraId="4BDBEAE1">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第九条　违约责任</w:t>
      </w:r>
    </w:p>
    <w:p w14:paraId="6763FAB6">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在双方约定时间内乙方未按甲方</w:t>
      </w:r>
      <w:r>
        <w:rPr>
          <w:rFonts w:hint="eastAsia" w:ascii="宋体" w:hAnsi="宋体" w:eastAsia="宋体" w:cs="宋体"/>
          <w:color w:val="auto"/>
          <w:sz w:val="21"/>
          <w:szCs w:val="21"/>
          <w:highlight w:val="none"/>
          <w:lang w:val="en-US" w:eastAsia="zh-CN"/>
        </w:rPr>
        <w:t>通知的时间</w:t>
      </w:r>
      <w:r>
        <w:rPr>
          <w:rFonts w:hint="eastAsia" w:ascii="宋体" w:hAnsi="宋体" w:eastAsia="宋体" w:cs="宋体"/>
          <w:color w:val="auto"/>
          <w:sz w:val="21"/>
          <w:szCs w:val="21"/>
          <w:highlight w:val="none"/>
          <w:lang w:eastAsia="zh-CN"/>
        </w:rPr>
        <w:t>要求为受检人员进行体检，或未按合同中乙方的责任</w:t>
      </w:r>
      <w:r>
        <w:rPr>
          <w:rFonts w:hint="eastAsia" w:ascii="宋体" w:hAnsi="宋体" w:eastAsia="宋体" w:cs="宋体"/>
          <w:color w:val="auto"/>
          <w:sz w:val="21"/>
          <w:szCs w:val="21"/>
          <w:highlight w:val="none"/>
          <w:lang w:val="en-US" w:eastAsia="zh-CN"/>
        </w:rPr>
        <w:t>相关约定</w:t>
      </w:r>
      <w:r>
        <w:rPr>
          <w:rFonts w:hint="eastAsia" w:ascii="宋体" w:hAnsi="宋体" w:eastAsia="宋体" w:cs="宋体"/>
          <w:color w:val="auto"/>
          <w:sz w:val="21"/>
          <w:szCs w:val="21"/>
          <w:highlight w:val="none"/>
          <w:lang w:eastAsia="zh-CN"/>
        </w:rPr>
        <w:t>将体检结果报送甲方的，经甲方核实后，相应扣减体检总费用的</w:t>
      </w:r>
      <w:r>
        <w:rPr>
          <w:rFonts w:hint="eastAsia" w:ascii="宋体" w:hAnsi="宋体" w:eastAsia="宋体" w:cs="宋体"/>
          <w:color w:val="auto"/>
          <w:sz w:val="21"/>
          <w:szCs w:val="21"/>
          <w:highlight w:val="none"/>
          <w:lang w:val="en-US" w:eastAsia="zh-CN"/>
        </w:rPr>
        <w:t>20%作为违约金并赔偿因此给甲方造成的全部损失</w:t>
      </w:r>
      <w:r>
        <w:rPr>
          <w:rFonts w:hint="eastAsia" w:ascii="宋体" w:hAnsi="宋体" w:eastAsia="宋体" w:cs="宋体"/>
          <w:color w:val="auto"/>
          <w:sz w:val="21"/>
          <w:szCs w:val="21"/>
          <w:highlight w:val="none"/>
        </w:rPr>
        <w:t xml:space="preserve">。 </w:t>
      </w:r>
    </w:p>
    <w:p w14:paraId="6EBC0C8F">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乙方提供的服务</w:t>
      </w:r>
      <w:r>
        <w:rPr>
          <w:rFonts w:hint="eastAsia" w:ascii="宋体" w:hAnsi="宋体" w:eastAsia="宋体" w:cs="宋体"/>
          <w:color w:val="auto"/>
          <w:sz w:val="21"/>
          <w:szCs w:val="21"/>
          <w:highlight w:val="none"/>
          <w:lang w:val="en-US" w:eastAsia="zh-CN"/>
        </w:rPr>
        <w:t>及服务中使用的货物</w:t>
      </w:r>
      <w:r>
        <w:rPr>
          <w:rFonts w:hint="eastAsia" w:ascii="宋体" w:hAnsi="宋体" w:eastAsia="宋体" w:cs="宋体"/>
          <w:color w:val="auto"/>
          <w:sz w:val="21"/>
          <w:szCs w:val="21"/>
          <w:highlight w:val="none"/>
          <w:lang w:eastAsia="zh-CN"/>
        </w:rPr>
        <w:t>如侵犯了第三方</w:t>
      </w:r>
      <w:r>
        <w:rPr>
          <w:rFonts w:hint="eastAsia" w:ascii="宋体" w:hAnsi="宋体" w:eastAsia="宋体" w:cs="宋体"/>
          <w:color w:val="auto"/>
          <w:sz w:val="21"/>
          <w:szCs w:val="21"/>
          <w:highlight w:val="none"/>
          <w:lang w:val="en-US" w:eastAsia="zh-CN"/>
        </w:rPr>
        <w:t>合法</w:t>
      </w:r>
      <w:r>
        <w:rPr>
          <w:rFonts w:hint="eastAsia" w:ascii="宋体" w:hAnsi="宋体" w:eastAsia="宋体" w:cs="宋体"/>
          <w:color w:val="auto"/>
          <w:sz w:val="21"/>
          <w:szCs w:val="21"/>
          <w:highlight w:val="none"/>
          <w:lang w:eastAsia="zh-CN"/>
        </w:rPr>
        <w:t>权益而引发的任何纠纷或者诉讼，均由乙方负责交涉并承担全部责任。</w:t>
      </w:r>
    </w:p>
    <w:p w14:paraId="24A29507">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除不可抗原因外，</w:t>
      </w:r>
      <w:r>
        <w:rPr>
          <w:rFonts w:hint="eastAsia" w:ascii="宋体" w:hAnsi="宋体" w:eastAsia="宋体" w:cs="宋体"/>
          <w:color w:val="auto"/>
          <w:sz w:val="21"/>
          <w:szCs w:val="21"/>
          <w:highlight w:val="none"/>
        </w:rPr>
        <w:t>乙方逾期完成</w:t>
      </w:r>
      <w:r>
        <w:rPr>
          <w:rFonts w:hint="eastAsia" w:ascii="宋体" w:hAnsi="宋体" w:eastAsia="宋体" w:cs="宋体"/>
          <w:color w:val="auto"/>
          <w:sz w:val="21"/>
          <w:szCs w:val="21"/>
          <w:highlight w:val="none"/>
          <w:lang w:val="en-US" w:eastAsia="zh-CN"/>
        </w:rPr>
        <w:t>体检服务</w:t>
      </w:r>
      <w:r>
        <w:rPr>
          <w:rFonts w:hint="eastAsia" w:ascii="宋体" w:hAnsi="宋体" w:eastAsia="宋体" w:cs="宋体"/>
          <w:color w:val="auto"/>
          <w:sz w:val="21"/>
          <w:szCs w:val="21"/>
          <w:highlight w:val="none"/>
        </w:rPr>
        <w:t>的，每</w:t>
      </w:r>
      <w:r>
        <w:rPr>
          <w:rFonts w:hint="eastAsia" w:ascii="宋体" w:hAnsi="宋体" w:eastAsia="宋体" w:cs="宋体"/>
          <w:color w:val="auto"/>
          <w:sz w:val="21"/>
          <w:szCs w:val="21"/>
          <w:highlight w:val="none"/>
          <w:lang w:eastAsia="zh-CN"/>
        </w:rPr>
        <w:t>推迟一日</w:t>
      </w:r>
      <w:r>
        <w:rPr>
          <w:rFonts w:hint="eastAsia" w:ascii="宋体" w:hAnsi="宋体" w:eastAsia="宋体" w:cs="宋体"/>
          <w:color w:val="auto"/>
          <w:sz w:val="21"/>
          <w:szCs w:val="21"/>
          <w:highlight w:val="none"/>
        </w:rPr>
        <w:t>应按本合同总价的</w:t>
      </w:r>
      <w:r>
        <w:rPr>
          <w:rFonts w:hint="eastAsia" w:ascii="宋体" w:hAnsi="宋体" w:eastAsia="宋体" w:cs="宋体"/>
          <w:color w:val="auto"/>
          <w:sz w:val="21"/>
          <w:szCs w:val="21"/>
          <w:highlight w:val="none"/>
          <w:lang w:val="en-US" w:eastAsia="zh-CN"/>
        </w:rPr>
        <w:t>0.3</w:t>
      </w:r>
      <w:r>
        <w:rPr>
          <w:rFonts w:hint="eastAsia" w:ascii="宋体" w:hAnsi="宋体" w:eastAsia="宋体" w:cs="宋体"/>
          <w:color w:val="auto"/>
          <w:sz w:val="21"/>
          <w:szCs w:val="21"/>
          <w:highlight w:val="none"/>
        </w:rPr>
        <w:t>‰向甲方支付违约金，违约金累计不得超过合同总价的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，超过</w:t>
      </w:r>
      <w:r>
        <w:rPr>
          <w:rFonts w:hint="eastAsia" w:ascii="宋体" w:hAnsi="宋体" w:eastAsia="宋体" w:cs="宋体"/>
          <w:color w:val="auto"/>
          <w:sz w:val="21"/>
          <w:szCs w:val="21"/>
          <w:highlight w:val="none"/>
          <w:u w:val="single"/>
        </w:rPr>
        <w:t>10</w:t>
      </w:r>
      <w:r>
        <w:rPr>
          <w:rFonts w:hint="eastAsia" w:ascii="宋体" w:hAnsi="宋体" w:eastAsia="宋体" w:cs="宋体"/>
          <w:color w:val="auto"/>
          <w:sz w:val="21"/>
          <w:szCs w:val="21"/>
          <w:highlight w:val="none"/>
        </w:rPr>
        <w:t>天甲方有权解除合同，</w:t>
      </w:r>
      <w:r>
        <w:rPr>
          <w:rFonts w:hint="eastAsia" w:ascii="宋体" w:hAnsi="宋体" w:eastAsia="宋体" w:cs="宋体"/>
          <w:color w:val="auto"/>
          <w:sz w:val="21"/>
          <w:szCs w:val="21"/>
          <w:highlight w:val="none"/>
          <w:lang w:val="en-US" w:eastAsia="zh-CN"/>
        </w:rPr>
        <w:t>乙方向甲方支付合同总价30%的违约金</w:t>
      </w:r>
      <w:r>
        <w:rPr>
          <w:rFonts w:hint="eastAsia" w:ascii="宋体" w:hAnsi="宋体" w:eastAsia="宋体" w:cs="宋体"/>
          <w:color w:val="auto"/>
          <w:sz w:val="21"/>
          <w:szCs w:val="21"/>
          <w:highlight w:val="none"/>
        </w:rPr>
        <w:t>并承担因此给</w:t>
      </w:r>
      <w:r>
        <w:rPr>
          <w:rFonts w:hint="eastAsia" w:ascii="宋体" w:hAnsi="宋体" w:eastAsia="宋体" w:cs="宋体"/>
          <w:color w:val="auto"/>
          <w:sz w:val="21"/>
          <w:szCs w:val="21"/>
          <w:highlight w:val="none"/>
          <w:lang w:eastAsia="zh-CN"/>
        </w:rPr>
        <w:t>甲</w:t>
      </w:r>
      <w:r>
        <w:rPr>
          <w:rFonts w:hint="eastAsia" w:ascii="宋体" w:hAnsi="宋体" w:eastAsia="宋体" w:cs="宋体"/>
          <w:color w:val="auto"/>
          <w:sz w:val="21"/>
          <w:szCs w:val="21"/>
          <w:highlight w:val="none"/>
        </w:rPr>
        <w:t>方造成的经济损失。</w:t>
      </w:r>
    </w:p>
    <w:p w14:paraId="2D763034">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4.乙方未按本合同和</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文件中规定的服务承诺提供售后服务的，乙方应按本合同总价的</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%向甲方支付违约金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承担因此给</w:t>
      </w:r>
      <w:r>
        <w:rPr>
          <w:rFonts w:hint="eastAsia" w:ascii="宋体" w:hAnsi="宋体" w:eastAsia="宋体" w:cs="宋体"/>
          <w:color w:val="auto"/>
          <w:sz w:val="21"/>
          <w:szCs w:val="21"/>
          <w:highlight w:val="none"/>
          <w:lang w:eastAsia="zh-CN"/>
        </w:rPr>
        <w:t>甲</w:t>
      </w:r>
      <w:r>
        <w:rPr>
          <w:rFonts w:hint="eastAsia" w:ascii="宋体" w:hAnsi="宋体" w:eastAsia="宋体" w:cs="宋体"/>
          <w:color w:val="auto"/>
          <w:sz w:val="21"/>
          <w:szCs w:val="21"/>
          <w:highlight w:val="none"/>
        </w:rPr>
        <w:t>方造成的经济损失。</w:t>
      </w:r>
    </w:p>
    <w:p w14:paraId="4361AA73">
      <w:pPr>
        <w:pStyle w:val="22"/>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5.乙方不得将项目全部或部分进行转让转包、分包，如有违反，甲方有权单方面解除合同，且乙方应向甲方一次性支付合同总价30%的违约金并承担由此给甲方造成的一切损失。如甲方已支付合同款的，有权要求乙方接到甲方通知的5日内退还已支付的全额合同款。</w:t>
      </w:r>
    </w:p>
    <w:p w14:paraId="15027388">
      <w:pPr>
        <w:pStyle w:val="22"/>
        <w:keepNext w:val="0"/>
        <w:keepLines w:val="0"/>
        <w:pageBreakBefore w:val="0"/>
        <w:widowControl w:val="0"/>
        <w:kinsoku/>
        <w:wordWrap/>
        <w:overflowPunct/>
        <w:topLinePunct w:val="0"/>
        <w:autoSpaceDE/>
        <w:autoSpaceDN/>
        <w:bidi w:val="0"/>
        <w:adjustRightInd/>
        <w:snapToGrid w:val="0"/>
        <w:spacing w:line="500" w:lineRule="exact"/>
        <w:ind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6.甲方根据本合同约定而解除合同的，有权不予支付任何款项给乙方，已经支付的，乙方应当自甲方要求返还之日起5日内予以返还。</w:t>
      </w:r>
    </w:p>
    <w:p w14:paraId="2A5B9CCC">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7.本合同签订后，乙方无故解除合同的，应向甲方支付本合同总价款20%的违约金，除退还甲方已支付的全部费用并赔偿由此给甲方造成的全部损失。</w:t>
      </w:r>
    </w:p>
    <w:p w14:paraId="61C09C32">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8.若乙方在合同履约过程中存在有刑事违法犯罪行为的情形，甲方有权单方面终止合同、没收履约保证金并按本合同合计金额的20%收取违约金。</w:t>
      </w:r>
    </w:p>
    <w:p w14:paraId="6AE6366C">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若乙方最终未按采购文件要求和响应文件承诺提供相应服务，甲方有权单方面解除合同并没收履约保证金，且由乙方按合同标的额的20%承担违约责任，并承担甲方在实现其合同权利过程中可能产生的其他一切损失。</w:t>
      </w:r>
    </w:p>
    <w:p w14:paraId="6C981366">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违反合同约定或法律规定的，应当赔偿给甲方造成的全部损失，包括但不限于直接损失、预期利益损失、甲方向第三人支付违约金、赔偿金及甲方为索赔或应对第三方索赔而支出的诉讼费、律师费、公证费、保全费、担保费、鉴定费、评估费等全部费用。</w:t>
      </w:r>
    </w:p>
    <w:p w14:paraId="20E24F16">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第十条  不可抗力事件处理</w:t>
      </w:r>
    </w:p>
    <w:p w14:paraId="21E743FD">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1.在合同有效期内，任何一方因不可抗力事件导致不能履行合同，则合同履行期可延长，其延长期与不可抗力影响期相同。</w:t>
      </w:r>
    </w:p>
    <w:p w14:paraId="2E466075">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2.由于不可抗力时间不能全部或部分履行合同义务时，任一方可中止履行其在合同项下的义务（在不可抗力事件发生前已发生的应履行但未履行义务除外）。</w:t>
      </w:r>
    </w:p>
    <w:p w14:paraId="0B49C6CE">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可抗力事件发生后，应立即通知对方，并寄送有关权威机构出具的证明。声称收到不可抗力的一方应在任何时候采取合理的行动，以避免或尽量减少不可抗力事件的影响。因主观原因延误，未及时采取必要措施而导致损失扩大的，不能免除责任。</w:t>
      </w:r>
    </w:p>
    <w:p w14:paraId="38E5BD70">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4.不可抗力事件延续120天以上，双方应通过友好协商，确定是否继续履行合同。</w:t>
      </w:r>
    </w:p>
    <w:p w14:paraId="10154F1F">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第十一条  合同争议解决</w:t>
      </w:r>
    </w:p>
    <w:p w14:paraId="49EE2509">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1.因履行本合同引起的或与本合同有关的争议，甲乙双方应首先通过友好协商解决，如果协商不能解决，可向甲方有管辖权的法院提起诉讼。</w:t>
      </w:r>
    </w:p>
    <w:p w14:paraId="1168B64E">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2.诉讼期间，本合同继续履行。</w:t>
      </w:r>
    </w:p>
    <w:p w14:paraId="50D97406">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第十二条  合同生效及其它</w:t>
      </w:r>
    </w:p>
    <w:p w14:paraId="69742629">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1.合同经双方法定代表人或授权代表签字并加盖单位公章后生效。</w:t>
      </w:r>
    </w:p>
    <w:p w14:paraId="1F6222B5">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2.合同执行中涉及采购资金和采购内容修改或补充的，须经财政部门审批，并签书面补充协议报财政部门备案，方可作为主合同不可分割的一部分。</w:t>
      </w:r>
    </w:p>
    <w:p w14:paraId="75D2B128">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3.本合同未尽事宜，遵照有关法律法规条文执行。</w:t>
      </w:r>
    </w:p>
    <w:p w14:paraId="6BD8B084">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第十三条</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合同的变更、终止与转让</w:t>
      </w:r>
    </w:p>
    <w:p w14:paraId="20591A5D">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1.本合同一经签订，除《中华人民共和国政府采购法》第五十条规定的情形外，甲乙双方不得擅自变更、中止或终止。</w:t>
      </w:r>
    </w:p>
    <w:p w14:paraId="2D06AE44">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2.鉴于体检服务的特殊性及对甲方权益的保护，乙方不得擅自转让其应履行的合同义务，若乙方擅自转让，</w:t>
      </w:r>
      <w:r>
        <w:rPr>
          <w:rFonts w:hint="eastAsia" w:ascii="宋体" w:hAnsi="宋体" w:eastAsia="宋体" w:cs="宋体"/>
          <w:color w:val="auto"/>
          <w:sz w:val="21"/>
          <w:szCs w:val="21"/>
          <w:highlight w:val="none"/>
          <w:lang w:val="en-US" w:eastAsia="zh-CN"/>
        </w:rPr>
        <w:t>按合同已有约定处理。</w:t>
      </w:r>
    </w:p>
    <w:p w14:paraId="1FB01C7D">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第十五条</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签订本合同依据</w:t>
      </w:r>
    </w:p>
    <w:p w14:paraId="3F3BEAEE">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1.成交通知书；</w:t>
      </w:r>
    </w:p>
    <w:p w14:paraId="435002FB">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2.竞争性磋商文件；</w:t>
      </w:r>
    </w:p>
    <w:p w14:paraId="5756F854">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3.商务</w:t>
      </w:r>
      <w:r>
        <w:rPr>
          <w:rFonts w:hint="eastAsia" w:ascii="宋体" w:hAnsi="宋体" w:eastAsia="宋体" w:cs="宋体"/>
          <w:color w:val="auto"/>
          <w:sz w:val="21"/>
          <w:szCs w:val="21"/>
          <w:highlight w:val="none"/>
          <w:lang w:val="en-US" w:eastAsia="zh-CN"/>
        </w:rPr>
        <w:t>条款</w:t>
      </w:r>
      <w:r>
        <w:rPr>
          <w:rFonts w:hint="eastAsia" w:ascii="宋体" w:hAnsi="宋体" w:eastAsia="宋体" w:cs="宋体"/>
          <w:color w:val="auto"/>
          <w:sz w:val="21"/>
          <w:szCs w:val="21"/>
          <w:highlight w:val="none"/>
        </w:rPr>
        <w:t>偏离表和技术要求偏离表；</w:t>
      </w:r>
    </w:p>
    <w:p w14:paraId="6B773B6F">
      <w:pPr>
        <w:pStyle w:val="22"/>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4.服务方案；</w:t>
      </w:r>
    </w:p>
    <w:p w14:paraId="28DBC6E8">
      <w:pPr>
        <w:pStyle w:val="22"/>
        <w:keepNext w:val="0"/>
        <w:keepLines w:val="0"/>
        <w:pageBreakBefore w:val="0"/>
        <w:widowControl w:val="0"/>
        <w:kinsoku/>
        <w:wordWrap/>
        <w:overflowPunct/>
        <w:topLinePunct w:val="0"/>
        <w:autoSpaceDE/>
        <w:autoSpaceDN/>
        <w:bidi w:val="0"/>
        <w:adjustRightInd/>
        <w:spacing w:line="5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5.响应文件中的其他相关文件；</w:t>
      </w:r>
    </w:p>
    <w:p w14:paraId="2C9ACA86">
      <w:pPr>
        <w:pStyle w:val="22"/>
        <w:keepNext w:val="0"/>
        <w:keepLines w:val="0"/>
        <w:pageBreakBefore w:val="0"/>
        <w:widowControl w:val="0"/>
        <w:kinsoku/>
        <w:wordWrap/>
        <w:overflowPunct/>
        <w:topLinePunct w:val="0"/>
        <w:autoSpaceDE/>
        <w:autoSpaceDN/>
        <w:bidi w:val="0"/>
        <w:adjustRightInd/>
        <w:spacing w:line="5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6.上述合同文件互相补充和解释。如果合同文件之间存在矛盾或者不一致之外，以上述文件的排列顺序在先者为准。</w:t>
      </w:r>
    </w:p>
    <w:p w14:paraId="0F78BD75">
      <w:pPr>
        <w:pStyle w:val="12"/>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第十六条</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color w:val="auto"/>
          <w:sz w:val="21"/>
          <w:szCs w:val="21"/>
          <w:highlight w:val="none"/>
        </w:rPr>
        <w:t>本合同一式捌份，具有同等法律效力，采购代理机构一份，甲方伍份，乙方二份。</w:t>
      </w:r>
      <w:r>
        <w:rPr>
          <w:rFonts w:hint="eastAsia" w:ascii="宋体" w:hAnsi="宋体" w:eastAsia="宋体" w:cs="宋体"/>
          <w:color w:val="auto"/>
          <w:sz w:val="21"/>
          <w:szCs w:val="21"/>
          <w:highlight w:val="none"/>
          <w:lang w:val="en-US" w:eastAsia="zh-CN"/>
        </w:rPr>
        <w:t>双方确认本合同落款通讯地址及电子邮箱作为文书送达地址及方式，该通讯地址及方式适用于包括双方合同履行过程中的各类通知、协议等文件以及就合同发生争议进入民事诉讼程序后的一审、二审、再审和执行程序等阶段法律文书的送达。通讯地址或电子邮箱需要变更时应当提前15个工作日书面通知对方。因提供或者确认的通讯地址不准确、通讯地址变更后未及时依程序告知对方或受送达方拒绝签收等原因，导致文书未能被实际接收的，邮寄送达的（以EMS或挂号信方式），以文书退回之日视为送达之日；电子送达的，以邮件发出时即视为送达。</w:t>
      </w:r>
    </w:p>
    <w:p w14:paraId="48C4A37A">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（可根据需要另增加）。</w:t>
      </w:r>
    </w:p>
    <w:p w14:paraId="51064CDC">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本合同甲乙双方</w:t>
      </w:r>
      <w:r>
        <w:rPr>
          <w:rFonts w:hint="eastAsia"/>
          <w:color w:val="auto"/>
          <w:lang w:val="en-US" w:eastAsia="zh-CN"/>
        </w:rPr>
        <w:t>法定代表人或授权委托人</w:t>
      </w:r>
      <w:r>
        <w:rPr>
          <w:rFonts w:hint="eastAsia" w:ascii="宋体" w:hAnsi="宋体" w:eastAsia="宋体" w:cs="宋体"/>
          <w:color w:val="auto"/>
          <w:sz w:val="21"/>
          <w:szCs w:val="21"/>
          <w:highlight w:val="none"/>
        </w:rPr>
        <w:t>签字盖章后生效。</w:t>
      </w:r>
    </w:p>
    <w:tbl>
      <w:tblPr>
        <w:tblStyle w:val="29"/>
        <w:tblpPr w:leftFromText="180" w:rightFromText="180" w:vertAnchor="text" w:horzAnchor="margin" w:tblpY="214"/>
        <w:tblW w:w="9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8"/>
        <w:gridCol w:w="4569"/>
      </w:tblGrid>
      <w:tr w14:paraId="0FC5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7" w:hRule="atLeast"/>
        </w:trPr>
        <w:tc>
          <w:tcPr>
            <w:tcW w:w="4568" w:type="dxa"/>
            <w:tcBorders>
              <w:top w:val="single" w:color="auto" w:sz="4" w:space="0"/>
              <w:left w:val="single" w:color="auto" w:sz="4" w:space="0"/>
              <w:bottom w:val="single" w:color="auto" w:sz="4" w:space="0"/>
              <w:right w:val="single" w:color="auto" w:sz="4" w:space="0"/>
            </w:tcBorders>
            <w:vAlign w:val="center"/>
          </w:tcPr>
          <w:p w14:paraId="26AA1F5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eastAsia="zh-CN"/>
              </w:rPr>
              <w:t>广西财经学院</w:t>
            </w:r>
            <w:r>
              <w:rPr>
                <w:rFonts w:hint="eastAsia" w:ascii="宋体" w:hAnsi="宋体" w:eastAsia="宋体" w:cs="宋体"/>
                <w:color w:val="auto"/>
                <w:szCs w:val="21"/>
                <w:highlight w:val="none"/>
              </w:rPr>
              <w:t>（章）</w:t>
            </w:r>
          </w:p>
          <w:p w14:paraId="678FAC77">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p>
          <w:p w14:paraId="3E2C68F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p>
          <w:p w14:paraId="0686555F">
            <w:pPr>
              <w:keepNext w:val="0"/>
              <w:keepLines w:val="0"/>
              <w:pageBreakBefore w:val="0"/>
              <w:widowControl w:val="0"/>
              <w:kinsoku/>
              <w:wordWrap/>
              <w:overflowPunct/>
              <w:topLinePunct w:val="0"/>
              <w:autoSpaceDE/>
              <w:autoSpaceDN/>
              <w:bidi w:val="0"/>
              <w:adjustRightInd/>
              <w:snapToGrid w:val="0"/>
              <w:spacing w:line="500" w:lineRule="exact"/>
              <w:ind w:firstLine="945" w:firstLineChars="450"/>
              <w:jc w:val="right"/>
              <w:textAlignment w:val="auto"/>
              <w:rPr>
                <w:rFonts w:hint="eastAsia" w:ascii="宋体" w:hAnsi="宋体" w:eastAsia="宋体" w:cs="宋体"/>
                <w:color w:val="auto"/>
                <w:szCs w:val="21"/>
                <w:highlight w:val="none"/>
              </w:rPr>
            </w:pPr>
          </w:p>
          <w:p w14:paraId="62F552F0">
            <w:pPr>
              <w:keepNext w:val="0"/>
              <w:keepLines w:val="0"/>
              <w:pageBreakBefore w:val="0"/>
              <w:widowControl w:val="0"/>
              <w:kinsoku/>
              <w:wordWrap/>
              <w:overflowPunct/>
              <w:topLinePunct w:val="0"/>
              <w:autoSpaceDE/>
              <w:autoSpaceDN/>
              <w:bidi w:val="0"/>
              <w:adjustRightInd/>
              <w:snapToGrid w:val="0"/>
              <w:spacing w:line="500" w:lineRule="exact"/>
              <w:ind w:firstLine="945" w:firstLineChars="450"/>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569" w:type="dxa"/>
            <w:tcBorders>
              <w:top w:val="single" w:color="auto" w:sz="4" w:space="0"/>
              <w:left w:val="single" w:color="auto" w:sz="4" w:space="0"/>
              <w:bottom w:val="single" w:color="auto" w:sz="4" w:space="0"/>
              <w:right w:val="single" w:color="auto" w:sz="4" w:space="0"/>
            </w:tcBorders>
            <w:vAlign w:val="center"/>
          </w:tcPr>
          <w:p w14:paraId="69FB1E0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248E870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p>
          <w:p w14:paraId="6F02DD2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3DC8BEB">
            <w:pPr>
              <w:keepNext w:val="0"/>
              <w:keepLines w:val="0"/>
              <w:pageBreakBefore w:val="0"/>
              <w:widowControl w:val="0"/>
              <w:kinsoku/>
              <w:wordWrap/>
              <w:overflowPunct/>
              <w:topLinePunct w:val="0"/>
              <w:autoSpaceDE/>
              <w:autoSpaceDN/>
              <w:bidi w:val="0"/>
              <w:adjustRightInd/>
              <w:snapToGrid w:val="0"/>
              <w:spacing w:line="500" w:lineRule="exact"/>
              <w:jc w:val="right"/>
              <w:textAlignment w:val="auto"/>
              <w:rPr>
                <w:rFonts w:hint="eastAsia" w:ascii="宋体" w:hAnsi="宋体" w:eastAsia="宋体" w:cs="宋体"/>
                <w:color w:val="auto"/>
                <w:szCs w:val="21"/>
                <w:highlight w:val="none"/>
              </w:rPr>
            </w:pPr>
          </w:p>
          <w:p w14:paraId="07AB7782">
            <w:pPr>
              <w:keepNext w:val="0"/>
              <w:keepLines w:val="0"/>
              <w:pageBreakBefore w:val="0"/>
              <w:widowControl w:val="0"/>
              <w:kinsoku/>
              <w:wordWrap/>
              <w:overflowPunct/>
              <w:topLinePunct w:val="0"/>
              <w:autoSpaceDE/>
              <w:autoSpaceDN/>
              <w:bidi w:val="0"/>
              <w:adjustRightInd/>
              <w:snapToGrid w:val="0"/>
              <w:spacing w:line="500" w:lineRule="exact"/>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1A0C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8" w:type="dxa"/>
            <w:tcBorders>
              <w:top w:val="single" w:color="auto" w:sz="4" w:space="0"/>
              <w:left w:val="single" w:color="auto" w:sz="4" w:space="0"/>
              <w:bottom w:val="single" w:color="auto" w:sz="4" w:space="0"/>
              <w:right w:val="single" w:color="auto" w:sz="4" w:space="0"/>
            </w:tcBorders>
            <w:vAlign w:val="center"/>
          </w:tcPr>
          <w:p w14:paraId="7746837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单位地址：</w:t>
            </w:r>
          </w:p>
        </w:tc>
        <w:tc>
          <w:tcPr>
            <w:tcW w:w="4569" w:type="dxa"/>
            <w:tcBorders>
              <w:top w:val="single" w:color="auto" w:sz="4" w:space="0"/>
              <w:left w:val="single" w:color="auto" w:sz="4" w:space="0"/>
              <w:bottom w:val="single" w:color="auto" w:sz="4" w:space="0"/>
              <w:right w:val="single" w:color="auto" w:sz="4" w:space="0"/>
            </w:tcBorders>
            <w:vAlign w:val="center"/>
          </w:tcPr>
          <w:p w14:paraId="0A72370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单位地址： </w:t>
            </w:r>
          </w:p>
        </w:tc>
      </w:tr>
      <w:tr w14:paraId="026A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4568" w:type="dxa"/>
            <w:tcBorders>
              <w:top w:val="single" w:color="auto" w:sz="4" w:space="0"/>
              <w:left w:val="single" w:color="auto" w:sz="4" w:space="0"/>
              <w:right w:val="single" w:color="auto" w:sz="4" w:space="0"/>
            </w:tcBorders>
            <w:vAlign w:val="center"/>
          </w:tcPr>
          <w:p w14:paraId="79020EF8">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48B7BB34">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或委托代理人：</w:t>
            </w:r>
          </w:p>
        </w:tc>
        <w:tc>
          <w:tcPr>
            <w:tcW w:w="4569" w:type="dxa"/>
            <w:tcBorders>
              <w:top w:val="single" w:color="auto" w:sz="4" w:space="0"/>
              <w:left w:val="single" w:color="auto" w:sz="4" w:space="0"/>
              <w:bottom w:val="single" w:color="auto" w:sz="4" w:space="0"/>
              <w:right w:val="single" w:color="auto" w:sz="4" w:space="0"/>
            </w:tcBorders>
            <w:vAlign w:val="center"/>
          </w:tcPr>
          <w:p w14:paraId="162B4D18">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7A9F6D11">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或委托代理人：</w:t>
            </w:r>
          </w:p>
        </w:tc>
      </w:tr>
      <w:tr w14:paraId="4B4B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8" w:type="dxa"/>
            <w:tcBorders>
              <w:top w:val="single" w:color="auto" w:sz="4" w:space="0"/>
              <w:left w:val="single" w:color="auto" w:sz="4" w:space="0"/>
              <w:bottom w:val="single" w:color="auto" w:sz="4" w:space="0"/>
              <w:right w:val="single" w:color="auto" w:sz="4" w:space="0"/>
            </w:tcBorders>
            <w:vAlign w:val="center"/>
          </w:tcPr>
          <w:p w14:paraId="531C0BA3">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569" w:type="dxa"/>
            <w:tcBorders>
              <w:top w:val="single" w:color="auto" w:sz="4" w:space="0"/>
              <w:left w:val="single" w:color="auto" w:sz="4" w:space="0"/>
              <w:bottom w:val="single" w:color="auto" w:sz="4" w:space="0"/>
              <w:right w:val="single" w:color="auto" w:sz="4" w:space="0"/>
            </w:tcBorders>
            <w:vAlign w:val="center"/>
          </w:tcPr>
          <w:p w14:paraId="49FF912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25FA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8" w:type="dxa"/>
            <w:tcBorders>
              <w:top w:val="single" w:color="auto" w:sz="4" w:space="0"/>
              <w:left w:val="single" w:color="auto" w:sz="4" w:space="0"/>
              <w:bottom w:val="single" w:color="auto" w:sz="4" w:space="0"/>
              <w:right w:val="single" w:color="auto" w:sz="4" w:space="0"/>
            </w:tcBorders>
            <w:vAlign w:val="center"/>
          </w:tcPr>
          <w:p w14:paraId="25454FD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4569" w:type="dxa"/>
            <w:tcBorders>
              <w:top w:val="single" w:color="auto" w:sz="4" w:space="0"/>
              <w:left w:val="single" w:color="auto" w:sz="4" w:space="0"/>
              <w:bottom w:val="single" w:color="auto" w:sz="4" w:space="0"/>
              <w:right w:val="single" w:color="auto" w:sz="4" w:space="0"/>
            </w:tcBorders>
            <w:vAlign w:val="center"/>
          </w:tcPr>
          <w:p w14:paraId="7C9B8C3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r>
      <w:tr w14:paraId="6C94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8" w:type="dxa"/>
            <w:tcBorders>
              <w:top w:val="single" w:color="auto" w:sz="4" w:space="0"/>
              <w:left w:val="single" w:color="auto" w:sz="4" w:space="0"/>
              <w:bottom w:val="single" w:color="auto" w:sz="4" w:space="0"/>
              <w:right w:val="single" w:color="auto" w:sz="4" w:space="0"/>
            </w:tcBorders>
            <w:vAlign w:val="center"/>
          </w:tcPr>
          <w:p w14:paraId="5711993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569" w:type="dxa"/>
            <w:tcBorders>
              <w:top w:val="single" w:color="auto" w:sz="4" w:space="0"/>
              <w:left w:val="single" w:color="auto" w:sz="4" w:space="0"/>
              <w:bottom w:val="single" w:color="auto" w:sz="4" w:space="0"/>
              <w:right w:val="single" w:color="auto" w:sz="4" w:space="0"/>
            </w:tcBorders>
            <w:vAlign w:val="center"/>
          </w:tcPr>
          <w:p w14:paraId="3CE9B607">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2917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8" w:type="dxa"/>
            <w:tcBorders>
              <w:top w:val="single" w:color="auto" w:sz="4" w:space="0"/>
              <w:left w:val="single" w:color="auto" w:sz="4" w:space="0"/>
              <w:bottom w:val="single" w:color="auto" w:sz="4" w:space="0"/>
              <w:right w:val="single" w:color="auto" w:sz="4" w:space="0"/>
            </w:tcBorders>
            <w:vAlign w:val="center"/>
          </w:tcPr>
          <w:p w14:paraId="2C46790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569" w:type="dxa"/>
            <w:tcBorders>
              <w:top w:val="single" w:color="auto" w:sz="4" w:space="0"/>
              <w:left w:val="single" w:color="auto" w:sz="4" w:space="0"/>
              <w:bottom w:val="single" w:color="auto" w:sz="4" w:space="0"/>
              <w:right w:val="single" w:color="auto" w:sz="4" w:space="0"/>
            </w:tcBorders>
            <w:vAlign w:val="center"/>
          </w:tcPr>
          <w:p w14:paraId="289B1DF0">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bl>
    <w:p w14:paraId="3B1BF392">
      <w:pPr>
        <w:snapToGrid w:val="0"/>
        <w:spacing w:line="360" w:lineRule="auto"/>
        <w:rPr>
          <w:rFonts w:hint="eastAsia" w:ascii="宋体" w:hAnsi="宋体" w:eastAsia="宋体" w:cs="宋体"/>
          <w:b/>
          <w:color w:val="auto"/>
          <w:szCs w:val="21"/>
          <w:highlight w:val="none"/>
        </w:rPr>
      </w:pPr>
    </w:p>
    <w:p w14:paraId="4B9637FC">
      <w:pPr>
        <w:spacing w:line="360" w:lineRule="auto"/>
        <w:ind w:firstLine="420" w:firstLineChars="200"/>
        <w:rPr>
          <w:rFonts w:hint="eastAsia" w:ascii="宋体" w:hAnsi="宋体" w:eastAsia="宋体" w:cs="宋体"/>
          <w:color w:val="auto"/>
          <w:highlight w:val="none"/>
        </w:rPr>
      </w:pPr>
    </w:p>
    <w:p w14:paraId="599C5AB9">
      <w:pPr>
        <w:spacing w:line="360" w:lineRule="auto"/>
        <w:ind w:firstLine="420" w:firstLineChars="200"/>
        <w:rPr>
          <w:rFonts w:hint="eastAsia" w:ascii="宋体" w:hAnsi="宋体" w:eastAsia="宋体" w:cs="宋体"/>
          <w:color w:val="auto"/>
          <w:highlight w:val="none"/>
        </w:rPr>
      </w:pPr>
    </w:p>
    <w:p w14:paraId="4A13EC72">
      <w:pPr>
        <w:spacing w:line="360" w:lineRule="auto"/>
        <w:ind w:firstLine="420" w:firstLineChars="200"/>
        <w:rPr>
          <w:rFonts w:hint="eastAsia" w:ascii="宋体" w:hAnsi="宋体" w:eastAsia="宋体" w:cs="宋体"/>
          <w:color w:val="auto"/>
          <w:highlight w:val="none"/>
        </w:rPr>
      </w:pPr>
    </w:p>
    <w:p w14:paraId="6B82A82D">
      <w:pPr>
        <w:spacing w:line="360" w:lineRule="auto"/>
        <w:ind w:firstLine="420" w:firstLineChars="200"/>
        <w:rPr>
          <w:rFonts w:hint="eastAsia" w:ascii="宋体" w:hAnsi="宋体" w:eastAsia="宋体" w:cs="宋体"/>
          <w:color w:val="auto"/>
          <w:highlight w:val="none"/>
        </w:rPr>
      </w:pPr>
    </w:p>
    <w:p w14:paraId="5E489EC0">
      <w:pPr>
        <w:spacing w:line="360" w:lineRule="auto"/>
        <w:ind w:firstLine="420" w:firstLineChars="200"/>
        <w:rPr>
          <w:rFonts w:hint="eastAsia" w:ascii="宋体" w:hAnsi="宋体" w:eastAsia="宋体" w:cs="宋体"/>
          <w:color w:val="auto"/>
          <w:highlight w:val="none"/>
        </w:rPr>
      </w:pPr>
    </w:p>
    <w:p w14:paraId="36B09692">
      <w:pPr>
        <w:spacing w:line="360" w:lineRule="auto"/>
        <w:ind w:firstLine="420" w:firstLineChars="200"/>
        <w:rPr>
          <w:rFonts w:hint="eastAsia" w:ascii="宋体" w:hAnsi="宋体" w:eastAsia="宋体" w:cs="宋体"/>
          <w:color w:val="auto"/>
          <w:highlight w:val="none"/>
        </w:rPr>
      </w:pPr>
    </w:p>
    <w:p w14:paraId="18866CAA">
      <w:pPr>
        <w:spacing w:line="360" w:lineRule="auto"/>
        <w:ind w:firstLine="420" w:firstLineChars="200"/>
        <w:rPr>
          <w:rFonts w:hint="eastAsia" w:ascii="宋体" w:hAnsi="宋体" w:eastAsia="宋体" w:cs="宋体"/>
          <w:color w:val="auto"/>
          <w:highlight w:val="none"/>
        </w:rPr>
      </w:pPr>
    </w:p>
    <w:p w14:paraId="6F9E3549">
      <w:pPr>
        <w:spacing w:line="360" w:lineRule="auto"/>
        <w:ind w:firstLine="420" w:firstLineChars="200"/>
        <w:rPr>
          <w:rFonts w:hint="eastAsia" w:ascii="宋体" w:hAnsi="宋体" w:eastAsia="宋体" w:cs="宋体"/>
          <w:color w:val="auto"/>
          <w:highlight w:val="none"/>
        </w:rPr>
      </w:pPr>
    </w:p>
    <w:p w14:paraId="15AF17E0">
      <w:pPr>
        <w:spacing w:line="360" w:lineRule="auto"/>
        <w:ind w:firstLine="420" w:firstLineChars="200"/>
        <w:rPr>
          <w:rFonts w:hint="eastAsia" w:ascii="宋体" w:hAnsi="宋体" w:eastAsia="宋体" w:cs="宋体"/>
          <w:color w:val="auto"/>
          <w:highlight w:val="none"/>
        </w:rPr>
      </w:pPr>
    </w:p>
    <w:p w14:paraId="42E55ECF">
      <w:pPr>
        <w:spacing w:line="360" w:lineRule="auto"/>
        <w:ind w:firstLine="420" w:firstLineChars="200"/>
        <w:rPr>
          <w:rFonts w:hint="eastAsia" w:ascii="宋体" w:hAnsi="宋体" w:eastAsia="宋体" w:cs="宋体"/>
          <w:color w:val="auto"/>
          <w:highlight w:val="none"/>
        </w:rPr>
      </w:pPr>
    </w:p>
    <w:p w14:paraId="38D96D05">
      <w:pPr>
        <w:spacing w:line="360" w:lineRule="auto"/>
        <w:ind w:firstLine="420" w:firstLineChars="200"/>
        <w:rPr>
          <w:rFonts w:hint="eastAsia" w:ascii="宋体" w:hAnsi="宋体" w:eastAsia="宋体" w:cs="宋体"/>
          <w:color w:val="auto"/>
          <w:highlight w:val="none"/>
        </w:rPr>
      </w:pPr>
    </w:p>
    <w:p w14:paraId="7D9AC244">
      <w:pPr>
        <w:spacing w:line="360" w:lineRule="auto"/>
        <w:ind w:firstLine="420" w:firstLineChars="200"/>
        <w:rPr>
          <w:rFonts w:hint="eastAsia" w:ascii="宋体" w:hAnsi="宋体" w:eastAsia="宋体" w:cs="宋体"/>
          <w:color w:val="auto"/>
          <w:highlight w:val="none"/>
        </w:rPr>
      </w:pPr>
    </w:p>
    <w:p w14:paraId="2F704929">
      <w:pPr>
        <w:spacing w:line="360" w:lineRule="auto"/>
        <w:ind w:firstLine="420" w:firstLineChars="200"/>
        <w:rPr>
          <w:rFonts w:hint="eastAsia" w:ascii="宋体" w:hAnsi="宋体" w:eastAsia="宋体" w:cs="宋体"/>
          <w:color w:val="auto"/>
          <w:highlight w:val="none"/>
        </w:rPr>
      </w:pPr>
    </w:p>
    <w:p w14:paraId="6AE3B0FA">
      <w:pPr>
        <w:rPr>
          <w:rFonts w:hint="eastAsia" w:ascii="宋体" w:hAnsi="宋体" w:eastAsia="宋体" w:cs="宋体"/>
          <w:color w:val="auto"/>
          <w:highlight w:val="none"/>
        </w:rPr>
      </w:pPr>
    </w:p>
    <w:sectPr>
      <w:headerReference r:id="rId10" w:type="first"/>
      <w:footerReference r:id="rId12" w:type="first"/>
      <w:headerReference r:id="rId8" w:type="default"/>
      <w:footerReference r:id="rId11" w:type="default"/>
      <w:headerReference r:id="rId9" w:type="even"/>
      <w:pgSz w:w="11906" w:h="16838"/>
      <w:pgMar w:top="1440" w:right="1440" w:bottom="1440" w:left="158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E0A0319-4EAA-47E4-81E9-885389280DD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A0A018D1-DB9D-400D-A77D-0F19B4E82FC4}"/>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embedRegular r:id="rId3" w:fontKey="{B5791A1E-0789-4BF9-A078-24131AFCB5CB}"/>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A1B87">
    <w:pPr>
      <w:pStyle w:val="22"/>
    </w:pPr>
    <w:r>
      <w:rPr>
        <w:sz w:val="18"/>
      </w:rPr>
      <mc:AlternateContent>
        <mc:Choice Requires="wps">
          <w:drawing>
            <wp:anchor distT="0" distB="0" distL="114300" distR="114300" simplePos="0" relativeHeight="251794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909DC">
                          <w:pPr>
                            <w:pStyle w:val="2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4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8C909DC">
                    <w:pPr>
                      <w:pStyle w:val="2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EEA9E">
    <w:pPr>
      <w:pStyle w:val="22"/>
      <w:jc w:val="center"/>
    </w:pPr>
    <w:r>
      <mc:AlternateContent>
        <mc:Choice Requires="wps">
          <w:drawing>
            <wp:anchor distT="0" distB="0" distL="114300" distR="114300" simplePos="0" relativeHeight="251792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8A6CF2">
                          <w:pPr>
                            <w:pStyle w:val="22"/>
                            <w:jc w:val="center"/>
                          </w:pPr>
                          <w:r>
                            <w:fldChar w:fldCharType="begin"/>
                          </w:r>
                          <w:r>
                            <w:instrText xml:space="preserve"> PAGE   \* MERGEFORMAT </w:instrText>
                          </w:r>
                          <w:r>
                            <w:fldChar w:fldCharType="separate"/>
                          </w:r>
                          <w:r>
                            <w:rPr>
                              <w:lang w:val="zh-CN"/>
                            </w:rPr>
                            <w:t>33</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792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UAe8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FQB7yQEAAJkDAAAOAAAAAAAAAAEAIAAAAB4BAABkcnMvZTJvRG9j&#10;LnhtbFBLBQYAAAAABgAGAFkBAABZBQAAAAA=&#10;">
              <v:fill on="f" focussize="0,0"/>
              <v:stroke on="f"/>
              <v:imagedata o:title=""/>
              <o:lock v:ext="edit" aspectratio="f"/>
              <v:textbox inset="0mm,0mm,0mm,0mm" style="mso-fit-shape-to-text:t;">
                <w:txbxContent>
                  <w:p w14:paraId="1E8A6CF2">
                    <w:pPr>
                      <w:pStyle w:val="22"/>
                      <w:jc w:val="center"/>
                    </w:pPr>
                    <w:r>
                      <w:fldChar w:fldCharType="begin"/>
                    </w:r>
                    <w:r>
                      <w:instrText xml:space="preserve"> PAGE   \* MERGEFORMAT </w:instrText>
                    </w:r>
                    <w:r>
                      <w:fldChar w:fldCharType="separate"/>
                    </w:r>
                    <w:r>
                      <w:rPr>
                        <w:lang w:val="zh-CN"/>
                      </w:rPr>
                      <w:t>33</w:t>
                    </w:r>
                    <w:r>
                      <w:fldChar w:fldCharType="end"/>
                    </w:r>
                  </w:p>
                </w:txbxContent>
              </v:textbox>
            </v:shape>
          </w:pict>
        </mc:Fallback>
      </mc:AlternateContent>
    </w:r>
  </w:p>
  <w:p w14:paraId="52CB1EDC">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DF447">
    <w:pPr>
      <w:pStyle w:val="22"/>
    </w:pPr>
    <w:r>
      <mc:AlternateContent>
        <mc:Choice Requires="wps">
          <w:drawing>
            <wp:anchor distT="0" distB="0" distL="114300" distR="114300" simplePos="0" relativeHeight="251793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04AB08">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793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HO3TM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cc7dMyQEAAJkDAAAOAAAAAAAAAAEAIAAAAB4BAABkcnMvZTJvRG9j&#10;LnhtbFBLBQYAAAAABgAGAFkBAABZBQAAAAA=&#10;">
              <v:fill on="f" focussize="0,0"/>
              <v:stroke on="f"/>
              <v:imagedata o:title=""/>
              <o:lock v:ext="edit" aspectratio="f"/>
              <v:textbox inset="0mm,0mm,0mm,0mm" style="mso-fit-shape-to-text:t;">
                <w:txbxContent>
                  <w:p w14:paraId="4F04AB08">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357DE">
    <w:r>
      <w:pict>
        <v:shape id="_x0000_s2049" o:spid="_x0000_s2049" o:spt="136" type="#_x0000_t136" style="position:absolute;left:0pt;margin-left:-59pt;margin-top:67pt;height:12pt;width:116pt;z-index:251726848;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14" o:spid="_x0000_s2114" o:spt="136" type="#_x0000_t136" style="position:absolute;left:0pt;margin-left:-59pt;margin-top:260pt;height:12pt;width:116pt;z-index:251727872;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15" o:spid="_x0000_s2115" o:spt="136" type="#_x0000_t136" style="position:absolute;left:0pt;margin-left:-59pt;margin-top:467pt;height:12pt;width:116pt;z-index:251728896;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16" o:spid="_x0000_s2116" o:spt="136" type="#_x0000_t136" style="position:absolute;left:0pt;margin-left:-59pt;margin-top:670pt;height:12pt;width:116pt;z-index:251729920;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17" o:spid="_x0000_s2117" o:spt="136" type="#_x0000_t136" style="position:absolute;left:0pt;margin-left:149pt;margin-top:64pt;height:12pt;width:116pt;z-index:251730944;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18" o:spid="_x0000_s2118" o:spt="136" type="#_x0000_t136" style="position:absolute;left:0pt;margin-left:149pt;margin-top:269pt;height:12pt;width:116pt;z-index:251731968;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19" o:spid="_x0000_s2119" o:spt="136" type="#_x0000_t136" style="position:absolute;left:0pt;margin-left:149pt;margin-top:462pt;height:12pt;width:116pt;z-index:251732992;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20" o:spid="_x0000_s2120" o:spt="136" type="#_x0000_t136" style="position:absolute;left:0pt;margin-left:149pt;margin-top:665pt;height:12pt;width:116pt;z-index:251734016;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21" o:spid="_x0000_s2121" o:spt="136" type="#_x0000_t136" style="position:absolute;left:0pt;margin-left:345pt;margin-top:60pt;height:12pt;width:116pt;z-index:251735040;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22" o:spid="_x0000_s2122" o:spt="136" type="#_x0000_t136" style="position:absolute;left:0pt;margin-left:345pt;margin-top:261pt;height:12pt;width:116pt;z-index:251736064;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23" o:spid="_x0000_s2123" o:spt="136" type="#_x0000_t136" style="position:absolute;left:0pt;margin-left:345pt;margin-top:458pt;height:12pt;width:116pt;z-index:251737088;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24" o:spid="_x0000_s2124" o:spt="136" type="#_x0000_t136" style="position:absolute;left:0pt;margin-left:345pt;margin-top:661pt;height:12pt;width:116pt;z-index:251738112;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25" o:spid="_x0000_s2125" o:spt="136" type="#_x0000_t136" style="position:absolute;left:0pt;margin-left:541pt;margin-top:63pt;height:12pt;width:116pt;z-index:251739136;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26" o:spid="_x0000_s2126" o:spt="136" type="#_x0000_t136" style="position:absolute;left:0pt;margin-left:541pt;margin-top:258pt;height:12pt;width:116pt;z-index:251740160;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27" o:spid="_x0000_s2127" o:spt="136" type="#_x0000_t136" style="position:absolute;left:0pt;margin-left:541pt;margin-top:468pt;height:12pt;width:116pt;z-index:251741184;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28" o:spid="_x0000_s2128" o:spt="136" type="#_x0000_t136" style="position:absolute;left:0pt;margin-left:541pt;margin-top:662pt;height:12pt;width:116pt;z-index:251742208;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p>
  <w:p w14:paraId="17A4885B">
    <w:r>
      <w:pict>
        <v:shape id="_x0000_s2129" o:spid="_x0000_s2129" o:spt="136" type="#_x0000_t136" style="position:absolute;left:0pt;margin-left:-45pt;margin-top:57pt;height:12pt;width:116pt;rotation:-2621440f;z-index:251661312;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30" o:spid="_x0000_s2130" o:spt="136" type="#_x0000_t136" style="position:absolute;left:0pt;margin-left:-45pt;margin-top:270pt;height:12pt;width:116pt;rotation:-2621440f;z-index:251662336;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31" o:spid="_x0000_s2131" o:spt="136" type="#_x0000_t136" style="position:absolute;left:0pt;margin-left:-45pt;margin-top:467pt;height:12pt;width:116pt;rotation:-2621440f;z-index:251663360;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32" o:spid="_x0000_s2132" o:spt="136" type="#_x0000_t136" style="position:absolute;left:0pt;margin-left:-45pt;margin-top:660pt;height:12pt;width:116pt;rotation:-2621440f;z-index:251664384;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33" o:spid="_x0000_s2133" o:spt="136" type="#_x0000_t136" style="position:absolute;left:0pt;margin-left:152pt;margin-top:69pt;height:12pt;width:116pt;rotation:-2621440f;z-index:251665408;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34" o:spid="_x0000_s2134" o:spt="136" type="#_x0000_t136" style="position:absolute;left:0pt;margin-left:152pt;margin-top:269pt;height:12pt;width:116pt;rotation:-2621440f;z-index:251666432;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35" o:spid="_x0000_s2135" o:spt="136" type="#_x0000_t136" style="position:absolute;left:0pt;margin-left:152pt;margin-top:466pt;height:12pt;width:116pt;rotation:-2621440f;z-index:251667456;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36" o:spid="_x0000_s2136" o:spt="136" type="#_x0000_t136" style="position:absolute;left:0pt;margin-left:152pt;margin-top:663pt;height:12pt;width:116pt;rotation:-2621440f;z-index:251668480;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37" o:spid="_x0000_s2137" o:spt="136" type="#_x0000_t136" style="position:absolute;left:0pt;margin-left:351pt;margin-top:57pt;height:12pt;width:116pt;rotation:-2621440f;z-index:251669504;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38" o:spid="_x0000_s2138" o:spt="136" type="#_x0000_t136" style="position:absolute;left:0pt;margin-left:351pt;margin-top:256pt;height:12pt;width:116pt;rotation:-2621440f;z-index:251670528;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39" o:spid="_x0000_s2139" o:spt="136" type="#_x0000_t136" style="position:absolute;left:0pt;margin-left:351pt;margin-top:462pt;height:12pt;width:116pt;rotation:-2621440f;z-index:251671552;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40" o:spid="_x0000_s2140" o:spt="136" type="#_x0000_t136" style="position:absolute;left:0pt;margin-left:351pt;margin-top:660pt;height:12pt;width:116pt;rotation:-2621440f;z-index:251672576;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41" o:spid="_x0000_s2141" o:spt="136" type="#_x0000_t136" style="position:absolute;left:0pt;margin-left:543pt;margin-top:56pt;height:12pt;width:116pt;rotation:-2621440f;z-index:251673600;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42" o:spid="_x0000_s2142" o:spt="136" type="#_x0000_t136" style="position:absolute;left:0pt;margin-left:543pt;margin-top:263pt;height:12pt;width:116pt;rotation:-2621440f;z-index:251674624;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43" o:spid="_x0000_s2143" o:spt="136" type="#_x0000_t136" style="position:absolute;left:0pt;margin-left:543pt;margin-top:466pt;height:12pt;width:116pt;rotation:-2621440f;z-index:251675648;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44" o:spid="_x0000_s2144" o:spt="136" type="#_x0000_t136" style="position:absolute;left:0pt;margin-left:543pt;margin-top:670pt;height:12pt;width:116pt;rotation:-2621440f;z-index:251676672;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B5C66">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8374">
    <w:r>
      <w:pict>
        <v:shape id="_x0000_s2209" o:spid="_x0000_s2209" o:spt="136" type="#_x0000_t136" style="position:absolute;left:0pt;margin-left:-59pt;margin-top:67pt;height:12pt;width:116pt;z-index:251759616;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210" o:spid="_x0000_s2210" o:spt="136" type="#_x0000_t136" style="position:absolute;left:0pt;margin-left:-59pt;margin-top:260pt;height:12pt;width:116pt;z-index:251760640;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211" o:spid="_x0000_s2211" o:spt="136" type="#_x0000_t136" style="position:absolute;left:0pt;margin-left:-59pt;margin-top:467pt;height:12pt;width:116pt;z-index:251761664;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212" o:spid="_x0000_s2212" o:spt="136" type="#_x0000_t136" style="position:absolute;left:0pt;margin-left:-59pt;margin-top:670pt;height:12pt;width:116pt;z-index:251762688;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213" o:spid="_x0000_s2213" o:spt="136" type="#_x0000_t136" style="position:absolute;left:0pt;margin-left:149pt;margin-top:64pt;height:12pt;width:116pt;z-index:251763712;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214" o:spid="_x0000_s2214" o:spt="136" type="#_x0000_t136" style="position:absolute;left:0pt;margin-left:149pt;margin-top:269pt;height:12pt;width:116pt;z-index:251764736;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215" o:spid="_x0000_s2215" o:spt="136" type="#_x0000_t136" style="position:absolute;left:0pt;margin-left:149pt;margin-top:462pt;height:12pt;width:116pt;z-index:251765760;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216" o:spid="_x0000_s2216" o:spt="136" type="#_x0000_t136" style="position:absolute;left:0pt;margin-left:149pt;margin-top:665pt;height:12pt;width:116pt;z-index:251766784;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217" o:spid="_x0000_s2217" o:spt="136" type="#_x0000_t136" style="position:absolute;left:0pt;margin-left:345pt;margin-top:60pt;height:12pt;width:116pt;z-index:251767808;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218" o:spid="_x0000_s2218" o:spt="136" type="#_x0000_t136" style="position:absolute;left:0pt;margin-left:345pt;margin-top:261pt;height:12pt;width:116pt;z-index:251768832;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219" o:spid="_x0000_s2219" o:spt="136" type="#_x0000_t136" style="position:absolute;left:0pt;margin-left:345pt;margin-top:458pt;height:12pt;width:116pt;z-index:251769856;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220" o:spid="_x0000_s2220" o:spt="136" type="#_x0000_t136" style="position:absolute;left:0pt;margin-left:345pt;margin-top:661pt;height:12pt;width:116pt;z-index:251770880;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221" o:spid="_x0000_s2221" o:spt="136" type="#_x0000_t136" style="position:absolute;left:0pt;margin-left:541pt;margin-top:63pt;height:12pt;width:116pt;z-index:251771904;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222" o:spid="_x0000_s2222" o:spt="136" type="#_x0000_t136" style="position:absolute;left:0pt;margin-left:541pt;margin-top:258pt;height:12pt;width:116pt;z-index:251772928;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223" o:spid="_x0000_s2223" o:spt="136" type="#_x0000_t136" style="position:absolute;left:0pt;margin-left:541pt;margin-top:468pt;height:12pt;width:116pt;z-index:251773952;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224" o:spid="_x0000_s2224" o:spt="136" type="#_x0000_t136" style="position:absolute;left:0pt;margin-left:541pt;margin-top:662pt;height:12pt;width:116pt;z-index:251774976;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p>
  <w:p w14:paraId="5A90AAAC">
    <w:r>
      <w:pict>
        <v:shape id="_x0000_s2225" o:spid="_x0000_s2225" o:spt="136" type="#_x0000_t136" style="position:absolute;left:0pt;margin-left:-45pt;margin-top:57pt;height:12pt;width:116pt;rotation:-2621440f;z-index:251694080;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226" o:spid="_x0000_s2226" o:spt="136" type="#_x0000_t136" style="position:absolute;left:0pt;margin-left:-45pt;margin-top:270pt;height:12pt;width:116pt;rotation:-2621440f;z-index:251695104;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227" o:spid="_x0000_s2227" o:spt="136" type="#_x0000_t136" style="position:absolute;left:0pt;margin-left:-45pt;margin-top:467pt;height:12pt;width:116pt;rotation:-2621440f;z-index:251696128;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228" o:spid="_x0000_s2228" o:spt="136" type="#_x0000_t136" style="position:absolute;left:0pt;margin-left:-45pt;margin-top:660pt;height:12pt;width:116pt;rotation:-2621440f;z-index:251697152;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229" o:spid="_x0000_s2229" o:spt="136" type="#_x0000_t136" style="position:absolute;left:0pt;margin-left:152pt;margin-top:69pt;height:12pt;width:116pt;rotation:-2621440f;z-index:251698176;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230" o:spid="_x0000_s2230" o:spt="136" type="#_x0000_t136" style="position:absolute;left:0pt;margin-left:152pt;margin-top:269pt;height:12pt;width:116pt;rotation:-2621440f;z-index:251699200;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231" o:spid="_x0000_s2231" o:spt="136" type="#_x0000_t136" style="position:absolute;left:0pt;margin-left:152pt;margin-top:466pt;height:12pt;width:116pt;rotation:-2621440f;z-index:251700224;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232" o:spid="_x0000_s2232" o:spt="136" type="#_x0000_t136" style="position:absolute;left:0pt;margin-left:152pt;margin-top:663pt;height:12pt;width:116pt;rotation:-2621440f;z-index:251701248;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233" o:spid="_x0000_s2233" o:spt="136" type="#_x0000_t136" style="position:absolute;left:0pt;margin-left:351pt;margin-top:57pt;height:12pt;width:116pt;rotation:-2621440f;z-index:251702272;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234" o:spid="_x0000_s2234" o:spt="136" type="#_x0000_t136" style="position:absolute;left:0pt;margin-left:351pt;margin-top:256pt;height:12pt;width:116pt;rotation:-2621440f;z-index:251703296;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235" o:spid="_x0000_s2235" o:spt="136" type="#_x0000_t136" style="position:absolute;left:0pt;margin-left:351pt;margin-top:462pt;height:12pt;width:116pt;rotation:-2621440f;z-index:251704320;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236" o:spid="_x0000_s2236" o:spt="136" type="#_x0000_t136" style="position:absolute;left:0pt;margin-left:351pt;margin-top:660pt;height:12pt;width:116pt;rotation:-2621440f;z-index:251705344;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237" o:spid="_x0000_s2237" o:spt="136" type="#_x0000_t136" style="position:absolute;left:0pt;margin-left:543pt;margin-top:56pt;height:12pt;width:116pt;rotation:-2621440f;z-index:251706368;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238" o:spid="_x0000_s2238" o:spt="136" type="#_x0000_t136" style="position:absolute;left:0pt;margin-left:543pt;margin-top:263pt;height:12pt;width:116pt;rotation:-2621440f;z-index:251707392;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239" o:spid="_x0000_s2239" o:spt="136" type="#_x0000_t136" style="position:absolute;left:0pt;margin-left:543pt;margin-top:466pt;height:12pt;width:116pt;rotation:-2621440f;z-index:251708416;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240" o:spid="_x0000_s2240" o:spt="136" type="#_x0000_t136" style="position:absolute;left:0pt;margin-left:543pt;margin-top:670pt;height:12pt;width:116pt;rotation:-2621440f;z-index:251709440;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DCC01">
    <w:r>
      <w:pict>
        <v:shape id="_x0000_s2241" o:spid="_x0000_s2241" o:spt="136" type="#_x0000_t136" style="position:absolute;left:0pt;margin-left:-59pt;margin-top:67pt;height:12pt;width:116pt;z-index:251743232;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46" o:spid="_x0000_s2146" o:spt="136" type="#_x0000_t136" style="position:absolute;left:0pt;margin-left:-59pt;margin-top:260pt;height:12pt;width:116pt;z-index:251744256;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47" o:spid="_x0000_s2147" o:spt="136" type="#_x0000_t136" style="position:absolute;left:0pt;margin-left:-59pt;margin-top:467pt;height:12pt;width:116pt;z-index:251745280;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48" o:spid="_x0000_s2148" o:spt="136" type="#_x0000_t136" style="position:absolute;left:0pt;margin-left:-59pt;margin-top:670pt;height:12pt;width:116pt;z-index:251746304;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49" o:spid="_x0000_s2149" o:spt="136" type="#_x0000_t136" style="position:absolute;left:0pt;margin-left:149pt;margin-top:64pt;height:12pt;width:116pt;z-index:251747328;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50" o:spid="_x0000_s2150" o:spt="136" type="#_x0000_t136" style="position:absolute;left:0pt;margin-left:149pt;margin-top:269pt;height:12pt;width:116pt;z-index:251748352;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51" o:spid="_x0000_s2151" o:spt="136" type="#_x0000_t136" style="position:absolute;left:0pt;margin-left:149pt;margin-top:462pt;height:12pt;width:116pt;z-index:251749376;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52" o:spid="_x0000_s2152" o:spt="136" type="#_x0000_t136" style="position:absolute;left:0pt;margin-left:149pt;margin-top:665pt;height:12pt;width:116pt;z-index:251750400;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53" o:spid="_x0000_s2153" o:spt="136" type="#_x0000_t136" style="position:absolute;left:0pt;margin-left:345pt;margin-top:60pt;height:12pt;width:116pt;z-index:251751424;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54" o:spid="_x0000_s2154" o:spt="136" type="#_x0000_t136" style="position:absolute;left:0pt;margin-left:345pt;margin-top:261pt;height:12pt;width:116pt;z-index:251752448;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55" o:spid="_x0000_s2155" o:spt="136" type="#_x0000_t136" style="position:absolute;left:0pt;margin-left:345pt;margin-top:458pt;height:12pt;width:116pt;z-index:251753472;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56" o:spid="_x0000_s2156" o:spt="136" type="#_x0000_t136" style="position:absolute;left:0pt;margin-left:345pt;margin-top:661pt;height:12pt;width:116pt;z-index:251754496;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57" o:spid="_x0000_s2157" o:spt="136" type="#_x0000_t136" style="position:absolute;left:0pt;margin-left:541pt;margin-top:63pt;height:12pt;width:116pt;z-index:251755520;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58" o:spid="_x0000_s2158" o:spt="136" type="#_x0000_t136" style="position:absolute;left:0pt;margin-left:541pt;margin-top:258pt;height:12pt;width:116pt;z-index:251756544;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59" o:spid="_x0000_s2159" o:spt="136" type="#_x0000_t136" style="position:absolute;left:0pt;margin-left:541pt;margin-top:468pt;height:12pt;width:116pt;z-index:251757568;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60" o:spid="_x0000_s2160" o:spt="136" type="#_x0000_t136" style="position:absolute;left:0pt;margin-left:541pt;margin-top:662pt;height:12pt;width:116pt;z-index:251758592;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p>
  <w:p w14:paraId="7B90AC6F">
    <w:r>
      <w:pict>
        <v:shape id="_x0000_s2161" o:spid="_x0000_s2161" o:spt="136" type="#_x0000_t136" style="position:absolute;left:0pt;margin-left:-45pt;margin-top:57pt;height:12pt;width:116pt;rotation:-2621440f;z-index:251677696;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62" o:spid="_x0000_s2162" o:spt="136" type="#_x0000_t136" style="position:absolute;left:0pt;margin-left:-45pt;margin-top:270pt;height:12pt;width:116pt;rotation:-2621440f;z-index:251678720;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63" o:spid="_x0000_s2163" o:spt="136" type="#_x0000_t136" style="position:absolute;left:0pt;margin-left:-45pt;margin-top:467pt;height:12pt;width:116pt;rotation:-2621440f;z-index:251679744;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64" o:spid="_x0000_s2164" o:spt="136" type="#_x0000_t136" style="position:absolute;left:0pt;margin-left:-45pt;margin-top:660pt;height:12pt;width:116pt;rotation:-2621440f;z-index:251680768;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65" o:spid="_x0000_s2165" o:spt="136" type="#_x0000_t136" style="position:absolute;left:0pt;margin-left:152pt;margin-top:69pt;height:12pt;width:116pt;rotation:-2621440f;z-index:251681792;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66" o:spid="_x0000_s2166" o:spt="136" type="#_x0000_t136" style="position:absolute;left:0pt;margin-left:152pt;margin-top:269pt;height:12pt;width:116pt;rotation:-2621440f;z-index:251682816;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67" o:spid="_x0000_s2167" o:spt="136" type="#_x0000_t136" style="position:absolute;left:0pt;margin-left:152pt;margin-top:466pt;height:12pt;width:116pt;rotation:-2621440f;z-index:251683840;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68" o:spid="_x0000_s2168" o:spt="136" type="#_x0000_t136" style="position:absolute;left:0pt;margin-left:152pt;margin-top:663pt;height:12pt;width:116pt;rotation:-2621440f;z-index:251684864;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69" o:spid="_x0000_s2169" o:spt="136" type="#_x0000_t136" style="position:absolute;left:0pt;margin-left:351pt;margin-top:57pt;height:12pt;width:116pt;rotation:-2621440f;z-index:251685888;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70" o:spid="_x0000_s2170" o:spt="136" type="#_x0000_t136" style="position:absolute;left:0pt;margin-left:351pt;margin-top:256pt;height:12pt;width:116pt;rotation:-2621440f;z-index:251686912;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71" o:spid="_x0000_s2171" o:spt="136" type="#_x0000_t136" style="position:absolute;left:0pt;margin-left:351pt;margin-top:462pt;height:12pt;width:116pt;rotation:-2621440f;z-index:251687936;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72" o:spid="_x0000_s2172" o:spt="136" type="#_x0000_t136" style="position:absolute;left:0pt;margin-left:351pt;margin-top:660pt;height:12pt;width:116pt;rotation:-2621440f;z-index:251688960;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73" o:spid="_x0000_s2173" o:spt="136" type="#_x0000_t136" style="position:absolute;left:0pt;margin-left:543pt;margin-top:56pt;height:12pt;width:116pt;rotation:-2621440f;z-index:251689984;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74" o:spid="_x0000_s2174" o:spt="136" type="#_x0000_t136" style="position:absolute;left:0pt;margin-left:543pt;margin-top:263pt;height:12pt;width:116pt;rotation:-2621440f;z-index:251691008;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75" o:spid="_x0000_s2175" o:spt="136" type="#_x0000_t136" style="position:absolute;left:0pt;margin-left:543pt;margin-top:466pt;height:12pt;width:116pt;rotation:-2621440f;z-index:251692032;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76" o:spid="_x0000_s2176" o:spt="136" type="#_x0000_t136" style="position:absolute;left:0pt;margin-left:543pt;margin-top:670pt;height:12pt;width:116pt;rotation:-2621440f;z-index:251693056;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ECC5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2D845">
    <w:r>
      <w:pict>
        <v:shape id="_x0000_s2307" o:spid="_x0000_s2307" o:spt="136" type="#_x0000_t136" style="position:absolute;left:0pt;margin-left:-59pt;margin-top:67pt;height:12pt;width:116pt;z-index:251776000;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308" o:spid="_x0000_s2308" o:spt="136" type="#_x0000_t136" style="position:absolute;left:0pt;margin-left:-59pt;margin-top:260pt;height:12pt;width:116pt;z-index:251777024;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309" o:spid="_x0000_s2309" o:spt="136" type="#_x0000_t136" style="position:absolute;left:0pt;margin-left:-59pt;margin-top:467pt;height:12pt;width:116pt;z-index:251778048;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310" o:spid="_x0000_s2310" o:spt="136" type="#_x0000_t136" style="position:absolute;left:0pt;margin-left:-59pt;margin-top:670pt;height:12pt;width:116pt;z-index:251779072;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311" o:spid="_x0000_s2311" o:spt="136" type="#_x0000_t136" style="position:absolute;left:0pt;margin-left:149pt;margin-top:64pt;height:12pt;width:116pt;z-index:251780096;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312" o:spid="_x0000_s2312" o:spt="136" type="#_x0000_t136" style="position:absolute;left:0pt;margin-left:149pt;margin-top:269pt;height:12pt;width:116pt;z-index:251781120;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313" o:spid="_x0000_s2313" o:spt="136" type="#_x0000_t136" style="position:absolute;left:0pt;margin-left:149pt;margin-top:462pt;height:12pt;width:116pt;z-index:251782144;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314" o:spid="_x0000_s2314" o:spt="136" type="#_x0000_t136" style="position:absolute;left:0pt;margin-left:149pt;margin-top:665pt;height:12pt;width:116pt;z-index:251783168;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315" o:spid="_x0000_s2315" o:spt="136" type="#_x0000_t136" style="position:absolute;left:0pt;margin-left:345pt;margin-top:60pt;height:12pt;width:116pt;z-index:251784192;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316" o:spid="_x0000_s2316" o:spt="136" type="#_x0000_t136" style="position:absolute;left:0pt;margin-left:345pt;margin-top:261pt;height:12pt;width:116pt;z-index:251785216;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317" o:spid="_x0000_s2317" o:spt="136" type="#_x0000_t136" style="position:absolute;left:0pt;margin-left:345pt;margin-top:458pt;height:12pt;width:116pt;z-index:251786240;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318" o:spid="_x0000_s2318" o:spt="136" type="#_x0000_t136" style="position:absolute;left:0pt;margin-left:345pt;margin-top:661pt;height:12pt;width:116pt;z-index:251787264;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319" o:spid="_x0000_s2319" o:spt="136" type="#_x0000_t136" style="position:absolute;left:0pt;margin-left:541pt;margin-top:63pt;height:12pt;width:116pt;z-index:251788288;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320" o:spid="_x0000_s2320" o:spt="136" type="#_x0000_t136" style="position:absolute;left:0pt;margin-left:541pt;margin-top:258pt;height:12pt;width:116pt;z-index:251789312;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321" o:spid="_x0000_s2321" o:spt="136" type="#_x0000_t136" style="position:absolute;left:0pt;margin-left:541pt;margin-top:468pt;height:12pt;width:116pt;z-index:251790336;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322" o:spid="_x0000_s2322" o:spt="136" type="#_x0000_t136" style="position:absolute;left:0pt;margin-left:541pt;margin-top:662pt;height:12pt;width:116pt;z-index:251791360;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p>
  <w:p w14:paraId="363ED913">
    <w:r>
      <w:pict>
        <v:shape id="_x0000_s2323" o:spid="_x0000_s2323" o:spt="136" type="#_x0000_t136" style="position:absolute;left:0pt;margin-left:-45pt;margin-top:57pt;height:12pt;width:116pt;rotation:-2621440f;z-index:251710464;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324" o:spid="_x0000_s2324" o:spt="136" type="#_x0000_t136" style="position:absolute;left:0pt;margin-left:-45pt;margin-top:270pt;height:12pt;width:116pt;rotation:-2621440f;z-index:251711488;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325" o:spid="_x0000_s2325" o:spt="136" type="#_x0000_t136" style="position:absolute;left:0pt;margin-left:-45pt;margin-top:467pt;height:12pt;width:116pt;rotation:-2621440f;z-index:251712512;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326" o:spid="_x0000_s2326" o:spt="136" type="#_x0000_t136" style="position:absolute;left:0pt;margin-left:-45pt;margin-top:660pt;height:12pt;width:116pt;rotation:-2621440f;z-index:251713536;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327" o:spid="_x0000_s2327" o:spt="136" type="#_x0000_t136" style="position:absolute;left:0pt;margin-left:152pt;margin-top:69pt;height:12pt;width:116pt;rotation:-2621440f;z-index:251714560;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328" o:spid="_x0000_s2328" o:spt="136" type="#_x0000_t136" style="position:absolute;left:0pt;margin-left:152pt;margin-top:269pt;height:12pt;width:116pt;rotation:-2621440f;z-index:251715584;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329" o:spid="_x0000_s2329" o:spt="136" type="#_x0000_t136" style="position:absolute;left:0pt;margin-left:152pt;margin-top:466pt;height:12pt;width:116pt;rotation:-2621440f;z-index:251716608;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330" o:spid="_x0000_s2330" o:spt="136" type="#_x0000_t136" style="position:absolute;left:0pt;margin-left:152pt;margin-top:663pt;height:12pt;width:116pt;rotation:-2621440f;z-index:251717632;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331" o:spid="_x0000_s2331" o:spt="136" type="#_x0000_t136" style="position:absolute;left:0pt;margin-left:351pt;margin-top:57pt;height:12pt;width:116pt;rotation:-2621440f;z-index:251718656;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332" o:spid="_x0000_s2332" o:spt="136" type="#_x0000_t136" style="position:absolute;left:0pt;margin-left:351pt;margin-top:256pt;height:12pt;width:116pt;rotation:-2621440f;z-index:251719680;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333" o:spid="_x0000_s2333" o:spt="136" type="#_x0000_t136" style="position:absolute;left:0pt;margin-left:351pt;margin-top:462pt;height:12pt;width:116pt;rotation:-2621440f;z-index:251720704;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334" o:spid="_x0000_s2334" o:spt="136" type="#_x0000_t136" style="position:absolute;left:0pt;margin-left:351pt;margin-top:660pt;height:12pt;width:116pt;rotation:-2621440f;z-index:251721728;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335" o:spid="_x0000_s2335" o:spt="136" type="#_x0000_t136" style="position:absolute;left:0pt;margin-left:543pt;margin-top:56pt;height:12pt;width:116pt;rotation:-2621440f;z-index:251722752;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336" o:spid="_x0000_s2336" o:spt="136" type="#_x0000_t136" style="position:absolute;left:0pt;margin-left:543pt;margin-top:263pt;height:12pt;width:116pt;rotation:-2621440f;z-index:251723776;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337" o:spid="_x0000_s2337" o:spt="136" type="#_x0000_t136" style="position:absolute;left:0pt;margin-left:543pt;margin-top:466pt;height:12pt;width:116pt;rotation:-2621440f;z-index:251724800;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338" o:spid="_x0000_s2338" o:spt="136" type="#_x0000_t136" style="position:absolute;left:0pt;margin-left:543pt;margin-top:670pt;height:12pt;width:116pt;rotation:-2621440f;z-index:251725824;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807E5">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49FCA"/>
    <w:multiLevelType w:val="singleLevel"/>
    <w:tmpl w:val="E6449FCA"/>
    <w:lvl w:ilvl="0" w:tentative="0">
      <w:start w:val="6"/>
      <w:numFmt w:val="chineseCounting"/>
      <w:suff w:val="space"/>
      <w:lvlText w:val="第%1章"/>
      <w:lvlJc w:val="left"/>
      <w:rPr>
        <w:rFonts w:hint="eastAsia"/>
      </w:rPr>
    </w:lvl>
  </w:abstractNum>
  <w:abstractNum w:abstractNumId="1">
    <w:nsid w:val="00000002"/>
    <w:multiLevelType w:val="multilevel"/>
    <w:tmpl w:val="00000002"/>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jODU1MjBkNWM1ZmVhYzE4MTdhODUyYmY0Mzk5YmYifQ=="/>
  </w:docVars>
  <w:rsids>
    <w:rsidRoot w:val="00172A27"/>
    <w:rsid w:val="00000550"/>
    <w:rsid w:val="00000672"/>
    <w:rsid w:val="00001799"/>
    <w:rsid w:val="00002D29"/>
    <w:rsid w:val="000040C5"/>
    <w:rsid w:val="00005E55"/>
    <w:rsid w:val="00005FDF"/>
    <w:rsid w:val="00006586"/>
    <w:rsid w:val="000108DA"/>
    <w:rsid w:val="00010D39"/>
    <w:rsid w:val="000112BB"/>
    <w:rsid w:val="0001149B"/>
    <w:rsid w:val="0001172C"/>
    <w:rsid w:val="00012854"/>
    <w:rsid w:val="00012EA6"/>
    <w:rsid w:val="000139DC"/>
    <w:rsid w:val="00013D8C"/>
    <w:rsid w:val="00013DFE"/>
    <w:rsid w:val="000141EA"/>
    <w:rsid w:val="00016960"/>
    <w:rsid w:val="00017396"/>
    <w:rsid w:val="000177DB"/>
    <w:rsid w:val="00020227"/>
    <w:rsid w:val="000203E4"/>
    <w:rsid w:val="00020455"/>
    <w:rsid w:val="00021DDB"/>
    <w:rsid w:val="00022731"/>
    <w:rsid w:val="00022792"/>
    <w:rsid w:val="00025382"/>
    <w:rsid w:val="00025636"/>
    <w:rsid w:val="00025E36"/>
    <w:rsid w:val="00026627"/>
    <w:rsid w:val="00026886"/>
    <w:rsid w:val="00030496"/>
    <w:rsid w:val="000329E0"/>
    <w:rsid w:val="000333A0"/>
    <w:rsid w:val="000352E9"/>
    <w:rsid w:val="00036A07"/>
    <w:rsid w:val="00040571"/>
    <w:rsid w:val="0004156E"/>
    <w:rsid w:val="00041597"/>
    <w:rsid w:val="0004440C"/>
    <w:rsid w:val="00045880"/>
    <w:rsid w:val="00046B5E"/>
    <w:rsid w:val="000509D9"/>
    <w:rsid w:val="000552A6"/>
    <w:rsid w:val="00055D41"/>
    <w:rsid w:val="00057CEC"/>
    <w:rsid w:val="00060DCE"/>
    <w:rsid w:val="000623B4"/>
    <w:rsid w:val="000634A7"/>
    <w:rsid w:val="00063E85"/>
    <w:rsid w:val="00063F81"/>
    <w:rsid w:val="00064847"/>
    <w:rsid w:val="0006484B"/>
    <w:rsid w:val="000673E2"/>
    <w:rsid w:val="000711E4"/>
    <w:rsid w:val="00072AED"/>
    <w:rsid w:val="00073F47"/>
    <w:rsid w:val="00075B7E"/>
    <w:rsid w:val="00077C70"/>
    <w:rsid w:val="00080B57"/>
    <w:rsid w:val="00081BA3"/>
    <w:rsid w:val="00081D2E"/>
    <w:rsid w:val="00082D02"/>
    <w:rsid w:val="00083B91"/>
    <w:rsid w:val="0008520B"/>
    <w:rsid w:val="000871B8"/>
    <w:rsid w:val="00087DB6"/>
    <w:rsid w:val="000913BE"/>
    <w:rsid w:val="00092442"/>
    <w:rsid w:val="00094FB8"/>
    <w:rsid w:val="0009588E"/>
    <w:rsid w:val="000959EE"/>
    <w:rsid w:val="00095B51"/>
    <w:rsid w:val="00097DA0"/>
    <w:rsid w:val="000A0D6B"/>
    <w:rsid w:val="000A166E"/>
    <w:rsid w:val="000A2B0E"/>
    <w:rsid w:val="000A398F"/>
    <w:rsid w:val="000A509C"/>
    <w:rsid w:val="000A6007"/>
    <w:rsid w:val="000A65A6"/>
    <w:rsid w:val="000A7275"/>
    <w:rsid w:val="000A7A12"/>
    <w:rsid w:val="000B039A"/>
    <w:rsid w:val="000B1801"/>
    <w:rsid w:val="000B1D0C"/>
    <w:rsid w:val="000B2D03"/>
    <w:rsid w:val="000B3815"/>
    <w:rsid w:val="000B3C7B"/>
    <w:rsid w:val="000B6C95"/>
    <w:rsid w:val="000C1679"/>
    <w:rsid w:val="000C2F89"/>
    <w:rsid w:val="000C4635"/>
    <w:rsid w:val="000C548E"/>
    <w:rsid w:val="000C6DE4"/>
    <w:rsid w:val="000D056E"/>
    <w:rsid w:val="000D0A89"/>
    <w:rsid w:val="000D1389"/>
    <w:rsid w:val="000D1798"/>
    <w:rsid w:val="000D1A2A"/>
    <w:rsid w:val="000D2626"/>
    <w:rsid w:val="000D4A06"/>
    <w:rsid w:val="000D73DD"/>
    <w:rsid w:val="000D7D9B"/>
    <w:rsid w:val="000E28AB"/>
    <w:rsid w:val="000E2E3E"/>
    <w:rsid w:val="000E3583"/>
    <w:rsid w:val="000E3AF0"/>
    <w:rsid w:val="000E3D53"/>
    <w:rsid w:val="000E4E04"/>
    <w:rsid w:val="000E6EC9"/>
    <w:rsid w:val="000E70B4"/>
    <w:rsid w:val="000F3281"/>
    <w:rsid w:val="000F3733"/>
    <w:rsid w:val="000F4D88"/>
    <w:rsid w:val="000F64AA"/>
    <w:rsid w:val="000F7AF4"/>
    <w:rsid w:val="000F7C33"/>
    <w:rsid w:val="000F7F0C"/>
    <w:rsid w:val="00100246"/>
    <w:rsid w:val="001004D6"/>
    <w:rsid w:val="00100D90"/>
    <w:rsid w:val="00101B12"/>
    <w:rsid w:val="00103918"/>
    <w:rsid w:val="00104897"/>
    <w:rsid w:val="00104EDE"/>
    <w:rsid w:val="00106BEE"/>
    <w:rsid w:val="00113134"/>
    <w:rsid w:val="00113AC0"/>
    <w:rsid w:val="00114851"/>
    <w:rsid w:val="00115E11"/>
    <w:rsid w:val="00115F56"/>
    <w:rsid w:val="00117CBD"/>
    <w:rsid w:val="0012006A"/>
    <w:rsid w:val="00120990"/>
    <w:rsid w:val="00121979"/>
    <w:rsid w:val="00122064"/>
    <w:rsid w:val="001263B8"/>
    <w:rsid w:val="00130217"/>
    <w:rsid w:val="00130783"/>
    <w:rsid w:val="001312CB"/>
    <w:rsid w:val="00132B47"/>
    <w:rsid w:val="00132E64"/>
    <w:rsid w:val="001351CB"/>
    <w:rsid w:val="001359A2"/>
    <w:rsid w:val="00135E37"/>
    <w:rsid w:val="00136020"/>
    <w:rsid w:val="00136445"/>
    <w:rsid w:val="00140132"/>
    <w:rsid w:val="00141C9C"/>
    <w:rsid w:val="001434BE"/>
    <w:rsid w:val="0014479F"/>
    <w:rsid w:val="001452B4"/>
    <w:rsid w:val="00146EC6"/>
    <w:rsid w:val="001478D2"/>
    <w:rsid w:val="00152A87"/>
    <w:rsid w:val="00156D0E"/>
    <w:rsid w:val="0016086E"/>
    <w:rsid w:val="00160D0C"/>
    <w:rsid w:val="00161172"/>
    <w:rsid w:val="0016139E"/>
    <w:rsid w:val="00161E65"/>
    <w:rsid w:val="00162597"/>
    <w:rsid w:val="001629AF"/>
    <w:rsid w:val="0016428A"/>
    <w:rsid w:val="001647C9"/>
    <w:rsid w:val="001661A3"/>
    <w:rsid w:val="0016782B"/>
    <w:rsid w:val="00172A27"/>
    <w:rsid w:val="00173256"/>
    <w:rsid w:val="001733E1"/>
    <w:rsid w:val="00173F74"/>
    <w:rsid w:val="00175BA6"/>
    <w:rsid w:val="00176CA7"/>
    <w:rsid w:val="001778C5"/>
    <w:rsid w:val="00177E56"/>
    <w:rsid w:val="00177F0A"/>
    <w:rsid w:val="00185617"/>
    <w:rsid w:val="0019171E"/>
    <w:rsid w:val="0019220F"/>
    <w:rsid w:val="001928B1"/>
    <w:rsid w:val="00194ED5"/>
    <w:rsid w:val="00195424"/>
    <w:rsid w:val="001955FF"/>
    <w:rsid w:val="00197EDD"/>
    <w:rsid w:val="001A02B3"/>
    <w:rsid w:val="001A04BB"/>
    <w:rsid w:val="001A08D0"/>
    <w:rsid w:val="001A14B1"/>
    <w:rsid w:val="001A1B39"/>
    <w:rsid w:val="001A2E69"/>
    <w:rsid w:val="001A3C34"/>
    <w:rsid w:val="001A3EDE"/>
    <w:rsid w:val="001A4222"/>
    <w:rsid w:val="001A50EA"/>
    <w:rsid w:val="001A5E24"/>
    <w:rsid w:val="001A6D8B"/>
    <w:rsid w:val="001B079E"/>
    <w:rsid w:val="001B0CDA"/>
    <w:rsid w:val="001B0E26"/>
    <w:rsid w:val="001B125A"/>
    <w:rsid w:val="001B1EBA"/>
    <w:rsid w:val="001B2142"/>
    <w:rsid w:val="001B26CF"/>
    <w:rsid w:val="001B2F2B"/>
    <w:rsid w:val="001B327A"/>
    <w:rsid w:val="001B35DE"/>
    <w:rsid w:val="001B3A13"/>
    <w:rsid w:val="001B59FF"/>
    <w:rsid w:val="001B65D7"/>
    <w:rsid w:val="001B6752"/>
    <w:rsid w:val="001B6768"/>
    <w:rsid w:val="001B6F1F"/>
    <w:rsid w:val="001B7ECC"/>
    <w:rsid w:val="001C25A7"/>
    <w:rsid w:val="001C318C"/>
    <w:rsid w:val="001C4287"/>
    <w:rsid w:val="001C4479"/>
    <w:rsid w:val="001C76FB"/>
    <w:rsid w:val="001D2764"/>
    <w:rsid w:val="001D3697"/>
    <w:rsid w:val="001D395B"/>
    <w:rsid w:val="001D540E"/>
    <w:rsid w:val="001D58A1"/>
    <w:rsid w:val="001D5A8A"/>
    <w:rsid w:val="001D735E"/>
    <w:rsid w:val="001D73C8"/>
    <w:rsid w:val="001D776D"/>
    <w:rsid w:val="001E0756"/>
    <w:rsid w:val="001E0A8D"/>
    <w:rsid w:val="001E129E"/>
    <w:rsid w:val="001E5A94"/>
    <w:rsid w:val="001F127B"/>
    <w:rsid w:val="001F2A2E"/>
    <w:rsid w:val="001F3B72"/>
    <w:rsid w:val="001F3C63"/>
    <w:rsid w:val="001F4460"/>
    <w:rsid w:val="001F5DAF"/>
    <w:rsid w:val="001F6B6C"/>
    <w:rsid w:val="001F711A"/>
    <w:rsid w:val="001F75B0"/>
    <w:rsid w:val="001F7686"/>
    <w:rsid w:val="00200CE5"/>
    <w:rsid w:val="002014DB"/>
    <w:rsid w:val="00201E12"/>
    <w:rsid w:val="002031E2"/>
    <w:rsid w:val="002033B5"/>
    <w:rsid w:val="0020382C"/>
    <w:rsid w:val="0020437A"/>
    <w:rsid w:val="0020532C"/>
    <w:rsid w:val="0021064F"/>
    <w:rsid w:val="002114C7"/>
    <w:rsid w:val="00211903"/>
    <w:rsid w:val="00212756"/>
    <w:rsid w:val="0021302C"/>
    <w:rsid w:val="00213B1C"/>
    <w:rsid w:val="00214202"/>
    <w:rsid w:val="002146F3"/>
    <w:rsid w:val="002148E3"/>
    <w:rsid w:val="0021552D"/>
    <w:rsid w:val="002156AE"/>
    <w:rsid w:val="00217861"/>
    <w:rsid w:val="0022054D"/>
    <w:rsid w:val="00224DE1"/>
    <w:rsid w:val="00225664"/>
    <w:rsid w:val="002269DC"/>
    <w:rsid w:val="00227F2D"/>
    <w:rsid w:val="00231851"/>
    <w:rsid w:val="002319FB"/>
    <w:rsid w:val="00231B89"/>
    <w:rsid w:val="002355BE"/>
    <w:rsid w:val="00236DE9"/>
    <w:rsid w:val="00237D5A"/>
    <w:rsid w:val="00241300"/>
    <w:rsid w:val="00241D3C"/>
    <w:rsid w:val="002439AB"/>
    <w:rsid w:val="002450D5"/>
    <w:rsid w:val="00245587"/>
    <w:rsid w:val="00245F2B"/>
    <w:rsid w:val="00246F95"/>
    <w:rsid w:val="00247F3A"/>
    <w:rsid w:val="00250122"/>
    <w:rsid w:val="00250755"/>
    <w:rsid w:val="00251C4A"/>
    <w:rsid w:val="0025271C"/>
    <w:rsid w:val="002533CD"/>
    <w:rsid w:val="00254EAB"/>
    <w:rsid w:val="002557AF"/>
    <w:rsid w:val="002566B1"/>
    <w:rsid w:val="002575E3"/>
    <w:rsid w:val="002603C1"/>
    <w:rsid w:val="002609A1"/>
    <w:rsid w:val="002612B1"/>
    <w:rsid w:val="00266165"/>
    <w:rsid w:val="0027125E"/>
    <w:rsid w:val="00271767"/>
    <w:rsid w:val="00272293"/>
    <w:rsid w:val="002723C8"/>
    <w:rsid w:val="00273CBE"/>
    <w:rsid w:val="0028232C"/>
    <w:rsid w:val="00282EC3"/>
    <w:rsid w:val="002835B0"/>
    <w:rsid w:val="00283B9D"/>
    <w:rsid w:val="0028407E"/>
    <w:rsid w:val="0028410F"/>
    <w:rsid w:val="00286603"/>
    <w:rsid w:val="00286FB5"/>
    <w:rsid w:val="00287763"/>
    <w:rsid w:val="00290606"/>
    <w:rsid w:val="00290F9D"/>
    <w:rsid w:val="002918A7"/>
    <w:rsid w:val="00291D6D"/>
    <w:rsid w:val="00291FF1"/>
    <w:rsid w:val="002923F6"/>
    <w:rsid w:val="00293361"/>
    <w:rsid w:val="00295287"/>
    <w:rsid w:val="002952B1"/>
    <w:rsid w:val="00295D11"/>
    <w:rsid w:val="00297A7A"/>
    <w:rsid w:val="002A0C3A"/>
    <w:rsid w:val="002A1130"/>
    <w:rsid w:val="002A14D3"/>
    <w:rsid w:val="002A1880"/>
    <w:rsid w:val="002A1D47"/>
    <w:rsid w:val="002A23B7"/>
    <w:rsid w:val="002A3A57"/>
    <w:rsid w:val="002A5DA6"/>
    <w:rsid w:val="002A6DEF"/>
    <w:rsid w:val="002A7411"/>
    <w:rsid w:val="002A7C24"/>
    <w:rsid w:val="002B013E"/>
    <w:rsid w:val="002B058D"/>
    <w:rsid w:val="002B0C16"/>
    <w:rsid w:val="002B169E"/>
    <w:rsid w:val="002B2621"/>
    <w:rsid w:val="002B2AC5"/>
    <w:rsid w:val="002B3528"/>
    <w:rsid w:val="002B3539"/>
    <w:rsid w:val="002B3DCB"/>
    <w:rsid w:val="002C0C1C"/>
    <w:rsid w:val="002C184E"/>
    <w:rsid w:val="002C5239"/>
    <w:rsid w:val="002C54C2"/>
    <w:rsid w:val="002C5D34"/>
    <w:rsid w:val="002C661A"/>
    <w:rsid w:val="002D2231"/>
    <w:rsid w:val="002D25FC"/>
    <w:rsid w:val="002D3380"/>
    <w:rsid w:val="002D4AC6"/>
    <w:rsid w:val="002D5C7B"/>
    <w:rsid w:val="002D7648"/>
    <w:rsid w:val="002D7909"/>
    <w:rsid w:val="002E109C"/>
    <w:rsid w:val="002E115E"/>
    <w:rsid w:val="002E193E"/>
    <w:rsid w:val="002E1D76"/>
    <w:rsid w:val="002E243C"/>
    <w:rsid w:val="002E26C4"/>
    <w:rsid w:val="002E4B37"/>
    <w:rsid w:val="002E4BF9"/>
    <w:rsid w:val="002E6F5B"/>
    <w:rsid w:val="002F16DD"/>
    <w:rsid w:val="002F199D"/>
    <w:rsid w:val="002F23B2"/>
    <w:rsid w:val="002F4084"/>
    <w:rsid w:val="002F4A08"/>
    <w:rsid w:val="002F4ADB"/>
    <w:rsid w:val="002F531E"/>
    <w:rsid w:val="002F5ACC"/>
    <w:rsid w:val="002F704B"/>
    <w:rsid w:val="002F72C3"/>
    <w:rsid w:val="002F768C"/>
    <w:rsid w:val="002F7D1E"/>
    <w:rsid w:val="00302F0F"/>
    <w:rsid w:val="00303243"/>
    <w:rsid w:val="00303BCC"/>
    <w:rsid w:val="00303F2B"/>
    <w:rsid w:val="00303F8D"/>
    <w:rsid w:val="00304580"/>
    <w:rsid w:val="0030586A"/>
    <w:rsid w:val="003074C5"/>
    <w:rsid w:val="00307A3C"/>
    <w:rsid w:val="00307FA4"/>
    <w:rsid w:val="00310CC1"/>
    <w:rsid w:val="00313026"/>
    <w:rsid w:val="0031421F"/>
    <w:rsid w:val="00314B31"/>
    <w:rsid w:val="00314B36"/>
    <w:rsid w:val="00315158"/>
    <w:rsid w:val="00315346"/>
    <w:rsid w:val="00315A65"/>
    <w:rsid w:val="00317BA7"/>
    <w:rsid w:val="00320BE2"/>
    <w:rsid w:val="00321886"/>
    <w:rsid w:val="00323694"/>
    <w:rsid w:val="00324D63"/>
    <w:rsid w:val="003255AF"/>
    <w:rsid w:val="003256EB"/>
    <w:rsid w:val="003259DB"/>
    <w:rsid w:val="0032620C"/>
    <w:rsid w:val="00331A48"/>
    <w:rsid w:val="003330C9"/>
    <w:rsid w:val="0033364C"/>
    <w:rsid w:val="00334415"/>
    <w:rsid w:val="0033691E"/>
    <w:rsid w:val="00336CCB"/>
    <w:rsid w:val="00337F44"/>
    <w:rsid w:val="003411D1"/>
    <w:rsid w:val="003416BA"/>
    <w:rsid w:val="00342A8A"/>
    <w:rsid w:val="00342F99"/>
    <w:rsid w:val="003454A4"/>
    <w:rsid w:val="00350E6C"/>
    <w:rsid w:val="003518A6"/>
    <w:rsid w:val="00351E7F"/>
    <w:rsid w:val="00352953"/>
    <w:rsid w:val="00354062"/>
    <w:rsid w:val="00355C0D"/>
    <w:rsid w:val="003566A9"/>
    <w:rsid w:val="00356988"/>
    <w:rsid w:val="00357128"/>
    <w:rsid w:val="0035755E"/>
    <w:rsid w:val="00357A80"/>
    <w:rsid w:val="00361B8B"/>
    <w:rsid w:val="00363F39"/>
    <w:rsid w:val="00364AB0"/>
    <w:rsid w:val="003667B0"/>
    <w:rsid w:val="003667DD"/>
    <w:rsid w:val="00366B48"/>
    <w:rsid w:val="00367764"/>
    <w:rsid w:val="00370316"/>
    <w:rsid w:val="00370DC7"/>
    <w:rsid w:val="0037156C"/>
    <w:rsid w:val="00371CBD"/>
    <w:rsid w:val="00373CBE"/>
    <w:rsid w:val="003740CC"/>
    <w:rsid w:val="00374E79"/>
    <w:rsid w:val="00375388"/>
    <w:rsid w:val="00375FB9"/>
    <w:rsid w:val="00376851"/>
    <w:rsid w:val="00376FA2"/>
    <w:rsid w:val="00377A3B"/>
    <w:rsid w:val="00377E3C"/>
    <w:rsid w:val="00380BBE"/>
    <w:rsid w:val="00381D70"/>
    <w:rsid w:val="00382128"/>
    <w:rsid w:val="0038235E"/>
    <w:rsid w:val="003829D0"/>
    <w:rsid w:val="0038444F"/>
    <w:rsid w:val="00384E83"/>
    <w:rsid w:val="00387051"/>
    <w:rsid w:val="00387ECF"/>
    <w:rsid w:val="0039021B"/>
    <w:rsid w:val="00390429"/>
    <w:rsid w:val="0039327C"/>
    <w:rsid w:val="003933A2"/>
    <w:rsid w:val="0039366C"/>
    <w:rsid w:val="00393EC8"/>
    <w:rsid w:val="00395E42"/>
    <w:rsid w:val="00396A2D"/>
    <w:rsid w:val="00396FC3"/>
    <w:rsid w:val="003A1A94"/>
    <w:rsid w:val="003A204E"/>
    <w:rsid w:val="003A2D25"/>
    <w:rsid w:val="003A353E"/>
    <w:rsid w:val="003A4DDB"/>
    <w:rsid w:val="003A60E7"/>
    <w:rsid w:val="003B0B6A"/>
    <w:rsid w:val="003B29CF"/>
    <w:rsid w:val="003B6659"/>
    <w:rsid w:val="003B7733"/>
    <w:rsid w:val="003C350C"/>
    <w:rsid w:val="003C3903"/>
    <w:rsid w:val="003C3BA0"/>
    <w:rsid w:val="003C4580"/>
    <w:rsid w:val="003C52D8"/>
    <w:rsid w:val="003C5C5E"/>
    <w:rsid w:val="003C6746"/>
    <w:rsid w:val="003C7133"/>
    <w:rsid w:val="003C7555"/>
    <w:rsid w:val="003C7898"/>
    <w:rsid w:val="003D0FF5"/>
    <w:rsid w:val="003D2D1B"/>
    <w:rsid w:val="003D30AB"/>
    <w:rsid w:val="003D48C7"/>
    <w:rsid w:val="003D4C08"/>
    <w:rsid w:val="003D7CE8"/>
    <w:rsid w:val="003E1032"/>
    <w:rsid w:val="003E1904"/>
    <w:rsid w:val="003E285E"/>
    <w:rsid w:val="003E3300"/>
    <w:rsid w:val="003E65AC"/>
    <w:rsid w:val="003E6E24"/>
    <w:rsid w:val="003E72B9"/>
    <w:rsid w:val="003E7ED4"/>
    <w:rsid w:val="003F0E52"/>
    <w:rsid w:val="003F0EF2"/>
    <w:rsid w:val="003F0F6B"/>
    <w:rsid w:val="003F1FE3"/>
    <w:rsid w:val="003F3865"/>
    <w:rsid w:val="003F4632"/>
    <w:rsid w:val="003F47BA"/>
    <w:rsid w:val="003F6617"/>
    <w:rsid w:val="0040023D"/>
    <w:rsid w:val="00402332"/>
    <w:rsid w:val="004025C2"/>
    <w:rsid w:val="00403E55"/>
    <w:rsid w:val="00404681"/>
    <w:rsid w:val="0040496D"/>
    <w:rsid w:val="00405010"/>
    <w:rsid w:val="0040595A"/>
    <w:rsid w:val="00406923"/>
    <w:rsid w:val="0040713A"/>
    <w:rsid w:val="0040763D"/>
    <w:rsid w:val="00407D1B"/>
    <w:rsid w:val="004105B0"/>
    <w:rsid w:val="0041338E"/>
    <w:rsid w:val="004133A8"/>
    <w:rsid w:val="00413821"/>
    <w:rsid w:val="00413D43"/>
    <w:rsid w:val="004141A3"/>
    <w:rsid w:val="00414909"/>
    <w:rsid w:val="00416112"/>
    <w:rsid w:val="00416B7C"/>
    <w:rsid w:val="00416DF0"/>
    <w:rsid w:val="00417AE0"/>
    <w:rsid w:val="00417BAA"/>
    <w:rsid w:val="00420D7A"/>
    <w:rsid w:val="004223DE"/>
    <w:rsid w:val="0042293E"/>
    <w:rsid w:val="00422A10"/>
    <w:rsid w:val="00424D17"/>
    <w:rsid w:val="00425DFD"/>
    <w:rsid w:val="004263A3"/>
    <w:rsid w:val="00427713"/>
    <w:rsid w:val="00427CCC"/>
    <w:rsid w:val="0043013A"/>
    <w:rsid w:val="00430421"/>
    <w:rsid w:val="00430B4F"/>
    <w:rsid w:val="004314B1"/>
    <w:rsid w:val="00431E65"/>
    <w:rsid w:val="00432589"/>
    <w:rsid w:val="00432A94"/>
    <w:rsid w:val="00433827"/>
    <w:rsid w:val="004360C8"/>
    <w:rsid w:val="0044006B"/>
    <w:rsid w:val="0044033F"/>
    <w:rsid w:val="00440630"/>
    <w:rsid w:val="00441123"/>
    <w:rsid w:val="00442095"/>
    <w:rsid w:val="00442965"/>
    <w:rsid w:val="00444157"/>
    <w:rsid w:val="0044417C"/>
    <w:rsid w:val="00444DB3"/>
    <w:rsid w:val="0044516D"/>
    <w:rsid w:val="004452B9"/>
    <w:rsid w:val="00445A2F"/>
    <w:rsid w:val="00446328"/>
    <w:rsid w:val="0044684E"/>
    <w:rsid w:val="004479CA"/>
    <w:rsid w:val="004503A4"/>
    <w:rsid w:val="00450555"/>
    <w:rsid w:val="00450DC6"/>
    <w:rsid w:val="004516A5"/>
    <w:rsid w:val="004535AE"/>
    <w:rsid w:val="00453C42"/>
    <w:rsid w:val="0045463A"/>
    <w:rsid w:val="00454AC9"/>
    <w:rsid w:val="004554A3"/>
    <w:rsid w:val="00455A6E"/>
    <w:rsid w:val="004578EB"/>
    <w:rsid w:val="00460303"/>
    <w:rsid w:val="00460697"/>
    <w:rsid w:val="00465EEF"/>
    <w:rsid w:val="00466D03"/>
    <w:rsid w:val="0046711B"/>
    <w:rsid w:val="00471156"/>
    <w:rsid w:val="00472429"/>
    <w:rsid w:val="004725E5"/>
    <w:rsid w:val="00472751"/>
    <w:rsid w:val="00473128"/>
    <w:rsid w:val="00475078"/>
    <w:rsid w:val="00475226"/>
    <w:rsid w:val="004779A0"/>
    <w:rsid w:val="004808E3"/>
    <w:rsid w:val="00481016"/>
    <w:rsid w:val="004814D3"/>
    <w:rsid w:val="0048204C"/>
    <w:rsid w:val="004821BB"/>
    <w:rsid w:val="00482233"/>
    <w:rsid w:val="004826FE"/>
    <w:rsid w:val="004827D5"/>
    <w:rsid w:val="004830C9"/>
    <w:rsid w:val="00483347"/>
    <w:rsid w:val="00483E2E"/>
    <w:rsid w:val="00484B69"/>
    <w:rsid w:val="00485406"/>
    <w:rsid w:val="0048590F"/>
    <w:rsid w:val="00486D60"/>
    <w:rsid w:val="00487C87"/>
    <w:rsid w:val="00492A25"/>
    <w:rsid w:val="00496350"/>
    <w:rsid w:val="00496F91"/>
    <w:rsid w:val="00497274"/>
    <w:rsid w:val="0049797C"/>
    <w:rsid w:val="00497C2C"/>
    <w:rsid w:val="004A1405"/>
    <w:rsid w:val="004A1FC6"/>
    <w:rsid w:val="004A3C03"/>
    <w:rsid w:val="004A3DB7"/>
    <w:rsid w:val="004A3FB3"/>
    <w:rsid w:val="004A5088"/>
    <w:rsid w:val="004A5255"/>
    <w:rsid w:val="004A6097"/>
    <w:rsid w:val="004A6CB0"/>
    <w:rsid w:val="004A70FF"/>
    <w:rsid w:val="004B1B84"/>
    <w:rsid w:val="004B29AC"/>
    <w:rsid w:val="004B35DF"/>
    <w:rsid w:val="004B3627"/>
    <w:rsid w:val="004B4922"/>
    <w:rsid w:val="004B57DF"/>
    <w:rsid w:val="004C2138"/>
    <w:rsid w:val="004C32D4"/>
    <w:rsid w:val="004C3940"/>
    <w:rsid w:val="004C51FD"/>
    <w:rsid w:val="004C56F7"/>
    <w:rsid w:val="004C65A8"/>
    <w:rsid w:val="004C786C"/>
    <w:rsid w:val="004C7963"/>
    <w:rsid w:val="004C7F33"/>
    <w:rsid w:val="004D2F63"/>
    <w:rsid w:val="004D35BA"/>
    <w:rsid w:val="004D4701"/>
    <w:rsid w:val="004D47C7"/>
    <w:rsid w:val="004D618D"/>
    <w:rsid w:val="004D62A9"/>
    <w:rsid w:val="004D6FC3"/>
    <w:rsid w:val="004D7476"/>
    <w:rsid w:val="004E0306"/>
    <w:rsid w:val="004E0572"/>
    <w:rsid w:val="004E2250"/>
    <w:rsid w:val="004E25A8"/>
    <w:rsid w:val="004E3930"/>
    <w:rsid w:val="004E3ED9"/>
    <w:rsid w:val="004E5866"/>
    <w:rsid w:val="004E6097"/>
    <w:rsid w:val="004E61EF"/>
    <w:rsid w:val="004E76A7"/>
    <w:rsid w:val="004E7736"/>
    <w:rsid w:val="004E7B03"/>
    <w:rsid w:val="004F0064"/>
    <w:rsid w:val="004F06AC"/>
    <w:rsid w:val="004F243F"/>
    <w:rsid w:val="004F3E0C"/>
    <w:rsid w:val="004F7160"/>
    <w:rsid w:val="00500258"/>
    <w:rsid w:val="0050175E"/>
    <w:rsid w:val="00501A99"/>
    <w:rsid w:val="00503180"/>
    <w:rsid w:val="0050417C"/>
    <w:rsid w:val="00505450"/>
    <w:rsid w:val="005100B7"/>
    <w:rsid w:val="005113C9"/>
    <w:rsid w:val="0051280C"/>
    <w:rsid w:val="00512842"/>
    <w:rsid w:val="005128BE"/>
    <w:rsid w:val="0051356F"/>
    <w:rsid w:val="00513E7C"/>
    <w:rsid w:val="005140BB"/>
    <w:rsid w:val="005143C2"/>
    <w:rsid w:val="00514FD9"/>
    <w:rsid w:val="0051608F"/>
    <w:rsid w:val="005210F7"/>
    <w:rsid w:val="00521753"/>
    <w:rsid w:val="00521A44"/>
    <w:rsid w:val="00521D16"/>
    <w:rsid w:val="005222BE"/>
    <w:rsid w:val="005224EE"/>
    <w:rsid w:val="00523BB1"/>
    <w:rsid w:val="0052451A"/>
    <w:rsid w:val="00524737"/>
    <w:rsid w:val="00526265"/>
    <w:rsid w:val="0052652D"/>
    <w:rsid w:val="0052655D"/>
    <w:rsid w:val="005265E0"/>
    <w:rsid w:val="00526BC3"/>
    <w:rsid w:val="005324C7"/>
    <w:rsid w:val="0053358A"/>
    <w:rsid w:val="00534668"/>
    <w:rsid w:val="00534DDD"/>
    <w:rsid w:val="00535291"/>
    <w:rsid w:val="00535A94"/>
    <w:rsid w:val="00537874"/>
    <w:rsid w:val="00540204"/>
    <w:rsid w:val="00540578"/>
    <w:rsid w:val="005407D2"/>
    <w:rsid w:val="00540808"/>
    <w:rsid w:val="0054080E"/>
    <w:rsid w:val="00540EA1"/>
    <w:rsid w:val="0054358E"/>
    <w:rsid w:val="00543AF4"/>
    <w:rsid w:val="00544191"/>
    <w:rsid w:val="00544F39"/>
    <w:rsid w:val="00547EFB"/>
    <w:rsid w:val="005531DF"/>
    <w:rsid w:val="00553874"/>
    <w:rsid w:val="00553ACC"/>
    <w:rsid w:val="00554AD8"/>
    <w:rsid w:val="00554F78"/>
    <w:rsid w:val="00556BF7"/>
    <w:rsid w:val="00562149"/>
    <w:rsid w:val="00563FFD"/>
    <w:rsid w:val="005677CE"/>
    <w:rsid w:val="00567B5D"/>
    <w:rsid w:val="00573733"/>
    <w:rsid w:val="00574554"/>
    <w:rsid w:val="00576089"/>
    <w:rsid w:val="005764B1"/>
    <w:rsid w:val="00576A56"/>
    <w:rsid w:val="00576D06"/>
    <w:rsid w:val="005779E4"/>
    <w:rsid w:val="0058144D"/>
    <w:rsid w:val="0058289C"/>
    <w:rsid w:val="00582DC6"/>
    <w:rsid w:val="005836C7"/>
    <w:rsid w:val="0058408E"/>
    <w:rsid w:val="00585374"/>
    <w:rsid w:val="00590B77"/>
    <w:rsid w:val="005913A3"/>
    <w:rsid w:val="00594A7B"/>
    <w:rsid w:val="00594AFA"/>
    <w:rsid w:val="0059580E"/>
    <w:rsid w:val="00596A6F"/>
    <w:rsid w:val="005976E1"/>
    <w:rsid w:val="005A1525"/>
    <w:rsid w:val="005A1EC3"/>
    <w:rsid w:val="005A252B"/>
    <w:rsid w:val="005A2A71"/>
    <w:rsid w:val="005A3204"/>
    <w:rsid w:val="005A3341"/>
    <w:rsid w:val="005A46EC"/>
    <w:rsid w:val="005A4847"/>
    <w:rsid w:val="005B0160"/>
    <w:rsid w:val="005B0185"/>
    <w:rsid w:val="005B07EC"/>
    <w:rsid w:val="005B2B11"/>
    <w:rsid w:val="005B2E00"/>
    <w:rsid w:val="005B370E"/>
    <w:rsid w:val="005B4DA3"/>
    <w:rsid w:val="005B5BEE"/>
    <w:rsid w:val="005B77D2"/>
    <w:rsid w:val="005C019B"/>
    <w:rsid w:val="005C144E"/>
    <w:rsid w:val="005C30F5"/>
    <w:rsid w:val="005C357E"/>
    <w:rsid w:val="005C51A5"/>
    <w:rsid w:val="005C557A"/>
    <w:rsid w:val="005C61DD"/>
    <w:rsid w:val="005C6438"/>
    <w:rsid w:val="005C6B8B"/>
    <w:rsid w:val="005D0114"/>
    <w:rsid w:val="005D02E3"/>
    <w:rsid w:val="005D1F34"/>
    <w:rsid w:val="005D2C1F"/>
    <w:rsid w:val="005D34B2"/>
    <w:rsid w:val="005D3B54"/>
    <w:rsid w:val="005D40CD"/>
    <w:rsid w:val="005D6B59"/>
    <w:rsid w:val="005D7037"/>
    <w:rsid w:val="005E03E4"/>
    <w:rsid w:val="005E0454"/>
    <w:rsid w:val="005E171D"/>
    <w:rsid w:val="005E34C2"/>
    <w:rsid w:val="005E35C6"/>
    <w:rsid w:val="005E5B01"/>
    <w:rsid w:val="005E7933"/>
    <w:rsid w:val="005E7B77"/>
    <w:rsid w:val="005F009E"/>
    <w:rsid w:val="005F0A88"/>
    <w:rsid w:val="005F0DF1"/>
    <w:rsid w:val="005F1516"/>
    <w:rsid w:val="005F229E"/>
    <w:rsid w:val="005F2564"/>
    <w:rsid w:val="005F3822"/>
    <w:rsid w:val="005F4D16"/>
    <w:rsid w:val="005F4E52"/>
    <w:rsid w:val="0060058E"/>
    <w:rsid w:val="00602A3C"/>
    <w:rsid w:val="00603EFD"/>
    <w:rsid w:val="0060475B"/>
    <w:rsid w:val="00604FB6"/>
    <w:rsid w:val="00605387"/>
    <w:rsid w:val="00606302"/>
    <w:rsid w:val="006076FD"/>
    <w:rsid w:val="0061143F"/>
    <w:rsid w:val="006114D8"/>
    <w:rsid w:val="00611585"/>
    <w:rsid w:val="00613601"/>
    <w:rsid w:val="00613791"/>
    <w:rsid w:val="00613AAB"/>
    <w:rsid w:val="006148C7"/>
    <w:rsid w:val="006150D6"/>
    <w:rsid w:val="00617EEE"/>
    <w:rsid w:val="006210FE"/>
    <w:rsid w:val="00622811"/>
    <w:rsid w:val="00622BB7"/>
    <w:rsid w:val="00622F3B"/>
    <w:rsid w:val="00623389"/>
    <w:rsid w:val="0062352A"/>
    <w:rsid w:val="0062633A"/>
    <w:rsid w:val="006265C4"/>
    <w:rsid w:val="00627383"/>
    <w:rsid w:val="006301BB"/>
    <w:rsid w:val="00635A4A"/>
    <w:rsid w:val="00635FB9"/>
    <w:rsid w:val="00637774"/>
    <w:rsid w:val="0064024C"/>
    <w:rsid w:val="00640291"/>
    <w:rsid w:val="00641FAC"/>
    <w:rsid w:val="006432A5"/>
    <w:rsid w:val="00643664"/>
    <w:rsid w:val="00643CAA"/>
    <w:rsid w:val="00652680"/>
    <w:rsid w:val="00652A09"/>
    <w:rsid w:val="006530A1"/>
    <w:rsid w:val="00653CDE"/>
    <w:rsid w:val="0065636A"/>
    <w:rsid w:val="00656C3C"/>
    <w:rsid w:val="00657003"/>
    <w:rsid w:val="006572C1"/>
    <w:rsid w:val="00660238"/>
    <w:rsid w:val="006602EF"/>
    <w:rsid w:val="00661277"/>
    <w:rsid w:val="006619D1"/>
    <w:rsid w:val="00663FEA"/>
    <w:rsid w:val="00664803"/>
    <w:rsid w:val="006661A4"/>
    <w:rsid w:val="006670E0"/>
    <w:rsid w:val="00667532"/>
    <w:rsid w:val="006704FD"/>
    <w:rsid w:val="0067294B"/>
    <w:rsid w:val="00673AA4"/>
    <w:rsid w:val="00674187"/>
    <w:rsid w:val="0067508F"/>
    <w:rsid w:val="006752BD"/>
    <w:rsid w:val="00675349"/>
    <w:rsid w:val="00675E7E"/>
    <w:rsid w:val="0068051E"/>
    <w:rsid w:val="00680B9D"/>
    <w:rsid w:val="00681F13"/>
    <w:rsid w:val="0068231C"/>
    <w:rsid w:val="00682344"/>
    <w:rsid w:val="00682F28"/>
    <w:rsid w:val="00684842"/>
    <w:rsid w:val="00685BD6"/>
    <w:rsid w:val="006878A6"/>
    <w:rsid w:val="00690437"/>
    <w:rsid w:val="00690E65"/>
    <w:rsid w:val="0069188E"/>
    <w:rsid w:val="00691974"/>
    <w:rsid w:val="00692CE6"/>
    <w:rsid w:val="00693B6C"/>
    <w:rsid w:val="006942AE"/>
    <w:rsid w:val="00695421"/>
    <w:rsid w:val="00697BD3"/>
    <w:rsid w:val="00697DFA"/>
    <w:rsid w:val="006A10F3"/>
    <w:rsid w:val="006A16D5"/>
    <w:rsid w:val="006A1772"/>
    <w:rsid w:val="006A1780"/>
    <w:rsid w:val="006A25A5"/>
    <w:rsid w:val="006A3CEC"/>
    <w:rsid w:val="006A3F75"/>
    <w:rsid w:val="006A6CA7"/>
    <w:rsid w:val="006A703E"/>
    <w:rsid w:val="006A7BE3"/>
    <w:rsid w:val="006B01D1"/>
    <w:rsid w:val="006B16EA"/>
    <w:rsid w:val="006B1780"/>
    <w:rsid w:val="006B224E"/>
    <w:rsid w:val="006B376E"/>
    <w:rsid w:val="006B4589"/>
    <w:rsid w:val="006B6805"/>
    <w:rsid w:val="006B6B5E"/>
    <w:rsid w:val="006B6DE0"/>
    <w:rsid w:val="006B7D5F"/>
    <w:rsid w:val="006C235A"/>
    <w:rsid w:val="006C32F4"/>
    <w:rsid w:val="006C3C54"/>
    <w:rsid w:val="006C427B"/>
    <w:rsid w:val="006C4F9F"/>
    <w:rsid w:val="006D0C1D"/>
    <w:rsid w:val="006D0CE1"/>
    <w:rsid w:val="006D2004"/>
    <w:rsid w:val="006D2E9D"/>
    <w:rsid w:val="006D4C42"/>
    <w:rsid w:val="006D5809"/>
    <w:rsid w:val="006D668D"/>
    <w:rsid w:val="006D7363"/>
    <w:rsid w:val="006E04C8"/>
    <w:rsid w:val="006E0712"/>
    <w:rsid w:val="006E0754"/>
    <w:rsid w:val="006E2668"/>
    <w:rsid w:val="006E2D39"/>
    <w:rsid w:val="006E32B0"/>
    <w:rsid w:val="006E36D8"/>
    <w:rsid w:val="006E396A"/>
    <w:rsid w:val="006E3A73"/>
    <w:rsid w:val="006E5DD8"/>
    <w:rsid w:val="006E5EA1"/>
    <w:rsid w:val="006F0760"/>
    <w:rsid w:val="006F0FF1"/>
    <w:rsid w:val="006F11E2"/>
    <w:rsid w:val="006F1B03"/>
    <w:rsid w:val="006F2574"/>
    <w:rsid w:val="006F3231"/>
    <w:rsid w:val="006F3DE3"/>
    <w:rsid w:val="006F511F"/>
    <w:rsid w:val="006F61D8"/>
    <w:rsid w:val="006F62B7"/>
    <w:rsid w:val="006F70BC"/>
    <w:rsid w:val="006F713A"/>
    <w:rsid w:val="006F76BF"/>
    <w:rsid w:val="00702DCB"/>
    <w:rsid w:val="007036B2"/>
    <w:rsid w:val="007066A4"/>
    <w:rsid w:val="00706F37"/>
    <w:rsid w:val="0071209F"/>
    <w:rsid w:val="007125A2"/>
    <w:rsid w:val="00713F79"/>
    <w:rsid w:val="007148A8"/>
    <w:rsid w:val="007171E0"/>
    <w:rsid w:val="0072033C"/>
    <w:rsid w:val="00720B1B"/>
    <w:rsid w:val="00721062"/>
    <w:rsid w:val="00721E5D"/>
    <w:rsid w:val="007229D4"/>
    <w:rsid w:val="007230F8"/>
    <w:rsid w:val="007233F4"/>
    <w:rsid w:val="007239A2"/>
    <w:rsid w:val="00724044"/>
    <w:rsid w:val="007244E1"/>
    <w:rsid w:val="007248D3"/>
    <w:rsid w:val="00725137"/>
    <w:rsid w:val="00727A43"/>
    <w:rsid w:val="00727FF2"/>
    <w:rsid w:val="007323E0"/>
    <w:rsid w:val="00733DE2"/>
    <w:rsid w:val="007352EA"/>
    <w:rsid w:val="007364E5"/>
    <w:rsid w:val="0073792F"/>
    <w:rsid w:val="00740DA6"/>
    <w:rsid w:val="00741D1E"/>
    <w:rsid w:val="00741EE2"/>
    <w:rsid w:val="00742367"/>
    <w:rsid w:val="00742EAA"/>
    <w:rsid w:val="00743818"/>
    <w:rsid w:val="007439E2"/>
    <w:rsid w:val="007441FB"/>
    <w:rsid w:val="00744517"/>
    <w:rsid w:val="00745DFC"/>
    <w:rsid w:val="00747DE2"/>
    <w:rsid w:val="007504BF"/>
    <w:rsid w:val="007506CD"/>
    <w:rsid w:val="0075267F"/>
    <w:rsid w:val="007526EC"/>
    <w:rsid w:val="00753347"/>
    <w:rsid w:val="00753C48"/>
    <w:rsid w:val="00754C97"/>
    <w:rsid w:val="00754FE4"/>
    <w:rsid w:val="00756236"/>
    <w:rsid w:val="00756271"/>
    <w:rsid w:val="00756521"/>
    <w:rsid w:val="00756AB7"/>
    <w:rsid w:val="00760477"/>
    <w:rsid w:val="007623FB"/>
    <w:rsid w:val="0076376A"/>
    <w:rsid w:val="0076500F"/>
    <w:rsid w:val="0076504E"/>
    <w:rsid w:val="00767EA0"/>
    <w:rsid w:val="0077068F"/>
    <w:rsid w:val="0077408D"/>
    <w:rsid w:val="00774270"/>
    <w:rsid w:val="00775679"/>
    <w:rsid w:val="00777B32"/>
    <w:rsid w:val="0078051E"/>
    <w:rsid w:val="00781FDD"/>
    <w:rsid w:val="00782A9F"/>
    <w:rsid w:val="0078508A"/>
    <w:rsid w:val="00786D5C"/>
    <w:rsid w:val="00786E96"/>
    <w:rsid w:val="00787F93"/>
    <w:rsid w:val="007907CA"/>
    <w:rsid w:val="00791E6D"/>
    <w:rsid w:val="007928DC"/>
    <w:rsid w:val="007939CC"/>
    <w:rsid w:val="00796FB8"/>
    <w:rsid w:val="007A11C2"/>
    <w:rsid w:val="007A41BF"/>
    <w:rsid w:val="007A490A"/>
    <w:rsid w:val="007A581D"/>
    <w:rsid w:val="007A7B95"/>
    <w:rsid w:val="007B0297"/>
    <w:rsid w:val="007B0F53"/>
    <w:rsid w:val="007B1DD8"/>
    <w:rsid w:val="007B21AE"/>
    <w:rsid w:val="007B2570"/>
    <w:rsid w:val="007B3113"/>
    <w:rsid w:val="007B3304"/>
    <w:rsid w:val="007B332B"/>
    <w:rsid w:val="007B394D"/>
    <w:rsid w:val="007B7490"/>
    <w:rsid w:val="007C0525"/>
    <w:rsid w:val="007C13F7"/>
    <w:rsid w:val="007C218D"/>
    <w:rsid w:val="007C2D28"/>
    <w:rsid w:val="007C3E22"/>
    <w:rsid w:val="007C67C6"/>
    <w:rsid w:val="007C7E59"/>
    <w:rsid w:val="007D0B91"/>
    <w:rsid w:val="007D1452"/>
    <w:rsid w:val="007D1E29"/>
    <w:rsid w:val="007D460C"/>
    <w:rsid w:val="007D4AD3"/>
    <w:rsid w:val="007D4C8D"/>
    <w:rsid w:val="007D583E"/>
    <w:rsid w:val="007D5D19"/>
    <w:rsid w:val="007D5FDC"/>
    <w:rsid w:val="007D6D68"/>
    <w:rsid w:val="007E1603"/>
    <w:rsid w:val="007E32DA"/>
    <w:rsid w:val="007E4998"/>
    <w:rsid w:val="007E4A9C"/>
    <w:rsid w:val="007E6914"/>
    <w:rsid w:val="007E7F78"/>
    <w:rsid w:val="007F1D44"/>
    <w:rsid w:val="007F2C13"/>
    <w:rsid w:val="007F2CEC"/>
    <w:rsid w:val="007F55DE"/>
    <w:rsid w:val="007F5605"/>
    <w:rsid w:val="007F6147"/>
    <w:rsid w:val="007F78FF"/>
    <w:rsid w:val="00800F6C"/>
    <w:rsid w:val="008025BE"/>
    <w:rsid w:val="008051FC"/>
    <w:rsid w:val="008055A9"/>
    <w:rsid w:val="008070EB"/>
    <w:rsid w:val="00810E8E"/>
    <w:rsid w:val="008119A9"/>
    <w:rsid w:val="00812462"/>
    <w:rsid w:val="0081481D"/>
    <w:rsid w:val="00814BE8"/>
    <w:rsid w:val="00814F6E"/>
    <w:rsid w:val="00815B84"/>
    <w:rsid w:val="00821A3D"/>
    <w:rsid w:val="00822037"/>
    <w:rsid w:val="00823FC6"/>
    <w:rsid w:val="00823FFC"/>
    <w:rsid w:val="00824811"/>
    <w:rsid w:val="00825C74"/>
    <w:rsid w:val="00826AB9"/>
    <w:rsid w:val="00826E0E"/>
    <w:rsid w:val="0082731F"/>
    <w:rsid w:val="00827D11"/>
    <w:rsid w:val="00827E0F"/>
    <w:rsid w:val="00827F6E"/>
    <w:rsid w:val="00831758"/>
    <w:rsid w:val="0083279F"/>
    <w:rsid w:val="00833B7F"/>
    <w:rsid w:val="00834906"/>
    <w:rsid w:val="00836075"/>
    <w:rsid w:val="00836417"/>
    <w:rsid w:val="008411F9"/>
    <w:rsid w:val="008413AB"/>
    <w:rsid w:val="0084322B"/>
    <w:rsid w:val="00843B93"/>
    <w:rsid w:val="00843F81"/>
    <w:rsid w:val="00844087"/>
    <w:rsid w:val="0084519E"/>
    <w:rsid w:val="00846370"/>
    <w:rsid w:val="00847C2B"/>
    <w:rsid w:val="0085270D"/>
    <w:rsid w:val="008532BF"/>
    <w:rsid w:val="00853BF4"/>
    <w:rsid w:val="00854294"/>
    <w:rsid w:val="0085788B"/>
    <w:rsid w:val="00857A9E"/>
    <w:rsid w:val="00857DE2"/>
    <w:rsid w:val="0086407F"/>
    <w:rsid w:val="00864E79"/>
    <w:rsid w:val="0086661F"/>
    <w:rsid w:val="00866A0D"/>
    <w:rsid w:val="00866DB5"/>
    <w:rsid w:val="0086784E"/>
    <w:rsid w:val="00867AF1"/>
    <w:rsid w:val="008717C9"/>
    <w:rsid w:val="00872118"/>
    <w:rsid w:val="00872827"/>
    <w:rsid w:val="00872A32"/>
    <w:rsid w:val="00876EAE"/>
    <w:rsid w:val="00880F95"/>
    <w:rsid w:val="00882B44"/>
    <w:rsid w:val="00882FE5"/>
    <w:rsid w:val="00886138"/>
    <w:rsid w:val="00886E66"/>
    <w:rsid w:val="008871B0"/>
    <w:rsid w:val="0089139E"/>
    <w:rsid w:val="0089217C"/>
    <w:rsid w:val="00893671"/>
    <w:rsid w:val="00895838"/>
    <w:rsid w:val="00895A72"/>
    <w:rsid w:val="00895CDF"/>
    <w:rsid w:val="00897A55"/>
    <w:rsid w:val="008A0FC9"/>
    <w:rsid w:val="008A1956"/>
    <w:rsid w:val="008A40D3"/>
    <w:rsid w:val="008A469C"/>
    <w:rsid w:val="008A484A"/>
    <w:rsid w:val="008A5877"/>
    <w:rsid w:val="008A6539"/>
    <w:rsid w:val="008A682C"/>
    <w:rsid w:val="008B05DD"/>
    <w:rsid w:val="008B17E8"/>
    <w:rsid w:val="008B2D03"/>
    <w:rsid w:val="008B2E7C"/>
    <w:rsid w:val="008B45A7"/>
    <w:rsid w:val="008B4A70"/>
    <w:rsid w:val="008B502F"/>
    <w:rsid w:val="008B7034"/>
    <w:rsid w:val="008B7227"/>
    <w:rsid w:val="008C060D"/>
    <w:rsid w:val="008C191C"/>
    <w:rsid w:val="008C1DA4"/>
    <w:rsid w:val="008C2CD5"/>
    <w:rsid w:val="008C3618"/>
    <w:rsid w:val="008C43AD"/>
    <w:rsid w:val="008C59FB"/>
    <w:rsid w:val="008C6687"/>
    <w:rsid w:val="008C68F0"/>
    <w:rsid w:val="008C731F"/>
    <w:rsid w:val="008C74D9"/>
    <w:rsid w:val="008D124C"/>
    <w:rsid w:val="008D1BB3"/>
    <w:rsid w:val="008D22AE"/>
    <w:rsid w:val="008D234A"/>
    <w:rsid w:val="008D566C"/>
    <w:rsid w:val="008D58D9"/>
    <w:rsid w:val="008D6E59"/>
    <w:rsid w:val="008D7155"/>
    <w:rsid w:val="008E09B3"/>
    <w:rsid w:val="008E141A"/>
    <w:rsid w:val="008E1A44"/>
    <w:rsid w:val="008E28E6"/>
    <w:rsid w:val="008E2B60"/>
    <w:rsid w:val="008E3232"/>
    <w:rsid w:val="008E3674"/>
    <w:rsid w:val="008E3B6C"/>
    <w:rsid w:val="008E68BB"/>
    <w:rsid w:val="008E6C9B"/>
    <w:rsid w:val="008E77D4"/>
    <w:rsid w:val="008F0981"/>
    <w:rsid w:val="008F0AFD"/>
    <w:rsid w:val="008F17B2"/>
    <w:rsid w:val="008F28EE"/>
    <w:rsid w:val="008F357B"/>
    <w:rsid w:val="008F44CA"/>
    <w:rsid w:val="008F49B9"/>
    <w:rsid w:val="008F49D3"/>
    <w:rsid w:val="008F4CEF"/>
    <w:rsid w:val="008F4EE1"/>
    <w:rsid w:val="008F53A0"/>
    <w:rsid w:val="008F6519"/>
    <w:rsid w:val="008F7012"/>
    <w:rsid w:val="008F7B17"/>
    <w:rsid w:val="00900042"/>
    <w:rsid w:val="0090034B"/>
    <w:rsid w:val="00902623"/>
    <w:rsid w:val="00902890"/>
    <w:rsid w:val="00904BE4"/>
    <w:rsid w:val="0090504A"/>
    <w:rsid w:val="00905D7E"/>
    <w:rsid w:val="009063B7"/>
    <w:rsid w:val="00907037"/>
    <w:rsid w:val="0091160A"/>
    <w:rsid w:val="00913258"/>
    <w:rsid w:val="0091564D"/>
    <w:rsid w:val="009156DA"/>
    <w:rsid w:val="00916BC5"/>
    <w:rsid w:val="0091726A"/>
    <w:rsid w:val="00920184"/>
    <w:rsid w:val="00920EA4"/>
    <w:rsid w:val="00921792"/>
    <w:rsid w:val="00921BEA"/>
    <w:rsid w:val="00923998"/>
    <w:rsid w:val="00923DB4"/>
    <w:rsid w:val="0092430E"/>
    <w:rsid w:val="0092625F"/>
    <w:rsid w:val="009268A9"/>
    <w:rsid w:val="00927B37"/>
    <w:rsid w:val="009301B2"/>
    <w:rsid w:val="009321B1"/>
    <w:rsid w:val="00932ED7"/>
    <w:rsid w:val="0093357E"/>
    <w:rsid w:val="0093422D"/>
    <w:rsid w:val="00934DD7"/>
    <w:rsid w:val="009369A9"/>
    <w:rsid w:val="00936CF7"/>
    <w:rsid w:val="00937201"/>
    <w:rsid w:val="0093734A"/>
    <w:rsid w:val="00937783"/>
    <w:rsid w:val="00940FE1"/>
    <w:rsid w:val="00942306"/>
    <w:rsid w:val="009424B8"/>
    <w:rsid w:val="009433A4"/>
    <w:rsid w:val="0094435B"/>
    <w:rsid w:val="00944668"/>
    <w:rsid w:val="00944DC6"/>
    <w:rsid w:val="0094537D"/>
    <w:rsid w:val="0094573F"/>
    <w:rsid w:val="009458B0"/>
    <w:rsid w:val="00945B52"/>
    <w:rsid w:val="00945DC0"/>
    <w:rsid w:val="00945F05"/>
    <w:rsid w:val="00946348"/>
    <w:rsid w:val="009471AD"/>
    <w:rsid w:val="009478A2"/>
    <w:rsid w:val="00955643"/>
    <w:rsid w:val="00955FBB"/>
    <w:rsid w:val="0095694B"/>
    <w:rsid w:val="00956BD5"/>
    <w:rsid w:val="009574BB"/>
    <w:rsid w:val="009577B5"/>
    <w:rsid w:val="009608E6"/>
    <w:rsid w:val="00961779"/>
    <w:rsid w:val="00966522"/>
    <w:rsid w:val="00967D3F"/>
    <w:rsid w:val="00970D7E"/>
    <w:rsid w:val="00970F18"/>
    <w:rsid w:val="00971CF1"/>
    <w:rsid w:val="009721E9"/>
    <w:rsid w:val="00972A58"/>
    <w:rsid w:val="00973772"/>
    <w:rsid w:val="00975E1E"/>
    <w:rsid w:val="00975E70"/>
    <w:rsid w:val="00977CD6"/>
    <w:rsid w:val="00982D26"/>
    <w:rsid w:val="009849E9"/>
    <w:rsid w:val="00987812"/>
    <w:rsid w:val="00990225"/>
    <w:rsid w:val="0099244B"/>
    <w:rsid w:val="009947B6"/>
    <w:rsid w:val="00995150"/>
    <w:rsid w:val="009957F3"/>
    <w:rsid w:val="00995D67"/>
    <w:rsid w:val="009A013B"/>
    <w:rsid w:val="009A02F4"/>
    <w:rsid w:val="009A1F12"/>
    <w:rsid w:val="009A2494"/>
    <w:rsid w:val="009A26CA"/>
    <w:rsid w:val="009A36F2"/>
    <w:rsid w:val="009A5749"/>
    <w:rsid w:val="009A57D0"/>
    <w:rsid w:val="009A6559"/>
    <w:rsid w:val="009A68FC"/>
    <w:rsid w:val="009A7514"/>
    <w:rsid w:val="009A7E7A"/>
    <w:rsid w:val="009B1584"/>
    <w:rsid w:val="009B2469"/>
    <w:rsid w:val="009B314F"/>
    <w:rsid w:val="009B439C"/>
    <w:rsid w:val="009B4A6C"/>
    <w:rsid w:val="009B5779"/>
    <w:rsid w:val="009B6753"/>
    <w:rsid w:val="009B6A26"/>
    <w:rsid w:val="009C079D"/>
    <w:rsid w:val="009C0D70"/>
    <w:rsid w:val="009C13D1"/>
    <w:rsid w:val="009C2913"/>
    <w:rsid w:val="009C5AFE"/>
    <w:rsid w:val="009C6606"/>
    <w:rsid w:val="009C6CE5"/>
    <w:rsid w:val="009C6D50"/>
    <w:rsid w:val="009C7547"/>
    <w:rsid w:val="009D2F60"/>
    <w:rsid w:val="009D338C"/>
    <w:rsid w:val="009D3D0D"/>
    <w:rsid w:val="009D5BAC"/>
    <w:rsid w:val="009D64BD"/>
    <w:rsid w:val="009E0D0A"/>
    <w:rsid w:val="009E0D1A"/>
    <w:rsid w:val="009E153F"/>
    <w:rsid w:val="009E2D6C"/>
    <w:rsid w:val="009E388B"/>
    <w:rsid w:val="009E393E"/>
    <w:rsid w:val="009E444E"/>
    <w:rsid w:val="009E4968"/>
    <w:rsid w:val="009E663C"/>
    <w:rsid w:val="009E6BB1"/>
    <w:rsid w:val="009F0092"/>
    <w:rsid w:val="009F0CD9"/>
    <w:rsid w:val="009F1A79"/>
    <w:rsid w:val="009F1F57"/>
    <w:rsid w:val="009F4FCF"/>
    <w:rsid w:val="009F65F4"/>
    <w:rsid w:val="009F676B"/>
    <w:rsid w:val="00A004DF"/>
    <w:rsid w:val="00A00D29"/>
    <w:rsid w:val="00A00FD5"/>
    <w:rsid w:val="00A019A8"/>
    <w:rsid w:val="00A01B03"/>
    <w:rsid w:val="00A02C66"/>
    <w:rsid w:val="00A03861"/>
    <w:rsid w:val="00A0464C"/>
    <w:rsid w:val="00A054E0"/>
    <w:rsid w:val="00A0663F"/>
    <w:rsid w:val="00A066CE"/>
    <w:rsid w:val="00A0740B"/>
    <w:rsid w:val="00A075A9"/>
    <w:rsid w:val="00A11042"/>
    <w:rsid w:val="00A133D8"/>
    <w:rsid w:val="00A14E97"/>
    <w:rsid w:val="00A20069"/>
    <w:rsid w:val="00A2244D"/>
    <w:rsid w:val="00A2253D"/>
    <w:rsid w:val="00A22AEC"/>
    <w:rsid w:val="00A2418A"/>
    <w:rsid w:val="00A247B8"/>
    <w:rsid w:val="00A24D8F"/>
    <w:rsid w:val="00A25B8B"/>
    <w:rsid w:val="00A269C3"/>
    <w:rsid w:val="00A26ECA"/>
    <w:rsid w:val="00A324C1"/>
    <w:rsid w:val="00A337DB"/>
    <w:rsid w:val="00A3467F"/>
    <w:rsid w:val="00A3551A"/>
    <w:rsid w:val="00A376E8"/>
    <w:rsid w:val="00A37E69"/>
    <w:rsid w:val="00A37F8E"/>
    <w:rsid w:val="00A41737"/>
    <w:rsid w:val="00A42B8F"/>
    <w:rsid w:val="00A43254"/>
    <w:rsid w:val="00A43896"/>
    <w:rsid w:val="00A43A26"/>
    <w:rsid w:val="00A447A0"/>
    <w:rsid w:val="00A459F5"/>
    <w:rsid w:val="00A45FC0"/>
    <w:rsid w:val="00A46B32"/>
    <w:rsid w:val="00A47ECC"/>
    <w:rsid w:val="00A5008C"/>
    <w:rsid w:val="00A50171"/>
    <w:rsid w:val="00A5102E"/>
    <w:rsid w:val="00A51083"/>
    <w:rsid w:val="00A5132E"/>
    <w:rsid w:val="00A51533"/>
    <w:rsid w:val="00A51E68"/>
    <w:rsid w:val="00A52F3B"/>
    <w:rsid w:val="00A531D4"/>
    <w:rsid w:val="00A55CFA"/>
    <w:rsid w:val="00A575B8"/>
    <w:rsid w:val="00A647B1"/>
    <w:rsid w:val="00A64DEF"/>
    <w:rsid w:val="00A65E4E"/>
    <w:rsid w:val="00A665DF"/>
    <w:rsid w:val="00A67F1B"/>
    <w:rsid w:val="00A67FCC"/>
    <w:rsid w:val="00A7217B"/>
    <w:rsid w:val="00A73067"/>
    <w:rsid w:val="00A737C4"/>
    <w:rsid w:val="00A739A6"/>
    <w:rsid w:val="00A75EF9"/>
    <w:rsid w:val="00A76BC9"/>
    <w:rsid w:val="00A8311C"/>
    <w:rsid w:val="00A84C5F"/>
    <w:rsid w:val="00A86973"/>
    <w:rsid w:val="00A8740B"/>
    <w:rsid w:val="00A87519"/>
    <w:rsid w:val="00A9246D"/>
    <w:rsid w:val="00A93644"/>
    <w:rsid w:val="00A93BD0"/>
    <w:rsid w:val="00A975A4"/>
    <w:rsid w:val="00AA2001"/>
    <w:rsid w:val="00AA2B5C"/>
    <w:rsid w:val="00AA5328"/>
    <w:rsid w:val="00AA5393"/>
    <w:rsid w:val="00AA63D4"/>
    <w:rsid w:val="00AB03FD"/>
    <w:rsid w:val="00AB38CB"/>
    <w:rsid w:val="00AB3BEC"/>
    <w:rsid w:val="00AB44E4"/>
    <w:rsid w:val="00AB4AEB"/>
    <w:rsid w:val="00AB5352"/>
    <w:rsid w:val="00AB56AE"/>
    <w:rsid w:val="00AB62D5"/>
    <w:rsid w:val="00AB65B5"/>
    <w:rsid w:val="00AB6DCD"/>
    <w:rsid w:val="00AB6EE0"/>
    <w:rsid w:val="00AC2DFD"/>
    <w:rsid w:val="00AC40B7"/>
    <w:rsid w:val="00AC531F"/>
    <w:rsid w:val="00AC6121"/>
    <w:rsid w:val="00AC626D"/>
    <w:rsid w:val="00AC6CB1"/>
    <w:rsid w:val="00AD0091"/>
    <w:rsid w:val="00AD23D8"/>
    <w:rsid w:val="00AD23EF"/>
    <w:rsid w:val="00AD307B"/>
    <w:rsid w:val="00AD41B3"/>
    <w:rsid w:val="00AD4C48"/>
    <w:rsid w:val="00AD6267"/>
    <w:rsid w:val="00AD7317"/>
    <w:rsid w:val="00AE01A8"/>
    <w:rsid w:val="00AE0CBD"/>
    <w:rsid w:val="00AE123A"/>
    <w:rsid w:val="00AE28A7"/>
    <w:rsid w:val="00AE2BB5"/>
    <w:rsid w:val="00AE33A6"/>
    <w:rsid w:val="00AE3715"/>
    <w:rsid w:val="00AE3729"/>
    <w:rsid w:val="00AE55B2"/>
    <w:rsid w:val="00AE5C6A"/>
    <w:rsid w:val="00AE65F7"/>
    <w:rsid w:val="00AE7280"/>
    <w:rsid w:val="00AF033A"/>
    <w:rsid w:val="00AF1699"/>
    <w:rsid w:val="00AF278F"/>
    <w:rsid w:val="00AF3896"/>
    <w:rsid w:val="00AF6C33"/>
    <w:rsid w:val="00B0098A"/>
    <w:rsid w:val="00B00A5F"/>
    <w:rsid w:val="00B0225F"/>
    <w:rsid w:val="00B029B8"/>
    <w:rsid w:val="00B02F60"/>
    <w:rsid w:val="00B032B8"/>
    <w:rsid w:val="00B04B46"/>
    <w:rsid w:val="00B0534D"/>
    <w:rsid w:val="00B06368"/>
    <w:rsid w:val="00B06FC6"/>
    <w:rsid w:val="00B07163"/>
    <w:rsid w:val="00B12FE6"/>
    <w:rsid w:val="00B1303F"/>
    <w:rsid w:val="00B1364A"/>
    <w:rsid w:val="00B13D3C"/>
    <w:rsid w:val="00B16715"/>
    <w:rsid w:val="00B17910"/>
    <w:rsid w:val="00B20A7E"/>
    <w:rsid w:val="00B20F18"/>
    <w:rsid w:val="00B21516"/>
    <w:rsid w:val="00B22CE0"/>
    <w:rsid w:val="00B23738"/>
    <w:rsid w:val="00B23A9D"/>
    <w:rsid w:val="00B23BEF"/>
    <w:rsid w:val="00B247BB"/>
    <w:rsid w:val="00B25C11"/>
    <w:rsid w:val="00B25EDF"/>
    <w:rsid w:val="00B25EE6"/>
    <w:rsid w:val="00B3115A"/>
    <w:rsid w:val="00B31A5C"/>
    <w:rsid w:val="00B33C19"/>
    <w:rsid w:val="00B34861"/>
    <w:rsid w:val="00B369F7"/>
    <w:rsid w:val="00B36A99"/>
    <w:rsid w:val="00B42980"/>
    <w:rsid w:val="00B434B2"/>
    <w:rsid w:val="00B434C7"/>
    <w:rsid w:val="00B43D45"/>
    <w:rsid w:val="00B468F2"/>
    <w:rsid w:val="00B46B45"/>
    <w:rsid w:val="00B47286"/>
    <w:rsid w:val="00B47894"/>
    <w:rsid w:val="00B50234"/>
    <w:rsid w:val="00B51A7D"/>
    <w:rsid w:val="00B51BF4"/>
    <w:rsid w:val="00B52C68"/>
    <w:rsid w:val="00B542FE"/>
    <w:rsid w:val="00B55A1B"/>
    <w:rsid w:val="00B561DB"/>
    <w:rsid w:val="00B61DCE"/>
    <w:rsid w:val="00B62188"/>
    <w:rsid w:val="00B62467"/>
    <w:rsid w:val="00B62F79"/>
    <w:rsid w:val="00B62F82"/>
    <w:rsid w:val="00B648FA"/>
    <w:rsid w:val="00B662FF"/>
    <w:rsid w:val="00B730B4"/>
    <w:rsid w:val="00B74340"/>
    <w:rsid w:val="00B74F2F"/>
    <w:rsid w:val="00B756FB"/>
    <w:rsid w:val="00B769BC"/>
    <w:rsid w:val="00B77349"/>
    <w:rsid w:val="00B7761E"/>
    <w:rsid w:val="00B80A3D"/>
    <w:rsid w:val="00B823E0"/>
    <w:rsid w:val="00B82B78"/>
    <w:rsid w:val="00B84662"/>
    <w:rsid w:val="00B864A3"/>
    <w:rsid w:val="00B86C2A"/>
    <w:rsid w:val="00B902A5"/>
    <w:rsid w:val="00B90420"/>
    <w:rsid w:val="00B913E4"/>
    <w:rsid w:val="00B91DB9"/>
    <w:rsid w:val="00B93EFE"/>
    <w:rsid w:val="00B94956"/>
    <w:rsid w:val="00B94C7F"/>
    <w:rsid w:val="00B956B5"/>
    <w:rsid w:val="00B95C3A"/>
    <w:rsid w:val="00BA0D44"/>
    <w:rsid w:val="00BA0E26"/>
    <w:rsid w:val="00BA31BF"/>
    <w:rsid w:val="00BA43FC"/>
    <w:rsid w:val="00BA478B"/>
    <w:rsid w:val="00BA5224"/>
    <w:rsid w:val="00BA5F08"/>
    <w:rsid w:val="00BA7E3B"/>
    <w:rsid w:val="00BB079C"/>
    <w:rsid w:val="00BB39C1"/>
    <w:rsid w:val="00BB590A"/>
    <w:rsid w:val="00BB5D16"/>
    <w:rsid w:val="00BB6180"/>
    <w:rsid w:val="00BB69E6"/>
    <w:rsid w:val="00BC1B7A"/>
    <w:rsid w:val="00BC2B4D"/>
    <w:rsid w:val="00BC2BC7"/>
    <w:rsid w:val="00BC2C17"/>
    <w:rsid w:val="00BC3ACD"/>
    <w:rsid w:val="00BC6E73"/>
    <w:rsid w:val="00BD0014"/>
    <w:rsid w:val="00BD01D8"/>
    <w:rsid w:val="00BD2512"/>
    <w:rsid w:val="00BD255F"/>
    <w:rsid w:val="00BD383D"/>
    <w:rsid w:val="00BD4236"/>
    <w:rsid w:val="00BD5CCA"/>
    <w:rsid w:val="00BD5CD4"/>
    <w:rsid w:val="00BD6EF9"/>
    <w:rsid w:val="00BD77DD"/>
    <w:rsid w:val="00BE0ACB"/>
    <w:rsid w:val="00BE3537"/>
    <w:rsid w:val="00BE360F"/>
    <w:rsid w:val="00BE50FD"/>
    <w:rsid w:val="00BE51CA"/>
    <w:rsid w:val="00BE6D47"/>
    <w:rsid w:val="00BE7032"/>
    <w:rsid w:val="00BE7330"/>
    <w:rsid w:val="00BF01C5"/>
    <w:rsid w:val="00BF066A"/>
    <w:rsid w:val="00BF361C"/>
    <w:rsid w:val="00BF4342"/>
    <w:rsid w:val="00BF5050"/>
    <w:rsid w:val="00BF5422"/>
    <w:rsid w:val="00BF54CF"/>
    <w:rsid w:val="00BF59B1"/>
    <w:rsid w:val="00BF6A78"/>
    <w:rsid w:val="00BF6E19"/>
    <w:rsid w:val="00BF79B4"/>
    <w:rsid w:val="00C01427"/>
    <w:rsid w:val="00C016A1"/>
    <w:rsid w:val="00C04E0A"/>
    <w:rsid w:val="00C058AF"/>
    <w:rsid w:val="00C10119"/>
    <w:rsid w:val="00C124C1"/>
    <w:rsid w:val="00C128AE"/>
    <w:rsid w:val="00C136D6"/>
    <w:rsid w:val="00C13D5B"/>
    <w:rsid w:val="00C17AE2"/>
    <w:rsid w:val="00C20F27"/>
    <w:rsid w:val="00C215CF"/>
    <w:rsid w:val="00C2244B"/>
    <w:rsid w:val="00C22B0D"/>
    <w:rsid w:val="00C240C1"/>
    <w:rsid w:val="00C250D0"/>
    <w:rsid w:val="00C252AC"/>
    <w:rsid w:val="00C255AB"/>
    <w:rsid w:val="00C27214"/>
    <w:rsid w:val="00C27597"/>
    <w:rsid w:val="00C30382"/>
    <w:rsid w:val="00C30D6F"/>
    <w:rsid w:val="00C31063"/>
    <w:rsid w:val="00C31B7E"/>
    <w:rsid w:val="00C3242A"/>
    <w:rsid w:val="00C32AE2"/>
    <w:rsid w:val="00C33201"/>
    <w:rsid w:val="00C332C4"/>
    <w:rsid w:val="00C360B3"/>
    <w:rsid w:val="00C3679B"/>
    <w:rsid w:val="00C37027"/>
    <w:rsid w:val="00C3778D"/>
    <w:rsid w:val="00C405A3"/>
    <w:rsid w:val="00C42752"/>
    <w:rsid w:val="00C42973"/>
    <w:rsid w:val="00C44F9C"/>
    <w:rsid w:val="00C4730E"/>
    <w:rsid w:val="00C5019C"/>
    <w:rsid w:val="00C5034F"/>
    <w:rsid w:val="00C52479"/>
    <w:rsid w:val="00C52C59"/>
    <w:rsid w:val="00C5349E"/>
    <w:rsid w:val="00C54467"/>
    <w:rsid w:val="00C54D3D"/>
    <w:rsid w:val="00C55A30"/>
    <w:rsid w:val="00C6028F"/>
    <w:rsid w:val="00C608F1"/>
    <w:rsid w:val="00C61253"/>
    <w:rsid w:val="00C631E1"/>
    <w:rsid w:val="00C638D8"/>
    <w:rsid w:val="00C63D26"/>
    <w:rsid w:val="00C641EB"/>
    <w:rsid w:val="00C65053"/>
    <w:rsid w:val="00C66F69"/>
    <w:rsid w:val="00C67223"/>
    <w:rsid w:val="00C67CFF"/>
    <w:rsid w:val="00C707B8"/>
    <w:rsid w:val="00C71C15"/>
    <w:rsid w:val="00C71F3D"/>
    <w:rsid w:val="00C72F53"/>
    <w:rsid w:val="00C74035"/>
    <w:rsid w:val="00C77818"/>
    <w:rsid w:val="00C77AE3"/>
    <w:rsid w:val="00C8063F"/>
    <w:rsid w:val="00C81549"/>
    <w:rsid w:val="00C829A1"/>
    <w:rsid w:val="00C83B36"/>
    <w:rsid w:val="00C84F8A"/>
    <w:rsid w:val="00C85209"/>
    <w:rsid w:val="00C8618F"/>
    <w:rsid w:val="00C90372"/>
    <w:rsid w:val="00C9041F"/>
    <w:rsid w:val="00C91A45"/>
    <w:rsid w:val="00C91ED2"/>
    <w:rsid w:val="00C91FB4"/>
    <w:rsid w:val="00C95745"/>
    <w:rsid w:val="00C962E3"/>
    <w:rsid w:val="00C965BD"/>
    <w:rsid w:val="00C97997"/>
    <w:rsid w:val="00CA0FAC"/>
    <w:rsid w:val="00CA25C0"/>
    <w:rsid w:val="00CA3451"/>
    <w:rsid w:val="00CA4948"/>
    <w:rsid w:val="00CA52F9"/>
    <w:rsid w:val="00CA568B"/>
    <w:rsid w:val="00CA7500"/>
    <w:rsid w:val="00CB19FE"/>
    <w:rsid w:val="00CB304C"/>
    <w:rsid w:val="00CB53E8"/>
    <w:rsid w:val="00CB594A"/>
    <w:rsid w:val="00CB5CB2"/>
    <w:rsid w:val="00CB6979"/>
    <w:rsid w:val="00CC0A3D"/>
    <w:rsid w:val="00CC2373"/>
    <w:rsid w:val="00CC3D24"/>
    <w:rsid w:val="00CC3F91"/>
    <w:rsid w:val="00CC4B0A"/>
    <w:rsid w:val="00CC544A"/>
    <w:rsid w:val="00CC57EA"/>
    <w:rsid w:val="00CC5954"/>
    <w:rsid w:val="00CC6C4E"/>
    <w:rsid w:val="00CD05A2"/>
    <w:rsid w:val="00CD19DA"/>
    <w:rsid w:val="00CD29D4"/>
    <w:rsid w:val="00CD38F5"/>
    <w:rsid w:val="00CD437E"/>
    <w:rsid w:val="00CD5A89"/>
    <w:rsid w:val="00CD5DAD"/>
    <w:rsid w:val="00CD72C5"/>
    <w:rsid w:val="00CD79A7"/>
    <w:rsid w:val="00CE0789"/>
    <w:rsid w:val="00CE1A03"/>
    <w:rsid w:val="00CE2346"/>
    <w:rsid w:val="00CE3529"/>
    <w:rsid w:val="00CE35C8"/>
    <w:rsid w:val="00CE3962"/>
    <w:rsid w:val="00CE5105"/>
    <w:rsid w:val="00CE56BD"/>
    <w:rsid w:val="00CE5EC0"/>
    <w:rsid w:val="00CE6F9F"/>
    <w:rsid w:val="00CE773B"/>
    <w:rsid w:val="00CE781A"/>
    <w:rsid w:val="00CF1D74"/>
    <w:rsid w:val="00CF2BE2"/>
    <w:rsid w:val="00CF55F9"/>
    <w:rsid w:val="00CF71A6"/>
    <w:rsid w:val="00CF7495"/>
    <w:rsid w:val="00D01CF9"/>
    <w:rsid w:val="00D0334D"/>
    <w:rsid w:val="00D0374D"/>
    <w:rsid w:val="00D05A76"/>
    <w:rsid w:val="00D07F1D"/>
    <w:rsid w:val="00D10558"/>
    <w:rsid w:val="00D1203E"/>
    <w:rsid w:val="00D13E70"/>
    <w:rsid w:val="00D16C58"/>
    <w:rsid w:val="00D17019"/>
    <w:rsid w:val="00D17EC6"/>
    <w:rsid w:val="00D21168"/>
    <w:rsid w:val="00D235C8"/>
    <w:rsid w:val="00D2438C"/>
    <w:rsid w:val="00D26C3F"/>
    <w:rsid w:val="00D27185"/>
    <w:rsid w:val="00D337AE"/>
    <w:rsid w:val="00D33AB3"/>
    <w:rsid w:val="00D33F24"/>
    <w:rsid w:val="00D346B7"/>
    <w:rsid w:val="00D346B8"/>
    <w:rsid w:val="00D35AC8"/>
    <w:rsid w:val="00D35D34"/>
    <w:rsid w:val="00D36F87"/>
    <w:rsid w:val="00D37E4E"/>
    <w:rsid w:val="00D42E6C"/>
    <w:rsid w:val="00D43B80"/>
    <w:rsid w:val="00D44236"/>
    <w:rsid w:val="00D45B1E"/>
    <w:rsid w:val="00D45BA4"/>
    <w:rsid w:val="00D471AF"/>
    <w:rsid w:val="00D4724F"/>
    <w:rsid w:val="00D50519"/>
    <w:rsid w:val="00D516A5"/>
    <w:rsid w:val="00D5264C"/>
    <w:rsid w:val="00D5289A"/>
    <w:rsid w:val="00D537FE"/>
    <w:rsid w:val="00D538F0"/>
    <w:rsid w:val="00D54A6A"/>
    <w:rsid w:val="00D54BF8"/>
    <w:rsid w:val="00D54D7C"/>
    <w:rsid w:val="00D55951"/>
    <w:rsid w:val="00D572BE"/>
    <w:rsid w:val="00D57EB6"/>
    <w:rsid w:val="00D60ED7"/>
    <w:rsid w:val="00D63586"/>
    <w:rsid w:val="00D664BF"/>
    <w:rsid w:val="00D66D8B"/>
    <w:rsid w:val="00D72A1C"/>
    <w:rsid w:val="00D73580"/>
    <w:rsid w:val="00D73802"/>
    <w:rsid w:val="00D73868"/>
    <w:rsid w:val="00D73C2C"/>
    <w:rsid w:val="00D73D52"/>
    <w:rsid w:val="00D745E7"/>
    <w:rsid w:val="00D77495"/>
    <w:rsid w:val="00D774ED"/>
    <w:rsid w:val="00D77F88"/>
    <w:rsid w:val="00D81EAA"/>
    <w:rsid w:val="00D8259F"/>
    <w:rsid w:val="00D825F2"/>
    <w:rsid w:val="00D828B1"/>
    <w:rsid w:val="00D84F27"/>
    <w:rsid w:val="00D873C6"/>
    <w:rsid w:val="00D94C7D"/>
    <w:rsid w:val="00D94CA4"/>
    <w:rsid w:val="00D95E99"/>
    <w:rsid w:val="00DA098C"/>
    <w:rsid w:val="00DA1A3A"/>
    <w:rsid w:val="00DA2C65"/>
    <w:rsid w:val="00DA395D"/>
    <w:rsid w:val="00DB16B8"/>
    <w:rsid w:val="00DB1D52"/>
    <w:rsid w:val="00DB1F62"/>
    <w:rsid w:val="00DB2E03"/>
    <w:rsid w:val="00DB3742"/>
    <w:rsid w:val="00DB3F4B"/>
    <w:rsid w:val="00DB61A4"/>
    <w:rsid w:val="00DB67C1"/>
    <w:rsid w:val="00DB70CD"/>
    <w:rsid w:val="00DB70F4"/>
    <w:rsid w:val="00DC1056"/>
    <w:rsid w:val="00DC211E"/>
    <w:rsid w:val="00DC21D8"/>
    <w:rsid w:val="00DC282A"/>
    <w:rsid w:val="00DC34DC"/>
    <w:rsid w:val="00DC3CC6"/>
    <w:rsid w:val="00DC514A"/>
    <w:rsid w:val="00DC64EC"/>
    <w:rsid w:val="00DC67B1"/>
    <w:rsid w:val="00DC7833"/>
    <w:rsid w:val="00DD132B"/>
    <w:rsid w:val="00DD1725"/>
    <w:rsid w:val="00DD1CA6"/>
    <w:rsid w:val="00DD2A18"/>
    <w:rsid w:val="00DD5B1A"/>
    <w:rsid w:val="00DD61E8"/>
    <w:rsid w:val="00DD62C0"/>
    <w:rsid w:val="00DD7859"/>
    <w:rsid w:val="00DE03AC"/>
    <w:rsid w:val="00DE0A1D"/>
    <w:rsid w:val="00DE15B2"/>
    <w:rsid w:val="00DE1A9A"/>
    <w:rsid w:val="00DE3D2C"/>
    <w:rsid w:val="00DE5E82"/>
    <w:rsid w:val="00DE5FA6"/>
    <w:rsid w:val="00DE6494"/>
    <w:rsid w:val="00DE6AA1"/>
    <w:rsid w:val="00DE74D7"/>
    <w:rsid w:val="00DE7EF7"/>
    <w:rsid w:val="00DF1185"/>
    <w:rsid w:val="00DF1299"/>
    <w:rsid w:val="00DF1A70"/>
    <w:rsid w:val="00DF23A8"/>
    <w:rsid w:val="00DF2F27"/>
    <w:rsid w:val="00DF6CCC"/>
    <w:rsid w:val="00DF6D0C"/>
    <w:rsid w:val="00DF6F64"/>
    <w:rsid w:val="00DF721E"/>
    <w:rsid w:val="00DF7C87"/>
    <w:rsid w:val="00E009B0"/>
    <w:rsid w:val="00E03D5C"/>
    <w:rsid w:val="00E04C0F"/>
    <w:rsid w:val="00E0570B"/>
    <w:rsid w:val="00E057B2"/>
    <w:rsid w:val="00E05996"/>
    <w:rsid w:val="00E0767F"/>
    <w:rsid w:val="00E10B87"/>
    <w:rsid w:val="00E10EB0"/>
    <w:rsid w:val="00E1478B"/>
    <w:rsid w:val="00E14FAC"/>
    <w:rsid w:val="00E15007"/>
    <w:rsid w:val="00E16EC7"/>
    <w:rsid w:val="00E1714F"/>
    <w:rsid w:val="00E21576"/>
    <w:rsid w:val="00E219CE"/>
    <w:rsid w:val="00E23961"/>
    <w:rsid w:val="00E24071"/>
    <w:rsid w:val="00E24EBC"/>
    <w:rsid w:val="00E2522C"/>
    <w:rsid w:val="00E2599B"/>
    <w:rsid w:val="00E2793D"/>
    <w:rsid w:val="00E31AFA"/>
    <w:rsid w:val="00E324EE"/>
    <w:rsid w:val="00E359FF"/>
    <w:rsid w:val="00E405F1"/>
    <w:rsid w:val="00E43054"/>
    <w:rsid w:val="00E46013"/>
    <w:rsid w:val="00E477C3"/>
    <w:rsid w:val="00E5048D"/>
    <w:rsid w:val="00E50AC4"/>
    <w:rsid w:val="00E51077"/>
    <w:rsid w:val="00E51E16"/>
    <w:rsid w:val="00E52151"/>
    <w:rsid w:val="00E53730"/>
    <w:rsid w:val="00E53C46"/>
    <w:rsid w:val="00E54511"/>
    <w:rsid w:val="00E55DC3"/>
    <w:rsid w:val="00E564AD"/>
    <w:rsid w:val="00E57577"/>
    <w:rsid w:val="00E62043"/>
    <w:rsid w:val="00E626B9"/>
    <w:rsid w:val="00E627C9"/>
    <w:rsid w:val="00E630F3"/>
    <w:rsid w:val="00E648CE"/>
    <w:rsid w:val="00E65198"/>
    <w:rsid w:val="00E664FB"/>
    <w:rsid w:val="00E66F0D"/>
    <w:rsid w:val="00E70615"/>
    <w:rsid w:val="00E7207B"/>
    <w:rsid w:val="00E7347A"/>
    <w:rsid w:val="00E75A47"/>
    <w:rsid w:val="00E75D8C"/>
    <w:rsid w:val="00E77771"/>
    <w:rsid w:val="00E777F2"/>
    <w:rsid w:val="00E802C9"/>
    <w:rsid w:val="00E80F0A"/>
    <w:rsid w:val="00E81A6A"/>
    <w:rsid w:val="00E8291B"/>
    <w:rsid w:val="00E8395F"/>
    <w:rsid w:val="00E85E41"/>
    <w:rsid w:val="00E85EA1"/>
    <w:rsid w:val="00E91044"/>
    <w:rsid w:val="00E910D3"/>
    <w:rsid w:val="00E923CF"/>
    <w:rsid w:val="00E9335F"/>
    <w:rsid w:val="00E95111"/>
    <w:rsid w:val="00EA14C8"/>
    <w:rsid w:val="00EA19D3"/>
    <w:rsid w:val="00EB05D0"/>
    <w:rsid w:val="00EB07C5"/>
    <w:rsid w:val="00EB1D49"/>
    <w:rsid w:val="00EB42DD"/>
    <w:rsid w:val="00EB559F"/>
    <w:rsid w:val="00EB5F3D"/>
    <w:rsid w:val="00EB6EC2"/>
    <w:rsid w:val="00EC1CEB"/>
    <w:rsid w:val="00EC268C"/>
    <w:rsid w:val="00EC3753"/>
    <w:rsid w:val="00EC3D46"/>
    <w:rsid w:val="00EC4E71"/>
    <w:rsid w:val="00EC6667"/>
    <w:rsid w:val="00ED0365"/>
    <w:rsid w:val="00ED0865"/>
    <w:rsid w:val="00ED1C60"/>
    <w:rsid w:val="00ED2EB9"/>
    <w:rsid w:val="00ED4469"/>
    <w:rsid w:val="00ED5F23"/>
    <w:rsid w:val="00ED6DC0"/>
    <w:rsid w:val="00ED79CE"/>
    <w:rsid w:val="00ED7A7A"/>
    <w:rsid w:val="00EE038C"/>
    <w:rsid w:val="00EE47C5"/>
    <w:rsid w:val="00EE490C"/>
    <w:rsid w:val="00EE613B"/>
    <w:rsid w:val="00EE7E17"/>
    <w:rsid w:val="00EF2C8E"/>
    <w:rsid w:val="00EF3A0D"/>
    <w:rsid w:val="00EF3CEB"/>
    <w:rsid w:val="00EF41A8"/>
    <w:rsid w:val="00EF44FB"/>
    <w:rsid w:val="00EF4D3C"/>
    <w:rsid w:val="00EF5554"/>
    <w:rsid w:val="00EF5AD8"/>
    <w:rsid w:val="00EF5D2F"/>
    <w:rsid w:val="00EF6758"/>
    <w:rsid w:val="00EF6B90"/>
    <w:rsid w:val="00EF79F7"/>
    <w:rsid w:val="00F00418"/>
    <w:rsid w:val="00F006C0"/>
    <w:rsid w:val="00F019AA"/>
    <w:rsid w:val="00F0267E"/>
    <w:rsid w:val="00F02686"/>
    <w:rsid w:val="00F0459B"/>
    <w:rsid w:val="00F04E15"/>
    <w:rsid w:val="00F05DF3"/>
    <w:rsid w:val="00F069EA"/>
    <w:rsid w:val="00F07B6E"/>
    <w:rsid w:val="00F11461"/>
    <w:rsid w:val="00F11675"/>
    <w:rsid w:val="00F1182D"/>
    <w:rsid w:val="00F12557"/>
    <w:rsid w:val="00F13A8F"/>
    <w:rsid w:val="00F144F8"/>
    <w:rsid w:val="00F14DF8"/>
    <w:rsid w:val="00F164A3"/>
    <w:rsid w:val="00F17AD9"/>
    <w:rsid w:val="00F17F74"/>
    <w:rsid w:val="00F202C2"/>
    <w:rsid w:val="00F22756"/>
    <w:rsid w:val="00F23890"/>
    <w:rsid w:val="00F24638"/>
    <w:rsid w:val="00F2504D"/>
    <w:rsid w:val="00F2637F"/>
    <w:rsid w:val="00F268F7"/>
    <w:rsid w:val="00F3053D"/>
    <w:rsid w:val="00F30BDB"/>
    <w:rsid w:val="00F30CF8"/>
    <w:rsid w:val="00F31EDF"/>
    <w:rsid w:val="00F32CDE"/>
    <w:rsid w:val="00F32D4C"/>
    <w:rsid w:val="00F34811"/>
    <w:rsid w:val="00F34B14"/>
    <w:rsid w:val="00F36A6A"/>
    <w:rsid w:val="00F40101"/>
    <w:rsid w:val="00F404F7"/>
    <w:rsid w:val="00F40CCA"/>
    <w:rsid w:val="00F41521"/>
    <w:rsid w:val="00F42943"/>
    <w:rsid w:val="00F42D97"/>
    <w:rsid w:val="00F43F09"/>
    <w:rsid w:val="00F45A72"/>
    <w:rsid w:val="00F46723"/>
    <w:rsid w:val="00F50016"/>
    <w:rsid w:val="00F50647"/>
    <w:rsid w:val="00F5118A"/>
    <w:rsid w:val="00F51A21"/>
    <w:rsid w:val="00F5276E"/>
    <w:rsid w:val="00F52E9F"/>
    <w:rsid w:val="00F53304"/>
    <w:rsid w:val="00F53D40"/>
    <w:rsid w:val="00F545ED"/>
    <w:rsid w:val="00F5687F"/>
    <w:rsid w:val="00F575C7"/>
    <w:rsid w:val="00F60305"/>
    <w:rsid w:val="00F61B12"/>
    <w:rsid w:val="00F62398"/>
    <w:rsid w:val="00F63223"/>
    <w:rsid w:val="00F63264"/>
    <w:rsid w:val="00F6379E"/>
    <w:rsid w:val="00F67FA8"/>
    <w:rsid w:val="00F70799"/>
    <w:rsid w:val="00F70A8B"/>
    <w:rsid w:val="00F724FB"/>
    <w:rsid w:val="00F72A26"/>
    <w:rsid w:val="00F733C3"/>
    <w:rsid w:val="00F756DD"/>
    <w:rsid w:val="00F80047"/>
    <w:rsid w:val="00F8104D"/>
    <w:rsid w:val="00F81587"/>
    <w:rsid w:val="00F82571"/>
    <w:rsid w:val="00F85B72"/>
    <w:rsid w:val="00F8766F"/>
    <w:rsid w:val="00F91082"/>
    <w:rsid w:val="00F91A9A"/>
    <w:rsid w:val="00F93ABB"/>
    <w:rsid w:val="00F94D79"/>
    <w:rsid w:val="00FA118A"/>
    <w:rsid w:val="00FA31C7"/>
    <w:rsid w:val="00FA472D"/>
    <w:rsid w:val="00FA7254"/>
    <w:rsid w:val="00FB18F6"/>
    <w:rsid w:val="00FB2A52"/>
    <w:rsid w:val="00FB2CFF"/>
    <w:rsid w:val="00FB6E19"/>
    <w:rsid w:val="00FB71F6"/>
    <w:rsid w:val="00FC1483"/>
    <w:rsid w:val="00FC1C47"/>
    <w:rsid w:val="00FC39ED"/>
    <w:rsid w:val="00FC4419"/>
    <w:rsid w:val="00FC47E2"/>
    <w:rsid w:val="00FC4AA5"/>
    <w:rsid w:val="00FC5148"/>
    <w:rsid w:val="00FC75AC"/>
    <w:rsid w:val="00FD01BF"/>
    <w:rsid w:val="00FD0525"/>
    <w:rsid w:val="00FD297D"/>
    <w:rsid w:val="00FD2D13"/>
    <w:rsid w:val="00FD3D26"/>
    <w:rsid w:val="00FD4789"/>
    <w:rsid w:val="00FD6071"/>
    <w:rsid w:val="00FE0794"/>
    <w:rsid w:val="00FE1041"/>
    <w:rsid w:val="00FE24CB"/>
    <w:rsid w:val="00FE3166"/>
    <w:rsid w:val="00FE3473"/>
    <w:rsid w:val="00FE353B"/>
    <w:rsid w:val="00FE4049"/>
    <w:rsid w:val="00FE4794"/>
    <w:rsid w:val="00FE5DF7"/>
    <w:rsid w:val="00FE5F72"/>
    <w:rsid w:val="00FF0231"/>
    <w:rsid w:val="00FF1C9B"/>
    <w:rsid w:val="00FF1D49"/>
    <w:rsid w:val="00FF2562"/>
    <w:rsid w:val="00FF3A41"/>
    <w:rsid w:val="00FF3E5B"/>
    <w:rsid w:val="00FF544F"/>
    <w:rsid w:val="00FF57E4"/>
    <w:rsid w:val="00FF7038"/>
    <w:rsid w:val="00FF78E5"/>
    <w:rsid w:val="010A6AC2"/>
    <w:rsid w:val="011507C2"/>
    <w:rsid w:val="0183273C"/>
    <w:rsid w:val="01A56261"/>
    <w:rsid w:val="01AC3A93"/>
    <w:rsid w:val="01B31C9D"/>
    <w:rsid w:val="01E21263"/>
    <w:rsid w:val="021A09FD"/>
    <w:rsid w:val="024141DC"/>
    <w:rsid w:val="02511F9D"/>
    <w:rsid w:val="02692B05"/>
    <w:rsid w:val="027A6905"/>
    <w:rsid w:val="0313544C"/>
    <w:rsid w:val="03454B13"/>
    <w:rsid w:val="03660873"/>
    <w:rsid w:val="03A314B8"/>
    <w:rsid w:val="03B9447C"/>
    <w:rsid w:val="03D62253"/>
    <w:rsid w:val="03D82B98"/>
    <w:rsid w:val="03E6079F"/>
    <w:rsid w:val="03F5648C"/>
    <w:rsid w:val="03F83E8B"/>
    <w:rsid w:val="044C6E68"/>
    <w:rsid w:val="04555962"/>
    <w:rsid w:val="04AA0A87"/>
    <w:rsid w:val="04C56117"/>
    <w:rsid w:val="04E452F2"/>
    <w:rsid w:val="05103CAF"/>
    <w:rsid w:val="05E76E48"/>
    <w:rsid w:val="060B65E0"/>
    <w:rsid w:val="061130E9"/>
    <w:rsid w:val="065B08F4"/>
    <w:rsid w:val="06AC6438"/>
    <w:rsid w:val="079C1E7E"/>
    <w:rsid w:val="079E0178"/>
    <w:rsid w:val="079E79DA"/>
    <w:rsid w:val="07B72767"/>
    <w:rsid w:val="07EB0753"/>
    <w:rsid w:val="07F12200"/>
    <w:rsid w:val="08077E72"/>
    <w:rsid w:val="08341AFF"/>
    <w:rsid w:val="083566D7"/>
    <w:rsid w:val="08707848"/>
    <w:rsid w:val="087D239C"/>
    <w:rsid w:val="08CF1E16"/>
    <w:rsid w:val="091F0FEF"/>
    <w:rsid w:val="095F3DEF"/>
    <w:rsid w:val="09896FC8"/>
    <w:rsid w:val="09CC2AAC"/>
    <w:rsid w:val="09F2208C"/>
    <w:rsid w:val="0A652D3E"/>
    <w:rsid w:val="0A6F59CB"/>
    <w:rsid w:val="0A796F3D"/>
    <w:rsid w:val="0A994290"/>
    <w:rsid w:val="0AA60D06"/>
    <w:rsid w:val="0B2A43EE"/>
    <w:rsid w:val="0B512DDC"/>
    <w:rsid w:val="0BE55E0C"/>
    <w:rsid w:val="0BF44489"/>
    <w:rsid w:val="0BFE5DDD"/>
    <w:rsid w:val="0C1E10EA"/>
    <w:rsid w:val="0C2D3729"/>
    <w:rsid w:val="0C92213C"/>
    <w:rsid w:val="0CA35A93"/>
    <w:rsid w:val="0CFB142B"/>
    <w:rsid w:val="0D537A7F"/>
    <w:rsid w:val="0D7C0282"/>
    <w:rsid w:val="0D84032B"/>
    <w:rsid w:val="0DCD6188"/>
    <w:rsid w:val="0E943A2C"/>
    <w:rsid w:val="0EA07726"/>
    <w:rsid w:val="0EA36BA7"/>
    <w:rsid w:val="0ED76940"/>
    <w:rsid w:val="0F8439A1"/>
    <w:rsid w:val="0FE50784"/>
    <w:rsid w:val="0FFA33CC"/>
    <w:rsid w:val="105C384D"/>
    <w:rsid w:val="108A4F0B"/>
    <w:rsid w:val="10A27F31"/>
    <w:rsid w:val="10CB6CDF"/>
    <w:rsid w:val="11665BE8"/>
    <w:rsid w:val="11767E7A"/>
    <w:rsid w:val="11927058"/>
    <w:rsid w:val="11D010D8"/>
    <w:rsid w:val="11D54941"/>
    <w:rsid w:val="1226519C"/>
    <w:rsid w:val="124318AA"/>
    <w:rsid w:val="126C68DF"/>
    <w:rsid w:val="127F0FBA"/>
    <w:rsid w:val="13AF4F03"/>
    <w:rsid w:val="13D77F15"/>
    <w:rsid w:val="14146BAE"/>
    <w:rsid w:val="143C7D16"/>
    <w:rsid w:val="14485052"/>
    <w:rsid w:val="14736E66"/>
    <w:rsid w:val="14853EF0"/>
    <w:rsid w:val="14891A12"/>
    <w:rsid w:val="14CE2396"/>
    <w:rsid w:val="14E52F5A"/>
    <w:rsid w:val="14F91A9D"/>
    <w:rsid w:val="152E2BFE"/>
    <w:rsid w:val="1534169A"/>
    <w:rsid w:val="153B680A"/>
    <w:rsid w:val="157C40EA"/>
    <w:rsid w:val="15C03E03"/>
    <w:rsid w:val="162A25EB"/>
    <w:rsid w:val="16473933"/>
    <w:rsid w:val="16C1253D"/>
    <w:rsid w:val="16CA79EE"/>
    <w:rsid w:val="16FD2A55"/>
    <w:rsid w:val="17366761"/>
    <w:rsid w:val="17485BB5"/>
    <w:rsid w:val="177B38D3"/>
    <w:rsid w:val="177C01F0"/>
    <w:rsid w:val="17CE6630"/>
    <w:rsid w:val="17FF44C5"/>
    <w:rsid w:val="180238B9"/>
    <w:rsid w:val="18CD0120"/>
    <w:rsid w:val="19185113"/>
    <w:rsid w:val="193C0975"/>
    <w:rsid w:val="19414AB5"/>
    <w:rsid w:val="194A1770"/>
    <w:rsid w:val="194B6927"/>
    <w:rsid w:val="19906F21"/>
    <w:rsid w:val="19921369"/>
    <w:rsid w:val="19F25BCA"/>
    <w:rsid w:val="19F94921"/>
    <w:rsid w:val="1A49190A"/>
    <w:rsid w:val="1A5F2FF9"/>
    <w:rsid w:val="1A6B57AD"/>
    <w:rsid w:val="1A9223BA"/>
    <w:rsid w:val="1A95517C"/>
    <w:rsid w:val="1AA80E44"/>
    <w:rsid w:val="1ABE7431"/>
    <w:rsid w:val="1AD115B9"/>
    <w:rsid w:val="1AFA16D5"/>
    <w:rsid w:val="1AFB7EAA"/>
    <w:rsid w:val="1B185113"/>
    <w:rsid w:val="1B4F19F8"/>
    <w:rsid w:val="1B632FBD"/>
    <w:rsid w:val="1B8D1DE8"/>
    <w:rsid w:val="1BAB2060"/>
    <w:rsid w:val="1BB04ED2"/>
    <w:rsid w:val="1BF62C01"/>
    <w:rsid w:val="1BF956CF"/>
    <w:rsid w:val="1C15085C"/>
    <w:rsid w:val="1C386F93"/>
    <w:rsid w:val="1C5170A2"/>
    <w:rsid w:val="1C9D0174"/>
    <w:rsid w:val="1CE84771"/>
    <w:rsid w:val="1D1A3B4F"/>
    <w:rsid w:val="1D9E117F"/>
    <w:rsid w:val="1DA5166B"/>
    <w:rsid w:val="1DDB32DF"/>
    <w:rsid w:val="1DFB0DC4"/>
    <w:rsid w:val="1E360515"/>
    <w:rsid w:val="1E45661E"/>
    <w:rsid w:val="1EB109E6"/>
    <w:rsid w:val="1F05646C"/>
    <w:rsid w:val="1F063325"/>
    <w:rsid w:val="1F237DD9"/>
    <w:rsid w:val="1F457193"/>
    <w:rsid w:val="1F4B7FF0"/>
    <w:rsid w:val="1F4D6E49"/>
    <w:rsid w:val="1F587B1B"/>
    <w:rsid w:val="1FBC4A4A"/>
    <w:rsid w:val="1FBC5DF5"/>
    <w:rsid w:val="1FCA57B8"/>
    <w:rsid w:val="1FD33DAA"/>
    <w:rsid w:val="200308CB"/>
    <w:rsid w:val="201A505F"/>
    <w:rsid w:val="202A22FB"/>
    <w:rsid w:val="205E3D53"/>
    <w:rsid w:val="209A600A"/>
    <w:rsid w:val="20B16579"/>
    <w:rsid w:val="21960EB9"/>
    <w:rsid w:val="21B83F86"/>
    <w:rsid w:val="22073864"/>
    <w:rsid w:val="221178A8"/>
    <w:rsid w:val="221213CF"/>
    <w:rsid w:val="22327A92"/>
    <w:rsid w:val="226F3FF6"/>
    <w:rsid w:val="227232EB"/>
    <w:rsid w:val="230E60F7"/>
    <w:rsid w:val="231555D9"/>
    <w:rsid w:val="231762A1"/>
    <w:rsid w:val="231D53A2"/>
    <w:rsid w:val="23254DF5"/>
    <w:rsid w:val="2355768F"/>
    <w:rsid w:val="239F4A6C"/>
    <w:rsid w:val="23B7504C"/>
    <w:rsid w:val="23F43D7F"/>
    <w:rsid w:val="23FE6532"/>
    <w:rsid w:val="24571307"/>
    <w:rsid w:val="24BA3AE7"/>
    <w:rsid w:val="24FF18C5"/>
    <w:rsid w:val="25343050"/>
    <w:rsid w:val="25577B0A"/>
    <w:rsid w:val="2578016F"/>
    <w:rsid w:val="25BD046F"/>
    <w:rsid w:val="25E6609D"/>
    <w:rsid w:val="261C686A"/>
    <w:rsid w:val="26446DE3"/>
    <w:rsid w:val="26885BB6"/>
    <w:rsid w:val="26BB1B30"/>
    <w:rsid w:val="26BB67F0"/>
    <w:rsid w:val="26D7699F"/>
    <w:rsid w:val="27386B1B"/>
    <w:rsid w:val="27494E7F"/>
    <w:rsid w:val="276D527B"/>
    <w:rsid w:val="27C571A4"/>
    <w:rsid w:val="2826784C"/>
    <w:rsid w:val="28447CD2"/>
    <w:rsid w:val="28690B03"/>
    <w:rsid w:val="28BB1712"/>
    <w:rsid w:val="28C32732"/>
    <w:rsid w:val="28DF1432"/>
    <w:rsid w:val="28EA1EBD"/>
    <w:rsid w:val="29312F1A"/>
    <w:rsid w:val="295833A0"/>
    <w:rsid w:val="296C02F7"/>
    <w:rsid w:val="298D13C8"/>
    <w:rsid w:val="299B1B74"/>
    <w:rsid w:val="29AB625B"/>
    <w:rsid w:val="29B652B8"/>
    <w:rsid w:val="29ED1565"/>
    <w:rsid w:val="2A7A0114"/>
    <w:rsid w:val="2A9A3142"/>
    <w:rsid w:val="2AFA0B1C"/>
    <w:rsid w:val="2AFA4C4F"/>
    <w:rsid w:val="2B0F4E0D"/>
    <w:rsid w:val="2B774624"/>
    <w:rsid w:val="2BA967CA"/>
    <w:rsid w:val="2BAA40D8"/>
    <w:rsid w:val="2BB233F2"/>
    <w:rsid w:val="2BB7794B"/>
    <w:rsid w:val="2C084A4E"/>
    <w:rsid w:val="2C7A72BE"/>
    <w:rsid w:val="2CA17415"/>
    <w:rsid w:val="2CAB2CE3"/>
    <w:rsid w:val="2CDA35D2"/>
    <w:rsid w:val="2D9B65E7"/>
    <w:rsid w:val="2DA94DE9"/>
    <w:rsid w:val="2DD05DD4"/>
    <w:rsid w:val="2DF41848"/>
    <w:rsid w:val="2DF41FBD"/>
    <w:rsid w:val="2ECC11CA"/>
    <w:rsid w:val="2EE45D6B"/>
    <w:rsid w:val="2F401D3C"/>
    <w:rsid w:val="2F4546D7"/>
    <w:rsid w:val="2F9C21A2"/>
    <w:rsid w:val="2FA95C88"/>
    <w:rsid w:val="2FBC45F2"/>
    <w:rsid w:val="30365340"/>
    <w:rsid w:val="3041370F"/>
    <w:rsid w:val="304B663F"/>
    <w:rsid w:val="305B63A0"/>
    <w:rsid w:val="30640F12"/>
    <w:rsid w:val="306C426A"/>
    <w:rsid w:val="30BF083E"/>
    <w:rsid w:val="30BF332D"/>
    <w:rsid w:val="30F32296"/>
    <w:rsid w:val="312745E0"/>
    <w:rsid w:val="31341110"/>
    <w:rsid w:val="31692F15"/>
    <w:rsid w:val="316B4522"/>
    <w:rsid w:val="31733B56"/>
    <w:rsid w:val="319B4E07"/>
    <w:rsid w:val="31C84EBF"/>
    <w:rsid w:val="32453A27"/>
    <w:rsid w:val="3263064A"/>
    <w:rsid w:val="328D28A4"/>
    <w:rsid w:val="32AC0C06"/>
    <w:rsid w:val="32B24DB7"/>
    <w:rsid w:val="32DF75CE"/>
    <w:rsid w:val="32EC297F"/>
    <w:rsid w:val="33214487"/>
    <w:rsid w:val="33264BA4"/>
    <w:rsid w:val="335039CF"/>
    <w:rsid w:val="33C443EE"/>
    <w:rsid w:val="33C8766E"/>
    <w:rsid w:val="341744ED"/>
    <w:rsid w:val="34244B3B"/>
    <w:rsid w:val="347F2B0C"/>
    <w:rsid w:val="34DE302A"/>
    <w:rsid w:val="34F22868"/>
    <w:rsid w:val="34F238C0"/>
    <w:rsid w:val="351A4295"/>
    <w:rsid w:val="3526736A"/>
    <w:rsid w:val="3537750C"/>
    <w:rsid w:val="3537798C"/>
    <w:rsid w:val="35466E38"/>
    <w:rsid w:val="35A2247A"/>
    <w:rsid w:val="35C13FC9"/>
    <w:rsid w:val="35C5708C"/>
    <w:rsid w:val="35F11FED"/>
    <w:rsid w:val="363A25DE"/>
    <w:rsid w:val="364257B6"/>
    <w:rsid w:val="36DB7A54"/>
    <w:rsid w:val="370B658B"/>
    <w:rsid w:val="373250FB"/>
    <w:rsid w:val="374264D3"/>
    <w:rsid w:val="377E31E4"/>
    <w:rsid w:val="378F7A82"/>
    <w:rsid w:val="37A762F0"/>
    <w:rsid w:val="37AB6741"/>
    <w:rsid w:val="37CD3840"/>
    <w:rsid w:val="37DB7874"/>
    <w:rsid w:val="37EA5922"/>
    <w:rsid w:val="38276B93"/>
    <w:rsid w:val="382D2FA2"/>
    <w:rsid w:val="386760A6"/>
    <w:rsid w:val="388A2DB6"/>
    <w:rsid w:val="389271DA"/>
    <w:rsid w:val="38FB7DDE"/>
    <w:rsid w:val="395D293D"/>
    <w:rsid w:val="39690067"/>
    <w:rsid w:val="39DF5AAD"/>
    <w:rsid w:val="3A0B64A7"/>
    <w:rsid w:val="3A956648"/>
    <w:rsid w:val="3AD14E21"/>
    <w:rsid w:val="3AF439F8"/>
    <w:rsid w:val="3AF74C02"/>
    <w:rsid w:val="3AFE3587"/>
    <w:rsid w:val="3B2B5BDA"/>
    <w:rsid w:val="3B787467"/>
    <w:rsid w:val="3BD37655"/>
    <w:rsid w:val="3C0059A5"/>
    <w:rsid w:val="3C0161AE"/>
    <w:rsid w:val="3C123F18"/>
    <w:rsid w:val="3C134E78"/>
    <w:rsid w:val="3C153BDD"/>
    <w:rsid w:val="3C37530C"/>
    <w:rsid w:val="3CB4057D"/>
    <w:rsid w:val="3DF6345D"/>
    <w:rsid w:val="3DF77869"/>
    <w:rsid w:val="3E2264C8"/>
    <w:rsid w:val="3E611186"/>
    <w:rsid w:val="3E9E4D67"/>
    <w:rsid w:val="3EC62D97"/>
    <w:rsid w:val="3EE13701"/>
    <w:rsid w:val="3EE26668"/>
    <w:rsid w:val="3F06275E"/>
    <w:rsid w:val="3F1A4BB3"/>
    <w:rsid w:val="3F911751"/>
    <w:rsid w:val="40192BA6"/>
    <w:rsid w:val="401A15ED"/>
    <w:rsid w:val="406B4C56"/>
    <w:rsid w:val="4091778D"/>
    <w:rsid w:val="409E221E"/>
    <w:rsid w:val="41112A10"/>
    <w:rsid w:val="411249BA"/>
    <w:rsid w:val="41637842"/>
    <w:rsid w:val="41DD42A4"/>
    <w:rsid w:val="41FD2F74"/>
    <w:rsid w:val="42064B73"/>
    <w:rsid w:val="42511F4D"/>
    <w:rsid w:val="42550A18"/>
    <w:rsid w:val="42F473A1"/>
    <w:rsid w:val="43163866"/>
    <w:rsid w:val="431B035F"/>
    <w:rsid w:val="441E62C0"/>
    <w:rsid w:val="443237DE"/>
    <w:rsid w:val="44942A12"/>
    <w:rsid w:val="44966957"/>
    <w:rsid w:val="44C61D43"/>
    <w:rsid w:val="44CF5BAF"/>
    <w:rsid w:val="44E64001"/>
    <w:rsid w:val="45811C7C"/>
    <w:rsid w:val="45C5024D"/>
    <w:rsid w:val="45C856C5"/>
    <w:rsid w:val="45D15F60"/>
    <w:rsid w:val="4645700B"/>
    <w:rsid w:val="46641988"/>
    <w:rsid w:val="468B3EFB"/>
    <w:rsid w:val="469D1550"/>
    <w:rsid w:val="469E5ADC"/>
    <w:rsid w:val="470A6193"/>
    <w:rsid w:val="47174AD8"/>
    <w:rsid w:val="47632E4D"/>
    <w:rsid w:val="479F062A"/>
    <w:rsid w:val="47BC567F"/>
    <w:rsid w:val="47DC4F5C"/>
    <w:rsid w:val="47F470DF"/>
    <w:rsid w:val="4851401A"/>
    <w:rsid w:val="48B01114"/>
    <w:rsid w:val="48B40671"/>
    <w:rsid w:val="48D71B69"/>
    <w:rsid w:val="48E219B5"/>
    <w:rsid w:val="491017DF"/>
    <w:rsid w:val="49285E5D"/>
    <w:rsid w:val="497F04AA"/>
    <w:rsid w:val="498E3401"/>
    <w:rsid w:val="499B5738"/>
    <w:rsid w:val="499F244D"/>
    <w:rsid w:val="4A063E75"/>
    <w:rsid w:val="4A6F6859"/>
    <w:rsid w:val="4A7E62C5"/>
    <w:rsid w:val="4A8F58C2"/>
    <w:rsid w:val="4AD36CBA"/>
    <w:rsid w:val="4ADB5E1D"/>
    <w:rsid w:val="4AF96BC7"/>
    <w:rsid w:val="4B4958C8"/>
    <w:rsid w:val="4B700B92"/>
    <w:rsid w:val="4BF67355"/>
    <w:rsid w:val="4BF947AC"/>
    <w:rsid w:val="4C1D608B"/>
    <w:rsid w:val="4C4A0834"/>
    <w:rsid w:val="4C6D0CF6"/>
    <w:rsid w:val="4C7B4F91"/>
    <w:rsid w:val="4C854292"/>
    <w:rsid w:val="4CAA7324"/>
    <w:rsid w:val="4CD2121C"/>
    <w:rsid w:val="4CD75F43"/>
    <w:rsid w:val="4CEF36E2"/>
    <w:rsid w:val="4D063625"/>
    <w:rsid w:val="4D333749"/>
    <w:rsid w:val="4D6B189D"/>
    <w:rsid w:val="4D6B4117"/>
    <w:rsid w:val="4DE350EA"/>
    <w:rsid w:val="4E041B47"/>
    <w:rsid w:val="4E11738D"/>
    <w:rsid w:val="4E19509F"/>
    <w:rsid w:val="4E3E6DEE"/>
    <w:rsid w:val="4E6833E5"/>
    <w:rsid w:val="4E7835BA"/>
    <w:rsid w:val="4E933360"/>
    <w:rsid w:val="4ECA2430"/>
    <w:rsid w:val="4EE13E45"/>
    <w:rsid w:val="4EF5106F"/>
    <w:rsid w:val="4F372FFB"/>
    <w:rsid w:val="4F4C553B"/>
    <w:rsid w:val="4FFD05E3"/>
    <w:rsid w:val="50776CFE"/>
    <w:rsid w:val="508D40C7"/>
    <w:rsid w:val="50FD23B2"/>
    <w:rsid w:val="51143A3F"/>
    <w:rsid w:val="517A390E"/>
    <w:rsid w:val="517B2107"/>
    <w:rsid w:val="52446209"/>
    <w:rsid w:val="524B2A87"/>
    <w:rsid w:val="528717D2"/>
    <w:rsid w:val="52BF46A2"/>
    <w:rsid w:val="52C10D75"/>
    <w:rsid w:val="53BA7089"/>
    <w:rsid w:val="54264468"/>
    <w:rsid w:val="54880DC3"/>
    <w:rsid w:val="54B231F4"/>
    <w:rsid w:val="54EE24B5"/>
    <w:rsid w:val="54EE6300"/>
    <w:rsid w:val="550A4D3D"/>
    <w:rsid w:val="550C4BD7"/>
    <w:rsid w:val="55572986"/>
    <w:rsid w:val="55866474"/>
    <w:rsid w:val="55A03EEB"/>
    <w:rsid w:val="55A57753"/>
    <w:rsid w:val="55E81E7D"/>
    <w:rsid w:val="564C575A"/>
    <w:rsid w:val="568B6949"/>
    <w:rsid w:val="56CD5F45"/>
    <w:rsid w:val="56FD06B0"/>
    <w:rsid w:val="575136EE"/>
    <w:rsid w:val="57C85A68"/>
    <w:rsid w:val="57FB18AC"/>
    <w:rsid w:val="58192866"/>
    <w:rsid w:val="58A00256"/>
    <w:rsid w:val="58AB22DA"/>
    <w:rsid w:val="58B27705"/>
    <w:rsid w:val="590B1FC3"/>
    <w:rsid w:val="593B28A8"/>
    <w:rsid w:val="593B3BD2"/>
    <w:rsid w:val="594E7404"/>
    <w:rsid w:val="59575208"/>
    <w:rsid w:val="5A292701"/>
    <w:rsid w:val="5A295DEF"/>
    <w:rsid w:val="5A30659B"/>
    <w:rsid w:val="5A612779"/>
    <w:rsid w:val="5AD67D78"/>
    <w:rsid w:val="5B1935E8"/>
    <w:rsid w:val="5B264E92"/>
    <w:rsid w:val="5B6F05E7"/>
    <w:rsid w:val="5BF925A6"/>
    <w:rsid w:val="5C4D306A"/>
    <w:rsid w:val="5C5A627A"/>
    <w:rsid w:val="5C602626"/>
    <w:rsid w:val="5CF27722"/>
    <w:rsid w:val="5D3F7C0D"/>
    <w:rsid w:val="5D4A7061"/>
    <w:rsid w:val="5DB771CD"/>
    <w:rsid w:val="5DC13E08"/>
    <w:rsid w:val="5E035108"/>
    <w:rsid w:val="5E563883"/>
    <w:rsid w:val="5E5C7260"/>
    <w:rsid w:val="5E7D31AE"/>
    <w:rsid w:val="5E7E0AC9"/>
    <w:rsid w:val="5E920907"/>
    <w:rsid w:val="5F5F3E75"/>
    <w:rsid w:val="5F9564C3"/>
    <w:rsid w:val="5FA02317"/>
    <w:rsid w:val="5FA623D2"/>
    <w:rsid w:val="5FDB26EF"/>
    <w:rsid w:val="600357A2"/>
    <w:rsid w:val="601F5086"/>
    <w:rsid w:val="6048223E"/>
    <w:rsid w:val="606007BB"/>
    <w:rsid w:val="606241FC"/>
    <w:rsid w:val="60A925E9"/>
    <w:rsid w:val="60AA0313"/>
    <w:rsid w:val="60AC7F66"/>
    <w:rsid w:val="6155374A"/>
    <w:rsid w:val="618835DC"/>
    <w:rsid w:val="61932B55"/>
    <w:rsid w:val="61BF10D9"/>
    <w:rsid w:val="623373A1"/>
    <w:rsid w:val="62C00D41"/>
    <w:rsid w:val="62E43779"/>
    <w:rsid w:val="630F26B0"/>
    <w:rsid w:val="63115261"/>
    <w:rsid w:val="631B47CF"/>
    <w:rsid w:val="633330CC"/>
    <w:rsid w:val="636724EC"/>
    <w:rsid w:val="637F5A87"/>
    <w:rsid w:val="641071D4"/>
    <w:rsid w:val="641D6482"/>
    <w:rsid w:val="641E4103"/>
    <w:rsid w:val="646C4DA5"/>
    <w:rsid w:val="64860422"/>
    <w:rsid w:val="64A372BF"/>
    <w:rsid w:val="64E45EF7"/>
    <w:rsid w:val="64EC646C"/>
    <w:rsid w:val="6509133A"/>
    <w:rsid w:val="65297A59"/>
    <w:rsid w:val="653B0166"/>
    <w:rsid w:val="65A04580"/>
    <w:rsid w:val="65B30041"/>
    <w:rsid w:val="65BB0210"/>
    <w:rsid w:val="65BD1428"/>
    <w:rsid w:val="65F07EE1"/>
    <w:rsid w:val="661B0F08"/>
    <w:rsid w:val="66465DA1"/>
    <w:rsid w:val="665E7BD6"/>
    <w:rsid w:val="667016B7"/>
    <w:rsid w:val="66934E32"/>
    <w:rsid w:val="66AD6233"/>
    <w:rsid w:val="66BE11B6"/>
    <w:rsid w:val="66D71736"/>
    <w:rsid w:val="67432943"/>
    <w:rsid w:val="67705E13"/>
    <w:rsid w:val="677435B2"/>
    <w:rsid w:val="67AF6D78"/>
    <w:rsid w:val="67EF75F1"/>
    <w:rsid w:val="67FB0571"/>
    <w:rsid w:val="683062C3"/>
    <w:rsid w:val="68631177"/>
    <w:rsid w:val="68F83653"/>
    <w:rsid w:val="69026F3E"/>
    <w:rsid w:val="69124F16"/>
    <w:rsid w:val="6956755C"/>
    <w:rsid w:val="699851AD"/>
    <w:rsid w:val="69B93F76"/>
    <w:rsid w:val="69CD5C14"/>
    <w:rsid w:val="69CF0D33"/>
    <w:rsid w:val="6A27443D"/>
    <w:rsid w:val="6A370C39"/>
    <w:rsid w:val="6A46004E"/>
    <w:rsid w:val="6A592B7F"/>
    <w:rsid w:val="6AA02F54"/>
    <w:rsid w:val="6ABF3227"/>
    <w:rsid w:val="6ACE4BFE"/>
    <w:rsid w:val="6AFA401D"/>
    <w:rsid w:val="6B086362"/>
    <w:rsid w:val="6B510B18"/>
    <w:rsid w:val="6B540076"/>
    <w:rsid w:val="6B564E25"/>
    <w:rsid w:val="6B592734"/>
    <w:rsid w:val="6B9946B3"/>
    <w:rsid w:val="6B9A2A76"/>
    <w:rsid w:val="6BAB5DDA"/>
    <w:rsid w:val="6BBB33D4"/>
    <w:rsid w:val="6BE15B7A"/>
    <w:rsid w:val="6BE23912"/>
    <w:rsid w:val="6BF05ED5"/>
    <w:rsid w:val="6C982F9B"/>
    <w:rsid w:val="6CDB2F7E"/>
    <w:rsid w:val="6D0F1158"/>
    <w:rsid w:val="6D125276"/>
    <w:rsid w:val="6D3442EB"/>
    <w:rsid w:val="6D747A86"/>
    <w:rsid w:val="6D796213"/>
    <w:rsid w:val="6DA851C0"/>
    <w:rsid w:val="6DE76850"/>
    <w:rsid w:val="6E450F8F"/>
    <w:rsid w:val="6E751F61"/>
    <w:rsid w:val="6E8817FA"/>
    <w:rsid w:val="6EB90E26"/>
    <w:rsid w:val="6EBE0CB5"/>
    <w:rsid w:val="6EDD1EFA"/>
    <w:rsid w:val="6EF33490"/>
    <w:rsid w:val="6EFA3324"/>
    <w:rsid w:val="6F3B2DC5"/>
    <w:rsid w:val="6F675657"/>
    <w:rsid w:val="6F8E1280"/>
    <w:rsid w:val="6FB20BD4"/>
    <w:rsid w:val="6FBA59BE"/>
    <w:rsid w:val="6FC44E85"/>
    <w:rsid w:val="6FEC1DAE"/>
    <w:rsid w:val="7021099E"/>
    <w:rsid w:val="70296B3E"/>
    <w:rsid w:val="70611204"/>
    <w:rsid w:val="706856BC"/>
    <w:rsid w:val="7080101B"/>
    <w:rsid w:val="70DA42FD"/>
    <w:rsid w:val="718E1C30"/>
    <w:rsid w:val="71926378"/>
    <w:rsid w:val="71A524C3"/>
    <w:rsid w:val="71C773DD"/>
    <w:rsid w:val="71E2790D"/>
    <w:rsid w:val="726D687E"/>
    <w:rsid w:val="7285473C"/>
    <w:rsid w:val="7290345A"/>
    <w:rsid w:val="72AE3C93"/>
    <w:rsid w:val="72CB65F3"/>
    <w:rsid w:val="72E82FEB"/>
    <w:rsid w:val="73B20337"/>
    <w:rsid w:val="73C53C4F"/>
    <w:rsid w:val="73EF4563"/>
    <w:rsid w:val="74B35591"/>
    <w:rsid w:val="74DC4067"/>
    <w:rsid w:val="74F30F57"/>
    <w:rsid w:val="74F7651B"/>
    <w:rsid w:val="74FA2C30"/>
    <w:rsid w:val="751D6EAE"/>
    <w:rsid w:val="753D64D1"/>
    <w:rsid w:val="75520425"/>
    <w:rsid w:val="75760F77"/>
    <w:rsid w:val="75E93D41"/>
    <w:rsid w:val="75EC16B5"/>
    <w:rsid w:val="760342F6"/>
    <w:rsid w:val="763C5112"/>
    <w:rsid w:val="764A3CD3"/>
    <w:rsid w:val="767174B1"/>
    <w:rsid w:val="76B26134"/>
    <w:rsid w:val="76C70E7F"/>
    <w:rsid w:val="77D53312"/>
    <w:rsid w:val="77D772CE"/>
    <w:rsid w:val="77E77636"/>
    <w:rsid w:val="781E69D1"/>
    <w:rsid w:val="78574485"/>
    <w:rsid w:val="786A3536"/>
    <w:rsid w:val="787C2AE0"/>
    <w:rsid w:val="789A00BF"/>
    <w:rsid w:val="78AA6CAB"/>
    <w:rsid w:val="78AF2513"/>
    <w:rsid w:val="78B10A72"/>
    <w:rsid w:val="7908577F"/>
    <w:rsid w:val="79393B8B"/>
    <w:rsid w:val="79690791"/>
    <w:rsid w:val="797A1842"/>
    <w:rsid w:val="79AE4579"/>
    <w:rsid w:val="79BF0C86"/>
    <w:rsid w:val="79EE2BC7"/>
    <w:rsid w:val="7A316DFD"/>
    <w:rsid w:val="7AF46346"/>
    <w:rsid w:val="7B0F5EBF"/>
    <w:rsid w:val="7B130FB9"/>
    <w:rsid w:val="7B1F0F17"/>
    <w:rsid w:val="7B22521E"/>
    <w:rsid w:val="7B534406"/>
    <w:rsid w:val="7B815275"/>
    <w:rsid w:val="7BCC0CE6"/>
    <w:rsid w:val="7BD33389"/>
    <w:rsid w:val="7BF64EDE"/>
    <w:rsid w:val="7C253FBF"/>
    <w:rsid w:val="7C2A72E3"/>
    <w:rsid w:val="7C400C1E"/>
    <w:rsid w:val="7C486DA1"/>
    <w:rsid w:val="7C6E0C81"/>
    <w:rsid w:val="7CD2473A"/>
    <w:rsid w:val="7CE9753D"/>
    <w:rsid w:val="7CEE0BDD"/>
    <w:rsid w:val="7D1B0177"/>
    <w:rsid w:val="7D497293"/>
    <w:rsid w:val="7D4D0BA1"/>
    <w:rsid w:val="7D747887"/>
    <w:rsid w:val="7DA63EE4"/>
    <w:rsid w:val="7DD11708"/>
    <w:rsid w:val="7DD76BCD"/>
    <w:rsid w:val="7DE06CCB"/>
    <w:rsid w:val="7DE65456"/>
    <w:rsid w:val="7E010BEF"/>
    <w:rsid w:val="7E210668"/>
    <w:rsid w:val="7E71556B"/>
    <w:rsid w:val="7E7713DD"/>
    <w:rsid w:val="7E776680"/>
    <w:rsid w:val="7E8104AE"/>
    <w:rsid w:val="7EBC46EA"/>
    <w:rsid w:val="7EC167BD"/>
    <w:rsid w:val="7EC471E0"/>
    <w:rsid w:val="7EF218D2"/>
    <w:rsid w:val="7F467964"/>
    <w:rsid w:val="7FA97FCE"/>
    <w:rsid w:val="7FCA378E"/>
    <w:rsid w:val="7FD75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szCs w:val="20"/>
    </w:rPr>
  </w:style>
  <w:style w:type="paragraph" w:styleId="3">
    <w:name w:val="heading 2"/>
    <w:basedOn w:val="1"/>
    <w:next w:val="4"/>
    <w:link w:val="4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6"/>
    <w:qFormat/>
    <w:uiPriority w:val="9"/>
    <w:pPr>
      <w:keepNext/>
      <w:keepLines/>
      <w:spacing w:before="260" w:after="260" w:line="413" w:lineRule="auto"/>
      <w:outlineLvl w:val="2"/>
    </w:pPr>
    <w:rPr>
      <w:b/>
      <w:sz w:val="32"/>
    </w:rPr>
  </w:style>
  <w:style w:type="paragraph" w:styleId="7">
    <w:name w:val="heading 4"/>
    <w:basedOn w:val="1"/>
    <w:next w:val="1"/>
    <w:qFormat/>
    <w:uiPriority w:val="0"/>
    <w:pPr>
      <w:keepNext/>
      <w:keepLines/>
      <w:spacing w:before="280" w:after="290" w:line="376" w:lineRule="auto"/>
      <w:outlineLvl w:val="3"/>
    </w:pPr>
    <w:rPr>
      <w:rFonts w:ascii="Cambria" w:hAnsi="Cambria"/>
      <w:b/>
      <w:bCs/>
      <w:sz w:val="28"/>
      <w:szCs w:val="28"/>
    </w:rPr>
  </w:style>
  <w:style w:type="paragraph" w:styleId="8">
    <w:name w:val="heading 5"/>
    <w:basedOn w:val="1"/>
    <w:next w:val="9"/>
    <w:link w:val="42"/>
    <w:qFormat/>
    <w:uiPriority w:val="0"/>
    <w:pPr>
      <w:keepNext/>
      <w:keepLines/>
      <w:spacing w:before="280" w:after="290" w:line="376" w:lineRule="auto"/>
      <w:outlineLvl w:val="4"/>
    </w:pPr>
    <w:rPr>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4">
    <w:name w:val="正文2"/>
    <w:basedOn w:val="1"/>
    <w:qFormat/>
    <w:uiPriority w:val="0"/>
    <w:pPr>
      <w:jc w:val="center"/>
    </w:pPr>
  </w:style>
  <w:style w:type="paragraph" w:customStyle="1" w:styleId="6">
    <w:name w:val="咨询-正文"/>
    <w:basedOn w:val="1"/>
    <w:qFormat/>
    <w:uiPriority w:val="0"/>
    <w:pPr>
      <w:ind w:firstLine="560" w:firstLineChars="200"/>
      <w:jc w:val="both"/>
    </w:pPr>
  </w:style>
  <w:style w:type="paragraph" w:styleId="9">
    <w:name w:val="Normal Indent"/>
    <w:basedOn w:val="1"/>
    <w:qFormat/>
    <w:uiPriority w:val="0"/>
    <w:pPr>
      <w:ind w:firstLine="420"/>
    </w:pPr>
    <w:rPr>
      <w:szCs w:val="20"/>
    </w:rPr>
  </w:style>
  <w:style w:type="paragraph" w:styleId="10">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1">
    <w:name w:val="Document Map"/>
    <w:basedOn w:val="1"/>
    <w:link w:val="43"/>
    <w:qFormat/>
    <w:uiPriority w:val="0"/>
    <w:rPr>
      <w:rFonts w:ascii="宋体"/>
      <w:sz w:val="18"/>
      <w:szCs w:val="18"/>
    </w:rPr>
  </w:style>
  <w:style w:type="paragraph" w:styleId="12">
    <w:name w:val="annotation text"/>
    <w:basedOn w:val="1"/>
    <w:link w:val="44"/>
    <w:qFormat/>
    <w:uiPriority w:val="0"/>
    <w:pPr>
      <w:jc w:val="left"/>
    </w:pPr>
  </w:style>
  <w:style w:type="paragraph" w:styleId="13">
    <w:name w:val="Body Text 3"/>
    <w:basedOn w:val="1"/>
    <w:link w:val="45"/>
    <w:qFormat/>
    <w:uiPriority w:val="0"/>
    <w:pPr>
      <w:spacing w:after="120"/>
    </w:pPr>
    <w:rPr>
      <w:sz w:val="16"/>
      <w:szCs w:val="16"/>
    </w:rPr>
  </w:style>
  <w:style w:type="paragraph" w:styleId="14">
    <w:name w:val="Body Text"/>
    <w:basedOn w:val="1"/>
    <w:next w:val="15"/>
    <w:link w:val="40"/>
    <w:qFormat/>
    <w:uiPriority w:val="0"/>
    <w:pPr>
      <w:spacing w:after="120"/>
    </w:pPr>
  </w:style>
  <w:style w:type="paragraph" w:styleId="15">
    <w:name w:val="Title"/>
    <w:basedOn w:val="1"/>
    <w:next w:val="1"/>
    <w:qFormat/>
    <w:uiPriority w:val="0"/>
    <w:pPr>
      <w:spacing w:before="240" w:beforeLines="0" w:after="60" w:afterLines="0"/>
      <w:jc w:val="center"/>
      <w:outlineLvl w:val="0"/>
    </w:pPr>
    <w:rPr>
      <w:rFonts w:ascii="Arial" w:hAnsi="Arial" w:cs="Arial"/>
      <w:b/>
      <w:bCs/>
      <w:sz w:val="32"/>
      <w:szCs w:val="32"/>
    </w:rPr>
  </w:style>
  <w:style w:type="paragraph" w:styleId="16">
    <w:name w:val="Body Text Indent"/>
    <w:basedOn w:val="1"/>
    <w:next w:val="17"/>
    <w:link w:val="46"/>
    <w:qFormat/>
    <w:uiPriority w:val="0"/>
    <w:pPr>
      <w:ind w:firstLine="830" w:firstLineChars="352"/>
    </w:pPr>
    <w:rPr>
      <w:rFonts w:ascii="仿宋_GB2312" w:eastAsia="仿宋_GB2312"/>
      <w:kern w:val="0"/>
      <w:sz w:val="32"/>
      <w:szCs w:val="20"/>
    </w:rPr>
  </w:style>
  <w:style w:type="paragraph" w:styleId="17">
    <w:name w:val="Body Text First Indent 2"/>
    <w:basedOn w:val="16"/>
    <w:qFormat/>
    <w:uiPriority w:val="0"/>
  </w:style>
  <w:style w:type="paragraph" w:styleId="18">
    <w:name w:val="List 2"/>
    <w:basedOn w:val="1"/>
    <w:qFormat/>
    <w:uiPriority w:val="0"/>
    <w:pPr>
      <w:ind w:left="100" w:leftChars="200" w:hanging="200" w:hangingChars="200"/>
      <w:contextualSpacing/>
    </w:pPr>
  </w:style>
  <w:style w:type="paragraph" w:styleId="19">
    <w:name w:val="Plain Text"/>
    <w:basedOn w:val="1"/>
    <w:next w:val="1"/>
    <w:link w:val="47"/>
    <w:qFormat/>
    <w:uiPriority w:val="0"/>
    <w:rPr>
      <w:rFonts w:ascii="宋体" w:hAnsi="Courier New"/>
      <w:kern w:val="0"/>
      <w:sz w:val="20"/>
      <w:szCs w:val="21"/>
    </w:rPr>
  </w:style>
  <w:style w:type="paragraph" w:styleId="20">
    <w:name w:val="Date"/>
    <w:basedOn w:val="1"/>
    <w:next w:val="1"/>
    <w:link w:val="48"/>
    <w:qFormat/>
    <w:uiPriority w:val="0"/>
    <w:pPr>
      <w:ind w:left="100" w:leftChars="2500"/>
    </w:pPr>
  </w:style>
  <w:style w:type="paragraph" w:styleId="21">
    <w:name w:val="Balloon Text"/>
    <w:basedOn w:val="1"/>
    <w:qFormat/>
    <w:uiPriority w:val="0"/>
    <w:rPr>
      <w:sz w:val="18"/>
      <w:szCs w:val="18"/>
    </w:rPr>
  </w:style>
  <w:style w:type="paragraph" w:styleId="22">
    <w:name w:val="footer"/>
    <w:basedOn w:val="1"/>
    <w:link w:val="49"/>
    <w:qFormat/>
    <w:uiPriority w:val="0"/>
    <w:pPr>
      <w:tabs>
        <w:tab w:val="center" w:pos="4153"/>
        <w:tab w:val="right" w:pos="8306"/>
      </w:tabs>
      <w:snapToGrid w:val="0"/>
      <w:jc w:val="left"/>
    </w:pPr>
    <w:rPr>
      <w:kern w:val="0"/>
      <w:sz w:val="18"/>
      <w:szCs w:val="18"/>
    </w:rPr>
  </w:style>
  <w:style w:type="paragraph" w:styleId="23">
    <w:name w:val="header"/>
    <w:basedOn w:val="1"/>
    <w:next w:val="22"/>
    <w:link w:val="50"/>
    <w:qFormat/>
    <w:uiPriority w:val="0"/>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qFormat/>
    <w:uiPriority w:val="0"/>
  </w:style>
  <w:style w:type="paragraph" w:styleId="25">
    <w:name w:val="toc 2"/>
    <w:basedOn w:val="1"/>
    <w:next w:val="1"/>
    <w:qFormat/>
    <w:uiPriority w:val="0"/>
    <w:pPr>
      <w:tabs>
        <w:tab w:val="right" w:leader="dot" w:pos="8296"/>
      </w:tabs>
      <w:ind w:left="420" w:leftChars="200"/>
    </w:pPr>
  </w:style>
  <w:style w:type="paragraph" w:styleId="26">
    <w:name w:val="Normal (Web)"/>
    <w:basedOn w:val="1"/>
    <w:qFormat/>
    <w:uiPriority w:val="0"/>
    <w:rPr>
      <w:rFonts w:ascii="Calibri" w:hAnsi="Calibri"/>
      <w:kern w:val="0"/>
      <w:sz w:val="24"/>
    </w:rPr>
  </w:style>
  <w:style w:type="paragraph" w:styleId="27">
    <w:name w:val="annotation subject"/>
    <w:basedOn w:val="12"/>
    <w:next w:val="12"/>
    <w:link w:val="51"/>
    <w:qFormat/>
    <w:uiPriority w:val="0"/>
    <w:rPr>
      <w:b/>
      <w:bCs/>
    </w:rPr>
  </w:style>
  <w:style w:type="paragraph" w:styleId="28">
    <w:name w:val="Body Text First Indent"/>
    <w:basedOn w:val="14"/>
    <w:next w:val="23"/>
    <w:qFormat/>
    <w:uiPriority w:val="0"/>
    <w:pPr>
      <w:ind w:firstLine="420" w:firstLineChars="100"/>
    </w:p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page number"/>
    <w:qFormat/>
    <w:uiPriority w:val="0"/>
  </w:style>
  <w:style w:type="character" w:styleId="34">
    <w:name w:val="Hyperlink"/>
    <w:qFormat/>
    <w:uiPriority w:val="0"/>
    <w:rPr>
      <w:rFonts w:ascii="Times New Roman" w:hAnsi="Times New Roman" w:eastAsia="宋体" w:cs="Times New Roman"/>
      <w:color w:val="0000FF"/>
      <w:u w:val="single"/>
    </w:rPr>
  </w:style>
  <w:style w:type="character" w:styleId="35">
    <w:name w:val="annotation reference"/>
    <w:qFormat/>
    <w:uiPriority w:val="0"/>
    <w:rPr>
      <w:rFonts w:ascii="Times New Roman" w:hAnsi="Times New Roman" w:eastAsia="宋体" w:cs="Times New Roman"/>
      <w:sz w:val="21"/>
      <w:szCs w:val="21"/>
    </w:rPr>
  </w:style>
  <w:style w:type="paragraph" w:customStyle="1" w:styleId="36">
    <w:name w:val="TOC 标题2"/>
    <w:next w:val="1"/>
    <w:qFormat/>
    <w:uiPriority w:val="99"/>
    <w:pPr>
      <w:wordWrap w:val="0"/>
    </w:pPr>
    <w:rPr>
      <w:rFonts w:ascii="Calibri" w:hAnsi="Calibri" w:eastAsia="宋体" w:cs="Times New Roman"/>
      <w:sz w:val="32"/>
      <w:lang w:val="en-US" w:eastAsia="zh-CN" w:bidi="ar-SA"/>
    </w:rPr>
  </w:style>
  <w:style w:type="paragraph" w:customStyle="1" w:styleId="37">
    <w:name w:val="表格文字"/>
    <w:basedOn w:val="1"/>
    <w:next w:val="14"/>
    <w:qFormat/>
    <w:uiPriority w:val="0"/>
    <w:pPr>
      <w:spacing w:before="25" w:after="25" w:line="300" w:lineRule="auto"/>
      <w:ind w:firstLine="200" w:firstLineChars="200"/>
    </w:pPr>
    <w:rPr>
      <w:spacing w:val="10"/>
      <w:kern w:val="0"/>
      <w:sz w:val="24"/>
    </w:rPr>
  </w:style>
  <w:style w:type="paragraph" w:customStyle="1" w:styleId="38">
    <w:name w:val="TOC 标题1"/>
    <w:basedOn w:val="2"/>
    <w:next w:val="1"/>
    <w:qFormat/>
    <w:uiPriority w:val="39"/>
    <w:pPr>
      <w:widowControl/>
      <w:tabs>
        <w:tab w:val="left" w:pos="0"/>
        <w:tab w:val="left" w:pos="1080"/>
      </w:tabs>
      <w:spacing w:before="480" w:after="0" w:line="276" w:lineRule="auto"/>
      <w:ind w:hanging="420"/>
      <w:jc w:val="left"/>
      <w:outlineLvl w:val="9"/>
    </w:pPr>
    <w:rPr>
      <w:rFonts w:ascii="Cambria" w:hAnsi="Cambria"/>
      <w:bCs/>
      <w:color w:val="365F91"/>
      <w:kern w:val="0"/>
      <w:sz w:val="28"/>
      <w:szCs w:val="28"/>
    </w:rPr>
  </w:style>
  <w:style w:type="paragraph" w:customStyle="1" w:styleId="39">
    <w:name w:val="NormalIndent"/>
    <w:basedOn w:val="1"/>
    <w:qFormat/>
    <w:uiPriority w:val="0"/>
    <w:pPr>
      <w:ind w:firstLine="420"/>
    </w:pPr>
    <w:rPr>
      <w:szCs w:val="21"/>
    </w:rPr>
  </w:style>
  <w:style w:type="character" w:customStyle="1" w:styleId="40">
    <w:name w:val="正文文本 字符"/>
    <w:link w:val="14"/>
    <w:qFormat/>
    <w:uiPriority w:val="0"/>
    <w:rPr>
      <w:rFonts w:ascii="Times New Roman" w:hAnsi="Times New Roman" w:eastAsia="宋体" w:cs="Times New Roman"/>
      <w:kern w:val="2"/>
      <w:sz w:val="21"/>
      <w:szCs w:val="24"/>
    </w:rPr>
  </w:style>
  <w:style w:type="character" w:customStyle="1" w:styleId="41">
    <w:name w:val="标题 2 字符"/>
    <w:link w:val="3"/>
    <w:qFormat/>
    <w:uiPriority w:val="0"/>
    <w:rPr>
      <w:rFonts w:ascii="Cambria" w:hAnsi="Cambria" w:eastAsia="宋体" w:cs="Times New Roman"/>
      <w:b/>
      <w:bCs/>
      <w:kern w:val="2"/>
      <w:sz w:val="32"/>
      <w:szCs w:val="32"/>
    </w:rPr>
  </w:style>
  <w:style w:type="character" w:customStyle="1" w:styleId="42">
    <w:name w:val="标题 5 字符"/>
    <w:link w:val="8"/>
    <w:qFormat/>
    <w:uiPriority w:val="0"/>
    <w:rPr>
      <w:rFonts w:ascii="Times New Roman" w:hAnsi="Times New Roman" w:eastAsia="宋体" w:cs="Times New Roman"/>
      <w:b/>
      <w:bCs/>
      <w:kern w:val="2"/>
      <w:sz w:val="28"/>
      <w:szCs w:val="28"/>
    </w:rPr>
  </w:style>
  <w:style w:type="character" w:customStyle="1" w:styleId="43">
    <w:name w:val="文档结构图 字符"/>
    <w:basedOn w:val="31"/>
    <w:link w:val="11"/>
    <w:qFormat/>
    <w:uiPriority w:val="0"/>
    <w:rPr>
      <w:rFonts w:ascii="宋体"/>
      <w:kern w:val="2"/>
      <w:sz w:val="18"/>
      <w:szCs w:val="18"/>
    </w:rPr>
  </w:style>
  <w:style w:type="character" w:customStyle="1" w:styleId="44">
    <w:name w:val="批注文字 字符"/>
    <w:link w:val="12"/>
    <w:qFormat/>
    <w:uiPriority w:val="0"/>
    <w:rPr>
      <w:rFonts w:ascii="Times New Roman" w:hAnsi="Times New Roman" w:eastAsia="宋体" w:cs="Times New Roman"/>
      <w:kern w:val="2"/>
      <w:sz w:val="21"/>
      <w:szCs w:val="24"/>
    </w:rPr>
  </w:style>
  <w:style w:type="character" w:customStyle="1" w:styleId="45">
    <w:name w:val="正文文本 3 字符"/>
    <w:link w:val="13"/>
    <w:qFormat/>
    <w:uiPriority w:val="0"/>
    <w:rPr>
      <w:rFonts w:ascii="Times New Roman" w:hAnsi="Times New Roman" w:eastAsia="宋体" w:cs="Times New Roman"/>
      <w:kern w:val="2"/>
      <w:sz w:val="16"/>
      <w:szCs w:val="16"/>
    </w:rPr>
  </w:style>
  <w:style w:type="character" w:customStyle="1" w:styleId="46">
    <w:name w:val="正文文本缩进 字符"/>
    <w:link w:val="16"/>
    <w:qFormat/>
    <w:uiPriority w:val="0"/>
    <w:rPr>
      <w:rFonts w:ascii="仿宋_GB2312" w:hAnsi="Times New Roman" w:eastAsia="仿宋_GB2312" w:cs="Times New Roman"/>
      <w:sz w:val="32"/>
      <w:szCs w:val="20"/>
    </w:rPr>
  </w:style>
  <w:style w:type="character" w:customStyle="1" w:styleId="47">
    <w:name w:val="纯文本 字符"/>
    <w:link w:val="19"/>
    <w:qFormat/>
    <w:uiPriority w:val="0"/>
    <w:rPr>
      <w:rFonts w:ascii="宋体" w:hAnsi="Courier New" w:eastAsia="宋体" w:cs="Courier New"/>
      <w:szCs w:val="21"/>
    </w:rPr>
  </w:style>
  <w:style w:type="character" w:customStyle="1" w:styleId="48">
    <w:name w:val="日期 字符"/>
    <w:link w:val="20"/>
    <w:qFormat/>
    <w:uiPriority w:val="0"/>
    <w:rPr>
      <w:rFonts w:ascii="Times New Roman" w:hAnsi="Times New Roman" w:eastAsia="宋体" w:cs="Times New Roman"/>
      <w:kern w:val="2"/>
      <w:sz w:val="21"/>
      <w:szCs w:val="24"/>
    </w:rPr>
  </w:style>
  <w:style w:type="character" w:customStyle="1" w:styleId="49">
    <w:name w:val="页脚 字符"/>
    <w:link w:val="22"/>
    <w:qFormat/>
    <w:uiPriority w:val="0"/>
    <w:rPr>
      <w:rFonts w:ascii="Times New Roman" w:hAnsi="Times New Roman" w:eastAsia="宋体" w:cs="Times New Roman"/>
      <w:sz w:val="18"/>
      <w:szCs w:val="18"/>
    </w:rPr>
  </w:style>
  <w:style w:type="character" w:customStyle="1" w:styleId="50">
    <w:name w:val="页眉 字符"/>
    <w:link w:val="23"/>
    <w:qFormat/>
    <w:uiPriority w:val="0"/>
    <w:rPr>
      <w:rFonts w:ascii="Times New Roman" w:hAnsi="Times New Roman" w:eastAsia="宋体" w:cs="Times New Roman"/>
      <w:sz w:val="18"/>
      <w:szCs w:val="18"/>
    </w:rPr>
  </w:style>
  <w:style w:type="character" w:customStyle="1" w:styleId="51">
    <w:name w:val="批注主题 字符"/>
    <w:link w:val="27"/>
    <w:qFormat/>
    <w:uiPriority w:val="0"/>
    <w:rPr>
      <w:rFonts w:ascii="Times New Roman" w:hAnsi="Times New Roman" w:eastAsia="宋体" w:cs="Times New Roman"/>
      <w:b/>
      <w:bCs/>
      <w:kern w:val="2"/>
      <w:sz w:val="21"/>
      <w:szCs w:val="24"/>
    </w:rPr>
  </w:style>
  <w:style w:type="paragraph" w:customStyle="1" w:styleId="52">
    <w:name w:val="列出段落1"/>
    <w:basedOn w:val="1"/>
    <w:qFormat/>
    <w:uiPriority w:val="0"/>
    <w:pPr>
      <w:ind w:firstLine="420" w:firstLineChars="200"/>
    </w:pPr>
    <w:rPr>
      <w:rFonts w:ascii="Calibri" w:hAnsi="Calibri" w:cs="Calibri"/>
      <w:szCs w:val="21"/>
    </w:rPr>
  </w:style>
  <w:style w:type="character" w:customStyle="1" w:styleId="53">
    <w:name w:val="textcontents"/>
    <w:basedOn w:val="31"/>
    <w:qFormat/>
    <w:uiPriority w:val="0"/>
    <w:rPr>
      <w:rFonts w:ascii="Times New Roman" w:hAnsi="Times New Roman" w:eastAsia="宋体" w:cs="Times New Roman"/>
    </w:rPr>
  </w:style>
  <w:style w:type="character" w:customStyle="1" w:styleId="54">
    <w:name w:val="纯文本 字符1"/>
    <w:qFormat/>
    <w:uiPriority w:val="0"/>
    <w:rPr>
      <w:rFonts w:ascii="宋体" w:hAnsi="Courier New" w:eastAsia="宋体" w:cs="Times New Roman"/>
    </w:rPr>
  </w:style>
  <w:style w:type="character" w:customStyle="1" w:styleId="55">
    <w:name w:val="纯文本 字符2"/>
    <w:qFormat/>
    <w:uiPriority w:val="0"/>
    <w:rPr>
      <w:rFonts w:ascii="宋体" w:hAnsi="Courier New" w:eastAsia="宋体" w:cs="Courier New"/>
      <w:szCs w:val="21"/>
    </w:rPr>
  </w:style>
  <w:style w:type="character" w:customStyle="1" w:styleId="56">
    <w:name w:val="apple-style-span"/>
    <w:basedOn w:val="31"/>
    <w:qFormat/>
    <w:uiPriority w:val="0"/>
    <w:rPr>
      <w:rFonts w:ascii="Times New Roman" w:hAnsi="Times New Roman" w:eastAsia="宋体" w:cs="Times New Roman"/>
    </w:rPr>
  </w:style>
  <w:style w:type="character" w:customStyle="1" w:styleId="57">
    <w:name w:val="批注文字 字符1"/>
    <w:qFormat/>
    <w:uiPriority w:val="0"/>
    <w:rPr>
      <w:rFonts w:ascii="Times New Roman" w:hAnsi="Times New Roman" w:eastAsia="宋体" w:cs="Times New Roman"/>
      <w:kern w:val="2"/>
      <w:sz w:val="21"/>
      <w:szCs w:val="24"/>
    </w:rPr>
  </w:style>
  <w:style w:type="paragraph" w:customStyle="1" w:styleId="5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59">
    <w:name w:val="List Paragraph"/>
    <w:basedOn w:val="1"/>
    <w:qFormat/>
    <w:uiPriority w:val="0"/>
    <w:pPr>
      <w:ind w:firstLine="420" w:firstLineChars="200"/>
    </w:pPr>
  </w:style>
  <w:style w:type="paragraph" w:customStyle="1" w:styleId="60">
    <w:name w:val="默认段落字体 Para Char Char Char Char Char Char Char Char Char1 Char Char Char Char"/>
    <w:basedOn w:val="1"/>
    <w:qFormat/>
    <w:uiPriority w:val="0"/>
    <w:rPr>
      <w:rFonts w:ascii="Tahoma" w:hAnsi="Tahoma"/>
      <w:sz w:val="24"/>
      <w:szCs w:val="20"/>
    </w:rPr>
  </w:style>
  <w:style w:type="character" w:customStyle="1" w:styleId="61">
    <w:name w:val="正文文本 Char1"/>
    <w:qFormat/>
    <w:uiPriority w:val="0"/>
    <w:rPr>
      <w:rFonts w:ascii="Times New Roman" w:hAnsi="Times New Roman" w:eastAsia="宋体" w:cs="Times New Roman"/>
      <w:kern w:val="2"/>
      <w:sz w:val="21"/>
      <w:szCs w:val="24"/>
    </w:rPr>
  </w:style>
  <w:style w:type="character" w:customStyle="1" w:styleId="62">
    <w:name w:val="纯文本 Char1"/>
    <w:qFormat/>
    <w:uiPriority w:val="0"/>
    <w:rPr>
      <w:rFonts w:ascii="宋体" w:hAnsi="Courier New" w:eastAsia="宋体" w:cs="Courier New"/>
      <w:szCs w:val="21"/>
    </w:rPr>
  </w:style>
  <w:style w:type="character" w:customStyle="1" w:styleId="63">
    <w:name w:val="15"/>
    <w:qFormat/>
    <w:uiPriority w:val="0"/>
    <w:rPr>
      <w:rFonts w:hint="default" w:ascii="Times New Roman" w:hAnsi="Times New Roman" w:cs="Times New Roman"/>
      <w:color w:val="0000FF"/>
      <w:u w:val="single"/>
    </w:rPr>
  </w:style>
  <w:style w:type="character" w:customStyle="1" w:styleId="64">
    <w:name w:val="font21"/>
    <w:qFormat/>
    <w:uiPriority w:val="0"/>
    <w:rPr>
      <w:rFonts w:hint="eastAsia" w:ascii="宋体" w:hAnsi="宋体" w:eastAsia="宋体" w:cs="宋体"/>
      <w:color w:val="000000"/>
      <w:sz w:val="21"/>
      <w:szCs w:val="21"/>
      <w:u w:val="none"/>
    </w:rPr>
  </w:style>
  <w:style w:type="paragraph" w:customStyle="1" w:styleId="65">
    <w:name w:val="p15"/>
    <w:basedOn w:val="1"/>
    <w:qFormat/>
    <w:uiPriority w:val="99"/>
    <w:pPr>
      <w:widowControl/>
    </w:pPr>
    <w:rPr>
      <w:rFonts w:ascii="宋体" w:hAnsi="宋体"/>
      <w:kern w:val="0"/>
      <w:szCs w:val="21"/>
    </w:rPr>
  </w:style>
  <w:style w:type="paragraph" w:customStyle="1" w:styleId="66">
    <w:name w:val="Table Paragraph"/>
    <w:basedOn w:val="1"/>
    <w:qFormat/>
    <w:uiPriority w:val="1"/>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209"/>
    <customShpInfo spid="_x0000_s2210"/>
    <customShpInfo spid="_x0000_s2211"/>
    <customShpInfo spid="_x0000_s2212"/>
    <customShpInfo spid="_x0000_s2213"/>
    <customShpInfo spid="_x0000_s2214"/>
    <customShpInfo spid="_x0000_s2215"/>
    <customShpInfo spid="_x0000_s2216"/>
    <customShpInfo spid="_x0000_s2217"/>
    <customShpInfo spid="_x0000_s2218"/>
    <customShpInfo spid="_x0000_s2219"/>
    <customShpInfo spid="_x0000_s2220"/>
    <customShpInfo spid="_x0000_s2221"/>
    <customShpInfo spid="_x0000_s2222"/>
    <customShpInfo spid="_x0000_s2223"/>
    <customShpInfo spid="_x0000_s2224"/>
    <customShpInfo spid="_x0000_s2225"/>
    <customShpInfo spid="_x0000_s2226"/>
    <customShpInfo spid="_x0000_s2227"/>
    <customShpInfo spid="_x0000_s2228"/>
    <customShpInfo spid="_x0000_s2229"/>
    <customShpInfo spid="_x0000_s2230"/>
    <customShpInfo spid="_x0000_s2231"/>
    <customShpInfo spid="_x0000_s2232"/>
    <customShpInfo spid="_x0000_s2233"/>
    <customShpInfo spid="_x0000_s2234"/>
    <customShpInfo spid="_x0000_s2235"/>
    <customShpInfo spid="_x0000_s2236"/>
    <customShpInfo spid="_x0000_s2237"/>
    <customShpInfo spid="_x0000_s2238"/>
    <customShpInfo spid="_x0000_s2239"/>
    <customShpInfo spid="_x0000_s2240"/>
    <customShpInfo spid="_x0000_s2241"/>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1026" textRotate="1"/>
    <customShpInfo spid="_x0000_s2307"/>
    <customShpInfo spid="_x0000_s2308"/>
    <customShpInfo spid="_x0000_s2309"/>
    <customShpInfo spid="_x0000_s2310"/>
    <customShpInfo spid="_x0000_s2311"/>
    <customShpInfo spid="_x0000_s2312"/>
    <customShpInfo spid="_x0000_s2313"/>
    <customShpInfo spid="_x0000_s2314"/>
    <customShpInfo spid="_x0000_s2315"/>
    <customShpInfo spid="_x0000_s2316"/>
    <customShpInfo spid="_x0000_s2317"/>
    <customShpInfo spid="_x0000_s2318"/>
    <customShpInfo spid="_x0000_s2319"/>
    <customShpInfo spid="_x0000_s2320"/>
    <customShpInfo spid="_x0000_s2321"/>
    <customShpInfo spid="_x0000_s2322"/>
    <customShpInfo spid="_x0000_s2323"/>
    <customShpInfo spid="_x0000_s2324"/>
    <customShpInfo spid="_x0000_s2325"/>
    <customShpInfo spid="_x0000_s2326"/>
    <customShpInfo spid="_x0000_s2327"/>
    <customShpInfo spid="_x0000_s2328"/>
    <customShpInfo spid="_x0000_s2329"/>
    <customShpInfo spid="_x0000_s2330"/>
    <customShpInfo spid="_x0000_s2331"/>
    <customShpInfo spid="_x0000_s2332"/>
    <customShpInfo spid="_x0000_s2333"/>
    <customShpInfo spid="_x0000_s2334"/>
    <customShpInfo spid="_x0000_s2335"/>
    <customShpInfo spid="_x0000_s2336"/>
    <customShpInfo spid="_x0000_s2337"/>
    <customShpInfo spid="_x0000_s23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86</Pages>
  <Words>10207</Words>
  <Characters>11228</Characters>
  <Lines>449</Lines>
  <Paragraphs>126</Paragraphs>
  <TotalTime>2</TotalTime>
  <ScaleCrop>false</ScaleCrop>
  <LinksUpToDate>false</LinksUpToDate>
  <CharactersWithSpaces>11277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2023-10-26T03:16:00Z</dcterms:created>
  <dc:creator>唐冰</dc:creator>
  <cp:lastModifiedBy>招标代理 韦工</cp:lastModifiedBy>
  <cp:lastPrinted>2025-05-29T02:07:00Z</cp:lastPrinted>
  <dcterms:modified xsi:type="dcterms:W3CDTF">2026-02-27T07:43:41Z</dcterms:modified>
  <dc:title>竞争性谈判文件规范</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E36949A7321C4783AB34089A9AE73A1E_13</vt:lpwstr>
  </property>
  <property fmtid="{D5CDD505-2E9C-101B-9397-08002B2CF9AE}" pid="3" name="KSOProductBuildVer">
    <vt:lpwstr>2052-12.1.0.25222</vt:lpwstr>
  </property>
  <property fmtid="{D5CDD505-2E9C-101B-9397-08002B2CF9AE}" pid="4" name="KSOTemplateDocerSaveRecord">
    <vt:lpwstr>eyJoZGlkIjoiNWY0MDY4NDc3M2VlMDU4ZGIwZjhiNWRiMTJiNWRhNDYiLCJ1c2VySWQiOiIxNDM5OTU2OTExIn0=</vt:lpwstr>
  </property>
</Properties>
</file>