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BBC0F">
      <w:pPr>
        <w:keepNext w:val="0"/>
        <w:keepLines w:val="0"/>
        <w:pageBreakBefore w:val="0"/>
        <w:widowControl w:val="0"/>
        <w:kinsoku/>
        <w:wordWrap/>
        <w:overflowPunct/>
        <w:topLinePunct w:val="0"/>
        <w:autoSpaceDE/>
        <w:autoSpaceDN/>
        <w:bidi w:val="0"/>
        <w:adjustRightInd/>
        <w:snapToGrid w:val="0"/>
        <w:spacing w:before="120" w:beforeLines="50" w:line="360" w:lineRule="auto"/>
        <w:jc w:val="center"/>
        <w:textAlignment w:val="auto"/>
        <w:outlineLvl w:val="9"/>
        <w:rPr>
          <w:rFonts w:hint="eastAsia" w:ascii="Times New Roman" w:hAnsi="Times New Roman" w:eastAsia="仿宋_GB2312" w:cs="仿宋_GB2312"/>
          <w:b/>
          <w:bCs/>
          <w:color w:val="auto"/>
          <w:sz w:val="36"/>
          <w:szCs w:val="36"/>
        </w:rPr>
      </w:pPr>
    </w:p>
    <w:p w14:paraId="1D498BE8">
      <w:pPr>
        <w:keepNext w:val="0"/>
        <w:keepLines w:val="0"/>
        <w:pageBreakBefore w:val="0"/>
        <w:widowControl w:val="0"/>
        <w:kinsoku/>
        <w:wordWrap/>
        <w:overflowPunct/>
        <w:topLinePunct w:val="0"/>
        <w:autoSpaceDE/>
        <w:autoSpaceDN/>
        <w:bidi w:val="0"/>
        <w:adjustRightInd/>
        <w:snapToGrid w:val="0"/>
        <w:spacing w:before="120" w:beforeLines="50" w:line="360" w:lineRule="auto"/>
        <w:jc w:val="center"/>
        <w:textAlignment w:val="auto"/>
        <w:outlineLvl w:val="9"/>
        <w:rPr>
          <w:rFonts w:hint="eastAsia" w:ascii="Times New Roman" w:hAnsi="Times New Roman" w:eastAsia="仿宋_GB2312" w:cs="仿宋_GB2312"/>
          <w:b/>
          <w:bCs/>
          <w:color w:val="auto"/>
          <w:sz w:val="36"/>
          <w:szCs w:val="36"/>
        </w:rPr>
      </w:pPr>
    </w:p>
    <w:p w14:paraId="025C3064">
      <w:pPr>
        <w:pStyle w:val="2"/>
        <w:rPr>
          <w:rFonts w:hint="eastAsia"/>
          <w:color w:val="auto"/>
        </w:rPr>
      </w:pPr>
    </w:p>
    <w:p w14:paraId="32CB39C6">
      <w:pPr>
        <w:pStyle w:val="14"/>
        <w:rPr>
          <w:rFonts w:hint="eastAsia"/>
          <w:color w:val="auto"/>
        </w:rPr>
      </w:pPr>
    </w:p>
    <w:p w14:paraId="2C8CAE47">
      <w:pPr>
        <w:keepNext w:val="0"/>
        <w:keepLines w:val="0"/>
        <w:pageBreakBefore w:val="0"/>
        <w:widowControl w:val="0"/>
        <w:kinsoku/>
        <w:wordWrap/>
        <w:overflowPunct/>
        <w:topLinePunct w:val="0"/>
        <w:autoSpaceDE/>
        <w:autoSpaceDN/>
        <w:bidi w:val="0"/>
        <w:adjustRightInd/>
        <w:snapToGrid w:val="0"/>
        <w:spacing w:before="120" w:beforeLines="50" w:line="360" w:lineRule="auto"/>
        <w:jc w:val="center"/>
        <w:textAlignment w:val="auto"/>
        <w:outlineLvl w:val="9"/>
        <w:rPr>
          <w:rFonts w:hint="eastAsia" w:ascii="Times New Roman" w:hAnsi="Times New Roman" w:eastAsia="仿宋_GB2312" w:cs="仿宋_GB2312"/>
          <w:b/>
          <w:color w:val="auto"/>
          <w:sz w:val="72"/>
          <w:szCs w:val="72"/>
        </w:rPr>
      </w:pPr>
      <w:bookmarkStart w:id="0" w:name="_Toc30057"/>
      <w:r>
        <w:rPr>
          <w:rFonts w:hint="eastAsia" w:ascii="Times New Roman" w:hAnsi="Times New Roman" w:eastAsia="仿宋_GB2312" w:cs="仿宋_GB2312"/>
          <w:b/>
          <w:color w:val="auto"/>
          <w:sz w:val="72"/>
          <w:szCs w:val="72"/>
        </w:rPr>
        <w:t>竞争性磋商文件</w:t>
      </w:r>
      <w:bookmarkEnd w:id="0"/>
    </w:p>
    <w:p w14:paraId="61D97478">
      <w:pPr>
        <w:keepNext w:val="0"/>
        <w:keepLines w:val="0"/>
        <w:pageBreakBefore w:val="0"/>
        <w:widowControl w:val="0"/>
        <w:kinsoku/>
        <w:wordWrap/>
        <w:overflowPunct/>
        <w:topLinePunct w:val="0"/>
        <w:autoSpaceDE/>
        <w:autoSpaceDN/>
        <w:bidi w:val="0"/>
        <w:adjustRightInd/>
        <w:snapToGrid w:val="0"/>
        <w:spacing w:before="120" w:beforeLines="50" w:line="360" w:lineRule="auto"/>
        <w:jc w:val="center"/>
        <w:textAlignment w:val="auto"/>
        <w:outlineLvl w:val="9"/>
        <w:rPr>
          <w:rFonts w:hint="eastAsia" w:ascii="Times New Roman" w:hAnsi="Times New Roman" w:eastAsia="仿宋_GB2312" w:cs="仿宋_GB2312"/>
          <w:b/>
          <w:color w:val="auto"/>
          <w:sz w:val="32"/>
          <w:szCs w:val="32"/>
        </w:rPr>
      </w:pPr>
      <w:bookmarkStart w:id="1" w:name="_Toc12435"/>
      <w:r>
        <w:rPr>
          <w:rFonts w:hint="eastAsia" w:ascii="Times New Roman" w:hAnsi="Times New Roman" w:eastAsia="仿宋_GB2312" w:cs="仿宋_GB2312"/>
          <w:b/>
          <w:color w:val="auto"/>
          <w:sz w:val="32"/>
          <w:szCs w:val="32"/>
        </w:rPr>
        <w:t>（全流程电子化采购）</w:t>
      </w:r>
      <w:bookmarkEnd w:id="1"/>
    </w:p>
    <w:p w14:paraId="738B89EC">
      <w:pPr>
        <w:keepNext w:val="0"/>
        <w:keepLines w:val="0"/>
        <w:pageBreakBefore w:val="0"/>
        <w:widowControl w:val="0"/>
        <w:kinsoku/>
        <w:wordWrap/>
        <w:overflowPunct/>
        <w:topLinePunct w:val="0"/>
        <w:autoSpaceDE/>
        <w:autoSpaceDN/>
        <w:bidi w:val="0"/>
        <w:adjustRightInd/>
        <w:snapToGrid w:val="0"/>
        <w:spacing w:before="120" w:beforeLines="50" w:line="360" w:lineRule="auto"/>
        <w:jc w:val="center"/>
        <w:textAlignment w:val="auto"/>
        <w:outlineLvl w:val="9"/>
        <w:rPr>
          <w:rFonts w:hint="eastAsia" w:ascii="Times New Roman" w:hAnsi="Times New Roman" w:eastAsia="仿宋_GB2312" w:cs="仿宋_GB2312"/>
          <w:b/>
          <w:color w:val="auto"/>
          <w:sz w:val="48"/>
          <w:szCs w:val="48"/>
        </w:rPr>
      </w:pPr>
    </w:p>
    <w:p w14:paraId="47B4C384">
      <w:pPr>
        <w:keepNext w:val="0"/>
        <w:keepLines w:val="0"/>
        <w:pageBreakBefore w:val="0"/>
        <w:widowControl w:val="0"/>
        <w:kinsoku/>
        <w:wordWrap/>
        <w:overflowPunct/>
        <w:topLinePunct w:val="0"/>
        <w:autoSpaceDE/>
        <w:autoSpaceDN/>
        <w:bidi w:val="0"/>
        <w:adjustRightInd/>
        <w:snapToGrid w:val="0"/>
        <w:spacing w:before="120" w:beforeLines="50" w:line="360" w:lineRule="auto"/>
        <w:jc w:val="center"/>
        <w:textAlignment w:val="auto"/>
        <w:outlineLvl w:val="9"/>
        <w:rPr>
          <w:rFonts w:hint="eastAsia" w:ascii="Times New Roman" w:hAnsi="Times New Roman" w:eastAsia="仿宋_GB2312" w:cs="仿宋_GB2312"/>
          <w:b/>
          <w:color w:val="auto"/>
          <w:sz w:val="48"/>
          <w:szCs w:val="48"/>
        </w:rPr>
      </w:pPr>
    </w:p>
    <w:p w14:paraId="04DFB1BB">
      <w:pPr>
        <w:pStyle w:val="17"/>
        <w:keepNext w:val="0"/>
        <w:keepLines w:val="0"/>
        <w:pageBreakBefore w:val="0"/>
        <w:widowControl w:val="0"/>
        <w:kinsoku/>
        <w:wordWrap/>
        <w:overflowPunct/>
        <w:topLinePunct w:val="0"/>
        <w:autoSpaceDE/>
        <w:autoSpaceDN/>
        <w:bidi w:val="0"/>
        <w:adjustRightInd/>
        <w:textAlignment w:val="auto"/>
        <w:outlineLvl w:val="9"/>
        <w:rPr>
          <w:rFonts w:hint="eastAsia" w:ascii="Times New Roman" w:hAnsi="Times New Roman" w:eastAsia="仿宋_GB2312" w:cs="仿宋_GB2312"/>
          <w:color w:val="auto"/>
        </w:rPr>
      </w:pPr>
    </w:p>
    <w:p w14:paraId="0B153330">
      <w:pPr>
        <w:pStyle w:val="17"/>
        <w:keepNext w:val="0"/>
        <w:keepLines w:val="0"/>
        <w:pageBreakBefore w:val="0"/>
        <w:widowControl w:val="0"/>
        <w:kinsoku/>
        <w:wordWrap/>
        <w:overflowPunct/>
        <w:topLinePunct w:val="0"/>
        <w:autoSpaceDE/>
        <w:autoSpaceDN/>
        <w:bidi w:val="0"/>
        <w:adjustRightInd/>
        <w:textAlignment w:val="auto"/>
        <w:outlineLvl w:val="9"/>
        <w:rPr>
          <w:rFonts w:hint="eastAsia" w:ascii="Times New Roman" w:hAnsi="Times New Roman" w:eastAsia="仿宋_GB2312" w:cs="仿宋_GB2312"/>
          <w:color w:val="auto"/>
        </w:rPr>
      </w:pPr>
    </w:p>
    <w:p w14:paraId="4B936869">
      <w:pPr>
        <w:keepNext w:val="0"/>
        <w:keepLines w:val="0"/>
        <w:pageBreakBefore w:val="0"/>
        <w:widowControl w:val="0"/>
        <w:kinsoku/>
        <w:wordWrap/>
        <w:overflowPunct/>
        <w:topLinePunct w:val="0"/>
        <w:autoSpaceDE/>
        <w:autoSpaceDN/>
        <w:bidi w:val="0"/>
        <w:adjustRightInd/>
        <w:snapToGrid w:val="0"/>
        <w:spacing w:line="760" w:lineRule="exact"/>
        <w:ind w:left="1927" w:leftChars="200" w:hanging="1507" w:hangingChars="469"/>
        <w:textAlignment w:val="auto"/>
        <w:outlineLvl w:val="9"/>
        <w:rPr>
          <w:rFonts w:hint="eastAsia" w:ascii="Times New Roman" w:hAnsi="Times New Roman" w:eastAsia="仿宋_GB2312" w:cs="仿宋_GB2312"/>
          <w:b/>
          <w:bCs/>
          <w:color w:val="auto"/>
          <w:kern w:val="0"/>
          <w:sz w:val="32"/>
          <w:szCs w:val="32"/>
          <w:lang w:eastAsia="zh-CN"/>
        </w:rPr>
      </w:pPr>
      <w:bookmarkStart w:id="2" w:name="_Toc16089"/>
      <w:r>
        <w:rPr>
          <w:rFonts w:hint="eastAsia" w:ascii="Times New Roman" w:hAnsi="Times New Roman" w:eastAsia="仿宋_GB2312" w:cs="仿宋_GB2312"/>
          <w:b/>
          <w:bCs/>
          <w:color w:val="auto"/>
          <w:kern w:val="0"/>
          <w:sz w:val="32"/>
          <w:szCs w:val="32"/>
        </w:rPr>
        <w:t>项目</w:t>
      </w:r>
      <w:r>
        <w:rPr>
          <w:rFonts w:hint="eastAsia" w:ascii="Times New Roman" w:hAnsi="Times New Roman" w:eastAsia="仿宋_GB2312" w:cs="仿宋_GB2312"/>
          <w:b/>
          <w:bCs/>
          <w:color w:val="auto"/>
          <w:w w:val="95"/>
          <w:kern w:val="0"/>
          <w:sz w:val="32"/>
          <w:szCs w:val="32"/>
        </w:rPr>
        <w:t>名称</w:t>
      </w:r>
      <w:r>
        <w:rPr>
          <w:rFonts w:hint="eastAsia" w:ascii="Times New Roman" w:hAnsi="Times New Roman" w:eastAsia="仿宋_GB2312" w:cs="仿宋_GB2312"/>
          <w:b/>
          <w:bCs/>
          <w:color w:val="auto"/>
          <w:kern w:val="0"/>
          <w:sz w:val="32"/>
          <w:szCs w:val="32"/>
        </w:rPr>
        <w:t>：</w:t>
      </w:r>
      <w:bookmarkEnd w:id="2"/>
      <w:r>
        <w:rPr>
          <w:rFonts w:hint="eastAsia" w:ascii="Times New Roman" w:hAnsi="Times New Roman" w:eastAsia="仿宋_GB2312" w:cs="仿宋_GB2312"/>
          <w:b/>
          <w:bCs/>
          <w:color w:val="auto"/>
          <w:kern w:val="0"/>
          <w:sz w:val="32"/>
          <w:szCs w:val="32"/>
          <w:lang w:eastAsia="zh-CN"/>
        </w:rPr>
        <w:t>广西水利工程建设质量管理工作手册编制</w:t>
      </w:r>
    </w:p>
    <w:p w14:paraId="1B267C78">
      <w:pPr>
        <w:keepNext w:val="0"/>
        <w:keepLines w:val="0"/>
        <w:pageBreakBefore w:val="0"/>
        <w:widowControl w:val="0"/>
        <w:kinsoku/>
        <w:wordWrap/>
        <w:overflowPunct/>
        <w:topLinePunct w:val="0"/>
        <w:autoSpaceDE/>
        <w:autoSpaceDN/>
        <w:bidi w:val="0"/>
        <w:adjustRightInd/>
        <w:snapToGrid w:val="0"/>
        <w:spacing w:line="760" w:lineRule="exact"/>
        <w:ind w:left="2389" w:leftChars="200" w:hanging="1969" w:hangingChars="645"/>
        <w:textAlignment w:val="auto"/>
        <w:outlineLvl w:val="9"/>
        <w:rPr>
          <w:rFonts w:hint="eastAsia" w:ascii="Times New Roman" w:hAnsi="Times New Roman" w:eastAsia="仿宋_GB2312" w:cs="仿宋_GB2312"/>
          <w:b/>
          <w:bCs/>
          <w:color w:val="auto"/>
          <w:w w:val="95"/>
          <w:kern w:val="0"/>
          <w:sz w:val="32"/>
          <w:szCs w:val="32"/>
          <w:highlight w:val="none"/>
          <w:lang w:val="en-US" w:eastAsia="zh-CN"/>
        </w:rPr>
      </w:pPr>
      <w:r>
        <w:rPr>
          <w:rFonts w:hint="eastAsia" w:ascii="Times New Roman" w:hAnsi="Times New Roman" w:eastAsia="仿宋_GB2312" w:cs="仿宋_GB2312"/>
          <w:b/>
          <w:bCs/>
          <w:color w:val="auto"/>
          <w:w w:val="95"/>
          <w:kern w:val="0"/>
          <w:sz w:val="32"/>
          <w:szCs w:val="32"/>
          <w:highlight w:val="none"/>
        </w:rPr>
        <w:t>采购计划编号</w:t>
      </w:r>
      <w:r>
        <w:rPr>
          <w:rFonts w:hint="eastAsia" w:ascii="Times New Roman" w:hAnsi="Times New Roman" w:eastAsia="仿宋_GB2312" w:cs="仿宋_GB2312"/>
          <w:b/>
          <w:bCs/>
          <w:color w:val="auto"/>
          <w:kern w:val="0"/>
          <w:sz w:val="32"/>
          <w:szCs w:val="32"/>
          <w:lang w:eastAsia="zh-CN"/>
        </w:rPr>
        <w:t>：广西政采</w:t>
      </w:r>
      <w:r>
        <w:rPr>
          <w:rFonts w:hint="eastAsia" w:ascii="Times New Roman" w:hAnsi="Times New Roman" w:eastAsia="仿宋_GB2312" w:cs="仿宋_GB2312"/>
          <w:b/>
          <w:bCs/>
          <w:color w:val="auto"/>
          <w:kern w:val="0"/>
          <w:sz w:val="32"/>
          <w:szCs w:val="32"/>
          <w:lang w:val="en-US" w:eastAsia="zh-CN"/>
        </w:rPr>
        <w:t>[</w:t>
      </w:r>
      <w:r>
        <w:rPr>
          <w:rFonts w:hint="eastAsia" w:ascii="Times New Roman" w:hAnsi="Times New Roman" w:eastAsia="仿宋_GB2312" w:cs="仿宋_GB2312"/>
          <w:b/>
          <w:bCs/>
          <w:color w:val="auto"/>
          <w:kern w:val="0"/>
          <w:sz w:val="32"/>
          <w:szCs w:val="32"/>
          <w:lang w:eastAsia="zh-CN"/>
        </w:rPr>
        <w:t>2026</w:t>
      </w:r>
      <w:r>
        <w:rPr>
          <w:rFonts w:hint="eastAsia" w:ascii="Times New Roman" w:hAnsi="Times New Roman" w:eastAsia="仿宋_GB2312" w:cs="仿宋_GB2312"/>
          <w:b/>
          <w:bCs/>
          <w:color w:val="auto"/>
          <w:kern w:val="0"/>
          <w:sz w:val="32"/>
          <w:szCs w:val="32"/>
          <w:lang w:val="en-US" w:eastAsia="zh-CN"/>
        </w:rPr>
        <w:t>]</w:t>
      </w:r>
      <w:r>
        <w:rPr>
          <w:rFonts w:hint="eastAsia" w:ascii="Times New Roman" w:hAnsi="Times New Roman" w:eastAsia="仿宋_GB2312" w:cs="仿宋_GB2312"/>
          <w:b/>
          <w:bCs/>
          <w:color w:val="auto"/>
          <w:kern w:val="0"/>
          <w:sz w:val="32"/>
          <w:szCs w:val="32"/>
          <w:lang w:eastAsia="zh-CN"/>
        </w:rPr>
        <w:t>3131号</w:t>
      </w:r>
    </w:p>
    <w:p w14:paraId="2CD81FC9">
      <w:pPr>
        <w:keepNext w:val="0"/>
        <w:keepLines w:val="0"/>
        <w:pageBreakBefore w:val="0"/>
        <w:widowControl w:val="0"/>
        <w:kinsoku/>
        <w:wordWrap/>
        <w:overflowPunct/>
        <w:topLinePunct w:val="0"/>
        <w:autoSpaceDE/>
        <w:autoSpaceDN/>
        <w:bidi w:val="0"/>
        <w:adjustRightInd/>
        <w:snapToGrid w:val="0"/>
        <w:spacing w:line="760" w:lineRule="exact"/>
        <w:ind w:left="2389" w:leftChars="200" w:hanging="1969" w:hangingChars="645"/>
        <w:textAlignment w:val="auto"/>
        <w:outlineLvl w:val="9"/>
        <w:rPr>
          <w:rFonts w:hint="default" w:ascii="Times New Roman" w:hAnsi="Times New Roman" w:eastAsia="仿宋_GB2312" w:cs="仿宋_GB2312"/>
          <w:b/>
          <w:bCs/>
          <w:color w:val="auto"/>
          <w:w w:val="95"/>
          <w:sz w:val="32"/>
          <w:szCs w:val="32"/>
          <w:highlight w:val="none"/>
          <w:lang w:val="en-US" w:eastAsia="zh-CN"/>
        </w:rPr>
      </w:pPr>
      <w:bookmarkStart w:id="3" w:name="_Toc28460"/>
      <w:r>
        <w:rPr>
          <w:rFonts w:hint="eastAsia" w:ascii="Times New Roman" w:hAnsi="Times New Roman" w:eastAsia="仿宋_GB2312" w:cs="仿宋_GB2312"/>
          <w:b/>
          <w:bCs/>
          <w:color w:val="auto"/>
          <w:w w:val="95"/>
          <w:sz w:val="32"/>
          <w:szCs w:val="32"/>
          <w:highlight w:val="none"/>
        </w:rPr>
        <w:t>项目</w:t>
      </w:r>
      <w:r>
        <w:rPr>
          <w:rFonts w:hint="eastAsia" w:ascii="Times New Roman" w:hAnsi="Times New Roman" w:eastAsia="仿宋_GB2312" w:cs="仿宋_GB2312"/>
          <w:b/>
          <w:bCs/>
          <w:color w:val="auto"/>
          <w:sz w:val="32"/>
          <w:szCs w:val="32"/>
          <w:highlight w:val="none"/>
        </w:rPr>
        <w:t>编号</w:t>
      </w:r>
      <w:r>
        <w:rPr>
          <w:rFonts w:hint="eastAsia" w:ascii="Times New Roman" w:hAnsi="Times New Roman" w:eastAsia="仿宋_GB2312" w:cs="仿宋_GB2312"/>
          <w:b/>
          <w:bCs/>
          <w:color w:val="auto"/>
          <w:w w:val="95"/>
          <w:sz w:val="32"/>
          <w:szCs w:val="32"/>
          <w:highlight w:val="none"/>
        </w:rPr>
        <w:t>：</w:t>
      </w:r>
      <w:bookmarkEnd w:id="3"/>
      <w:r>
        <w:rPr>
          <w:rFonts w:hint="eastAsia" w:ascii="Times New Roman" w:hAnsi="Times New Roman" w:eastAsia="仿宋_GB2312" w:cs="仿宋_GB2312"/>
          <w:b/>
          <w:bCs/>
          <w:color w:val="auto"/>
          <w:w w:val="95"/>
          <w:sz w:val="32"/>
          <w:szCs w:val="32"/>
          <w:highlight w:val="none"/>
        </w:rPr>
        <w:t>GXZC2026-C3-000531-GXGX</w:t>
      </w:r>
    </w:p>
    <w:p w14:paraId="3FD1D6C3">
      <w:pPr>
        <w:keepNext w:val="0"/>
        <w:keepLines w:val="0"/>
        <w:pageBreakBefore w:val="0"/>
        <w:widowControl w:val="0"/>
        <w:kinsoku/>
        <w:wordWrap/>
        <w:overflowPunct/>
        <w:topLinePunct w:val="0"/>
        <w:autoSpaceDE/>
        <w:autoSpaceDN/>
        <w:bidi w:val="0"/>
        <w:adjustRightInd/>
        <w:snapToGrid w:val="0"/>
        <w:spacing w:line="760" w:lineRule="exact"/>
        <w:ind w:left="2389" w:leftChars="200" w:hanging="1969" w:hangingChars="645"/>
        <w:textAlignment w:val="auto"/>
        <w:outlineLvl w:val="9"/>
        <w:rPr>
          <w:rFonts w:hint="eastAsia" w:ascii="Times New Roman" w:hAnsi="Times New Roman" w:eastAsia="仿宋_GB2312" w:cs="仿宋_GB2312"/>
          <w:b/>
          <w:bCs/>
          <w:color w:val="auto"/>
          <w:w w:val="95"/>
          <w:kern w:val="0"/>
          <w:sz w:val="32"/>
          <w:szCs w:val="32"/>
          <w:lang w:eastAsia="zh-CN"/>
        </w:rPr>
      </w:pPr>
      <w:r>
        <w:rPr>
          <w:rFonts w:hint="eastAsia" w:ascii="Times New Roman" w:hAnsi="Times New Roman" w:eastAsia="仿宋_GB2312" w:cs="仿宋_GB2312"/>
          <w:b/>
          <w:bCs/>
          <w:color w:val="auto"/>
          <w:w w:val="95"/>
          <w:kern w:val="0"/>
          <w:sz w:val="32"/>
          <w:szCs w:val="32"/>
        </w:rPr>
        <w:t>采购人：广西壮族自治区水利</w:t>
      </w:r>
      <w:r>
        <w:rPr>
          <w:rFonts w:hint="eastAsia" w:ascii="Times New Roman" w:hAnsi="Times New Roman" w:eastAsia="仿宋_GB2312" w:cs="仿宋_GB2312"/>
          <w:b/>
          <w:bCs/>
          <w:color w:val="auto"/>
          <w:w w:val="95"/>
          <w:kern w:val="0"/>
          <w:sz w:val="32"/>
          <w:szCs w:val="32"/>
          <w:lang w:val="en-US" w:eastAsia="zh-CN"/>
        </w:rPr>
        <w:t>厅</w:t>
      </w:r>
    </w:p>
    <w:p w14:paraId="2B3AABBA">
      <w:pPr>
        <w:keepNext w:val="0"/>
        <w:keepLines w:val="0"/>
        <w:pageBreakBefore w:val="0"/>
        <w:widowControl w:val="0"/>
        <w:kinsoku/>
        <w:wordWrap/>
        <w:overflowPunct/>
        <w:topLinePunct w:val="0"/>
        <w:autoSpaceDE/>
        <w:autoSpaceDN/>
        <w:bidi w:val="0"/>
        <w:adjustRightInd/>
        <w:snapToGrid w:val="0"/>
        <w:spacing w:line="760" w:lineRule="exact"/>
        <w:ind w:left="2389" w:leftChars="200" w:hanging="1969" w:hangingChars="645"/>
        <w:textAlignment w:val="auto"/>
        <w:outlineLvl w:val="9"/>
        <w:rPr>
          <w:rFonts w:hint="eastAsia" w:ascii="Times New Roman" w:hAnsi="Times New Roman" w:eastAsia="仿宋_GB2312" w:cs="仿宋_GB2312"/>
          <w:b/>
          <w:bCs/>
          <w:color w:val="auto"/>
          <w:w w:val="95"/>
          <w:kern w:val="0"/>
          <w:sz w:val="32"/>
          <w:szCs w:val="32"/>
        </w:rPr>
      </w:pPr>
      <w:r>
        <w:rPr>
          <w:rFonts w:hint="eastAsia" w:ascii="Times New Roman" w:hAnsi="Times New Roman" w:eastAsia="仿宋_GB2312" w:cs="仿宋_GB2312"/>
          <w:b/>
          <w:bCs/>
          <w:color w:val="auto"/>
          <w:w w:val="95"/>
          <w:kern w:val="0"/>
          <w:sz w:val="32"/>
          <w:szCs w:val="32"/>
        </w:rPr>
        <w:t>采购代理机构：广西国兴项目管理有限公司</w:t>
      </w:r>
    </w:p>
    <w:p w14:paraId="24FE2F44">
      <w:pPr>
        <w:pStyle w:val="18"/>
        <w:keepNext w:val="0"/>
        <w:keepLines w:val="0"/>
        <w:pageBreakBefore w:val="0"/>
        <w:widowControl w:val="0"/>
        <w:kinsoku/>
        <w:wordWrap/>
        <w:overflowPunct/>
        <w:topLinePunct w:val="0"/>
        <w:autoSpaceDE/>
        <w:autoSpaceDN/>
        <w:bidi w:val="0"/>
        <w:adjustRightInd/>
        <w:spacing w:before="120" w:after="120" w:line="360" w:lineRule="auto"/>
        <w:jc w:val="center"/>
        <w:textAlignment w:val="auto"/>
        <w:outlineLvl w:val="9"/>
        <w:rPr>
          <w:rFonts w:hint="default" w:ascii="Times New Roman" w:hAnsi="Times New Roman" w:eastAsia="仿宋_GB2312" w:cs="仿宋_GB2312"/>
          <w:b/>
          <w:bCs/>
          <w:color w:val="auto"/>
          <w:w w:val="95"/>
          <w:kern w:val="0"/>
          <w:sz w:val="32"/>
          <w:szCs w:val="32"/>
          <w:lang w:val="en-US" w:eastAsia="zh-CN"/>
        </w:rPr>
      </w:pPr>
      <w:r>
        <w:rPr>
          <w:rFonts w:hint="eastAsia" w:ascii="Times New Roman" w:hAnsi="Times New Roman" w:eastAsia="仿宋_GB2312" w:cs="仿宋_GB2312"/>
          <w:b/>
          <w:bCs/>
          <w:color w:val="auto"/>
          <w:w w:val="95"/>
          <w:kern w:val="0"/>
          <w:sz w:val="32"/>
          <w:szCs w:val="32"/>
        </w:rPr>
        <w:t>202</w:t>
      </w:r>
      <w:r>
        <w:rPr>
          <w:rFonts w:hint="eastAsia" w:ascii="Times New Roman" w:hAnsi="Times New Roman" w:eastAsia="仿宋_GB2312" w:cs="仿宋_GB2312"/>
          <w:b/>
          <w:bCs/>
          <w:color w:val="auto"/>
          <w:w w:val="95"/>
          <w:kern w:val="0"/>
          <w:sz w:val="32"/>
          <w:szCs w:val="32"/>
          <w:lang w:val="en-US" w:eastAsia="zh-CN"/>
        </w:rPr>
        <w:t>6</w:t>
      </w:r>
      <w:r>
        <w:rPr>
          <w:rFonts w:hint="eastAsia" w:ascii="Times New Roman" w:hAnsi="Times New Roman" w:eastAsia="仿宋_GB2312" w:cs="仿宋_GB2312"/>
          <w:b/>
          <w:bCs/>
          <w:color w:val="auto"/>
          <w:w w:val="95"/>
          <w:kern w:val="0"/>
          <w:sz w:val="32"/>
          <w:szCs w:val="32"/>
        </w:rPr>
        <w:t>年</w:t>
      </w:r>
      <w:r>
        <w:rPr>
          <w:rFonts w:hint="eastAsia" w:ascii="Times New Roman" w:hAnsi="Times New Roman" w:eastAsia="仿宋_GB2312" w:cs="仿宋_GB2312"/>
          <w:b/>
          <w:bCs/>
          <w:color w:val="auto"/>
          <w:w w:val="95"/>
          <w:kern w:val="0"/>
          <w:sz w:val="32"/>
          <w:szCs w:val="32"/>
          <w:lang w:val="en-US" w:eastAsia="zh-CN"/>
        </w:rPr>
        <w:t>3</w:t>
      </w:r>
      <w:r>
        <w:rPr>
          <w:rFonts w:hint="eastAsia" w:ascii="Times New Roman" w:hAnsi="Times New Roman" w:eastAsia="仿宋_GB2312" w:cs="仿宋_GB2312"/>
          <w:b/>
          <w:bCs/>
          <w:color w:val="auto"/>
          <w:w w:val="95"/>
          <w:kern w:val="0"/>
          <w:sz w:val="32"/>
          <w:szCs w:val="32"/>
        </w:rPr>
        <w:t>月</w:t>
      </w:r>
      <w:r>
        <w:rPr>
          <w:rFonts w:hint="eastAsia" w:ascii="Times New Roman" w:hAnsi="Times New Roman" w:eastAsia="仿宋_GB2312" w:cs="仿宋_GB2312"/>
          <w:b/>
          <w:bCs/>
          <w:color w:val="auto"/>
          <w:w w:val="95"/>
          <w:kern w:val="0"/>
          <w:sz w:val="32"/>
          <w:szCs w:val="32"/>
          <w:lang w:val="en-US" w:eastAsia="zh-CN"/>
        </w:rPr>
        <w:t>19日</w:t>
      </w:r>
    </w:p>
    <w:p w14:paraId="426D637C">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632" w:firstLineChars="300"/>
        <w:jc w:val="both"/>
        <w:textAlignment w:val="auto"/>
        <w:outlineLvl w:val="9"/>
        <w:rPr>
          <w:rFonts w:hint="eastAsia" w:ascii="宋体" w:hAnsi="宋体" w:eastAsia="宋体" w:cs="宋体"/>
          <w:b/>
          <w:bCs/>
          <w:color w:val="auto"/>
          <w:sz w:val="21"/>
          <w:szCs w:val="21"/>
          <w:highlight w:val="none"/>
          <w:lang w:eastAsia="zh-CN"/>
        </w:rPr>
      </w:pPr>
    </w:p>
    <w:p w14:paraId="3B17B51F">
      <w:pPr>
        <w:pageBreakBefore w:val="0"/>
        <w:widowControl w:val="0"/>
        <w:shd w:val="clear" w:color="auto" w:fill="auto"/>
        <w:kinsoku/>
        <w:wordWrap/>
        <w:overflowPunct/>
        <w:topLinePunct w:val="0"/>
        <w:bidi w:val="0"/>
        <w:spacing w:line="360" w:lineRule="auto"/>
        <w:jc w:val="center"/>
        <w:textAlignment w:val="auto"/>
        <w:outlineLvl w:val="9"/>
        <w:rPr>
          <w:rFonts w:hint="eastAsia" w:ascii="仿宋" w:hAnsi="仿宋" w:eastAsia="仿宋" w:cs="仿宋"/>
          <w:b/>
          <w:color w:val="auto"/>
          <w:sz w:val="44"/>
          <w:szCs w:val="44"/>
          <w:highlight w:val="none"/>
        </w:rPr>
        <w:sectPr>
          <w:headerReference r:id="rId5" w:type="first"/>
          <w:footerReference r:id="rId7" w:type="first"/>
          <w:headerReference r:id="rId3" w:type="default"/>
          <w:headerReference r:id="rId4" w:type="even"/>
          <w:footerReference r:id="rId6" w:type="even"/>
          <w:pgSz w:w="11906" w:h="16838"/>
          <w:pgMar w:top="1440" w:right="1803" w:bottom="1440" w:left="1803" w:header="851" w:footer="992" w:gutter="0"/>
          <w:pgNumType w:start="1"/>
          <w:cols w:space="720" w:num="1"/>
          <w:titlePg/>
          <w:docGrid w:type="lines" w:linePitch="312" w:charSpace="0"/>
        </w:sectPr>
      </w:pPr>
    </w:p>
    <w:p w14:paraId="113A9A6E">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目录</w:t>
      </w:r>
    </w:p>
    <w:p w14:paraId="7136B07F">
      <w:pPr>
        <w:pStyle w:val="19"/>
        <w:tabs>
          <w:tab w:val="right" w:leader="dot" w:pos="8300"/>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TOC \o "1-2" \h \u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_Toc17868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en-US" w:eastAsia="zh-CN"/>
        </w:rPr>
        <w:t>第一章 竞争性磋商公告</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_Toc17868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182839B">
      <w:pPr>
        <w:pStyle w:val="19"/>
        <w:tabs>
          <w:tab w:val="right" w:leader="dot" w:pos="8300"/>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_Toc11321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en-US" w:eastAsia="zh-CN"/>
        </w:rPr>
        <w:t>第二章 供应商须知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_Toc11321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F792DD2">
      <w:pPr>
        <w:pStyle w:val="23"/>
        <w:tabs>
          <w:tab w:val="right" w:leader="dot" w:pos="8300"/>
          <w:tab w:val="clear" w:pos="8296"/>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_Toc9394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en-US" w:eastAsia="zh-CN"/>
        </w:rPr>
        <w:t>供应商须知前附表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_Toc9394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6B27446">
      <w:pPr>
        <w:pStyle w:val="23"/>
        <w:tabs>
          <w:tab w:val="right" w:leader="dot" w:pos="8300"/>
          <w:tab w:val="clear" w:pos="8296"/>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_Toc10053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rPr>
        <w:t>供应商须知正文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_Toc10053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288119C">
      <w:pPr>
        <w:pStyle w:val="23"/>
        <w:tabs>
          <w:tab w:val="right" w:leader="dot" w:pos="8300"/>
          <w:tab w:val="clear" w:pos="8296"/>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_Toc15364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rPr>
        <w:t>一、总则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_Toc15364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3A8EB11">
      <w:pPr>
        <w:pStyle w:val="23"/>
        <w:tabs>
          <w:tab w:val="right" w:leader="dot" w:pos="8300"/>
          <w:tab w:val="clear" w:pos="8296"/>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_Toc18192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rPr>
        <w:t>二、磋商文件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_Toc18192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CAB385B">
      <w:pPr>
        <w:pStyle w:val="23"/>
        <w:tabs>
          <w:tab w:val="right" w:leader="dot" w:pos="8300"/>
          <w:tab w:val="clear" w:pos="8296"/>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_Toc11780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rPr>
        <w:t>三、响应文件的编制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_Toc11780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4CF9889">
      <w:pPr>
        <w:pStyle w:val="23"/>
        <w:tabs>
          <w:tab w:val="right" w:leader="dot" w:pos="8300"/>
          <w:tab w:val="clear" w:pos="8296"/>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_Toc29969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rPr>
        <w:t>四、评审及磋商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_Toc29969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0FF387C">
      <w:pPr>
        <w:pStyle w:val="19"/>
        <w:tabs>
          <w:tab w:val="right" w:leader="dot" w:pos="8300"/>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_Toc12188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en-US" w:eastAsia="zh-CN"/>
        </w:rPr>
        <w:t>第三章 采购需求</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_Toc12188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EFFA315">
      <w:pPr>
        <w:pStyle w:val="23"/>
        <w:tabs>
          <w:tab w:val="right" w:leader="dot" w:pos="8300"/>
          <w:tab w:val="clear" w:pos="8296"/>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_Toc1687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一、采购项目需求一览表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_Toc1687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18884EB">
      <w:pPr>
        <w:pStyle w:val="23"/>
        <w:tabs>
          <w:tab w:val="right" w:leader="dot" w:pos="8300"/>
          <w:tab w:val="clear" w:pos="8296"/>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_Toc3268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lang w:val="en-US" w:eastAsia="zh-CN"/>
        </w:rPr>
        <w:t>二、</w:t>
      </w:r>
      <w:r>
        <w:rPr>
          <w:rFonts w:hint="eastAsia" w:ascii="宋体" w:hAnsi="宋体" w:eastAsia="宋体" w:cs="宋体"/>
          <w:bCs/>
          <w:color w:val="auto"/>
          <w:sz w:val="21"/>
          <w:szCs w:val="21"/>
        </w:rPr>
        <w:t>商务要求</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_Toc3268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2FBBA2F">
      <w:pPr>
        <w:pStyle w:val="23"/>
        <w:tabs>
          <w:tab w:val="right" w:leader="dot" w:pos="8300"/>
          <w:tab w:val="clear" w:pos="8296"/>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_Toc15375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lang w:val="en-US" w:eastAsia="zh-CN"/>
        </w:rPr>
        <w:t>三、与实现项目目标相关的其他要求</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_Toc15375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480A1A2">
      <w:pPr>
        <w:pStyle w:val="19"/>
        <w:tabs>
          <w:tab w:val="right" w:leader="dot" w:pos="8300"/>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_Toc32549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en-US" w:eastAsia="zh-CN"/>
        </w:rPr>
        <w:t>第四章 评审程序、评审方法和评审标准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_Toc32549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D0D06E4">
      <w:pPr>
        <w:pStyle w:val="23"/>
        <w:tabs>
          <w:tab w:val="right" w:leader="dot" w:pos="8300"/>
          <w:tab w:val="clear" w:pos="8296"/>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_Toc16301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rPr>
        <w:t>一、评审程序和评审方法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_Toc16301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593FF6D">
      <w:pPr>
        <w:pStyle w:val="23"/>
        <w:tabs>
          <w:tab w:val="right" w:leader="dot" w:pos="8300"/>
          <w:tab w:val="clear" w:pos="8296"/>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_Toc10921 </w:instrText>
      </w:r>
      <w:r>
        <w:rPr>
          <w:rFonts w:hint="eastAsia" w:ascii="宋体" w:hAnsi="宋体" w:eastAsia="宋体" w:cs="宋体"/>
          <w:color w:val="auto"/>
          <w:sz w:val="21"/>
          <w:szCs w:val="21"/>
        </w:rPr>
        <w:fldChar w:fldCharType="separate"/>
      </w:r>
      <w:r>
        <w:rPr>
          <w:rFonts w:hint="eastAsia" w:ascii="宋体" w:hAnsi="宋体" w:eastAsia="宋体" w:cs="宋体"/>
          <w:bCs w:val="0"/>
          <w:color w:val="auto"/>
          <w:sz w:val="21"/>
          <w:szCs w:val="21"/>
          <w:highlight w:val="none"/>
        </w:rPr>
        <w:t>二、评审标准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_Toc10921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3430523">
      <w:pPr>
        <w:pStyle w:val="19"/>
        <w:tabs>
          <w:tab w:val="right" w:leader="dot" w:pos="8300"/>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_Toc17964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en-US" w:eastAsia="zh-CN"/>
        </w:rPr>
        <w:t>第五章 响应文件格式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_Toc17964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781C702">
      <w:pPr>
        <w:pStyle w:val="23"/>
        <w:tabs>
          <w:tab w:val="right" w:leader="dot" w:pos="8300"/>
          <w:tab w:val="clear" w:pos="8296"/>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_Toc30636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rPr>
        <w:t>一、资格证明文件格式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_Toc30636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72A630B">
      <w:pPr>
        <w:pStyle w:val="23"/>
        <w:tabs>
          <w:tab w:val="right" w:leader="dot" w:pos="8300"/>
          <w:tab w:val="clear" w:pos="8296"/>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_Toc19138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rPr>
        <w:t>二、</w:t>
      </w:r>
      <w:r>
        <w:rPr>
          <w:rFonts w:hint="eastAsia" w:ascii="宋体" w:hAnsi="宋体" w:eastAsia="宋体" w:cs="宋体"/>
          <w:color w:val="auto"/>
          <w:sz w:val="21"/>
          <w:szCs w:val="21"/>
          <w:highlight w:val="none"/>
        </w:rPr>
        <w:t>报价文件格式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_Toc19138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6CC66BD">
      <w:pPr>
        <w:pStyle w:val="23"/>
        <w:tabs>
          <w:tab w:val="right" w:leader="dot" w:pos="8300"/>
          <w:tab w:val="clear" w:pos="8296"/>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_Toc32690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rPr>
        <w:t>三、</w:t>
      </w:r>
      <w:r>
        <w:rPr>
          <w:rFonts w:hint="eastAsia" w:ascii="宋体" w:hAnsi="宋体" w:eastAsia="宋体" w:cs="宋体"/>
          <w:color w:val="auto"/>
          <w:sz w:val="21"/>
          <w:szCs w:val="21"/>
          <w:highlight w:val="none"/>
        </w:rPr>
        <w:t>商务技术文件格式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_Toc32690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4C3B12F">
      <w:pPr>
        <w:pStyle w:val="23"/>
        <w:tabs>
          <w:tab w:val="right" w:leader="dot" w:pos="8300"/>
          <w:tab w:val="clear" w:pos="8296"/>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_Toc26489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w:t>
      </w:r>
      <w:r>
        <w:rPr>
          <w:rFonts w:hint="eastAsia" w:ascii="宋体" w:hAnsi="宋体" w:eastAsia="宋体" w:cs="宋体"/>
          <w:bCs w:val="0"/>
          <w:color w:val="auto"/>
          <w:sz w:val="21"/>
          <w:szCs w:val="21"/>
          <w:highlight w:val="none"/>
        </w:rPr>
        <w:t>其他文书、文件格式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_Toc26489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B491BF4">
      <w:pPr>
        <w:pStyle w:val="19"/>
        <w:tabs>
          <w:tab w:val="right" w:leader="dot" w:pos="8300"/>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_Toc10445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en-US" w:eastAsia="zh-CN"/>
        </w:rPr>
        <w:t>第六章 合同文本</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_Toc10445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3C2EFBD">
      <w:pPr>
        <w:pStyle w:val="23"/>
        <w:shd w:val="clear" w:color="auto" w:fill="auto"/>
        <w:tabs>
          <w:tab w:val="right" w:leader="dot" w:pos="8931"/>
          <w:tab w:val="clear" w:pos="8296"/>
        </w:tabs>
        <w:snapToGrid w:val="0"/>
        <w:spacing w:line="360" w:lineRule="auto"/>
        <w:ind w:left="0" w:leftChars="0"/>
        <w:rPr>
          <w:rFonts w:hint="eastAsia" w:ascii="宋体" w:hAnsi="宋体" w:eastAsia="宋体" w:cs="宋体"/>
          <w:color w:val="auto"/>
          <w:sz w:val="21"/>
          <w:szCs w:val="21"/>
        </w:rPr>
        <w:sectPr>
          <w:footerReference r:id="rId9" w:type="first"/>
          <w:footerReference r:id="rId8" w:type="default"/>
          <w:pgSz w:w="11906" w:h="16838"/>
          <w:pgMar w:top="1440" w:right="1803" w:bottom="1440" w:left="1803" w:header="720" w:footer="720" w:gutter="0"/>
          <w:lnNumType w:countBy="0" w:distance="360"/>
          <w:cols w:space="720" w:num="1"/>
          <w:titlePg/>
          <w:docGrid w:type="lines" w:linePitch="331" w:charSpace="0"/>
        </w:sectPr>
      </w:pPr>
      <w:r>
        <w:rPr>
          <w:rFonts w:hint="eastAsia" w:ascii="宋体" w:hAnsi="宋体" w:eastAsia="宋体" w:cs="宋体"/>
          <w:color w:val="auto"/>
          <w:sz w:val="21"/>
          <w:szCs w:val="21"/>
        </w:rPr>
        <w:fldChar w:fldCharType="end"/>
      </w:r>
    </w:p>
    <w:p w14:paraId="3832F522">
      <w:pPr>
        <w:rPr>
          <w:rFonts w:hint="eastAsia"/>
          <w:color w:val="auto"/>
        </w:rPr>
      </w:pPr>
    </w:p>
    <w:p w14:paraId="1941A508">
      <w:pPr>
        <w:shd w:val="clear" w:color="auto" w:fill="auto"/>
        <w:spacing w:line="360" w:lineRule="auto"/>
        <w:jc w:val="center"/>
        <w:outlineLvl w:val="0"/>
        <w:rPr>
          <w:rFonts w:hint="eastAsia" w:ascii="方正小标宋_GBK" w:hAnsi="方正小标宋_GBK" w:eastAsia="方正小标宋_GBK" w:cs="方正小标宋_GBK"/>
          <w:b/>
          <w:color w:val="auto"/>
          <w:sz w:val="28"/>
          <w:szCs w:val="28"/>
          <w:highlight w:val="none"/>
          <w:lang w:val="en-US" w:eastAsia="zh-CN"/>
        </w:rPr>
      </w:pPr>
      <w:bookmarkStart w:id="4" w:name="_Toc144750171"/>
      <w:bookmarkStart w:id="5" w:name="_Toc17868"/>
      <w:bookmarkStart w:id="6" w:name="_Toc7641"/>
      <w:r>
        <w:rPr>
          <w:rFonts w:hint="eastAsia" w:ascii="方正小标宋_GBK" w:hAnsi="方正小标宋_GBK" w:eastAsia="方正小标宋_GBK" w:cs="方正小标宋_GBK"/>
          <w:b/>
          <w:color w:val="auto"/>
          <w:sz w:val="28"/>
          <w:szCs w:val="28"/>
          <w:highlight w:val="none"/>
          <w:lang w:val="en-US" w:eastAsia="zh-CN"/>
        </w:rPr>
        <w:t>第一章 竞争性磋商公告</w:t>
      </w:r>
      <w:bookmarkEnd w:id="4"/>
      <w:bookmarkEnd w:id="5"/>
      <w:bookmarkEnd w:id="6"/>
    </w:p>
    <w:p w14:paraId="17350A35">
      <w:pPr>
        <w:keepNext w:val="0"/>
        <w:keepLines w:val="0"/>
        <w:pageBreakBefore w:val="0"/>
        <w:widowControl w:val="0"/>
        <w:pBdr>
          <w:top w:val="single" w:color="auto" w:sz="4" w:space="1"/>
          <w:left w:val="single" w:color="auto" w:sz="4" w:space="4"/>
          <w:bottom w:val="single" w:color="auto" w:sz="4" w:space="1"/>
          <w:right w:val="single" w:color="auto" w:sz="4" w:space="4"/>
        </w:pBdr>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bookmarkStart w:id="7" w:name="_Hlk37430271"/>
      <w:r>
        <w:rPr>
          <w:rFonts w:hint="eastAsia" w:ascii="宋体" w:hAnsi="宋体" w:eastAsia="宋体" w:cs="宋体"/>
          <w:color w:val="auto"/>
          <w:sz w:val="21"/>
          <w:szCs w:val="21"/>
          <w:highlight w:val="none"/>
        </w:rPr>
        <w:t>项目概况</w:t>
      </w:r>
    </w:p>
    <w:p w14:paraId="1731E182">
      <w:pPr>
        <w:keepNext w:val="0"/>
        <w:keepLines w:val="0"/>
        <w:pageBreakBefore w:val="0"/>
        <w:widowControl w:val="0"/>
        <w:pBdr>
          <w:top w:val="single" w:color="auto" w:sz="4" w:space="1"/>
          <w:left w:val="single" w:color="auto" w:sz="4" w:space="4"/>
          <w:bottom w:val="single" w:color="auto" w:sz="4" w:space="1"/>
          <w:right w:val="single" w:color="auto" w:sz="4" w:space="4"/>
        </w:pBdr>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广西水利工程建设质量管理工作手册编制</w:t>
      </w:r>
      <w:r>
        <w:rPr>
          <w:rFonts w:hint="eastAsia" w:ascii="宋体" w:hAnsi="宋体" w:eastAsia="宋体" w:cs="宋体"/>
          <w:color w:val="auto"/>
          <w:sz w:val="21"/>
          <w:szCs w:val="21"/>
          <w:highlight w:val="none"/>
        </w:rPr>
        <w:t>的潜在供应商应在广西政府采购云平台（https://www.gcy.zfcg.gxzf.gov.cn/）获取采购文件，并于202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（北京时间）前提交响应文件。</w:t>
      </w:r>
    </w:p>
    <w:p w14:paraId="417BF148">
      <w:pPr>
        <w:keepNext w:val="0"/>
        <w:keepLines w:val="0"/>
        <w:pageBreakBefore w:val="0"/>
        <w:shd w:val="clear" w:color="auto" w:fill="auto"/>
        <w:kinsoku/>
        <w:wordWrap/>
        <w:overflowPunct/>
        <w:topLinePunct w:val="0"/>
        <w:autoSpaceDE/>
        <w:autoSpaceDN/>
        <w:bidi w:val="0"/>
        <w:adjustRightInd/>
        <w:spacing w:line="400" w:lineRule="exact"/>
        <w:ind w:left="0" w:leftChars="0" w:firstLine="422" w:firstLineChars="200"/>
        <w:jc w:val="both"/>
        <w:textAlignment w:val="auto"/>
        <w:outlineLvl w:val="1"/>
        <w:rPr>
          <w:rFonts w:hint="eastAsia" w:ascii="宋体" w:hAnsi="宋体" w:eastAsia="宋体" w:cs="宋体"/>
          <w:b/>
          <w:color w:val="auto"/>
          <w:sz w:val="21"/>
          <w:szCs w:val="21"/>
          <w:highlight w:val="none"/>
        </w:rPr>
      </w:pPr>
      <w:bookmarkStart w:id="8" w:name="_Toc8897"/>
      <w:bookmarkStart w:id="9" w:name="_Toc9408"/>
      <w:bookmarkStart w:id="10" w:name="_Toc21132"/>
      <w:r>
        <w:rPr>
          <w:rFonts w:hint="eastAsia" w:ascii="宋体" w:hAnsi="宋体" w:eastAsia="宋体" w:cs="宋体"/>
          <w:b/>
          <w:color w:val="auto"/>
          <w:sz w:val="21"/>
          <w:szCs w:val="21"/>
          <w:highlight w:val="none"/>
        </w:rPr>
        <w:t>一、项目基本情况</w:t>
      </w:r>
      <w:bookmarkEnd w:id="8"/>
      <w:bookmarkEnd w:id="9"/>
      <w:bookmarkEnd w:id="10"/>
    </w:p>
    <w:p w14:paraId="76437163">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项目编号：GXZC2026-C3-000531-GXGX</w:t>
      </w:r>
    </w:p>
    <w:p w14:paraId="69F05306">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广西水利工程建设质量管理工作手册编制</w:t>
      </w:r>
    </w:p>
    <w:p w14:paraId="14C7B267">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采购方式：竞争性磋商</w:t>
      </w:r>
    </w:p>
    <w:p w14:paraId="6C12F615">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预算</w:t>
      </w:r>
      <w:r>
        <w:rPr>
          <w:rFonts w:hint="eastAsia" w:ascii="宋体" w:hAnsi="宋体" w:eastAsia="宋体" w:cs="宋体"/>
          <w:i w:val="0"/>
          <w:iCs w:val="0"/>
          <w:caps w:val="0"/>
          <w:color w:val="auto"/>
          <w:spacing w:val="0"/>
          <w:sz w:val="21"/>
          <w:szCs w:val="21"/>
          <w:highlight w:val="none"/>
          <w:lang w:val="en-US" w:eastAsia="zh-CN"/>
        </w:rPr>
        <w:t>总</w:t>
      </w:r>
      <w:r>
        <w:rPr>
          <w:rFonts w:hint="eastAsia" w:ascii="宋体" w:hAnsi="宋体" w:eastAsia="宋体" w:cs="宋体"/>
          <w:i w:val="0"/>
          <w:iCs w:val="0"/>
          <w:caps w:val="0"/>
          <w:color w:val="auto"/>
          <w:spacing w:val="0"/>
          <w:sz w:val="21"/>
          <w:szCs w:val="21"/>
          <w:highlight w:val="none"/>
        </w:rPr>
        <w:t>金额（元）：</w:t>
      </w:r>
      <w:r>
        <w:rPr>
          <w:rFonts w:hint="eastAsia" w:ascii="宋体" w:hAnsi="宋体" w:eastAsia="宋体" w:cs="宋体"/>
          <w:i w:val="0"/>
          <w:iCs w:val="0"/>
          <w:caps w:val="0"/>
          <w:color w:val="auto"/>
          <w:spacing w:val="0"/>
          <w:sz w:val="21"/>
          <w:szCs w:val="21"/>
          <w:highlight w:val="none"/>
          <w:lang w:val="en-US" w:eastAsia="zh-CN"/>
        </w:rPr>
        <w:t>1293600.00</w:t>
      </w:r>
    </w:p>
    <w:p w14:paraId="124CBD08">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p w14:paraId="0BB185B8">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标项名称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eastAsia="zh-CN"/>
        </w:rPr>
        <w:t>广西水利工程建设质量管理工作手册编制</w:t>
      </w:r>
    </w:p>
    <w:p w14:paraId="6F0D1635">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w:t>
      </w:r>
    </w:p>
    <w:p w14:paraId="7B74D692">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预算金额（元）：</w:t>
      </w:r>
      <w:r>
        <w:rPr>
          <w:rFonts w:hint="eastAsia" w:ascii="宋体" w:hAnsi="宋体" w:eastAsia="宋体" w:cs="宋体"/>
          <w:i w:val="0"/>
          <w:iCs w:val="0"/>
          <w:caps w:val="0"/>
          <w:color w:val="auto"/>
          <w:spacing w:val="0"/>
          <w:sz w:val="21"/>
          <w:szCs w:val="21"/>
          <w:highlight w:val="none"/>
          <w:lang w:val="en-US" w:eastAsia="zh-CN"/>
        </w:rPr>
        <w:t>1293600.00</w:t>
      </w:r>
    </w:p>
    <w:p w14:paraId="4F1A7F69">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u w:val="none"/>
        </w:rPr>
        <w:t>简要规格描述或项目基本概况介绍、用途：</w:t>
      </w:r>
      <w:r>
        <w:rPr>
          <w:rFonts w:hint="eastAsia" w:ascii="宋体" w:hAnsi="宋体" w:eastAsia="宋体" w:cs="宋体"/>
          <w:color w:val="auto"/>
          <w:sz w:val="21"/>
          <w:szCs w:val="21"/>
          <w:highlight w:val="none"/>
          <w:lang w:eastAsia="zh-CN"/>
        </w:rPr>
        <w:t>广西水利工程建设质量管理工作手册编制</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具体详见《采购需求》。</w:t>
      </w:r>
    </w:p>
    <w:p w14:paraId="6FB4BBA8">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最高限价（如有）：</w:t>
      </w:r>
      <w:r>
        <w:rPr>
          <w:rFonts w:hint="eastAsia" w:ascii="宋体" w:hAnsi="宋体" w:eastAsia="宋体" w:cs="宋体"/>
          <w:i w:val="0"/>
          <w:iCs w:val="0"/>
          <w:caps w:val="0"/>
          <w:color w:val="auto"/>
          <w:spacing w:val="0"/>
          <w:sz w:val="21"/>
          <w:szCs w:val="21"/>
          <w:highlight w:val="none"/>
          <w:lang w:val="en-US" w:eastAsia="zh-CN"/>
        </w:rPr>
        <w:t>1293600.00</w:t>
      </w:r>
    </w:p>
    <w:p w14:paraId="0435FE7E">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合同履约期限：自合同签订之日起至202</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年1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月30日，按采购人要求提交编制成果及完成合同履约验收。</w:t>
      </w:r>
    </w:p>
    <w:p w14:paraId="55B5841C">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210" w:leftChars="100" w:firstLine="210" w:firstLineChars="1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本标项（否）接受联合体</w:t>
      </w:r>
      <w:r>
        <w:rPr>
          <w:rFonts w:hint="eastAsia" w:ascii="宋体" w:hAnsi="宋体" w:eastAsia="宋体" w:cs="宋体"/>
          <w:b w:val="0"/>
          <w:bCs w:val="0"/>
          <w:color w:val="auto"/>
          <w:sz w:val="21"/>
          <w:szCs w:val="21"/>
          <w:highlight w:val="none"/>
          <w:lang w:val="en-US" w:eastAsia="zh-CN"/>
        </w:rPr>
        <w:t>竞标</w:t>
      </w:r>
      <w:r>
        <w:rPr>
          <w:rFonts w:hint="eastAsia" w:ascii="宋体" w:hAnsi="宋体" w:eastAsia="宋体" w:cs="宋体"/>
          <w:b w:val="0"/>
          <w:bCs w:val="0"/>
          <w:color w:val="auto"/>
          <w:sz w:val="21"/>
          <w:szCs w:val="21"/>
          <w:highlight w:val="none"/>
          <w:lang w:eastAsia="zh-CN"/>
        </w:rPr>
        <w:t>。</w:t>
      </w:r>
    </w:p>
    <w:p w14:paraId="69312161">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210" w:leftChars="100"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val="en-US" w:eastAsia="zh-CN"/>
        </w:rPr>
        <w:t>/。</w:t>
      </w:r>
    </w:p>
    <w:p w14:paraId="0D98FEED">
      <w:pPr>
        <w:keepNext w:val="0"/>
        <w:keepLines w:val="0"/>
        <w:pageBreakBefore w:val="0"/>
        <w:shd w:val="clear" w:color="auto" w:fill="auto"/>
        <w:kinsoku/>
        <w:wordWrap/>
        <w:overflowPunct/>
        <w:topLinePunct w:val="0"/>
        <w:autoSpaceDE/>
        <w:autoSpaceDN/>
        <w:bidi w:val="0"/>
        <w:adjustRightInd/>
        <w:spacing w:line="400" w:lineRule="exact"/>
        <w:ind w:left="0" w:leftChars="0" w:firstLine="422" w:firstLineChars="200"/>
        <w:jc w:val="both"/>
        <w:textAlignment w:val="auto"/>
        <w:outlineLvl w:val="1"/>
        <w:rPr>
          <w:rFonts w:hint="eastAsia" w:ascii="宋体" w:hAnsi="宋体" w:eastAsia="宋体" w:cs="宋体"/>
          <w:b/>
          <w:color w:val="auto"/>
          <w:sz w:val="21"/>
          <w:szCs w:val="21"/>
          <w:highlight w:val="none"/>
        </w:rPr>
      </w:pPr>
      <w:bookmarkStart w:id="11" w:name="_Toc30871"/>
      <w:bookmarkStart w:id="12" w:name="_Toc9255"/>
      <w:bookmarkStart w:id="13" w:name="_Toc17493"/>
      <w:r>
        <w:rPr>
          <w:rFonts w:hint="eastAsia" w:ascii="宋体" w:hAnsi="宋体" w:eastAsia="宋体" w:cs="宋体"/>
          <w:b/>
          <w:color w:val="auto"/>
          <w:sz w:val="21"/>
          <w:szCs w:val="21"/>
          <w:highlight w:val="none"/>
        </w:rPr>
        <w:t>二、申请人的资格要求：</w:t>
      </w:r>
      <w:bookmarkEnd w:id="11"/>
      <w:bookmarkEnd w:id="12"/>
      <w:bookmarkEnd w:id="13"/>
    </w:p>
    <w:p w14:paraId="2F437BEE">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sz w:val="21"/>
          <w:szCs w:val="21"/>
          <w:highlight w:val="none"/>
        </w:rPr>
      </w:pPr>
      <w:bookmarkStart w:id="14" w:name="_Toc35393800"/>
      <w:bookmarkStart w:id="15" w:name="_Toc28359014"/>
      <w:bookmarkStart w:id="16" w:name="_Toc28359091"/>
      <w:bookmarkStart w:id="17" w:name="_Toc44229880"/>
      <w:bookmarkStart w:id="18" w:name="_Toc35393631"/>
      <w:r>
        <w:rPr>
          <w:rFonts w:hint="eastAsia" w:ascii="宋体" w:hAnsi="宋体" w:eastAsia="宋体" w:cs="宋体"/>
          <w:color w:val="auto"/>
          <w:sz w:val="21"/>
          <w:szCs w:val="21"/>
          <w:highlight w:val="none"/>
        </w:rPr>
        <w:t>1.满足《中华人民共和国政府采购法》第二十二条规定；</w:t>
      </w:r>
    </w:p>
    <w:p w14:paraId="69E9250C">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rPr>
        <w:t>落实政府采购政策需满足的资格要求：非专门面向中小企业采购；</w:t>
      </w:r>
    </w:p>
    <w:p w14:paraId="314FF180">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val="en-US"/>
        </w:rPr>
        <w:t>本项目的特定资格要求：无。</w:t>
      </w:r>
    </w:p>
    <w:bookmarkEnd w:id="14"/>
    <w:bookmarkEnd w:id="15"/>
    <w:bookmarkEnd w:id="16"/>
    <w:bookmarkEnd w:id="17"/>
    <w:bookmarkEnd w:id="18"/>
    <w:p w14:paraId="06DA2689">
      <w:pPr>
        <w:keepNext w:val="0"/>
        <w:keepLines w:val="0"/>
        <w:pageBreakBefore w:val="0"/>
        <w:shd w:val="clear" w:color="auto" w:fill="auto"/>
        <w:kinsoku/>
        <w:wordWrap/>
        <w:overflowPunct/>
        <w:topLinePunct w:val="0"/>
        <w:autoSpaceDE/>
        <w:autoSpaceDN/>
        <w:bidi w:val="0"/>
        <w:adjustRightInd/>
        <w:spacing w:line="400" w:lineRule="exact"/>
        <w:ind w:left="0" w:leftChars="0" w:firstLine="422" w:firstLineChars="200"/>
        <w:jc w:val="both"/>
        <w:textAlignment w:val="auto"/>
        <w:outlineLvl w:val="1"/>
        <w:rPr>
          <w:rFonts w:hint="eastAsia" w:ascii="宋体" w:hAnsi="宋体" w:eastAsia="宋体" w:cs="宋体"/>
          <w:b/>
          <w:color w:val="auto"/>
          <w:sz w:val="21"/>
          <w:szCs w:val="21"/>
          <w:highlight w:val="none"/>
        </w:rPr>
      </w:pPr>
      <w:bookmarkStart w:id="19" w:name="_Toc17242"/>
      <w:bookmarkStart w:id="20" w:name="_Toc6865"/>
      <w:bookmarkStart w:id="21" w:name="_Toc28176"/>
      <w:r>
        <w:rPr>
          <w:rFonts w:hint="eastAsia" w:ascii="宋体" w:hAnsi="宋体" w:eastAsia="宋体" w:cs="宋体"/>
          <w:b/>
          <w:color w:val="auto"/>
          <w:sz w:val="21"/>
          <w:szCs w:val="21"/>
          <w:highlight w:val="none"/>
        </w:rPr>
        <w:t>三、获取采购文件</w:t>
      </w:r>
      <w:bookmarkEnd w:id="19"/>
      <w:bookmarkEnd w:id="20"/>
      <w:bookmarkEnd w:id="21"/>
    </w:p>
    <w:p w14:paraId="5EFBF6AC">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bCs/>
          <w:color w:val="auto"/>
          <w:kern w:val="0"/>
          <w:sz w:val="21"/>
          <w:szCs w:val="21"/>
          <w:highlight w:val="none"/>
        </w:rPr>
      </w:pPr>
      <w:bookmarkStart w:id="22" w:name="_Toc44229881"/>
      <w:bookmarkStart w:id="23" w:name="_Toc28359015"/>
      <w:bookmarkStart w:id="24" w:name="_Toc35393632"/>
      <w:bookmarkStart w:id="25" w:name="_Toc35393801"/>
      <w:bookmarkStart w:id="26" w:name="_Toc28359092"/>
      <w:r>
        <w:rPr>
          <w:rFonts w:hint="eastAsia" w:ascii="宋体" w:hAnsi="宋体" w:eastAsia="宋体" w:cs="宋体"/>
          <w:bCs/>
          <w:color w:val="auto"/>
          <w:kern w:val="0"/>
          <w:sz w:val="21"/>
          <w:szCs w:val="21"/>
          <w:highlight w:val="none"/>
        </w:rPr>
        <w:t>时间：202</w:t>
      </w:r>
      <w:r>
        <w:rPr>
          <w:rFonts w:hint="eastAsia" w:ascii="宋体" w:hAnsi="宋体" w:eastAsia="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年</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月</w:t>
      </w:r>
      <w:r>
        <w:rPr>
          <w:rFonts w:hint="eastAsia" w:ascii="宋体" w:hAnsi="宋体" w:cs="宋体"/>
          <w:bCs/>
          <w:color w:val="auto"/>
          <w:kern w:val="0"/>
          <w:sz w:val="21"/>
          <w:szCs w:val="21"/>
          <w:highlight w:val="none"/>
          <w:lang w:val="en-US" w:eastAsia="zh-CN"/>
        </w:rPr>
        <w:t>19</w:t>
      </w:r>
      <w:r>
        <w:rPr>
          <w:rFonts w:hint="eastAsia" w:ascii="宋体" w:hAnsi="宋体" w:eastAsia="宋体" w:cs="宋体"/>
          <w:bCs/>
          <w:color w:val="auto"/>
          <w:kern w:val="0"/>
          <w:sz w:val="21"/>
          <w:szCs w:val="21"/>
          <w:highlight w:val="none"/>
        </w:rPr>
        <w:t>日至202</w:t>
      </w:r>
      <w:r>
        <w:rPr>
          <w:rFonts w:hint="eastAsia" w:ascii="宋体" w:hAnsi="宋体" w:eastAsia="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年</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月</w:t>
      </w:r>
      <w:r>
        <w:rPr>
          <w:rFonts w:hint="eastAsia" w:ascii="宋体" w:hAnsi="宋体" w:cs="宋体"/>
          <w:bCs/>
          <w:color w:val="auto"/>
          <w:kern w:val="0"/>
          <w:sz w:val="21"/>
          <w:szCs w:val="21"/>
          <w:highlight w:val="none"/>
          <w:lang w:val="en-US" w:eastAsia="zh-CN"/>
        </w:rPr>
        <w:t>26</w:t>
      </w:r>
      <w:r>
        <w:rPr>
          <w:rFonts w:hint="eastAsia" w:ascii="宋体" w:hAnsi="宋体" w:eastAsia="宋体" w:cs="宋体"/>
          <w:bCs/>
          <w:color w:val="auto"/>
          <w:kern w:val="0"/>
          <w:sz w:val="21"/>
          <w:szCs w:val="21"/>
          <w:highlight w:val="none"/>
        </w:rPr>
        <w:t>日</w:t>
      </w:r>
      <w:r>
        <w:rPr>
          <w:rFonts w:hint="eastAsia" w:ascii="宋体" w:hAnsi="宋体" w:eastAsia="宋体" w:cs="宋体"/>
          <w:bCs/>
          <w:color w:val="auto"/>
          <w:kern w:val="0"/>
          <w:sz w:val="21"/>
          <w:szCs w:val="21"/>
          <w:highlight w:val="none"/>
        </w:rPr>
        <w:t>，每天上午0</w:t>
      </w:r>
      <w:r>
        <w:rPr>
          <w:rFonts w:hint="eastAsia" w:ascii="宋体" w:hAnsi="宋体" w:eastAsia="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:00至12:00，下午</w:t>
      </w:r>
      <w:r>
        <w:rPr>
          <w:rFonts w:hint="eastAsia" w:ascii="宋体" w:hAnsi="宋体" w:eastAsia="宋体" w:cs="宋体"/>
          <w:bCs/>
          <w:color w:val="auto"/>
          <w:kern w:val="0"/>
          <w:sz w:val="21"/>
          <w:szCs w:val="21"/>
          <w:highlight w:val="none"/>
          <w:lang w:val="en-US" w:eastAsia="zh-CN"/>
        </w:rPr>
        <w:t>12</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00</w:t>
      </w:r>
      <w:r>
        <w:rPr>
          <w:rFonts w:hint="eastAsia" w:ascii="宋体" w:hAnsi="宋体" w:eastAsia="宋体" w:cs="宋体"/>
          <w:bCs/>
          <w:color w:val="auto"/>
          <w:kern w:val="0"/>
          <w:sz w:val="21"/>
          <w:szCs w:val="21"/>
          <w:highlight w:val="none"/>
        </w:rPr>
        <w:t>至</w:t>
      </w:r>
      <w:r>
        <w:rPr>
          <w:rFonts w:hint="eastAsia" w:ascii="宋体" w:hAnsi="宋体" w:eastAsia="宋体" w:cs="宋体"/>
          <w:bCs/>
          <w:color w:val="auto"/>
          <w:kern w:val="0"/>
          <w:sz w:val="21"/>
          <w:szCs w:val="21"/>
          <w:highlight w:val="none"/>
          <w:lang w:val="en-US" w:eastAsia="zh-CN"/>
        </w:rPr>
        <w:t>23</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59</w:t>
      </w:r>
      <w:r>
        <w:rPr>
          <w:rFonts w:hint="eastAsia" w:ascii="宋体" w:hAnsi="宋体" w:eastAsia="宋体" w:cs="宋体"/>
          <w:bCs/>
          <w:color w:val="auto"/>
          <w:kern w:val="0"/>
          <w:sz w:val="21"/>
          <w:szCs w:val="21"/>
          <w:highlight w:val="none"/>
        </w:rPr>
        <w:t>（北京时间，法定节假日除外）</w:t>
      </w:r>
    </w:p>
    <w:p w14:paraId="66290E63">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地点（网址）：广西政府采购云平台（https://www.gcy.zfcg.gxzf.gov.cn/）</w:t>
      </w:r>
    </w:p>
    <w:p w14:paraId="42AB94EB">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方式：网上下载。本项目不提供纸质文件，潜在供应商需使用账号登录或者使用CA登录广西政府采购云平台（https://www.gcy.zfcg.gxzf.gov.cn/）-进入“项目采购”应用，在获取采购文件菜单中选择项目，获取采购文件（或在“电子投标客户端-获取采购文件”跳转到平台系统获取）。电子响应文件制作</w:t>
      </w:r>
      <w:r>
        <w:rPr>
          <w:rFonts w:hint="eastAsia" w:ascii="宋体" w:hAnsi="宋体" w:eastAsia="宋体" w:cs="宋体"/>
          <w:color w:val="auto"/>
          <w:sz w:val="21"/>
          <w:szCs w:val="21"/>
          <w:highlight w:val="none"/>
        </w:rPr>
        <w:t>需要基于</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获取的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文件编制，</w:t>
      </w:r>
      <w:r>
        <w:rPr>
          <w:rFonts w:hint="eastAsia" w:ascii="宋体" w:hAnsi="宋体" w:eastAsia="宋体" w:cs="宋体"/>
          <w:bCs/>
          <w:color w:val="auto"/>
          <w:kern w:val="0"/>
          <w:sz w:val="21"/>
          <w:szCs w:val="21"/>
          <w:highlight w:val="none"/>
        </w:rPr>
        <w:t>通过其他方式获取采购文件的，将有可能导致供应商无法在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bCs/>
          <w:color w:val="auto"/>
          <w:kern w:val="0"/>
          <w:sz w:val="21"/>
          <w:szCs w:val="21"/>
          <w:highlight w:val="none"/>
        </w:rPr>
        <w:t>编制及</w:t>
      </w:r>
      <w:r>
        <w:rPr>
          <w:rFonts w:hint="eastAsia" w:ascii="宋体" w:hAnsi="宋体" w:eastAsia="宋体" w:cs="宋体"/>
          <w:bCs/>
          <w:color w:val="auto"/>
          <w:kern w:val="0"/>
          <w:sz w:val="21"/>
          <w:szCs w:val="21"/>
          <w:highlight w:val="none"/>
          <w:lang w:val="en-US" w:eastAsia="zh-CN"/>
        </w:rPr>
        <w:t>递交</w:t>
      </w:r>
      <w:r>
        <w:rPr>
          <w:rFonts w:hint="eastAsia" w:ascii="宋体" w:hAnsi="宋体" w:eastAsia="宋体" w:cs="宋体"/>
          <w:bCs/>
          <w:color w:val="auto"/>
          <w:kern w:val="0"/>
          <w:sz w:val="21"/>
          <w:szCs w:val="21"/>
          <w:highlight w:val="none"/>
        </w:rPr>
        <w:t>响应文件。（注：供应商通过广西政府采购云平台参与政府采购项目</w:t>
      </w:r>
      <w:r>
        <w:rPr>
          <w:rFonts w:hint="eastAsia" w:ascii="宋体" w:hAnsi="宋体" w:eastAsia="宋体" w:cs="宋体"/>
          <w:bCs/>
          <w:color w:val="auto"/>
          <w:kern w:val="0"/>
          <w:sz w:val="21"/>
          <w:szCs w:val="21"/>
          <w:highlight w:val="none"/>
          <w:lang w:val="en-US" w:eastAsia="zh-CN"/>
        </w:rPr>
        <w:t>竞标</w:t>
      </w:r>
      <w:r>
        <w:rPr>
          <w:rFonts w:hint="eastAsia" w:ascii="宋体" w:hAnsi="宋体" w:eastAsia="宋体" w:cs="宋体"/>
          <w:bCs/>
          <w:color w:val="auto"/>
          <w:kern w:val="0"/>
          <w:sz w:val="21"/>
          <w:szCs w:val="21"/>
          <w:highlight w:val="none"/>
        </w:rPr>
        <w:t>需下载使用新版客户端，新版客户端下载路径：广西政府采购网（访问地址http://zfcg.gxzf.gov.cn/）—办事服务—下载专区。）</w:t>
      </w:r>
    </w:p>
    <w:p w14:paraId="6B58F494">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售价（元）：0</w:t>
      </w:r>
    </w:p>
    <w:bookmarkEnd w:id="22"/>
    <w:bookmarkEnd w:id="23"/>
    <w:bookmarkEnd w:id="24"/>
    <w:bookmarkEnd w:id="25"/>
    <w:bookmarkEnd w:id="26"/>
    <w:p w14:paraId="628A3DB5">
      <w:pPr>
        <w:keepNext w:val="0"/>
        <w:keepLines w:val="0"/>
        <w:pageBreakBefore w:val="0"/>
        <w:shd w:val="clear" w:color="auto" w:fill="auto"/>
        <w:kinsoku/>
        <w:wordWrap/>
        <w:overflowPunct/>
        <w:topLinePunct w:val="0"/>
        <w:autoSpaceDE/>
        <w:autoSpaceDN/>
        <w:bidi w:val="0"/>
        <w:adjustRightInd/>
        <w:spacing w:line="400" w:lineRule="exact"/>
        <w:ind w:left="0" w:leftChars="0" w:firstLine="422" w:firstLineChars="200"/>
        <w:jc w:val="both"/>
        <w:textAlignment w:val="auto"/>
        <w:outlineLvl w:val="1"/>
        <w:rPr>
          <w:rFonts w:hint="eastAsia" w:ascii="宋体" w:hAnsi="宋体" w:eastAsia="宋体" w:cs="宋体"/>
          <w:b/>
          <w:color w:val="auto"/>
          <w:sz w:val="21"/>
          <w:szCs w:val="21"/>
          <w:highlight w:val="none"/>
        </w:rPr>
      </w:pPr>
      <w:bookmarkStart w:id="27" w:name="_Toc1187"/>
      <w:bookmarkStart w:id="28" w:name="_Toc9709"/>
      <w:bookmarkStart w:id="29" w:name="_Toc24073"/>
      <w:r>
        <w:rPr>
          <w:rFonts w:hint="eastAsia" w:ascii="宋体" w:hAnsi="宋体" w:eastAsia="宋体" w:cs="宋体"/>
          <w:b/>
          <w:color w:val="auto"/>
          <w:sz w:val="21"/>
          <w:szCs w:val="21"/>
          <w:highlight w:val="none"/>
        </w:rPr>
        <w:t>四、响应文件提交</w:t>
      </w:r>
      <w:bookmarkEnd w:id="27"/>
      <w:bookmarkEnd w:id="28"/>
      <w:bookmarkEnd w:id="29"/>
    </w:p>
    <w:p w14:paraId="4AE3D849">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sz w:val="21"/>
          <w:szCs w:val="21"/>
          <w:highlight w:val="none"/>
          <w:u w:val="single"/>
          <w:lang w:val="en-US" w:eastAsia="zh-CN"/>
        </w:rPr>
      </w:pPr>
      <w:bookmarkStart w:id="30" w:name="_Toc28359016"/>
      <w:bookmarkStart w:id="31" w:name="_Toc44229882"/>
      <w:bookmarkStart w:id="32" w:name="_Toc35393633"/>
      <w:bookmarkStart w:id="33" w:name="_Toc35393802"/>
      <w:bookmarkStart w:id="34" w:name="_Toc28359093"/>
      <w:r>
        <w:rPr>
          <w:rFonts w:hint="eastAsia" w:ascii="宋体" w:hAnsi="宋体" w:eastAsia="宋体" w:cs="宋体"/>
          <w:color w:val="auto"/>
          <w:sz w:val="21"/>
          <w:szCs w:val="21"/>
          <w:highlight w:val="none"/>
        </w:rPr>
        <w:t>截止时间：</w:t>
      </w:r>
      <w:r>
        <w:rPr>
          <w:rFonts w:hint="eastAsia" w:ascii="宋体" w:hAnsi="宋体" w:eastAsia="宋体" w:cs="宋体"/>
          <w:bCs/>
          <w:color w:val="auto"/>
          <w:kern w:val="0"/>
          <w:sz w:val="21"/>
          <w:szCs w:val="21"/>
          <w:highlight w:val="none"/>
          <w:u w:val="single"/>
        </w:rPr>
        <w:t>202</w:t>
      </w:r>
      <w:r>
        <w:rPr>
          <w:rFonts w:hint="eastAsia" w:ascii="宋体" w:hAnsi="宋体" w:eastAsia="宋体" w:cs="宋体"/>
          <w:bCs/>
          <w:color w:val="auto"/>
          <w:kern w:val="0"/>
          <w:sz w:val="21"/>
          <w:szCs w:val="21"/>
          <w:highlight w:val="none"/>
          <w:u w:val="single"/>
          <w:lang w:val="en-US" w:eastAsia="zh-CN"/>
        </w:rPr>
        <w:t>6</w:t>
      </w:r>
      <w:r>
        <w:rPr>
          <w:rFonts w:hint="eastAsia" w:ascii="宋体" w:hAnsi="宋体" w:eastAsia="宋体" w:cs="宋体"/>
          <w:bCs/>
          <w:color w:val="auto"/>
          <w:kern w:val="0"/>
          <w:sz w:val="21"/>
          <w:szCs w:val="21"/>
          <w:highlight w:val="none"/>
          <w:u w:val="single"/>
        </w:rPr>
        <w:t>年</w:t>
      </w:r>
      <w:r>
        <w:rPr>
          <w:rFonts w:hint="eastAsia" w:ascii="宋体" w:hAnsi="宋体" w:cs="宋体"/>
          <w:bCs/>
          <w:color w:val="auto"/>
          <w:kern w:val="0"/>
          <w:sz w:val="21"/>
          <w:szCs w:val="21"/>
          <w:highlight w:val="none"/>
          <w:u w:val="single"/>
          <w:lang w:val="en-US" w:eastAsia="zh-CN"/>
        </w:rPr>
        <w:t>3</w:t>
      </w:r>
      <w:r>
        <w:rPr>
          <w:rFonts w:hint="eastAsia" w:ascii="宋体" w:hAnsi="宋体" w:eastAsia="宋体" w:cs="宋体"/>
          <w:bCs/>
          <w:color w:val="auto"/>
          <w:kern w:val="0"/>
          <w:sz w:val="21"/>
          <w:szCs w:val="21"/>
          <w:highlight w:val="none"/>
          <w:u w:val="single"/>
        </w:rPr>
        <w:t>月</w:t>
      </w:r>
      <w:r>
        <w:rPr>
          <w:rFonts w:hint="eastAsia" w:ascii="宋体" w:hAnsi="宋体" w:cs="宋体"/>
          <w:bCs/>
          <w:color w:val="auto"/>
          <w:kern w:val="0"/>
          <w:sz w:val="21"/>
          <w:szCs w:val="21"/>
          <w:highlight w:val="none"/>
          <w:u w:val="single"/>
          <w:lang w:val="en-US" w:eastAsia="zh-CN"/>
        </w:rPr>
        <w:t>30</w:t>
      </w:r>
      <w:r>
        <w:rPr>
          <w:rFonts w:hint="eastAsia" w:ascii="宋体" w:hAnsi="宋体" w:eastAsia="宋体" w:cs="宋体"/>
          <w:bCs/>
          <w:color w:val="auto"/>
          <w:kern w:val="0"/>
          <w:sz w:val="21"/>
          <w:szCs w:val="21"/>
          <w:highlight w:val="none"/>
          <w:u w:val="single"/>
        </w:rPr>
        <w:t>日09:30（北京时间）</w:t>
      </w:r>
    </w:p>
    <w:p w14:paraId="3E92254F">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地点（网址）：</w:t>
      </w:r>
      <w:r>
        <w:rPr>
          <w:rFonts w:hint="eastAsia" w:ascii="宋体" w:hAnsi="宋体" w:eastAsia="宋体" w:cs="宋体"/>
          <w:bCs/>
          <w:color w:val="auto"/>
          <w:kern w:val="0"/>
          <w:sz w:val="21"/>
          <w:szCs w:val="21"/>
          <w:highlight w:val="none"/>
        </w:rPr>
        <w:t>广西政府采购云平台（https://www.gcy.zfcg.gxzf.gov.cn/）</w:t>
      </w:r>
    </w:p>
    <w:bookmarkEnd w:id="30"/>
    <w:bookmarkEnd w:id="31"/>
    <w:bookmarkEnd w:id="32"/>
    <w:bookmarkEnd w:id="33"/>
    <w:bookmarkEnd w:id="34"/>
    <w:p w14:paraId="4BCF481C">
      <w:pPr>
        <w:keepNext w:val="0"/>
        <w:keepLines w:val="0"/>
        <w:pageBreakBefore w:val="0"/>
        <w:shd w:val="clear" w:color="auto" w:fill="auto"/>
        <w:kinsoku/>
        <w:wordWrap/>
        <w:overflowPunct/>
        <w:topLinePunct w:val="0"/>
        <w:autoSpaceDE/>
        <w:autoSpaceDN/>
        <w:bidi w:val="0"/>
        <w:adjustRightInd/>
        <w:spacing w:line="400" w:lineRule="exact"/>
        <w:ind w:left="0" w:leftChars="0" w:firstLine="422" w:firstLineChars="200"/>
        <w:jc w:val="both"/>
        <w:textAlignment w:val="auto"/>
        <w:outlineLvl w:val="1"/>
        <w:rPr>
          <w:rFonts w:hint="eastAsia" w:ascii="宋体" w:hAnsi="宋体" w:eastAsia="宋体" w:cs="宋体"/>
          <w:b/>
          <w:color w:val="auto"/>
          <w:sz w:val="21"/>
          <w:szCs w:val="21"/>
          <w:highlight w:val="none"/>
        </w:rPr>
      </w:pPr>
      <w:bookmarkStart w:id="35" w:name="_Toc32398"/>
      <w:bookmarkStart w:id="36" w:name="_Toc18260"/>
      <w:bookmarkStart w:id="37" w:name="_Toc6255"/>
      <w:r>
        <w:rPr>
          <w:rFonts w:hint="eastAsia" w:ascii="宋体" w:hAnsi="宋体" w:eastAsia="宋体" w:cs="宋体"/>
          <w:b/>
          <w:color w:val="auto"/>
          <w:sz w:val="21"/>
          <w:szCs w:val="21"/>
          <w:highlight w:val="none"/>
        </w:rPr>
        <w:t>五、响应文件开启</w:t>
      </w:r>
      <w:bookmarkEnd w:id="35"/>
      <w:bookmarkEnd w:id="36"/>
      <w:bookmarkEnd w:id="37"/>
    </w:p>
    <w:p w14:paraId="792C36DE">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1.开启时间：</w:t>
      </w:r>
      <w:r>
        <w:rPr>
          <w:rFonts w:hint="eastAsia" w:ascii="宋体" w:hAnsi="宋体" w:eastAsia="宋体" w:cs="宋体"/>
          <w:bCs/>
          <w:color w:val="auto"/>
          <w:kern w:val="0"/>
          <w:sz w:val="21"/>
          <w:szCs w:val="21"/>
          <w:highlight w:val="none"/>
          <w:u w:val="single"/>
        </w:rPr>
        <w:t>202</w:t>
      </w:r>
      <w:r>
        <w:rPr>
          <w:rFonts w:hint="eastAsia" w:ascii="宋体" w:hAnsi="宋体" w:eastAsia="宋体" w:cs="宋体"/>
          <w:bCs/>
          <w:color w:val="auto"/>
          <w:kern w:val="0"/>
          <w:sz w:val="21"/>
          <w:szCs w:val="21"/>
          <w:highlight w:val="none"/>
          <w:u w:val="single"/>
          <w:lang w:val="en-US" w:eastAsia="zh-CN"/>
        </w:rPr>
        <w:t>6</w:t>
      </w:r>
      <w:r>
        <w:rPr>
          <w:rFonts w:hint="eastAsia" w:ascii="宋体" w:hAnsi="宋体" w:eastAsia="宋体" w:cs="宋体"/>
          <w:bCs/>
          <w:color w:val="auto"/>
          <w:kern w:val="0"/>
          <w:sz w:val="21"/>
          <w:szCs w:val="21"/>
          <w:highlight w:val="none"/>
          <w:u w:val="single"/>
        </w:rPr>
        <w:t>年</w:t>
      </w:r>
      <w:r>
        <w:rPr>
          <w:rFonts w:hint="eastAsia" w:ascii="宋体" w:hAnsi="宋体" w:cs="宋体"/>
          <w:bCs/>
          <w:color w:val="auto"/>
          <w:kern w:val="0"/>
          <w:sz w:val="21"/>
          <w:szCs w:val="21"/>
          <w:highlight w:val="none"/>
          <w:u w:val="single"/>
          <w:lang w:val="en-US" w:eastAsia="zh-CN"/>
        </w:rPr>
        <w:t>3</w:t>
      </w:r>
      <w:r>
        <w:rPr>
          <w:rFonts w:hint="eastAsia" w:ascii="宋体" w:hAnsi="宋体" w:eastAsia="宋体" w:cs="宋体"/>
          <w:bCs/>
          <w:color w:val="auto"/>
          <w:kern w:val="0"/>
          <w:sz w:val="21"/>
          <w:szCs w:val="21"/>
          <w:highlight w:val="none"/>
          <w:u w:val="single"/>
        </w:rPr>
        <w:t>月</w:t>
      </w:r>
      <w:r>
        <w:rPr>
          <w:rFonts w:hint="eastAsia" w:ascii="宋体" w:hAnsi="宋体" w:cs="宋体"/>
          <w:bCs/>
          <w:color w:val="auto"/>
          <w:kern w:val="0"/>
          <w:sz w:val="21"/>
          <w:szCs w:val="21"/>
          <w:highlight w:val="none"/>
          <w:u w:val="single"/>
          <w:lang w:val="en-US" w:eastAsia="zh-CN"/>
        </w:rPr>
        <w:t>30</w:t>
      </w:r>
      <w:r>
        <w:rPr>
          <w:rFonts w:hint="eastAsia" w:ascii="宋体" w:hAnsi="宋体" w:eastAsia="宋体" w:cs="宋体"/>
          <w:bCs/>
          <w:color w:val="auto"/>
          <w:kern w:val="0"/>
          <w:sz w:val="21"/>
          <w:szCs w:val="21"/>
          <w:highlight w:val="none"/>
          <w:u w:val="single"/>
        </w:rPr>
        <w:t>日09:30（北京时间）</w:t>
      </w:r>
    </w:p>
    <w:p w14:paraId="6C71B0F4">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2.地点：</w:t>
      </w:r>
      <w:r>
        <w:rPr>
          <w:rFonts w:hint="eastAsia" w:ascii="宋体" w:hAnsi="宋体" w:eastAsia="宋体" w:cs="宋体"/>
          <w:bCs/>
          <w:color w:val="auto"/>
          <w:kern w:val="0"/>
          <w:sz w:val="21"/>
          <w:szCs w:val="21"/>
          <w:highlight w:val="none"/>
        </w:rPr>
        <w:t>广西政府采购云平台（https://www.gcy.zfcg.gxzf.gov.cn/）</w:t>
      </w:r>
    </w:p>
    <w:p w14:paraId="2BBD0F95">
      <w:pPr>
        <w:keepNext w:val="0"/>
        <w:keepLines w:val="0"/>
        <w:pageBreakBefore w:val="0"/>
        <w:shd w:val="clear" w:color="auto" w:fill="auto"/>
        <w:kinsoku/>
        <w:wordWrap/>
        <w:overflowPunct/>
        <w:topLinePunct w:val="0"/>
        <w:autoSpaceDE/>
        <w:autoSpaceDN/>
        <w:bidi w:val="0"/>
        <w:adjustRightInd/>
        <w:spacing w:line="400" w:lineRule="exact"/>
        <w:ind w:left="0" w:leftChars="0" w:firstLine="422" w:firstLineChars="200"/>
        <w:jc w:val="both"/>
        <w:textAlignment w:val="auto"/>
        <w:outlineLvl w:val="1"/>
        <w:rPr>
          <w:rFonts w:hint="eastAsia" w:ascii="宋体" w:hAnsi="宋体" w:eastAsia="宋体" w:cs="宋体"/>
          <w:b/>
          <w:color w:val="auto"/>
          <w:sz w:val="21"/>
          <w:szCs w:val="21"/>
          <w:highlight w:val="none"/>
        </w:rPr>
      </w:pPr>
      <w:bookmarkStart w:id="38" w:name="_Toc31027"/>
      <w:bookmarkStart w:id="39" w:name="_Toc7613"/>
      <w:bookmarkStart w:id="40" w:name="_Toc22740"/>
      <w:r>
        <w:rPr>
          <w:rFonts w:hint="eastAsia" w:ascii="宋体" w:hAnsi="宋体" w:eastAsia="宋体" w:cs="宋体"/>
          <w:b/>
          <w:color w:val="auto"/>
          <w:sz w:val="21"/>
          <w:szCs w:val="21"/>
          <w:highlight w:val="none"/>
        </w:rPr>
        <w:t>六、公告期限</w:t>
      </w:r>
      <w:bookmarkEnd w:id="38"/>
      <w:bookmarkEnd w:id="39"/>
      <w:bookmarkEnd w:id="40"/>
    </w:p>
    <w:p w14:paraId="04CA9463">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个工作日。</w:t>
      </w:r>
    </w:p>
    <w:p w14:paraId="1EA596CC">
      <w:pPr>
        <w:keepNext w:val="0"/>
        <w:keepLines w:val="0"/>
        <w:pageBreakBefore w:val="0"/>
        <w:shd w:val="clear" w:color="auto" w:fill="auto"/>
        <w:kinsoku/>
        <w:wordWrap/>
        <w:overflowPunct/>
        <w:topLinePunct w:val="0"/>
        <w:autoSpaceDE/>
        <w:autoSpaceDN/>
        <w:bidi w:val="0"/>
        <w:adjustRightInd/>
        <w:spacing w:line="400" w:lineRule="exact"/>
        <w:ind w:left="0" w:leftChars="0" w:firstLine="422" w:firstLineChars="200"/>
        <w:jc w:val="both"/>
        <w:textAlignment w:val="auto"/>
        <w:outlineLvl w:val="1"/>
        <w:rPr>
          <w:rFonts w:hint="eastAsia" w:ascii="宋体" w:hAnsi="宋体" w:eastAsia="宋体" w:cs="宋体"/>
          <w:b/>
          <w:color w:val="auto"/>
          <w:sz w:val="21"/>
          <w:szCs w:val="21"/>
          <w:highlight w:val="none"/>
        </w:rPr>
      </w:pPr>
      <w:bookmarkStart w:id="41" w:name="_Toc27087"/>
      <w:bookmarkStart w:id="42" w:name="_Toc4771"/>
      <w:bookmarkStart w:id="43" w:name="_Toc11764"/>
      <w:r>
        <w:rPr>
          <w:rFonts w:hint="eastAsia" w:ascii="宋体" w:hAnsi="宋体" w:eastAsia="宋体" w:cs="宋体"/>
          <w:b/>
          <w:color w:val="auto"/>
          <w:sz w:val="21"/>
          <w:szCs w:val="21"/>
          <w:highlight w:val="none"/>
        </w:rPr>
        <w:t>七、其他补充事宜</w:t>
      </w:r>
      <w:bookmarkEnd w:id="41"/>
      <w:bookmarkEnd w:id="42"/>
      <w:bookmarkEnd w:id="43"/>
    </w:p>
    <w:p w14:paraId="74353873">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1.本项目不收取</w:t>
      </w:r>
      <w:r>
        <w:rPr>
          <w:rFonts w:hint="eastAsia" w:ascii="宋体" w:hAnsi="宋体" w:cs="宋体"/>
          <w:color w:val="auto"/>
          <w:szCs w:val="21"/>
        </w:rPr>
        <w:t>磋商</w:t>
      </w:r>
      <w:r>
        <w:rPr>
          <w:rFonts w:hint="eastAsia" w:ascii="宋体" w:hAnsi="宋体" w:eastAsia="宋体" w:cs="宋体"/>
          <w:color w:val="auto"/>
          <w:kern w:val="0"/>
          <w:sz w:val="21"/>
          <w:szCs w:val="21"/>
          <w:highlight w:val="none"/>
          <w:lang w:val="en-US" w:eastAsia="zh-CN"/>
        </w:rPr>
        <w:t>保证金。</w:t>
      </w:r>
    </w:p>
    <w:p w14:paraId="7CA1A99A">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.网上查询地址</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中国政府采购网(http://www.ccgp.gov.cn)、广西壮族自治区政府采购网(http://zfcg.gxzf.gov.cn)</w:t>
      </w:r>
      <w:r>
        <w:rPr>
          <w:rFonts w:hint="eastAsia" w:ascii="宋体" w:hAnsi="宋体" w:eastAsia="宋体" w:cs="宋体"/>
          <w:color w:val="auto"/>
          <w:kern w:val="0"/>
          <w:sz w:val="21"/>
          <w:szCs w:val="21"/>
          <w:highlight w:val="none"/>
          <w:lang w:eastAsia="zh-CN"/>
        </w:rPr>
        <w:t>。</w:t>
      </w:r>
    </w:p>
    <w:p w14:paraId="1FF0221A">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kern w:val="0"/>
          <w:sz w:val="21"/>
          <w:szCs w:val="21"/>
          <w:highlight w:val="none"/>
        </w:rPr>
      </w:pPr>
      <w:bookmarkStart w:id="44" w:name="_Hlk37429674"/>
      <w:bookmarkStart w:id="45" w:name="_Toc28359095"/>
      <w:bookmarkStart w:id="46" w:name="_Toc28359018"/>
      <w:bookmarkStart w:id="47" w:name="_Toc44229885"/>
      <w:bookmarkStart w:id="48" w:name="_Toc35393636"/>
      <w:bookmarkStart w:id="49" w:name="_Toc35393805"/>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本项目需要落实的政府采购政策</w:t>
      </w:r>
    </w:p>
    <w:bookmarkEnd w:id="44"/>
    <w:p w14:paraId="280D76B6">
      <w:pPr>
        <w:keepNext w:val="0"/>
        <w:keepLines w:val="0"/>
        <w:pageBreakBefore w:val="0"/>
        <w:widowControl/>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（1）政府采购促进中小企业发展。</w:t>
      </w:r>
    </w:p>
    <w:p w14:paraId="4EBB26C5">
      <w:pPr>
        <w:keepNext w:val="0"/>
        <w:keepLines w:val="0"/>
        <w:pageBreakBefore w:val="0"/>
        <w:widowControl/>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（2）政府采购支持采用本国产品的政策。</w:t>
      </w:r>
    </w:p>
    <w:p w14:paraId="0F39A631">
      <w:pPr>
        <w:keepNext w:val="0"/>
        <w:keepLines w:val="0"/>
        <w:pageBreakBefore w:val="0"/>
        <w:widowControl/>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（3）强制采购节能产品；优先采购节能产品、环境标志产品。</w:t>
      </w:r>
    </w:p>
    <w:p w14:paraId="701712BD">
      <w:pPr>
        <w:keepNext w:val="0"/>
        <w:keepLines w:val="0"/>
        <w:pageBreakBefore w:val="0"/>
        <w:widowControl/>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（4）政府采购促进残疾人就业政策。</w:t>
      </w:r>
    </w:p>
    <w:p w14:paraId="7EC08990">
      <w:pPr>
        <w:keepNext w:val="0"/>
        <w:keepLines w:val="0"/>
        <w:pageBreakBefore w:val="0"/>
        <w:widowControl/>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（5）政府采购支持监狱企业发展。</w:t>
      </w:r>
    </w:p>
    <w:p w14:paraId="6CCEFFBE">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val="en-US"/>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B1A9D2">
      <w:pPr>
        <w:keepNext w:val="0"/>
        <w:keepLines w:val="0"/>
        <w:pageBreakBefore w:val="0"/>
        <w:widowControl/>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val="en-US"/>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8D05FE4">
      <w:pPr>
        <w:keepNext w:val="0"/>
        <w:keepLines w:val="0"/>
        <w:pageBreakBefore w:val="0"/>
        <w:widowControl/>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.供应商</w:t>
      </w:r>
      <w:r>
        <w:rPr>
          <w:rFonts w:hint="eastAsia" w:ascii="宋体" w:hAnsi="宋体" w:eastAsia="宋体" w:cs="宋体"/>
          <w:color w:val="auto"/>
          <w:sz w:val="21"/>
          <w:szCs w:val="21"/>
          <w:highlight w:val="none"/>
        </w:rPr>
        <w:t>竞标注意事项</w:t>
      </w:r>
    </w:p>
    <w:p w14:paraId="088B3441">
      <w:pPr>
        <w:keepNext w:val="0"/>
        <w:keepLines w:val="0"/>
        <w:pageBreakBefore w:val="0"/>
        <w:widowControl/>
        <w:shd w:val="clear" w:color="auto" w:fill="auto"/>
        <w:kinsoku/>
        <w:wordWrap w:val="0"/>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（1）本项目为全流程电子化采购项目，通过广西政府采购云平台（https://www.gcy.zfcg.gxzf.gov.cn/）实行在线电子竞标，供应商应</w:t>
      </w:r>
      <w:r>
        <w:rPr>
          <w:rFonts w:hint="eastAsia" w:ascii="宋体" w:hAnsi="宋体" w:eastAsia="宋体" w:cs="宋体"/>
          <w:color w:val="auto"/>
          <w:sz w:val="21"/>
          <w:szCs w:val="21"/>
          <w:highlight w:val="none"/>
          <w:lang w:val="en-US" w:eastAsia="zh-CN"/>
        </w:rPr>
        <w:t>先安装</w:t>
      </w:r>
      <w:r>
        <w:rPr>
          <w:rFonts w:hint="eastAsia" w:ascii="宋体" w:hAnsi="宋体" w:eastAsia="宋体" w:cs="宋体"/>
          <w:color w:val="auto"/>
          <w:sz w:val="21"/>
          <w:szCs w:val="21"/>
          <w:highlight w:val="none"/>
        </w:rPr>
        <w:t>“电子投标客户端”（注：供应商通过广西政府采购云平台参与政府采购项目投标需下载使用新版客户端，新版客户端下载路径：广西政府采购网（访问地址http://zfcg.gxzf.gov.cn/）—办事服务—下载专区。），并按照本项目</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文件和广西政府采购云平台的要求编制、加密后在提交响应文件截止时间前通过网络上传至广西政府采购云平台</w:t>
      </w:r>
      <w:r>
        <w:rPr>
          <w:rFonts w:hint="eastAsia" w:ascii="宋体" w:hAnsi="宋体" w:eastAsia="宋体" w:cs="宋体"/>
          <w:b/>
          <w:bCs/>
          <w:color w:val="auto"/>
          <w:sz w:val="21"/>
          <w:szCs w:val="21"/>
          <w:highlight w:val="none"/>
        </w:rPr>
        <w:t>（加密的电子响应文件是指后缀名为“jmbs”的文件）</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供应商在广西政府采购云平台提交电子响应文件时，请填写参加远程采购活动经办人联系方式。</w:t>
      </w:r>
      <w:r>
        <w:rPr>
          <w:rFonts w:hint="eastAsia" w:ascii="宋体" w:hAnsi="宋体" w:eastAsia="宋体" w:cs="宋体"/>
          <w:color w:val="auto"/>
          <w:sz w:val="21"/>
          <w:szCs w:val="21"/>
          <w:highlight w:val="none"/>
        </w:rPr>
        <w:t>供应商登录广西政府采购云平台，依次进入“服务中心-项目采购-操作流程-电子招投标-政府采购项目电子交易管理操作指南-供应商”查看电子竞标具体操作流程。</w:t>
      </w:r>
    </w:p>
    <w:p w14:paraId="751309CB">
      <w:pPr>
        <w:keepNext w:val="0"/>
        <w:keepLines w:val="0"/>
        <w:pageBreakBefore w:val="0"/>
        <w:widowControl/>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w:t>
      </w:r>
      <w:r>
        <w:rPr>
          <w:rFonts w:hint="eastAsia" w:ascii="宋体" w:hAnsi="宋体" w:eastAsia="宋体" w:cs="宋体"/>
          <w:color w:val="auto"/>
          <w:sz w:val="21"/>
          <w:szCs w:val="21"/>
          <w:highlight w:val="none"/>
          <w:lang w:eastAsia="zh-CN"/>
        </w:rPr>
        <w:t>登录</w:t>
      </w:r>
      <w:r>
        <w:rPr>
          <w:rFonts w:hint="eastAsia" w:ascii="宋体" w:hAnsi="宋体" w:eastAsia="宋体" w:cs="宋体"/>
          <w:color w:val="auto"/>
          <w:kern w:val="0"/>
          <w:sz w:val="21"/>
          <w:szCs w:val="21"/>
          <w:highlight w:val="none"/>
        </w:rPr>
        <w:t>广西政府采购云平台，</w:t>
      </w:r>
      <w:r>
        <w:rPr>
          <w:rFonts w:hint="eastAsia" w:ascii="宋体" w:hAnsi="宋体" w:eastAsia="宋体" w:cs="宋体"/>
          <w:color w:val="auto"/>
          <w:sz w:val="21"/>
          <w:szCs w:val="21"/>
          <w:highlight w:val="none"/>
        </w:rPr>
        <w:t>依次进入“服务中心-入驻与配置”中查看CA数字证书办理操作流程。</w:t>
      </w:r>
      <w:r>
        <w:rPr>
          <w:rFonts w:hint="eastAsia" w:ascii="宋体" w:hAnsi="宋体" w:eastAsia="宋体" w:cs="宋体"/>
          <w:bCs/>
          <w:color w:val="auto"/>
          <w:kern w:val="0"/>
          <w:sz w:val="21"/>
          <w:szCs w:val="21"/>
          <w:highlight w:val="none"/>
        </w:rPr>
        <w:t>如在操作过程中遇到问题或者需要技术支持，请致电广西政府采购云平台热线人工客服（工作时间：工作日08:00～20：00），咨询电话：95763）</w:t>
      </w:r>
      <w:r>
        <w:rPr>
          <w:rFonts w:hint="eastAsia" w:ascii="宋体" w:hAnsi="宋体" w:eastAsia="宋体" w:cs="宋体"/>
          <w:color w:val="auto"/>
          <w:sz w:val="21"/>
          <w:szCs w:val="21"/>
          <w:highlight w:val="none"/>
        </w:rPr>
        <w:t>。</w:t>
      </w:r>
    </w:p>
    <w:p w14:paraId="7168C8FF">
      <w:pPr>
        <w:keepNext w:val="0"/>
        <w:keepLines w:val="0"/>
        <w:pageBreakBefore w:val="0"/>
        <w:shd w:val="clear" w:color="auto" w:fill="auto"/>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6F904EB0">
      <w:pPr>
        <w:keepNext w:val="0"/>
        <w:keepLines w:val="0"/>
        <w:pageBreakBefore w:val="0"/>
        <w:shd w:val="clear" w:color="auto" w:fill="auto"/>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（4）各供应商通过广西政府采购云平台参与政府采购项目</w:t>
      </w:r>
      <w:r>
        <w:rPr>
          <w:rFonts w:hint="eastAsia" w:ascii="宋体" w:hAnsi="宋体" w:eastAsia="宋体" w:cs="宋体"/>
          <w:color w:val="auto"/>
          <w:sz w:val="21"/>
          <w:szCs w:val="21"/>
          <w:highlight w:val="none"/>
          <w:lang w:val="en-US" w:eastAsia="zh-CN"/>
        </w:rPr>
        <w:t>竞标</w:t>
      </w:r>
      <w:r>
        <w:rPr>
          <w:rFonts w:hint="eastAsia" w:ascii="宋体" w:hAnsi="宋体" w:eastAsia="宋体" w:cs="宋体"/>
          <w:color w:val="auto"/>
          <w:sz w:val="21"/>
          <w:szCs w:val="21"/>
          <w:highlight w:val="none"/>
        </w:rPr>
        <w:t>需下载使用新版客户端，新版客户端下载路径：广西政府采购网（访问地址http://zfcg.gxzf.gov.cn/）—办事服务—下载专区。原在政采云平台注册的临时供应商需在广西政府采购云平台启用后重新注册登记。</w:t>
      </w:r>
    </w:p>
    <w:p w14:paraId="0F9B697E">
      <w:pPr>
        <w:keepNext w:val="0"/>
        <w:keepLines w:val="0"/>
        <w:pageBreakBefore w:val="0"/>
        <w:shd w:val="clear" w:color="auto" w:fill="auto"/>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）广西政府采购云平台与政采云平台操作流程一致，首次登录广西政府采购云平台账号密码与政采云账号密码一致，新旧平台数据相互独立，后续修改广西政府采购云平台密码不会影响政采云平台密码。</w:t>
      </w:r>
    </w:p>
    <w:p w14:paraId="7651C163">
      <w:pPr>
        <w:keepNext w:val="0"/>
        <w:keepLines w:val="0"/>
        <w:pageBreakBefore w:val="0"/>
        <w:widowControl/>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为确保网上操作合法、有效和安全，请供应商确保在电子竞标过程中能够对相关数据电文进行加密和使用电子签章，妥善保管CA数字证书并使用有效的CA数字证书参与整个采购活动。</w:t>
      </w:r>
    </w:p>
    <w:p w14:paraId="1DA4F9A1">
      <w:pPr>
        <w:keepNext w:val="0"/>
        <w:keepLines w:val="0"/>
        <w:pageBreakBefore w:val="0"/>
        <w:widowControl/>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将予以拒</w:t>
      </w:r>
      <w:r>
        <w:rPr>
          <w:rFonts w:hint="eastAsia" w:ascii="宋体" w:hAnsi="宋体" w:eastAsia="宋体" w:cs="宋体"/>
          <w:bCs/>
          <w:color w:val="auto"/>
          <w:sz w:val="21"/>
          <w:szCs w:val="21"/>
          <w:highlight w:val="none"/>
        </w:rPr>
        <w:t>收。</w:t>
      </w:r>
    </w:p>
    <w:p w14:paraId="6EBF4DEB">
      <w:pPr>
        <w:keepNext w:val="0"/>
        <w:keepLines w:val="0"/>
        <w:pageBreakBefore w:val="0"/>
        <w:numPr>
          <w:ilvl w:val="0"/>
          <w:numId w:val="0"/>
        </w:numPr>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rPr>
        <w:t>供应商需要在具备摄像头及语音功能且互联网网络状况良好的电脑登录</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远程开标大厅参与本次磋商，否则后果自负。</w:t>
      </w:r>
    </w:p>
    <w:bookmarkEnd w:id="45"/>
    <w:bookmarkEnd w:id="46"/>
    <w:bookmarkEnd w:id="47"/>
    <w:bookmarkEnd w:id="48"/>
    <w:bookmarkEnd w:id="49"/>
    <w:p w14:paraId="32F84449">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2" w:firstLineChars="200"/>
        <w:jc w:val="both"/>
        <w:textAlignment w:val="auto"/>
        <w:outlineLvl w:val="1"/>
        <w:rPr>
          <w:rFonts w:hint="eastAsia" w:ascii="宋体" w:hAnsi="宋体" w:eastAsia="宋体" w:cs="宋体"/>
          <w:b/>
          <w:color w:val="auto"/>
          <w:sz w:val="21"/>
          <w:szCs w:val="21"/>
          <w:highlight w:val="none"/>
        </w:rPr>
      </w:pPr>
      <w:bookmarkStart w:id="50" w:name="_Toc8842"/>
      <w:bookmarkStart w:id="51" w:name="_Toc4457"/>
      <w:bookmarkStart w:id="52" w:name="_Toc17699"/>
      <w:r>
        <w:rPr>
          <w:rFonts w:hint="eastAsia" w:ascii="宋体" w:hAnsi="宋体" w:eastAsia="宋体" w:cs="宋体"/>
          <w:b/>
          <w:color w:val="auto"/>
          <w:sz w:val="21"/>
          <w:szCs w:val="21"/>
          <w:highlight w:val="none"/>
        </w:rPr>
        <w:t>八、凡对本次采购提出询问，请按以下方式联系。</w:t>
      </w:r>
      <w:bookmarkEnd w:id="50"/>
      <w:bookmarkEnd w:id="51"/>
      <w:bookmarkEnd w:id="52"/>
    </w:p>
    <w:bookmarkEnd w:id="7"/>
    <w:p w14:paraId="52AB42B7">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3EB9E88E">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名称：广西壮族自治区水利厅</w:t>
      </w:r>
    </w:p>
    <w:p w14:paraId="1705DECA">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地址：南宁市青秀区建政路12号水利厅办公大楼</w:t>
      </w:r>
    </w:p>
    <w:p w14:paraId="0849B331">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王工</w:t>
      </w:r>
    </w:p>
    <w:p w14:paraId="29A731FA">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val="en-US" w:eastAsia="zh-CN"/>
        </w:rPr>
        <w:t>0771-2185034</w:t>
      </w:r>
    </w:p>
    <w:p w14:paraId="52C60224">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531F4B96">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名称：广西国兴项目管理有限公司</w:t>
      </w:r>
    </w:p>
    <w:p w14:paraId="4CFF118F">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地址：南宁市良庆区体强路19号阳光城·时代中心B座2220室</w:t>
      </w:r>
    </w:p>
    <w:p w14:paraId="5FEE5E3A">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项目联系人：韦鸿亮</w:t>
      </w:r>
    </w:p>
    <w:p w14:paraId="5C9516DB">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联系方式：0771-5789574、17777178365</w:t>
      </w:r>
    </w:p>
    <w:p w14:paraId="1A7E73EA">
      <w:pPr>
        <w:keepNext w:val="0"/>
        <w:keepLines w:val="0"/>
        <w:pageBreakBefore w:val="0"/>
        <w:shd w:val="clear" w:color="auto" w:fill="auto"/>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sz w:val="21"/>
          <w:szCs w:val="21"/>
          <w:highlight w:val="none"/>
        </w:rPr>
      </w:pPr>
    </w:p>
    <w:p w14:paraId="0F99D2D9">
      <w:pPr>
        <w:shd w:val="clear" w:color="auto" w:fill="auto"/>
        <w:spacing w:line="360" w:lineRule="auto"/>
        <w:jc w:val="center"/>
        <w:outlineLvl w:val="0"/>
        <w:rPr>
          <w:rFonts w:hint="eastAsia" w:ascii="方正小标宋_GBK" w:hAnsi="方正小标宋_GBK" w:eastAsia="方正小标宋_GBK" w:cs="方正小标宋_GBK"/>
          <w:b/>
          <w:color w:val="auto"/>
          <w:sz w:val="28"/>
          <w:szCs w:val="28"/>
          <w:highlight w:val="none"/>
          <w:lang w:val="en-US" w:eastAsia="zh-CN"/>
        </w:rPr>
      </w:pPr>
      <w:bookmarkStart w:id="53" w:name="_Toc144750172"/>
      <w:r>
        <w:rPr>
          <w:rFonts w:hint="eastAsia" w:ascii="仿宋" w:hAnsi="仿宋" w:eastAsia="仿宋" w:cs="仿宋"/>
          <w:color w:val="auto"/>
          <w:highlight w:val="none"/>
        </w:rPr>
        <w:br w:type="page"/>
      </w:r>
      <w:bookmarkStart w:id="54" w:name="_Toc28635"/>
      <w:bookmarkStart w:id="55" w:name="_Toc11321"/>
      <w:r>
        <w:rPr>
          <w:rFonts w:hint="eastAsia" w:ascii="方正小标宋_GBK" w:hAnsi="方正小标宋_GBK" w:eastAsia="方正小标宋_GBK" w:cs="方正小标宋_GBK"/>
          <w:b/>
          <w:color w:val="auto"/>
          <w:sz w:val="28"/>
          <w:szCs w:val="28"/>
          <w:highlight w:val="none"/>
          <w:lang w:val="en-US" w:eastAsia="zh-CN"/>
        </w:rPr>
        <w:t>第二章 供应商须知</w:t>
      </w:r>
      <w:bookmarkEnd w:id="53"/>
      <w:bookmarkEnd w:id="54"/>
      <w:bookmarkEnd w:id="55"/>
    </w:p>
    <w:p w14:paraId="6662957F">
      <w:pPr>
        <w:shd w:val="clear" w:color="auto" w:fill="auto"/>
        <w:spacing w:line="360" w:lineRule="auto"/>
        <w:jc w:val="center"/>
        <w:outlineLvl w:val="1"/>
        <w:rPr>
          <w:rFonts w:hint="eastAsia" w:ascii="宋体" w:hAnsi="宋体" w:eastAsia="宋体" w:cs="宋体"/>
          <w:b/>
          <w:color w:val="auto"/>
          <w:sz w:val="21"/>
          <w:szCs w:val="21"/>
          <w:highlight w:val="none"/>
          <w:lang w:val="en-US" w:eastAsia="zh-CN"/>
        </w:rPr>
      </w:pPr>
      <w:bookmarkStart w:id="56" w:name="_Toc7112"/>
      <w:bookmarkStart w:id="57" w:name="_Toc9394"/>
      <w:r>
        <w:rPr>
          <w:rFonts w:hint="eastAsia" w:ascii="宋体" w:hAnsi="宋体" w:eastAsia="宋体" w:cs="宋体"/>
          <w:b/>
          <w:color w:val="auto"/>
          <w:sz w:val="21"/>
          <w:szCs w:val="21"/>
          <w:highlight w:val="none"/>
          <w:lang w:val="en-US" w:eastAsia="zh-CN"/>
        </w:rPr>
        <w:t>供应商须知前附表</w:t>
      </w:r>
      <w:bookmarkEnd w:id="56"/>
      <w:bookmarkEnd w:id="57"/>
    </w:p>
    <w:tbl>
      <w:tblPr>
        <w:tblStyle w:val="26"/>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8"/>
        <w:gridCol w:w="7566"/>
      </w:tblGrid>
      <w:tr w14:paraId="74B09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top"/>
          </w:tcPr>
          <w:p w14:paraId="5FB0539D">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4442" w:type="pct"/>
            <w:noWrap w:val="0"/>
            <w:vAlign w:val="top"/>
          </w:tcPr>
          <w:p w14:paraId="72B29EC3">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14:paraId="72162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5317A8CD">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442" w:type="pct"/>
            <w:noWrap w:val="0"/>
            <w:vAlign w:val="center"/>
          </w:tcPr>
          <w:p w14:paraId="26C29E04">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1.供应商的资格条件</w:t>
            </w:r>
            <w:r>
              <w:rPr>
                <w:rFonts w:hint="eastAsia" w:ascii="宋体" w:hAnsi="宋体" w:eastAsia="宋体" w:cs="宋体"/>
                <w:color w:val="auto"/>
                <w:sz w:val="21"/>
                <w:szCs w:val="21"/>
                <w:highlight w:val="none"/>
              </w:rPr>
              <w:t>：详见竞争性磋商公告</w:t>
            </w:r>
          </w:p>
          <w:p w14:paraId="144C3864">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供应商</w:t>
            </w:r>
            <w:r>
              <w:rPr>
                <w:rFonts w:hint="eastAsia" w:ascii="宋体" w:hAnsi="宋体" w:eastAsia="宋体" w:cs="宋体"/>
                <w:color w:val="auto"/>
                <w:sz w:val="21"/>
                <w:szCs w:val="21"/>
                <w:highlight w:val="none"/>
              </w:rPr>
              <w:t>出现下列情形之一的，不得参加政府采购活动：</w:t>
            </w:r>
          </w:p>
          <w:p w14:paraId="29957E6B">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1926C80">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F8B2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00E53B94">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4442" w:type="pct"/>
            <w:noWrap w:val="0"/>
            <w:vAlign w:val="center"/>
          </w:tcPr>
          <w:p w14:paraId="1DA4B422">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是否接受联合体竞标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详见竞争性磋商公告</w:t>
            </w:r>
          </w:p>
        </w:tc>
      </w:tr>
      <w:tr w14:paraId="57776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66827089">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4442" w:type="pct"/>
            <w:noWrap w:val="0"/>
            <w:vAlign w:val="center"/>
          </w:tcPr>
          <w:p w14:paraId="6F180102">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如接受联合体竞标，联合体竞标要求如下：</w:t>
            </w:r>
          </w:p>
          <w:p w14:paraId="55E02D8D">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1.两个以上供应商可以组成一个竞标联合体，以一个供应商的身份共同参加竞标</w:t>
            </w:r>
            <w:r>
              <w:rPr>
                <w:rFonts w:hint="eastAsia" w:ascii="宋体" w:hAnsi="宋体" w:eastAsia="宋体" w:cs="宋体"/>
                <w:color w:val="auto"/>
                <w:sz w:val="21"/>
                <w:szCs w:val="21"/>
                <w:highlight w:val="none"/>
                <w:lang w:eastAsia="zh-CN"/>
              </w:rPr>
              <w:t>，</w:t>
            </w:r>
            <w:r>
              <w:rPr>
                <w:rFonts w:hint="eastAsia" w:ascii="宋体" w:hAnsi="宋体"/>
                <w:b w:val="0"/>
                <w:bCs w:val="0"/>
                <w:color w:val="auto"/>
                <w:szCs w:val="21"/>
                <w:highlight w:val="none"/>
              </w:rPr>
              <w:t>联合体供应商的名称应统一按“XXX 公司与 XXX 公司的联合体”的规则填写</w:t>
            </w:r>
            <w:r>
              <w:rPr>
                <w:rFonts w:hint="eastAsia" w:ascii="宋体" w:hAnsi="宋体" w:eastAsia="宋体" w:cs="宋体"/>
                <w:b w:val="0"/>
                <w:bCs w:val="0"/>
                <w:color w:val="auto"/>
                <w:sz w:val="21"/>
                <w:szCs w:val="21"/>
                <w:highlight w:val="none"/>
              </w:rPr>
              <w:t>。</w:t>
            </w:r>
          </w:p>
          <w:p w14:paraId="0F38CCA8">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4AD39BE0">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联合体各方之间必须签订《联合体竞标协议书》（格式后附），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27E25084">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4.以联合体形式参加政府采购活动的，联合体各</w:t>
            </w:r>
            <w:r>
              <w:rPr>
                <w:rFonts w:hint="eastAsia" w:ascii="宋体" w:hAnsi="宋体" w:eastAsia="宋体" w:cs="宋体"/>
                <w:color w:val="auto"/>
                <w:sz w:val="21"/>
                <w:szCs w:val="21"/>
                <w:highlight w:val="none"/>
              </w:rPr>
              <w:t>方不得再单独参加或者与其他供应商另外组成联合体参加同一合同项下的政府采购活动。</w:t>
            </w:r>
          </w:p>
          <w:p w14:paraId="5CC86693">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5.联合体中有同类资质的供应商按照联合体分工承担相同工作的，应当按照资质等级较低的供应商确定资质等级。</w:t>
            </w:r>
          </w:p>
          <w:p w14:paraId="5835148A">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6.联合体竞标业绩、履约能力按照联合体各方中较高的一方认定并计算（磋商文件另有规定的除外）。</w:t>
            </w:r>
          </w:p>
          <w:p w14:paraId="62BFF304">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7.供应商为联合体的，可以由联合体中的一方或者多方共同交纳磋商保证金，其交纳的保证金对联合体各方均具有约束力。</w:t>
            </w:r>
          </w:p>
          <w:p w14:paraId="2527E5F9">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8.联合体各方均应按照磋商文件的规定提交资格证明文件。</w:t>
            </w:r>
          </w:p>
          <w:p w14:paraId="067FFE09">
            <w:pPr>
              <w:keepNext w:val="0"/>
              <w:keepLines w:val="0"/>
              <w:pageBreakBefore w:val="0"/>
              <w:widowControl w:val="0"/>
              <w:shd w:val="clear" w:color="auto" w:fill="auto"/>
              <w:kinsoku/>
              <w:wordWrap/>
              <w:overflowPunct/>
              <w:topLinePunct w:val="0"/>
              <w:bidi w:val="0"/>
              <w:adjustRightInd/>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color w:val="auto"/>
                <w:szCs w:val="21"/>
                <w:highlight w:val="none"/>
              </w:rPr>
              <w:t>联合体竞标的，除联合体协议书及特定备注要求需要双方盖法人单位章（可采用纸质版盖联合体各方法人单位章后扫描上传），其他只需盖联合体</w:t>
            </w:r>
            <w:r>
              <w:rPr>
                <w:rFonts w:hint="eastAsia" w:ascii="宋体" w:hAnsi="宋体"/>
                <w:color w:val="auto"/>
                <w:szCs w:val="21"/>
                <w:highlight w:val="none"/>
                <w:lang w:val="en-US" w:eastAsia="zh-CN"/>
              </w:rPr>
              <w:t>牵头人</w:t>
            </w:r>
            <w:r>
              <w:rPr>
                <w:rFonts w:hint="eastAsia" w:ascii="宋体" w:hAnsi="宋体"/>
                <w:color w:val="auto"/>
                <w:szCs w:val="21"/>
                <w:highlight w:val="none"/>
              </w:rPr>
              <w:t>的电子印章</w:t>
            </w:r>
            <w:r>
              <w:rPr>
                <w:rFonts w:hint="eastAsia" w:ascii="宋体" w:hAnsi="宋体" w:eastAsia="宋体" w:cs="宋体"/>
                <w:color w:val="auto"/>
                <w:sz w:val="21"/>
                <w:szCs w:val="21"/>
                <w:highlight w:val="none"/>
                <w:lang w:val="en-US" w:eastAsia="zh-CN"/>
              </w:rPr>
              <w:t>。</w:t>
            </w:r>
          </w:p>
        </w:tc>
      </w:tr>
      <w:tr w14:paraId="14E9B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247B960D">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4442" w:type="pct"/>
            <w:noWrap w:val="0"/>
            <w:vAlign w:val="center"/>
          </w:tcPr>
          <w:p w14:paraId="24D9579F">
            <w:pPr>
              <w:pStyle w:val="11"/>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☑不允许分包</w:t>
            </w:r>
          </w:p>
          <w:p w14:paraId="6B7D9A71">
            <w:pPr>
              <w:pStyle w:val="11"/>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□允许分包</w:t>
            </w:r>
          </w:p>
          <w:p w14:paraId="365823DF">
            <w:pPr>
              <w:pStyle w:val="11"/>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分包内容：</w:t>
            </w:r>
            <w:r>
              <w:rPr>
                <w:rFonts w:hint="eastAsia" w:ascii="宋体" w:hAnsi="宋体" w:eastAsia="宋体" w:cs="宋体"/>
                <w:color w:val="auto"/>
                <w:sz w:val="21"/>
                <w:szCs w:val="21"/>
                <w:highlight w:val="none"/>
                <w:u w:val="single"/>
                <w:lang w:val="en-US" w:eastAsia="zh-CN"/>
              </w:rPr>
              <w:t xml:space="preserve"> / </w:t>
            </w:r>
          </w:p>
          <w:p w14:paraId="33E2187B">
            <w:pPr>
              <w:pStyle w:val="11"/>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分包金额或者比例：</w:t>
            </w:r>
            <w:r>
              <w:rPr>
                <w:rFonts w:hint="eastAsia" w:ascii="宋体" w:hAnsi="宋体" w:eastAsia="宋体" w:cs="宋体"/>
                <w:color w:val="auto"/>
                <w:sz w:val="21"/>
                <w:szCs w:val="21"/>
                <w:highlight w:val="none"/>
                <w:u w:val="single"/>
                <w:lang w:val="en-US" w:eastAsia="zh-CN"/>
              </w:rPr>
              <w:t xml:space="preserve"> / </w:t>
            </w:r>
          </w:p>
        </w:tc>
      </w:tr>
      <w:tr w14:paraId="654CD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25B021F8">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w:t>
            </w:r>
          </w:p>
        </w:tc>
        <w:tc>
          <w:tcPr>
            <w:tcW w:w="4442" w:type="pct"/>
            <w:noWrap w:val="0"/>
            <w:vAlign w:val="center"/>
          </w:tcPr>
          <w:p w14:paraId="7B96C341">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资格证明文件</w:t>
            </w:r>
          </w:p>
          <w:p w14:paraId="00DD9DE6">
            <w:pPr>
              <w:pStyle w:val="11"/>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eastAsia="宋体" w:cs="宋体"/>
                <w:b/>
                <w:color w:val="auto"/>
                <w:sz w:val="21"/>
                <w:szCs w:val="21"/>
                <w:highlight w:val="none"/>
                <w:lang w:val="en-US" w:eastAsia="zh-CN"/>
              </w:rPr>
              <w:t>必须提供，否则响应文件按无效响应处理</w:t>
            </w:r>
            <w:r>
              <w:rPr>
                <w:rFonts w:hint="eastAsia" w:ascii="宋体" w:hAnsi="宋体" w:eastAsia="宋体" w:cs="宋体"/>
                <w:color w:val="auto"/>
                <w:sz w:val="21"/>
                <w:szCs w:val="21"/>
                <w:highlight w:val="none"/>
                <w:lang w:val="en-US" w:eastAsia="zh-CN"/>
              </w:rPr>
              <w:t>）</w:t>
            </w:r>
          </w:p>
          <w:p w14:paraId="0586325C">
            <w:pPr>
              <w:keepNext w:val="0"/>
              <w:keepLines w:val="0"/>
              <w:pageBreakBefore w:val="0"/>
              <w:widowControl w:val="0"/>
              <w:shd w:val="clear" w:color="auto" w:fill="auto"/>
              <w:kinsoku/>
              <w:wordWrap/>
              <w:overflowPunct/>
              <w:topLinePunct w:val="0"/>
              <w:bidi w:val="0"/>
              <w:adjustRightInd/>
              <w:spacing w:line="400" w:lineRule="exact"/>
              <w:ind w:left="0" w:firstLine="0" w:firstLineChars="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2.供应商依法缴纳税收的相关材料（</w:t>
            </w:r>
            <w:r>
              <w:rPr>
                <w:rFonts w:hint="eastAsia" w:ascii="宋体" w:hAnsi="宋体" w:eastAsia="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月内</w:t>
            </w:r>
            <w:r>
              <w:rPr>
                <w:rFonts w:hint="eastAsia" w:ascii="宋体" w:hAnsi="宋体" w:eastAsia="宋体" w:cs="宋体"/>
                <w:color w:val="auto"/>
                <w:sz w:val="21"/>
                <w:szCs w:val="21"/>
                <w:highlight w:val="none"/>
                <w:lang w:val="en-US" w:eastAsia="zh-CN"/>
              </w:rPr>
              <w:t>任意</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个月的依法缴纳税收的凭据复印件；依法免税的，必须提供相应文件证明其依法免税。从成立之日起到响应文件提交截止时间止不足要求月数的，只需提供从成立之日起的依法缴纳税收相应证明文件）；（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5E080CB">
            <w:pPr>
              <w:keepNext w:val="0"/>
              <w:keepLines w:val="0"/>
              <w:pageBreakBefore w:val="0"/>
              <w:widowControl w:val="0"/>
              <w:shd w:val="clear" w:color="auto" w:fill="auto"/>
              <w:kinsoku/>
              <w:wordWrap/>
              <w:overflowPunct/>
              <w:topLinePunct w:val="0"/>
              <w:bidi w:val="0"/>
              <w:adjustRightInd/>
              <w:spacing w:line="400" w:lineRule="exact"/>
              <w:ind w:left="0" w:firstLine="0" w:firstLineChars="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3.供应商依法缴纳社会保障资金的相关材料[</w:t>
            </w:r>
            <w:r>
              <w:rPr>
                <w:rFonts w:hint="eastAsia" w:ascii="宋体" w:hAnsi="宋体" w:eastAsia="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月内</w:t>
            </w:r>
            <w:r>
              <w:rPr>
                <w:rFonts w:hint="eastAsia" w:ascii="宋体" w:hAnsi="宋体" w:eastAsia="宋体" w:cs="宋体"/>
                <w:color w:val="auto"/>
                <w:sz w:val="21"/>
                <w:szCs w:val="21"/>
                <w:highlight w:val="none"/>
                <w:lang w:val="en-US" w:eastAsia="zh-CN"/>
              </w:rPr>
              <w:t>任意</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7819FB30">
            <w:pPr>
              <w:keepNext w:val="0"/>
              <w:keepLines w:val="0"/>
              <w:pageBreakBefore w:val="0"/>
              <w:widowControl w:val="0"/>
              <w:shd w:val="clear" w:color="auto" w:fill="auto"/>
              <w:kinsoku/>
              <w:wordWrap/>
              <w:overflowPunct/>
              <w:topLinePunct w:val="0"/>
              <w:bidi w:val="0"/>
              <w:adjustRightInd/>
              <w:spacing w:line="400" w:lineRule="exact"/>
              <w:ind w:left="0" w:firstLine="0" w:firstLineChars="0"/>
              <w:contextualSpacing/>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4.供应商财务状况报告（</w:t>
            </w:r>
            <w:r>
              <w:rPr>
                <w:rFonts w:hint="eastAsia" w:ascii="宋体" w:hAnsi="宋体" w:eastAsia="宋体" w:cs="宋体"/>
                <w:color w:val="auto"/>
                <w:sz w:val="21"/>
                <w:szCs w:val="21"/>
                <w:highlight w:val="none"/>
                <w:u w:val="single"/>
                <w:lang w:val="en-US" w:eastAsia="zh-CN"/>
              </w:rPr>
              <w:t>2024</w:t>
            </w:r>
            <w:r>
              <w:rPr>
                <w:rFonts w:hint="eastAsia" w:ascii="宋体" w:hAnsi="宋体" w:eastAsia="宋体" w:cs="宋体"/>
                <w:color w:val="auto"/>
                <w:sz w:val="21"/>
                <w:szCs w:val="21"/>
                <w:highlight w:val="none"/>
              </w:rPr>
              <w:t>年度财务报表复印件，或者银行出具的资信证明，或者中国人民银行征信中心出具的信用报告（企业竞标的提供企业信用报告，自然人竞标的提供个人信用报告）；供应商属于成立时间</w:t>
            </w:r>
            <w:r>
              <w:rPr>
                <w:rFonts w:hint="eastAsia" w:ascii="宋体" w:hAnsi="宋体" w:eastAsia="宋体" w:cs="宋体"/>
                <w:color w:val="auto"/>
                <w:kern w:val="0"/>
                <w:sz w:val="21"/>
                <w:szCs w:val="21"/>
                <w:highlight w:val="none"/>
              </w:rPr>
              <w:t>在规定年度之后</w:t>
            </w:r>
            <w:r>
              <w:rPr>
                <w:rFonts w:hint="eastAsia" w:ascii="宋体" w:hAnsi="宋体" w:eastAsia="宋体" w:cs="宋体"/>
                <w:color w:val="auto"/>
                <w:sz w:val="21"/>
                <w:szCs w:val="21"/>
                <w:highlight w:val="none"/>
              </w:rPr>
              <w:t>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bCs/>
                <w:color w:val="auto"/>
                <w:sz w:val="21"/>
                <w:szCs w:val="21"/>
                <w:highlight w:val="none"/>
              </w:rPr>
              <w:t>）</w:t>
            </w:r>
          </w:p>
          <w:p w14:paraId="28364135">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5.供应商直接控股、管理关系信息表（格式后附）；（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6C7B449">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6.竞标声明（格式后附）；（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2DAC440">
            <w:pPr>
              <w:keepNext w:val="0"/>
              <w:keepLines w:val="0"/>
              <w:pageBreakBefore w:val="0"/>
              <w:widowControl w:val="0"/>
              <w:shd w:val="clear" w:color="auto" w:fill="auto"/>
              <w:kinsoku/>
              <w:wordWrap/>
              <w:overflowPunct/>
              <w:topLinePunct w:val="0"/>
              <w:bidi w:val="0"/>
              <w:adjustRightInd/>
              <w:spacing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本项目的特定资格要求</w:t>
            </w:r>
            <w:r>
              <w:rPr>
                <w:rFonts w:hint="eastAsia" w:ascii="宋体" w:hAnsi="宋体" w:eastAsia="宋体" w:cs="宋体"/>
                <w:color w:val="auto"/>
                <w:sz w:val="21"/>
                <w:szCs w:val="21"/>
                <w:highlight w:val="none"/>
                <w:lang w:val="en-US" w:eastAsia="zh-CN"/>
              </w:rPr>
              <w:t>证明材料；</w:t>
            </w:r>
            <w:r>
              <w:rPr>
                <w:rFonts w:hint="eastAsia" w:ascii="宋体" w:hAnsi="宋体" w:eastAsia="宋体" w:cs="宋体"/>
                <w:b/>
                <w:bCs/>
                <w:color w:val="auto"/>
                <w:sz w:val="21"/>
                <w:szCs w:val="21"/>
                <w:highlight w:val="none"/>
                <w:lang w:val="en-US" w:eastAsia="zh-CN"/>
              </w:rPr>
              <w:t>（如项目有特定资格要求请提供）</w:t>
            </w:r>
          </w:p>
          <w:p w14:paraId="05B9ACBC">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.除磋商文件规定必须提供以外，供应商认为需要提供的其他证明材料</w:t>
            </w:r>
            <w:r>
              <w:rPr>
                <w:rFonts w:hint="eastAsia" w:ascii="宋体" w:hAnsi="宋体" w:eastAsia="宋体" w:cs="宋体"/>
                <w:color w:val="auto"/>
                <w:sz w:val="21"/>
                <w:szCs w:val="21"/>
                <w:highlight w:val="none"/>
                <w:lang w:eastAsia="zh-CN"/>
              </w:rPr>
              <w:t>。</w:t>
            </w:r>
          </w:p>
          <w:p w14:paraId="748E9E96">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注：以上标明“必须提供”的材料属于复印件</w:t>
            </w:r>
            <w:r>
              <w:rPr>
                <w:rFonts w:hint="eastAsia" w:ascii="宋体" w:hAnsi="宋体" w:eastAsia="宋体" w:cs="宋体"/>
                <w:b/>
                <w:color w:val="auto"/>
                <w:sz w:val="21"/>
                <w:szCs w:val="21"/>
                <w:highlight w:val="none"/>
                <w:lang w:val="en-US" w:eastAsia="zh-CN"/>
              </w:rPr>
              <w:t>或扫描件</w:t>
            </w:r>
            <w:r>
              <w:rPr>
                <w:rFonts w:hint="eastAsia" w:ascii="宋体" w:hAnsi="宋体" w:eastAsia="宋体" w:cs="宋体"/>
                <w:b/>
                <w:color w:val="auto"/>
                <w:sz w:val="21"/>
                <w:szCs w:val="21"/>
                <w:highlight w:val="none"/>
              </w:rPr>
              <w:t>的，必须加盖</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电子签章，否则响应文件按无效响应处理；格式中有要求法定代表人或者委托代理人签字的，必须按要求签字（或是电子签名），并加盖</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电子签章，否则响应文件按无效响应处理。</w:t>
            </w:r>
          </w:p>
        </w:tc>
      </w:tr>
      <w:tr w14:paraId="00057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19955426">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p>
        </w:tc>
        <w:tc>
          <w:tcPr>
            <w:tcW w:w="4442" w:type="pct"/>
            <w:noWrap w:val="0"/>
            <w:vAlign w:val="center"/>
          </w:tcPr>
          <w:p w14:paraId="12AE2C02">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报价文件</w:t>
            </w:r>
          </w:p>
          <w:p w14:paraId="2CCEE62F">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1.竞标报价表（格式后附）；（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524B6E40">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2.中小企业声明函</w:t>
            </w:r>
            <w:r>
              <w:rPr>
                <w:rFonts w:hint="eastAsia" w:ascii="宋体" w:hAnsi="宋体"/>
                <w:color w:val="auto"/>
                <w:szCs w:val="21"/>
                <w:highlight w:val="none"/>
              </w:rPr>
              <w:t>或监狱企业证明文件或残疾人福利性单位声明函</w:t>
            </w:r>
            <w:r>
              <w:rPr>
                <w:rFonts w:hint="eastAsia" w:ascii="宋体" w:hAnsi="宋体" w:eastAsia="宋体" w:cs="宋体"/>
                <w:color w:val="auto"/>
                <w:sz w:val="21"/>
                <w:szCs w:val="21"/>
                <w:highlight w:val="none"/>
              </w:rPr>
              <w:t>；</w:t>
            </w:r>
            <w:r>
              <w:rPr>
                <w:rFonts w:hint="eastAsia" w:ascii="宋体" w:hAnsi="宋体"/>
                <w:color w:val="auto"/>
                <w:szCs w:val="21"/>
                <w:highlight w:val="none"/>
              </w:rPr>
              <w:t>（</w:t>
            </w:r>
            <w:r>
              <w:rPr>
                <w:rFonts w:hint="eastAsia" w:ascii="宋体" w:hAnsi="宋体"/>
                <w:color w:val="auto"/>
                <w:highlight w:val="none"/>
              </w:rPr>
              <w:t>如有，请提供）</w:t>
            </w:r>
          </w:p>
          <w:p w14:paraId="72E69075">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.供应商认为需要提供的其他有关资料。</w:t>
            </w:r>
          </w:p>
          <w:p w14:paraId="2D861490">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color w:val="auto"/>
                <w:sz w:val="21"/>
                <w:szCs w:val="21"/>
                <w:highlight w:val="none"/>
              </w:rPr>
              <w:t>格式中有要求法定代表人或者委托代理人签字的，必须按要求签字（或是电子签名），并加盖</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电子签章</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否则响应文件按无效响应处理。</w:t>
            </w:r>
          </w:p>
        </w:tc>
      </w:tr>
      <w:tr w14:paraId="219D6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6010C79F">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w:t>
            </w:r>
          </w:p>
        </w:tc>
        <w:tc>
          <w:tcPr>
            <w:tcW w:w="4442" w:type="pct"/>
            <w:noWrap w:val="0"/>
            <w:vAlign w:val="center"/>
          </w:tcPr>
          <w:p w14:paraId="757AAFB6">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商务技术文件</w:t>
            </w:r>
          </w:p>
          <w:p w14:paraId="4A63BBBE">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1.无串通竞标行为的承诺函（格式后附）；（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AC84EEA">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2.法定代表人身份证明书及法定代表人有效身份证正反面复印件（格式后附）；（</w:t>
            </w:r>
            <w:r>
              <w:rPr>
                <w:rFonts w:hint="eastAsia" w:ascii="宋体" w:hAnsi="宋体" w:eastAsia="宋体" w:cs="宋体"/>
                <w:b/>
                <w:bCs/>
                <w:color w:val="auto"/>
                <w:sz w:val="21"/>
                <w:szCs w:val="21"/>
                <w:highlight w:val="none"/>
              </w:rPr>
              <w:t>除自然人竞标外</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1F9CFD51">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3.授权委托书及委托代理人有效身份证正反面复印件（格式后附）；（</w:t>
            </w:r>
            <w:r>
              <w:rPr>
                <w:rFonts w:hint="eastAsia" w:ascii="宋体" w:hAnsi="宋体" w:eastAsia="宋体" w:cs="宋体"/>
                <w:b/>
                <w:color w:val="auto"/>
                <w:sz w:val="21"/>
                <w:szCs w:val="21"/>
                <w:highlight w:val="none"/>
              </w:rPr>
              <w:t>委托时必须提供，否则响应文件按无效响应处理</w:t>
            </w:r>
            <w:r>
              <w:rPr>
                <w:rFonts w:hint="eastAsia" w:ascii="宋体" w:hAnsi="宋体" w:eastAsia="宋体" w:cs="宋体"/>
                <w:color w:val="auto"/>
                <w:sz w:val="21"/>
                <w:szCs w:val="21"/>
                <w:highlight w:val="none"/>
              </w:rPr>
              <w:t>）</w:t>
            </w:r>
          </w:p>
          <w:p w14:paraId="5B23518F">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bookmarkStart w:id="58" w:name="OLE_LINK40"/>
            <w:r>
              <w:rPr>
                <w:rFonts w:hint="eastAsia" w:ascii="宋体" w:hAnsi="宋体" w:cs="宋体"/>
                <w:color w:val="auto"/>
                <w:szCs w:val="21"/>
              </w:rPr>
              <w:t>4.</w:t>
            </w:r>
            <w:bookmarkEnd w:id="58"/>
            <w:r>
              <w:rPr>
                <w:rFonts w:hint="eastAsia" w:ascii="宋体" w:hAnsi="宋体" w:eastAsia="宋体" w:cs="宋体"/>
                <w:color w:val="auto"/>
                <w:sz w:val="21"/>
                <w:szCs w:val="21"/>
                <w:highlight w:val="none"/>
              </w:rPr>
              <w:t>商务要求偏离表（格式后附）；（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B8C0904">
            <w:pPr>
              <w:keepNext w:val="0"/>
              <w:keepLines w:val="0"/>
              <w:pageBreakBefore w:val="0"/>
              <w:widowControl w:val="0"/>
              <w:shd w:val="clear" w:color="auto" w:fill="auto"/>
              <w:kinsoku/>
              <w:wordWrap/>
              <w:overflowPunct/>
              <w:topLinePunct w:val="0"/>
              <w:bidi w:val="0"/>
              <w:adjustRightInd/>
              <w:spacing w:line="400" w:lineRule="exact"/>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.服务方案（请供应商根据“第三章 采购需求”及“第四章 评审程序、评审方法和评审标准”自行编写，格式自拟）；</w:t>
            </w:r>
          </w:p>
          <w:p w14:paraId="6D760BA7">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.技术要求偏离表（格式后附）；（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7BC2461">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.项目实施人员一览表（格式后附，如提供的格式不适合供应商的实际情况，可参照本表格式自行制表填写）；</w:t>
            </w:r>
          </w:p>
          <w:p w14:paraId="53F6C259">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.对应采购需求的项目需要及技术需求、商务要求提供的其他文件资料（格式自拟）；</w:t>
            </w:r>
          </w:p>
          <w:p w14:paraId="37656F75">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.供应商认为需要提供的其他有关资料。</w:t>
            </w:r>
          </w:p>
          <w:p w14:paraId="50A6B17C">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注：以上标明“必须提供”的材料属于复印件</w:t>
            </w:r>
            <w:r>
              <w:rPr>
                <w:rFonts w:hint="eastAsia" w:ascii="宋体" w:hAnsi="宋体" w:eastAsia="宋体" w:cs="宋体"/>
                <w:b/>
                <w:color w:val="auto"/>
                <w:sz w:val="21"/>
                <w:szCs w:val="21"/>
                <w:highlight w:val="none"/>
                <w:lang w:val="en-US" w:eastAsia="zh-CN"/>
              </w:rPr>
              <w:t>或扫描件</w:t>
            </w:r>
            <w:r>
              <w:rPr>
                <w:rFonts w:hint="eastAsia" w:ascii="宋体" w:hAnsi="宋体" w:eastAsia="宋体" w:cs="宋体"/>
                <w:b/>
                <w:color w:val="auto"/>
                <w:sz w:val="21"/>
                <w:szCs w:val="21"/>
                <w:highlight w:val="none"/>
              </w:rPr>
              <w:t>的，必须加盖</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电子签章，否则响应文件按无效响应处理；格式中有要求法定代表人或者委托代理人签字的，必须按要求签字（或是电子签名），并加盖</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电子签章，否则响应文件按无效响应处理。</w:t>
            </w:r>
          </w:p>
        </w:tc>
      </w:tr>
      <w:tr w14:paraId="124C1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71A04D7E">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4442" w:type="pct"/>
            <w:noWrap w:val="0"/>
            <w:vAlign w:val="center"/>
          </w:tcPr>
          <w:p w14:paraId="4A8101AA">
            <w:pPr>
              <w:keepNext w:val="0"/>
              <w:keepLines w:val="0"/>
              <w:pageBreakBefore w:val="0"/>
              <w:widowControl w:val="0"/>
              <w:shd w:val="clear" w:color="auto" w:fill="auto"/>
              <w:kinsoku/>
              <w:wordWrap/>
              <w:overflowPunct/>
              <w:topLinePunct w:val="0"/>
              <w:bidi w:val="0"/>
              <w:adjustRightInd/>
              <w:spacing w:line="400" w:lineRule="exact"/>
              <w:ind w:left="0" w:firstLine="0" w:firstLineChars="0"/>
              <w:contextualSpacing/>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竞标报价为完成采购人指定服务全部内容的报价，即履行合同的最终价格，包括供应商完成本项目所需的一切工作内容而发生的所有直接费用、间接费用、其他费用、税金等全部费用和供应商要求获得的利润以及应由供应商承担的义务、责任和风险所发生的一切费用。</w:t>
            </w:r>
          </w:p>
        </w:tc>
      </w:tr>
      <w:tr w14:paraId="35052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557" w:type="pct"/>
            <w:noWrap w:val="0"/>
            <w:vAlign w:val="center"/>
          </w:tcPr>
          <w:p w14:paraId="025AD836">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4442" w:type="pct"/>
            <w:noWrap w:val="0"/>
            <w:vAlign w:val="center"/>
          </w:tcPr>
          <w:p w14:paraId="540DBAB2">
            <w:pPr>
              <w:pStyle w:val="10"/>
              <w:keepNext w:val="0"/>
              <w:keepLines w:val="0"/>
              <w:pageBreakBefore w:val="0"/>
              <w:widowControl w:val="0"/>
              <w:numPr>
                <w:ilvl w:val="0"/>
                <w:numId w:val="0"/>
              </w:numPr>
              <w:shd w:val="clear" w:color="auto" w:fill="auto"/>
              <w:tabs>
                <w:tab w:val="left" w:pos="720"/>
                <w:tab w:val="left" w:pos="840"/>
                <w:tab w:val="clear" w:pos="360"/>
              </w:tabs>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竞标有效期：自首次响应文件提交截止之日起</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日。</w:t>
            </w:r>
          </w:p>
        </w:tc>
      </w:tr>
      <w:tr w14:paraId="1D434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557" w:type="pct"/>
            <w:noWrap w:val="0"/>
            <w:vAlign w:val="center"/>
          </w:tcPr>
          <w:p w14:paraId="3C01B220">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w:t>
            </w:r>
          </w:p>
        </w:tc>
        <w:tc>
          <w:tcPr>
            <w:tcW w:w="4442" w:type="pct"/>
            <w:noWrap w:val="0"/>
            <w:vAlign w:val="center"/>
          </w:tcPr>
          <w:p w14:paraId="16F72817">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left="0"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收取磋商保证金</w:t>
            </w:r>
            <w:r>
              <w:rPr>
                <w:rFonts w:hint="eastAsia" w:ascii="宋体" w:hAnsi="宋体" w:eastAsia="宋体" w:cs="宋体"/>
                <w:color w:val="auto"/>
                <w:sz w:val="21"/>
                <w:szCs w:val="21"/>
                <w:highlight w:val="none"/>
                <w:lang w:eastAsia="zh-CN"/>
              </w:rPr>
              <w:t>。</w:t>
            </w:r>
          </w:p>
        </w:tc>
      </w:tr>
      <w:tr w14:paraId="49554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0CE7FD7D">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4442" w:type="pct"/>
            <w:noWrap w:val="0"/>
            <w:vAlign w:val="center"/>
          </w:tcPr>
          <w:p w14:paraId="5B7B802B">
            <w:pPr>
              <w:keepNext w:val="0"/>
              <w:keepLines w:val="0"/>
              <w:pageBreakBefore w:val="0"/>
              <w:widowControl w:val="0"/>
              <w:shd w:val="clear" w:color="auto" w:fill="auto"/>
              <w:kinsoku/>
              <w:wordWrap/>
              <w:overflowPunct/>
              <w:topLinePunct w:val="0"/>
              <w:bidi w:val="0"/>
              <w:adjustRightInd/>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本项目不接受电子备份响应文件</w:t>
            </w:r>
          </w:p>
        </w:tc>
      </w:tr>
      <w:tr w14:paraId="7BB7C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3691B0D0">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4442" w:type="pct"/>
            <w:noWrap w:val="0"/>
            <w:vAlign w:val="center"/>
          </w:tcPr>
          <w:p w14:paraId="51D41043">
            <w:pPr>
              <w:keepNext w:val="0"/>
              <w:keepLines w:val="0"/>
              <w:pageBreakBefore w:val="0"/>
              <w:widowControl w:val="0"/>
              <w:shd w:val="clear" w:color="auto" w:fill="auto"/>
              <w:kinsoku/>
              <w:wordWrap/>
              <w:overflowPunct/>
              <w:topLinePunct w:val="0"/>
              <w:bidi w:val="0"/>
              <w:adjustRightInd/>
              <w:spacing w:line="400" w:lineRule="exact"/>
              <w:ind w:left="0" w:firstLine="0" w:firstLineChars="0"/>
              <w:contextualSpacing/>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响应文件提交截止时间：详见竞争性磋商公告。</w:t>
            </w:r>
          </w:p>
          <w:p w14:paraId="1E377DBD">
            <w:pPr>
              <w:keepNext w:val="0"/>
              <w:keepLines w:val="0"/>
              <w:pageBreakBefore w:val="0"/>
              <w:widowControl w:val="0"/>
              <w:shd w:val="clear" w:color="auto" w:fill="auto"/>
              <w:kinsoku/>
              <w:wordWrap/>
              <w:overflowPunct/>
              <w:topLinePunct w:val="0"/>
              <w:bidi w:val="0"/>
              <w:adjustRightInd/>
              <w:spacing w:line="400" w:lineRule="exact"/>
              <w:ind w:left="0" w:firstLine="0" w:firstLineChars="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响应文件提交地点：详见竞争性磋商公告。</w:t>
            </w:r>
          </w:p>
        </w:tc>
      </w:tr>
      <w:tr w14:paraId="17B4E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134936E2">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4442" w:type="pct"/>
            <w:noWrap w:val="0"/>
            <w:vAlign w:val="center"/>
          </w:tcPr>
          <w:p w14:paraId="268F61D0">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磋商小组的人数：</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人。</w:t>
            </w:r>
          </w:p>
        </w:tc>
      </w:tr>
      <w:tr w14:paraId="06FB3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6D7FC640">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4442" w:type="pct"/>
            <w:noWrap w:val="0"/>
            <w:vAlign w:val="center"/>
          </w:tcPr>
          <w:p w14:paraId="514FD173">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首次响应文件开启时间详见“竞争性磋商公告”</w:t>
            </w:r>
          </w:p>
          <w:p w14:paraId="6DBBE997">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首次响应文件解密时间：</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分钟</w:t>
            </w:r>
          </w:p>
        </w:tc>
      </w:tr>
      <w:tr w14:paraId="434D5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557" w:type="pct"/>
            <w:noWrap w:val="0"/>
            <w:vAlign w:val="center"/>
          </w:tcPr>
          <w:p w14:paraId="33424FA8">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w:t>
            </w:r>
          </w:p>
        </w:tc>
        <w:tc>
          <w:tcPr>
            <w:tcW w:w="4442" w:type="pct"/>
            <w:noWrap w:val="0"/>
            <w:vAlign w:val="center"/>
          </w:tcPr>
          <w:p w14:paraId="001CDCB8">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商务要求评审中允许负偏离的条款数为</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项。</w:t>
            </w:r>
          </w:p>
          <w:p w14:paraId="1F46C864">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技术要求评审中允许负偏离的条款数为</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项。</w:t>
            </w:r>
          </w:p>
        </w:tc>
      </w:tr>
      <w:tr w14:paraId="0FA21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557" w:type="pct"/>
            <w:noWrap w:val="0"/>
            <w:vAlign w:val="center"/>
          </w:tcPr>
          <w:p w14:paraId="39F7888A">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p>
        </w:tc>
        <w:tc>
          <w:tcPr>
            <w:tcW w:w="4442" w:type="pct"/>
            <w:noWrap w:val="0"/>
            <w:vAlign w:val="center"/>
          </w:tcPr>
          <w:p w14:paraId="07DB3CB7">
            <w:pPr>
              <w:keepNext w:val="0"/>
              <w:keepLines w:val="0"/>
              <w:pageBreakBefore w:val="0"/>
              <w:widowControl w:val="0"/>
              <w:shd w:val="clear" w:color="auto" w:fill="auto"/>
              <w:kinsoku/>
              <w:wordWrap/>
              <w:overflowPunct/>
              <w:topLinePunct w:val="0"/>
              <w:autoSpaceDE w:val="0"/>
              <w:autoSpaceDN w:val="0"/>
              <w:bidi w:val="0"/>
              <w:adjustRightInd/>
              <w:snapToGrid w:val="0"/>
              <w:spacing w:line="400" w:lineRule="exact"/>
              <w:ind w:left="0"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本项目不收取履约保证金。</w:t>
            </w:r>
          </w:p>
        </w:tc>
      </w:tr>
      <w:tr w14:paraId="39666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283B352D">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4442" w:type="pct"/>
            <w:noWrap w:val="0"/>
            <w:vAlign w:val="center"/>
          </w:tcPr>
          <w:p w14:paraId="5A4DA2BA">
            <w:pPr>
              <w:keepNext w:val="0"/>
              <w:keepLines w:val="0"/>
              <w:pageBreakBefore w:val="0"/>
              <w:widowControl w:val="0"/>
              <w:shd w:val="clear" w:color="auto" w:fill="auto"/>
              <w:kinsoku/>
              <w:wordWrap/>
              <w:overflowPunct/>
              <w:topLinePunct w:val="0"/>
              <w:autoSpaceDE w:val="0"/>
              <w:autoSpaceDN w:val="0"/>
              <w:bidi w:val="0"/>
              <w:adjustRightInd/>
              <w:snapToGrid w:val="0"/>
              <w:spacing w:line="400" w:lineRule="exact"/>
              <w:ind w:left="0"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签订合同携带的证明材料： </w:t>
            </w:r>
          </w:p>
          <w:p w14:paraId="5E97058F">
            <w:pPr>
              <w:keepNext w:val="0"/>
              <w:keepLines w:val="0"/>
              <w:pageBreakBefore w:val="0"/>
              <w:widowControl w:val="0"/>
              <w:shd w:val="clear" w:color="auto" w:fill="auto"/>
              <w:kinsoku/>
              <w:wordWrap/>
              <w:overflowPunct/>
              <w:topLinePunct w:val="0"/>
              <w:autoSpaceDE w:val="0"/>
              <w:autoSpaceDN w:val="0"/>
              <w:bidi w:val="0"/>
              <w:adjustRightInd/>
              <w:snapToGrid w:val="0"/>
              <w:spacing w:line="400" w:lineRule="exact"/>
              <w:ind w:left="0"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委托代理人负责签订合同的，须携带授权委托书及委托代理人身份证原件等其他资格证件。</w:t>
            </w:r>
          </w:p>
          <w:p w14:paraId="5D4435A0">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法定代表人负责签订合同的，须携带法定代表人身份证明原件及身份证原件等其他证明材料。</w:t>
            </w:r>
          </w:p>
        </w:tc>
      </w:tr>
      <w:tr w14:paraId="08749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3FA38108">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w:t>
            </w:r>
          </w:p>
        </w:tc>
        <w:tc>
          <w:tcPr>
            <w:tcW w:w="4442" w:type="pct"/>
            <w:noWrap w:val="0"/>
            <w:vAlign w:val="center"/>
          </w:tcPr>
          <w:p w14:paraId="0CEC0102">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接收质疑函方式：以书面形式。</w:t>
            </w:r>
          </w:p>
          <w:p w14:paraId="788CEA44">
            <w:pPr>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质疑联系部门及联系方式：广西国兴项目管理有限公司，联系电话：17777178365、0771-5789574，通讯地址：南宁市良庆区体强路19号阳光城·时代中心B座2220室</w:t>
            </w:r>
          </w:p>
          <w:p w14:paraId="48281016">
            <w:pPr>
              <w:keepNext w:val="0"/>
              <w:keepLines w:val="0"/>
              <w:pageBreakBefore w:val="0"/>
              <w:widowControl w:val="0"/>
              <w:shd w:val="clear" w:color="auto" w:fill="auto"/>
              <w:kinsoku/>
              <w:wordWrap/>
              <w:overflowPunct/>
              <w:topLinePunct w:val="0"/>
              <w:autoSpaceDE w:val="0"/>
              <w:autoSpaceDN w:val="0"/>
              <w:bidi w:val="0"/>
              <w:adjustRightInd/>
              <w:snapToGrid w:val="0"/>
              <w:spacing w:line="400" w:lineRule="exact"/>
              <w:ind w:left="0"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现场提交质疑办理业务时间：工作日，上午9:00-12:00；下午15:00-1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0（北京时间）</w:t>
            </w:r>
          </w:p>
        </w:tc>
      </w:tr>
      <w:tr w14:paraId="11466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58F18C2D">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4442" w:type="pct"/>
            <w:noWrap w:val="0"/>
            <w:vAlign w:val="center"/>
          </w:tcPr>
          <w:p w14:paraId="5FC35B08">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1.采购代理费支付方式：</w:t>
            </w:r>
          </w:p>
          <w:p w14:paraId="2494E973">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本项目代理服务费由</w:t>
            </w:r>
            <w:r>
              <w:rPr>
                <w:rFonts w:hint="eastAsia" w:ascii="宋体" w:hAnsi="宋体" w:eastAsia="宋体" w:cs="宋体"/>
                <w:color w:val="auto"/>
                <w:sz w:val="21"/>
                <w:szCs w:val="21"/>
                <w:highlight w:val="none"/>
                <w:u w:val="single"/>
              </w:rPr>
              <w:t>成交供应商</w:t>
            </w:r>
            <w:r>
              <w:rPr>
                <w:rFonts w:hint="eastAsia" w:ascii="宋体" w:hAnsi="宋体" w:eastAsia="宋体" w:cs="宋体"/>
                <w:color w:val="auto"/>
                <w:sz w:val="21"/>
                <w:szCs w:val="21"/>
                <w:highlight w:val="none"/>
              </w:rPr>
              <w:t>领取成交通知书前，一次性向采购代理机构支付。</w:t>
            </w:r>
          </w:p>
          <w:p w14:paraId="19571144">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p>
          <w:p w14:paraId="314E66ED">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2.采购代理费收取标准：</w:t>
            </w:r>
          </w:p>
          <w:p w14:paraId="51DED74F">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成交金额/□采购预算/□暂定成交金额/□其他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）为计费额，按本须知正文第32.2条规定的收费计算标准（□货物类/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服务类/□工程类）采用差额定率累进法计算出收费基准价格，采购代理收费以（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收费基准价格/□收费基准价格下浮</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/□收费基准价格上浮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）收取。</w:t>
            </w:r>
          </w:p>
          <w:p w14:paraId="6B41F9B8">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□固定采购代理收费</w:t>
            </w:r>
            <w:r>
              <w:rPr>
                <w:rFonts w:hint="eastAsia" w:ascii="宋体" w:hAnsi="宋体" w:eastAsia="宋体" w:cs="宋体"/>
                <w:color w:val="auto"/>
                <w:sz w:val="21"/>
                <w:szCs w:val="21"/>
                <w:highlight w:val="none"/>
                <w:u w:val="single"/>
              </w:rPr>
              <w:t xml:space="preserve">              。</w:t>
            </w:r>
          </w:p>
          <w:p w14:paraId="6FC6879C">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3.采购代理费收取银行账户</w:t>
            </w:r>
          </w:p>
          <w:p w14:paraId="125D0ECB">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账户名称：广西国兴项目管理有限公司</w:t>
            </w:r>
          </w:p>
          <w:p w14:paraId="7AA2840C">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开户行：广西北部湾银行股份有限公司南宁市仙葫支行</w:t>
            </w:r>
          </w:p>
          <w:p w14:paraId="28C97FEE">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账号：800081385811688</w:t>
            </w:r>
          </w:p>
        </w:tc>
      </w:tr>
      <w:tr w14:paraId="0F756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1E621D33">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4442" w:type="pct"/>
            <w:noWrap w:val="0"/>
            <w:vAlign w:val="center"/>
          </w:tcPr>
          <w:p w14:paraId="67FF2688">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5002D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7" w:type="pct"/>
            <w:noWrap w:val="0"/>
            <w:vAlign w:val="center"/>
          </w:tcPr>
          <w:p w14:paraId="0800F46C">
            <w:pPr>
              <w:keepNext w:val="0"/>
              <w:keepLines w:val="0"/>
              <w:pageBreakBefore w:val="0"/>
              <w:widowControl w:val="0"/>
              <w:shd w:val="clear" w:color="auto" w:fill="auto"/>
              <w:kinsoku/>
              <w:wordWrap/>
              <w:overflowPunct/>
              <w:topLinePunct w:val="0"/>
              <w:bidi w:val="0"/>
              <w:adjustRightInd/>
              <w:spacing w:line="400" w:lineRule="exac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w:t>
            </w:r>
          </w:p>
        </w:tc>
        <w:tc>
          <w:tcPr>
            <w:tcW w:w="4442" w:type="pct"/>
            <w:noWrap w:val="0"/>
            <w:vAlign w:val="center"/>
          </w:tcPr>
          <w:p w14:paraId="6F63C981">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583B9D3">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2.本磋商文件所称的“</w:t>
            </w:r>
            <w:r>
              <w:rPr>
                <w:rFonts w:hint="eastAsia" w:ascii="宋体" w:hAnsi="宋体" w:eastAsia="宋体" w:cs="宋体"/>
                <w:color w:val="auto"/>
                <w:sz w:val="21"/>
                <w:szCs w:val="21"/>
                <w:highlight w:val="none"/>
              </w:rPr>
              <w:t>电子签章</w:t>
            </w:r>
            <w:r>
              <w:rPr>
                <w:rFonts w:hint="eastAsia" w:ascii="宋体" w:hAnsi="宋体" w:eastAsia="宋体" w:cs="宋体"/>
                <w:bCs/>
                <w:color w:val="auto"/>
                <w:sz w:val="21"/>
                <w:szCs w:val="21"/>
                <w:highlight w:val="none"/>
              </w:rPr>
              <w:t>”、“电子签名”</w:t>
            </w:r>
            <w:r>
              <w:rPr>
                <w:rFonts w:hint="eastAsia" w:ascii="宋体" w:hAnsi="宋体" w:eastAsia="宋体" w:cs="宋体"/>
                <w:color w:val="auto"/>
                <w:sz w:val="21"/>
                <w:szCs w:val="21"/>
                <w:highlight w:val="none"/>
              </w:rPr>
              <w:t>，是指经</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认可的CA认证的电子签名数据为表现形式的印章，可用于签署电子响应文件，电子印章与实物印章具有同等法律效力，不因其采用电子化表现形式而否定其法律效力。</w:t>
            </w:r>
          </w:p>
          <w:p w14:paraId="617D595E">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3.供应商为其他组织或者自然人时，本磋商文件规定的法定代表人指负责人或者自然人。本磋商文件所称负责人是指参加竞标的其他组织</w:t>
            </w:r>
            <w:r>
              <w:rPr>
                <w:rFonts w:hint="eastAsia" w:ascii="宋体" w:hAnsi="宋体" w:eastAsia="宋体" w:cs="宋体"/>
                <w:bCs/>
                <w:color w:val="auto"/>
                <w:sz w:val="21"/>
                <w:szCs w:val="21"/>
                <w:highlight w:val="none"/>
              </w:rPr>
              <w:t>营业执照或者执业许可证等证照上的</w:t>
            </w:r>
            <w:r>
              <w:rPr>
                <w:rFonts w:hint="eastAsia" w:ascii="宋体" w:hAnsi="宋体" w:eastAsia="宋体" w:cs="宋体"/>
                <w:color w:val="auto"/>
                <w:sz w:val="21"/>
                <w:szCs w:val="21"/>
                <w:highlight w:val="none"/>
              </w:rPr>
              <w:t>负责人，本磋商文件所称自然人指参与竞标的自然人本人，</w:t>
            </w:r>
            <w:r>
              <w:rPr>
                <w:rFonts w:hint="eastAsia" w:ascii="宋体" w:hAnsi="宋体" w:eastAsia="宋体" w:cs="宋体"/>
                <w:bCs/>
                <w:color w:val="auto"/>
                <w:sz w:val="21"/>
                <w:szCs w:val="21"/>
                <w:highlight w:val="none"/>
              </w:rPr>
              <w:t>且应具备独立承担民事责任能力，自然人应当为年满18岁以上成年人（十六周岁以上的未成年人，以自己的劳动收入为主要生活来源的，视为完全民事行为能力人）。</w:t>
            </w:r>
          </w:p>
          <w:p w14:paraId="5BA79B89">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22B53B70">
            <w:pPr>
              <w:pStyle w:val="18"/>
              <w:keepNext w:val="0"/>
              <w:keepLines w:val="0"/>
              <w:pageBreakBefore w:val="0"/>
              <w:widowControl w:val="0"/>
              <w:shd w:val="clear" w:color="auto" w:fill="auto"/>
              <w:kinsoku/>
              <w:wordWrap/>
              <w:overflowPunct/>
              <w:topLinePunct w:val="0"/>
              <w:bidi w:val="0"/>
              <w:adjustRightInd/>
              <w:snapToGrid w:val="0"/>
              <w:spacing w:line="400" w:lineRule="exact"/>
              <w:ind w:lef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5.本磋商文件所称的“以上”“以下”“以内”“届满”，包括本数；所称的“不满”“超过”“以外”，不包括本数。</w:t>
            </w:r>
          </w:p>
        </w:tc>
      </w:tr>
    </w:tbl>
    <w:p w14:paraId="19B4B441">
      <w:pPr>
        <w:shd w:val="clear" w:color="auto" w:fill="auto"/>
        <w:spacing w:line="360" w:lineRule="auto"/>
        <w:jc w:val="center"/>
        <w:outlineLvl w:val="1"/>
        <w:rPr>
          <w:rFonts w:hint="eastAsia" w:ascii="宋体" w:hAnsi="宋体" w:eastAsia="宋体" w:cs="宋体"/>
          <w:b/>
          <w:color w:val="auto"/>
          <w:sz w:val="21"/>
          <w:szCs w:val="21"/>
          <w:highlight w:val="none"/>
        </w:rPr>
      </w:pPr>
      <w:r>
        <w:rPr>
          <w:rFonts w:hint="eastAsia" w:ascii="仿宋" w:hAnsi="仿宋" w:eastAsia="仿宋" w:cs="仿宋"/>
          <w:b/>
          <w:color w:val="auto"/>
          <w:sz w:val="32"/>
          <w:szCs w:val="32"/>
          <w:highlight w:val="none"/>
        </w:rPr>
        <w:br w:type="page"/>
      </w:r>
      <w:bookmarkStart w:id="59" w:name="_Toc31639"/>
      <w:bookmarkStart w:id="60" w:name="_Toc10053"/>
      <w:r>
        <w:rPr>
          <w:rFonts w:hint="eastAsia" w:ascii="宋体" w:hAnsi="宋体" w:eastAsia="宋体" w:cs="宋体"/>
          <w:b/>
          <w:color w:val="auto"/>
          <w:sz w:val="21"/>
          <w:szCs w:val="21"/>
          <w:highlight w:val="none"/>
        </w:rPr>
        <w:t>供应商须知正文</w:t>
      </w:r>
      <w:bookmarkEnd w:id="59"/>
      <w:bookmarkEnd w:id="60"/>
    </w:p>
    <w:p w14:paraId="00416851">
      <w:pPr>
        <w:keepNext w:val="0"/>
        <w:keepLines w:val="0"/>
        <w:pageBreakBefore w:val="0"/>
        <w:widowControl w:val="0"/>
        <w:shd w:val="clear" w:color="auto" w:fill="auto"/>
        <w:kinsoku/>
        <w:wordWrap/>
        <w:overflowPunct/>
        <w:topLinePunct w:val="0"/>
        <w:autoSpaceDE/>
        <w:autoSpaceDN/>
        <w:bidi w:val="0"/>
        <w:spacing w:line="360" w:lineRule="auto"/>
        <w:jc w:val="center"/>
        <w:outlineLvl w:val="1"/>
        <w:rPr>
          <w:rFonts w:hint="eastAsia" w:ascii="宋体" w:hAnsi="宋体" w:eastAsia="宋体" w:cs="宋体"/>
          <w:b/>
          <w:color w:val="auto"/>
          <w:sz w:val="21"/>
          <w:szCs w:val="21"/>
          <w:highlight w:val="none"/>
        </w:rPr>
      </w:pPr>
      <w:bookmarkStart w:id="61" w:name="_Toc5079"/>
      <w:bookmarkStart w:id="62" w:name="_Toc15364"/>
      <w:r>
        <w:rPr>
          <w:rFonts w:hint="eastAsia" w:ascii="宋体" w:hAnsi="宋体" w:eastAsia="宋体" w:cs="宋体"/>
          <w:b/>
          <w:color w:val="auto"/>
          <w:sz w:val="21"/>
          <w:szCs w:val="21"/>
          <w:highlight w:val="none"/>
        </w:rPr>
        <w:t>一、总则</w:t>
      </w:r>
      <w:bookmarkEnd w:id="61"/>
      <w:bookmarkEnd w:id="62"/>
    </w:p>
    <w:p w14:paraId="05A88A8D">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1.适用范围</w:t>
      </w:r>
    </w:p>
    <w:p w14:paraId="7AFF68EA">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4C2A31D">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pacing w:val="-6"/>
          <w:sz w:val="21"/>
          <w:szCs w:val="21"/>
          <w:highlight w:val="none"/>
        </w:rPr>
        <w:t>本竞争性磋商文件（以下简称磋商文件）适用于本项目的所有采购程序和环节（法律、法规另有规定的，从其规定）。</w:t>
      </w:r>
    </w:p>
    <w:p w14:paraId="28DFC1CF">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2.定义</w:t>
      </w:r>
    </w:p>
    <w:p w14:paraId="0E8444A6">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2.1“采购人”是指依法进行政府采购的国家机关、事业单位、团体组织。</w:t>
      </w:r>
    </w:p>
    <w:p w14:paraId="5EF01E52">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2.2“采购代理机构”是指政府采购集中采购机构和集中采购机构以外的采购代理机构。</w:t>
      </w:r>
    </w:p>
    <w:p w14:paraId="16F91D07">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2.3“供应商”是指向采购人提供货物、工程或者服务的法人、其他组织或者自然人。</w:t>
      </w:r>
    </w:p>
    <w:p w14:paraId="76B09052">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2.4“服务”是指除货物和工程以外的其他政府采购对象。</w:t>
      </w:r>
    </w:p>
    <w:p w14:paraId="3F2E2B56">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2.5“竞标”是指供应商按照本项目竞争性磋商公告规定的方式获取磋商文件、提交响应文件并希望获得标的的行为。</w:t>
      </w:r>
    </w:p>
    <w:p w14:paraId="0787FD16">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2.6“书面形式”是指合同书、信件和数据电文（包括电报、电传、传真、电子数据交换和电子邮件）等可以有形地表现所载内容的形式。</w:t>
      </w:r>
    </w:p>
    <w:p w14:paraId="77A5271E">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2.7“响应文件”</w:t>
      </w:r>
      <w:r>
        <w:rPr>
          <w:rFonts w:hint="eastAsia" w:ascii="宋体" w:hAnsi="宋体" w:eastAsia="宋体" w:cs="宋体"/>
          <w:color w:val="auto"/>
          <w:spacing w:val="-6"/>
          <w:sz w:val="21"/>
          <w:szCs w:val="21"/>
          <w:highlight w:val="none"/>
        </w:rPr>
        <w:t>是指：供应商根据本磋商文件要求，编制包含</w:t>
      </w:r>
      <w:r>
        <w:rPr>
          <w:rFonts w:hint="eastAsia" w:ascii="宋体" w:hAnsi="宋体" w:eastAsia="宋体" w:cs="宋体"/>
          <w:color w:val="auto"/>
          <w:spacing w:val="-6"/>
          <w:szCs w:val="21"/>
          <w:highlight w:val="none"/>
        </w:rPr>
        <w:t>资格证明</w:t>
      </w:r>
      <w:r>
        <w:rPr>
          <w:rFonts w:hint="eastAsia" w:ascii="宋体" w:hAnsi="宋体" w:eastAsia="宋体" w:cs="宋体"/>
          <w:color w:val="auto"/>
          <w:spacing w:val="-6"/>
          <w:szCs w:val="21"/>
          <w:highlight w:val="none"/>
          <w:lang w:val="en-US" w:eastAsia="zh-CN"/>
        </w:rPr>
        <w:t>文件</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报价文件、商务和技术文件</w:t>
      </w:r>
      <w:r>
        <w:rPr>
          <w:rFonts w:hint="eastAsia" w:ascii="宋体" w:hAnsi="宋体" w:eastAsia="宋体" w:cs="宋体"/>
          <w:color w:val="auto"/>
          <w:spacing w:val="-6"/>
          <w:sz w:val="21"/>
          <w:szCs w:val="21"/>
          <w:highlight w:val="none"/>
        </w:rPr>
        <w:t>等所有内容的文件。</w:t>
      </w:r>
    </w:p>
    <w:p w14:paraId="46F7F706">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2.8“实质性要求”是指磋商文件中已经指明不满足则响应文件按无效响应处理的条款，或者不能负偏离的条款，或者采购需求中带“▲”的条款。</w:t>
      </w:r>
    </w:p>
    <w:p w14:paraId="1D2106B4">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2.9“正偏离”，是指响应文件对磋商文件“采购需求”中有关条款作出的响应优于条款要求并有利于采购人的情形。</w:t>
      </w:r>
    </w:p>
    <w:p w14:paraId="19DA1723">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2.10“负偏离”，是指响应文件对磋商文件“采购需求”中有关条款作出的响应不满足条款要求，导致采购人要求不能得到满足的情形。</w:t>
      </w:r>
    </w:p>
    <w:p w14:paraId="7D28BBB1">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2.11“首次报价”是指供应商提交的首次响应文件中的报价。</w:t>
      </w:r>
    </w:p>
    <w:p w14:paraId="128AD3CF">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2.12“评审价”是指供应商提交的最后报价并经修正（如有）和政策功能价格扣除（如有）后的价格。</w:t>
      </w:r>
    </w:p>
    <w:p w14:paraId="15DEA27C">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3.供应商的资格条件</w:t>
      </w:r>
    </w:p>
    <w:p w14:paraId="3A1AAA95">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供应商的资格条件详见“供应商须知前附表”。</w:t>
      </w:r>
    </w:p>
    <w:p w14:paraId="43D621A2">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4.竞标费用</w:t>
      </w:r>
    </w:p>
    <w:p w14:paraId="7110867C">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供应商应承担参与本次采购活动有关的所有费用，包括但不限于获取磋商文件、勘查现场、编制和提交响应文件、参加磋商与应答、签订合同等，不论竞标结果如何，均应自行承担。</w:t>
      </w:r>
    </w:p>
    <w:p w14:paraId="583A7088">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5.联合体竞标</w:t>
      </w:r>
    </w:p>
    <w:p w14:paraId="513B679A">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5.1本项目是否接受联合体竞标，详见“供应商须知前附表”。</w:t>
      </w:r>
    </w:p>
    <w:p w14:paraId="19CF841B">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5.2如接受联合体竞标，联合体竞标要求详见“供应商须知前附表”。</w:t>
      </w:r>
    </w:p>
    <w:p w14:paraId="72AF162C">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6.转包与分包</w:t>
      </w:r>
    </w:p>
    <w:p w14:paraId="02D3D59A">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firstLine="420" w:firstLineChars="200"/>
        <w:textAlignment w:val="auto"/>
        <w:outlineLvl w:val="9"/>
        <w:rPr>
          <w:rFonts w:hint="eastAsia" w:ascii="宋体" w:hAnsi="宋体" w:eastAsia="宋体" w:cs="宋体"/>
          <w:b w:val="0"/>
          <w:bCs/>
          <w:color w:val="auto"/>
          <w:sz w:val="21"/>
          <w:szCs w:val="21"/>
          <w:highlight w:val="none"/>
        </w:rPr>
      </w:pPr>
      <w:bookmarkStart w:id="63" w:name="_Toc254970673"/>
      <w:bookmarkStart w:id="64" w:name="_Toc254970532"/>
      <w:r>
        <w:rPr>
          <w:rFonts w:hint="eastAsia" w:ascii="宋体" w:hAnsi="宋体" w:eastAsia="宋体" w:cs="宋体"/>
          <w:b w:val="0"/>
          <w:bCs/>
          <w:color w:val="auto"/>
          <w:sz w:val="21"/>
          <w:szCs w:val="21"/>
          <w:highlight w:val="none"/>
        </w:rPr>
        <w:t>6.1本项目不允许转包。</w:t>
      </w:r>
    </w:p>
    <w:p w14:paraId="3FAA15B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6.2本项目是否允许分包详见“供应商须知前附表”，本项目不允许违法分包。</w:t>
      </w:r>
    </w:p>
    <w:p w14:paraId="1353217E">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w:t>
      </w:r>
      <w:bookmarkEnd w:id="63"/>
      <w:bookmarkEnd w:id="64"/>
      <w:r>
        <w:rPr>
          <w:rFonts w:hint="eastAsia" w:ascii="宋体" w:hAnsi="宋体" w:eastAsia="宋体" w:cs="宋体"/>
          <w:b/>
          <w:bCs/>
          <w:color w:val="auto"/>
          <w:sz w:val="21"/>
          <w:szCs w:val="21"/>
          <w:highlight w:val="none"/>
        </w:rPr>
        <w:t>特别说明</w:t>
      </w:r>
    </w:p>
    <w:p w14:paraId="53789FE0">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bookmarkStart w:id="65" w:name="_8.1提供相同品牌产品且通过资格审查、符合性审查的不同投标人参加同一合"/>
      <w:bookmarkEnd w:id="65"/>
      <w:bookmarkStart w:id="66" w:name="_Hlk65832145"/>
      <w:r>
        <w:rPr>
          <w:rFonts w:hint="eastAsia" w:ascii="宋体" w:hAnsi="宋体" w:eastAsia="宋体" w:cs="宋体"/>
          <w:color w:val="auto"/>
          <w:sz w:val="21"/>
          <w:szCs w:val="21"/>
          <w:highlight w:val="none"/>
        </w:rPr>
        <w:t>7.1如果本磋商文件要求提供供应商或制造商的资格、信誉、荣誉、业绩与企业认证等材料的，资格、信誉、荣誉、业绩与企业认证等必须为供应商或者制造商所拥有或自身获得 。</w:t>
      </w:r>
    </w:p>
    <w:bookmarkEnd w:id="66"/>
    <w:p w14:paraId="182F919B">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7.2供应商应仔细阅读磋商文件的所有内容，按照磋商文件的要求提交响应文件，并对所提供的全部资料的真实性承担法律责任。</w:t>
      </w:r>
    </w:p>
    <w:p w14:paraId="41927C3D">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供应商在竞标活动中提供任何疑似虚假材料，其响应文件作无效处理，将报监管部门查处；签订合同后发现的，成交供应商须依照《中华人民共和国民法典》规定赔偿采购人，且民事赔偿并不免除违法供应商的行政与刑事责任。</w:t>
      </w:r>
    </w:p>
    <w:p w14:paraId="0D81A226">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7.4在政府采购活动中，采购人员及相关人员与供应商有下列利害关系之一的，应当回避：</w:t>
      </w:r>
    </w:p>
    <w:p w14:paraId="6B4952D5">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（1）参加采购活动前3年内与供应商存在劳动关系；</w:t>
      </w:r>
    </w:p>
    <w:p w14:paraId="313B12AB">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（2）参加采购活动前3年内担任供应商的董事、监事；</w:t>
      </w:r>
    </w:p>
    <w:p w14:paraId="7F3130FF">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（3）参加采购活动前3年内是供应商的控股股东或者实际控制人；</w:t>
      </w:r>
    </w:p>
    <w:p w14:paraId="62DFE929">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（4）与供应商的法定代表人或者负责人有夫妻、直系血亲、三代以内旁系血亲或者近姻亲关系；</w:t>
      </w:r>
    </w:p>
    <w:p w14:paraId="5F453E21">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（5）与供应商有其他可能影响政府采购活动公平、公正进行的关系。</w:t>
      </w:r>
    </w:p>
    <w:p w14:paraId="2D6669C6">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FB3F865">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7.5有下列情形之一的视为供应商相互串通竞标，响应文件将被视为无效：</w:t>
      </w:r>
    </w:p>
    <w:p w14:paraId="7C5E9143">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（1）不同供应商的响应文件由同一单位或者个人编制；或不同供应商报名的IP地址一致的； </w:t>
      </w:r>
    </w:p>
    <w:p w14:paraId="6C080D8C">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（2）不同供应商委托同一单位或者个人办理竞标事宜；</w:t>
      </w:r>
    </w:p>
    <w:p w14:paraId="417E9797">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（3）不同的供应商的响应文件载明的项目管理员为同一个人；</w:t>
      </w:r>
    </w:p>
    <w:p w14:paraId="37A65943">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（4）不同供应商的响应文件异常一致或者报价呈规律性差异；</w:t>
      </w:r>
    </w:p>
    <w:p w14:paraId="592D1A24">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（5）不同供应商的响应文件相互混装；</w:t>
      </w:r>
    </w:p>
    <w:p w14:paraId="411D5CAC">
      <w:pPr>
        <w:keepNext w:val="0"/>
        <w:keepLines w:val="0"/>
        <w:pageBreakBefore w:val="0"/>
        <w:widowControl w:val="0"/>
        <w:shd w:val="clear" w:color="auto" w:fill="auto"/>
        <w:tabs>
          <w:tab w:val="left" w:pos="6931"/>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（6）不同供应商的磋商保证金从同一单位或者个人账户转出。</w:t>
      </w:r>
      <w:r>
        <w:rPr>
          <w:rFonts w:hint="eastAsia" w:ascii="宋体" w:hAnsi="宋体" w:eastAsia="宋体" w:cs="宋体"/>
          <w:color w:val="auto"/>
          <w:sz w:val="21"/>
          <w:szCs w:val="21"/>
          <w:highlight w:val="none"/>
        </w:rPr>
        <w:tab/>
      </w:r>
    </w:p>
    <w:p w14:paraId="495B15AC">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7.6供应商有下列情形之一的，属于恶意串通行为，将报同级监督管理部门：</w:t>
      </w:r>
    </w:p>
    <w:p w14:paraId="1BA85CE7">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（1）供应商直接或者间接从采购人或者采购代理机构处获得其他供应商的相关信息并修改其响应文件；</w:t>
      </w:r>
    </w:p>
    <w:p w14:paraId="0F172BFD">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（2）供应商按照采购人或者采购代理机构的授意撤换、修改响应文件；</w:t>
      </w:r>
    </w:p>
    <w:p w14:paraId="03E287C9">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（3）供应商之间协商报价、技术方案等响应文件或者响应文件的实质性内容；</w:t>
      </w:r>
    </w:p>
    <w:p w14:paraId="5129A230">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（4）属于同一集团、协会、商会等组织成员的供应商按照该组织要求协同参加政府采购活动；</w:t>
      </w:r>
    </w:p>
    <w:p w14:paraId="0BAE3ED2">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（5）供应商之间事先约定一致抬高或者压低报价，或者在政府采购活动中事先约定轮流以高价位或者低价位成交，或者事先约定由某一特定供应商成交，然后再参加竞标；</w:t>
      </w:r>
    </w:p>
    <w:p w14:paraId="3377D179">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（6）供应商之间商定部分供应商放弃参加政府采购活动或者放弃成交；</w:t>
      </w:r>
    </w:p>
    <w:p w14:paraId="4298FD13">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（7）供应商与采购人或者采购代理机构之间、供应商相互之间，为谋求特定供应商成交或者排斥其他供应商的其他串通行为。</w:t>
      </w:r>
      <w:bookmarkStart w:id="67" w:name="_Toc254970534"/>
      <w:bookmarkStart w:id="68" w:name="_Toc254970675"/>
    </w:p>
    <w:bookmarkEnd w:id="67"/>
    <w:bookmarkEnd w:id="68"/>
    <w:p w14:paraId="176B870A">
      <w:pPr>
        <w:keepNext w:val="0"/>
        <w:keepLines w:val="0"/>
        <w:pageBreakBefore w:val="0"/>
        <w:widowControl w:val="0"/>
        <w:shd w:val="clear" w:color="auto" w:fill="auto"/>
        <w:kinsoku/>
        <w:wordWrap/>
        <w:overflowPunct/>
        <w:topLinePunct w:val="0"/>
        <w:autoSpaceDE/>
        <w:autoSpaceDN/>
        <w:bidi w:val="0"/>
        <w:spacing w:line="400" w:lineRule="exact"/>
        <w:jc w:val="center"/>
        <w:textAlignment w:val="auto"/>
        <w:outlineLvl w:val="9"/>
        <w:rPr>
          <w:rFonts w:hint="eastAsia" w:ascii="宋体" w:hAnsi="宋体" w:eastAsia="宋体" w:cs="宋体"/>
          <w:b/>
          <w:bCs/>
          <w:color w:val="auto"/>
          <w:sz w:val="21"/>
          <w:szCs w:val="21"/>
          <w:highlight w:val="none"/>
        </w:rPr>
      </w:pPr>
      <w:bookmarkStart w:id="69" w:name="_Toc15547"/>
    </w:p>
    <w:p w14:paraId="10B797A9">
      <w:pPr>
        <w:keepNext w:val="0"/>
        <w:keepLines w:val="0"/>
        <w:pageBreakBefore w:val="0"/>
        <w:widowControl w:val="0"/>
        <w:shd w:val="clear" w:color="auto" w:fill="auto"/>
        <w:kinsoku/>
        <w:wordWrap/>
        <w:overflowPunct/>
        <w:topLinePunct w:val="0"/>
        <w:autoSpaceDE/>
        <w:autoSpaceDN/>
        <w:bidi w:val="0"/>
        <w:spacing w:line="400" w:lineRule="exact"/>
        <w:jc w:val="center"/>
        <w:textAlignment w:val="auto"/>
        <w:outlineLvl w:val="1"/>
        <w:rPr>
          <w:rFonts w:hint="eastAsia" w:ascii="宋体" w:hAnsi="宋体" w:eastAsia="宋体" w:cs="宋体"/>
          <w:b/>
          <w:bCs/>
          <w:color w:val="auto"/>
          <w:sz w:val="21"/>
          <w:szCs w:val="21"/>
          <w:highlight w:val="none"/>
        </w:rPr>
      </w:pPr>
      <w:bookmarkStart w:id="70" w:name="_Toc18192"/>
      <w:r>
        <w:rPr>
          <w:rFonts w:hint="eastAsia" w:ascii="宋体" w:hAnsi="宋体" w:eastAsia="宋体" w:cs="宋体"/>
          <w:b/>
          <w:bCs/>
          <w:color w:val="auto"/>
          <w:sz w:val="21"/>
          <w:szCs w:val="21"/>
          <w:highlight w:val="none"/>
        </w:rPr>
        <w:t>二、磋商文件</w:t>
      </w:r>
      <w:bookmarkEnd w:id="69"/>
      <w:bookmarkEnd w:id="70"/>
    </w:p>
    <w:p w14:paraId="5488F0A4">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8.磋商文件的构成</w:t>
      </w:r>
    </w:p>
    <w:p w14:paraId="209DE690">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（1）竞争性磋商公告；</w:t>
      </w:r>
    </w:p>
    <w:p w14:paraId="7A63E30D">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（2）供应商须知； </w:t>
      </w:r>
    </w:p>
    <w:p w14:paraId="1F1E9192">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（3）采购需求；</w:t>
      </w:r>
    </w:p>
    <w:p w14:paraId="7FEABA4D">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（4）评审程序、评审方法和评审标准；</w:t>
      </w:r>
    </w:p>
    <w:p w14:paraId="1A3E852A">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（5）响应文件格式；</w:t>
      </w:r>
    </w:p>
    <w:p w14:paraId="6FEF4E74">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（6）合同文本。</w:t>
      </w:r>
    </w:p>
    <w:p w14:paraId="4AD92A80">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9.供应商的询问</w:t>
      </w:r>
    </w:p>
    <w:p w14:paraId="404A1C4C">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4FF4958E">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10.磋商文件的澄清和修改</w:t>
      </w:r>
    </w:p>
    <w:p w14:paraId="479A0D00">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7B1A484A">
      <w:pPr>
        <w:keepNext w:val="0"/>
        <w:keepLines w:val="0"/>
        <w:pageBreakBefore w:val="0"/>
        <w:widowControl w:val="0"/>
        <w:shd w:val="clear" w:color="auto" w:fill="auto"/>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p>
    <w:p w14:paraId="2D4F2FC9">
      <w:pPr>
        <w:keepNext w:val="0"/>
        <w:keepLines w:val="0"/>
        <w:pageBreakBefore w:val="0"/>
        <w:widowControl w:val="0"/>
        <w:shd w:val="clear" w:color="auto" w:fill="auto"/>
        <w:kinsoku/>
        <w:wordWrap/>
        <w:overflowPunct/>
        <w:topLinePunct w:val="0"/>
        <w:autoSpaceDE/>
        <w:autoSpaceDN/>
        <w:bidi w:val="0"/>
        <w:spacing w:line="400" w:lineRule="exact"/>
        <w:jc w:val="center"/>
        <w:textAlignment w:val="auto"/>
        <w:outlineLvl w:val="1"/>
        <w:rPr>
          <w:rFonts w:hint="eastAsia" w:ascii="宋体" w:hAnsi="宋体" w:eastAsia="宋体" w:cs="宋体"/>
          <w:color w:val="auto"/>
          <w:sz w:val="21"/>
          <w:szCs w:val="21"/>
          <w:highlight w:val="none"/>
        </w:rPr>
      </w:pPr>
      <w:bookmarkStart w:id="71" w:name="_Toc25361"/>
      <w:bookmarkStart w:id="72" w:name="_Toc11780"/>
      <w:r>
        <w:rPr>
          <w:rFonts w:hint="eastAsia" w:ascii="宋体" w:hAnsi="宋体" w:eastAsia="宋体" w:cs="宋体"/>
          <w:b/>
          <w:bCs/>
          <w:color w:val="auto"/>
          <w:sz w:val="21"/>
          <w:szCs w:val="21"/>
          <w:highlight w:val="none"/>
        </w:rPr>
        <w:t>三、响应文件的编制</w:t>
      </w:r>
      <w:bookmarkEnd w:id="71"/>
      <w:bookmarkEnd w:id="72"/>
    </w:p>
    <w:p w14:paraId="25715EC2">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11.响应文件的编制原则</w:t>
      </w:r>
    </w:p>
    <w:p w14:paraId="35686265">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供应商必须按照磋商文件的要求编制响应文件，并对其提交的响应文件的真实性、合法性承担法律责任。响应文件必须对磋商文件作出实质性响应。</w:t>
      </w:r>
    </w:p>
    <w:p w14:paraId="2C6CBC2D">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12.响应文件的组成</w:t>
      </w:r>
    </w:p>
    <w:p w14:paraId="31511CF3">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12.1响应文件由资格证明文件、报价文件、商务技术文件三部分组成。</w:t>
      </w:r>
    </w:p>
    <w:p w14:paraId="0A4B9D58">
      <w:pPr>
        <w:keepNext w:val="0"/>
        <w:keepLines w:val="0"/>
        <w:pageBreakBefore w:val="0"/>
        <w:widowControl w:val="0"/>
        <w:shd w:val="clear" w:color="auto" w:fill="auto"/>
        <w:kinsoku/>
        <w:wordWrap/>
        <w:overflowPunct/>
        <w:topLinePunct w:val="0"/>
        <w:autoSpaceDE/>
        <w:autoSpaceDN/>
        <w:bidi w:val="0"/>
        <w:spacing w:line="400" w:lineRule="exact"/>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12.1.1资格证明文件：详见“供应商须知前附表”</w:t>
      </w:r>
    </w:p>
    <w:p w14:paraId="201145A6">
      <w:pPr>
        <w:keepNext w:val="0"/>
        <w:keepLines w:val="0"/>
        <w:pageBreakBefore w:val="0"/>
        <w:widowControl w:val="0"/>
        <w:shd w:val="clear" w:color="auto" w:fill="auto"/>
        <w:kinsoku/>
        <w:wordWrap/>
        <w:overflowPunct/>
        <w:topLinePunct w:val="0"/>
        <w:autoSpaceDE/>
        <w:autoSpaceDN/>
        <w:bidi w:val="0"/>
        <w:spacing w:line="400" w:lineRule="exact"/>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12.1.2报价文件：详见“供应商须知前附表”</w:t>
      </w:r>
    </w:p>
    <w:p w14:paraId="1E5D9E87">
      <w:pPr>
        <w:keepNext w:val="0"/>
        <w:keepLines w:val="0"/>
        <w:pageBreakBefore w:val="0"/>
        <w:widowControl w:val="0"/>
        <w:shd w:val="clear" w:color="auto" w:fill="auto"/>
        <w:kinsoku/>
        <w:wordWrap/>
        <w:overflowPunct/>
        <w:topLinePunct w:val="0"/>
        <w:autoSpaceDE/>
        <w:autoSpaceDN/>
        <w:bidi w:val="0"/>
        <w:spacing w:line="400" w:lineRule="exact"/>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12.1.3商务技术文件：详见“供应商须知前附表”</w:t>
      </w:r>
    </w:p>
    <w:p w14:paraId="54F69107">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13.计量单位</w:t>
      </w:r>
    </w:p>
    <w:p w14:paraId="6994A022">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磋商文件已有明确规定的，使用磋商文件规定的计量单位；磋商文件没有规定的，应采用中华人民共和国法定计量单位，货币种类为人民币，否则视同未响应。</w:t>
      </w:r>
    </w:p>
    <w:p w14:paraId="216B0559">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14.竞标的风险</w:t>
      </w:r>
    </w:p>
    <w:p w14:paraId="606441D9">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供应商没有按照磋商文件要求提供全部资料，或者供应商没有对磋商文件在各方面作出实质性响应可能导致其响应无效，是供应商应当考虑的风险。</w:t>
      </w:r>
    </w:p>
    <w:p w14:paraId="64AD8E80">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15.竞标报价</w:t>
      </w:r>
    </w:p>
    <w:p w14:paraId="2B07A9CF">
      <w:pPr>
        <w:keepNext w:val="0"/>
        <w:keepLines w:val="0"/>
        <w:pageBreakBefore w:val="0"/>
        <w:widowControl w:val="0"/>
        <w:shd w:val="clear" w:color="auto" w:fill="auto"/>
        <w:tabs>
          <w:tab w:val="left" w:pos="2492"/>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15.1竞标报价应按磋商文件中“竞标报价表”格式填写。</w:t>
      </w:r>
    </w:p>
    <w:p w14:paraId="0B2BED5F">
      <w:pPr>
        <w:keepNext w:val="0"/>
        <w:keepLines w:val="0"/>
        <w:pageBreakBefore w:val="0"/>
        <w:widowControl w:val="0"/>
        <w:shd w:val="clear" w:color="auto" w:fill="auto"/>
        <w:tabs>
          <w:tab w:val="left" w:pos="2492"/>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15.2竞标报价的内容见“供应商须知前附表”。</w:t>
      </w:r>
    </w:p>
    <w:p w14:paraId="59AFDC6F">
      <w:pPr>
        <w:keepNext w:val="0"/>
        <w:keepLines w:val="0"/>
        <w:pageBreakBefore w:val="0"/>
        <w:widowControl w:val="0"/>
        <w:shd w:val="clear" w:color="auto" w:fill="auto"/>
        <w:kinsoku/>
        <w:wordWrap/>
        <w:overflowPunct/>
        <w:topLinePunct w:val="0"/>
        <w:autoSpaceDE/>
        <w:autoSpaceDN/>
        <w:bidi w:val="0"/>
        <w:spacing w:line="400" w:lineRule="exact"/>
        <w:ind w:left="426" w:leftChars="20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15.3竞标报价要求</w:t>
      </w:r>
    </w:p>
    <w:p w14:paraId="607DCDF3">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15.3.1供应商的竞标报价应符合以下要求，否则响应文件按无效响应处理：</w:t>
      </w:r>
    </w:p>
    <w:p w14:paraId="5DBE6783">
      <w:pPr>
        <w:keepNext w:val="0"/>
        <w:keepLines w:val="0"/>
        <w:pageBreakBefore w:val="0"/>
        <w:widowControl w:val="0"/>
        <w:shd w:val="clear" w:color="auto" w:fill="auto"/>
        <w:kinsoku/>
        <w:wordWrap/>
        <w:overflowPunct/>
        <w:topLinePunct w:val="0"/>
        <w:autoSpaceDE/>
        <w:autoSpaceDN/>
        <w:bidi w:val="0"/>
        <w:spacing w:line="400" w:lineRule="exact"/>
        <w:ind w:left="420" w:left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（1）供应商必须就“采购需求”中所竞标的每个分标的全部内容分别作完整唯一总价报价</w:t>
      </w:r>
      <w:r>
        <w:rPr>
          <w:rFonts w:hint="eastAsia" w:ascii="宋体" w:hAnsi="宋体" w:eastAsia="宋体" w:cs="宋体"/>
          <w:color w:val="auto"/>
          <w:sz w:val="21"/>
          <w:szCs w:val="21"/>
          <w:highlight w:val="none"/>
          <w:lang w:eastAsia="zh-CN"/>
        </w:rPr>
        <w:t>；</w:t>
      </w:r>
    </w:p>
    <w:p w14:paraId="07C388AE">
      <w:pPr>
        <w:keepNext w:val="0"/>
        <w:keepLines w:val="0"/>
        <w:pageBreakBefore w:val="0"/>
        <w:widowControl w:val="0"/>
        <w:shd w:val="clear" w:color="auto" w:fill="auto"/>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不得存在漏项报价；</w:t>
      </w:r>
    </w:p>
    <w:p w14:paraId="1B3A2075">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（2）供应商必须就所竞标的分标的单项内容作唯一报价。</w:t>
      </w:r>
    </w:p>
    <w:p w14:paraId="670081D0">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15.3.2竞标报价（包含首次报价、最后报价）超过所竞标分标规定的采购预算金额或者最高限价的，其响应文件将按无效处理。</w:t>
      </w:r>
    </w:p>
    <w:p w14:paraId="72285E7D">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bookmarkStart w:id="73" w:name="_Hlk42592874"/>
      <w:r>
        <w:rPr>
          <w:rFonts w:hint="eastAsia" w:ascii="宋体" w:hAnsi="宋体" w:eastAsia="宋体" w:cs="宋体"/>
          <w:color w:val="auto"/>
          <w:sz w:val="21"/>
          <w:szCs w:val="21"/>
          <w:highlight w:val="none"/>
        </w:rPr>
        <w:t>15.3.3竞标报价（包含首次报价、最后报价）超过分项采购预算金额或者最高限价的，其响应文件将按无效处理。</w:t>
      </w:r>
    </w:p>
    <w:bookmarkEnd w:id="73"/>
    <w:p w14:paraId="66987806">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16.竞标有效期</w:t>
      </w:r>
    </w:p>
    <w:p w14:paraId="1A512823">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16.1竞标有效期是指为保证采购人有足够的时间在提交响应文件后完成评审、确定成交供应商、合同签订等工作而要求供应商提交的响应文件在一定时间内保持有效的期限。</w:t>
      </w:r>
    </w:p>
    <w:p w14:paraId="1EC616E7">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16.2竞标有效期应由供应商按“供应商须知前附表”规定的期限作出响应。</w:t>
      </w:r>
    </w:p>
    <w:p w14:paraId="582825D0">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16.3供应商的响应文件在竞标有效期内均保持有效。</w:t>
      </w:r>
    </w:p>
    <w:p w14:paraId="6413272E">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17.磋商保证金</w:t>
      </w:r>
    </w:p>
    <w:p w14:paraId="53C1D9B2">
      <w:pPr>
        <w:keepNext w:val="0"/>
        <w:keepLines w:val="0"/>
        <w:pageBreakBefore w:val="0"/>
        <w:widowControl w:val="0"/>
        <w:shd w:val="clear" w:color="auto" w:fill="auto"/>
        <w:kinsoku/>
        <w:wordWrap/>
        <w:overflowPunct/>
        <w:topLinePunct w:val="0"/>
        <w:autoSpaceDE/>
        <w:autoSpaceDN/>
        <w:bidi w:val="0"/>
        <w:spacing w:line="40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17.1供应商须按“供应商须知前附表”的规定提交磋商保证金。</w:t>
      </w:r>
    </w:p>
    <w:p w14:paraId="0F7726B1">
      <w:pPr>
        <w:keepNext w:val="0"/>
        <w:keepLines w:val="0"/>
        <w:pageBreakBefore w:val="0"/>
        <w:widowControl w:val="0"/>
        <w:shd w:val="clear" w:color="auto" w:fill="auto"/>
        <w:kinsoku/>
        <w:wordWrap/>
        <w:overflowPunct/>
        <w:topLinePunct w:val="0"/>
        <w:autoSpaceDE/>
        <w:autoSpaceDN/>
        <w:bidi w:val="0"/>
        <w:spacing w:line="40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17.2磋商保证金的退还</w:t>
      </w:r>
    </w:p>
    <w:p w14:paraId="597B2A07">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bookmarkStart w:id="74" w:name="_Hlk66782243"/>
      <w:r>
        <w:rPr>
          <w:rFonts w:hint="eastAsia" w:ascii="宋体" w:hAnsi="宋体" w:eastAsia="宋体" w:cs="宋体"/>
          <w:color w:val="auto"/>
          <w:sz w:val="21"/>
          <w:szCs w:val="21"/>
          <w:highlight w:val="none"/>
        </w:rPr>
        <w:t>未</w:t>
      </w:r>
      <w:r>
        <w:rPr>
          <w:rFonts w:hint="eastAsia" w:ascii="宋体" w:hAnsi="宋体" w:eastAsia="宋体" w:cs="宋体"/>
          <w:color w:val="auto"/>
          <w:spacing w:val="-6"/>
          <w:sz w:val="21"/>
          <w:szCs w:val="21"/>
          <w:highlight w:val="none"/>
        </w:rPr>
        <w:t>成交供应商的竞标保证金自成交通知书发出之日起</w:t>
      </w:r>
      <w:r>
        <w:rPr>
          <w:rFonts w:hint="eastAsia" w:ascii="宋体" w:hAnsi="宋体" w:eastAsia="宋体" w:cs="宋体"/>
          <w:color w:val="auto"/>
          <w:spacing w:val="-6"/>
          <w:sz w:val="21"/>
          <w:szCs w:val="21"/>
          <w:highlight w:val="none"/>
          <w:lang w:val="en-US" w:eastAsia="zh-CN"/>
        </w:rPr>
        <w:t>5</w:t>
      </w:r>
      <w:r>
        <w:rPr>
          <w:rFonts w:hint="eastAsia" w:ascii="宋体" w:hAnsi="宋体" w:eastAsia="宋体" w:cs="宋体"/>
          <w:color w:val="auto"/>
          <w:spacing w:val="-6"/>
          <w:sz w:val="21"/>
          <w:szCs w:val="21"/>
          <w:highlight w:val="none"/>
        </w:rPr>
        <w:t>个工作日内退还；</w:t>
      </w:r>
      <w:bookmarkEnd w:id="74"/>
      <w:r>
        <w:rPr>
          <w:rFonts w:hint="eastAsia" w:ascii="宋体" w:hAnsi="宋体" w:eastAsia="宋体" w:cs="宋体"/>
          <w:color w:val="auto"/>
          <w:sz w:val="21"/>
          <w:szCs w:val="21"/>
          <w:highlight w:val="none"/>
        </w:rPr>
        <w:t>成交供应商的磋商保证金自签订合同之日起</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个工作日内退还。 </w:t>
      </w:r>
    </w:p>
    <w:p w14:paraId="7524563B">
      <w:pPr>
        <w:keepNext w:val="0"/>
        <w:keepLines w:val="0"/>
        <w:pageBreakBefore w:val="0"/>
        <w:widowControl w:val="0"/>
        <w:shd w:val="clear" w:color="auto" w:fill="auto"/>
        <w:kinsoku/>
        <w:wordWrap/>
        <w:overflowPunct/>
        <w:topLinePunct w:val="0"/>
        <w:autoSpaceDE/>
        <w:autoSpaceDN/>
        <w:bidi w:val="0"/>
        <w:spacing w:line="40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17.3磋商保证金不计息。</w:t>
      </w:r>
    </w:p>
    <w:p w14:paraId="1F720E3E">
      <w:pPr>
        <w:keepNext w:val="0"/>
        <w:keepLines w:val="0"/>
        <w:pageBreakBefore w:val="0"/>
        <w:widowControl w:val="0"/>
        <w:shd w:val="clear" w:color="auto" w:fill="auto"/>
        <w:kinsoku/>
        <w:wordWrap/>
        <w:overflowPunct/>
        <w:topLinePunct w:val="0"/>
        <w:autoSpaceDE/>
        <w:autoSpaceDN/>
        <w:bidi w:val="0"/>
        <w:spacing w:line="40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17.4供应商有下列情形之一的，磋商保证金将不予退还： </w:t>
      </w:r>
    </w:p>
    <w:p w14:paraId="3029F3D5">
      <w:pPr>
        <w:keepNext w:val="0"/>
        <w:keepLines w:val="0"/>
        <w:pageBreakBefore w:val="0"/>
        <w:widowControl w:val="0"/>
        <w:shd w:val="clear" w:color="auto" w:fill="auto"/>
        <w:kinsoku/>
        <w:wordWrap/>
        <w:overflowPunct/>
        <w:topLinePunct w:val="0"/>
        <w:autoSpaceDE/>
        <w:autoSpaceDN/>
        <w:bidi w:val="0"/>
        <w:spacing w:line="40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（1）供应商在提交响应文件截止时间后撤回响应文件的；</w:t>
      </w:r>
    </w:p>
    <w:p w14:paraId="2735772B">
      <w:pPr>
        <w:keepNext w:val="0"/>
        <w:keepLines w:val="0"/>
        <w:pageBreakBefore w:val="0"/>
        <w:widowControl w:val="0"/>
        <w:shd w:val="clear" w:color="auto" w:fill="auto"/>
        <w:kinsoku/>
        <w:wordWrap/>
        <w:overflowPunct/>
        <w:topLinePunct w:val="0"/>
        <w:autoSpaceDE/>
        <w:autoSpaceDN/>
        <w:bidi w:val="0"/>
        <w:spacing w:line="40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（2）未按规定提交履约保证金的；</w:t>
      </w:r>
    </w:p>
    <w:p w14:paraId="214BB0F6">
      <w:pPr>
        <w:keepNext w:val="0"/>
        <w:keepLines w:val="0"/>
        <w:pageBreakBefore w:val="0"/>
        <w:widowControl w:val="0"/>
        <w:shd w:val="clear" w:color="auto" w:fill="auto"/>
        <w:kinsoku/>
        <w:wordWrap/>
        <w:overflowPunct/>
        <w:topLinePunct w:val="0"/>
        <w:autoSpaceDE/>
        <w:autoSpaceDN/>
        <w:bidi w:val="0"/>
        <w:spacing w:line="40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（3）供应商在响应文件中提供虚假材料的；</w:t>
      </w:r>
    </w:p>
    <w:p w14:paraId="7005C1E6">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（4）除因不可抗力或者磋商文件认可的情形以外，成交供应商不与采购人签订合同的；</w:t>
      </w:r>
    </w:p>
    <w:p w14:paraId="5BAA72AA">
      <w:pPr>
        <w:keepNext w:val="0"/>
        <w:keepLines w:val="0"/>
        <w:pageBreakBefore w:val="0"/>
        <w:widowControl w:val="0"/>
        <w:shd w:val="clear" w:color="auto" w:fill="auto"/>
        <w:kinsoku/>
        <w:wordWrap/>
        <w:overflowPunct/>
        <w:topLinePunct w:val="0"/>
        <w:autoSpaceDE/>
        <w:autoSpaceDN/>
        <w:bidi w:val="0"/>
        <w:spacing w:line="40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（5）供应商与采购人、其他供应商或者采购代理机构恶意串通的；</w:t>
      </w:r>
    </w:p>
    <w:p w14:paraId="056420FA">
      <w:pPr>
        <w:keepNext w:val="0"/>
        <w:keepLines w:val="0"/>
        <w:pageBreakBefore w:val="0"/>
        <w:widowControl w:val="0"/>
        <w:shd w:val="clear" w:color="auto" w:fill="auto"/>
        <w:kinsoku/>
        <w:wordWrap/>
        <w:overflowPunct/>
        <w:topLinePunct w:val="0"/>
        <w:autoSpaceDE/>
        <w:autoSpaceDN/>
        <w:bidi w:val="0"/>
        <w:spacing w:line="40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（6）法律法规规定的其他情形。</w:t>
      </w:r>
    </w:p>
    <w:p w14:paraId="3A2929B8">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18.响应文件编制的要求</w:t>
      </w:r>
    </w:p>
    <w:p w14:paraId="1F166003">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18.1供应商应先安装“电子投标客户端”（请自行前往</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进行下载），并按照本项目磋商文件规定的格式和顺序和</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的要求编制并加密。响应文件内容不完整、编排混乱导致响应文件被误读、漏读或者查找不到相关内容的，由此引发的后果由供应商承担。</w:t>
      </w:r>
    </w:p>
    <w:p w14:paraId="0C85785F">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18.2为确保网上操作合法、有效和安全，供应商应当在提交响应文件截止时间前完成在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的身份认证，确保在电子竞标过程中能够对相关数据电文进行加密和使用电子签章。</w:t>
      </w:r>
    </w:p>
    <w:p w14:paraId="5BF8D96A">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18.3响应文件须由供应商在规定位置签字、盖章（具体以供应商须知前附表或响应文件格式规定为准），否则按无效响应处理。</w:t>
      </w:r>
    </w:p>
    <w:p w14:paraId="27D9F5AF">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38B5F104">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9E47E2B">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19.电子</w:t>
      </w:r>
      <w:r>
        <w:rPr>
          <w:rFonts w:hint="eastAsia" w:ascii="宋体" w:hAnsi="宋体" w:eastAsia="宋体" w:cs="宋体"/>
          <w:b/>
          <w:color w:val="auto"/>
          <w:sz w:val="21"/>
          <w:szCs w:val="21"/>
          <w:highlight w:val="none"/>
        </w:rPr>
        <w:t>备份响应文件</w:t>
      </w:r>
    </w:p>
    <w:p w14:paraId="2E11C346">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电子备份响应文件是指通过“电子投标客户端”在线编制生成且后缀名为“bfbs”的文件，是否接受电子备份响应文件</w:t>
      </w:r>
      <w:r>
        <w:rPr>
          <w:rFonts w:hint="eastAsia" w:ascii="宋体" w:hAnsi="宋体" w:eastAsia="宋体" w:cs="宋体"/>
          <w:bCs/>
          <w:color w:val="auto"/>
          <w:sz w:val="21"/>
          <w:szCs w:val="21"/>
          <w:highlight w:val="none"/>
        </w:rPr>
        <w:t>详见在“供应商须知前附表”。</w:t>
      </w:r>
    </w:p>
    <w:p w14:paraId="5EADAAF5">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20.响应文件的提交</w:t>
      </w:r>
    </w:p>
    <w:p w14:paraId="4FBE1858">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20.1供应商必须按“供应商须知前附表”规定的</w:t>
      </w:r>
      <w:r>
        <w:rPr>
          <w:rFonts w:hint="eastAsia" w:ascii="宋体" w:hAnsi="宋体" w:eastAsia="宋体" w:cs="宋体"/>
          <w:color w:val="auto"/>
          <w:sz w:val="21"/>
          <w:szCs w:val="21"/>
          <w:highlight w:val="none"/>
        </w:rPr>
        <w:t>时间及</w:t>
      </w:r>
      <w:r>
        <w:rPr>
          <w:rFonts w:hint="eastAsia" w:ascii="宋体" w:hAnsi="宋体" w:eastAsia="宋体" w:cs="宋体"/>
          <w:bCs/>
          <w:color w:val="auto"/>
          <w:sz w:val="21"/>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bCs/>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79610AA3">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20.2未在规定时间内提交或者未按照磋商文件要求加密的电子响应文件，</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将拒收。</w:t>
      </w:r>
    </w:p>
    <w:p w14:paraId="29DE004C">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21.首次响应文件的补充、修改与撤回</w:t>
      </w:r>
    </w:p>
    <w:p w14:paraId="5CA8EE03">
      <w:pPr>
        <w:keepNext w:val="0"/>
        <w:keepLines w:val="0"/>
        <w:pageBreakBefore w:val="0"/>
        <w:widowControl w:val="0"/>
        <w:shd w:val="clear" w:color="auto" w:fill="auto"/>
        <w:kinsoku/>
        <w:wordWrap/>
        <w:overflowPunct/>
        <w:topLinePunct w:val="0"/>
        <w:autoSpaceDE/>
        <w:autoSpaceDN/>
        <w:bidi w:val="0"/>
        <w:snapToGrid w:val="0"/>
        <w:spacing w:line="400" w:lineRule="exact"/>
        <w:ind w:firstLine="420"/>
        <w:jc w:val="left"/>
        <w:textAlignment w:val="auto"/>
        <w:rPr>
          <w:rFonts w:hint="eastAsia" w:ascii="宋体" w:hAnsi="宋体" w:eastAsia="宋体" w:cs="宋体"/>
          <w:color w:val="auto"/>
          <w:sz w:val="21"/>
          <w:szCs w:val="21"/>
          <w:highlight w:val="none"/>
        </w:rPr>
      </w:pPr>
      <w:bookmarkStart w:id="75" w:name="_Toc254970543"/>
      <w:bookmarkStart w:id="76" w:name="_Toc254970684"/>
      <w:r>
        <w:rPr>
          <w:rFonts w:hint="eastAsia" w:ascii="宋体" w:hAnsi="宋体" w:eastAsia="宋体" w:cs="宋体"/>
          <w:color w:val="auto"/>
          <w:sz w:val="21"/>
          <w:szCs w:val="21"/>
          <w:highlight w:val="none"/>
        </w:rPr>
        <w:t>21.1</w:t>
      </w:r>
      <w:r>
        <w:rPr>
          <w:rFonts w:hint="eastAsia" w:ascii="宋体" w:hAnsi="宋体" w:eastAsia="宋体" w:cs="宋体"/>
          <w:bCs/>
          <w:color w:val="auto"/>
          <w:sz w:val="21"/>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将予以拒收。</w:t>
      </w:r>
      <w:r>
        <w:rPr>
          <w:rFonts w:hint="eastAsia" w:ascii="宋体" w:hAnsi="宋体" w:eastAsia="宋体" w:cs="宋体"/>
          <w:color w:val="auto"/>
          <w:sz w:val="21"/>
          <w:szCs w:val="21"/>
          <w:highlight w:val="none"/>
        </w:rPr>
        <w:t>（补充、修改或者撤回方式可</w:t>
      </w:r>
      <w:r>
        <w:rPr>
          <w:rFonts w:hint="eastAsia" w:ascii="宋体" w:hAnsi="宋体" w:eastAsia="宋体" w:cs="宋体"/>
          <w:color w:val="auto"/>
          <w:sz w:val="21"/>
          <w:szCs w:val="21"/>
          <w:highlight w:val="none"/>
          <w:lang w:eastAsia="zh-CN"/>
        </w:rPr>
        <w:t>登录</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进入“服务中心”中查看“电子投标文件制作与投送教程”）</w:t>
      </w:r>
    </w:p>
    <w:bookmarkEnd w:id="75"/>
    <w:bookmarkEnd w:id="76"/>
    <w:p w14:paraId="0B340816">
      <w:pPr>
        <w:pStyle w:val="42"/>
        <w:keepNext w:val="0"/>
        <w:keepLines w:val="0"/>
        <w:pageBreakBefore w:val="0"/>
        <w:widowControl w:val="0"/>
        <w:shd w:val="clear" w:color="auto" w:fill="auto"/>
        <w:kinsoku/>
        <w:wordWrap/>
        <w:overflowPunct/>
        <w:topLinePunct w:val="0"/>
        <w:autoSpaceDE/>
        <w:autoSpaceDN/>
        <w:bidi w:val="0"/>
        <w:spacing w:before="0"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21.2在提交响应文件截止时间前，除供应商补充、修改或者撤回响应文件外，任何单位和个人不得解密或提取响应文件。</w:t>
      </w:r>
    </w:p>
    <w:p w14:paraId="5702AF67">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bookmarkStart w:id="77" w:name="_Hlk45702405"/>
      <w:r>
        <w:rPr>
          <w:rFonts w:hint="eastAsia" w:ascii="宋体" w:hAnsi="宋体" w:eastAsia="宋体" w:cs="宋体"/>
          <w:b/>
          <w:bCs/>
          <w:color w:val="auto"/>
          <w:sz w:val="21"/>
          <w:szCs w:val="21"/>
          <w:highlight w:val="none"/>
        </w:rPr>
        <w:t>22.响应文件的退回</w:t>
      </w:r>
    </w:p>
    <w:p w14:paraId="3C922FF7">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采购人和采购代理机构对已提交的响应文件概不退回。</w:t>
      </w:r>
    </w:p>
    <w:p w14:paraId="554FBEF2">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23.截止时间后的撤回</w:t>
      </w:r>
    </w:p>
    <w:p w14:paraId="13F74DD4">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供应商在响应文件提交截止时间后向采购人、采购代理机构书面申请撤回响应文件的，将根据本须知正文17.4的规定不予退还其磋商保证金。</w:t>
      </w:r>
    </w:p>
    <w:bookmarkEnd w:id="77"/>
    <w:p w14:paraId="42F94AD1">
      <w:pPr>
        <w:keepNext w:val="0"/>
        <w:keepLines w:val="0"/>
        <w:pageBreakBefore w:val="0"/>
        <w:widowControl w:val="0"/>
        <w:shd w:val="clear" w:color="auto" w:fill="auto"/>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p>
    <w:p w14:paraId="7204345E">
      <w:pPr>
        <w:keepNext w:val="0"/>
        <w:keepLines w:val="0"/>
        <w:pageBreakBefore w:val="0"/>
        <w:widowControl w:val="0"/>
        <w:shd w:val="clear" w:color="auto" w:fill="auto"/>
        <w:kinsoku/>
        <w:wordWrap/>
        <w:overflowPunct/>
        <w:topLinePunct w:val="0"/>
        <w:autoSpaceDE/>
        <w:autoSpaceDN/>
        <w:bidi w:val="0"/>
        <w:spacing w:line="400" w:lineRule="exact"/>
        <w:ind w:left="420" w:firstLine="420"/>
        <w:jc w:val="center"/>
        <w:textAlignment w:val="auto"/>
        <w:outlineLvl w:val="1"/>
        <w:rPr>
          <w:rFonts w:hint="eastAsia" w:ascii="宋体" w:hAnsi="宋体" w:eastAsia="宋体" w:cs="宋体"/>
          <w:color w:val="auto"/>
          <w:sz w:val="21"/>
          <w:szCs w:val="21"/>
          <w:highlight w:val="none"/>
        </w:rPr>
      </w:pPr>
      <w:bookmarkStart w:id="78" w:name="_Toc27449"/>
      <w:bookmarkStart w:id="79" w:name="_Toc29969"/>
      <w:r>
        <w:rPr>
          <w:rFonts w:hint="eastAsia" w:ascii="宋体" w:hAnsi="宋体" w:eastAsia="宋体" w:cs="宋体"/>
          <w:b/>
          <w:bCs/>
          <w:color w:val="auto"/>
          <w:sz w:val="21"/>
          <w:szCs w:val="21"/>
          <w:highlight w:val="none"/>
        </w:rPr>
        <w:t>四、评审及磋商</w:t>
      </w:r>
      <w:bookmarkEnd w:id="78"/>
      <w:bookmarkEnd w:id="79"/>
    </w:p>
    <w:p w14:paraId="770EB8D3">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24.磋商小组成立</w:t>
      </w:r>
    </w:p>
    <w:p w14:paraId="3550F7BE">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E694B8F">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78B2504">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w:t>
      </w:r>
      <w:r>
        <w:rPr>
          <w:rFonts w:hint="eastAsia" w:ascii="宋体" w:hAnsi="宋体" w:eastAsia="宋体" w:cs="宋体"/>
          <w:bCs/>
          <w:color w:val="auto"/>
          <w:sz w:val="21"/>
          <w:szCs w:val="21"/>
          <w:highlight w:val="none"/>
        </w:rPr>
        <w:t>采购代理机构应当基于</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抽（选）取评审专家。</w:t>
      </w:r>
    </w:p>
    <w:p w14:paraId="35D83AFF">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25.首次响应文件的开启和解密</w:t>
      </w:r>
    </w:p>
    <w:p w14:paraId="6FFA0A1C">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采购代理机构将在“供应商须知前附表”规定的时</w:t>
      </w:r>
      <w:r>
        <w:rPr>
          <w:rFonts w:hint="eastAsia" w:ascii="宋体" w:hAnsi="宋体" w:eastAsia="宋体" w:cs="宋体"/>
          <w:color w:val="auto"/>
          <w:sz w:val="21"/>
          <w:szCs w:val="21"/>
          <w:highlight w:val="none"/>
        </w:rPr>
        <w:t>间通过电子交易平台组织响应文件开启，供应商的法定代表人或其委托代理人须携带加密时所用的CA锁，按平台提示和磋商文件的规定登录到</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电子开标大厅签到，采购代理机构依托</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向各供应商发出电子加密响应文件【开始解密】通知，由供应商按</w:t>
      </w:r>
      <w:r>
        <w:rPr>
          <w:rFonts w:hint="eastAsia" w:ascii="宋体" w:hAnsi="宋体" w:eastAsia="宋体" w:cs="宋体"/>
          <w:bCs/>
          <w:color w:val="auto"/>
          <w:sz w:val="21"/>
          <w:szCs w:val="21"/>
          <w:highlight w:val="none"/>
        </w:rPr>
        <w:t>“供应商须知前附表”</w:t>
      </w:r>
      <w:r>
        <w:rPr>
          <w:rFonts w:hint="eastAsia" w:ascii="宋体" w:hAnsi="宋体" w:eastAsia="宋体" w:cs="宋体"/>
          <w:color w:val="auto"/>
          <w:sz w:val="21"/>
          <w:szCs w:val="21"/>
          <w:highlight w:val="none"/>
        </w:rPr>
        <w:t>规定的时间内自行进行响应文件解密。</w:t>
      </w:r>
      <w:r>
        <w:rPr>
          <w:rFonts w:hint="eastAsia" w:ascii="宋体" w:hAnsi="宋体" w:eastAsia="宋体" w:cs="宋体"/>
          <w:b/>
          <w:color w:val="auto"/>
          <w:sz w:val="21"/>
          <w:szCs w:val="21"/>
          <w:highlight w:val="none"/>
        </w:rPr>
        <w:t>供应商未在规定的时间内解密响应文件或者解密失败的，供应商的响应文件作无效处理。</w:t>
      </w:r>
    </w:p>
    <w:p w14:paraId="26DC1E8D">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26.评审程序、评审方法和评审标准</w:t>
      </w:r>
    </w:p>
    <w:p w14:paraId="086D4E04">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26.1本项目的评审方法为综合评分法。</w:t>
      </w:r>
    </w:p>
    <w:p w14:paraId="1377E685">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26.2磋商小组按照“第四章 评审程序、评审方法和评审标准”规定的方法、评审因素、标准和程序对响应文件进行评审。</w:t>
      </w:r>
    </w:p>
    <w:p w14:paraId="6A020D18">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26.3商务/技术要求允许负偏离的条款数详见“供应商须知前附表”。</w:t>
      </w:r>
    </w:p>
    <w:p w14:paraId="5B4D4133">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0A09B59">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26.5电子交易活动的中止。采购过程中出现以下情形，导致电子交易平台无法正常运行，或者无法保证电子交易的公平、公正和安全时，采购机构可中止电子交易活动：</w:t>
      </w:r>
    </w:p>
    <w:p w14:paraId="3A71CC40">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（1）电子交易平台发生故障而无法登录访问的； </w:t>
      </w:r>
    </w:p>
    <w:p w14:paraId="3D011714">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（2）电子交易平台应用或数据库出现错误，不能进行正常操作的；</w:t>
      </w:r>
    </w:p>
    <w:p w14:paraId="6FC5A57D">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（3）电子交易平台发现严重安全漏洞，有潜在泄密危险的；</w:t>
      </w:r>
    </w:p>
    <w:p w14:paraId="1A3B0F2B">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（4）病毒发作导致不能进行正常操作的； </w:t>
      </w:r>
    </w:p>
    <w:p w14:paraId="0B852276">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（5）其他无法保证电子交易的公平、公正和安全的情况。</w:t>
      </w:r>
    </w:p>
    <w:p w14:paraId="1A09A4AD">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651B9707">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27.确定成交供应商及结果公告</w:t>
      </w:r>
    </w:p>
    <w:p w14:paraId="3E36532D">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3229A9E">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27.2采购代理机构应当在</w:t>
      </w:r>
      <w:r>
        <w:rPr>
          <w:rFonts w:hint="eastAsia" w:ascii="宋体" w:hAnsi="宋体" w:eastAsia="宋体" w:cs="宋体"/>
          <w:color w:val="auto"/>
          <w:kern w:val="0"/>
          <w:sz w:val="21"/>
          <w:szCs w:val="21"/>
          <w:highlight w:val="none"/>
        </w:rPr>
        <w:t>成交</w:t>
      </w:r>
      <w:r>
        <w:rPr>
          <w:rFonts w:hint="eastAsia" w:ascii="宋体" w:hAnsi="宋体" w:eastAsia="宋体" w:cs="宋体"/>
          <w:color w:val="auto"/>
          <w:sz w:val="21"/>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w:t>
      </w:r>
      <w:bookmarkStart w:id="80" w:name="_Hlk66782294"/>
      <w:r>
        <w:rPr>
          <w:rFonts w:hint="eastAsia" w:ascii="宋体" w:hAnsi="宋体" w:eastAsia="宋体" w:cs="宋体"/>
          <w:color w:val="auto"/>
          <w:sz w:val="21"/>
          <w:szCs w:val="21"/>
          <w:highlight w:val="none"/>
        </w:rPr>
        <w:t>以上信息查询记录及相关证据与磋商文件一并保存。</w:t>
      </w:r>
      <w:bookmarkEnd w:id="80"/>
      <w:r>
        <w:rPr>
          <w:rFonts w:hint="eastAsia" w:ascii="宋体" w:hAnsi="宋体" w:eastAsia="宋体" w:cs="宋体"/>
          <w:color w:val="auto"/>
          <w:sz w:val="21"/>
          <w:szCs w:val="21"/>
          <w:highlight w:val="none"/>
        </w:rPr>
        <w:t>成交供应商享受《政府采购促进中小企业发展管理办法》（财库〔2020〕46号）及《广西壮族自治区财政厅关于进一步发挥政府采购政策功能促进企业发展的通知》（桂财采〔2022〕30号）规定的中小企业扶持政策的，采购人、采购代理机构应当随成交结果公开成交供应商的《中小企业声明函》。</w:t>
      </w:r>
    </w:p>
    <w:p w14:paraId="5D2055E2">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27.3出现下列情形之一的，采购人或者采购代理机构应当终止竞争性磋商采购活动，发布项目终止公告并说明原因，重新开展采购活动：</w:t>
      </w:r>
    </w:p>
    <w:p w14:paraId="37380FF4">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（1）因情况变化，不再符合规定的竞争性磋商采购方式适用情形的；</w:t>
      </w:r>
    </w:p>
    <w:p w14:paraId="67D699C4">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4652896B">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（3）除“第四章 评审程序、评审方法和评审标准”第4.3条规定的情形外，在采购过程中符合要求的供应商或者报价未超过采购预算的供应商不足3家的。</w:t>
      </w:r>
    </w:p>
    <w:p w14:paraId="247AB894">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160A9B34">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28.履约保证金</w:t>
      </w:r>
    </w:p>
    <w:p w14:paraId="74F892B7">
      <w:pPr>
        <w:keepNext w:val="0"/>
        <w:keepLines w:val="0"/>
        <w:pageBreakBefore w:val="0"/>
        <w:widowControl w:val="0"/>
        <w:shd w:val="clear" w:color="auto" w:fill="auto"/>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28.1履约保证金的金额、提交方式、退付的时间和条件详见 “供应商须知前附表”。成交供应商未按规定提交履约保证金的，视为拒绝与采购人签订合同。</w:t>
      </w:r>
    </w:p>
    <w:p w14:paraId="3260DA10">
      <w:pPr>
        <w:keepNext w:val="0"/>
        <w:keepLines w:val="0"/>
        <w:pageBreakBefore w:val="0"/>
        <w:widowControl w:val="0"/>
        <w:shd w:val="clear" w:color="auto" w:fill="auto"/>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28.2在履约保证金退还日期前，若成交供应商的开户名称、开户银行、</w:t>
      </w:r>
      <w:r>
        <w:rPr>
          <w:rFonts w:hint="eastAsia" w:ascii="宋体" w:hAnsi="宋体" w:eastAsia="宋体" w:cs="宋体"/>
          <w:color w:val="auto"/>
          <w:sz w:val="21"/>
          <w:szCs w:val="21"/>
          <w:highlight w:val="none"/>
          <w:lang w:eastAsia="zh-CN"/>
        </w:rPr>
        <w:t>账号</w:t>
      </w:r>
      <w:r>
        <w:rPr>
          <w:rFonts w:hint="eastAsia" w:ascii="宋体" w:hAnsi="宋体" w:eastAsia="宋体" w:cs="宋体"/>
          <w:color w:val="auto"/>
          <w:sz w:val="21"/>
          <w:szCs w:val="21"/>
          <w:highlight w:val="none"/>
        </w:rPr>
        <w:t>有变动的，请以书面形式通知履约保证金收取单位，否则由此产生的后果由成交供应商自行承担。</w:t>
      </w:r>
    </w:p>
    <w:p w14:paraId="3CB78293">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29.签订合同</w:t>
      </w:r>
    </w:p>
    <w:p w14:paraId="15A6EC5C">
      <w:pPr>
        <w:keepNext w:val="0"/>
        <w:keepLines w:val="0"/>
        <w:pageBreakBefore w:val="0"/>
        <w:widowControl w:val="0"/>
        <w:shd w:val="clear" w:color="auto" w:fill="auto"/>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29.1签订电子采购合同：成交供应商领取电子成交通知书后，在</w:t>
      </w:r>
      <w:r>
        <w:rPr>
          <w:rFonts w:hint="eastAsia" w:ascii="宋体" w:hAnsi="宋体" w:eastAsia="宋体" w:cs="宋体"/>
          <w:color w:val="auto"/>
          <w:sz w:val="21"/>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07D88D42">
      <w:pPr>
        <w:keepNext w:val="0"/>
        <w:keepLines w:val="0"/>
        <w:pageBreakBefore w:val="0"/>
        <w:widowControl w:val="0"/>
        <w:shd w:val="clear" w:color="auto" w:fill="auto"/>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线下签订纸质合同：供应商领取成交通知书后，按“供应商须知前附表”规定向采购人出示相关证明材料，经采购人核验合格后方可签订合同。</w:t>
      </w:r>
    </w:p>
    <w:p w14:paraId="1CC1B963">
      <w:pPr>
        <w:keepNext w:val="0"/>
        <w:keepLines w:val="0"/>
        <w:pageBreakBefore w:val="0"/>
        <w:widowControl w:val="0"/>
        <w:shd w:val="clear" w:color="auto" w:fill="auto"/>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29.2签订合同时间：按成交通知书规定的时间与采购人签订合同。</w:t>
      </w:r>
    </w:p>
    <w:p w14:paraId="404AB27B">
      <w:pPr>
        <w:keepNext w:val="0"/>
        <w:keepLines w:val="0"/>
        <w:pageBreakBefore w:val="0"/>
        <w:widowControl w:val="0"/>
        <w:shd w:val="clear" w:color="auto" w:fill="auto"/>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3B29B52A">
      <w:pPr>
        <w:keepNext w:val="0"/>
        <w:keepLines w:val="0"/>
        <w:pageBreakBefore w:val="0"/>
        <w:widowControl w:val="0"/>
        <w:shd w:val="clear" w:color="auto" w:fill="auto"/>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F9A9C50">
      <w:pPr>
        <w:keepNext w:val="0"/>
        <w:keepLines w:val="0"/>
        <w:pageBreakBefore w:val="0"/>
        <w:widowControl w:val="0"/>
        <w:shd w:val="clear" w:color="auto" w:fill="auto"/>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55F6D72C">
      <w:pPr>
        <w:keepNext w:val="0"/>
        <w:keepLines w:val="0"/>
        <w:pageBreakBefore w:val="0"/>
        <w:widowControl w:val="0"/>
        <w:shd w:val="clear" w:color="auto" w:fill="auto"/>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29.6如签订合同并生效后，供应商无故拒绝或延期，除按照合同条款处理外，将承担相应的法律责任。</w:t>
      </w:r>
    </w:p>
    <w:p w14:paraId="04AD254B">
      <w:pPr>
        <w:keepNext w:val="0"/>
        <w:keepLines w:val="0"/>
        <w:pageBreakBefore w:val="0"/>
        <w:widowControl w:val="0"/>
        <w:shd w:val="clear" w:color="auto" w:fill="auto"/>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3ADD014">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30.政府采购合同公告</w:t>
      </w:r>
    </w:p>
    <w:p w14:paraId="08996C94">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B278435">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31.询问、质疑和投诉</w:t>
      </w:r>
    </w:p>
    <w:p w14:paraId="31129780">
      <w:pPr>
        <w:pStyle w:val="8"/>
        <w:keepNext w:val="0"/>
        <w:keepLines w:val="0"/>
        <w:pageBreakBefore w:val="0"/>
        <w:widowControl w:val="0"/>
        <w:shd w:val="clear" w:color="auto" w:fill="auto"/>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31.1供应商对政府采购活动事项有疑问的，可以向采购人、采购代理机构提出询问，采购人或者采购代理机构应当在3个工作日内对供应商依法提出的询问作出答复，但答复的内容不得涉及商业秘密。</w:t>
      </w:r>
    </w:p>
    <w:p w14:paraId="7086AFD4">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具体质疑起算时间如下：</w:t>
      </w:r>
    </w:p>
    <w:p w14:paraId="258E3619">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（1）对可以质疑的磋商文件提出质疑的，为收到磋商文件之日或者竞争性磋商公告期限届满之日；</w:t>
      </w:r>
    </w:p>
    <w:p w14:paraId="0CB1D7C0">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14:paraId="28A0B582">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（3）对成交结果提出质疑的，为成交结果公告期限届满之日。</w:t>
      </w:r>
    </w:p>
    <w:p w14:paraId="2CC1837F">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5B081FE">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 w:val="21"/>
          <w:szCs w:val="21"/>
          <w:highlight w:val="none"/>
        </w:rPr>
        <w:t>（质疑函格式后附）</w:t>
      </w:r>
      <w:r>
        <w:rPr>
          <w:rFonts w:hint="eastAsia" w:ascii="宋体" w:hAnsi="宋体" w:eastAsia="宋体" w:cs="宋体"/>
          <w:color w:val="auto"/>
          <w:sz w:val="21"/>
          <w:szCs w:val="21"/>
          <w:highlight w:val="none"/>
        </w:rPr>
        <w:t>：</w:t>
      </w:r>
    </w:p>
    <w:p w14:paraId="5CE807A5">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（1）供应商的姓名或者名称、地址、邮编、联系人及联系电话；</w:t>
      </w:r>
    </w:p>
    <w:p w14:paraId="5DFC924C">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（2）质疑项目的名称、编号；</w:t>
      </w:r>
    </w:p>
    <w:p w14:paraId="7BC9FABC">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（3）具体、明确的质疑事项和与质疑事项相关的请求；</w:t>
      </w:r>
    </w:p>
    <w:p w14:paraId="282066F7">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（4）事实依据；</w:t>
      </w:r>
    </w:p>
    <w:p w14:paraId="66801416">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（5）必要的法律依据；</w:t>
      </w:r>
    </w:p>
    <w:p w14:paraId="41234107">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（6）提出质疑的日期。</w:t>
      </w:r>
    </w:p>
    <w:p w14:paraId="0843175A">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供应商为自然人的，应当由本人签字；供应商为法人或者其他组织的，应当由法定代表人、主要负责人，或者其委托代理人签字或者盖章，并加盖公章。</w:t>
      </w:r>
    </w:p>
    <w:p w14:paraId="654960E5">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3EB5FF31">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（一）对采购文件提出的质疑，依法通过澄清或者修改可以继续开展采购活动的，澄清或者修改采购文件后继续开展采购活动；否则应当修改采购文件后重新开展采购活动。</w:t>
      </w:r>
    </w:p>
    <w:p w14:paraId="32C21C1F">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05F710C6">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质疑答复导致成交结果改变的，采购人或者采购代理机构应当将有关情况书面报告本级财政部门。</w:t>
      </w:r>
    </w:p>
    <w:p w14:paraId="38B3C7A5">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08E9C1A">
      <w:pPr>
        <w:keepNext w:val="0"/>
        <w:keepLines w:val="0"/>
        <w:pageBreakBefore w:val="0"/>
        <w:widowControl w:val="0"/>
        <w:shd w:val="clear" w:color="auto" w:fill="auto"/>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32.其他内容</w:t>
      </w:r>
    </w:p>
    <w:p w14:paraId="7891EF0E">
      <w:pPr>
        <w:keepNext w:val="0"/>
        <w:keepLines w:val="0"/>
        <w:pageBreakBefore w:val="0"/>
        <w:widowControl w:val="0"/>
        <w:shd w:val="clear" w:color="auto" w:fill="auto"/>
        <w:tabs>
          <w:tab w:val="left" w:pos="2835"/>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32.1代理服务收取标准及缴费账户详见“供应商须知前附表”，供应商为联合体的，可以由联合体中的一方或者多方共同交纳代理服务费。</w:t>
      </w:r>
    </w:p>
    <w:tbl>
      <w:tblPr>
        <w:tblStyle w:val="26"/>
        <w:tblpPr w:leftFromText="180" w:rightFromText="180" w:vertAnchor="text" w:horzAnchor="page" w:tblpX="1801" w:tblpY="383"/>
        <w:tblOverlap w:val="never"/>
        <w:tblW w:w="8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6"/>
        <w:gridCol w:w="1875"/>
        <w:gridCol w:w="1710"/>
        <w:gridCol w:w="1935"/>
      </w:tblGrid>
      <w:tr w14:paraId="4770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6" w:type="dxa"/>
            <w:tcBorders>
              <w:tl2br w:val="single" w:color="auto" w:sz="4" w:space="0"/>
            </w:tcBorders>
            <w:noWrap w:val="0"/>
            <w:vAlign w:val="top"/>
          </w:tcPr>
          <w:p w14:paraId="669939E4">
            <w:pPr>
              <w:keepNext w:val="0"/>
              <w:keepLines w:val="0"/>
              <w:pageBreakBefore w:val="0"/>
              <w:widowControl w:val="0"/>
              <w:shd w:val="clear" w:color="auto" w:fill="auto"/>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费率</w:t>
            </w:r>
            <w:r>
              <w:rPr>
                <w:rFonts w:hint="eastAsia" w:ascii="宋体" w:hAnsi="宋体" w:eastAsia="宋体" w:cs="宋体"/>
                <w:color w:val="auto"/>
                <w:sz w:val="21"/>
                <w:szCs w:val="21"/>
                <w:highlight w:val="none"/>
                <w:lang w:val="en-US" w:eastAsia="zh-CN"/>
              </w:rPr>
              <w:t xml:space="preserve">       </w:t>
            </w:r>
          </w:p>
          <w:p w14:paraId="2AE8D686">
            <w:pPr>
              <w:keepNext w:val="0"/>
              <w:keepLines w:val="0"/>
              <w:pageBreakBefore w:val="0"/>
              <w:widowControl w:val="0"/>
              <w:shd w:val="clear" w:color="auto" w:fill="auto"/>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w:t>
            </w:r>
          </w:p>
        </w:tc>
        <w:tc>
          <w:tcPr>
            <w:tcW w:w="1875" w:type="dxa"/>
            <w:noWrap w:val="0"/>
            <w:vAlign w:val="center"/>
          </w:tcPr>
          <w:p w14:paraId="725852FF">
            <w:pPr>
              <w:keepNext w:val="0"/>
              <w:keepLines w:val="0"/>
              <w:pageBreakBefore w:val="0"/>
              <w:widowControl w:val="0"/>
              <w:shd w:val="clear" w:color="auto" w:fill="auto"/>
              <w:kinsoku/>
              <w:wordWrap/>
              <w:overflowPunct/>
              <w:topLinePunct w:val="0"/>
              <w:autoSpaceDE/>
              <w:autoSpaceDN/>
              <w:bidi w:val="0"/>
              <w:spacing w:line="360" w:lineRule="auto"/>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w:t>
            </w:r>
          </w:p>
        </w:tc>
        <w:tc>
          <w:tcPr>
            <w:tcW w:w="1710" w:type="dxa"/>
            <w:noWrap w:val="0"/>
            <w:vAlign w:val="center"/>
          </w:tcPr>
          <w:p w14:paraId="6214BBBC">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服务类</w:t>
            </w:r>
          </w:p>
        </w:tc>
        <w:tc>
          <w:tcPr>
            <w:tcW w:w="1935" w:type="dxa"/>
            <w:noWrap w:val="0"/>
            <w:vAlign w:val="center"/>
          </w:tcPr>
          <w:p w14:paraId="13A60AD2">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工程类</w:t>
            </w:r>
          </w:p>
        </w:tc>
      </w:tr>
      <w:tr w14:paraId="0CBC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6" w:type="dxa"/>
            <w:noWrap w:val="0"/>
            <w:vAlign w:val="top"/>
          </w:tcPr>
          <w:p w14:paraId="044D9C02">
            <w:pPr>
              <w:keepNext w:val="0"/>
              <w:keepLines w:val="0"/>
              <w:pageBreakBefore w:val="0"/>
              <w:widowControl w:val="0"/>
              <w:shd w:val="clear" w:color="auto" w:fill="auto"/>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100万元以下</w:t>
            </w:r>
          </w:p>
        </w:tc>
        <w:tc>
          <w:tcPr>
            <w:tcW w:w="1875" w:type="dxa"/>
            <w:noWrap w:val="0"/>
            <w:vAlign w:val="top"/>
          </w:tcPr>
          <w:p w14:paraId="62DF186E">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710" w:type="dxa"/>
            <w:noWrap w:val="0"/>
            <w:vAlign w:val="top"/>
          </w:tcPr>
          <w:p w14:paraId="011DF035">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935" w:type="dxa"/>
            <w:noWrap w:val="0"/>
            <w:vAlign w:val="top"/>
          </w:tcPr>
          <w:p w14:paraId="13272D29">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p>
        </w:tc>
      </w:tr>
      <w:tr w14:paraId="6E78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6" w:type="dxa"/>
            <w:noWrap w:val="0"/>
            <w:vAlign w:val="top"/>
          </w:tcPr>
          <w:p w14:paraId="0A166BCD">
            <w:pPr>
              <w:keepNext w:val="0"/>
              <w:keepLines w:val="0"/>
              <w:pageBreakBefore w:val="0"/>
              <w:widowControl w:val="0"/>
              <w:shd w:val="clear" w:color="auto" w:fill="auto"/>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100～500万元</w:t>
            </w:r>
          </w:p>
        </w:tc>
        <w:tc>
          <w:tcPr>
            <w:tcW w:w="1875" w:type="dxa"/>
            <w:noWrap w:val="0"/>
            <w:vAlign w:val="top"/>
          </w:tcPr>
          <w:p w14:paraId="35B3EB9A">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w:t>
            </w:r>
          </w:p>
        </w:tc>
        <w:tc>
          <w:tcPr>
            <w:tcW w:w="1710" w:type="dxa"/>
            <w:noWrap w:val="0"/>
            <w:vAlign w:val="top"/>
          </w:tcPr>
          <w:p w14:paraId="049B6562">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935" w:type="dxa"/>
            <w:noWrap w:val="0"/>
            <w:vAlign w:val="top"/>
          </w:tcPr>
          <w:p w14:paraId="2BA0FBA7">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0.7%</w:t>
            </w:r>
          </w:p>
        </w:tc>
      </w:tr>
      <w:tr w14:paraId="0065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6" w:type="dxa"/>
            <w:noWrap w:val="0"/>
            <w:vAlign w:val="top"/>
          </w:tcPr>
          <w:p w14:paraId="7DA48180">
            <w:pPr>
              <w:keepNext w:val="0"/>
              <w:keepLines w:val="0"/>
              <w:pageBreakBefore w:val="0"/>
              <w:widowControl w:val="0"/>
              <w:shd w:val="clear" w:color="auto" w:fill="auto"/>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500～1000万元</w:t>
            </w:r>
          </w:p>
        </w:tc>
        <w:tc>
          <w:tcPr>
            <w:tcW w:w="1875" w:type="dxa"/>
            <w:noWrap w:val="0"/>
            <w:vAlign w:val="top"/>
          </w:tcPr>
          <w:p w14:paraId="1B227DB7">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710" w:type="dxa"/>
            <w:noWrap w:val="0"/>
            <w:vAlign w:val="top"/>
          </w:tcPr>
          <w:p w14:paraId="11F55200">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0.45%</w:t>
            </w:r>
          </w:p>
        </w:tc>
        <w:tc>
          <w:tcPr>
            <w:tcW w:w="1935" w:type="dxa"/>
            <w:noWrap w:val="0"/>
            <w:vAlign w:val="top"/>
          </w:tcPr>
          <w:p w14:paraId="28C4468D">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0.55%</w:t>
            </w:r>
          </w:p>
        </w:tc>
      </w:tr>
      <w:tr w14:paraId="5294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6" w:type="dxa"/>
            <w:noWrap w:val="0"/>
            <w:vAlign w:val="top"/>
          </w:tcPr>
          <w:p w14:paraId="02D4C32F">
            <w:pPr>
              <w:keepNext w:val="0"/>
              <w:keepLines w:val="0"/>
              <w:pageBreakBefore w:val="0"/>
              <w:widowControl w:val="0"/>
              <w:shd w:val="clear" w:color="auto" w:fill="auto"/>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1000～5000万元</w:t>
            </w:r>
          </w:p>
        </w:tc>
        <w:tc>
          <w:tcPr>
            <w:tcW w:w="1875" w:type="dxa"/>
            <w:noWrap w:val="0"/>
            <w:vAlign w:val="top"/>
          </w:tcPr>
          <w:p w14:paraId="57F5FCAB">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w:t>
            </w:r>
          </w:p>
        </w:tc>
        <w:tc>
          <w:tcPr>
            <w:tcW w:w="1710" w:type="dxa"/>
            <w:noWrap w:val="0"/>
            <w:vAlign w:val="top"/>
          </w:tcPr>
          <w:p w14:paraId="7DE9884A">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935" w:type="dxa"/>
            <w:noWrap w:val="0"/>
            <w:vAlign w:val="top"/>
          </w:tcPr>
          <w:p w14:paraId="3D1AA9E6">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0.35%</w:t>
            </w:r>
          </w:p>
        </w:tc>
      </w:tr>
      <w:tr w14:paraId="7E83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6" w:type="dxa"/>
            <w:noWrap w:val="0"/>
            <w:vAlign w:val="top"/>
          </w:tcPr>
          <w:p w14:paraId="567C67B2">
            <w:pPr>
              <w:keepNext w:val="0"/>
              <w:keepLines w:val="0"/>
              <w:pageBreakBefore w:val="0"/>
              <w:widowControl w:val="0"/>
              <w:shd w:val="clear" w:color="auto" w:fill="auto"/>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5000万元～1亿元</w:t>
            </w:r>
          </w:p>
        </w:tc>
        <w:tc>
          <w:tcPr>
            <w:tcW w:w="1875" w:type="dxa"/>
            <w:noWrap w:val="0"/>
            <w:vAlign w:val="top"/>
          </w:tcPr>
          <w:p w14:paraId="11AA0792">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710" w:type="dxa"/>
            <w:noWrap w:val="0"/>
            <w:vAlign w:val="top"/>
          </w:tcPr>
          <w:p w14:paraId="76AF5004">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0.1%</w:t>
            </w:r>
          </w:p>
        </w:tc>
        <w:tc>
          <w:tcPr>
            <w:tcW w:w="1935" w:type="dxa"/>
            <w:noWrap w:val="0"/>
            <w:vAlign w:val="top"/>
          </w:tcPr>
          <w:p w14:paraId="4F7E696A">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w:t>
            </w:r>
          </w:p>
        </w:tc>
      </w:tr>
      <w:tr w14:paraId="5A33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6" w:type="dxa"/>
            <w:noWrap w:val="0"/>
            <w:vAlign w:val="top"/>
          </w:tcPr>
          <w:p w14:paraId="076D10B4">
            <w:pPr>
              <w:keepNext w:val="0"/>
              <w:keepLines w:val="0"/>
              <w:pageBreakBefore w:val="0"/>
              <w:widowControl w:val="0"/>
              <w:shd w:val="clear" w:color="auto" w:fill="auto"/>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1～5亿元</w:t>
            </w:r>
          </w:p>
        </w:tc>
        <w:tc>
          <w:tcPr>
            <w:tcW w:w="1875" w:type="dxa"/>
            <w:noWrap w:val="0"/>
            <w:vAlign w:val="top"/>
          </w:tcPr>
          <w:p w14:paraId="38FC3265">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710" w:type="dxa"/>
            <w:noWrap w:val="0"/>
            <w:vAlign w:val="top"/>
          </w:tcPr>
          <w:p w14:paraId="00AF6EA5">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935" w:type="dxa"/>
            <w:noWrap w:val="0"/>
            <w:vAlign w:val="top"/>
          </w:tcPr>
          <w:p w14:paraId="3F419494">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r>
      <w:tr w14:paraId="3B5A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6" w:type="dxa"/>
            <w:noWrap w:val="0"/>
            <w:vAlign w:val="top"/>
          </w:tcPr>
          <w:p w14:paraId="3D64A100">
            <w:pPr>
              <w:keepNext w:val="0"/>
              <w:keepLines w:val="0"/>
              <w:pageBreakBefore w:val="0"/>
              <w:widowControl w:val="0"/>
              <w:shd w:val="clear" w:color="auto" w:fill="auto"/>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5～10亿元</w:t>
            </w:r>
          </w:p>
        </w:tc>
        <w:tc>
          <w:tcPr>
            <w:tcW w:w="1875" w:type="dxa"/>
            <w:noWrap w:val="0"/>
            <w:vAlign w:val="top"/>
          </w:tcPr>
          <w:p w14:paraId="4C3A9834">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c>
          <w:tcPr>
            <w:tcW w:w="1710" w:type="dxa"/>
            <w:noWrap w:val="0"/>
            <w:vAlign w:val="top"/>
          </w:tcPr>
          <w:p w14:paraId="71D93451">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c>
          <w:tcPr>
            <w:tcW w:w="1935" w:type="dxa"/>
            <w:noWrap w:val="0"/>
            <w:vAlign w:val="top"/>
          </w:tcPr>
          <w:p w14:paraId="18D658C2">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r>
      <w:tr w14:paraId="034B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6" w:type="dxa"/>
            <w:noWrap w:val="0"/>
            <w:vAlign w:val="top"/>
          </w:tcPr>
          <w:p w14:paraId="5FA5DCB8">
            <w:pPr>
              <w:keepNext w:val="0"/>
              <w:keepLines w:val="0"/>
              <w:pageBreakBefore w:val="0"/>
              <w:widowControl w:val="0"/>
              <w:shd w:val="clear" w:color="auto" w:fill="auto"/>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10～50亿元</w:t>
            </w:r>
          </w:p>
        </w:tc>
        <w:tc>
          <w:tcPr>
            <w:tcW w:w="1875" w:type="dxa"/>
            <w:noWrap w:val="0"/>
            <w:vAlign w:val="top"/>
          </w:tcPr>
          <w:p w14:paraId="54284F7C">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1710" w:type="dxa"/>
            <w:noWrap w:val="0"/>
            <w:vAlign w:val="top"/>
          </w:tcPr>
          <w:p w14:paraId="5D4F943E">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1935" w:type="dxa"/>
            <w:noWrap w:val="0"/>
            <w:vAlign w:val="top"/>
          </w:tcPr>
          <w:p w14:paraId="41AD2655">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r>
      <w:tr w14:paraId="3CF3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6" w:type="dxa"/>
            <w:noWrap w:val="0"/>
            <w:vAlign w:val="top"/>
          </w:tcPr>
          <w:p w14:paraId="1999C8EE">
            <w:pPr>
              <w:keepNext w:val="0"/>
              <w:keepLines w:val="0"/>
              <w:pageBreakBefore w:val="0"/>
              <w:widowControl w:val="0"/>
              <w:shd w:val="clear" w:color="auto" w:fill="auto"/>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50～100亿元</w:t>
            </w:r>
          </w:p>
        </w:tc>
        <w:tc>
          <w:tcPr>
            <w:tcW w:w="1875" w:type="dxa"/>
            <w:noWrap w:val="0"/>
            <w:vAlign w:val="top"/>
          </w:tcPr>
          <w:p w14:paraId="1B74EF01">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c>
          <w:tcPr>
            <w:tcW w:w="1710" w:type="dxa"/>
            <w:noWrap w:val="0"/>
            <w:vAlign w:val="top"/>
          </w:tcPr>
          <w:p w14:paraId="4588E8F5">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c>
          <w:tcPr>
            <w:tcW w:w="1935" w:type="dxa"/>
            <w:noWrap w:val="0"/>
            <w:vAlign w:val="top"/>
          </w:tcPr>
          <w:p w14:paraId="7DC29EE3">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r>
      <w:tr w14:paraId="6D47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6" w:type="dxa"/>
            <w:noWrap w:val="0"/>
            <w:vAlign w:val="top"/>
          </w:tcPr>
          <w:p w14:paraId="7FD3B9A9">
            <w:pPr>
              <w:keepNext w:val="0"/>
              <w:keepLines w:val="0"/>
              <w:pageBreakBefore w:val="0"/>
              <w:widowControl w:val="0"/>
              <w:shd w:val="clear" w:color="auto" w:fill="auto"/>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100亿以上</w:t>
            </w:r>
          </w:p>
        </w:tc>
        <w:tc>
          <w:tcPr>
            <w:tcW w:w="1875" w:type="dxa"/>
            <w:noWrap w:val="0"/>
            <w:vAlign w:val="top"/>
          </w:tcPr>
          <w:p w14:paraId="629D8488">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c>
          <w:tcPr>
            <w:tcW w:w="1710" w:type="dxa"/>
            <w:noWrap w:val="0"/>
            <w:vAlign w:val="top"/>
          </w:tcPr>
          <w:p w14:paraId="79F11992">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c>
          <w:tcPr>
            <w:tcW w:w="1935" w:type="dxa"/>
            <w:noWrap w:val="0"/>
            <w:vAlign w:val="top"/>
          </w:tcPr>
          <w:p w14:paraId="77CCBB9D">
            <w:pPr>
              <w:keepNext w:val="0"/>
              <w:keepLines w:val="0"/>
              <w:pageBreakBefore w:val="0"/>
              <w:widowControl w:val="0"/>
              <w:shd w:val="clear" w:color="auto" w:fill="auto"/>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r>
    </w:tbl>
    <w:p w14:paraId="48E0D1DE">
      <w:pPr>
        <w:keepNext w:val="0"/>
        <w:keepLines w:val="0"/>
        <w:pageBreakBefore w:val="0"/>
        <w:widowControl w:val="0"/>
        <w:shd w:val="clear" w:color="auto" w:fill="auto"/>
        <w:tabs>
          <w:tab w:val="left" w:pos="2835"/>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32.2代理服务费收费计算标准：</w:t>
      </w:r>
    </w:p>
    <w:p w14:paraId="17D8302C">
      <w:pPr>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751E7CE">
      <w:pPr>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（1）按本表费率计算的收费为采购代理的收费基准价格；</w:t>
      </w:r>
    </w:p>
    <w:p w14:paraId="5560A567">
      <w:pPr>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（2）采购代理收费按差额定率累进法计算。</w:t>
      </w:r>
    </w:p>
    <w:p w14:paraId="5BFEB910">
      <w:pPr>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例如：某服务采购代理业务成交金额或者暂定价为150万元，计算采购代理收费额如下：</w:t>
      </w:r>
    </w:p>
    <w:p w14:paraId="3518DE75">
      <w:pPr>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100万元×l.5%＝1.5万元</w:t>
      </w:r>
    </w:p>
    <w:p w14:paraId="7468DB2F">
      <w:pPr>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（150－100）万元×0.8%＝0.4万元</w:t>
      </w:r>
    </w:p>
    <w:p w14:paraId="0BC20EBE">
      <w:pPr>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合计收费＝1.5＋0.4＝1.9万元</w:t>
      </w:r>
    </w:p>
    <w:p w14:paraId="7086CC69">
      <w:pPr>
        <w:keepNext w:val="0"/>
        <w:keepLines w:val="0"/>
        <w:pageBreakBefore w:val="0"/>
        <w:widowControl w:val="0"/>
        <w:shd w:val="clear" w:color="auto" w:fill="auto"/>
        <w:kinsoku/>
        <w:wordWrap/>
        <w:overflowPunct/>
        <w:topLinePunct w:val="0"/>
        <w:autoSpaceDE/>
        <w:autoSpaceDN/>
        <w:bidi w:val="0"/>
        <w:adjustRightInd/>
        <w:spacing w:line="4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33.需要补充的其他内容</w:t>
      </w:r>
    </w:p>
    <w:p w14:paraId="19CC10FB">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33.1本磋商文件解释规则详见“供应商须知前附表”。</w:t>
      </w:r>
    </w:p>
    <w:p w14:paraId="47033272">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33.2 其他事项详见“供应商须知前附表”。</w:t>
      </w:r>
    </w:p>
    <w:p w14:paraId="0D6A5F67">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19D5FAE7">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（1）在货物采购项目中，货物由中小企业制造，即货物由中小企业生产且使用该中小企业商号或者注册商标，不对其中涉及的工程承建商和服务的承接商作出要求；</w:t>
      </w:r>
    </w:p>
    <w:p w14:paraId="23C7B332">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（2）在工程采购项目中，工程由中小企业承建，即工程施工单位为中小企业，不对其中涉及的货物的制造商和服务的承接商作出要求；</w:t>
      </w:r>
    </w:p>
    <w:p w14:paraId="58F45121">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4FEBF06">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07FEE9BC">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jc w:val="left"/>
        <w:textAlignment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依据本磋商文件规定享受扶持政策获得政府采购合同的，小微企业不得将合同分包给大中型企业，中型企业不得将合同分包给大型企业。</w:t>
      </w:r>
      <w:bookmarkStart w:id="81" w:name="_Toc144750173"/>
    </w:p>
    <w:p w14:paraId="71984987">
      <w:pPr>
        <w:shd w:val="clear" w:color="auto" w:fill="auto"/>
        <w:spacing w:line="360" w:lineRule="auto"/>
        <w:jc w:val="center"/>
        <w:outlineLvl w:val="0"/>
        <w:rPr>
          <w:rFonts w:hint="eastAsia" w:ascii="方正小标宋_GBK" w:hAnsi="方正小标宋_GBK" w:eastAsia="方正小标宋_GBK" w:cs="方正小标宋_GBK"/>
          <w:b/>
          <w:color w:val="auto"/>
          <w:sz w:val="28"/>
          <w:szCs w:val="28"/>
          <w:highlight w:val="none"/>
          <w:lang w:val="en-US" w:eastAsia="zh-CN"/>
        </w:rPr>
      </w:pPr>
      <w:r>
        <w:rPr>
          <w:rFonts w:hint="eastAsia" w:ascii="仿宋" w:hAnsi="仿宋" w:eastAsia="仿宋" w:cs="仿宋"/>
          <w:color w:val="auto"/>
          <w:kern w:val="2"/>
          <w:sz w:val="21"/>
          <w:highlight w:val="none"/>
        </w:rPr>
        <w:br w:type="page"/>
      </w:r>
      <w:bookmarkStart w:id="82" w:name="_Toc12188"/>
      <w:bookmarkStart w:id="83" w:name="_Toc1714"/>
      <w:r>
        <w:rPr>
          <w:rFonts w:hint="eastAsia" w:ascii="方正小标宋_GBK" w:hAnsi="方正小标宋_GBK" w:eastAsia="方正小标宋_GBK" w:cs="方正小标宋_GBK"/>
          <w:b/>
          <w:color w:val="auto"/>
          <w:sz w:val="28"/>
          <w:szCs w:val="28"/>
          <w:highlight w:val="none"/>
          <w:lang w:val="en-US" w:eastAsia="zh-CN"/>
        </w:rPr>
        <w:t>第三章 采购需求</w:t>
      </w:r>
      <w:bookmarkEnd w:id="81"/>
      <w:bookmarkEnd w:id="82"/>
      <w:bookmarkEnd w:id="83"/>
    </w:p>
    <w:p w14:paraId="0A5C71A8">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2" w:firstLineChars="200"/>
        <w:jc w:val="left"/>
        <w:rPr>
          <w:rFonts w:hint="eastAsia" w:ascii="宋体" w:hAnsi="宋体" w:eastAsia="宋体" w:cs="宋体"/>
          <w:b/>
          <w:color w:val="auto"/>
          <w:sz w:val="21"/>
          <w:szCs w:val="21"/>
          <w:highlight w:val="none"/>
        </w:rPr>
      </w:pPr>
    </w:p>
    <w:p w14:paraId="6DCE4AC2">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1658DC8E">
      <w:pPr>
        <w:keepNext w:val="0"/>
        <w:keepLines w:val="0"/>
        <w:pageBreakBefore w:val="0"/>
        <w:widowControl w:val="0"/>
        <w:shd w:val="clear" w:color="auto" w:fill="auto"/>
        <w:tabs>
          <w:tab w:val="left" w:pos="963"/>
        </w:tabs>
        <w:kinsoku/>
        <w:wordWrap/>
        <w:overflowPunct/>
        <w:topLinePunct w:val="0"/>
        <w:autoSpaceDE/>
        <w:autoSpaceDN/>
        <w:bidi w:val="0"/>
        <w:adjustRightInd/>
        <w:snapToGrid/>
        <w:spacing w:line="400" w:lineRule="exact"/>
        <w:ind w:firstLine="398"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w w:val="95"/>
          <w:sz w:val="21"/>
          <w:szCs w:val="21"/>
          <w:highlight w:val="none"/>
        </w:rPr>
        <w:t>1.“实质性要求”是指</w:t>
      </w:r>
      <w:r>
        <w:rPr>
          <w:rFonts w:hint="eastAsia" w:ascii="宋体" w:hAnsi="宋体" w:eastAsia="宋体" w:cs="宋体"/>
          <w:color w:val="auto"/>
          <w:w w:val="95"/>
          <w:sz w:val="21"/>
          <w:szCs w:val="21"/>
          <w:highlight w:val="none"/>
          <w:lang w:eastAsia="zh-CN"/>
        </w:rPr>
        <w:t>竞争性磋商文件</w:t>
      </w:r>
      <w:r>
        <w:rPr>
          <w:rFonts w:hint="eastAsia" w:ascii="宋体" w:hAnsi="宋体" w:eastAsia="宋体" w:cs="宋体"/>
          <w:color w:val="auto"/>
          <w:w w:val="95"/>
          <w:sz w:val="21"/>
          <w:szCs w:val="21"/>
          <w:highlight w:val="none"/>
        </w:rPr>
        <w:t>中已经指明不满足则投标无效的条款，或者不能负偏离的条款，</w:t>
      </w:r>
      <w:r>
        <w:rPr>
          <w:rFonts w:hint="eastAsia" w:ascii="宋体" w:hAnsi="宋体" w:eastAsia="宋体" w:cs="宋体"/>
          <w:color w:val="auto"/>
          <w:sz w:val="21"/>
          <w:szCs w:val="21"/>
          <w:highlight w:val="none"/>
        </w:rPr>
        <w:t>或者采购需求中带“▲”的条款。</w:t>
      </w:r>
    </w:p>
    <w:p w14:paraId="13C05597">
      <w:pPr>
        <w:pStyle w:val="40"/>
        <w:keepNext w:val="0"/>
        <w:keepLines w:val="0"/>
        <w:pageBreakBefore w:val="0"/>
        <w:widowControl w:val="0"/>
        <w:shd w:val="clear" w:color="auto" w:fill="auto"/>
        <w:tabs>
          <w:tab w:val="left" w:pos="960"/>
        </w:tabs>
        <w:kinsoku/>
        <w:wordWrap/>
        <w:overflowPunct/>
        <w:topLinePunct w:val="0"/>
        <w:autoSpaceDE/>
        <w:autoSpaceDN/>
        <w:bidi w:val="0"/>
        <w:adjustRightInd/>
        <w:snapToGrid/>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2.服务项目中包含货物的，采购需求中出现的品牌、型号或者生产厂家仅起参考作用，不属于指</w:t>
      </w:r>
      <w:r>
        <w:rPr>
          <w:rFonts w:hint="eastAsia" w:ascii="宋体" w:hAnsi="宋体" w:eastAsia="宋体" w:cs="宋体"/>
          <w:color w:val="auto"/>
          <w:w w:val="95"/>
          <w:sz w:val="21"/>
          <w:szCs w:val="21"/>
          <w:highlight w:val="none"/>
        </w:rPr>
        <w:t>定品牌、型号或者生产厂家的情形。</w:t>
      </w:r>
      <w:r>
        <w:rPr>
          <w:rFonts w:hint="eastAsia" w:ascii="宋体" w:hAnsi="宋体" w:eastAsia="宋体" w:cs="宋体"/>
          <w:color w:val="auto"/>
          <w:w w:val="95"/>
          <w:sz w:val="21"/>
          <w:szCs w:val="21"/>
          <w:highlight w:val="none"/>
          <w:lang w:eastAsia="zh-CN"/>
        </w:rPr>
        <w:t>供应商</w:t>
      </w:r>
      <w:r>
        <w:rPr>
          <w:rFonts w:hint="eastAsia" w:ascii="宋体" w:hAnsi="宋体" w:eastAsia="宋体" w:cs="宋体"/>
          <w:color w:val="auto"/>
          <w:w w:val="95"/>
          <w:sz w:val="21"/>
          <w:szCs w:val="21"/>
          <w:highlight w:val="none"/>
        </w:rPr>
        <w:t>可参照或者选用其他相当的品牌、型号或者生产厂家替代，</w:t>
      </w:r>
      <w:r>
        <w:rPr>
          <w:rFonts w:hint="eastAsia" w:ascii="宋体" w:hAnsi="宋体" w:eastAsia="宋体" w:cs="宋体"/>
          <w:color w:val="auto"/>
          <w:sz w:val="21"/>
          <w:szCs w:val="21"/>
          <w:highlight w:val="none"/>
        </w:rPr>
        <w:t>但选用的投标产品参数性能必须满足实质性要求。</w:t>
      </w:r>
    </w:p>
    <w:p w14:paraId="5B3CAE9A">
      <w:pPr>
        <w:pStyle w:val="40"/>
        <w:keepNext w:val="0"/>
        <w:keepLines w:val="0"/>
        <w:pageBreakBefore w:val="0"/>
        <w:widowControl w:val="0"/>
        <w:shd w:val="clear" w:color="auto" w:fill="auto"/>
        <w:tabs>
          <w:tab w:val="left" w:pos="960"/>
        </w:tabs>
        <w:kinsoku/>
        <w:wordWrap/>
        <w:overflowPunct/>
        <w:topLinePunct w:val="0"/>
        <w:autoSpaceDE/>
        <w:autoSpaceDN/>
        <w:bidi w:val="0"/>
        <w:adjustRightInd/>
        <w:snapToGrid/>
        <w:spacing w:line="400" w:lineRule="exact"/>
        <w:ind w:firstLine="400"/>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3.服务项目中包含货物的，根据《财政部发展改革委 生态环境部 市场监管总局关于调整优化节能产品、环境标志产品政府采购执行机制的通知》（财库〔2019〕9</w:t>
      </w:r>
      <w:r>
        <w:rPr>
          <w:rFonts w:hint="eastAsia" w:ascii="宋体" w:hAnsi="宋体" w:eastAsia="宋体" w:cs="宋体"/>
          <w:color w:val="auto"/>
          <w:spacing w:val="-30"/>
          <w:sz w:val="21"/>
          <w:szCs w:val="21"/>
          <w:highlight w:val="none"/>
        </w:rPr>
        <w:t xml:space="preserve"> 号</w:t>
      </w:r>
      <w:r>
        <w:rPr>
          <w:rFonts w:hint="eastAsia" w:ascii="宋体" w:hAnsi="宋体" w:eastAsia="宋体" w:cs="宋体"/>
          <w:color w:val="auto"/>
          <w:sz w:val="21"/>
          <w:szCs w:val="21"/>
          <w:highlight w:val="none"/>
        </w:rPr>
        <w:t>）和《关于印发节能产品政府采</w:t>
      </w:r>
      <w:r>
        <w:rPr>
          <w:rFonts w:hint="eastAsia" w:ascii="宋体" w:hAnsi="宋体" w:eastAsia="宋体" w:cs="宋体"/>
          <w:color w:val="auto"/>
          <w:spacing w:val="-3"/>
          <w:sz w:val="21"/>
          <w:szCs w:val="21"/>
          <w:highlight w:val="none"/>
        </w:rPr>
        <w:t>购品目清单的通知》</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财库〔</w:t>
      </w:r>
      <w:r>
        <w:rPr>
          <w:rFonts w:hint="eastAsia" w:ascii="宋体" w:hAnsi="宋体" w:eastAsia="宋体" w:cs="宋体"/>
          <w:color w:val="auto"/>
          <w:sz w:val="21"/>
          <w:szCs w:val="21"/>
          <w:highlight w:val="none"/>
        </w:rPr>
        <w:t>2019</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19</w:t>
      </w:r>
      <w:r>
        <w:rPr>
          <w:rFonts w:hint="eastAsia" w:ascii="宋体" w:hAnsi="宋体" w:eastAsia="宋体" w:cs="宋体"/>
          <w:color w:val="auto"/>
          <w:spacing w:val="-32"/>
          <w:sz w:val="21"/>
          <w:szCs w:val="21"/>
          <w:highlight w:val="none"/>
        </w:rPr>
        <w:t xml:space="preserve"> 号</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4"/>
          <w:sz w:val="21"/>
          <w:szCs w:val="21"/>
          <w:highlight w:val="none"/>
        </w:rPr>
        <w:t>的规定，节能产品政府采购品目清单内标注“★”的品目属</w:t>
      </w:r>
      <w:r>
        <w:rPr>
          <w:rFonts w:hint="eastAsia" w:ascii="宋体" w:hAnsi="宋体" w:eastAsia="宋体" w:cs="宋体"/>
          <w:color w:val="auto"/>
          <w:spacing w:val="-7"/>
          <w:sz w:val="21"/>
          <w:szCs w:val="21"/>
          <w:highlight w:val="none"/>
        </w:rPr>
        <w:t>于政府强制采购节能产品，如本项目包含的货物属于品目清单内标注“★”的产品时，</w:t>
      </w:r>
      <w:r>
        <w:rPr>
          <w:rFonts w:hint="eastAsia" w:ascii="宋体" w:hAnsi="宋体" w:eastAsia="宋体" w:cs="宋体"/>
          <w:b/>
          <w:bCs/>
          <w:color w:val="auto"/>
          <w:spacing w:val="-7"/>
          <w:sz w:val="21"/>
          <w:szCs w:val="21"/>
          <w:highlight w:val="none"/>
          <w:lang w:eastAsia="zh-CN"/>
        </w:rPr>
        <w:t>供应商</w:t>
      </w:r>
      <w:r>
        <w:rPr>
          <w:rFonts w:hint="eastAsia" w:ascii="宋体" w:hAnsi="宋体" w:eastAsia="宋体" w:cs="宋体"/>
          <w:b/>
          <w:bCs/>
          <w:color w:val="auto"/>
          <w:spacing w:val="-7"/>
          <w:sz w:val="21"/>
          <w:szCs w:val="21"/>
          <w:highlight w:val="none"/>
        </w:rPr>
        <w:t>的投标货</w:t>
      </w:r>
      <w:r>
        <w:rPr>
          <w:rFonts w:hint="eastAsia" w:ascii="宋体" w:hAnsi="宋体" w:eastAsia="宋体" w:cs="宋体"/>
          <w:b/>
          <w:bCs/>
          <w:color w:val="auto"/>
          <w:spacing w:val="-9"/>
          <w:sz w:val="21"/>
          <w:szCs w:val="21"/>
          <w:highlight w:val="none"/>
        </w:rPr>
        <w:t>物必须使用政府强制采购的节能产品</w:t>
      </w:r>
      <w:r>
        <w:rPr>
          <w:rFonts w:hint="eastAsia" w:ascii="宋体" w:hAnsi="宋体" w:eastAsia="宋体" w:cs="宋体"/>
          <w:b/>
          <w:bCs/>
          <w:color w:val="auto"/>
          <w:spacing w:val="-9"/>
          <w:w w:val="95"/>
          <w:sz w:val="21"/>
          <w:szCs w:val="21"/>
          <w:highlight w:val="none"/>
        </w:rPr>
        <w:t>，否则</w:t>
      </w:r>
      <w:r>
        <w:rPr>
          <w:rFonts w:hint="eastAsia" w:ascii="宋体" w:hAnsi="宋体" w:eastAsia="宋体" w:cs="宋体"/>
          <w:b/>
          <w:bCs/>
          <w:color w:val="auto"/>
          <w:spacing w:val="-9"/>
          <w:w w:val="95"/>
          <w:sz w:val="21"/>
          <w:szCs w:val="21"/>
          <w:highlight w:val="none"/>
          <w:lang w:eastAsia="zh-CN"/>
        </w:rPr>
        <w:t>响应文件</w:t>
      </w:r>
      <w:r>
        <w:rPr>
          <w:rFonts w:hint="eastAsia" w:ascii="宋体" w:hAnsi="宋体" w:eastAsia="宋体" w:cs="宋体"/>
          <w:b/>
          <w:bCs/>
          <w:color w:val="auto"/>
          <w:spacing w:val="-9"/>
          <w:w w:val="95"/>
          <w:sz w:val="21"/>
          <w:szCs w:val="21"/>
          <w:highlight w:val="none"/>
        </w:rPr>
        <w:t>作无效处理。</w:t>
      </w:r>
      <w:r>
        <w:rPr>
          <w:rFonts w:hint="eastAsia" w:ascii="宋体" w:hAnsi="宋体" w:eastAsia="宋体" w:cs="宋体"/>
          <w:color w:val="auto"/>
          <w:spacing w:val="-9"/>
          <w:w w:val="95"/>
          <w:sz w:val="21"/>
          <w:szCs w:val="21"/>
          <w:highlight w:val="none"/>
        </w:rPr>
        <w:t>如本项目包含的货物属于品目清单内非标注“★”</w:t>
      </w:r>
      <w:r>
        <w:rPr>
          <w:rFonts w:hint="eastAsia" w:ascii="宋体" w:hAnsi="宋体" w:eastAsia="宋体" w:cs="宋体"/>
          <w:color w:val="auto"/>
          <w:spacing w:val="-9"/>
          <w:sz w:val="21"/>
          <w:szCs w:val="21"/>
          <w:highlight w:val="none"/>
        </w:rPr>
        <w:t>的产品时，应优先采购，具体详见“第四章 评审程序、评审方法和评审标准”。</w:t>
      </w:r>
    </w:p>
    <w:p w14:paraId="414D54B7">
      <w:pPr>
        <w:pStyle w:val="40"/>
        <w:keepNext w:val="0"/>
        <w:keepLines w:val="0"/>
        <w:pageBreakBefore w:val="0"/>
        <w:widowControl w:val="0"/>
        <w:shd w:val="clear" w:color="auto" w:fill="auto"/>
        <w:tabs>
          <w:tab w:val="left" w:pos="960"/>
        </w:tabs>
        <w:kinsoku/>
        <w:wordWrap w:val="0"/>
        <w:overflowPunct/>
        <w:topLinePunct w:val="0"/>
        <w:autoSpaceDE/>
        <w:autoSpaceDN/>
        <w:bidi w:val="0"/>
        <w:adjustRightInd/>
        <w:snapToGrid/>
        <w:spacing w:line="400" w:lineRule="exact"/>
        <w:ind w:firstLine="404"/>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服务项目中包含货物的，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投标处理。如属于《网络关键设备和网络安全专用产品目录》中“二、网络安全专用产品”内“产品类别”中的所描述的产品，但不属于所列“产品描述”情形的，应提供相应的说明及证明材料。</w:t>
      </w:r>
    </w:p>
    <w:p w14:paraId="18AF01E5">
      <w:pPr>
        <w:pStyle w:val="40"/>
        <w:keepNext w:val="0"/>
        <w:keepLines w:val="0"/>
        <w:pageBreakBefore w:val="0"/>
        <w:widowControl w:val="0"/>
        <w:shd w:val="clear" w:color="auto" w:fill="auto"/>
        <w:tabs>
          <w:tab w:val="left" w:pos="960"/>
        </w:tabs>
        <w:kinsoku/>
        <w:wordWrap/>
        <w:overflowPunct/>
        <w:topLinePunct w:val="0"/>
        <w:autoSpaceDE/>
        <w:autoSpaceDN/>
        <w:bidi w:val="0"/>
        <w:adjustRightInd/>
        <w:snapToGrid/>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5.供应商必须自行为其投标产品侵犯他人的知识产权或者专利成果的行为承担相应法律责任。</w:t>
      </w:r>
    </w:p>
    <w:p w14:paraId="61DD63F8">
      <w:pPr>
        <w:pStyle w:val="40"/>
        <w:keepNext w:val="0"/>
        <w:keepLines w:val="0"/>
        <w:pageBreakBefore w:val="0"/>
        <w:widowControl w:val="0"/>
        <w:shd w:val="clear" w:color="auto" w:fill="auto"/>
        <w:tabs>
          <w:tab w:val="left" w:pos="960"/>
        </w:tabs>
        <w:kinsoku/>
        <w:wordWrap/>
        <w:overflowPunct/>
        <w:topLinePunct w:val="0"/>
        <w:autoSpaceDE/>
        <w:autoSpaceDN/>
        <w:bidi w:val="0"/>
        <w:adjustRightInd/>
        <w:snapToGrid/>
        <w:spacing w:line="400" w:lineRule="exact"/>
        <w:ind w:firstLine="408"/>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6.本项目</w:t>
      </w:r>
      <w:r>
        <w:rPr>
          <w:rFonts w:hint="eastAsia" w:ascii="宋体" w:hAnsi="宋体" w:eastAsia="宋体" w:cs="宋体"/>
          <w:color w:val="auto"/>
          <w:sz w:val="21"/>
          <w:szCs w:val="21"/>
          <w:highlight w:val="none"/>
        </w:rPr>
        <w:t>需要及技术需求</w:t>
      </w:r>
      <w:r>
        <w:rPr>
          <w:rFonts w:hint="eastAsia" w:ascii="宋体" w:hAnsi="宋体" w:eastAsia="宋体" w:cs="宋体"/>
          <w:color w:val="auto"/>
          <w:spacing w:val="-3"/>
          <w:sz w:val="21"/>
          <w:szCs w:val="21"/>
          <w:highlight w:val="none"/>
        </w:rPr>
        <w:t>中的内容如与“第</w:t>
      </w:r>
      <w:r>
        <w:rPr>
          <w:rFonts w:hint="eastAsia" w:ascii="宋体" w:hAnsi="宋体" w:eastAsia="宋体" w:cs="宋体"/>
          <w:color w:val="auto"/>
          <w:spacing w:val="-3"/>
          <w:sz w:val="21"/>
          <w:szCs w:val="21"/>
          <w:highlight w:val="none"/>
          <w:lang w:val="en-US" w:eastAsia="zh-CN"/>
        </w:rPr>
        <w:t>六</w:t>
      </w:r>
      <w:r>
        <w:rPr>
          <w:rFonts w:hint="eastAsia" w:ascii="宋体" w:hAnsi="宋体" w:eastAsia="宋体" w:cs="宋体"/>
          <w:color w:val="auto"/>
          <w:spacing w:val="-3"/>
          <w:sz w:val="21"/>
          <w:szCs w:val="21"/>
          <w:highlight w:val="none"/>
        </w:rPr>
        <w:t>章</w:t>
      </w:r>
      <w:r>
        <w:rPr>
          <w:rFonts w:hint="eastAsia" w:ascii="宋体" w:hAnsi="宋体" w:eastAsia="宋体" w:cs="宋体"/>
          <w:color w:val="auto"/>
          <w:spacing w:val="-3"/>
          <w:sz w:val="21"/>
          <w:szCs w:val="21"/>
          <w:highlight w:val="none"/>
          <w:lang w:val="en-US" w:eastAsia="zh-CN"/>
        </w:rPr>
        <w:t>合同文本</w:t>
      </w:r>
      <w:r>
        <w:rPr>
          <w:rFonts w:hint="eastAsia" w:ascii="宋体" w:hAnsi="宋体" w:eastAsia="宋体" w:cs="宋体"/>
          <w:color w:val="auto"/>
          <w:spacing w:val="-3"/>
          <w:sz w:val="21"/>
          <w:szCs w:val="21"/>
          <w:highlight w:val="none"/>
        </w:rPr>
        <w:t>”相关条款不一致的，以本表为准。</w:t>
      </w:r>
    </w:p>
    <w:p w14:paraId="30CCB08C">
      <w:pPr>
        <w:keepNext w:val="0"/>
        <w:keepLines w:val="0"/>
        <w:pageBreakBefore w:val="0"/>
        <w:widowControl w:val="0"/>
        <w:shd w:val="clear" w:color="auto" w:fill="auto"/>
        <w:tabs>
          <w:tab w:val="left" w:pos="963"/>
        </w:tabs>
        <w:kinsoku/>
        <w:wordWrap/>
        <w:overflowPunct/>
        <w:topLinePunct w:val="0"/>
        <w:autoSpaceDE/>
        <w:autoSpaceDN/>
        <w:bidi w:val="0"/>
        <w:adjustRightInd/>
        <w:snapToGrid/>
        <w:spacing w:line="400" w:lineRule="exact"/>
        <w:ind w:firstLine="420"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7.本</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所称中小企业必须符合《政府采购促进中小企业发展管理办法》（财库〔2020〕46号）的规定</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本项目采购标的对应的中小企业划分标准所属行业</w:t>
      </w:r>
      <w:r>
        <w:rPr>
          <w:rFonts w:hint="eastAsia" w:ascii="宋体" w:hAnsi="宋体" w:eastAsia="宋体" w:cs="宋体"/>
          <w:b/>
          <w:bCs/>
          <w:color w:val="auto"/>
          <w:sz w:val="21"/>
          <w:szCs w:val="21"/>
          <w:highlight w:val="none"/>
          <w:lang w:eastAsia="zh-CN"/>
        </w:rPr>
        <w:t>：其他未列明行业。</w:t>
      </w:r>
    </w:p>
    <w:p w14:paraId="604C399E">
      <w:pPr>
        <w:shd w:val="clear" w:color="auto" w:fill="auto"/>
        <w:jc w:val="both"/>
        <w:outlineLvl w:val="1"/>
        <w:rPr>
          <w:rFonts w:hint="eastAsia" w:ascii="方正小标宋_GBK" w:hAnsi="方正小标宋_GBK" w:eastAsia="方正小标宋_GBK" w:cs="方正小标宋_GBK"/>
          <w:b/>
          <w:color w:val="auto"/>
          <w:sz w:val="21"/>
          <w:szCs w:val="21"/>
          <w:highlight w:val="none"/>
          <w:lang w:val="en-US" w:eastAsia="zh-CN"/>
        </w:rPr>
      </w:pPr>
      <w:r>
        <w:rPr>
          <w:rFonts w:hint="eastAsia" w:ascii="仿宋" w:hAnsi="仿宋" w:eastAsia="仿宋" w:cs="仿宋"/>
          <w:b/>
          <w:color w:val="auto"/>
          <w:szCs w:val="21"/>
          <w:highlight w:val="none"/>
        </w:rPr>
        <w:br w:type="page"/>
      </w:r>
      <w:bookmarkStart w:id="84" w:name="_Toc1687"/>
      <w:r>
        <w:rPr>
          <w:rFonts w:hint="eastAsia" w:ascii="宋体" w:hAnsi="宋体" w:cs="宋体"/>
          <w:b/>
          <w:bCs/>
          <w:color w:val="auto"/>
          <w:sz w:val="24"/>
          <w:szCs w:val="24"/>
        </w:rPr>
        <w:t>一、采购项目需求一览表</w:t>
      </w:r>
      <w:bookmarkEnd w:id="84"/>
    </w:p>
    <w:tbl>
      <w:tblPr>
        <w:tblStyle w:val="26"/>
        <w:tblW w:w="85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3"/>
        <w:gridCol w:w="988"/>
        <w:gridCol w:w="1166"/>
        <w:gridCol w:w="5882"/>
      </w:tblGrid>
      <w:tr w14:paraId="57E22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tblHeader/>
          <w:jc w:val="center"/>
        </w:trPr>
        <w:tc>
          <w:tcPr>
            <w:tcW w:w="563" w:type="dxa"/>
            <w:noWrap w:val="0"/>
            <w:vAlign w:val="center"/>
          </w:tcPr>
          <w:p w14:paraId="711E3C4C">
            <w:pPr>
              <w:adjustRightInd w:val="0"/>
              <w:snapToGrid w:val="0"/>
              <w:spacing w:line="240" w:lineRule="auto"/>
              <w:jc w:val="center"/>
              <w:rPr>
                <w:rFonts w:hint="eastAsia" w:ascii="宋体" w:hAnsi="宋体" w:eastAsia="宋体" w:cs="宋体"/>
                <w:b/>
                <w:bCs/>
                <w:iCs/>
                <w:color w:val="auto"/>
                <w:sz w:val="21"/>
                <w:szCs w:val="21"/>
              </w:rPr>
            </w:pPr>
            <w:bookmarkStart w:id="85" w:name="_Toc3268"/>
            <w:bookmarkStart w:id="86" w:name="_Toc144750174"/>
            <w:r>
              <w:rPr>
                <w:rFonts w:hint="eastAsia" w:ascii="宋体" w:hAnsi="宋体" w:eastAsia="宋体" w:cs="宋体"/>
                <w:b/>
                <w:bCs/>
                <w:iCs/>
                <w:color w:val="auto"/>
                <w:sz w:val="21"/>
                <w:szCs w:val="21"/>
              </w:rPr>
              <w:t>序号</w:t>
            </w:r>
          </w:p>
        </w:tc>
        <w:tc>
          <w:tcPr>
            <w:tcW w:w="988" w:type="dxa"/>
            <w:noWrap w:val="0"/>
            <w:vAlign w:val="center"/>
          </w:tcPr>
          <w:p w14:paraId="6F81B82A">
            <w:pPr>
              <w:adjustRightInd w:val="0"/>
              <w:snapToGrid w:val="0"/>
              <w:spacing w:line="240" w:lineRule="auto"/>
              <w:jc w:val="center"/>
              <w:rPr>
                <w:rFonts w:hint="eastAsia" w:ascii="宋体" w:hAnsi="宋体" w:eastAsia="宋体" w:cs="宋体"/>
                <w:b/>
                <w:bCs/>
                <w:iCs/>
                <w:color w:val="auto"/>
                <w:sz w:val="21"/>
                <w:szCs w:val="21"/>
              </w:rPr>
            </w:pPr>
            <w:r>
              <w:rPr>
                <w:rFonts w:hint="eastAsia" w:ascii="宋体" w:hAnsi="宋体" w:eastAsia="宋体" w:cs="宋体"/>
                <w:b/>
                <w:bCs/>
                <w:iCs/>
                <w:color w:val="auto"/>
                <w:sz w:val="21"/>
                <w:szCs w:val="21"/>
              </w:rPr>
              <w:t>标的</w:t>
            </w:r>
          </w:p>
          <w:p w14:paraId="60EE164F">
            <w:pPr>
              <w:adjustRightInd w:val="0"/>
              <w:snapToGrid w:val="0"/>
              <w:spacing w:line="240" w:lineRule="auto"/>
              <w:jc w:val="center"/>
              <w:rPr>
                <w:rFonts w:hint="eastAsia" w:ascii="宋体" w:hAnsi="宋体" w:eastAsia="宋体" w:cs="宋体"/>
                <w:b/>
                <w:bCs/>
                <w:iCs/>
                <w:color w:val="auto"/>
                <w:sz w:val="21"/>
                <w:szCs w:val="21"/>
              </w:rPr>
            </w:pPr>
            <w:r>
              <w:rPr>
                <w:rFonts w:hint="eastAsia" w:ascii="宋体" w:hAnsi="宋体" w:eastAsia="宋体" w:cs="宋体"/>
                <w:b/>
                <w:bCs/>
                <w:iCs/>
                <w:color w:val="auto"/>
                <w:sz w:val="21"/>
                <w:szCs w:val="21"/>
              </w:rPr>
              <w:t>名称</w:t>
            </w:r>
          </w:p>
        </w:tc>
        <w:tc>
          <w:tcPr>
            <w:tcW w:w="1166" w:type="dxa"/>
            <w:noWrap w:val="0"/>
            <w:vAlign w:val="center"/>
          </w:tcPr>
          <w:p w14:paraId="736482DD">
            <w:pPr>
              <w:adjustRightInd w:val="0"/>
              <w:snapToGrid w:val="0"/>
              <w:spacing w:line="240" w:lineRule="auto"/>
              <w:jc w:val="center"/>
              <w:rPr>
                <w:rFonts w:hint="eastAsia" w:ascii="宋体" w:hAnsi="宋体" w:eastAsia="宋体" w:cs="宋体"/>
                <w:b/>
                <w:bCs/>
                <w:iCs/>
                <w:color w:val="auto"/>
                <w:sz w:val="21"/>
                <w:szCs w:val="21"/>
              </w:rPr>
            </w:pPr>
            <w:r>
              <w:rPr>
                <w:rFonts w:hint="eastAsia" w:ascii="宋体" w:hAnsi="宋体" w:eastAsia="宋体" w:cs="宋体"/>
                <w:b/>
                <w:bCs/>
                <w:iCs/>
                <w:color w:val="auto"/>
                <w:sz w:val="21"/>
                <w:szCs w:val="21"/>
              </w:rPr>
              <w:t>数量及单位</w:t>
            </w:r>
          </w:p>
        </w:tc>
        <w:tc>
          <w:tcPr>
            <w:tcW w:w="5882" w:type="dxa"/>
            <w:noWrap w:val="0"/>
            <w:vAlign w:val="center"/>
          </w:tcPr>
          <w:p w14:paraId="0051FB1F">
            <w:pPr>
              <w:adjustRightInd w:val="0"/>
              <w:snapToGrid w:val="0"/>
              <w:spacing w:line="240" w:lineRule="auto"/>
              <w:jc w:val="center"/>
              <w:rPr>
                <w:rFonts w:hint="eastAsia" w:ascii="宋体" w:hAnsi="宋体" w:eastAsia="宋体" w:cs="宋体"/>
                <w:b/>
                <w:bCs/>
                <w:iCs/>
                <w:color w:val="auto"/>
                <w:sz w:val="21"/>
                <w:szCs w:val="21"/>
              </w:rPr>
            </w:pPr>
            <w:r>
              <w:rPr>
                <w:rFonts w:hint="eastAsia" w:ascii="宋体" w:hAnsi="宋体" w:eastAsia="宋体" w:cs="宋体"/>
                <w:b/>
                <w:bCs/>
                <w:iCs/>
                <w:color w:val="auto"/>
                <w:sz w:val="21"/>
                <w:szCs w:val="21"/>
              </w:rPr>
              <w:t>服务内容及要求</w:t>
            </w:r>
          </w:p>
        </w:tc>
      </w:tr>
      <w:tr w14:paraId="64674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563" w:type="dxa"/>
            <w:noWrap w:val="0"/>
            <w:vAlign w:val="center"/>
          </w:tcPr>
          <w:p w14:paraId="55FB21DF">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88" w:type="dxa"/>
            <w:noWrap w:val="0"/>
            <w:vAlign w:val="center"/>
          </w:tcPr>
          <w:p w14:paraId="063D90ED">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iCs/>
                <w:color w:val="auto"/>
                <w:sz w:val="21"/>
                <w:szCs w:val="21"/>
                <w:lang w:eastAsia="zh-CN"/>
              </w:rPr>
              <w:t>广西水利工程建设质量管理工作手册编制</w:t>
            </w:r>
          </w:p>
        </w:tc>
        <w:tc>
          <w:tcPr>
            <w:tcW w:w="1166" w:type="dxa"/>
            <w:noWrap w:val="0"/>
            <w:vAlign w:val="center"/>
          </w:tcPr>
          <w:p w14:paraId="51806DB7">
            <w:pPr>
              <w:spacing w:line="240" w:lineRule="auto"/>
              <w:jc w:val="center"/>
              <w:rPr>
                <w:rFonts w:hint="eastAsia" w:ascii="宋体" w:hAnsi="宋体" w:eastAsia="宋体" w:cs="宋体"/>
                <w:iCs/>
                <w:color w:val="auto"/>
                <w:sz w:val="21"/>
                <w:szCs w:val="21"/>
              </w:rPr>
            </w:pPr>
            <w:r>
              <w:rPr>
                <w:rFonts w:hint="eastAsia" w:ascii="宋体" w:hAnsi="宋体" w:eastAsia="宋体" w:cs="宋体"/>
                <w:iCs/>
                <w:color w:val="auto"/>
                <w:sz w:val="21"/>
                <w:szCs w:val="21"/>
              </w:rPr>
              <w:t>1项</w:t>
            </w:r>
          </w:p>
        </w:tc>
        <w:tc>
          <w:tcPr>
            <w:tcW w:w="5882" w:type="dxa"/>
            <w:noWrap w:val="0"/>
            <w:vAlign w:val="center"/>
          </w:tcPr>
          <w:p w14:paraId="22A2FCE1">
            <w:pPr>
              <w:spacing w:line="240" w:lineRule="auto"/>
              <w:ind w:firstLine="422" w:firstLineChars="200"/>
              <w:jc w:val="left"/>
              <w:rPr>
                <w:rFonts w:hint="default" w:ascii="宋体" w:hAnsi="宋体" w:eastAsia="宋体" w:cs="宋体"/>
                <w:b/>
                <w:bCs/>
                <w:color w:val="auto"/>
                <w:sz w:val="21"/>
                <w:szCs w:val="21"/>
                <w:lang w:val="en-US" w:eastAsia="zh-CN"/>
              </w:rPr>
            </w:pPr>
            <w:bookmarkStart w:id="87" w:name="_Toc22231"/>
            <w:bookmarkStart w:id="88" w:name="_Toc10736"/>
            <w:bookmarkStart w:id="89" w:name="_Toc21232"/>
            <w:bookmarkStart w:id="90" w:name="_Toc150191976"/>
            <w:bookmarkStart w:id="91" w:name="_Toc465842890"/>
            <w:bookmarkStart w:id="92" w:name="_Toc2024"/>
            <w:r>
              <w:rPr>
                <w:rFonts w:hint="eastAsia" w:ascii="宋体" w:hAnsi="宋体" w:eastAsia="宋体" w:cs="宋体"/>
                <w:b/>
                <w:bCs/>
                <w:color w:val="auto"/>
                <w:sz w:val="21"/>
                <w:szCs w:val="21"/>
              </w:rPr>
              <w:t>一、</w:t>
            </w:r>
            <w:bookmarkEnd w:id="87"/>
            <w:bookmarkEnd w:id="88"/>
            <w:bookmarkEnd w:id="89"/>
            <w:bookmarkEnd w:id="90"/>
            <w:bookmarkEnd w:id="91"/>
            <w:bookmarkEnd w:id="92"/>
            <w:r>
              <w:rPr>
                <w:rFonts w:hint="eastAsia" w:ascii="宋体" w:hAnsi="宋体" w:eastAsia="宋体" w:cs="宋体"/>
                <w:b/>
                <w:bCs/>
                <w:color w:val="auto"/>
                <w:sz w:val="21"/>
                <w:szCs w:val="21"/>
                <w:lang w:val="en-US" w:eastAsia="zh-CN"/>
              </w:rPr>
              <w:t>项目背景</w:t>
            </w:r>
          </w:p>
          <w:p w14:paraId="2E44CFF5">
            <w:pPr>
              <w:spacing w:line="240" w:lineRule="auto"/>
              <w:ind w:firstLine="420" w:firstLineChars="200"/>
              <w:rPr>
                <w:rFonts w:hint="eastAsia" w:ascii="宋体" w:hAnsi="宋体" w:eastAsia="宋体" w:cs="宋体"/>
                <w:color w:val="auto"/>
                <w:sz w:val="21"/>
                <w:szCs w:val="21"/>
              </w:rPr>
            </w:pPr>
            <w:bookmarkStart w:id="93" w:name="_Toc182838315"/>
            <w:bookmarkStart w:id="94" w:name="_Toc18735"/>
            <w:bookmarkStart w:id="95" w:name="_Toc182838296"/>
            <w:r>
              <w:rPr>
                <w:rFonts w:hint="eastAsia" w:ascii="宋体" w:hAnsi="宋体" w:cs="宋体"/>
                <w:color w:val="auto"/>
                <w:szCs w:val="21"/>
              </w:rPr>
              <w:t>党中央、国务院高度重视质量强国建设，《质量强国建设纲要》明确要求加强工程质量管理，健全质量政策体系。水利部先后出台《水利工程质量管理规定》（第52号）、《水利工程建设质量提升三年行动（2022—2025年）》等文件，强调落实质量责任、提升管理水平。广西正处于水网建设高峰期，亟需通过标准化管理提升质量竞争力。因此，编制《广西水利工程建设质量管理工作手册》是补齐制度短板、提升行业能级、冲刺优质工程的必要举措。</w:t>
            </w:r>
          </w:p>
          <w:bookmarkEnd w:id="93"/>
          <w:bookmarkEnd w:id="94"/>
          <w:bookmarkEnd w:id="95"/>
          <w:p w14:paraId="05A39946">
            <w:pPr>
              <w:pStyle w:val="46"/>
              <w:widowControl/>
              <w:spacing w:line="240" w:lineRule="auto"/>
              <w:ind w:firstLine="560"/>
              <w:outlineLvl w:val="9"/>
              <w:rPr>
                <w:rFonts w:hint="default" w:ascii="宋体" w:hAnsi="宋体" w:eastAsia="宋体" w:cs="宋体"/>
                <w:color w:val="auto"/>
                <w:sz w:val="21"/>
                <w:szCs w:val="21"/>
                <w:lang w:val="en-US" w:eastAsia="zh-CN"/>
              </w:rPr>
            </w:pPr>
            <w:bookmarkStart w:id="96" w:name="_Toc9868839"/>
            <w:bookmarkStart w:id="97" w:name="_Toc90"/>
            <w:bookmarkStart w:id="98" w:name="_Toc182838316"/>
            <w:bookmarkStart w:id="99" w:name="_Toc182838297"/>
            <w:bookmarkStart w:id="100" w:name="_Toc10853"/>
            <w:r>
              <w:rPr>
                <w:rFonts w:hint="eastAsia" w:ascii="宋体" w:hAnsi="宋体" w:eastAsia="宋体" w:cs="宋体"/>
                <w:color w:val="auto"/>
                <w:sz w:val="21"/>
                <w:szCs w:val="21"/>
                <w:lang w:val="en-US" w:eastAsia="zh-CN"/>
              </w:rPr>
              <w:t>二、工作目标、范围</w:t>
            </w:r>
          </w:p>
          <w:p w14:paraId="1BC48979">
            <w:pPr>
              <w:pStyle w:val="46"/>
              <w:widowControl/>
              <w:spacing w:line="240" w:lineRule="auto"/>
              <w:ind w:firstLine="560"/>
              <w:outlineLvl w:val="9"/>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（一）工作目标</w:t>
            </w:r>
          </w:p>
          <w:p w14:paraId="080D3FFE">
            <w:pPr>
              <w:pStyle w:val="46"/>
              <w:widowControl/>
              <w:spacing w:line="240" w:lineRule="auto"/>
              <w:ind w:firstLine="560"/>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出台《广西水利工程建设质量管理工作手册》，进一步压实水行政主管部门、项目法人及市场主体的质量管理责任，强化全生命周期质量管控，推动水利工程（含传统工程与新型水利项目）实现质量管理的规范化、系统化、科学化，为广西水利工程建设高质量发展提供实操性支撑。</w:t>
            </w:r>
          </w:p>
          <w:p w14:paraId="0FBF7C17">
            <w:pPr>
              <w:pStyle w:val="46"/>
              <w:widowControl/>
              <w:spacing w:line="240" w:lineRule="auto"/>
              <w:ind w:firstLine="560"/>
              <w:outlineLvl w:val="9"/>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（二）范围</w:t>
            </w:r>
          </w:p>
          <w:p w14:paraId="60E15439">
            <w:pPr>
              <w:pStyle w:val="46"/>
              <w:widowControl/>
              <w:spacing w:line="240" w:lineRule="auto"/>
              <w:ind w:firstLine="560"/>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1.开展年限：2026年</w:t>
            </w:r>
            <w:r>
              <w:rPr>
                <w:rFonts w:hint="eastAsia" w:ascii="宋体" w:hAnsi="宋体" w:eastAsia="宋体" w:cs="宋体"/>
                <w:color w:val="auto"/>
                <w:sz w:val="21"/>
                <w:szCs w:val="21"/>
                <w:lang w:eastAsia="zh-CN"/>
              </w:rPr>
              <w:t>～</w:t>
            </w:r>
            <w:r>
              <w:rPr>
                <w:rFonts w:hint="eastAsia" w:ascii="宋体" w:hAnsi="宋体" w:eastAsia="宋体" w:cs="宋体"/>
                <w:b w:val="0"/>
                <w:bCs/>
                <w:color w:val="auto"/>
                <w:sz w:val="21"/>
                <w:szCs w:val="21"/>
                <w:lang w:val="en-US" w:eastAsia="zh-CN"/>
              </w:rPr>
              <w:t>2027年；</w:t>
            </w:r>
          </w:p>
          <w:p w14:paraId="5CEADE63">
            <w:pPr>
              <w:pStyle w:val="46"/>
              <w:widowControl/>
              <w:spacing w:line="240" w:lineRule="auto"/>
              <w:ind w:firstLine="560"/>
              <w:outlineLvl w:val="9"/>
              <w:rPr>
                <w:rFonts w:hint="eastAsia"/>
                <w:color w:val="auto"/>
                <w:lang w:val="en-US" w:eastAsia="zh-CN"/>
              </w:rPr>
            </w:pPr>
            <w:r>
              <w:rPr>
                <w:rFonts w:hint="eastAsia" w:ascii="宋体" w:hAnsi="宋体" w:eastAsia="宋体" w:cs="宋体"/>
                <w:b w:val="0"/>
                <w:bCs/>
                <w:color w:val="auto"/>
                <w:sz w:val="21"/>
                <w:szCs w:val="21"/>
                <w:lang w:val="en-US" w:eastAsia="zh-CN"/>
              </w:rPr>
              <w:t>2.实施项目：广西区内的堤防工程、水库工程、灌区工程、水闸工程、水利信息化工程等水利工程项目。</w:t>
            </w:r>
          </w:p>
          <w:p w14:paraId="7D967729">
            <w:pPr>
              <w:pStyle w:val="46"/>
              <w:widowControl/>
              <w:spacing w:line="240" w:lineRule="auto"/>
              <w:ind w:firstLine="56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、主要工作内容</w:t>
            </w:r>
            <w:bookmarkEnd w:id="96"/>
            <w:bookmarkEnd w:id="97"/>
            <w:bookmarkEnd w:id="98"/>
            <w:bookmarkEnd w:id="99"/>
            <w:bookmarkEnd w:id="100"/>
          </w:p>
          <w:p w14:paraId="7F825B59">
            <w:pPr>
              <w:widowControl/>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过调研区内外堤防、水库、灌区、水闸及水利信息化等各类水利工程项目的质量管理现状，借鉴区外先进经验，结合区内实际，梳理全生命周期各阶段中项目法人、市场主体及水行政主管部门的质量管理薄弱环节，提炼参建各方在不同工程类型、不同建设阶段的质量责任与行为规范，明确水行政主管部门监督职责，最终编制形成《广西水利工程建设质量管理工作手册》，全面提升广西各类水利工程建设质量。主要工作内容如下：</w:t>
            </w:r>
          </w:p>
          <w:p w14:paraId="111337F8">
            <w:pPr>
              <w:widowControl/>
              <w:spacing w:line="24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（一）编制广西水利工程建设质量管理工作手册</w:t>
            </w:r>
          </w:p>
          <w:p w14:paraId="5202B18D">
            <w:pPr>
              <w:widowControl/>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在开展区内外调研（选取</w:t>
            </w:r>
            <w:r>
              <w:rPr>
                <w:rFonts w:hint="eastAsia" w:ascii="宋体" w:hAnsi="宋体" w:eastAsia="宋体" w:cs="宋体"/>
                <w:color w:val="auto"/>
                <w:sz w:val="21"/>
                <w:szCs w:val="21"/>
                <w:highlight w:val="none"/>
              </w:rPr>
              <w:t>区外4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6个、</w:t>
            </w:r>
            <w:r>
              <w:rPr>
                <w:rFonts w:hint="eastAsia" w:ascii="宋体" w:hAnsi="宋体" w:eastAsia="宋体" w:cs="宋体"/>
                <w:color w:val="auto"/>
                <w:sz w:val="21"/>
                <w:szCs w:val="21"/>
              </w:rPr>
              <w:t>区内每类工程3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4个典型项目，通过实地考察、座谈交流及资料收集，梳理区外先进经验与区内质量管理重难点，包括传统工程关键工艺及新型信息化项目硬件验收、软件管控等痛点）的基础上，系统总结行业先进经验，结合广西地质条件、质量管理水平、工程类型（含传统与新型项目）、管理体制等实际，提出符合广西的质量管理标准与要求，具体包括：</w:t>
            </w:r>
          </w:p>
          <w:p w14:paraId="5801B208">
            <w:pPr>
              <w:widowControl/>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1.明确质量责任与行为规范</w:t>
            </w:r>
            <w:r>
              <w:rPr>
                <w:rFonts w:hint="eastAsia" w:ascii="宋体" w:hAnsi="宋体" w:cs="宋体"/>
                <w:color w:val="auto"/>
                <w:sz w:val="21"/>
                <w:szCs w:val="21"/>
                <w:lang w:eastAsia="zh-CN"/>
              </w:rPr>
              <w:t>：</w:t>
            </w:r>
            <w:r>
              <w:rPr>
                <w:rFonts w:hint="eastAsia" w:ascii="宋体" w:hAnsi="宋体" w:cs="宋体"/>
                <w:color w:val="auto"/>
                <w:szCs w:val="21"/>
              </w:rPr>
              <w:t>明确项目法人专业质量管理机构组建要求，完善工程全流程质</w:t>
            </w:r>
            <w:r>
              <w:rPr>
                <w:rFonts w:hint="eastAsia" w:ascii="宋体" w:hAnsi="宋体" w:cs="宋体"/>
                <w:color w:val="auto"/>
                <w:szCs w:val="21"/>
                <w:highlight w:val="none"/>
              </w:rPr>
              <w:t>量管理体系，界定合同各方质量权责边界。</w:t>
            </w:r>
          </w:p>
          <w:p w14:paraId="47C30C67">
            <w:pPr>
              <w:widowControl/>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2.制定分阶段、分类型质量管理标准</w:t>
            </w:r>
            <w:r>
              <w:rPr>
                <w:rFonts w:hint="eastAsia" w:ascii="宋体" w:hAnsi="宋体" w:cs="宋体"/>
                <w:color w:val="auto"/>
                <w:sz w:val="21"/>
                <w:szCs w:val="21"/>
                <w:lang w:eastAsia="zh-CN"/>
              </w:rPr>
              <w:t>：</w:t>
            </w:r>
            <w:r>
              <w:rPr>
                <w:rFonts w:hint="eastAsia" w:ascii="宋体" w:hAnsi="宋体" w:cs="宋体"/>
                <w:color w:val="auto"/>
                <w:szCs w:val="21"/>
              </w:rPr>
              <w:t>分阶段制定开工准备、施工过程、工程验收各环节统一实操标准；分类型制定堤防、水库等传统工程，及数字化灌区、智能闸坝等新型项目的专属质量管理标准。</w:t>
            </w:r>
          </w:p>
          <w:p w14:paraId="698BCC1F">
            <w:pPr>
              <w:widowControl/>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3.规范关键工艺工序质量行为</w:t>
            </w:r>
            <w:r>
              <w:rPr>
                <w:rFonts w:hint="eastAsia" w:ascii="宋体" w:hAnsi="宋体" w:cs="宋体"/>
                <w:color w:val="auto"/>
                <w:sz w:val="21"/>
                <w:szCs w:val="21"/>
                <w:lang w:val="en-US" w:eastAsia="zh-CN"/>
              </w:rPr>
              <w:t>：</w:t>
            </w:r>
            <w:r>
              <w:rPr>
                <w:rFonts w:hint="eastAsia" w:ascii="宋体" w:hAnsi="宋体" w:cs="宋体"/>
                <w:color w:val="auto"/>
                <w:szCs w:val="21"/>
              </w:rPr>
              <w:t>梳理各工程类型核心工艺工序，制定详细质量控制标准和操作规程，规范参建各方作业行为。</w:t>
            </w:r>
          </w:p>
          <w:p w14:paraId="1449B490">
            <w:pPr>
              <w:widowControl/>
              <w:spacing w:line="240" w:lineRule="auto"/>
              <w:ind w:firstLine="420" w:firstLineChars="200"/>
              <w:rPr>
                <w:rFonts w:hint="eastAsia" w:ascii="宋体" w:hAnsi="宋体" w:cs="宋体"/>
                <w:color w:val="auto"/>
                <w:szCs w:val="21"/>
              </w:rPr>
            </w:pPr>
            <w:r>
              <w:rPr>
                <w:rFonts w:hint="eastAsia" w:ascii="宋体" w:hAnsi="宋体" w:eastAsia="宋体" w:cs="宋体"/>
                <w:color w:val="auto"/>
                <w:sz w:val="21"/>
                <w:szCs w:val="21"/>
              </w:rPr>
              <w:t>4.编制符合广西实际的工作手册</w:t>
            </w:r>
            <w:r>
              <w:rPr>
                <w:rFonts w:hint="eastAsia" w:ascii="宋体" w:hAnsi="宋体" w:cs="宋体"/>
                <w:color w:val="auto"/>
                <w:sz w:val="21"/>
                <w:szCs w:val="21"/>
                <w:lang w:eastAsia="zh-CN"/>
              </w:rPr>
              <w:t>：</w:t>
            </w:r>
            <w:r>
              <w:rPr>
                <w:rFonts w:hint="eastAsia" w:ascii="宋体" w:hAnsi="宋体" w:cs="宋体"/>
                <w:color w:val="auto"/>
                <w:szCs w:val="21"/>
              </w:rPr>
              <w:t>综合上述内容，编制面向基层水利工作者的质量管理工作手册，以流程、要点、案例提供实操指导，强化质量管理落地性。</w:t>
            </w:r>
          </w:p>
          <w:p w14:paraId="404044FE">
            <w:pPr>
              <w:widowControl/>
              <w:spacing w:line="24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（二）典型项目帮扶咨询服务</w:t>
            </w:r>
          </w:p>
          <w:p w14:paraId="6A4CDEAD">
            <w:pPr>
              <w:spacing w:line="240" w:lineRule="auto"/>
              <w:ind w:firstLine="420" w:firstLineChars="200"/>
              <w:rPr>
                <w:rFonts w:hint="eastAsia" w:ascii="宋体" w:hAnsi="宋体" w:eastAsia="宋体" w:cs="宋体"/>
                <w:b/>
                <w:bCs/>
                <w:color w:val="auto"/>
                <w:sz w:val="21"/>
                <w:szCs w:val="21"/>
              </w:rPr>
            </w:pPr>
            <w:r>
              <w:rPr>
                <w:rFonts w:hint="eastAsia" w:ascii="宋体" w:hAnsi="宋体" w:cs="宋体"/>
                <w:color w:val="auto"/>
                <w:szCs w:val="21"/>
              </w:rPr>
              <w:t>2027年下半年，由采购人指定从堤防、水库、灌区、水闸及水利信息化工程中各选取1个典型项目（共5个），开展针对性质量管理帮扶咨询，以《广西水利工程建设质量管理工作手册》为核心工具，通过专项培训（解读手册中质量责任划分、行为规范及监督重点）、现场指导（对照手册标准化要求“一对一”解决开工准备、施工过程、验收等环节问题）、案例研讨（结合手册案例与项目实际质量问题分析成因及解决方案）等方式，推动手册落地，打造同类工程质量管理示范样板。</w:t>
            </w:r>
            <w:bookmarkStart w:id="101" w:name="_Toc21886"/>
            <w:bookmarkStart w:id="102" w:name="_Toc24921"/>
            <w:bookmarkStart w:id="103" w:name="_Toc32301"/>
            <w:bookmarkStart w:id="104" w:name="_Toc14829"/>
          </w:p>
          <w:p w14:paraId="4F172D32">
            <w:pPr>
              <w:spacing w:line="24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"_Toc352771888" </w:instrText>
            </w:r>
            <w:r>
              <w:rPr>
                <w:rFonts w:hint="eastAsia" w:ascii="宋体" w:hAnsi="宋体" w:eastAsia="宋体" w:cs="宋体"/>
                <w:b/>
                <w:bCs/>
                <w:color w:val="auto"/>
                <w:sz w:val="21"/>
                <w:szCs w:val="21"/>
              </w:rPr>
              <w:fldChar w:fldCharType="separate"/>
            </w:r>
            <w:bookmarkStart w:id="105" w:name="_Toc150191977"/>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rPr>
              <w:t>、主要成果</w:t>
            </w:r>
            <w:bookmarkEnd w:id="105"/>
            <w:r>
              <w:rPr>
                <w:rFonts w:hint="eastAsia" w:ascii="宋体" w:hAnsi="宋体" w:eastAsia="宋体" w:cs="宋体"/>
                <w:b/>
                <w:bCs/>
                <w:color w:val="auto"/>
                <w:sz w:val="21"/>
                <w:szCs w:val="21"/>
              </w:rPr>
              <w:fldChar w:fldCharType="end"/>
            </w:r>
            <w:bookmarkEnd w:id="101"/>
            <w:bookmarkEnd w:id="102"/>
            <w:bookmarkEnd w:id="103"/>
            <w:bookmarkEnd w:id="104"/>
          </w:p>
          <w:p w14:paraId="5EB7AF1E">
            <w:pPr>
              <w:spacing w:line="240" w:lineRule="auto"/>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完成《广西水利工程建设质量管理工作手册》，形成《广西水利工程建设质量管理工作手册》系列分册，包括：《堤防工程分册》、《水库工程分册》（含水库除险加固工程、新建水库工程）、《灌区工程分册》（含新建灌区工程、灌区改造工程）、《水闸工程分册》、《水利信息化工程建设质量管理工作手册》（含计算机监控系统、水情监测系统、水质监测系统、安全监测系统、视频监视系统、通信系统、数据中心及软件系统部分）。成果文件提交word格式电子文档（刻录光盘）6份，印刷装订6份，采购人根据需要可适量增加。</w:t>
            </w:r>
            <w:bookmarkStart w:id="106" w:name="_Toc20095"/>
            <w:bookmarkStart w:id="107" w:name="_Toc14476"/>
            <w:bookmarkStart w:id="108" w:name="_Toc24390"/>
            <w:bookmarkStart w:id="109" w:name="_Toc8076"/>
          </w:p>
          <w:p w14:paraId="512921D2">
            <w:pPr>
              <w:spacing w:line="24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"_Toc352771890" </w:instrText>
            </w:r>
            <w:r>
              <w:rPr>
                <w:rFonts w:hint="eastAsia" w:ascii="宋体" w:hAnsi="宋体" w:eastAsia="宋体" w:cs="宋体"/>
                <w:b/>
                <w:bCs/>
                <w:color w:val="auto"/>
                <w:sz w:val="21"/>
                <w:szCs w:val="21"/>
              </w:rPr>
              <w:fldChar w:fldCharType="separate"/>
            </w:r>
            <w:bookmarkStart w:id="110" w:name="_Toc150191979"/>
            <w:r>
              <w:rPr>
                <w:rFonts w:hint="eastAsia" w:ascii="宋体" w:hAnsi="宋体" w:eastAsia="宋体" w:cs="宋体"/>
                <w:b/>
                <w:bCs/>
                <w:color w:val="auto"/>
                <w:sz w:val="21"/>
                <w:szCs w:val="21"/>
                <w:lang w:val="en-US" w:eastAsia="zh-CN"/>
              </w:rPr>
              <w:t>五</w:t>
            </w:r>
            <w:r>
              <w:rPr>
                <w:rFonts w:hint="eastAsia" w:ascii="宋体" w:hAnsi="宋体" w:eastAsia="宋体" w:cs="宋体"/>
                <w:b/>
                <w:bCs/>
                <w:color w:val="auto"/>
                <w:sz w:val="21"/>
                <w:szCs w:val="21"/>
              </w:rPr>
              <w:t>、工作进度</w:t>
            </w:r>
            <w:r>
              <w:rPr>
                <w:rFonts w:hint="eastAsia" w:ascii="宋体" w:hAnsi="宋体" w:eastAsia="宋体" w:cs="宋体"/>
                <w:b/>
                <w:bCs/>
                <w:color w:val="auto"/>
                <w:sz w:val="21"/>
                <w:szCs w:val="21"/>
              </w:rPr>
              <w:fldChar w:fldCharType="end"/>
            </w:r>
            <w:bookmarkEnd w:id="106"/>
            <w:bookmarkEnd w:id="107"/>
            <w:bookmarkEnd w:id="110"/>
            <w:r>
              <w:rPr>
                <w:rFonts w:hint="eastAsia" w:ascii="宋体" w:hAnsi="宋体" w:eastAsia="宋体" w:cs="宋体"/>
                <w:b/>
                <w:bCs/>
                <w:color w:val="auto"/>
                <w:sz w:val="21"/>
                <w:szCs w:val="21"/>
              </w:rPr>
              <w:t>要求</w:t>
            </w:r>
            <w:bookmarkEnd w:id="108"/>
            <w:bookmarkEnd w:id="109"/>
          </w:p>
          <w:p w14:paraId="5560A2CC">
            <w:pPr>
              <w:widowControl/>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1.2026年3月至2026年12月</w:t>
            </w:r>
          </w:p>
          <w:p w14:paraId="49A6925F">
            <w:pPr>
              <w:widowControl/>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开展堤防、水库、灌区及水利信息化工程（部分）的质量管理调研，分析区外先进办法，梳理先进经验与区内问题；编制《堤防工程分册》、《水库工程分册》、《灌区工程分册》。</w:t>
            </w:r>
          </w:p>
          <w:p w14:paraId="5B00000C">
            <w:pPr>
              <w:widowControl/>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2.2027年1月至2027年12月</w:t>
            </w:r>
          </w:p>
          <w:p w14:paraId="4A45357D">
            <w:pPr>
              <w:widowControl/>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展水闸及水利信息化工程（其余部分）的质量管理调研，研究区外先进办法，梳理先进经验与区内问题；编制《水闸工程分册》及《水利信息化工程建设质量管理工作手册》各部分，完成典型项目帮扶咨询服务，完成成果验收与完善。</w:t>
            </w:r>
          </w:p>
        </w:tc>
      </w:tr>
    </w:tbl>
    <w:p w14:paraId="3657820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商务要求</w:t>
      </w:r>
      <w:bookmarkEnd w:id="85"/>
    </w:p>
    <w:tbl>
      <w:tblPr>
        <w:tblStyle w:val="26"/>
        <w:tblW w:w="86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3"/>
        <w:gridCol w:w="6342"/>
      </w:tblGrid>
      <w:tr w14:paraId="7C9C4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14:paraId="4A5CF16D">
            <w:pPr>
              <w:widowControl/>
              <w:spacing w:line="240" w:lineRule="auto"/>
              <w:jc w:val="center"/>
              <w:rPr>
                <w:rFonts w:hint="eastAsia" w:ascii="宋体" w:hAnsi="宋体" w:eastAsia="宋体" w:cs="宋体"/>
                <w:color w:val="auto"/>
                <w:sz w:val="21"/>
                <w:szCs w:val="21"/>
              </w:rPr>
            </w:pPr>
            <w:r>
              <w:rPr>
                <w:rFonts w:hint="eastAsia" w:ascii="宋体" w:hAnsi="宋体" w:eastAsia="宋体" w:cs="宋体"/>
                <w:b/>
                <w:color w:val="auto"/>
                <w:sz w:val="21"/>
                <w:szCs w:val="21"/>
              </w:rPr>
              <w:t>▲</w:t>
            </w:r>
            <w:r>
              <w:rPr>
                <w:rFonts w:hint="eastAsia" w:ascii="宋体" w:hAnsi="宋体" w:eastAsia="宋体" w:cs="宋体"/>
                <w:color w:val="auto"/>
                <w:sz w:val="21"/>
                <w:szCs w:val="21"/>
              </w:rPr>
              <w:t>一、合同签订期</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13A2AA39">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自成交通知书发出之日起</w:t>
            </w:r>
            <w:r>
              <w:rPr>
                <w:rFonts w:hint="eastAsia" w:ascii="宋体" w:hAnsi="宋体" w:eastAsia="宋体" w:cs="宋体"/>
                <w:color w:val="auto"/>
                <w:sz w:val="21"/>
                <w:szCs w:val="21"/>
                <w:u w:val="single"/>
              </w:rPr>
              <w:t>25</w:t>
            </w:r>
            <w:r>
              <w:rPr>
                <w:rFonts w:hint="eastAsia" w:ascii="宋体" w:hAnsi="宋体" w:eastAsia="宋体" w:cs="宋体"/>
                <w:color w:val="auto"/>
                <w:sz w:val="21"/>
                <w:szCs w:val="21"/>
              </w:rPr>
              <w:t>日内。</w:t>
            </w:r>
          </w:p>
        </w:tc>
      </w:tr>
      <w:tr w14:paraId="6A0C4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14:paraId="1208E084">
            <w:pPr>
              <w:widowControl/>
              <w:spacing w:line="240" w:lineRule="auto"/>
              <w:jc w:val="center"/>
              <w:rPr>
                <w:rFonts w:hint="eastAsia" w:ascii="宋体" w:hAnsi="宋体" w:eastAsia="宋体" w:cs="宋体"/>
                <w:color w:val="auto"/>
                <w:sz w:val="21"/>
                <w:szCs w:val="21"/>
              </w:rPr>
            </w:pPr>
            <w:r>
              <w:rPr>
                <w:rFonts w:hint="eastAsia" w:ascii="宋体" w:hAnsi="宋体" w:eastAsia="宋体" w:cs="宋体"/>
                <w:b/>
                <w:color w:val="auto"/>
                <w:sz w:val="21"/>
                <w:szCs w:val="21"/>
              </w:rPr>
              <w:t>▲</w:t>
            </w:r>
            <w:r>
              <w:rPr>
                <w:rFonts w:hint="eastAsia" w:ascii="宋体" w:hAnsi="宋体" w:eastAsia="宋体" w:cs="宋体"/>
                <w:color w:val="auto"/>
                <w:sz w:val="21"/>
                <w:szCs w:val="21"/>
              </w:rPr>
              <w:t>二、合同履约期限</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6BF5CBF1">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自合同签订之日起至202</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年1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月30日，按采购人要求提交编制成果及完成合同履约验收。</w:t>
            </w:r>
          </w:p>
        </w:tc>
      </w:tr>
      <w:tr w14:paraId="14EE1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14:paraId="37796F88">
            <w:pPr>
              <w:widowControl/>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三、服务地点</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6FB81B5A">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广西壮族自治区内采购人指定地点。</w:t>
            </w:r>
          </w:p>
        </w:tc>
      </w:tr>
      <w:tr w14:paraId="37CA3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14:paraId="16B1F316">
            <w:pPr>
              <w:widowControl/>
              <w:spacing w:line="240" w:lineRule="auto"/>
              <w:jc w:val="center"/>
              <w:rPr>
                <w:rFonts w:hint="eastAsia" w:ascii="宋体" w:hAnsi="宋体" w:eastAsia="宋体" w:cs="宋体"/>
                <w:color w:val="auto"/>
                <w:sz w:val="21"/>
                <w:szCs w:val="21"/>
              </w:rPr>
            </w:pPr>
            <w:r>
              <w:rPr>
                <w:rFonts w:hint="eastAsia" w:ascii="宋体" w:hAnsi="宋体" w:eastAsia="宋体" w:cs="宋体"/>
                <w:b/>
                <w:color w:val="auto"/>
                <w:sz w:val="21"/>
                <w:szCs w:val="21"/>
              </w:rPr>
              <w:t>▲</w:t>
            </w:r>
            <w:r>
              <w:rPr>
                <w:rFonts w:hint="eastAsia" w:ascii="宋体" w:hAnsi="宋体" w:eastAsia="宋体" w:cs="宋体"/>
                <w:bCs/>
                <w:color w:val="auto"/>
                <w:sz w:val="21"/>
                <w:szCs w:val="21"/>
              </w:rPr>
              <w:t>四、</w:t>
            </w:r>
            <w:r>
              <w:rPr>
                <w:rFonts w:hint="eastAsia" w:ascii="宋体" w:hAnsi="宋体" w:eastAsia="宋体" w:cs="宋体"/>
                <w:color w:val="auto"/>
                <w:sz w:val="21"/>
                <w:szCs w:val="21"/>
              </w:rPr>
              <w:t>付款方式</w:t>
            </w:r>
          </w:p>
        </w:tc>
        <w:tc>
          <w:tcPr>
            <w:tcW w:w="6342" w:type="dxa"/>
            <w:tcBorders>
              <w:top w:val="single" w:color="auto" w:sz="4" w:space="0"/>
              <w:left w:val="single" w:color="auto" w:sz="4" w:space="0"/>
              <w:bottom w:val="single" w:color="auto" w:sz="4" w:space="0"/>
              <w:right w:val="single" w:color="auto" w:sz="4" w:space="0"/>
            </w:tcBorders>
            <w:noWrap w:val="0"/>
            <w:vAlign w:val="top"/>
          </w:tcPr>
          <w:p w14:paraId="261C3DBC">
            <w:pPr>
              <w:spacing w:line="240" w:lineRule="auto"/>
              <w:ind w:firstLine="420" w:firstLineChars="200"/>
              <w:rPr>
                <w:rFonts w:hint="eastAsia" w:ascii="宋体" w:hAnsi="宋体" w:cs="宋体"/>
                <w:color w:val="auto"/>
                <w:szCs w:val="21"/>
              </w:rPr>
            </w:pPr>
            <w:r>
              <w:rPr>
                <w:rFonts w:hint="eastAsia" w:ascii="宋体" w:hAnsi="宋体" w:cs="宋体"/>
                <w:color w:val="auto"/>
                <w:szCs w:val="21"/>
              </w:rPr>
              <w:t>本项目服务费用分两年支付，其中2026年支付金额为50万元，2027年支付合同余额，具体支付方式和时间如下：</w:t>
            </w:r>
          </w:p>
          <w:p w14:paraId="0E3CA4F0">
            <w:pPr>
              <w:spacing w:line="240" w:lineRule="auto"/>
              <w:ind w:firstLine="420" w:firstLineChars="200"/>
              <w:rPr>
                <w:rFonts w:hint="eastAsia" w:ascii="宋体" w:hAnsi="宋体" w:cs="宋体"/>
                <w:color w:val="auto"/>
                <w:szCs w:val="21"/>
              </w:rPr>
            </w:pPr>
            <w:r>
              <w:rPr>
                <w:rFonts w:hint="eastAsia" w:ascii="宋体" w:hAnsi="宋体" w:cs="宋体"/>
                <w:color w:val="auto"/>
                <w:szCs w:val="21"/>
              </w:rPr>
              <w:t>1.合同签订后10个工作日内，采购人向成交供应商支付合同金额的30%作为预付款；</w:t>
            </w:r>
          </w:p>
          <w:p w14:paraId="6E7E1450">
            <w:pPr>
              <w:spacing w:line="240" w:lineRule="auto"/>
              <w:ind w:firstLine="420" w:firstLineChars="200"/>
              <w:rPr>
                <w:rFonts w:hint="eastAsia" w:ascii="宋体" w:hAnsi="宋体" w:cs="宋体"/>
                <w:color w:val="auto"/>
                <w:szCs w:val="21"/>
              </w:rPr>
            </w:pPr>
            <w:r>
              <w:rPr>
                <w:rFonts w:hint="eastAsia" w:ascii="宋体" w:hAnsi="宋体" w:cs="宋体"/>
                <w:color w:val="auto"/>
                <w:szCs w:val="21"/>
              </w:rPr>
              <w:t>2.2026年12月底前，完成堤防、水库、灌区及水利信息化工程（部分）的质量管理调研工作及《堤防工程分册》、《水库工程分册》、《灌区工程分册》编制工作，并提交《堤防工程分册》、《水库工程分册》、《灌区工程分册》最终成果文件后10个工作日内，采购人向成交供应商支付当年预算的剩余部分；</w:t>
            </w:r>
          </w:p>
          <w:p w14:paraId="750955DF">
            <w:pPr>
              <w:spacing w:line="240" w:lineRule="auto"/>
              <w:ind w:firstLine="420" w:firstLineChars="200"/>
              <w:rPr>
                <w:rFonts w:hint="eastAsia" w:ascii="宋体" w:hAnsi="宋体" w:cs="宋体"/>
                <w:color w:val="auto"/>
                <w:szCs w:val="21"/>
              </w:rPr>
            </w:pPr>
            <w:r>
              <w:rPr>
                <w:rFonts w:hint="eastAsia" w:ascii="宋体" w:hAnsi="宋体" w:cs="宋体"/>
                <w:color w:val="auto"/>
                <w:szCs w:val="21"/>
              </w:rPr>
              <w:t>3.2027年3月底前，完成水闸、水利信息化工程（其余部分）的质量管理调研工作，提交调研报告，支付剩余合同款项的50%；</w:t>
            </w:r>
          </w:p>
          <w:p w14:paraId="12E43177">
            <w:pPr>
              <w:spacing w:line="240" w:lineRule="auto"/>
              <w:ind w:firstLine="420" w:firstLineChars="200"/>
              <w:rPr>
                <w:rFonts w:hint="eastAsia" w:ascii="宋体" w:hAnsi="宋体" w:cs="宋体"/>
                <w:color w:val="auto"/>
                <w:szCs w:val="21"/>
              </w:rPr>
            </w:pPr>
            <w:r>
              <w:rPr>
                <w:rFonts w:hint="eastAsia" w:ascii="宋体" w:hAnsi="宋体" w:cs="宋体"/>
                <w:color w:val="auto"/>
                <w:szCs w:val="21"/>
              </w:rPr>
              <w:t>4.2027年12月底前，完成《水闸工程分册》及《水利信息化工程建设质量管理工作手册》各部分的编制工作，提交《水闸工程分册》及《水利信息化工程建设质量管理工作手册》各部分的最终成果文件，并通过验收后10个工作日内，采购人向成交供应商支付合同余款。</w:t>
            </w:r>
          </w:p>
          <w:p w14:paraId="657CD09D">
            <w:pPr>
              <w:spacing w:line="240" w:lineRule="auto"/>
              <w:ind w:firstLine="420" w:firstLineChars="200"/>
              <w:rPr>
                <w:rFonts w:hint="eastAsia" w:ascii="宋体" w:hAnsi="宋体" w:eastAsia="宋体" w:cs="宋体"/>
                <w:color w:val="auto"/>
                <w:sz w:val="21"/>
                <w:szCs w:val="21"/>
              </w:rPr>
            </w:pPr>
            <w:r>
              <w:rPr>
                <w:rFonts w:hint="eastAsia" w:ascii="宋体" w:hAnsi="宋体" w:cs="宋体"/>
                <w:color w:val="auto"/>
                <w:szCs w:val="21"/>
              </w:rPr>
              <w:t>注：合同款项支付时，成交供应商应提供相应数额的合格发票、请款函、进度证明材料等；否则采购人有权不予支付相应款项，并不承担延迟付款责任。</w:t>
            </w:r>
          </w:p>
        </w:tc>
      </w:tr>
      <w:tr w14:paraId="30FCA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14:paraId="1CAF65D3">
            <w:pPr>
              <w:widowControl/>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五、验收要求</w:t>
            </w:r>
          </w:p>
        </w:tc>
        <w:tc>
          <w:tcPr>
            <w:tcW w:w="6342" w:type="dxa"/>
            <w:tcBorders>
              <w:top w:val="single" w:color="auto" w:sz="4" w:space="0"/>
              <w:left w:val="single" w:color="auto" w:sz="4" w:space="0"/>
              <w:bottom w:val="single" w:color="auto" w:sz="4" w:space="0"/>
              <w:right w:val="single" w:color="auto" w:sz="4" w:space="0"/>
            </w:tcBorders>
            <w:noWrap w:val="0"/>
            <w:vAlign w:val="top"/>
          </w:tcPr>
          <w:p w14:paraId="057DF23D">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验收标准、规范：按照《关于印发广西壮族自治区政府采购项目履约验收管理办法的通知》（桂财采〔2015〕22号）、《财政部关于进一步加强政府采购需求和履约验收管理的指导意见》（财库〔2016〕205号）等有关规定执行，并符合相关国家标准、行业标准、地方标准或其他强制性标准及规范、响应文件承诺及采购文件要求。</w:t>
            </w:r>
          </w:p>
          <w:p w14:paraId="37380F43">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2.成交供应商须无条件配合按照采购人的内控规定开展项目审查及验收等工作，验收所需费用由成交供应商负责。</w:t>
            </w:r>
          </w:p>
        </w:tc>
      </w:tr>
      <w:tr w14:paraId="050BB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14:paraId="51F648D6">
            <w:pPr>
              <w:widowControl/>
              <w:spacing w:line="240" w:lineRule="auto"/>
              <w:jc w:val="center"/>
              <w:rPr>
                <w:rFonts w:hint="eastAsia" w:ascii="宋体" w:hAnsi="宋体" w:eastAsia="宋体" w:cs="宋体"/>
                <w:color w:val="auto"/>
                <w:sz w:val="21"/>
                <w:szCs w:val="21"/>
              </w:rPr>
            </w:pPr>
            <w:r>
              <w:rPr>
                <w:rFonts w:hint="eastAsia" w:ascii="宋体" w:hAnsi="宋体" w:eastAsia="宋体" w:cs="宋体"/>
                <w:b/>
                <w:color w:val="auto"/>
                <w:sz w:val="21"/>
                <w:szCs w:val="21"/>
              </w:rPr>
              <w:t>▲</w:t>
            </w:r>
            <w:r>
              <w:rPr>
                <w:rFonts w:hint="eastAsia" w:ascii="宋体" w:hAnsi="宋体" w:eastAsia="宋体" w:cs="宋体"/>
                <w:color w:val="auto"/>
                <w:sz w:val="21"/>
                <w:szCs w:val="21"/>
              </w:rPr>
              <w:t>六、后续服务要求</w:t>
            </w:r>
          </w:p>
        </w:tc>
        <w:tc>
          <w:tcPr>
            <w:tcW w:w="6342" w:type="dxa"/>
            <w:tcBorders>
              <w:top w:val="single" w:color="auto" w:sz="4" w:space="0"/>
              <w:left w:val="single" w:color="auto" w:sz="4" w:space="0"/>
              <w:bottom w:val="single" w:color="auto" w:sz="4" w:space="0"/>
              <w:right w:val="single" w:color="auto" w:sz="4" w:space="0"/>
            </w:tcBorders>
            <w:noWrap w:val="0"/>
            <w:vAlign w:val="top"/>
          </w:tcPr>
          <w:p w14:paraId="14716D17">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1.成交供应商根据专家评审会、对接会、协调会、上级审核要求等意见修改完善相关成果及报送。</w:t>
            </w:r>
          </w:p>
          <w:p w14:paraId="37C89678">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2.在服务期内，当行业标准、技术规范发生改变时，成交供应商须修改相关内容，并承担由此产生的全部费用。</w:t>
            </w:r>
          </w:p>
          <w:p w14:paraId="1EF89AEA">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3.在服务期限内，成交供应商提供7×24小时电话服务。</w:t>
            </w:r>
          </w:p>
          <w:p w14:paraId="7F2357F3">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4.接到采购人项目后续需要供应商配合工作（如成果应用中使用问题等）的通知后24小时内响应，及时安排技术人员对接采购人进行处理。</w:t>
            </w:r>
          </w:p>
          <w:p w14:paraId="0B7FC9C0">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5.成交供应商有义务随时向采购人解释所有成果内容。</w:t>
            </w:r>
          </w:p>
        </w:tc>
      </w:tr>
      <w:tr w14:paraId="1DF62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14:paraId="58D7E571">
            <w:pPr>
              <w:widowControl/>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七、报价要求</w:t>
            </w:r>
          </w:p>
        </w:tc>
        <w:tc>
          <w:tcPr>
            <w:tcW w:w="6342" w:type="dxa"/>
            <w:tcBorders>
              <w:top w:val="single" w:color="auto" w:sz="4" w:space="0"/>
              <w:left w:val="single" w:color="auto" w:sz="4" w:space="0"/>
              <w:bottom w:val="single" w:color="auto" w:sz="4" w:space="0"/>
              <w:right w:val="single" w:color="auto" w:sz="4" w:space="0"/>
            </w:tcBorders>
            <w:noWrap w:val="0"/>
            <w:vAlign w:val="top"/>
          </w:tcPr>
          <w:p w14:paraId="3018E41D">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竞标报价为完成采购人指定服务全部内容的报价，即履行合同的最终价格，包括供应商完成本项目所需的一切工作内容而发生的所有直接费用、间接费用、其他费用、税金等全部费用和供应商要求获得的利润以及应由供应商承担的义务、责任和风险所发生的一切费用。</w:t>
            </w:r>
          </w:p>
          <w:p w14:paraId="48F5BCBB">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2.竞标报价不得高于采购预算。</w:t>
            </w:r>
          </w:p>
          <w:p w14:paraId="44D54416">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3.本项目涉及所有资金往来的币种为人民币。</w:t>
            </w:r>
          </w:p>
          <w:p w14:paraId="69300E24">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4.竞标报价中应包含本项目采购代理服务费。</w:t>
            </w:r>
          </w:p>
          <w:p w14:paraId="64F09586">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5.供应商应充分考虑由于国家政策变化、自然灾害、战争等不可抗力因素造成本合同中断引起损失风险。</w:t>
            </w:r>
          </w:p>
        </w:tc>
      </w:tr>
      <w:tr w14:paraId="617A7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14:paraId="64478753">
            <w:pPr>
              <w:widowControl/>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八、采购人其他要求</w:t>
            </w:r>
          </w:p>
        </w:tc>
        <w:tc>
          <w:tcPr>
            <w:tcW w:w="6342" w:type="dxa"/>
            <w:tcBorders>
              <w:top w:val="single" w:color="auto" w:sz="4" w:space="0"/>
              <w:left w:val="single" w:color="auto" w:sz="4" w:space="0"/>
              <w:bottom w:val="single" w:color="auto" w:sz="4" w:space="0"/>
              <w:right w:val="single" w:color="auto" w:sz="4" w:space="0"/>
            </w:tcBorders>
            <w:noWrap w:val="0"/>
            <w:vAlign w:val="top"/>
          </w:tcPr>
          <w:p w14:paraId="346A457D">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供应商应保证针对本项目的服务（或货物）所涉及的知识产权和所提供的相关技术资料是合法取得，并享有完整的知识产权，不会因为采购人的使用而被责令停止使用、追偿或要求赔偿损失，如出现此情况，一切经济和法律责任均由投标人承担。</w:t>
            </w:r>
          </w:p>
          <w:p w14:paraId="783F4B04">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2.知识产权归属：本次项目成果归采购人所有，成交供应商不得擅自对外发表、出版。</w:t>
            </w:r>
          </w:p>
          <w:p w14:paraId="19B61434">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3.成交供应商有义务随时向采购人解释所有成果内容。</w:t>
            </w:r>
          </w:p>
          <w:p w14:paraId="4A5FFEDB">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保密要求：成交供应商的工作人员应对本项目中接触到的采购人所有的知识产权、商业秘密、技术成果等信息负保密义务。未经采购人书面同意，不得向社会公众或第三方通过任何途径出示、泄露，不得许可使用，不得对上述信息进行复制、传播、销售；保证不向外泄漏任何相关数据，不向外泄漏任何保密的技术资料。如出现工作人员泄密事件，成交供应商应负有连带责任。</w:t>
            </w:r>
          </w:p>
        </w:tc>
      </w:tr>
    </w:tbl>
    <w:p w14:paraId="54FBAADC">
      <w:pPr>
        <w:bidi w:val="0"/>
        <w:rPr>
          <w:rFonts w:hint="eastAsia" w:ascii="宋体" w:hAnsi="宋体" w:eastAsia="宋体" w:cs="宋体"/>
          <w:color w:val="auto"/>
          <w:sz w:val="21"/>
          <w:szCs w:val="21"/>
          <w:lang w:val="en-US" w:eastAsia="zh-CN"/>
        </w:rPr>
      </w:pPr>
    </w:p>
    <w:p w14:paraId="590FDB6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宋体" w:hAnsi="宋体" w:eastAsia="宋体" w:cs="宋体"/>
          <w:b/>
          <w:bCs/>
          <w:color w:val="auto"/>
          <w:sz w:val="24"/>
          <w:szCs w:val="24"/>
          <w:lang w:val="en-US" w:eastAsia="zh-CN"/>
        </w:rPr>
      </w:pPr>
      <w:bookmarkStart w:id="111" w:name="_Toc15375"/>
      <w:r>
        <w:rPr>
          <w:rFonts w:hint="eastAsia" w:ascii="宋体" w:hAnsi="宋体" w:eastAsia="宋体" w:cs="宋体"/>
          <w:b/>
          <w:bCs/>
          <w:color w:val="auto"/>
          <w:sz w:val="24"/>
          <w:szCs w:val="24"/>
          <w:lang w:val="en-US" w:eastAsia="zh-CN"/>
        </w:rPr>
        <w:t>三、与实现项目目标相关的其他要求</w:t>
      </w:r>
      <w:bookmarkEnd w:id="111"/>
    </w:p>
    <w:tbl>
      <w:tblPr>
        <w:tblStyle w:val="26"/>
        <w:tblW w:w="4893" w:type="pct"/>
        <w:jc w:val="center"/>
        <w:tblLayout w:type="fixed"/>
        <w:tblCellMar>
          <w:top w:w="0" w:type="dxa"/>
          <w:left w:w="108" w:type="dxa"/>
          <w:bottom w:w="0" w:type="dxa"/>
          <w:right w:w="108" w:type="dxa"/>
        </w:tblCellMar>
      </w:tblPr>
      <w:tblGrid>
        <w:gridCol w:w="2116"/>
        <w:gridCol w:w="6751"/>
      </w:tblGrid>
      <w:tr w14:paraId="0DE4A888">
        <w:trPr>
          <w:trHeight w:val="397" w:hRule="atLeast"/>
          <w:jc w:val="center"/>
        </w:trPr>
        <w:tc>
          <w:tcPr>
            <w:tcW w:w="2116" w:type="dxa"/>
            <w:tcBorders>
              <w:top w:val="single" w:color="auto" w:sz="4" w:space="0"/>
              <w:left w:val="single" w:color="auto" w:sz="4" w:space="0"/>
              <w:bottom w:val="single" w:color="auto" w:sz="4" w:space="0"/>
              <w:right w:val="single" w:color="auto" w:sz="4" w:space="0"/>
            </w:tcBorders>
            <w:noWrap/>
            <w:vAlign w:val="center"/>
          </w:tcPr>
          <w:p w14:paraId="737B4479">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服务方案</w:t>
            </w:r>
          </w:p>
        </w:tc>
        <w:tc>
          <w:tcPr>
            <w:tcW w:w="6751" w:type="dxa"/>
            <w:tcBorders>
              <w:top w:val="single" w:color="auto" w:sz="4" w:space="0"/>
              <w:left w:val="single" w:color="auto" w:sz="4" w:space="0"/>
              <w:bottom w:val="single" w:color="auto" w:sz="4" w:space="0"/>
              <w:right w:val="single" w:color="auto" w:sz="4" w:space="0"/>
            </w:tcBorders>
            <w:noWrap/>
            <w:vAlign w:val="center"/>
          </w:tcPr>
          <w:p w14:paraId="621B0517">
            <w:pPr>
              <w:keepNext w:val="0"/>
              <w:keepLines w:val="0"/>
              <w:pageBreakBefore w:val="0"/>
              <w:kinsoku/>
              <w:wordWrap/>
              <w:overflowPunct/>
              <w:topLinePunct w:val="0"/>
              <w:autoSpaceDE/>
              <w:autoSpaceDN/>
              <w:bidi w:val="0"/>
              <w:adjustRightInd/>
              <w:spacing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供应商</w:t>
            </w:r>
            <w:r>
              <w:rPr>
                <w:rFonts w:hint="eastAsia" w:ascii="宋体" w:hAnsi="宋体" w:eastAsia="宋体" w:cs="宋体"/>
                <w:bCs/>
                <w:color w:val="auto"/>
                <w:sz w:val="21"/>
                <w:szCs w:val="21"/>
              </w:rPr>
              <w:t>根据自身情况，结合</w:t>
            </w:r>
            <w:r>
              <w:rPr>
                <w:rFonts w:hint="eastAsia" w:ascii="宋体" w:hAnsi="宋体" w:eastAsia="宋体" w:cs="宋体"/>
                <w:bCs/>
                <w:color w:val="auto"/>
                <w:sz w:val="21"/>
                <w:szCs w:val="21"/>
                <w:lang w:val="en-US" w:eastAsia="zh-CN"/>
              </w:rPr>
              <w:t>采购</w:t>
            </w:r>
            <w:r>
              <w:rPr>
                <w:rFonts w:hint="eastAsia" w:ascii="宋体" w:hAnsi="宋体" w:eastAsia="宋体" w:cs="宋体"/>
                <w:bCs/>
                <w:color w:val="auto"/>
                <w:sz w:val="21"/>
                <w:szCs w:val="21"/>
              </w:rPr>
              <w:t>需求及</w:t>
            </w:r>
            <w:r>
              <w:rPr>
                <w:rFonts w:hint="eastAsia" w:ascii="宋体" w:hAnsi="宋体" w:eastAsia="宋体" w:cs="宋体"/>
                <w:bCs/>
                <w:color w:val="auto"/>
                <w:sz w:val="21"/>
                <w:szCs w:val="21"/>
                <w:lang w:val="en-US" w:eastAsia="zh-CN"/>
              </w:rPr>
              <w:t>评审</w:t>
            </w:r>
            <w:r>
              <w:rPr>
                <w:rFonts w:hint="eastAsia" w:ascii="宋体" w:hAnsi="宋体" w:eastAsia="宋体" w:cs="宋体"/>
                <w:bCs/>
                <w:color w:val="auto"/>
                <w:sz w:val="21"/>
                <w:szCs w:val="21"/>
              </w:rPr>
              <w:t>办法提供针对</w:t>
            </w:r>
            <w:r>
              <w:rPr>
                <w:rFonts w:hint="eastAsia" w:ascii="宋体" w:hAnsi="宋体" w:eastAsia="宋体" w:cs="宋体"/>
                <w:bCs/>
                <w:color w:val="auto"/>
                <w:sz w:val="21"/>
                <w:szCs w:val="21"/>
                <w:highlight w:val="none"/>
              </w:rPr>
              <w:t>对项目的总体认识和理</w:t>
            </w:r>
            <w:r>
              <w:rPr>
                <w:rFonts w:hint="eastAsia" w:ascii="宋体" w:hAnsi="宋体" w:eastAsia="宋体" w:cs="宋体"/>
                <w:bCs/>
                <w:color w:val="auto"/>
                <w:sz w:val="21"/>
                <w:szCs w:val="21"/>
              </w:rPr>
              <w:t>、实施方案、</w:t>
            </w:r>
            <w:r>
              <w:rPr>
                <w:rFonts w:hint="eastAsia" w:hAnsi="宋体" w:cs="宋体"/>
                <w:bCs/>
                <w:color w:val="auto"/>
                <w:sz w:val="21"/>
                <w:szCs w:val="21"/>
                <w:highlight w:val="none"/>
                <w:lang w:val="en-US" w:eastAsia="zh-CN"/>
              </w:rPr>
              <w:t>项目进度控制措施</w:t>
            </w:r>
            <w:r>
              <w:rPr>
                <w:rFonts w:hint="eastAsia" w:ascii="宋体" w:hAnsi="宋体" w:eastAsia="宋体" w:cs="宋体"/>
                <w:bCs/>
                <w:color w:val="auto"/>
                <w:kern w:val="0"/>
                <w:sz w:val="21"/>
                <w:szCs w:val="21"/>
                <w:highlight w:val="none"/>
                <w:lang w:val="en-US" w:eastAsia="zh-CN"/>
              </w:rPr>
              <w:t>等内容。</w:t>
            </w:r>
          </w:p>
          <w:p w14:paraId="2061388D">
            <w:pPr>
              <w:keepNext w:val="0"/>
              <w:keepLines w:val="0"/>
              <w:pageBreakBefore w:val="0"/>
              <w:kinsoku/>
              <w:wordWrap/>
              <w:overflowPunct/>
              <w:topLinePunct w:val="0"/>
              <w:autoSpaceDE/>
              <w:autoSpaceDN/>
              <w:bidi w:val="0"/>
              <w:adjustRightInd/>
              <w:spacing w:line="240" w:lineRule="auto"/>
              <w:ind w:firstLine="420" w:firstLineChars="200"/>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sz w:val="21"/>
                <w:szCs w:val="21"/>
              </w:rPr>
              <w:t>2.</w:t>
            </w:r>
            <w:r>
              <w:rPr>
                <w:rFonts w:hint="eastAsia" w:ascii="宋体" w:hAnsi="宋体" w:eastAsia="宋体" w:cs="宋体"/>
                <w:bCs/>
                <w:color w:val="auto"/>
                <w:sz w:val="21"/>
                <w:szCs w:val="21"/>
                <w:lang w:val="en-US" w:eastAsia="zh-CN"/>
              </w:rPr>
              <w:t>服务</w:t>
            </w:r>
            <w:r>
              <w:rPr>
                <w:rFonts w:hint="eastAsia" w:ascii="宋体" w:hAnsi="宋体" w:eastAsia="宋体" w:cs="宋体"/>
                <w:bCs/>
                <w:color w:val="auto"/>
                <w:sz w:val="21"/>
                <w:szCs w:val="21"/>
              </w:rPr>
              <w:t>方案由</w:t>
            </w:r>
            <w:r>
              <w:rPr>
                <w:rFonts w:hint="eastAsia" w:ascii="宋体" w:hAnsi="宋体" w:eastAsia="宋体" w:cs="宋体"/>
                <w:bCs/>
                <w:color w:val="auto"/>
                <w:sz w:val="21"/>
                <w:szCs w:val="21"/>
                <w:lang w:val="en-US" w:eastAsia="zh-CN"/>
              </w:rPr>
              <w:t>供应商</w:t>
            </w:r>
            <w:r>
              <w:rPr>
                <w:rFonts w:hint="eastAsia" w:ascii="宋体" w:hAnsi="宋体" w:eastAsia="宋体" w:cs="宋体"/>
                <w:bCs/>
                <w:color w:val="auto"/>
                <w:sz w:val="21"/>
                <w:szCs w:val="21"/>
              </w:rPr>
              <w:t>根据自身能力提供方案，对于以虚假承诺谋取成交的</w:t>
            </w:r>
            <w:r>
              <w:rPr>
                <w:rFonts w:hint="eastAsia" w:ascii="宋体" w:hAnsi="宋体" w:eastAsia="宋体" w:cs="宋体"/>
                <w:bCs/>
                <w:color w:val="auto"/>
                <w:sz w:val="21"/>
                <w:szCs w:val="21"/>
                <w:lang w:val="en-US" w:eastAsia="zh-CN"/>
              </w:rPr>
              <w:t>供应商</w:t>
            </w:r>
            <w:r>
              <w:rPr>
                <w:rFonts w:hint="eastAsia" w:ascii="宋体" w:hAnsi="宋体" w:eastAsia="宋体" w:cs="宋体"/>
                <w:bCs/>
                <w:color w:val="auto"/>
                <w:sz w:val="21"/>
                <w:szCs w:val="21"/>
              </w:rPr>
              <w:t>将自行承担后果。</w:t>
            </w:r>
          </w:p>
        </w:tc>
      </w:tr>
      <w:tr w14:paraId="6A690D7B">
        <w:tblPrEx>
          <w:tblCellMar>
            <w:top w:w="0" w:type="dxa"/>
            <w:left w:w="108" w:type="dxa"/>
            <w:bottom w:w="0" w:type="dxa"/>
            <w:right w:w="108" w:type="dxa"/>
          </w:tblCellMar>
        </w:tblPrEx>
        <w:trPr>
          <w:trHeight w:val="589" w:hRule="atLeast"/>
          <w:jc w:val="center"/>
        </w:trPr>
        <w:tc>
          <w:tcPr>
            <w:tcW w:w="2116" w:type="dxa"/>
            <w:tcBorders>
              <w:top w:val="single" w:color="auto" w:sz="4" w:space="0"/>
              <w:left w:val="single" w:color="auto" w:sz="4" w:space="0"/>
              <w:bottom w:val="single" w:color="auto" w:sz="4" w:space="0"/>
              <w:right w:val="single" w:color="auto" w:sz="4" w:space="0"/>
            </w:tcBorders>
            <w:noWrap/>
            <w:vAlign w:val="center"/>
          </w:tcPr>
          <w:p w14:paraId="31647ADB">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二、人员配置</w:t>
            </w:r>
          </w:p>
        </w:tc>
        <w:tc>
          <w:tcPr>
            <w:tcW w:w="6751" w:type="dxa"/>
            <w:tcBorders>
              <w:top w:val="single" w:color="auto" w:sz="4" w:space="0"/>
              <w:left w:val="single" w:color="auto" w:sz="4" w:space="0"/>
              <w:bottom w:val="single" w:color="auto" w:sz="4" w:space="0"/>
              <w:right w:val="single" w:color="auto" w:sz="4" w:space="0"/>
            </w:tcBorders>
            <w:noWrap/>
            <w:vAlign w:val="center"/>
          </w:tcPr>
          <w:p w14:paraId="296C231B">
            <w:pPr>
              <w:keepNext w:val="0"/>
              <w:keepLines w:val="0"/>
              <w:pageBreakBefore w:val="0"/>
              <w:kinsoku/>
              <w:wordWrap/>
              <w:overflowPunct/>
              <w:topLinePunct w:val="0"/>
              <w:autoSpaceDE/>
              <w:autoSpaceDN/>
              <w:bidi w:val="0"/>
              <w:adjustRightInd/>
              <w:spacing w:line="240" w:lineRule="auto"/>
              <w:ind w:firstLine="420" w:firstLineChars="20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供应商</w:t>
            </w:r>
            <w:r>
              <w:rPr>
                <w:rFonts w:hint="eastAsia" w:ascii="宋体" w:hAnsi="宋体" w:eastAsia="宋体" w:cs="宋体"/>
                <w:bCs/>
                <w:color w:val="auto"/>
                <w:sz w:val="21"/>
                <w:szCs w:val="21"/>
              </w:rPr>
              <w:t>根据自身情况，结合</w:t>
            </w:r>
            <w:r>
              <w:rPr>
                <w:rFonts w:hint="eastAsia" w:ascii="宋体" w:hAnsi="宋体" w:eastAsia="宋体" w:cs="宋体"/>
                <w:bCs/>
                <w:color w:val="auto"/>
                <w:sz w:val="21"/>
                <w:szCs w:val="21"/>
                <w:lang w:val="en-US" w:eastAsia="zh-CN"/>
              </w:rPr>
              <w:t>采购</w:t>
            </w:r>
            <w:r>
              <w:rPr>
                <w:rFonts w:hint="eastAsia" w:ascii="宋体" w:hAnsi="宋体" w:eastAsia="宋体" w:cs="宋体"/>
                <w:bCs/>
                <w:color w:val="auto"/>
                <w:sz w:val="21"/>
                <w:szCs w:val="21"/>
              </w:rPr>
              <w:t>需求及评</w:t>
            </w:r>
            <w:r>
              <w:rPr>
                <w:rFonts w:hint="eastAsia" w:ascii="宋体" w:hAnsi="宋体" w:eastAsia="宋体" w:cs="宋体"/>
                <w:bCs/>
                <w:color w:val="auto"/>
                <w:sz w:val="21"/>
                <w:szCs w:val="21"/>
                <w:lang w:val="en-US" w:eastAsia="zh-CN"/>
              </w:rPr>
              <w:t>审</w:t>
            </w:r>
            <w:r>
              <w:rPr>
                <w:rFonts w:hint="eastAsia" w:ascii="宋体" w:hAnsi="宋体" w:eastAsia="宋体" w:cs="宋体"/>
                <w:bCs/>
                <w:color w:val="auto"/>
                <w:sz w:val="21"/>
                <w:szCs w:val="21"/>
              </w:rPr>
              <w:t>办法提供</w:t>
            </w:r>
            <w:r>
              <w:rPr>
                <w:rFonts w:hint="eastAsia" w:ascii="宋体" w:hAnsi="宋体" w:eastAsia="宋体" w:cs="宋体"/>
                <w:bCs/>
                <w:color w:val="auto"/>
                <w:sz w:val="21"/>
                <w:szCs w:val="21"/>
                <w:lang w:eastAsia="zh-CN"/>
              </w:rPr>
              <w:t>。</w:t>
            </w:r>
          </w:p>
        </w:tc>
      </w:tr>
    </w:tbl>
    <w:p w14:paraId="02D53275">
      <w:pPr>
        <w:spacing w:line="360" w:lineRule="auto"/>
        <w:jc w:val="left"/>
        <w:outlineLvl w:val="9"/>
        <w:rPr>
          <w:rFonts w:hint="eastAsia" w:ascii="宋体" w:hAnsi="宋体" w:eastAsia="宋体" w:cs="宋体"/>
          <w:color w:val="auto"/>
          <w:kern w:val="0"/>
          <w:sz w:val="21"/>
          <w:szCs w:val="21"/>
          <w:highlight w:val="none"/>
        </w:rPr>
      </w:pPr>
    </w:p>
    <w:p w14:paraId="552CAAFE">
      <w:pPr>
        <w:shd w:val="clear" w:color="auto" w:fill="auto"/>
        <w:spacing w:beforeLines="0" w:afterLines="0" w:line="528" w:lineRule="exact"/>
        <w:outlineLvl w:val="9"/>
        <w:rPr>
          <w:rFonts w:hint="eastAsia" w:ascii="仿宋" w:hAnsi="仿宋" w:eastAsia="仿宋" w:cs="仿宋"/>
          <w:color w:val="auto"/>
          <w:sz w:val="40"/>
          <w:szCs w:val="40"/>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lang w:val="en-US" w:eastAsia="zh-CN"/>
        </w:rPr>
        <w:t>附件1：中小微企业划型标准</w:t>
      </w:r>
    </w:p>
    <w:tbl>
      <w:tblPr>
        <w:tblStyle w:val="26"/>
        <w:tblW w:w="5260" w:type="pct"/>
        <w:tblInd w:w="-2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2"/>
        <w:gridCol w:w="1613"/>
        <w:gridCol w:w="1115"/>
        <w:gridCol w:w="2047"/>
        <w:gridCol w:w="1671"/>
        <w:gridCol w:w="1181"/>
      </w:tblGrid>
      <w:tr w14:paraId="67CAB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4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6AAB78">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行业名称</w:t>
            </w:r>
          </w:p>
        </w:tc>
        <w:tc>
          <w:tcPr>
            <w:tcW w:w="900" w:type="pct"/>
            <w:tcBorders>
              <w:top w:val="single" w:color="auto" w:sz="4" w:space="0"/>
              <w:left w:val="nil"/>
              <w:bottom w:val="single" w:color="auto" w:sz="4" w:space="0"/>
              <w:right w:val="single" w:color="auto" w:sz="4" w:space="0"/>
              <w:tl2br w:val="nil"/>
              <w:tr2bl w:val="nil"/>
            </w:tcBorders>
            <w:noWrap w:val="0"/>
            <w:vAlign w:val="center"/>
          </w:tcPr>
          <w:p w14:paraId="5E9AA73C">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指标名称</w:t>
            </w:r>
          </w:p>
        </w:tc>
        <w:tc>
          <w:tcPr>
            <w:tcW w:w="622" w:type="pct"/>
            <w:tcBorders>
              <w:top w:val="single" w:color="auto" w:sz="4" w:space="0"/>
              <w:left w:val="nil"/>
              <w:bottom w:val="single" w:color="auto" w:sz="4" w:space="0"/>
              <w:right w:val="single" w:color="auto" w:sz="4" w:space="0"/>
              <w:tl2br w:val="nil"/>
              <w:tr2bl w:val="nil"/>
            </w:tcBorders>
            <w:noWrap w:val="0"/>
            <w:vAlign w:val="center"/>
          </w:tcPr>
          <w:p w14:paraId="2FFF2F72">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计量单位</w:t>
            </w:r>
          </w:p>
        </w:tc>
        <w:tc>
          <w:tcPr>
            <w:tcW w:w="1142" w:type="pct"/>
            <w:tcBorders>
              <w:top w:val="single" w:color="auto" w:sz="4" w:space="0"/>
              <w:left w:val="nil"/>
              <w:bottom w:val="single" w:color="auto" w:sz="4" w:space="0"/>
              <w:right w:val="single" w:color="auto" w:sz="4" w:space="0"/>
              <w:tl2br w:val="nil"/>
              <w:tr2bl w:val="nil"/>
            </w:tcBorders>
            <w:noWrap w:val="0"/>
            <w:vAlign w:val="center"/>
          </w:tcPr>
          <w:p w14:paraId="4122718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中型</w:t>
            </w:r>
          </w:p>
        </w:tc>
        <w:tc>
          <w:tcPr>
            <w:tcW w:w="932" w:type="pct"/>
            <w:tcBorders>
              <w:top w:val="single" w:color="auto" w:sz="4" w:space="0"/>
              <w:left w:val="nil"/>
              <w:bottom w:val="single" w:color="auto" w:sz="4" w:space="0"/>
              <w:right w:val="single" w:color="auto" w:sz="4" w:space="0"/>
              <w:tl2br w:val="nil"/>
              <w:tr2bl w:val="nil"/>
            </w:tcBorders>
            <w:noWrap w:val="0"/>
            <w:vAlign w:val="center"/>
          </w:tcPr>
          <w:p w14:paraId="46C8725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小型</w:t>
            </w:r>
          </w:p>
        </w:tc>
        <w:tc>
          <w:tcPr>
            <w:tcW w:w="659" w:type="pct"/>
            <w:tcBorders>
              <w:top w:val="single" w:color="auto" w:sz="4" w:space="0"/>
              <w:left w:val="nil"/>
              <w:bottom w:val="single" w:color="auto" w:sz="4" w:space="0"/>
              <w:right w:val="single" w:color="auto" w:sz="4" w:space="0"/>
              <w:tl2br w:val="nil"/>
              <w:tr2bl w:val="nil"/>
            </w:tcBorders>
            <w:noWrap w:val="0"/>
            <w:vAlign w:val="center"/>
          </w:tcPr>
          <w:p w14:paraId="22492FF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微型</w:t>
            </w:r>
          </w:p>
        </w:tc>
      </w:tr>
      <w:tr w14:paraId="1D30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tcBorders>
              <w:top w:val="nil"/>
              <w:left w:val="single" w:color="auto" w:sz="4" w:space="0"/>
              <w:bottom w:val="single" w:color="auto" w:sz="4" w:space="0"/>
              <w:right w:val="single" w:color="auto" w:sz="4" w:space="0"/>
              <w:tl2br w:val="nil"/>
              <w:tr2bl w:val="nil"/>
            </w:tcBorders>
            <w:noWrap w:val="0"/>
            <w:vAlign w:val="center"/>
          </w:tcPr>
          <w:p w14:paraId="6D5731B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农、林、牧、渔</w:t>
            </w:r>
          </w:p>
        </w:tc>
        <w:tc>
          <w:tcPr>
            <w:tcW w:w="900" w:type="pct"/>
            <w:tcBorders>
              <w:top w:val="nil"/>
              <w:left w:val="nil"/>
              <w:bottom w:val="single" w:color="auto" w:sz="4" w:space="0"/>
              <w:right w:val="single" w:color="auto" w:sz="4" w:space="0"/>
              <w:tl2br w:val="nil"/>
              <w:tr2bl w:val="nil"/>
            </w:tcBorders>
            <w:noWrap w:val="0"/>
            <w:vAlign w:val="center"/>
          </w:tcPr>
          <w:p w14:paraId="42094843">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769B6904">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6BE31FD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932" w:type="pct"/>
            <w:tcBorders>
              <w:top w:val="nil"/>
              <w:left w:val="nil"/>
              <w:bottom w:val="single" w:color="auto" w:sz="4" w:space="0"/>
              <w:right w:val="single" w:color="auto" w:sz="4" w:space="0"/>
              <w:tl2br w:val="nil"/>
              <w:tr2bl w:val="nil"/>
            </w:tcBorders>
            <w:noWrap w:val="0"/>
            <w:vAlign w:val="center"/>
          </w:tcPr>
          <w:p w14:paraId="45BC5DE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659" w:type="pct"/>
            <w:tcBorders>
              <w:top w:val="nil"/>
              <w:left w:val="nil"/>
              <w:bottom w:val="single" w:color="auto" w:sz="4" w:space="0"/>
              <w:right w:val="single" w:color="auto" w:sz="4" w:space="0"/>
              <w:tl2br w:val="nil"/>
              <w:tr2bl w:val="nil"/>
            </w:tcBorders>
            <w:noWrap w:val="0"/>
            <w:vAlign w:val="center"/>
          </w:tcPr>
          <w:p w14:paraId="4032B03D">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200ED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4D67FE92">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工业</w:t>
            </w:r>
          </w:p>
        </w:tc>
        <w:tc>
          <w:tcPr>
            <w:tcW w:w="900" w:type="pct"/>
            <w:tcBorders>
              <w:top w:val="nil"/>
              <w:left w:val="nil"/>
              <w:bottom w:val="single" w:color="auto" w:sz="4" w:space="0"/>
              <w:right w:val="single" w:color="auto" w:sz="4" w:space="0"/>
              <w:tl2br w:val="nil"/>
              <w:tr2bl w:val="nil"/>
            </w:tcBorders>
            <w:noWrap w:val="0"/>
            <w:vAlign w:val="center"/>
          </w:tcPr>
          <w:p w14:paraId="1739051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09432056">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5D1CC9D5">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32" w:type="pct"/>
            <w:tcBorders>
              <w:top w:val="nil"/>
              <w:left w:val="nil"/>
              <w:bottom w:val="single" w:color="auto" w:sz="4" w:space="0"/>
              <w:right w:val="single" w:color="auto" w:sz="4" w:space="0"/>
              <w:tl2br w:val="nil"/>
              <w:tr2bl w:val="nil"/>
            </w:tcBorders>
            <w:noWrap w:val="0"/>
            <w:vAlign w:val="center"/>
          </w:tcPr>
          <w:p w14:paraId="051B25DC">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659" w:type="pct"/>
            <w:tcBorders>
              <w:top w:val="nil"/>
              <w:left w:val="nil"/>
              <w:bottom w:val="single" w:color="auto" w:sz="4" w:space="0"/>
              <w:right w:val="single" w:color="auto" w:sz="4" w:space="0"/>
              <w:tl2br w:val="nil"/>
              <w:tr2bl w:val="nil"/>
            </w:tcBorders>
            <w:noWrap w:val="0"/>
            <w:vAlign w:val="center"/>
          </w:tcPr>
          <w:p w14:paraId="31A34605">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5F5A5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16F0D70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217AF2B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7261E5D4">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02158DF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932" w:type="pct"/>
            <w:tcBorders>
              <w:top w:val="nil"/>
              <w:left w:val="nil"/>
              <w:bottom w:val="single" w:color="auto" w:sz="4" w:space="0"/>
              <w:right w:val="single" w:color="auto" w:sz="4" w:space="0"/>
              <w:tl2br w:val="nil"/>
              <w:tr2bl w:val="nil"/>
            </w:tcBorders>
            <w:noWrap w:val="0"/>
            <w:vAlign w:val="center"/>
          </w:tcPr>
          <w:p w14:paraId="3D7EE8E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659" w:type="pct"/>
            <w:tcBorders>
              <w:top w:val="nil"/>
              <w:left w:val="nil"/>
              <w:bottom w:val="single" w:color="auto" w:sz="4" w:space="0"/>
              <w:right w:val="single" w:color="auto" w:sz="4" w:space="0"/>
              <w:tl2br w:val="nil"/>
              <w:tr2bl w:val="nil"/>
            </w:tcBorders>
            <w:noWrap w:val="0"/>
            <w:vAlign w:val="center"/>
          </w:tcPr>
          <w:p w14:paraId="61BCB59C">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5252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0B95F40F">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建筑业</w:t>
            </w:r>
          </w:p>
        </w:tc>
        <w:tc>
          <w:tcPr>
            <w:tcW w:w="900" w:type="pct"/>
            <w:tcBorders>
              <w:top w:val="nil"/>
              <w:left w:val="nil"/>
              <w:bottom w:val="single" w:color="auto" w:sz="4" w:space="0"/>
              <w:right w:val="single" w:color="auto" w:sz="4" w:space="0"/>
              <w:tl2br w:val="nil"/>
              <w:tr2bl w:val="nil"/>
            </w:tcBorders>
            <w:noWrap w:val="0"/>
            <w:vAlign w:val="center"/>
          </w:tcPr>
          <w:p w14:paraId="7E3B3375">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5374CC6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26FD023C">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932" w:type="pct"/>
            <w:tcBorders>
              <w:top w:val="nil"/>
              <w:left w:val="nil"/>
              <w:bottom w:val="single" w:color="auto" w:sz="4" w:space="0"/>
              <w:right w:val="single" w:color="auto" w:sz="4" w:space="0"/>
              <w:tl2br w:val="nil"/>
              <w:tr2bl w:val="nil"/>
            </w:tcBorders>
            <w:noWrap w:val="0"/>
            <w:vAlign w:val="center"/>
          </w:tcPr>
          <w:p w14:paraId="44994768">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659" w:type="pct"/>
            <w:tcBorders>
              <w:top w:val="nil"/>
              <w:left w:val="nil"/>
              <w:bottom w:val="single" w:color="auto" w:sz="4" w:space="0"/>
              <w:right w:val="single" w:color="auto" w:sz="4" w:space="0"/>
              <w:tl2br w:val="nil"/>
              <w:tr2bl w:val="nil"/>
            </w:tcBorders>
            <w:noWrap w:val="0"/>
            <w:vAlign w:val="center"/>
          </w:tcPr>
          <w:p w14:paraId="720E8DBF">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5C36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3BB73216">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3A4CA3E8">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22" w:type="pct"/>
            <w:tcBorders>
              <w:top w:val="nil"/>
              <w:left w:val="nil"/>
              <w:bottom w:val="single" w:color="auto" w:sz="4" w:space="0"/>
              <w:right w:val="single" w:color="auto" w:sz="4" w:space="0"/>
              <w:tl2br w:val="nil"/>
              <w:tr2bl w:val="nil"/>
            </w:tcBorders>
            <w:noWrap w:val="0"/>
            <w:vAlign w:val="center"/>
          </w:tcPr>
          <w:p w14:paraId="04795B75">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15E967F3">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932" w:type="pct"/>
            <w:tcBorders>
              <w:top w:val="nil"/>
              <w:left w:val="nil"/>
              <w:bottom w:val="single" w:color="auto" w:sz="4" w:space="0"/>
              <w:right w:val="single" w:color="auto" w:sz="4" w:space="0"/>
              <w:tl2br w:val="nil"/>
              <w:tr2bl w:val="nil"/>
            </w:tcBorders>
            <w:noWrap w:val="0"/>
            <w:vAlign w:val="center"/>
          </w:tcPr>
          <w:p w14:paraId="57229A5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659" w:type="pct"/>
            <w:tcBorders>
              <w:top w:val="nil"/>
              <w:left w:val="nil"/>
              <w:bottom w:val="single" w:color="auto" w:sz="4" w:space="0"/>
              <w:right w:val="single" w:color="auto" w:sz="4" w:space="0"/>
              <w:tl2br w:val="nil"/>
              <w:tr2bl w:val="nil"/>
            </w:tcBorders>
            <w:noWrap w:val="0"/>
            <w:vAlign w:val="center"/>
          </w:tcPr>
          <w:p w14:paraId="54E31E95">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31F8D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2596179C">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批发业</w:t>
            </w:r>
          </w:p>
        </w:tc>
        <w:tc>
          <w:tcPr>
            <w:tcW w:w="900" w:type="pct"/>
            <w:tcBorders>
              <w:top w:val="nil"/>
              <w:left w:val="nil"/>
              <w:bottom w:val="single" w:color="auto" w:sz="4" w:space="0"/>
              <w:right w:val="single" w:color="auto" w:sz="4" w:space="0"/>
              <w:tl2br w:val="nil"/>
              <w:tr2bl w:val="nil"/>
            </w:tcBorders>
            <w:noWrap w:val="0"/>
            <w:vAlign w:val="center"/>
          </w:tcPr>
          <w:p w14:paraId="0433233B">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0297CB0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1710A0A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932" w:type="pct"/>
            <w:tcBorders>
              <w:top w:val="nil"/>
              <w:left w:val="nil"/>
              <w:bottom w:val="single" w:color="auto" w:sz="4" w:space="0"/>
              <w:right w:val="single" w:color="auto" w:sz="4" w:space="0"/>
              <w:tl2br w:val="nil"/>
              <w:tr2bl w:val="nil"/>
            </w:tcBorders>
            <w:noWrap w:val="0"/>
            <w:vAlign w:val="center"/>
          </w:tcPr>
          <w:p w14:paraId="7E493ED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659" w:type="pct"/>
            <w:tcBorders>
              <w:top w:val="nil"/>
              <w:left w:val="nil"/>
              <w:bottom w:val="single" w:color="auto" w:sz="4" w:space="0"/>
              <w:right w:val="single" w:color="auto" w:sz="4" w:space="0"/>
              <w:tl2br w:val="nil"/>
              <w:tr2bl w:val="nil"/>
            </w:tcBorders>
            <w:noWrap w:val="0"/>
            <w:vAlign w:val="center"/>
          </w:tcPr>
          <w:p w14:paraId="6597C63C">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133C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55947245">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5728DD5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6772D295">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515D5FF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932" w:type="pct"/>
            <w:tcBorders>
              <w:top w:val="nil"/>
              <w:left w:val="nil"/>
              <w:bottom w:val="single" w:color="auto" w:sz="4" w:space="0"/>
              <w:right w:val="single" w:color="auto" w:sz="4" w:space="0"/>
              <w:tl2br w:val="nil"/>
              <w:tr2bl w:val="nil"/>
            </w:tcBorders>
            <w:noWrap w:val="0"/>
            <w:vAlign w:val="center"/>
          </w:tcPr>
          <w:p w14:paraId="72207A16">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659" w:type="pct"/>
            <w:tcBorders>
              <w:top w:val="nil"/>
              <w:left w:val="nil"/>
              <w:bottom w:val="single" w:color="auto" w:sz="4" w:space="0"/>
              <w:right w:val="single" w:color="auto" w:sz="4" w:space="0"/>
              <w:tl2br w:val="nil"/>
              <w:tr2bl w:val="nil"/>
            </w:tcBorders>
            <w:noWrap w:val="0"/>
            <w:vAlign w:val="center"/>
          </w:tcPr>
          <w:p w14:paraId="33CFB66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4FF2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085CBCD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零售业</w:t>
            </w:r>
          </w:p>
        </w:tc>
        <w:tc>
          <w:tcPr>
            <w:tcW w:w="900" w:type="pct"/>
            <w:tcBorders>
              <w:top w:val="nil"/>
              <w:left w:val="nil"/>
              <w:bottom w:val="single" w:color="auto" w:sz="4" w:space="0"/>
              <w:right w:val="single" w:color="auto" w:sz="4" w:space="0"/>
              <w:tl2br w:val="nil"/>
              <w:tr2bl w:val="nil"/>
            </w:tcBorders>
            <w:noWrap w:val="0"/>
            <w:vAlign w:val="center"/>
          </w:tcPr>
          <w:p w14:paraId="46E61F86">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611BD7E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70441B38">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932" w:type="pct"/>
            <w:tcBorders>
              <w:top w:val="nil"/>
              <w:left w:val="nil"/>
              <w:bottom w:val="single" w:color="auto" w:sz="4" w:space="0"/>
              <w:right w:val="single" w:color="auto" w:sz="4" w:space="0"/>
              <w:tl2br w:val="nil"/>
              <w:tr2bl w:val="nil"/>
            </w:tcBorders>
            <w:noWrap w:val="0"/>
            <w:vAlign w:val="center"/>
          </w:tcPr>
          <w:p w14:paraId="0DA206D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659" w:type="pct"/>
            <w:tcBorders>
              <w:top w:val="nil"/>
              <w:left w:val="nil"/>
              <w:bottom w:val="single" w:color="auto" w:sz="4" w:space="0"/>
              <w:right w:val="single" w:color="auto" w:sz="4" w:space="0"/>
              <w:tl2br w:val="nil"/>
              <w:tr2bl w:val="nil"/>
            </w:tcBorders>
            <w:noWrap w:val="0"/>
            <w:vAlign w:val="center"/>
          </w:tcPr>
          <w:p w14:paraId="3E7C5416">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64C9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6076339C">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6CCA6AB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464BD2F6">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4122F6F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932" w:type="pct"/>
            <w:tcBorders>
              <w:top w:val="nil"/>
              <w:left w:val="nil"/>
              <w:bottom w:val="single" w:color="auto" w:sz="4" w:space="0"/>
              <w:right w:val="single" w:color="auto" w:sz="4" w:space="0"/>
              <w:tl2br w:val="nil"/>
              <w:tr2bl w:val="nil"/>
            </w:tcBorders>
            <w:noWrap w:val="0"/>
            <w:vAlign w:val="center"/>
          </w:tcPr>
          <w:p w14:paraId="6A8F5DF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659" w:type="pct"/>
            <w:tcBorders>
              <w:top w:val="nil"/>
              <w:left w:val="nil"/>
              <w:bottom w:val="single" w:color="auto" w:sz="4" w:space="0"/>
              <w:right w:val="single" w:color="auto" w:sz="4" w:space="0"/>
              <w:tl2br w:val="nil"/>
              <w:tr2bl w:val="nil"/>
            </w:tcBorders>
            <w:noWrap w:val="0"/>
            <w:vAlign w:val="center"/>
          </w:tcPr>
          <w:p w14:paraId="3450602F">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39E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27CE3E2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交通运输业</w:t>
            </w:r>
          </w:p>
        </w:tc>
        <w:tc>
          <w:tcPr>
            <w:tcW w:w="900" w:type="pct"/>
            <w:tcBorders>
              <w:top w:val="nil"/>
              <w:left w:val="nil"/>
              <w:bottom w:val="single" w:color="auto" w:sz="4" w:space="0"/>
              <w:right w:val="single" w:color="auto" w:sz="4" w:space="0"/>
              <w:tl2br w:val="nil"/>
              <w:tr2bl w:val="nil"/>
            </w:tcBorders>
            <w:noWrap w:val="0"/>
            <w:vAlign w:val="center"/>
          </w:tcPr>
          <w:p w14:paraId="53329AF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6AA8102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386DF58B">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32" w:type="pct"/>
            <w:tcBorders>
              <w:top w:val="nil"/>
              <w:left w:val="nil"/>
              <w:bottom w:val="single" w:color="auto" w:sz="4" w:space="0"/>
              <w:right w:val="single" w:color="auto" w:sz="4" w:space="0"/>
              <w:tl2br w:val="nil"/>
              <w:tr2bl w:val="nil"/>
            </w:tcBorders>
            <w:noWrap w:val="0"/>
            <w:vAlign w:val="center"/>
          </w:tcPr>
          <w:p w14:paraId="03861E1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659" w:type="pct"/>
            <w:tcBorders>
              <w:top w:val="nil"/>
              <w:left w:val="nil"/>
              <w:bottom w:val="single" w:color="auto" w:sz="4" w:space="0"/>
              <w:right w:val="single" w:color="auto" w:sz="4" w:space="0"/>
              <w:tl2br w:val="nil"/>
              <w:tr2bl w:val="nil"/>
            </w:tcBorders>
            <w:noWrap w:val="0"/>
            <w:vAlign w:val="center"/>
          </w:tcPr>
          <w:p w14:paraId="3D7ED86C">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1B966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4732560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39753538">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6D4BED35">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4586FEC5">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932" w:type="pct"/>
            <w:tcBorders>
              <w:top w:val="nil"/>
              <w:left w:val="nil"/>
              <w:bottom w:val="single" w:color="auto" w:sz="4" w:space="0"/>
              <w:right w:val="single" w:color="auto" w:sz="4" w:space="0"/>
              <w:tl2br w:val="nil"/>
              <w:tr2bl w:val="nil"/>
            </w:tcBorders>
            <w:noWrap w:val="0"/>
            <w:vAlign w:val="center"/>
          </w:tcPr>
          <w:p w14:paraId="0D77568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659" w:type="pct"/>
            <w:tcBorders>
              <w:top w:val="nil"/>
              <w:left w:val="nil"/>
              <w:bottom w:val="single" w:color="auto" w:sz="4" w:space="0"/>
              <w:right w:val="single" w:color="auto" w:sz="4" w:space="0"/>
              <w:tl2br w:val="nil"/>
              <w:tr2bl w:val="nil"/>
            </w:tcBorders>
            <w:noWrap w:val="0"/>
            <w:vAlign w:val="center"/>
          </w:tcPr>
          <w:p w14:paraId="0DA906C4">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1F7D1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14DD608C">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仓储业</w:t>
            </w:r>
          </w:p>
        </w:tc>
        <w:tc>
          <w:tcPr>
            <w:tcW w:w="900" w:type="pct"/>
            <w:tcBorders>
              <w:top w:val="nil"/>
              <w:left w:val="nil"/>
              <w:bottom w:val="single" w:color="auto" w:sz="4" w:space="0"/>
              <w:right w:val="single" w:color="auto" w:sz="4" w:space="0"/>
              <w:tl2br w:val="nil"/>
              <w:tr2bl w:val="nil"/>
            </w:tcBorders>
            <w:noWrap w:val="0"/>
            <w:vAlign w:val="center"/>
          </w:tcPr>
          <w:p w14:paraId="46FD3815">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4C90D2ED">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48A6F51C">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932" w:type="pct"/>
            <w:tcBorders>
              <w:top w:val="nil"/>
              <w:left w:val="nil"/>
              <w:bottom w:val="single" w:color="auto" w:sz="4" w:space="0"/>
              <w:right w:val="single" w:color="auto" w:sz="4" w:space="0"/>
              <w:tl2br w:val="nil"/>
              <w:tr2bl w:val="nil"/>
            </w:tcBorders>
            <w:noWrap w:val="0"/>
            <w:vAlign w:val="center"/>
          </w:tcPr>
          <w:p w14:paraId="11BE055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659" w:type="pct"/>
            <w:tcBorders>
              <w:top w:val="nil"/>
              <w:left w:val="nil"/>
              <w:bottom w:val="single" w:color="auto" w:sz="4" w:space="0"/>
              <w:right w:val="single" w:color="auto" w:sz="4" w:space="0"/>
              <w:tl2br w:val="nil"/>
              <w:tr2bl w:val="nil"/>
            </w:tcBorders>
            <w:noWrap w:val="0"/>
            <w:vAlign w:val="center"/>
          </w:tcPr>
          <w:p w14:paraId="6B899D1B">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41D9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3B637066">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4853E87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1EEDFD72">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0B15FA6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932" w:type="pct"/>
            <w:tcBorders>
              <w:top w:val="nil"/>
              <w:left w:val="nil"/>
              <w:bottom w:val="single" w:color="auto" w:sz="4" w:space="0"/>
              <w:right w:val="single" w:color="auto" w:sz="4" w:space="0"/>
              <w:tl2br w:val="nil"/>
              <w:tr2bl w:val="nil"/>
            </w:tcBorders>
            <w:noWrap w:val="0"/>
            <w:vAlign w:val="center"/>
          </w:tcPr>
          <w:p w14:paraId="455F33A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659" w:type="pct"/>
            <w:tcBorders>
              <w:top w:val="nil"/>
              <w:left w:val="nil"/>
              <w:bottom w:val="single" w:color="auto" w:sz="4" w:space="0"/>
              <w:right w:val="single" w:color="auto" w:sz="4" w:space="0"/>
              <w:tl2br w:val="nil"/>
              <w:tr2bl w:val="nil"/>
            </w:tcBorders>
            <w:noWrap w:val="0"/>
            <w:vAlign w:val="center"/>
          </w:tcPr>
          <w:p w14:paraId="0A913DD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28BB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33436D75">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邮政业</w:t>
            </w:r>
          </w:p>
        </w:tc>
        <w:tc>
          <w:tcPr>
            <w:tcW w:w="900" w:type="pct"/>
            <w:tcBorders>
              <w:top w:val="nil"/>
              <w:left w:val="nil"/>
              <w:bottom w:val="single" w:color="auto" w:sz="4" w:space="0"/>
              <w:right w:val="single" w:color="auto" w:sz="4" w:space="0"/>
              <w:tl2br w:val="nil"/>
              <w:tr2bl w:val="nil"/>
            </w:tcBorders>
            <w:noWrap w:val="0"/>
            <w:vAlign w:val="center"/>
          </w:tcPr>
          <w:p w14:paraId="1234E37D">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54F70AC4">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5E89DA94">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32" w:type="pct"/>
            <w:tcBorders>
              <w:top w:val="nil"/>
              <w:left w:val="nil"/>
              <w:bottom w:val="single" w:color="auto" w:sz="4" w:space="0"/>
              <w:right w:val="single" w:color="auto" w:sz="4" w:space="0"/>
              <w:tl2br w:val="nil"/>
              <w:tr2bl w:val="nil"/>
            </w:tcBorders>
            <w:noWrap w:val="0"/>
            <w:vAlign w:val="center"/>
          </w:tcPr>
          <w:p w14:paraId="5F796DC4">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659" w:type="pct"/>
            <w:tcBorders>
              <w:top w:val="nil"/>
              <w:left w:val="nil"/>
              <w:bottom w:val="single" w:color="auto" w:sz="4" w:space="0"/>
              <w:right w:val="single" w:color="auto" w:sz="4" w:space="0"/>
              <w:tl2br w:val="nil"/>
              <w:tr2bl w:val="nil"/>
            </w:tcBorders>
            <w:noWrap w:val="0"/>
            <w:vAlign w:val="center"/>
          </w:tcPr>
          <w:p w14:paraId="569ECA3D">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4779F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4C4928A3">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18FDF7D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73A8D94F">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529FE32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932" w:type="pct"/>
            <w:tcBorders>
              <w:top w:val="nil"/>
              <w:left w:val="nil"/>
              <w:bottom w:val="single" w:color="auto" w:sz="4" w:space="0"/>
              <w:right w:val="single" w:color="auto" w:sz="4" w:space="0"/>
              <w:tl2br w:val="nil"/>
              <w:tr2bl w:val="nil"/>
            </w:tcBorders>
            <w:noWrap w:val="0"/>
            <w:vAlign w:val="center"/>
          </w:tcPr>
          <w:p w14:paraId="5FC5D226">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659" w:type="pct"/>
            <w:tcBorders>
              <w:top w:val="nil"/>
              <w:left w:val="nil"/>
              <w:bottom w:val="single" w:color="auto" w:sz="4" w:space="0"/>
              <w:right w:val="single" w:color="auto" w:sz="4" w:space="0"/>
              <w:tl2br w:val="nil"/>
              <w:tr2bl w:val="nil"/>
            </w:tcBorders>
            <w:noWrap w:val="0"/>
            <w:vAlign w:val="center"/>
          </w:tcPr>
          <w:p w14:paraId="4B7908B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A02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20FED4D3">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住宿业</w:t>
            </w:r>
          </w:p>
        </w:tc>
        <w:tc>
          <w:tcPr>
            <w:tcW w:w="900" w:type="pct"/>
            <w:tcBorders>
              <w:top w:val="nil"/>
              <w:left w:val="nil"/>
              <w:bottom w:val="single" w:color="auto" w:sz="4" w:space="0"/>
              <w:right w:val="single" w:color="auto" w:sz="4" w:space="0"/>
              <w:tl2br w:val="nil"/>
              <w:tr2bl w:val="nil"/>
            </w:tcBorders>
            <w:noWrap w:val="0"/>
            <w:vAlign w:val="center"/>
          </w:tcPr>
          <w:p w14:paraId="075A4D68">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64259B25">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0A0E5ADC">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2" w:type="pct"/>
            <w:tcBorders>
              <w:top w:val="nil"/>
              <w:left w:val="nil"/>
              <w:bottom w:val="single" w:color="auto" w:sz="4" w:space="0"/>
              <w:right w:val="single" w:color="auto" w:sz="4" w:space="0"/>
              <w:tl2br w:val="nil"/>
              <w:tr2bl w:val="nil"/>
            </w:tcBorders>
            <w:noWrap w:val="0"/>
            <w:vAlign w:val="center"/>
          </w:tcPr>
          <w:p w14:paraId="016E5F6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9" w:type="pct"/>
            <w:tcBorders>
              <w:top w:val="nil"/>
              <w:left w:val="nil"/>
              <w:bottom w:val="single" w:color="auto" w:sz="4" w:space="0"/>
              <w:right w:val="single" w:color="auto" w:sz="4" w:space="0"/>
              <w:tl2br w:val="nil"/>
              <w:tr2bl w:val="nil"/>
            </w:tcBorders>
            <w:noWrap w:val="0"/>
            <w:vAlign w:val="center"/>
          </w:tcPr>
          <w:p w14:paraId="347B0FB2">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8F0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554045E3">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5BD18EA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3657FF1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41E9371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932" w:type="pct"/>
            <w:tcBorders>
              <w:top w:val="nil"/>
              <w:left w:val="nil"/>
              <w:bottom w:val="single" w:color="auto" w:sz="4" w:space="0"/>
              <w:right w:val="single" w:color="auto" w:sz="4" w:space="0"/>
              <w:tl2br w:val="nil"/>
              <w:tr2bl w:val="nil"/>
            </w:tcBorders>
            <w:noWrap w:val="0"/>
            <w:vAlign w:val="center"/>
          </w:tcPr>
          <w:p w14:paraId="2D0DDFE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659" w:type="pct"/>
            <w:tcBorders>
              <w:top w:val="nil"/>
              <w:left w:val="nil"/>
              <w:bottom w:val="single" w:color="auto" w:sz="4" w:space="0"/>
              <w:right w:val="single" w:color="auto" w:sz="4" w:space="0"/>
              <w:tl2br w:val="nil"/>
              <w:tr2bl w:val="nil"/>
            </w:tcBorders>
            <w:noWrap w:val="0"/>
            <w:vAlign w:val="center"/>
          </w:tcPr>
          <w:p w14:paraId="7F86BB96">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9080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3500E294">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餐饮业</w:t>
            </w:r>
          </w:p>
        </w:tc>
        <w:tc>
          <w:tcPr>
            <w:tcW w:w="900" w:type="pct"/>
            <w:tcBorders>
              <w:top w:val="nil"/>
              <w:left w:val="nil"/>
              <w:bottom w:val="single" w:color="auto" w:sz="4" w:space="0"/>
              <w:right w:val="single" w:color="auto" w:sz="4" w:space="0"/>
              <w:tl2br w:val="nil"/>
              <w:tr2bl w:val="nil"/>
            </w:tcBorders>
            <w:noWrap w:val="0"/>
            <w:vAlign w:val="center"/>
          </w:tcPr>
          <w:p w14:paraId="2B0A6F2F">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4672B80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0BE08E13">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2" w:type="pct"/>
            <w:tcBorders>
              <w:top w:val="nil"/>
              <w:left w:val="nil"/>
              <w:bottom w:val="single" w:color="auto" w:sz="4" w:space="0"/>
              <w:right w:val="single" w:color="auto" w:sz="4" w:space="0"/>
              <w:tl2br w:val="nil"/>
              <w:tr2bl w:val="nil"/>
            </w:tcBorders>
            <w:noWrap w:val="0"/>
            <w:vAlign w:val="center"/>
          </w:tcPr>
          <w:p w14:paraId="4197E92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9" w:type="pct"/>
            <w:tcBorders>
              <w:top w:val="nil"/>
              <w:left w:val="nil"/>
              <w:bottom w:val="single" w:color="auto" w:sz="4" w:space="0"/>
              <w:right w:val="single" w:color="auto" w:sz="4" w:space="0"/>
              <w:tl2br w:val="nil"/>
              <w:tr2bl w:val="nil"/>
            </w:tcBorders>
            <w:noWrap w:val="0"/>
            <w:vAlign w:val="center"/>
          </w:tcPr>
          <w:p w14:paraId="73CE844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1680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7DD2833C">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3A164DDD">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03136B56">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5F90572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932" w:type="pct"/>
            <w:tcBorders>
              <w:top w:val="nil"/>
              <w:left w:val="nil"/>
              <w:bottom w:val="single" w:color="auto" w:sz="4" w:space="0"/>
              <w:right w:val="single" w:color="auto" w:sz="4" w:space="0"/>
              <w:tl2br w:val="nil"/>
              <w:tr2bl w:val="nil"/>
            </w:tcBorders>
            <w:noWrap w:val="0"/>
            <w:vAlign w:val="center"/>
          </w:tcPr>
          <w:p w14:paraId="3E387748">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659" w:type="pct"/>
            <w:tcBorders>
              <w:top w:val="nil"/>
              <w:left w:val="nil"/>
              <w:bottom w:val="single" w:color="auto" w:sz="4" w:space="0"/>
              <w:right w:val="single" w:color="auto" w:sz="4" w:space="0"/>
              <w:tl2br w:val="nil"/>
              <w:tr2bl w:val="nil"/>
            </w:tcBorders>
            <w:noWrap w:val="0"/>
            <w:vAlign w:val="center"/>
          </w:tcPr>
          <w:p w14:paraId="6080E436">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331B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3B207E9F">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信息传输业</w:t>
            </w:r>
          </w:p>
        </w:tc>
        <w:tc>
          <w:tcPr>
            <w:tcW w:w="900" w:type="pct"/>
            <w:tcBorders>
              <w:top w:val="nil"/>
              <w:left w:val="nil"/>
              <w:bottom w:val="single" w:color="auto" w:sz="4" w:space="0"/>
              <w:right w:val="single" w:color="auto" w:sz="4" w:space="0"/>
              <w:tl2br w:val="nil"/>
              <w:tr2bl w:val="nil"/>
            </w:tcBorders>
            <w:noWrap w:val="0"/>
            <w:vAlign w:val="center"/>
          </w:tcPr>
          <w:p w14:paraId="4C108415">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291142C2">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6B9AC5CD">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932" w:type="pct"/>
            <w:tcBorders>
              <w:top w:val="nil"/>
              <w:left w:val="nil"/>
              <w:bottom w:val="single" w:color="auto" w:sz="4" w:space="0"/>
              <w:right w:val="single" w:color="auto" w:sz="4" w:space="0"/>
              <w:tl2br w:val="nil"/>
              <w:tr2bl w:val="nil"/>
            </w:tcBorders>
            <w:noWrap w:val="0"/>
            <w:vAlign w:val="center"/>
          </w:tcPr>
          <w:p w14:paraId="1A02E6D2">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9" w:type="pct"/>
            <w:tcBorders>
              <w:top w:val="nil"/>
              <w:left w:val="nil"/>
              <w:bottom w:val="single" w:color="auto" w:sz="4" w:space="0"/>
              <w:right w:val="single" w:color="auto" w:sz="4" w:space="0"/>
              <w:tl2br w:val="nil"/>
              <w:tr2bl w:val="nil"/>
            </w:tcBorders>
            <w:noWrap w:val="0"/>
            <w:vAlign w:val="center"/>
          </w:tcPr>
          <w:p w14:paraId="1D736B7B">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15550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699E960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25E460CF">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0B869A2C">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7F65463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932" w:type="pct"/>
            <w:tcBorders>
              <w:top w:val="nil"/>
              <w:left w:val="nil"/>
              <w:bottom w:val="single" w:color="auto" w:sz="4" w:space="0"/>
              <w:right w:val="single" w:color="auto" w:sz="4" w:space="0"/>
              <w:tl2br w:val="nil"/>
              <w:tr2bl w:val="nil"/>
            </w:tcBorders>
            <w:noWrap w:val="0"/>
            <w:vAlign w:val="center"/>
          </w:tcPr>
          <w:p w14:paraId="2CAB77F5">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659" w:type="pct"/>
            <w:tcBorders>
              <w:top w:val="nil"/>
              <w:left w:val="nil"/>
              <w:bottom w:val="single" w:color="auto" w:sz="4" w:space="0"/>
              <w:right w:val="single" w:color="auto" w:sz="4" w:space="0"/>
              <w:tl2br w:val="nil"/>
              <w:tr2bl w:val="nil"/>
            </w:tcBorders>
            <w:noWrap w:val="0"/>
            <w:vAlign w:val="center"/>
          </w:tcPr>
          <w:p w14:paraId="617ECDC2">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1D4F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080C98A6">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软件和信息技术服务业</w:t>
            </w:r>
          </w:p>
        </w:tc>
        <w:tc>
          <w:tcPr>
            <w:tcW w:w="900" w:type="pct"/>
            <w:tcBorders>
              <w:top w:val="nil"/>
              <w:left w:val="nil"/>
              <w:bottom w:val="single" w:color="auto" w:sz="4" w:space="0"/>
              <w:right w:val="single" w:color="auto" w:sz="4" w:space="0"/>
              <w:tl2br w:val="nil"/>
              <w:tr2bl w:val="nil"/>
            </w:tcBorders>
            <w:noWrap w:val="0"/>
            <w:vAlign w:val="center"/>
          </w:tcPr>
          <w:p w14:paraId="1E05152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5450B46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77569C1B">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2" w:type="pct"/>
            <w:tcBorders>
              <w:top w:val="nil"/>
              <w:left w:val="nil"/>
              <w:bottom w:val="single" w:color="auto" w:sz="4" w:space="0"/>
              <w:right w:val="single" w:color="auto" w:sz="4" w:space="0"/>
              <w:tl2br w:val="nil"/>
              <w:tr2bl w:val="nil"/>
            </w:tcBorders>
            <w:noWrap w:val="0"/>
            <w:vAlign w:val="center"/>
          </w:tcPr>
          <w:p w14:paraId="2765E01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9" w:type="pct"/>
            <w:tcBorders>
              <w:top w:val="nil"/>
              <w:left w:val="nil"/>
              <w:bottom w:val="single" w:color="auto" w:sz="4" w:space="0"/>
              <w:right w:val="single" w:color="auto" w:sz="4" w:space="0"/>
              <w:tl2br w:val="nil"/>
              <w:tr2bl w:val="nil"/>
            </w:tcBorders>
            <w:noWrap w:val="0"/>
            <w:vAlign w:val="center"/>
          </w:tcPr>
          <w:p w14:paraId="5DB99C06">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CA3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28BC3AA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6BC1039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0D4DA9D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032E3D41">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932" w:type="pct"/>
            <w:tcBorders>
              <w:top w:val="nil"/>
              <w:left w:val="nil"/>
              <w:bottom w:val="single" w:color="auto" w:sz="4" w:space="0"/>
              <w:right w:val="single" w:color="auto" w:sz="4" w:space="0"/>
              <w:tl2br w:val="nil"/>
              <w:tr2bl w:val="nil"/>
            </w:tcBorders>
            <w:noWrap w:val="0"/>
            <w:vAlign w:val="center"/>
          </w:tcPr>
          <w:p w14:paraId="2495B2E3">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659" w:type="pct"/>
            <w:tcBorders>
              <w:top w:val="nil"/>
              <w:left w:val="nil"/>
              <w:bottom w:val="single" w:color="auto" w:sz="4" w:space="0"/>
              <w:right w:val="single" w:color="auto" w:sz="4" w:space="0"/>
              <w:tl2br w:val="nil"/>
              <w:tr2bl w:val="nil"/>
            </w:tcBorders>
            <w:noWrap w:val="0"/>
            <w:vAlign w:val="center"/>
          </w:tcPr>
          <w:p w14:paraId="46AA401C">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7BD82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7E57373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房地产开发经营</w:t>
            </w:r>
          </w:p>
        </w:tc>
        <w:tc>
          <w:tcPr>
            <w:tcW w:w="900" w:type="pct"/>
            <w:tcBorders>
              <w:top w:val="nil"/>
              <w:left w:val="nil"/>
              <w:bottom w:val="single" w:color="auto" w:sz="4" w:space="0"/>
              <w:right w:val="single" w:color="auto" w:sz="4" w:space="0"/>
              <w:tl2br w:val="nil"/>
              <w:tr2bl w:val="nil"/>
            </w:tcBorders>
            <w:noWrap w:val="0"/>
            <w:vAlign w:val="center"/>
          </w:tcPr>
          <w:p w14:paraId="2AEC7F43">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6E63CE82">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152FF5DB">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932" w:type="pct"/>
            <w:tcBorders>
              <w:top w:val="nil"/>
              <w:left w:val="nil"/>
              <w:bottom w:val="single" w:color="auto" w:sz="4" w:space="0"/>
              <w:right w:val="single" w:color="auto" w:sz="4" w:space="0"/>
              <w:tl2br w:val="nil"/>
              <w:tr2bl w:val="nil"/>
            </w:tcBorders>
            <w:noWrap w:val="0"/>
            <w:vAlign w:val="center"/>
          </w:tcPr>
          <w:p w14:paraId="7162D57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100≤X＜1000</w:t>
            </w:r>
          </w:p>
        </w:tc>
        <w:tc>
          <w:tcPr>
            <w:tcW w:w="659" w:type="pct"/>
            <w:tcBorders>
              <w:top w:val="nil"/>
              <w:left w:val="nil"/>
              <w:bottom w:val="single" w:color="auto" w:sz="4" w:space="0"/>
              <w:right w:val="single" w:color="auto" w:sz="4" w:space="0"/>
              <w:tl2br w:val="nil"/>
              <w:tr2bl w:val="nil"/>
            </w:tcBorders>
            <w:noWrap w:val="0"/>
            <w:vAlign w:val="center"/>
          </w:tcPr>
          <w:p w14:paraId="04E2E2EB">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3EFF4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6795683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351B1668">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22" w:type="pct"/>
            <w:tcBorders>
              <w:top w:val="nil"/>
              <w:left w:val="nil"/>
              <w:bottom w:val="single" w:color="auto" w:sz="4" w:space="0"/>
              <w:right w:val="single" w:color="auto" w:sz="4" w:space="0"/>
              <w:tl2br w:val="nil"/>
              <w:tr2bl w:val="nil"/>
            </w:tcBorders>
            <w:noWrap w:val="0"/>
            <w:vAlign w:val="center"/>
          </w:tcPr>
          <w:p w14:paraId="25854F4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2320ED7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932" w:type="pct"/>
            <w:tcBorders>
              <w:top w:val="nil"/>
              <w:left w:val="nil"/>
              <w:bottom w:val="single" w:color="auto" w:sz="4" w:space="0"/>
              <w:right w:val="single" w:color="auto" w:sz="4" w:space="0"/>
              <w:tl2br w:val="nil"/>
              <w:tr2bl w:val="nil"/>
            </w:tcBorders>
            <w:noWrap w:val="0"/>
            <w:vAlign w:val="center"/>
          </w:tcPr>
          <w:p w14:paraId="5A28AA2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2000≤Y＜5000</w:t>
            </w:r>
          </w:p>
        </w:tc>
        <w:tc>
          <w:tcPr>
            <w:tcW w:w="659" w:type="pct"/>
            <w:tcBorders>
              <w:top w:val="nil"/>
              <w:left w:val="nil"/>
              <w:bottom w:val="single" w:color="auto" w:sz="4" w:space="0"/>
              <w:right w:val="single" w:color="auto" w:sz="4" w:space="0"/>
              <w:tl2br w:val="nil"/>
              <w:tr2bl w:val="nil"/>
            </w:tcBorders>
            <w:noWrap w:val="0"/>
            <w:vAlign w:val="center"/>
          </w:tcPr>
          <w:p w14:paraId="42FB447B">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w:t>
            </w:r>
          </w:p>
        </w:tc>
      </w:tr>
      <w:tr w14:paraId="490DF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29CE10EB">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物业管理</w:t>
            </w:r>
          </w:p>
        </w:tc>
        <w:tc>
          <w:tcPr>
            <w:tcW w:w="900" w:type="pct"/>
            <w:tcBorders>
              <w:top w:val="nil"/>
              <w:left w:val="nil"/>
              <w:bottom w:val="single" w:color="auto" w:sz="4" w:space="0"/>
              <w:right w:val="single" w:color="auto" w:sz="4" w:space="0"/>
              <w:tl2br w:val="nil"/>
              <w:tr2bl w:val="nil"/>
            </w:tcBorders>
            <w:noWrap w:val="0"/>
            <w:vAlign w:val="center"/>
          </w:tcPr>
          <w:p w14:paraId="7329BC84">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0BED5BD6">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4605540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32" w:type="pct"/>
            <w:tcBorders>
              <w:top w:val="nil"/>
              <w:left w:val="nil"/>
              <w:bottom w:val="single" w:color="auto" w:sz="4" w:space="0"/>
              <w:right w:val="single" w:color="auto" w:sz="4" w:space="0"/>
              <w:tl2br w:val="nil"/>
              <w:tr2bl w:val="nil"/>
            </w:tcBorders>
            <w:noWrap w:val="0"/>
            <w:vAlign w:val="center"/>
          </w:tcPr>
          <w:p w14:paraId="42520B05">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659" w:type="pct"/>
            <w:tcBorders>
              <w:top w:val="nil"/>
              <w:left w:val="nil"/>
              <w:bottom w:val="single" w:color="auto" w:sz="4" w:space="0"/>
              <w:right w:val="single" w:color="auto" w:sz="4" w:space="0"/>
              <w:tl2br w:val="nil"/>
              <w:tr2bl w:val="nil"/>
            </w:tcBorders>
            <w:noWrap w:val="0"/>
            <w:vAlign w:val="center"/>
          </w:tcPr>
          <w:p w14:paraId="4082DDB3">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68127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5D5BB14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1B07DFB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2" w:type="pct"/>
            <w:tcBorders>
              <w:top w:val="nil"/>
              <w:left w:val="nil"/>
              <w:bottom w:val="single" w:color="auto" w:sz="4" w:space="0"/>
              <w:right w:val="single" w:color="auto" w:sz="4" w:space="0"/>
              <w:tl2br w:val="nil"/>
              <w:tr2bl w:val="nil"/>
            </w:tcBorders>
            <w:noWrap w:val="0"/>
            <w:vAlign w:val="center"/>
          </w:tcPr>
          <w:p w14:paraId="2375718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20DB3EA8">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932" w:type="pct"/>
            <w:tcBorders>
              <w:top w:val="nil"/>
              <w:left w:val="nil"/>
              <w:bottom w:val="single" w:color="auto" w:sz="4" w:space="0"/>
              <w:right w:val="single" w:color="auto" w:sz="4" w:space="0"/>
              <w:tl2br w:val="nil"/>
              <w:tr2bl w:val="nil"/>
            </w:tcBorders>
            <w:noWrap w:val="0"/>
            <w:vAlign w:val="center"/>
          </w:tcPr>
          <w:p w14:paraId="5D401707">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659" w:type="pct"/>
            <w:tcBorders>
              <w:top w:val="nil"/>
              <w:left w:val="nil"/>
              <w:bottom w:val="single" w:color="auto" w:sz="4" w:space="0"/>
              <w:right w:val="single" w:color="auto" w:sz="4" w:space="0"/>
              <w:tl2br w:val="nil"/>
              <w:tr2bl w:val="nil"/>
            </w:tcBorders>
            <w:noWrap w:val="0"/>
            <w:vAlign w:val="center"/>
          </w:tcPr>
          <w:p w14:paraId="7651A053">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73578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restart"/>
            <w:tcBorders>
              <w:top w:val="nil"/>
              <w:left w:val="single" w:color="auto" w:sz="4" w:space="0"/>
              <w:bottom w:val="single" w:color="auto" w:sz="4" w:space="0"/>
              <w:right w:val="single" w:color="auto" w:sz="4" w:space="0"/>
              <w:tl2br w:val="nil"/>
              <w:tr2bl w:val="nil"/>
            </w:tcBorders>
            <w:noWrap w:val="0"/>
            <w:vAlign w:val="center"/>
          </w:tcPr>
          <w:p w14:paraId="4E0679FD">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租赁和商务服务业</w:t>
            </w:r>
          </w:p>
        </w:tc>
        <w:tc>
          <w:tcPr>
            <w:tcW w:w="900" w:type="pct"/>
            <w:tcBorders>
              <w:top w:val="nil"/>
              <w:left w:val="nil"/>
              <w:bottom w:val="single" w:color="auto" w:sz="4" w:space="0"/>
              <w:right w:val="single" w:color="auto" w:sz="4" w:space="0"/>
              <w:tl2br w:val="nil"/>
              <w:tr2bl w:val="nil"/>
            </w:tcBorders>
            <w:noWrap w:val="0"/>
            <w:vAlign w:val="center"/>
          </w:tcPr>
          <w:p w14:paraId="7A446252">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6F7A6C65">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11E18F3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2" w:type="pct"/>
            <w:tcBorders>
              <w:top w:val="nil"/>
              <w:left w:val="nil"/>
              <w:bottom w:val="single" w:color="auto" w:sz="4" w:space="0"/>
              <w:right w:val="single" w:color="auto" w:sz="4" w:space="0"/>
              <w:tl2br w:val="nil"/>
              <w:tr2bl w:val="nil"/>
            </w:tcBorders>
            <w:noWrap w:val="0"/>
            <w:vAlign w:val="center"/>
          </w:tcPr>
          <w:p w14:paraId="2036535F">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9" w:type="pct"/>
            <w:tcBorders>
              <w:top w:val="nil"/>
              <w:left w:val="nil"/>
              <w:bottom w:val="single" w:color="auto" w:sz="4" w:space="0"/>
              <w:right w:val="single" w:color="auto" w:sz="4" w:space="0"/>
              <w:tl2br w:val="nil"/>
              <w:tr2bl w:val="nil"/>
            </w:tcBorders>
            <w:noWrap w:val="0"/>
            <w:vAlign w:val="center"/>
          </w:tcPr>
          <w:p w14:paraId="6738B82A">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4A97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vMerge w:val="continue"/>
            <w:tcBorders>
              <w:top w:val="nil"/>
              <w:left w:val="single" w:color="auto" w:sz="4" w:space="0"/>
              <w:bottom w:val="single" w:color="auto" w:sz="4" w:space="0"/>
              <w:right w:val="single" w:color="auto" w:sz="4" w:space="0"/>
              <w:tl2br w:val="nil"/>
              <w:tr2bl w:val="nil"/>
            </w:tcBorders>
            <w:noWrap w:val="0"/>
            <w:vAlign w:val="center"/>
          </w:tcPr>
          <w:p w14:paraId="51A28006">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p>
        </w:tc>
        <w:tc>
          <w:tcPr>
            <w:tcW w:w="900" w:type="pct"/>
            <w:tcBorders>
              <w:top w:val="nil"/>
              <w:left w:val="nil"/>
              <w:bottom w:val="single" w:color="auto" w:sz="4" w:space="0"/>
              <w:right w:val="single" w:color="auto" w:sz="4" w:space="0"/>
              <w:tl2br w:val="nil"/>
              <w:tr2bl w:val="nil"/>
            </w:tcBorders>
            <w:noWrap w:val="0"/>
            <w:vAlign w:val="center"/>
          </w:tcPr>
          <w:p w14:paraId="79FFB9A6">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22" w:type="pct"/>
            <w:tcBorders>
              <w:top w:val="nil"/>
              <w:left w:val="nil"/>
              <w:bottom w:val="single" w:color="auto" w:sz="4" w:space="0"/>
              <w:right w:val="single" w:color="auto" w:sz="4" w:space="0"/>
              <w:tl2br w:val="nil"/>
              <w:tr2bl w:val="nil"/>
            </w:tcBorders>
            <w:noWrap w:val="0"/>
            <w:vAlign w:val="center"/>
          </w:tcPr>
          <w:p w14:paraId="1C6691B8">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42" w:type="pct"/>
            <w:tcBorders>
              <w:top w:val="nil"/>
              <w:left w:val="nil"/>
              <w:bottom w:val="single" w:color="auto" w:sz="4" w:space="0"/>
              <w:right w:val="single" w:color="auto" w:sz="4" w:space="0"/>
              <w:tl2br w:val="nil"/>
              <w:tr2bl w:val="nil"/>
            </w:tcBorders>
            <w:noWrap w:val="0"/>
            <w:vAlign w:val="center"/>
          </w:tcPr>
          <w:p w14:paraId="31CAE856">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932" w:type="pct"/>
            <w:tcBorders>
              <w:top w:val="nil"/>
              <w:left w:val="nil"/>
              <w:bottom w:val="single" w:color="auto" w:sz="4" w:space="0"/>
              <w:right w:val="single" w:color="auto" w:sz="4" w:space="0"/>
              <w:tl2br w:val="nil"/>
              <w:tr2bl w:val="nil"/>
            </w:tcBorders>
            <w:noWrap w:val="0"/>
            <w:vAlign w:val="center"/>
          </w:tcPr>
          <w:p w14:paraId="24B916C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659" w:type="pct"/>
            <w:tcBorders>
              <w:top w:val="nil"/>
              <w:left w:val="nil"/>
              <w:bottom w:val="single" w:color="auto" w:sz="4" w:space="0"/>
              <w:right w:val="single" w:color="auto" w:sz="4" w:space="0"/>
              <w:tl2br w:val="nil"/>
              <w:tr2bl w:val="nil"/>
            </w:tcBorders>
            <w:noWrap w:val="0"/>
            <w:vAlign w:val="center"/>
          </w:tcPr>
          <w:p w14:paraId="6F9E501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7869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3" w:type="pct"/>
            <w:tcBorders>
              <w:top w:val="nil"/>
              <w:left w:val="single" w:color="auto" w:sz="4" w:space="0"/>
              <w:bottom w:val="single" w:color="auto" w:sz="4" w:space="0"/>
              <w:right w:val="single" w:color="auto" w:sz="4" w:space="0"/>
              <w:tl2br w:val="nil"/>
              <w:tr2bl w:val="nil"/>
            </w:tcBorders>
            <w:noWrap w:val="0"/>
            <w:vAlign w:val="center"/>
          </w:tcPr>
          <w:p w14:paraId="3E201D8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其他未列明行业</w:t>
            </w:r>
          </w:p>
        </w:tc>
        <w:tc>
          <w:tcPr>
            <w:tcW w:w="900" w:type="pct"/>
            <w:tcBorders>
              <w:top w:val="nil"/>
              <w:left w:val="nil"/>
              <w:bottom w:val="single" w:color="auto" w:sz="4" w:space="0"/>
              <w:right w:val="single" w:color="auto" w:sz="4" w:space="0"/>
              <w:tl2br w:val="nil"/>
              <w:tr2bl w:val="nil"/>
            </w:tcBorders>
            <w:noWrap w:val="0"/>
            <w:vAlign w:val="center"/>
          </w:tcPr>
          <w:p w14:paraId="31286AAF">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2" w:type="pct"/>
            <w:tcBorders>
              <w:top w:val="nil"/>
              <w:left w:val="nil"/>
              <w:bottom w:val="single" w:color="auto" w:sz="4" w:space="0"/>
              <w:right w:val="single" w:color="auto" w:sz="4" w:space="0"/>
              <w:tl2br w:val="nil"/>
              <w:tr2bl w:val="nil"/>
            </w:tcBorders>
            <w:noWrap w:val="0"/>
            <w:vAlign w:val="center"/>
          </w:tcPr>
          <w:p w14:paraId="7A31DEDE">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42" w:type="pct"/>
            <w:tcBorders>
              <w:top w:val="nil"/>
              <w:left w:val="nil"/>
              <w:bottom w:val="single" w:color="auto" w:sz="4" w:space="0"/>
              <w:right w:val="single" w:color="auto" w:sz="4" w:space="0"/>
              <w:tl2br w:val="nil"/>
              <w:tr2bl w:val="nil"/>
            </w:tcBorders>
            <w:noWrap w:val="0"/>
            <w:vAlign w:val="center"/>
          </w:tcPr>
          <w:p w14:paraId="602B0E79">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2" w:type="pct"/>
            <w:tcBorders>
              <w:top w:val="nil"/>
              <w:left w:val="nil"/>
              <w:bottom w:val="single" w:color="auto" w:sz="4" w:space="0"/>
              <w:right w:val="single" w:color="auto" w:sz="4" w:space="0"/>
              <w:tl2br w:val="nil"/>
              <w:tr2bl w:val="nil"/>
            </w:tcBorders>
            <w:noWrap w:val="0"/>
            <w:vAlign w:val="center"/>
          </w:tcPr>
          <w:p w14:paraId="6268D238">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9" w:type="pct"/>
            <w:tcBorders>
              <w:top w:val="nil"/>
              <w:left w:val="nil"/>
              <w:bottom w:val="single" w:color="auto" w:sz="4" w:space="0"/>
              <w:right w:val="single" w:color="auto" w:sz="4" w:space="0"/>
              <w:tl2br w:val="nil"/>
              <w:tr2bl w:val="nil"/>
            </w:tcBorders>
            <w:noWrap w:val="0"/>
            <w:vAlign w:val="center"/>
          </w:tcPr>
          <w:p w14:paraId="76982600">
            <w:pPr>
              <w:keepNext w:val="0"/>
              <w:keepLines w:val="0"/>
              <w:pageBreakBefore w:val="0"/>
              <w:widowControl/>
              <w:shd w:val="clear" w:color="auto" w:fill="auto"/>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56806B42">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30E882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kern w:val="0"/>
          <w:sz w:val="21"/>
          <w:szCs w:val="21"/>
          <w:highlight w:val="none"/>
        </w:rPr>
        <w:sectPr>
          <w:footerReference r:id="rId11" w:type="first"/>
          <w:footerReference r:id="rId10" w:type="default"/>
          <w:pgSz w:w="11906" w:h="16838"/>
          <w:pgMar w:top="1440" w:right="1803" w:bottom="1440" w:left="1803" w:header="720" w:footer="720" w:gutter="0"/>
          <w:lnNumType w:countBy="0" w:distance="360"/>
          <w:pgNumType w:start="1"/>
          <w:cols w:space="720" w:num="1"/>
          <w:docGrid w:type="lines" w:linePitch="331" w:charSpace="0"/>
        </w:sectPr>
      </w:pPr>
    </w:p>
    <w:p w14:paraId="5432C5BE">
      <w:pPr>
        <w:shd w:val="clear" w:color="auto" w:fill="auto"/>
        <w:spacing w:line="360" w:lineRule="auto"/>
        <w:jc w:val="center"/>
        <w:outlineLvl w:val="0"/>
        <w:rPr>
          <w:rFonts w:hint="eastAsia" w:ascii="方正小标宋_GBK" w:hAnsi="方正小标宋_GBK" w:eastAsia="方正小标宋_GBK" w:cs="方正小标宋_GBK"/>
          <w:b/>
          <w:color w:val="auto"/>
          <w:sz w:val="28"/>
          <w:szCs w:val="28"/>
          <w:highlight w:val="none"/>
          <w:lang w:val="en-US" w:eastAsia="zh-CN"/>
        </w:rPr>
      </w:pPr>
      <w:bookmarkStart w:id="112" w:name="_Toc30997"/>
      <w:bookmarkStart w:id="113" w:name="_Toc32549"/>
      <w:r>
        <w:rPr>
          <w:rFonts w:hint="eastAsia" w:ascii="方正小标宋_GBK" w:hAnsi="方正小标宋_GBK" w:eastAsia="方正小标宋_GBK" w:cs="方正小标宋_GBK"/>
          <w:b/>
          <w:color w:val="auto"/>
          <w:sz w:val="28"/>
          <w:szCs w:val="28"/>
          <w:highlight w:val="none"/>
          <w:lang w:val="en-US" w:eastAsia="zh-CN"/>
        </w:rPr>
        <w:t>第四章 评审程序、评审方法和评审标准</w:t>
      </w:r>
      <w:bookmarkEnd w:id="86"/>
      <w:bookmarkEnd w:id="112"/>
      <w:bookmarkEnd w:id="113"/>
    </w:p>
    <w:p w14:paraId="22643D48">
      <w:pPr>
        <w:shd w:val="clear" w:color="auto" w:fill="auto"/>
        <w:spacing w:line="360" w:lineRule="auto"/>
        <w:jc w:val="center"/>
        <w:outlineLvl w:val="9"/>
        <w:rPr>
          <w:rFonts w:hint="eastAsia" w:ascii="宋体" w:hAnsi="宋体" w:eastAsia="宋体" w:cs="宋体"/>
          <w:b/>
          <w:color w:val="auto"/>
          <w:sz w:val="21"/>
          <w:szCs w:val="21"/>
          <w:highlight w:val="none"/>
        </w:rPr>
      </w:pPr>
      <w:bookmarkStart w:id="114" w:name="_Toc29580"/>
    </w:p>
    <w:p w14:paraId="53C3AC37">
      <w:pPr>
        <w:shd w:val="clear" w:color="auto" w:fill="auto"/>
        <w:spacing w:line="360" w:lineRule="auto"/>
        <w:jc w:val="center"/>
        <w:outlineLvl w:val="1"/>
        <w:rPr>
          <w:rFonts w:hint="eastAsia" w:ascii="宋体" w:hAnsi="宋体" w:eastAsia="宋体" w:cs="宋体"/>
          <w:b/>
          <w:color w:val="auto"/>
          <w:sz w:val="24"/>
          <w:szCs w:val="24"/>
          <w:highlight w:val="none"/>
        </w:rPr>
      </w:pPr>
      <w:bookmarkStart w:id="115" w:name="_Toc16301"/>
      <w:r>
        <w:rPr>
          <w:rFonts w:hint="eastAsia" w:ascii="宋体" w:hAnsi="宋体" w:eastAsia="宋体" w:cs="宋体"/>
          <w:b/>
          <w:color w:val="auto"/>
          <w:sz w:val="24"/>
          <w:szCs w:val="24"/>
          <w:highlight w:val="none"/>
        </w:rPr>
        <w:t>一、评审程序和评审方法</w:t>
      </w:r>
      <w:bookmarkEnd w:id="114"/>
      <w:bookmarkEnd w:id="115"/>
    </w:p>
    <w:p w14:paraId="34676F3E">
      <w:pPr>
        <w:keepNext w:val="0"/>
        <w:keepLines w:val="0"/>
        <w:pageBreakBefore w:val="0"/>
        <w:shd w:val="clear" w:color="auto" w:fill="auto"/>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1.资格审查</w:t>
      </w:r>
    </w:p>
    <w:p w14:paraId="032D4992">
      <w:pPr>
        <w:keepNext w:val="0"/>
        <w:keepLines w:val="0"/>
        <w:pageBreakBefore w:val="0"/>
        <w:shd w:val="clear" w:color="auto" w:fill="auto"/>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1.1响应文件开启后，磋商小组依法对供应商的资格证明文件进行审查。</w:t>
      </w:r>
    </w:p>
    <w:p w14:paraId="3BDF2DF9">
      <w:pPr>
        <w:keepNext w:val="0"/>
        <w:keepLines w:val="0"/>
        <w:pageBreakBefore w:val="0"/>
        <w:shd w:val="clear" w:color="auto" w:fill="auto"/>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注：磋商小组在资格审查结束前，对供应商进行信用查询。</w:t>
      </w:r>
    </w:p>
    <w:p w14:paraId="73366011">
      <w:pPr>
        <w:keepNext w:val="0"/>
        <w:keepLines w:val="0"/>
        <w:pageBreakBefore w:val="0"/>
        <w:widowControl w:val="0"/>
        <w:shd w:val="clear" w:color="auto" w:fill="auto"/>
        <w:kinsoku/>
        <w:wordWrap w:val="0"/>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（1）查询渠道：</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lang w:val="en-US" w:eastAsia="zh-CN"/>
        </w:rPr>
        <w:t>接口的</w:t>
      </w:r>
      <w:r>
        <w:rPr>
          <w:rFonts w:hint="eastAsia" w:ascii="宋体" w:hAnsi="宋体" w:eastAsia="宋体" w:cs="宋体"/>
          <w:color w:val="auto"/>
          <w:sz w:val="21"/>
          <w:szCs w:val="21"/>
          <w:highlight w:val="none"/>
        </w:rPr>
        <w:t>“信用中国”网站(www.creditchina.gov.cn)、中国政府采购网(www.ccgp.gov.cn)链接入口。</w:t>
      </w:r>
    </w:p>
    <w:p w14:paraId="6F082B33">
      <w:pPr>
        <w:keepNext w:val="0"/>
        <w:keepLines w:val="0"/>
        <w:pageBreakBefore w:val="0"/>
        <w:widowControl w:val="0"/>
        <w:shd w:val="clear" w:color="auto" w:fill="auto"/>
        <w:kinsoku/>
        <w:wordWrap w:val="0"/>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（2）信用查询截止时点：资格审查结束前。</w:t>
      </w:r>
    </w:p>
    <w:p w14:paraId="4879903E">
      <w:pPr>
        <w:keepNext w:val="0"/>
        <w:keepLines w:val="0"/>
        <w:pageBreakBefore w:val="0"/>
        <w:widowControl w:val="0"/>
        <w:shd w:val="clear" w:color="auto" w:fill="auto"/>
        <w:kinsoku/>
        <w:wordWrap w:val="0"/>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（3）查询记录和证据留存方式：在查询网站中直接查询，截图另存为电子文档作为评审资料保存。</w:t>
      </w:r>
    </w:p>
    <w:p w14:paraId="08E3409B">
      <w:pPr>
        <w:keepNext w:val="0"/>
        <w:keepLines w:val="0"/>
        <w:pageBreakBefore w:val="0"/>
        <w:shd w:val="clear" w:color="auto" w:fill="auto"/>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4C156756">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1.2资格审查标准为本磋商文件中载明对供应商资格要求的条件。资格审查采用合格制，凡符合磋商文件规定的供应商资格要求的响应文件均通过资格审查。</w:t>
      </w:r>
    </w:p>
    <w:p w14:paraId="34E4ECE2">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1.3供应商有下列情形之一的，资格审查不通过，其响应文件按无效响应处理：</w:t>
      </w:r>
    </w:p>
    <w:p w14:paraId="4887B11A">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（1）不具备磋商文件中规定的资格要求的；</w:t>
      </w:r>
    </w:p>
    <w:p w14:paraId="416248F6">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）响应文件的资格证明文件缺少任一项“供应商须知前附表”资格证明文件规定的“必须提供”的文件资料的；</w:t>
      </w:r>
    </w:p>
    <w:p w14:paraId="65DDA82D">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）响应文件中的资格证明文件出现任一项不符合“供应商须知前附表”资格证明文件规定的“必须提供”的文件资料要求或者无效的；</w:t>
      </w:r>
    </w:p>
    <w:p w14:paraId="001D889B">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5AC1613A">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1.4通过资格审查的合格供应商不足3家的，不得进入符合性审查环节，采购人或者采购代理机构应当重新开展采购活动。</w:t>
      </w:r>
    </w:p>
    <w:p w14:paraId="6BB5798E">
      <w:pPr>
        <w:keepNext w:val="0"/>
        <w:keepLines w:val="0"/>
        <w:pageBreakBefore w:val="0"/>
        <w:shd w:val="clear" w:color="auto" w:fill="auto"/>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2.符合性审查</w:t>
      </w:r>
    </w:p>
    <w:p w14:paraId="5807F038">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bookmarkStart w:id="116" w:name="_Hlk42528882"/>
      <w:r>
        <w:rPr>
          <w:rFonts w:hint="eastAsia" w:ascii="宋体" w:hAnsi="宋体" w:eastAsia="宋体" w:cs="宋体"/>
          <w:color w:val="auto"/>
          <w:sz w:val="21"/>
          <w:szCs w:val="21"/>
          <w:highlight w:val="none"/>
        </w:rPr>
        <w:t>2.1由磋商小组对通过资格审查的合格供应商的响应文件的竞标报价、商务、技术等实质性要求进行符合性审查，以确定其是否满足磋商文件的实质性要求。</w:t>
      </w:r>
    </w:p>
    <w:bookmarkEnd w:id="116"/>
    <w:p w14:paraId="769BCB33">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E7697A0">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2.3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签章</w:t>
      </w:r>
      <w:r>
        <w:rPr>
          <w:rFonts w:hint="eastAsia" w:ascii="宋体" w:hAnsi="宋体" w:eastAsia="宋体" w:cs="宋体"/>
          <w:color w:val="auto"/>
          <w:spacing w:val="-6"/>
          <w:sz w:val="21"/>
          <w:szCs w:val="21"/>
          <w:highlight w:val="none"/>
        </w:rPr>
        <w:t>。</w:t>
      </w:r>
    </w:p>
    <w:p w14:paraId="2DDDA70E">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F1C7D40">
      <w:pPr>
        <w:keepNext w:val="0"/>
        <w:keepLines w:val="0"/>
        <w:pageBreakBefore w:val="0"/>
        <w:shd w:val="clear" w:color="auto" w:fill="auto"/>
        <w:kinsoku/>
        <w:wordWrap/>
        <w:overflowPunct/>
        <w:topLinePunct w:val="0"/>
        <w:autoSpaceDE/>
        <w:autoSpaceDN/>
        <w:bidi w:val="0"/>
        <w:adjustRightInd/>
        <w:spacing w:line="400" w:lineRule="exact"/>
        <w:ind w:firstLine="39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2.4</w:t>
      </w:r>
      <w:r>
        <w:rPr>
          <w:rFonts w:hint="eastAsia" w:ascii="宋体" w:hAnsi="宋体" w:eastAsia="宋体" w:cs="宋体"/>
          <w:color w:val="auto"/>
          <w:sz w:val="21"/>
          <w:szCs w:val="21"/>
          <w:highlight w:val="none"/>
        </w:rPr>
        <w:t xml:space="preserve">首次响应文件报价出现前后不一致的，按照下列规定修正： </w:t>
      </w:r>
    </w:p>
    <w:p w14:paraId="30227705">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（1）响应文件中报价表内容与响应文件中相应内容不一致的，以报价表为准；</w:t>
      </w:r>
    </w:p>
    <w:p w14:paraId="53F57CC0">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（2）大写金额和小写金额不一致的，以大写金额为准；</w:t>
      </w:r>
    </w:p>
    <w:p w14:paraId="3D2C819D">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（3）单价金额小数点或者百分比有明显错位的，以报价表的总价为准，并修改单价；</w:t>
      </w:r>
    </w:p>
    <w:p w14:paraId="0520EC05">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（4）总价金额与按单价汇总金额不一致的，以单价金额计算结果为准。</w:t>
      </w:r>
    </w:p>
    <w:p w14:paraId="78D31FA6">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同时出现两种以上不一致的，按照以上（1）-（4）规定的顺序逐条进行修正。修正后的报价经供应商确认后产生约束力，供应商不确认的，其响应文件按无效响应处理。</w:t>
      </w:r>
    </w:p>
    <w:p w14:paraId="30F9670B">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2.5商务技术报价评审</w:t>
      </w:r>
    </w:p>
    <w:p w14:paraId="1C5D9E72">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在评审时，如发现下列情形之一的，将被视为响应文件无效处理：</w:t>
      </w:r>
    </w:p>
    <w:p w14:paraId="6462FA3F">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（1）商务技术评审</w:t>
      </w:r>
    </w:p>
    <w:p w14:paraId="6FDC8FFC">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）响应文件未按磋商文件要求签署、盖章；</w:t>
      </w:r>
    </w:p>
    <w:p w14:paraId="16646CBC">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）委托代理人未能出具有效身份证或者出具的身份证与授权委托书中的信息不符的； </w:t>
      </w:r>
    </w:p>
    <w:p w14:paraId="5217FB96">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）提交的磋商保证金无效的或者未按照磋商文件的规定提交磋商保证金；</w:t>
      </w:r>
    </w:p>
    <w:p w14:paraId="428C70C1">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292B2A76">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）商务要求允许负偏离的条款数超过“供应商须知前附表”规定项数的；</w:t>
      </w:r>
    </w:p>
    <w:p w14:paraId="2A571FD7">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）未对竞标有效期作出响应或者响应文件承诺的竞标有效期不满足磋商文件要求；</w:t>
      </w:r>
    </w:p>
    <w:p w14:paraId="38461345">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）响应文件的实质性内容未使用中文表述、使用计量单位不符合磋商文件要求；</w:t>
      </w:r>
    </w:p>
    <w:p w14:paraId="5B8966E8">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）响应文件中的文件资料因填写不齐全或者内容虚假或者出现其他情形而导致被磋商小组认定无效；</w:t>
      </w:r>
    </w:p>
    <w:p w14:paraId="29EF2CC8">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）响应文件含有采购人不能接受的附加条件；</w:t>
      </w:r>
    </w:p>
    <w:p w14:paraId="43376E8B">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）属于“供应商须知正文”第7.5条情形；</w:t>
      </w:r>
    </w:p>
    <w:p w14:paraId="5B188991">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）技术要求允许负偏离的条款数超过“供应商须知前附表”规定项数；</w:t>
      </w:r>
    </w:p>
    <w:p w14:paraId="6ADAF140">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）虚假竞标，或者出现其他情形而导致被磋商小组认定无效；</w:t>
      </w:r>
    </w:p>
    <w:p w14:paraId="0F528BA4">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）磋商文件未载明允许提供备选（替代）竞标方案或明确不允许提供备选（替代）竞标方案时，供应商提供了备选（替代）竞标方案的；</w:t>
      </w:r>
    </w:p>
    <w:p w14:paraId="68852F0E">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15）响应文件标注的项目名称或者项目编号与磋商文件标注的项目名称或者项目编号不一致的；</w:t>
      </w:r>
    </w:p>
    <w:p w14:paraId="63B5A47A">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b/>
          <w:color w:val="auto"/>
          <w:sz w:val="21"/>
          <w:szCs w:val="21"/>
          <w:highlight w:val="none"/>
        </w:rPr>
        <w:t>竞争性磋商文件明确不允许分包，响应文件拟分包的；</w:t>
      </w:r>
    </w:p>
    <w:p w14:paraId="3AEA3DD7">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17）未响应磋商文件实质性要求；</w:t>
      </w:r>
    </w:p>
    <w:p w14:paraId="2F50FB36">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18）法律、法规和磋商文件规定的其他无效情形。</w:t>
      </w:r>
    </w:p>
    <w:p w14:paraId="442256F7">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（2）报价评审</w:t>
      </w:r>
    </w:p>
    <w:p w14:paraId="64869393">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1）响应文件未提供“供应商须知前附表”报价文件中规定的“竞标报价表”；</w:t>
      </w:r>
    </w:p>
    <w:p w14:paraId="4C9B4E0E">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2）未采用人民币报价或者未按照磋商文件标明的币种报价；</w:t>
      </w:r>
    </w:p>
    <w:p w14:paraId="416F2BBD">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4095B3B2">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bookmarkStart w:id="117" w:name="_Hlk42596405"/>
      <w:r>
        <w:rPr>
          <w:rFonts w:hint="eastAsia" w:ascii="宋体" w:hAnsi="宋体" w:eastAsia="宋体" w:cs="宋体"/>
          <w:color w:val="auto"/>
          <w:sz w:val="21"/>
          <w:szCs w:val="21"/>
          <w:highlight w:val="none"/>
        </w:rPr>
        <w:t>4）竞标报价（包含首次报价、最后报价）超过所竞标分标规定的采购预算金额或者最高限价的（如本项目公布了最高限价）；</w:t>
      </w:r>
      <w:bookmarkEnd w:id="117"/>
      <w:r>
        <w:rPr>
          <w:rFonts w:hint="eastAsia" w:ascii="宋体" w:hAnsi="宋体" w:eastAsia="宋体" w:cs="宋体"/>
          <w:color w:val="auto"/>
          <w:sz w:val="21"/>
          <w:szCs w:val="21"/>
          <w:highlight w:val="none"/>
        </w:rPr>
        <w:t>竞标报价（包含首次报价、最后报价）超过磋商文件分项采购预算金额或者最高限价的（如本项目公布了最高限价）；</w:t>
      </w:r>
    </w:p>
    <w:p w14:paraId="0A273601">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644C47FC">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6）响应文件响应的标的数量及单位与竞争性磋商采购文件要求实质性不一致的。</w:t>
      </w:r>
    </w:p>
    <w:p w14:paraId="16797A08">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依据规定《财政部关于推动解决政府采购异常低价问题的通知》（财库〔2026〕2号）规定，政府采购评审中出现异常低价情形，磋商小组应当启动异常低价投标审查程序。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审查的启动原因、审查意见和审查结果应当在评审报告中记录，并随供应商提供的相关书面说明及证明材料，以及评审委员会有关互联网浏览、查询历史一并归档。</w:t>
      </w:r>
    </w:p>
    <w:p w14:paraId="5878F236">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07A77AC">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2.7通过符合性审查的合格供应商不足3家的，不得进入磋商环节，采购人或者采购代理机构应当重新开展采购活动。</w:t>
      </w:r>
    </w:p>
    <w:p w14:paraId="6702114F">
      <w:pPr>
        <w:keepNext w:val="0"/>
        <w:keepLines w:val="0"/>
        <w:pageBreakBefore w:val="0"/>
        <w:shd w:val="clear" w:color="auto" w:fill="auto"/>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3.磋商程序</w:t>
      </w:r>
    </w:p>
    <w:p w14:paraId="15E5AE05">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3.1磋商小组</w:t>
      </w:r>
      <w:r>
        <w:rPr>
          <w:rFonts w:hint="eastAsia" w:ascii="宋体" w:hAnsi="宋体" w:eastAsia="宋体" w:cs="宋体"/>
          <w:color w:val="auto"/>
          <w:sz w:val="21"/>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DF2E084">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B8CB933">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3.3对磋商文件作出的实质性变动是磋商文件的有效组成部分，由磋商小组及时以电子澄清函形式同时通知所有参加磋商的供应商。</w:t>
      </w:r>
    </w:p>
    <w:p w14:paraId="08713544">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631B807E">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3.5磋商中，</w:t>
      </w:r>
      <w:r>
        <w:rPr>
          <w:rFonts w:hint="eastAsia" w:ascii="宋体" w:hAnsi="宋体" w:eastAsia="宋体" w:cs="宋体"/>
          <w:color w:val="auto"/>
          <w:spacing w:val="-6"/>
          <w:sz w:val="21"/>
          <w:szCs w:val="21"/>
          <w:highlight w:val="none"/>
        </w:rPr>
        <w:t>磋商的任何一方不得透露与磋商有关的其他供应商的技术资料、价格和其他信息。</w:t>
      </w:r>
    </w:p>
    <w:p w14:paraId="5A4F8C80">
      <w:pPr>
        <w:keepNext w:val="0"/>
        <w:keepLines w:val="0"/>
        <w:pageBreakBefore w:val="0"/>
        <w:widowControl/>
        <w:shd w:val="clear" w:color="auto" w:fill="auto"/>
        <w:tabs>
          <w:tab w:val="left" w:pos="540"/>
        </w:tab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3.6采购代理机构对磋商过程和重要磋商内容进行记录。</w:t>
      </w:r>
    </w:p>
    <w:p w14:paraId="2111020F">
      <w:pPr>
        <w:keepNext w:val="0"/>
        <w:keepLines w:val="0"/>
        <w:pageBreakBefore w:val="0"/>
        <w:widowControl/>
        <w:shd w:val="clear" w:color="auto" w:fill="auto"/>
        <w:tabs>
          <w:tab w:val="left" w:pos="540"/>
        </w:tab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3.7根据《财政部关于政府采购竞争性磋商采购</w:t>
      </w:r>
      <w:r>
        <w:rPr>
          <w:rFonts w:hint="eastAsia" w:ascii="宋体" w:hAnsi="宋体" w:eastAsia="宋体" w:cs="宋体"/>
          <w:color w:val="auto"/>
          <w:sz w:val="21"/>
          <w:szCs w:val="21"/>
          <w:highlight w:val="none"/>
          <w:lang w:val="en-US" w:eastAsia="zh-CN"/>
        </w:rPr>
        <w:t>方式</w:t>
      </w:r>
      <w:r>
        <w:rPr>
          <w:rFonts w:hint="eastAsia" w:ascii="宋体" w:hAnsi="宋体" w:eastAsia="宋体" w:cs="宋体"/>
          <w:color w:val="auto"/>
          <w:sz w:val="21"/>
          <w:szCs w:val="21"/>
          <w:highlight w:val="none"/>
        </w:rPr>
        <w:t>管理暂行办法有关问题的补充通知》（财库〔2015〕124号）的规定，采用竞争性磋商采购</w:t>
      </w:r>
      <w:r>
        <w:rPr>
          <w:rFonts w:hint="eastAsia" w:ascii="宋体" w:hAnsi="宋体" w:eastAsia="宋体" w:cs="宋体"/>
          <w:color w:val="auto"/>
          <w:sz w:val="21"/>
          <w:szCs w:val="21"/>
          <w:highlight w:val="none"/>
          <w:lang w:val="en-US" w:eastAsia="zh-CN"/>
        </w:rPr>
        <w:t>方式</w:t>
      </w:r>
      <w:r>
        <w:rPr>
          <w:rFonts w:hint="eastAsia" w:ascii="宋体" w:hAnsi="宋体" w:eastAsia="宋体" w:cs="宋体"/>
          <w:color w:val="auto"/>
          <w:sz w:val="21"/>
          <w:szCs w:val="21"/>
          <w:highlight w:val="none"/>
        </w:rPr>
        <w:t>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25B83B2">
      <w:pPr>
        <w:keepNext w:val="0"/>
        <w:keepLines w:val="0"/>
        <w:pageBreakBefore w:val="0"/>
        <w:shd w:val="clear" w:color="auto" w:fill="auto"/>
        <w:tabs>
          <w:tab w:val="left" w:pos="2835"/>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3.8除本章第3.7条情形外，对磋商过程提交的响应文件进行有效性、完整性和响应程度审查，通过审查的合格供应商不足3家的，采购人或者采购代理机构应当重新开展采购活动。</w:t>
      </w:r>
    </w:p>
    <w:p w14:paraId="5FE49731">
      <w:pPr>
        <w:keepNext w:val="0"/>
        <w:keepLines w:val="0"/>
        <w:pageBreakBefore w:val="0"/>
        <w:shd w:val="clear" w:color="auto" w:fill="auto"/>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4.最后报价</w:t>
      </w:r>
    </w:p>
    <w:p w14:paraId="5F794748">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4.1磋商文件能够详细列明采购标的的技术、服务要求的，磋商结束后，磋商小组应当要求所有继续参加磋商的供应商在规定时间内在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开标大厅提交最后报价，除本章第4.3条外，提交最后报价的供应商不得少于3家，否则必须重新采购。</w:t>
      </w:r>
    </w:p>
    <w:p w14:paraId="2EFAA7D5">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开标大厅提交最后报价。</w:t>
      </w:r>
    </w:p>
    <w:p w14:paraId="51234C3C">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最后报价是供应商响应文件的有效组成部分。符合《政府采购竞争性磋商采购人式管理暂行办法》（财库〔2014〕214号）第三条第四项“市场竞争不充分的科研项目，以及需要扶持的科技成果转化项目”和本章第3.7条情形的，提交最后报价的供应商可以为2家。</w:t>
      </w:r>
    </w:p>
    <w:p w14:paraId="3A62E44D">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38C27967">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4.5供应商未在规定时间内提交最后报价的，视同退出磋商，其响应文件按无效处理。</w:t>
      </w:r>
    </w:p>
    <w:p w14:paraId="4BFB04F9">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4.6最后报价统一开启后，磋商小组对最后报价进行有效性、完整性和响应程度的审查。</w:t>
      </w:r>
    </w:p>
    <w:p w14:paraId="451E6E27">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4.7最后报价出现前后不一致的，按照本章第2.4条的规定修正。 </w:t>
      </w:r>
    </w:p>
    <w:p w14:paraId="61996B7E">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4.8修正后的报价出现下列情形的，按无效响应处理：</w:t>
      </w:r>
    </w:p>
    <w:p w14:paraId="5BD06EC2">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（1）供应商不确认的（全流程电子化评标采取在线确认）；</w:t>
      </w:r>
    </w:p>
    <w:p w14:paraId="09281ED6">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（2）经供应商确认修正后的竞标报价（包含首次报价、最后报价）超过所竞标分标规定的采购预算金额或者最高限价的（如本项目公布了最高限价）；</w:t>
      </w:r>
    </w:p>
    <w:p w14:paraId="22F6532E">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（3）经供应商确认修正后的竞标报价（包含首次报价、最后报价）超过分项采购预算金额或者最高限价的（如本项目公布了最高限价）。</w:t>
      </w:r>
    </w:p>
    <w:p w14:paraId="4E8236AE">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4.9经供应商确认修正后的最后报价作为评审及签订合同的依据。</w:t>
      </w:r>
    </w:p>
    <w:p w14:paraId="27916373">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4.10供应商出现最后报价按无效响应处理或者响应文件按无效处理时，磋商小组应当告知有关供应商。</w:t>
      </w:r>
    </w:p>
    <w:p w14:paraId="3FD80CBD">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4.11最后报价结束后，磋商小组不得再与供应商进行任何形式的商谈。</w:t>
      </w:r>
    </w:p>
    <w:p w14:paraId="17AB94EA">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5.比较与评价</w:t>
      </w:r>
    </w:p>
    <w:p w14:paraId="3B054864">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5.1评审方法：综合评分法。</w:t>
      </w:r>
    </w:p>
    <w:p w14:paraId="0C3A5D3B">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5.2经磋商确定最终采购需求和提交最后报价的供应商后，由磋商小组采用综合评分法对提交最后报价的供应商的响应文件和最后报价进行综合评分。</w:t>
      </w:r>
    </w:p>
    <w:p w14:paraId="11F30660">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5.3评审时，磋商小组各成员应当独立对每个有效响应的文件进行评价、打分，然后汇总每个供应商每项评分因素的得分。</w:t>
      </w:r>
    </w:p>
    <w:p w14:paraId="5389EB64">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（1）磋商小组按照磋商文件中规定的评审标准计算各供应商的报价得分。项目评审过程中，不得去掉最后报价中的最高报价和最低报价。</w:t>
      </w:r>
    </w:p>
    <w:p w14:paraId="703D1C16">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（2）各供应商的得分为磋商小组所有成员的有效评分的算术平均数。</w:t>
      </w:r>
    </w:p>
    <w:p w14:paraId="06CF752E">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5.4评审价为供应商的最后报价进行政策性扣除后的价格，评审价只是作为评审时使用。最终成交供应商的成交金额等于最后报价（如有修正，以确认修正后的最后报价为准）。</w:t>
      </w:r>
    </w:p>
    <w:p w14:paraId="66C16A9C">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5.5由磋商小组根据综合评分情况，按照评审得分由高到低顺序推荐3名以上成交候选供应商，并编写评</w:t>
      </w:r>
      <w:r>
        <w:rPr>
          <w:rFonts w:hint="eastAsia" w:ascii="宋体" w:hAnsi="宋体" w:eastAsia="宋体" w:cs="宋体"/>
          <w:color w:val="auto"/>
          <w:kern w:val="0"/>
          <w:sz w:val="21"/>
          <w:szCs w:val="21"/>
          <w:highlight w:val="none"/>
        </w:rPr>
        <w:t>审报告。符合本章第4.3条情形的，可以推荐2家成交候选供应商。评审得分相同的，按照最后报价由低到高的顺序推荐。评审得分且最后报价相同的，按照技术指标优劣顺序推荐。</w:t>
      </w:r>
    </w:p>
    <w:p w14:paraId="4D3A7626">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3208A47">
      <w:pPr>
        <w:keepNext w:val="0"/>
        <w:keepLines w:val="0"/>
        <w:pageBreakBefore w:val="0"/>
        <w:shd w:val="clear" w:color="auto" w:fill="auto"/>
        <w:kinsoku/>
        <w:wordWrap/>
        <w:overflowPunct/>
        <w:topLinePunct w:val="0"/>
        <w:autoSpaceDE/>
        <w:autoSpaceDN/>
        <w:bidi w:val="0"/>
        <w:adjustRightInd/>
        <w:spacing w:line="400" w:lineRule="exact"/>
        <w:ind w:firstLine="420" w:firstLineChars="200"/>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color w:val="auto"/>
          <w:kern w:val="0"/>
          <w:sz w:val="21"/>
          <w:szCs w:val="21"/>
          <w:highlight w:val="none"/>
        </w:rPr>
        <w:br w:type="page"/>
      </w:r>
      <w:bookmarkStart w:id="118" w:name="_Toc10921"/>
      <w:bookmarkStart w:id="119" w:name="_Toc21732"/>
      <w:r>
        <w:rPr>
          <w:rFonts w:hint="eastAsia" w:ascii="宋体" w:hAnsi="宋体" w:eastAsia="宋体" w:cs="宋体"/>
          <w:b/>
          <w:bCs w:val="0"/>
          <w:color w:val="auto"/>
          <w:sz w:val="24"/>
          <w:szCs w:val="24"/>
          <w:highlight w:val="none"/>
        </w:rPr>
        <w:t>二、评审标准</w:t>
      </w:r>
      <w:bookmarkEnd w:id="118"/>
      <w:bookmarkEnd w:id="119"/>
    </w:p>
    <w:p w14:paraId="47748F89">
      <w:pPr>
        <w:keepNext w:val="0"/>
        <w:keepLines w:val="0"/>
        <w:pageBreakBefore w:val="0"/>
        <w:shd w:val="clear" w:color="auto" w:fill="auto"/>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6.评审依据：磋商小组将以磋商响应文件为评审依据，对供应商的报价、技术、商务等方面内容按百分制打分。（计分方法按四舍五入取至百分位）</w:t>
      </w:r>
    </w:p>
    <w:tbl>
      <w:tblPr>
        <w:tblStyle w:val="26"/>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371"/>
        <w:gridCol w:w="1467"/>
        <w:gridCol w:w="6057"/>
      </w:tblGrid>
      <w:tr w14:paraId="7A73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007" w:type="dxa"/>
            <w:gridSpan w:val="2"/>
            <w:noWrap w:val="0"/>
            <w:vAlign w:val="center"/>
          </w:tcPr>
          <w:p w14:paraId="73A645FE">
            <w:pPr>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467" w:type="dxa"/>
            <w:noWrap w:val="0"/>
            <w:vAlign w:val="center"/>
          </w:tcPr>
          <w:p w14:paraId="78271858">
            <w:pPr>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评分因素</w:t>
            </w:r>
          </w:p>
        </w:tc>
        <w:tc>
          <w:tcPr>
            <w:tcW w:w="6057" w:type="dxa"/>
            <w:noWrap w:val="0"/>
            <w:vAlign w:val="center"/>
          </w:tcPr>
          <w:p w14:paraId="5979B9DF">
            <w:pPr>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评分标准</w:t>
            </w:r>
          </w:p>
        </w:tc>
      </w:tr>
      <w:tr w14:paraId="0ADD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636" w:type="dxa"/>
            <w:noWrap w:val="0"/>
            <w:vAlign w:val="center"/>
          </w:tcPr>
          <w:p w14:paraId="16BF87AB">
            <w:pPr>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1371" w:type="dxa"/>
            <w:noWrap w:val="0"/>
            <w:vAlign w:val="center"/>
          </w:tcPr>
          <w:p w14:paraId="6E352162">
            <w:pPr>
              <w:adjustRightInd w:val="0"/>
              <w:spacing w:line="240" w:lineRule="auto"/>
              <w:jc w:val="center"/>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价格分</w:t>
            </w:r>
          </w:p>
          <w:p w14:paraId="68D3D431">
            <w:pPr>
              <w:adjustRightInd w:val="0"/>
              <w:spacing w:line="240" w:lineRule="auto"/>
              <w:jc w:val="center"/>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（10分）</w:t>
            </w:r>
          </w:p>
        </w:tc>
        <w:tc>
          <w:tcPr>
            <w:tcW w:w="1467" w:type="dxa"/>
            <w:noWrap w:val="0"/>
            <w:vAlign w:val="center"/>
          </w:tcPr>
          <w:p w14:paraId="28FCCD74">
            <w:pPr>
              <w:adjustRightInd w:val="0"/>
              <w:spacing w:line="240" w:lineRule="auto"/>
              <w:jc w:val="center"/>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磋商报价</w:t>
            </w:r>
          </w:p>
          <w:p w14:paraId="787C1988">
            <w:pPr>
              <w:adjustRightInd w:val="0"/>
              <w:spacing w:line="240" w:lineRule="auto"/>
              <w:jc w:val="center"/>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（满分10分）</w:t>
            </w:r>
          </w:p>
        </w:tc>
        <w:tc>
          <w:tcPr>
            <w:tcW w:w="6057" w:type="dxa"/>
            <w:noWrap w:val="0"/>
            <w:vAlign w:val="center"/>
          </w:tcPr>
          <w:p w14:paraId="2968538E">
            <w:pPr>
              <w:spacing w:line="240" w:lineRule="auto"/>
              <w:ind w:firstLine="422" w:firstLineChars="200"/>
              <w:rPr>
                <w:rFonts w:hint="eastAsia" w:ascii="宋体" w:hAnsi="宋体" w:eastAsia="宋体" w:cs="宋体"/>
                <w:bCs/>
                <w:color w:val="auto"/>
                <w:sz w:val="21"/>
                <w:szCs w:val="21"/>
              </w:rPr>
            </w:pPr>
            <w:r>
              <w:rPr>
                <w:rFonts w:hint="eastAsia" w:ascii="宋体" w:hAnsi="宋体" w:eastAsia="宋体" w:cs="宋体"/>
                <w:b/>
                <w:bCs/>
                <w:color w:val="auto"/>
                <w:sz w:val="21"/>
                <w:szCs w:val="21"/>
              </w:rPr>
              <w:t>一、政府采购政策扣除</w:t>
            </w:r>
          </w:p>
          <w:p w14:paraId="55BC274E">
            <w:pPr>
              <w:spacing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根据《政府采购促进中小企业发展管理办法》（财库〔2020〕46号）及《广西壮族自治区财政厅关于持续优化政府采购营商环境推动高质量发展的通知》（桂财采〔2024〕55号）的规定，供应商在其响应文件中提供《中小企业声明函》，且其服务全部由符合政策要求的小型、微型企业承接的，对其响应报价给予10%的扣除，扣除后的价格为评审报价，即评审报价=响应报价×（1-10%）；不符合上述给予扣除情形的，评审报价=响应报价。</w:t>
            </w:r>
          </w:p>
          <w:p w14:paraId="53B8DEBE">
            <w:pPr>
              <w:spacing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按照《财政部、司法部关于政府采购支持监狱企业发展有关问题的通知》（财库〔2014〕68号）的规定，监狱企业视同小型、微型企业，享受预留份额、评审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42113BC6">
            <w:pPr>
              <w:spacing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836521F">
            <w:pPr>
              <w:spacing w:line="240" w:lineRule="auto"/>
              <w:ind w:firstLine="422" w:firstLineChars="200"/>
              <w:rPr>
                <w:rFonts w:hint="eastAsia" w:ascii="宋体" w:hAnsi="宋体" w:eastAsia="宋体" w:cs="宋体"/>
                <w:bCs/>
                <w:color w:val="auto"/>
                <w:sz w:val="21"/>
                <w:szCs w:val="21"/>
              </w:rPr>
            </w:pPr>
            <w:r>
              <w:rPr>
                <w:rFonts w:hint="eastAsia" w:ascii="宋体" w:hAnsi="宋体" w:cs="宋体"/>
                <w:b/>
                <w:color w:val="auto"/>
                <w:sz w:val="21"/>
                <w:szCs w:val="21"/>
                <w:lang w:val="en-US" w:eastAsia="zh-CN"/>
              </w:rPr>
              <w:t>二、</w:t>
            </w:r>
            <w:r>
              <w:rPr>
                <w:rFonts w:hint="eastAsia" w:ascii="宋体" w:hAnsi="宋体" w:eastAsia="宋体" w:cs="宋体"/>
                <w:bCs/>
                <w:color w:val="auto"/>
                <w:sz w:val="21"/>
                <w:szCs w:val="21"/>
              </w:rPr>
              <w:t>异常低价</w:t>
            </w:r>
            <w:r>
              <w:rPr>
                <w:rFonts w:hint="eastAsia" w:ascii="宋体" w:hAnsi="宋体" w:cs="宋体"/>
                <w:bCs/>
                <w:color w:val="auto"/>
                <w:sz w:val="21"/>
                <w:szCs w:val="21"/>
                <w:lang w:val="en-US" w:eastAsia="zh-CN"/>
              </w:rPr>
              <w:t>响应</w:t>
            </w:r>
            <w:r>
              <w:rPr>
                <w:rFonts w:hint="eastAsia" w:ascii="宋体" w:hAnsi="宋体" w:eastAsia="宋体" w:cs="宋体"/>
                <w:bCs/>
                <w:color w:val="auto"/>
                <w:sz w:val="21"/>
                <w:szCs w:val="21"/>
              </w:rPr>
              <w:t>审查</w:t>
            </w:r>
          </w:p>
          <w:p w14:paraId="16D206CA">
            <w:pPr>
              <w:spacing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依据规定《财政部关于推动解决政府采购异常低价问题的通知》（财库〔2026〕2号）规定，政府采购评审中出现以下异常低价情形，磋商小组应当启动异常低价</w:t>
            </w:r>
            <w:r>
              <w:rPr>
                <w:rFonts w:hint="eastAsia" w:ascii="宋体" w:hAnsi="宋体" w:cs="宋体"/>
                <w:bCs/>
                <w:color w:val="auto"/>
                <w:sz w:val="21"/>
                <w:szCs w:val="21"/>
                <w:lang w:val="en-US" w:eastAsia="zh-CN"/>
              </w:rPr>
              <w:t>响应</w:t>
            </w:r>
            <w:r>
              <w:rPr>
                <w:rFonts w:hint="eastAsia" w:ascii="宋体" w:hAnsi="宋体" w:eastAsia="宋体" w:cs="宋体"/>
                <w:bCs/>
                <w:color w:val="auto"/>
                <w:sz w:val="21"/>
                <w:szCs w:val="21"/>
              </w:rPr>
              <w:t>审查程序：</w:t>
            </w:r>
          </w:p>
          <w:p w14:paraId="19DCB038">
            <w:pPr>
              <w:spacing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①响应报价低于全部通过符合性审查供应商响应报价平均值65％的，即</w:t>
            </w:r>
            <w:r>
              <w:rPr>
                <w:rFonts w:hint="eastAsia" w:ascii="宋体" w:hAnsi="宋体" w:cs="宋体"/>
                <w:bCs/>
                <w:color w:val="auto"/>
                <w:sz w:val="21"/>
                <w:szCs w:val="21"/>
                <w:lang w:val="en-US" w:eastAsia="zh-CN"/>
              </w:rPr>
              <w:t>响应</w:t>
            </w:r>
            <w:r>
              <w:rPr>
                <w:rFonts w:hint="eastAsia" w:ascii="宋体" w:hAnsi="宋体" w:eastAsia="宋体" w:cs="宋体"/>
                <w:bCs/>
                <w:color w:val="auto"/>
                <w:sz w:val="21"/>
                <w:szCs w:val="21"/>
              </w:rPr>
              <w:t>报价&lt;全部通过符合性审查</w:t>
            </w:r>
            <w:r>
              <w:rPr>
                <w:rFonts w:hint="eastAsia" w:ascii="宋体" w:hAnsi="宋体" w:cs="宋体"/>
                <w:bCs/>
                <w:color w:val="auto"/>
                <w:sz w:val="21"/>
                <w:szCs w:val="21"/>
                <w:lang w:val="en-US" w:eastAsia="zh-CN"/>
              </w:rPr>
              <w:t>供应商响应</w:t>
            </w:r>
            <w:r>
              <w:rPr>
                <w:rFonts w:hint="eastAsia" w:ascii="宋体" w:hAnsi="宋体" w:eastAsia="宋体" w:cs="宋体"/>
                <w:bCs/>
                <w:color w:val="auto"/>
                <w:sz w:val="21"/>
                <w:szCs w:val="21"/>
              </w:rPr>
              <w:t>报价平均值×65%；</w:t>
            </w:r>
          </w:p>
          <w:p w14:paraId="10728670">
            <w:pPr>
              <w:spacing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②响应报价低于通过符合性审查的次低报价供应商响应报价65％的，即</w:t>
            </w:r>
            <w:r>
              <w:rPr>
                <w:rFonts w:hint="eastAsia" w:ascii="宋体" w:hAnsi="宋体" w:cs="宋体"/>
                <w:bCs/>
                <w:color w:val="auto"/>
                <w:sz w:val="21"/>
                <w:szCs w:val="21"/>
                <w:lang w:val="en-US" w:eastAsia="zh-CN"/>
              </w:rPr>
              <w:t>响应</w:t>
            </w:r>
            <w:r>
              <w:rPr>
                <w:rFonts w:hint="eastAsia" w:ascii="宋体" w:hAnsi="宋体" w:eastAsia="宋体" w:cs="宋体"/>
                <w:bCs/>
                <w:color w:val="auto"/>
                <w:sz w:val="21"/>
                <w:szCs w:val="21"/>
              </w:rPr>
              <w:t>报价&lt;通过符合性审查的次低报价</w:t>
            </w:r>
            <w:r>
              <w:rPr>
                <w:rFonts w:hint="eastAsia" w:ascii="宋体" w:hAnsi="宋体" w:cs="宋体"/>
                <w:bCs/>
                <w:color w:val="auto"/>
                <w:sz w:val="21"/>
                <w:szCs w:val="21"/>
                <w:lang w:val="en-US" w:eastAsia="zh-CN"/>
              </w:rPr>
              <w:t>供应商响应</w:t>
            </w:r>
            <w:r>
              <w:rPr>
                <w:rFonts w:hint="eastAsia" w:ascii="宋体" w:hAnsi="宋体" w:eastAsia="宋体" w:cs="宋体"/>
                <w:bCs/>
                <w:color w:val="auto"/>
                <w:sz w:val="21"/>
                <w:szCs w:val="21"/>
              </w:rPr>
              <w:t>报价×65%；</w:t>
            </w:r>
          </w:p>
          <w:p w14:paraId="02D780B3">
            <w:pPr>
              <w:spacing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③响应报价低于采购项目最高限价65％的，即</w:t>
            </w:r>
            <w:r>
              <w:rPr>
                <w:rFonts w:hint="eastAsia" w:ascii="宋体" w:hAnsi="宋体" w:cs="宋体"/>
                <w:bCs/>
                <w:color w:val="auto"/>
                <w:sz w:val="21"/>
                <w:szCs w:val="21"/>
                <w:lang w:val="en-US" w:eastAsia="zh-CN"/>
              </w:rPr>
              <w:t>响应</w:t>
            </w:r>
            <w:r>
              <w:rPr>
                <w:rFonts w:hint="eastAsia" w:ascii="宋体" w:hAnsi="宋体" w:eastAsia="宋体" w:cs="宋体"/>
                <w:bCs/>
                <w:color w:val="auto"/>
                <w:sz w:val="21"/>
                <w:szCs w:val="21"/>
              </w:rPr>
              <w:t>报价&lt;</w:t>
            </w:r>
            <w:r>
              <w:rPr>
                <w:rFonts w:hint="eastAsia" w:ascii="宋体" w:hAnsi="宋体" w:cs="宋体"/>
                <w:bCs/>
                <w:color w:val="auto"/>
                <w:sz w:val="21"/>
                <w:szCs w:val="21"/>
                <w:lang w:val="en-US" w:eastAsia="zh-CN"/>
              </w:rPr>
              <w:t>采购项目</w:t>
            </w:r>
            <w:r>
              <w:rPr>
                <w:rFonts w:hint="eastAsia" w:ascii="宋体" w:hAnsi="宋体" w:eastAsia="宋体" w:cs="宋体"/>
                <w:bCs/>
                <w:color w:val="auto"/>
                <w:sz w:val="21"/>
                <w:szCs w:val="21"/>
              </w:rPr>
              <w:t>最高限价×65%；</w:t>
            </w:r>
          </w:p>
          <w:p w14:paraId="673B516A">
            <w:pPr>
              <w:spacing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④磋商小组基于专业判断，认为供应商报价过低，有可能影响产品质量或者不能诚信履约的其他情形。</w:t>
            </w:r>
          </w:p>
          <w:p w14:paraId="23038700">
            <w:pPr>
              <w:spacing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⑤相关法律法规对供应商报价有规定的，从其规定。</w:t>
            </w:r>
          </w:p>
          <w:p w14:paraId="5FB97E20">
            <w:pPr>
              <w:spacing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磋商小组启动异常低价响应审查后，属于前述第①项至第④项情形的，应当要求相关供应商在</w:t>
            </w:r>
            <w:r>
              <w:rPr>
                <w:rFonts w:hint="eastAsia" w:ascii="宋体" w:hAnsi="宋体" w:eastAsia="宋体" w:cs="宋体"/>
                <w:bCs/>
                <w:color w:val="auto"/>
                <w:sz w:val="21"/>
                <w:szCs w:val="21"/>
                <w:lang w:val="en-US" w:eastAsia="zh-CN"/>
              </w:rPr>
              <w:t>接到</w:t>
            </w:r>
            <w:r>
              <w:rPr>
                <w:rFonts w:hint="eastAsia" w:ascii="宋体" w:hAnsi="宋体" w:eastAsia="宋体" w:cs="宋体"/>
                <w:bCs/>
                <w:color w:val="auto"/>
                <w:sz w:val="21"/>
                <w:szCs w:val="21"/>
              </w:rPr>
              <w:t>磋商小组</w:t>
            </w:r>
            <w:r>
              <w:rPr>
                <w:rFonts w:hint="eastAsia" w:ascii="宋体" w:hAnsi="宋体" w:eastAsia="宋体" w:cs="宋体"/>
                <w:bCs/>
                <w:color w:val="auto"/>
                <w:sz w:val="21"/>
                <w:szCs w:val="21"/>
                <w:lang w:val="en-US" w:eastAsia="zh-CN"/>
              </w:rPr>
              <w:t>通知后30分钟内</w:t>
            </w:r>
            <w:r>
              <w:rPr>
                <w:rFonts w:hint="eastAsia" w:ascii="宋体" w:hAnsi="宋体" w:eastAsia="宋体" w:cs="宋体"/>
                <w:bCs/>
                <w:color w:val="auto"/>
                <w:sz w:val="21"/>
                <w:szCs w:val="21"/>
              </w:rPr>
              <w:t>对响应价格作出解释，提供项目具体成本测算等与报价合理性相关的书面说明及必要的证明材料，包括但不限于原材料成本、人工成本、制造费用等。其中，属于第③项情形，供应商已随响应文件一并提交相关书面说明及必要的证明材料的，可不再重复提交。</w:t>
            </w:r>
          </w:p>
          <w:p w14:paraId="01C68688">
            <w:pPr>
              <w:ind w:firstLine="420" w:firstLineChars="200"/>
              <w:rPr>
                <w:rFonts w:hint="eastAsia" w:ascii="宋体" w:hAnsi="宋体" w:eastAsia="宋体" w:cs="宋体"/>
                <w:bCs/>
                <w:color w:val="auto"/>
                <w:szCs w:val="21"/>
                <w:lang w:val="en-US" w:eastAsia="zh-CN"/>
              </w:rPr>
            </w:pPr>
            <w:r>
              <w:rPr>
                <w:rFonts w:hint="eastAsia" w:ascii="宋体" w:hAnsi="宋体" w:eastAsia="宋体" w:cs="宋体"/>
                <w:bCs/>
                <w:color w:val="auto"/>
                <w:sz w:val="21"/>
                <w:szCs w:val="21"/>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08CB38F9">
            <w:pPr>
              <w:spacing w:line="240" w:lineRule="auto"/>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三</w:t>
            </w:r>
            <w:r>
              <w:rPr>
                <w:rFonts w:hint="eastAsia" w:ascii="宋体" w:hAnsi="宋体" w:eastAsia="宋体" w:cs="宋体"/>
                <w:b/>
                <w:color w:val="auto"/>
                <w:sz w:val="21"/>
                <w:szCs w:val="21"/>
              </w:rPr>
              <w:t>、磋商报价分（满分10分）</w:t>
            </w:r>
          </w:p>
          <w:p w14:paraId="7093B638">
            <w:pPr>
              <w:spacing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1.评审报价为供应商的最后报价进行政策性扣除后的价格，评审报价只作为评审时使用。最终成交供应商的成交金额等于最后报价（如有修正，以确认修正后的最后报价为准）。</w:t>
            </w:r>
          </w:p>
          <w:p w14:paraId="794A6DA0">
            <w:pPr>
              <w:spacing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2.满足采购文件要求且报价最低的评审报价为评审基准价，其价格分为满分。</w:t>
            </w:r>
          </w:p>
          <w:p w14:paraId="65F3CAC1">
            <w:pPr>
              <w:spacing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3.价格分计算公式：</w:t>
            </w:r>
          </w:p>
          <w:p w14:paraId="26261FA8">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某供应商价格分=（评审基准价／某供应商评审报价）×10分</w:t>
            </w:r>
          </w:p>
        </w:tc>
      </w:tr>
      <w:tr w14:paraId="7A39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jc w:val="center"/>
        </w:trPr>
        <w:tc>
          <w:tcPr>
            <w:tcW w:w="636" w:type="dxa"/>
            <w:vMerge w:val="restart"/>
            <w:noWrap w:val="0"/>
            <w:vAlign w:val="center"/>
          </w:tcPr>
          <w:p w14:paraId="0D526CC5">
            <w:pPr>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1371" w:type="dxa"/>
            <w:vMerge w:val="restart"/>
            <w:noWrap w:val="0"/>
            <w:vAlign w:val="center"/>
          </w:tcPr>
          <w:p w14:paraId="1970F0D6">
            <w:pPr>
              <w:adjustRightInd w:val="0"/>
              <w:spacing w:line="240" w:lineRule="auto"/>
              <w:jc w:val="center"/>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技术分（满分</w:t>
            </w:r>
            <w:r>
              <w:rPr>
                <w:rFonts w:hint="eastAsia" w:ascii="宋体" w:hAnsi="宋体" w:eastAsia="宋体" w:cs="宋体"/>
                <w:bCs/>
                <w:color w:val="auto"/>
                <w:sz w:val="21"/>
                <w:szCs w:val="21"/>
                <w:lang w:val="en-US" w:eastAsia="zh-CN"/>
              </w:rPr>
              <w:t>60</w:t>
            </w:r>
            <w:r>
              <w:rPr>
                <w:rFonts w:hint="eastAsia" w:ascii="宋体" w:hAnsi="宋体" w:eastAsia="宋体" w:cs="宋体"/>
                <w:bCs/>
                <w:color w:val="auto"/>
                <w:sz w:val="21"/>
                <w:szCs w:val="21"/>
              </w:rPr>
              <w:t>分）</w:t>
            </w:r>
          </w:p>
        </w:tc>
        <w:tc>
          <w:tcPr>
            <w:tcW w:w="1467" w:type="dxa"/>
            <w:noWrap w:val="0"/>
            <w:vAlign w:val="center"/>
          </w:tcPr>
          <w:p w14:paraId="3ACA4D7B">
            <w:pPr>
              <w:adjustRightInd w:val="0"/>
              <w:spacing w:line="240" w:lineRule="auto"/>
              <w:jc w:val="center"/>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2.1</w:t>
            </w:r>
            <w:r>
              <w:rPr>
                <w:rFonts w:hint="eastAsia" w:ascii="宋体" w:hAnsi="宋体" w:eastAsia="宋体" w:cs="宋体"/>
                <w:bCs/>
                <w:color w:val="auto"/>
                <w:sz w:val="21"/>
                <w:szCs w:val="21"/>
                <w:highlight w:val="none"/>
              </w:rPr>
              <w:t>对项目的总体认识和理解</w:t>
            </w:r>
            <w:r>
              <w:rPr>
                <w:rFonts w:hint="eastAsia" w:ascii="宋体" w:hAnsi="宋体" w:eastAsia="宋体" w:cs="宋体"/>
                <w:bCs/>
                <w:color w:val="auto"/>
                <w:sz w:val="21"/>
                <w:szCs w:val="21"/>
              </w:rPr>
              <w:t>（满分15分）</w:t>
            </w:r>
          </w:p>
        </w:tc>
        <w:tc>
          <w:tcPr>
            <w:tcW w:w="6057" w:type="dxa"/>
            <w:noWrap w:val="0"/>
            <w:vAlign w:val="center"/>
          </w:tcPr>
          <w:p w14:paraId="6FE4FA04">
            <w:pPr>
              <w:spacing w:line="240" w:lineRule="auto"/>
              <w:ind w:left="19" w:leftChars="9" w:firstLine="401" w:firstLineChars="191"/>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一档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3分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：对</w:t>
            </w:r>
            <w:r>
              <w:rPr>
                <w:rFonts w:hint="eastAsia" w:ascii="宋体" w:hAnsi="宋体" w:eastAsia="宋体" w:cs="宋体"/>
                <w:bCs/>
                <w:color w:val="auto"/>
                <w:sz w:val="21"/>
                <w:szCs w:val="21"/>
                <w:highlight w:val="none"/>
                <w:lang w:val="en-US" w:eastAsia="zh-CN"/>
              </w:rPr>
              <w:t>项目</w:t>
            </w:r>
            <w:r>
              <w:rPr>
                <w:rFonts w:hint="eastAsia" w:ascii="宋体" w:hAnsi="宋体" w:eastAsia="宋体" w:cs="宋体"/>
                <w:bCs/>
                <w:color w:val="auto"/>
                <w:sz w:val="21"/>
                <w:szCs w:val="21"/>
                <w:highlight w:val="none"/>
              </w:rPr>
              <w:t>背景的认识和理解简单，现状分析片面，对本项目的</w:t>
            </w:r>
            <w:r>
              <w:rPr>
                <w:rFonts w:hint="eastAsia" w:ascii="宋体" w:hAnsi="宋体" w:eastAsia="宋体" w:cs="宋体"/>
                <w:bCs/>
                <w:color w:val="auto"/>
                <w:sz w:val="21"/>
                <w:szCs w:val="21"/>
                <w:highlight w:val="none"/>
                <w:lang w:val="en-US" w:eastAsia="zh-CN"/>
              </w:rPr>
              <w:t>工作</w:t>
            </w:r>
            <w:r>
              <w:rPr>
                <w:rFonts w:hint="eastAsia" w:ascii="宋体" w:hAnsi="宋体" w:eastAsia="宋体" w:cs="宋体"/>
                <w:bCs/>
                <w:color w:val="auto"/>
                <w:sz w:val="21"/>
                <w:szCs w:val="21"/>
                <w:highlight w:val="none"/>
              </w:rPr>
              <w:t>目标有一定的认识和理解</w:t>
            </w:r>
            <w:r>
              <w:rPr>
                <w:rFonts w:hint="eastAsia" w:ascii="宋体" w:hAnsi="宋体" w:eastAsia="宋体" w:cs="宋体"/>
                <w:bCs/>
                <w:color w:val="auto"/>
                <w:sz w:val="21"/>
                <w:szCs w:val="21"/>
                <w:highlight w:val="none"/>
                <w:lang w:eastAsia="zh-CN"/>
              </w:rPr>
              <w:t>。</w:t>
            </w:r>
          </w:p>
          <w:p w14:paraId="02FFE305">
            <w:pPr>
              <w:spacing w:line="240" w:lineRule="auto"/>
              <w:ind w:left="19" w:leftChars="9" w:firstLine="401" w:firstLineChars="191"/>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二档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7分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：对</w:t>
            </w:r>
            <w:r>
              <w:rPr>
                <w:rFonts w:hint="eastAsia" w:ascii="宋体" w:hAnsi="宋体" w:eastAsia="宋体" w:cs="宋体"/>
                <w:bCs/>
                <w:color w:val="auto"/>
                <w:sz w:val="21"/>
                <w:szCs w:val="21"/>
                <w:highlight w:val="none"/>
                <w:lang w:val="en-US" w:eastAsia="zh-CN"/>
              </w:rPr>
              <w:t>项目</w:t>
            </w:r>
            <w:r>
              <w:rPr>
                <w:rFonts w:hint="eastAsia" w:ascii="宋体" w:hAnsi="宋体" w:eastAsia="宋体" w:cs="宋体"/>
                <w:bCs/>
                <w:color w:val="auto"/>
                <w:sz w:val="21"/>
                <w:szCs w:val="21"/>
                <w:highlight w:val="none"/>
              </w:rPr>
              <w:t>背景的认识和理解全面，有完整的现状分析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包括但不限于</w:t>
            </w:r>
            <w:r>
              <w:rPr>
                <w:rFonts w:hint="eastAsia" w:ascii="宋体" w:hAnsi="宋体" w:eastAsia="宋体" w:cs="宋体"/>
                <w:bCs/>
                <w:color w:val="auto"/>
                <w:sz w:val="21"/>
                <w:szCs w:val="21"/>
                <w:highlight w:val="none"/>
              </w:rPr>
              <w:t>各类水利工程项目的质量管理现状</w:t>
            </w:r>
            <w:r>
              <w:rPr>
                <w:rFonts w:hint="eastAsia" w:ascii="宋体" w:hAnsi="宋体" w:eastAsia="宋体" w:cs="宋体"/>
                <w:bCs/>
                <w:color w:val="auto"/>
                <w:sz w:val="21"/>
                <w:szCs w:val="21"/>
                <w:highlight w:val="none"/>
                <w:lang w:val="en-US" w:eastAsia="zh-CN"/>
              </w:rPr>
              <w:t>等</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针对本项目</w:t>
            </w:r>
            <w:r>
              <w:rPr>
                <w:rFonts w:hint="eastAsia" w:ascii="宋体" w:hAnsi="宋体" w:eastAsia="宋体" w:cs="宋体"/>
                <w:bCs/>
                <w:color w:val="auto"/>
                <w:sz w:val="21"/>
                <w:szCs w:val="21"/>
                <w:highlight w:val="none"/>
                <w:lang w:eastAsia="zh-CN"/>
              </w:rPr>
              <w:t>实际情况</w:t>
            </w:r>
            <w:r>
              <w:rPr>
                <w:rFonts w:hint="eastAsia" w:ascii="宋体" w:hAnsi="宋体" w:eastAsia="宋体" w:cs="宋体"/>
                <w:bCs/>
                <w:color w:val="auto"/>
                <w:sz w:val="21"/>
                <w:szCs w:val="21"/>
                <w:highlight w:val="none"/>
                <w:lang w:val="en-US" w:eastAsia="zh-CN"/>
              </w:rPr>
              <w:t>有提出</w:t>
            </w:r>
            <w:r>
              <w:rPr>
                <w:rFonts w:hint="eastAsia" w:ascii="宋体" w:hAnsi="宋体" w:eastAsia="宋体" w:cs="宋体"/>
                <w:bCs/>
                <w:color w:val="auto"/>
                <w:sz w:val="21"/>
                <w:szCs w:val="21"/>
                <w:highlight w:val="none"/>
              </w:rPr>
              <w:t>指导思想</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对</w:t>
            </w:r>
            <w:r>
              <w:rPr>
                <w:rFonts w:hint="eastAsia" w:ascii="宋体" w:hAnsi="宋体" w:eastAsia="宋体" w:cs="宋体"/>
                <w:bCs/>
                <w:color w:val="auto"/>
                <w:sz w:val="21"/>
                <w:szCs w:val="21"/>
                <w:highlight w:val="none"/>
                <w:lang w:val="en-US" w:eastAsia="zh-CN"/>
              </w:rPr>
              <w:t>工作</w:t>
            </w:r>
            <w:r>
              <w:rPr>
                <w:rFonts w:hint="eastAsia" w:ascii="宋体" w:hAnsi="宋体" w:eastAsia="宋体" w:cs="宋体"/>
                <w:bCs/>
                <w:color w:val="auto"/>
                <w:sz w:val="21"/>
                <w:szCs w:val="21"/>
                <w:highlight w:val="none"/>
              </w:rPr>
              <w:t>目标</w:t>
            </w:r>
            <w:r>
              <w:rPr>
                <w:rFonts w:hint="eastAsia" w:ascii="宋体" w:hAnsi="宋体" w:eastAsia="宋体" w:cs="宋体"/>
                <w:bCs/>
                <w:color w:val="auto"/>
                <w:sz w:val="21"/>
                <w:szCs w:val="21"/>
                <w:highlight w:val="none"/>
                <w:lang w:val="en-US" w:eastAsia="zh-CN"/>
              </w:rPr>
              <w:t>与</w:t>
            </w:r>
            <w:r>
              <w:rPr>
                <w:rFonts w:hint="eastAsia" w:ascii="宋体" w:hAnsi="宋体" w:eastAsia="宋体" w:cs="宋体"/>
                <w:bCs/>
                <w:color w:val="auto"/>
                <w:sz w:val="21"/>
                <w:szCs w:val="21"/>
                <w:highlight w:val="none"/>
              </w:rPr>
              <w:t>任务认识和理解全面</w:t>
            </w:r>
            <w:r>
              <w:rPr>
                <w:rFonts w:hint="eastAsia" w:ascii="宋体" w:hAnsi="宋体" w:eastAsia="宋体" w:cs="宋体"/>
                <w:bCs/>
                <w:color w:val="auto"/>
                <w:sz w:val="21"/>
                <w:szCs w:val="21"/>
                <w:highlight w:val="none"/>
                <w:lang w:val="en-US" w:eastAsia="zh-CN"/>
              </w:rPr>
              <w:t>。</w:t>
            </w:r>
          </w:p>
          <w:p w14:paraId="4B131684">
            <w:pPr>
              <w:spacing w:line="240" w:lineRule="auto"/>
              <w:ind w:left="19" w:leftChars="9" w:firstLine="401" w:firstLineChars="191"/>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11分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在二档的基础上，有</w:t>
            </w:r>
            <w:r>
              <w:rPr>
                <w:rFonts w:hint="eastAsia" w:ascii="宋体" w:hAnsi="宋体" w:eastAsia="宋体" w:cs="宋体"/>
                <w:bCs/>
                <w:color w:val="auto"/>
                <w:sz w:val="21"/>
                <w:szCs w:val="21"/>
                <w:highlight w:val="none"/>
              </w:rPr>
              <w:t>分析</w:t>
            </w:r>
            <w:r>
              <w:rPr>
                <w:rFonts w:hint="eastAsia" w:ascii="宋体" w:hAnsi="宋体" w:eastAsia="宋体" w:cs="宋体"/>
                <w:b w:val="0"/>
                <w:bCs/>
                <w:color w:val="auto"/>
                <w:sz w:val="21"/>
                <w:szCs w:val="21"/>
                <w:highlight w:val="none"/>
                <w:lang w:val="en-US" w:eastAsia="zh-CN"/>
              </w:rPr>
              <w:t>广西水利工程建设质量管理工作手册编制的</w:t>
            </w:r>
            <w:r>
              <w:rPr>
                <w:rFonts w:hint="eastAsia" w:ascii="宋体" w:hAnsi="宋体" w:eastAsia="宋体" w:cs="宋体"/>
                <w:bCs/>
                <w:color w:val="auto"/>
                <w:sz w:val="21"/>
                <w:szCs w:val="21"/>
                <w:highlight w:val="none"/>
              </w:rPr>
              <w:t>实施需求</w:t>
            </w:r>
            <w:r>
              <w:rPr>
                <w:rFonts w:hint="eastAsia" w:ascii="宋体" w:hAnsi="宋体" w:eastAsia="宋体" w:cs="宋体"/>
                <w:bCs/>
                <w:color w:val="auto"/>
                <w:sz w:val="21"/>
                <w:szCs w:val="21"/>
                <w:highlight w:val="none"/>
                <w:lang w:val="en-US" w:eastAsia="zh-CN"/>
              </w:rPr>
              <w:t>，提出的编制依据（包括政策文件</w:t>
            </w:r>
            <w:r>
              <w:rPr>
                <w:rFonts w:hint="eastAsia" w:ascii="宋体" w:hAnsi="宋体" w:eastAsia="宋体" w:cs="宋体"/>
                <w:bCs/>
                <w:color w:val="auto"/>
                <w:sz w:val="21"/>
                <w:szCs w:val="21"/>
                <w:highlight w:val="none"/>
                <w:lang w:eastAsia="zh-CN"/>
              </w:rPr>
              <w:t>、技术标准、行业规范</w:t>
            </w:r>
            <w:r>
              <w:rPr>
                <w:rFonts w:hint="eastAsia" w:ascii="宋体" w:hAnsi="宋体" w:eastAsia="宋体" w:cs="宋体"/>
                <w:bCs/>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符合采购需求和行业规范的要求</w:t>
            </w:r>
            <w:r>
              <w:rPr>
                <w:rFonts w:hint="eastAsia" w:ascii="宋体" w:hAnsi="宋体" w:eastAsia="宋体" w:cs="宋体"/>
                <w:bCs/>
                <w:color w:val="auto"/>
                <w:sz w:val="21"/>
                <w:szCs w:val="21"/>
                <w:highlight w:val="none"/>
                <w:lang w:val="en-US" w:eastAsia="zh-CN"/>
              </w:rPr>
              <w:t>，编制思路、目标任务符合实际。</w:t>
            </w:r>
          </w:p>
          <w:p w14:paraId="49AE56A5">
            <w:pPr>
              <w:spacing w:line="240" w:lineRule="auto"/>
              <w:ind w:left="19" w:leftChars="9" w:firstLine="401" w:firstLineChars="19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四档（15分）：在三档的基础上，有对本项目的重点、难点进行分析，并对</w:t>
            </w:r>
            <w:r>
              <w:rPr>
                <w:rFonts w:hint="eastAsia" w:ascii="宋体" w:hAnsi="宋体" w:eastAsia="宋体" w:cs="宋体"/>
                <w:bCs/>
                <w:color w:val="auto"/>
                <w:sz w:val="21"/>
                <w:szCs w:val="21"/>
                <w:highlight w:val="none"/>
              </w:rPr>
              <w:t>项目开展过程中可能会遇到的问题</w:t>
            </w:r>
            <w:r>
              <w:rPr>
                <w:rFonts w:hint="eastAsia" w:ascii="宋体" w:hAnsi="宋体" w:eastAsia="宋体" w:cs="宋体"/>
                <w:bCs/>
                <w:color w:val="auto"/>
                <w:sz w:val="21"/>
                <w:szCs w:val="21"/>
                <w:highlight w:val="none"/>
                <w:lang w:val="en-US" w:eastAsia="zh-CN"/>
              </w:rPr>
              <w:t>提出有效措施。</w:t>
            </w:r>
          </w:p>
          <w:p w14:paraId="0DC37F7E">
            <w:pPr>
              <w:spacing w:line="240" w:lineRule="auto"/>
              <w:ind w:left="19" w:leftChars="9" w:firstLine="401" w:firstLineChars="191"/>
              <w:rPr>
                <w:rFonts w:hint="eastAsia" w:ascii="宋体" w:hAnsi="宋体" w:eastAsia="宋体" w:cs="宋体"/>
                <w:color w:val="auto"/>
                <w:sz w:val="21"/>
                <w:szCs w:val="21"/>
              </w:rPr>
            </w:pPr>
            <w:r>
              <w:rPr>
                <w:rFonts w:hint="eastAsia" w:ascii="宋体" w:hAnsi="宋体" w:eastAsia="宋体" w:cs="宋体"/>
                <w:bCs/>
                <w:color w:val="auto"/>
                <w:sz w:val="21"/>
                <w:szCs w:val="21"/>
                <w:highlight w:val="none"/>
                <w:lang w:val="en-US" w:eastAsia="zh-CN"/>
              </w:rPr>
              <w:t>注：未满足一档要求或未提供的不得分。</w:t>
            </w:r>
          </w:p>
        </w:tc>
      </w:tr>
      <w:tr w14:paraId="4C6C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noWrap w:val="0"/>
            <w:vAlign w:val="center"/>
          </w:tcPr>
          <w:p w14:paraId="7B85F963">
            <w:pPr>
              <w:spacing w:line="240" w:lineRule="auto"/>
              <w:jc w:val="center"/>
              <w:rPr>
                <w:rFonts w:hint="eastAsia" w:ascii="宋体" w:hAnsi="宋体" w:eastAsia="宋体" w:cs="宋体"/>
                <w:bCs/>
                <w:color w:val="auto"/>
                <w:sz w:val="21"/>
                <w:szCs w:val="21"/>
                <w:highlight w:val="yellow"/>
              </w:rPr>
            </w:pPr>
          </w:p>
        </w:tc>
        <w:tc>
          <w:tcPr>
            <w:tcW w:w="1371" w:type="dxa"/>
            <w:vMerge w:val="continue"/>
            <w:noWrap w:val="0"/>
            <w:vAlign w:val="center"/>
          </w:tcPr>
          <w:p w14:paraId="32E45D4D">
            <w:pPr>
              <w:adjustRightInd w:val="0"/>
              <w:spacing w:line="240" w:lineRule="auto"/>
              <w:jc w:val="center"/>
              <w:textAlignment w:val="baseline"/>
              <w:rPr>
                <w:rFonts w:hint="eastAsia" w:ascii="宋体" w:hAnsi="宋体" w:eastAsia="宋体" w:cs="宋体"/>
                <w:bCs/>
                <w:color w:val="auto"/>
                <w:sz w:val="21"/>
                <w:szCs w:val="21"/>
                <w:highlight w:val="yellow"/>
              </w:rPr>
            </w:pPr>
          </w:p>
        </w:tc>
        <w:tc>
          <w:tcPr>
            <w:tcW w:w="1467" w:type="dxa"/>
            <w:noWrap w:val="0"/>
            <w:vAlign w:val="center"/>
          </w:tcPr>
          <w:p w14:paraId="09A91566">
            <w:pPr>
              <w:adjustRightInd w:val="0"/>
              <w:spacing w:line="240" w:lineRule="auto"/>
              <w:jc w:val="center"/>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2.2实施方案（满分</w:t>
            </w:r>
            <w:r>
              <w:rPr>
                <w:rFonts w:hint="eastAsia" w:ascii="宋体" w:hAnsi="宋体" w:cs="宋体"/>
                <w:bCs/>
                <w:color w:val="auto"/>
                <w:sz w:val="21"/>
                <w:szCs w:val="21"/>
                <w:lang w:val="en-US" w:eastAsia="zh-CN"/>
              </w:rPr>
              <w:t>30</w:t>
            </w:r>
            <w:r>
              <w:rPr>
                <w:rFonts w:hint="eastAsia" w:ascii="宋体" w:hAnsi="宋体" w:eastAsia="宋体" w:cs="宋体"/>
                <w:bCs/>
                <w:color w:val="auto"/>
                <w:sz w:val="21"/>
                <w:szCs w:val="21"/>
              </w:rPr>
              <w:t>分）</w:t>
            </w:r>
          </w:p>
        </w:tc>
        <w:tc>
          <w:tcPr>
            <w:tcW w:w="6057" w:type="dxa"/>
            <w:noWrap w:val="0"/>
            <w:vAlign w:val="center"/>
          </w:tcPr>
          <w:p w14:paraId="72D76EA9">
            <w:pPr>
              <w:spacing w:line="240" w:lineRule="auto"/>
              <w:ind w:left="19" w:leftChars="9" w:firstLine="401" w:firstLineChars="191"/>
              <w:rPr>
                <w:rFonts w:hint="eastAsia"/>
                <w:color w:val="auto"/>
                <w:highlight w:val="none"/>
              </w:rPr>
            </w:pPr>
            <w:r>
              <w:rPr>
                <w:rFonts w:hint="eastAsia"/>
                <w:color w:val="auto"/>
                <w:highlight w:val="none"/>
              </w:rPr>
              <w:t>一档（</w:t>
            </w:r>
            <w:r>
              <w:rPr>
                <w:rFonts w:hint="eastAsia"/>
                <w:color w:val="auto"/>
                <w:highlight w:val="none"/>
                <w:lang w:val="en-US" w:eastAsia="zh-CN"/>
              </w:rPr>
              <w:t>15</w:t>
            </w:r>
            <w:r>
              <w:rPr>
                <w:rFonts w:hint="eastAsia"/>
                <w:color w:val="auto"/>
                <w:highlight w:val="none"/>
              </w:rPr>
              <w:t>分）：实施方案内容描述简单，内容基本涵盖齐全，基本满足采购需求。</w:t>
            </w:r>
          </w:p>
          <w:p w14:paraId="5BFC54F7">
            <w:pPr>
              <w:spacing w:line="240" w:lineRule="auto"/>
              <w:ind w:left="19" w:leftChars="9" w:firstLine="401" w:firstLineChars="19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w:t>
            </w:r>
            <w:r>
              <w:rPr>
                <w:rFonts w:hint="eastAsia"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实施方案内容描述较清晰，对部分关键环节提出了有效的控制措施；编制方案较符合采购需求和行业规范的要求，深度、准确度与采购需求较匹配；对主要工作内容进行部分针对性描述，包括：调研的途径、信息资料收集与核对的具体措施；工作手册编制</w:t>
            </w:r>
            <w:r>
              <w:rPr>
                <w:rFonts w:hint="eastAsia" w:hAnsi="宋体" w:cs="宋体"/>
                <w:color w:val="auto"/>
                <w:sz w:val="21"/>
                <w:szCs w:val="21"/>
                <w:highlight w:val="none"/>
                <w:lang w:val="en-US" w:eastAsia="zh-CN"/>
              </w:rPr>
              <w:t>依据</w:t>
            </w:r>
            <w:r>
              <w:rPr>
                <w:rFonts w:hint="eastAsia" w:ascii="宋体" w:hAnsi="宋体" w:eastAsia="宋体" w:cs="宋体"/>
                <w:color w:val="auto"/>
                <w:sz w:val="21"/>
                <w:szCs w:val="21"/>
                <w:highlight w:val="none"/>
                <w:lang w:val="en-US" w:eastAsia="zh-CN"/>
              </w:rPr>
              <w:t>。</w:t>
            </w:r>
          </w:p>
          <w:p w14:paraId="13E5060A">
            <w:pPr>
              <w:spacing w:line="240" w:lineRule="auto"/>
              <w:ind w:left="19" w:leftChars="9" w:firstLine="401" w:firstLineChars="19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w:t>
            </w:r>
            <w:r>
              <w:rPr>
                <w:rFonts w:hint="eastAsia"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分）：在二档的基础上，</w:t>
            </w:r>
            <w:r>
              <w:rPr>
                <w:rFonts w:hint="eastAsia" w:ascii="宋体" w:hAnsi="宋体" w:eastAsia="宋体" w:cs="宋体"/>
                <w:bCs/>
                <w:color w:val="auto"/>
                <w:sz w:val="21"/>
                <w:szCs w:val="21"/>
                <w:highlight w:val="none"/>
              </w:rPr>
              <w:t>对典型项目帮扶咨询服务有深入理解和专项</w:t>
            </w:r>
            <w:r>
              <w:rPr>
                <w:rFonts w:hint="eastAsia" w:ascii="宋体" w:hAnsi="宋体" w:eastAsia="宋体" w:cs="宋体"/>
                <w:bCs/>
                <w:color w:val="auto"/>
                <w:sz w:val="21"/>
                <w:szCs w:val="21"/>
                <w:highlight w:val="none"/>
                <w:lang w:val="en-US" w:eastAsia="zh-CN"/>
              </w:rPr>
              <w:t>服务方案，</w:t>
            </w:r>
            <w:r>
              <w:rPr>
                <w:rFonts w:hint="eastAsia" w:ascii="宋体" w:hAnsi="宋体" w:eastAsia="宋体" w:cs="宋体"/>
                <w:bCs/>
                <w:color w:val="auto"/>
                <w:sz w:val="21"/>
                <w:szCs w:val="21"/>
                <w:highlight w:val="none"/>
              </w:rPr>
              <w:t>工作思路详尽，工作流程设计科学合理，具备高度的可操作性</w:t>
            </w:r>
            <w:r>
              <w:rPr>
                <w:rFonts w:hint="eastAsia" w:ascii="宋体" w:hAnsi="宋体" w:eastAsia="宋体" w:cs="宋体"/>
                <w:bCs/>
                <w:color w:val="auto"/>
                <w:sz w:val="21"/>
                <w:szCs w:val="21"/>
                <w:highlight w:val="none"/>
                <w:lang w:eastAsia="zh-CN"/>
              </w:rPr>
              <w:t>。</w:t>
            </w:r>
          </w:p>
          <w:p w14:paraId="5C82BF60">
            <w:pPr>
              <w:spacing w:line="240" w:lineRule="auto"/>
              <w:ind w:left="19" w:leftChars="9" w:firstLine="401" w:firstLineChars="191"/>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四档（30分）：在三档的基础上，</w:t>
            </w:r>
            <w:r>
              <w:rPr>
                <w:rFonts w:hint="eastAsia" w:hAnsi="宋体" w:cs="宋体"/>
                <w:color w:val="auto"/>
                <w:sz w:val="21"/>
                <w:szCs w:val="21"/>
                <w:highlight w:val="none"/>
                <w:lang w:val="en-US" w:eastAsia="zh-CN"/>
              </w:rPr>
              <w:t>实施</w:t>
            </w:r>
            <w:r>
              <w:rPr>
                <w:rFonts w:hint="eastAsia" w:ascii="宋体" w:hAnsi="宋体" w:eastAsia="宋体" w:cs="宋体"/>
                <w:color w:val="auto"/>
                <w:sz w:val="21"/>
                <w:szCs w:val="21"/>
                <w:highlight w:val="none"/>
                <w:lang w:val="en-US" w:eastAsia="zh-CN"/>
              </w:rPr>
              <w:t>方案编制架构清晰，且方案整体性、可靠性、先进性好，对采购人业务需求理解透彻、完整，完全贴合采购需求，能够根据</w:t>
            </w:r>
            <w:r>
              <w:rPr>
                <w:rFonts w:hint="eastAsia" w:hAnsi="宋体" w:cs="宋体"/>
                <w:color w:val="auto"/>
                <w:sz w:val="21"/>
                <w:szCs w:val="21"/>
                <w:highlight w:val="none"/>
                <w:lang w:val="en-US" w:eastAsia="zh-CN"/>
              </w:rPr>
              <w:t>项目</w:t>
            </w:r>
            <w:r>
              <w:rPr>
                <w:rFonts w:hint="eastAsia" w:ascii="宋体" w:hAnsi="宋体" w:eastAsia="宋体" w:cs="宋体"/>
                <w:color w:val="auto"/>
                <w:sz w:val="21"/>
                <w:szCs w:val="21"/>
                <w:highlight w:val="none"/>
                <w:lang w:val="en-US" w:eastAsia="zh-CN"/>
              </w:rPr>
              <w:t>现状提出有针对性的方案编制措施。方案切合业务、具体、可操作性强，综合评价优秀有详细的工作分解及实施程序流程，有切实有可行性的优化建议。</w:t>
            </w:r>
          </w:p>
          <w:p w14:paraId="5C396158">
            <w:pPr>
              <w:spacing w:line="240" w:lineRule="auto"/>
              <w:ind w:left="19" w:leftChars="9" w:firstLine="401" w:firstLineChars="191"/>
              <w:rPr>
                <w:rFonts w:hint="eastAsia" w:ascii="宋体" w:hAnsi="宋体" w:eastAsia="宋体" w:cs="宋体"/>
                <w:b/>
                <w:color w:val="auto"/>
                <w:sz w:val="21"/>
                <w:szCs w:val="21"/>
              </w:rPr>
            </w:pPr>
            <w:r>
              <w:rPr>
                <w:rFonts w:hint="eastAsia" w:ascii="宋体" w:hAnsi="宋体" w:eastAsia="宋体" w:cs="宋体"/>
                <w:bCs/>
                <w:color w:val="auto"/>
                <w:sz w:val="21"/>
                <w:szCs w:val="21"/>
                <w:highlight w:val="none"/>
              </w:rPr>
              <w:t>注：</w:t>
            </w:r>
            <w:r>
              <w:rPr>
                <w:rFonts w:hint="eastAsia" w:ascii="宋体" w:hAnsi="宋体" w:eastAsia="宋体" w:cs="宋体"/>
                <w:bCs/>
                <w:color w:val="auto"/>
                <w:sz w:val="21"/>
                <w:szCs w:val="21"/>
                <w:highlight w:val="none"/>
                <w:lang w:val="en-US" w:eastAsia="zh-CN"/>
              </w:rPr>
              <w:t>未满足一档要求或未提供的不得分</w:t>
            </w:r>
            <w:r>
              <w:rPr>
                <w:rFonts w:hint="eastAsia" w:ascii="宋体" w:hAnsi="宋体" w:eastAsia="宋体" w:cs="宋体"/>
                <w:bCs/>
                <w:color w:val="auto"/>
                <w:sz w:val="21"/>
                <w:szCs w:val="21"/>
                <w:highlight w:val="none"/>
              </w:rPr>
              <w:t>。</w:t>
            </w:r>
          </w:p>
        </w:tc>
      </w:tr>
      <w:tr w14:paraId="5C6A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noWrap w:val="0"/>
            <w:vAlign w:val="center"/>
          </w:tcPr>
          <w:p w14:paraId="7186E7AE">
            <w:pPr>
              <w:spacing w:line="240" w:lineRule="auto"/>
              <w:jc w:val="center"/>
              <w:rPr>
                <w:rFonts w:hint="eastAsia" w:ascii="宋体" w:hAnsi="宋体" w:eastAsia="宋体" w:cs="宋体"/>
                <w:bCs/>
                <w:color w:val="auto"/>
                <w:sz w:val="21"/>
                <w:szCs w:val="21"/>
                <w:highlight w:val="yellow"/>
              </w:rPr>
            </w:pPr>
          </w:p>
        </w:tc>
        <w:tc>
          <w:tcPr>
            <w:tcW w:w="1371" w:type="dxa"/>
            <w:vMerge w:val="continue"/>
            <w:noWrap w:val="0"/>
            <w:vAlign w:val="center"/>
          </w:tcPr>
          <w:p w14:paraId="3191864A">
            <w:pPr>
              <w:adjustRightInd w:val="0"/>
              <w:spacing w:line="240" w:lineRule="auto"/>
              <w:jc w:val="center"/>
              <w:textAlignment w:val="baseline"/>
              <w:rPr>
                <w:rFonts w:hint="eastAsia" w:ascii="宋体" w:hAnsi="宋体" w:eastAsia="宋体" w:cs="宋体"/>
                <w:bCs/>
                <w:color w:val="auto"/>
                <w:sz w:val="21"/>
                <w:szCs w:val="21"/>
                <w:highlight w:val="yellow"/>
              </w:rPr>
            </w:pPr>
          </w:p>
        </w:tc>
        <w:tc>
          <w:tcPr>
            <w:tcW w:w="1467" w:type="dxa"/>
            <w:noWrap w:val="0"/>
            <w:vAlign w:val="center"/>
          </w:tcPr>
          <w:p w14:paraId="36DDCA2E">
            <w:pPr>
              <w:adjustRightInd w:val="0"/>
              <w:spacing w:line="240" w:lineRule="auto"/>
              <w:jc w:val="center"/>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2.3</w:t>
            </w:r>
            <w:r>
              <w:rPr>
                <w:rFonts w:hint="eastAsia" w:hAnsi="宋体" w:cs="宋体"/>
                <w:bCs/>
                <w:color w:val="auto"/>
                <w:sz w:val="21"/>
                <w:szCs w:val="21"/>
                <w:highlight w:val="none"/>
                <w:lang w:val="en-US" w:eastAsia="zh-CN"/>
              </w:rPr>
              <w:t>项目进度控制措施</w:t>
            </w:r>
            <w:r>
              <w:rPr>
                <w:rFonts w:hint="eastAsia" w:ascii="宋体" w:hAnsi="宋体" w:eastAsia="宋体" w:cs="宋体"/>
                <w:bCs/>
                <w:color w:val="auto"/>
                <w:sz w:val="21"/>
                <w:szCs w:val="21"/>
              </w:rPr>
              <w:t>（满分</w:t>
            </w:r>
            <w:r>
              <w:rPr>
                <w:rFonts w:hint="eastAsia" w:ascii="宋体" w:hAnsi="宋体" w:cs="宋体"/>
                <w:bCs/>
                <w:color w:val="auto"/>
                <w:sz w:val="21"/>
                <w:szCs w:val="21"/>
                <w:lang w:val="en-US" w:eastAsia="zh-CN"/>
              </w:rPr>
              <w:t>15</w:t>
            </w:r>
            <w:r>
              <w:rPr>
                <w:rFonts w:hint="eastAsia" w:ascii="宋体" w:hAnsi="宋体" w:eastAsia="宋体" w:cs="宋体"/>
                <w:bCs/>
                <w:color w:val="auto"/>
                <w:sz w:val="21"/>
                <w:szCs w:val="21"/>
              </w:rPr>
              <w:t>分）</w:t>
            </w:r>
          </w:p>
        </w:tc>
        <w:tc>
          <w:tcPr>
            <w:tcW w:w="6057" w:type="dxa"/>
            <w:noWrap w:val="0"/>
            <w:vAlign w:val="center"/>
          </w:tcPr>
          <w:p w14:paraId="64A8B3BD">
            <w:pPr>
              <w:pStyle w:val="18"/>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w:t>
            </w: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en-US" w:eastAsia="zh-CN"/>
              </w:rPr>
              <w:t>分）：编制工作的组织机构、岗位职责设置不完善；工作计划设置简单，进度可控性差；质量保证措施、进度保证措施内容单薄、无法有效保证质量和进度。</w:t>
            </w:r>
          </w:p>
          <w:p w14:paraId="2F974DD1">
            <w:pPr>
              <w:pStyle w:val="18"/>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二档（</w:t>
            </w:r>
            <w:r>
              <w:rPr>
                <w:rFonts w:hint="eastAsia" w:hAnsi="宋体" w:cs="宋体"/>
                <w:bCs/>
                <w:color w:val="auto"/>
                <w:sz w:val="21"/>
                <w:szCs w:val="21"/>
                <w:highlight w:val="none"/>
                <w:lang w:val="en-US" w:eastAsia="zh-CN"/>
              </w:rPr>
              <w:t>12</w:t>
            </w:r>
            <w:r>
              <w:rPr>
                <w:rFonts w:hint="eastAsia" w:ascii="宋体" w:hAnsi="宋体" w:eastAsia="宋体" w:cs="宋体"/>
                <w:bCs/>
                <w:color w:val="auto"/>
                <w:sz w:val="21"/>
                <w:szCs w:val="21"/>
                <w:highlight w:val="none"/>
                <w:lang w:val="en-US" w:eastAsia="zh-CN"/>
              </w:rPr>
              <w:t>分）：编制工作的组织机构、岗位职责设置较为合理；工作计划设置较为合理，进度可控性一般；质量保证措施、进度保证措施较为全面、描述较详细。</w:t>
            </w:r>
          </w:p>
          <w:p w14:paraId="71107FC3">
            <w:pPr>
              <w:pStyle w:val="18"/>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三档（</w:t>
            </w:r>
            <w:r>
              <w:rPr>
                <w:rFonts w:hint="eastAsia" w:hAnsi="宋体" w:cs="宋体"/>
                <w:bCs/>
                <w:color w:val="auto"/>
                <w:sz w:val="21"/>
                <w:szCs w:val="21"/>
                <w:highlight w:val="none"/>
                <w:lang w:val="en-US" w:eastAsia="zh-CN"/>
              </w:rPr>
              <w:t>15</w:t>
            </w:r>
            <w:r>
              <w:rPr>
                <w:rFonts w:hint="eastAsia" w:ascii="宋体" w:hAnsi="宋体" w:eastAsia="宋体" w:cs="宋体"/>
                <w:bCs/>
                <w:color w:val="auto"/>
                <w:sz w:val="21"/>
                <w:szCs w:val="21"/>
                <w:highlight w:val="none"/>
                <w:lang w:val="en-US" w:eastAsia="zh-CN"/>
              </w:rPr>
              <w:t>分）：编制工作的组织机构、岗位职责设置科学合理，有明确的组织机构分工个各岗位人员配置；工作计划设置科学合理，有明确的时间计划、阶段目标，进度可控性高；质量保证措施、进度保证措施考虑全面、措施完整、描述详细，且有针对性。</w:t>
            </w:r>
          </w:p>
          <w:p w14:paraId="223DB45E">
            <w:pPr>
              <w:spacing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lang w:val="en-US" w:eastAsia="zh-CN"/>
              </w:rPr>
              <w:t>注：未满足一档要求或未提供的不得分。</w:t>
            </w:r>
          </w:p>
        </w:tc>
      </w:tr>
      <w:tr w14:paraId="5658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36" w:type="dxa"/>
            <w:vMerge w:val="restart"/>
            <w:noWrap w:val="0"/>
            <w:vAlign w:val="center"/>
          </w:tcPr>
          <w:p w14:paraId="54DFE709">
            <w:pPr>
              <w:snapToGrid w:val="0"/>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1371" w:type="dxa"/>
            <w:vMerge w:val="restart"/>
            <w:noWrap w:val="0"/>
            <w:vAlign w:val="center"/>
          </w:tcPr>
          <w:p w14:paraId="48C3E48F">
            <w:pPr>
              <w:snapToGrid w:val="0"/>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商务分</w:t>
            </w:r>
          </w:p>
          <w:p w14:paraId="2F6AB34B">
            <w:pPr>
              <w:snapToGrid w:val="0"/>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（满分3</w:t>
            </w:r>
            <w:r>
              <w:rPr>
                <w:rFonts w:hint="eastAsia" w:ascii="宋体" w:hAnsi="宋体" w:eastAsia="宋体" w:cs="宋体"/>
                <w:bCs/>
                <w:color w:val="auto"/>
                <w:sz w:val="21"/>
                <w:szCs w:val="21"/>
                <w:lang w:val="en-US" w:eastAsia="zh-CN"/>
              </w:rPr>
              <w:t>0</w:t>
            </w:r>
            <w:r>
              <w:rPr>
                <w:rFonts w:hint="eastAsia" w:ascii="宋体" w:hAnsi="宋体" w:eastAsia="宋体" w:cs="宋体"/>
                <w:bCs/>
                <w:color w:val="auto"/>
                <w:sz w:val="21"/>
                <w:szCs w:val="21"/>
              </w:rPr>
              <w:t>分）</w:t>
            </w:r>
          </w:p>
        </w:tc>
        <w:tc>
          <w:tcPr>
            <w:tcW w:w="1467" w:type="dxa"/>
            <w:noWrap w:val="0"/>
            <w:vAlign w:val="center"/>
          </w:tcPr>
          <w:p w14:paraId="3AFA72DF">
            <w:pPr>
              <w:adjustRightInd w:val="0"/>
              <w:spacing w:line="240" w:lineRule="auto"/>
              <w:jc w:val="center"/>
              <w:textAlignment w:val="baseline"/>
              <w:rPr>
                <w:rFonts w:hint="eastAsia" w:ascii="宋体" w:hAnsi="宋体" w:eastAsia="宋体" w:cs="宋体"/>
                <w:bCs/>
                <w:color w:val="auto"/>
                <w:sz w:val="21"/>
                <w:szCs w:val="21"/>
              </w:rPr>
            </w:pPr>
            <w:r>
              <w:rPr>
                <w:rFonts w:hint="eastAsia" w:ascii="宋体" w:hAnsi="宋体" w:eastAsia="宋体" w:cs="宋体"/>
                <w:color w:val="auto"/>
                <w:sz w:val="21"/>
                <w:szCs w:val="21"/>
              </w:rPr>
              <w:t>3.1人员配置（满分</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w:t>
            </w:r>
          </w:p>
        </w:tc>
        <w:tc>
          <w:tcPr>
            <w:tcW w:w="6057" w:type="dxa"/>
            <w:noWrap w:val="0"/>
            <w:vAlign w:val="center"/>
          </w:tcPr>
          <w:p w14:paraId="3439DCCB">
            <w:pPr>
              <w:spacing w:line="24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1.项目负责人（满分3分）：</w:t>
            </w:r>
          </w:p>
          <w:p w14:paraId="62C4C77C">
            <w:pPr>
              <w:spacing w:line="24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①项目负责人具有水利水电类专业正高级（或教授级）技术职称、且具备咨询工程师（投资）登记证书（水利水电专业）的得3分，该项满分3分。</w:t>
            </w:r>
          </w:p>
          <w:p w14:paraId="082D8227">
            <w:pPr>
              <w:spacing w:line="24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2.拟投入的其他人员（除项目负责人外）（满分17分）：</w:t>
            </w:r>
          </w:p>
          <w:p w14:paraId="4E917C8C">
            <w:pPr>
              <w:spacing w:line="24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①具有水利水电类专业正高级（或教授级）技术职称的每人得3分，该项满分6分；</w:t>
            </w:r>
          </w:p>
          <w:p w14:paraId="09D29F88">
            <w:pPr>
              <w:spacing w:line="24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②具有水利水电类专业副高级工程师技术职称、且具备咨询工程师（投资）登记证书（水利水电专业）的，每人得2分，该项满分8分。</w:t>
            </w:r>
          </w:p>
          <w:p w14:paraId="62A65729">
            <w:pPr>
              <w:spacing w:line="24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③具有水利水电类专业中级技术职称的每人得1分，该项满分3分。</w:t>
            </w:r>
          </w:p>
          <w:p w14:paraId="089BC0AE">
            <w:pPr>
              <w:spacing w:line="240" w:lineRule="auto"/>
              <w:ind w:firstLine="420" w:firstLineChars="200"/>
              <w:rPr>
                <w:rFonts w:hint="eastAsia" w:ascii="宋体" w:hAnsi="宋体" w:eastAsia="宋体" w:cs="宋体"/>
                <w:bCs/>
                <w:color w:val="auto"/>
                <w:sz w:val="21"/>
                <w:szCs w:val="21"/>
                <w:highlight w:val="yellow"/>
              </w:rPr>
            </w:pPr>
            <w:r>
              <w:rPr>
                <w:rFonts w:hint="eastAsia" w:ascii="宋体" w:hAnsi="宋体" w:cs="宋体"/>
                <w:bCs/>
                <w:color w:val="auto"/>
                <w:szCs w:val="21"/>
                <w:highlight w:val="none"/>
              </w:rPr>
              <w:t>注：在响应文件中提供项目实施人员一览表、以上人员有效的职称证或资格证书、在职证明材料（劳动合同或事业单位机构编制证书或供应商代缴个人所得税证明等证明材料）等复印件，复印件须加盖供应商电子公章；人员同时具有多个证书的不重复计分；未按要求提供的不得分。</w:t>
            </w:r>
          </w:p>
        </w:tc>
      </w:tr>
      <w:tr w14:paraId="3B4D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636" w:type="dxa"/>
            <w:vMerge w:val="continue"/>
            <w:noWrap w:val="0"/>
            <w:vAlign w:val="center"/>
          </w:tcPr>
          <w:p w14:paraId="40179A24">
            <w:pPr>
              <w:snapToGrid w:val="0"/>
              <w:spacing w:line="240" w:lineRule="auto"/>
              <w:jc w:val="center"/>
              <w:rPr>
                <w:rFonts w:hint="eastAsia" w:ascii="宋体" w:hAnsi="宋体" w:eastAsia="宋体" w:cs="宋体"/>
                <w:bCs/>
                <w:color w:val="auto"/>
                <w:sz w:val="21"/>
                <w:szCs w:val="21"/>
                <w:highlight w:val="yellow"/>
              </w:rPr>
            </w:pPr>
          </w:p>
        </w:tc>
        <w:tc>
          <w:tcPr>
            <w:tcW w:w="1371" w:type="dxa"/>
            <w:vMerge w:val="continue"/>
            <w:noWrap w:val="0"/>
            <w:vAlign w:val="center"/>
          </w:tcPr>
          <w:p w14:paraId="4D093DF0">
            <w:pPr>
              <w:snapToGrid w:val="0"/>
              <w:spacing w:line="240" w:lineRule="auto"/>
              <w:jc w:val="center"/>
              <w:rPr>
                <w:rFonts w:hint="eastAsia" w:ascii="宋体" w:hAnsi="宋体" w:eastAsia="宋体" w:cs="宋体"/>
                <w:bCs/>
                <w:color w:val="auto"/>
                <w:sz w:val="21"/>
                <w:szCs w:val="21"/>
                <w:highlight w:val="yellow"/>
              </w:rPr>
            </w:pPr>
          </w:p>
        </w:tc>
        <w:tc>
          <w:tcPr>
            <w:tcW w:w="1467" w:type="dxa"/>
            <w:noWrap w:val="0"/>
            <w:vAlign w:val="center"/>
          </w:tcPr>
          <w:p w14:paraId="66AC5333">
            <w:pPr>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3.2业绩分</w:t>
            </w:r>
          </w:p>
          <w:p w14:paraId="655E35F4">
            <w:pPr>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（满分10分）</w:t>
            </w:r>
          </w:p>
        </w:tc>
        <w:tc>
          <w:tcPr>
            <w:tcW w:w="6057" w:type="dxa"/>
            <w:noWrap w:val="0"/>
            <w:vAlign w:val="center"/>
          </w:tcPr>
          <w:p w14:paraId="0C152CFA">
            <w:pPr>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2022年1月1日以来</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供应商承担过</w:t>
            </w:r>
            <w:r>
              <w:rPr>
                <w:rFonts w:hint="eastAsia" w:ascii="宋体" w:hAnsi="宋体" w:cs="宋体"/>
                <w:bCs/>
                <w:color w:val="auto"/>
                <w:sz w:val="21"/>
                <w:szCs w:val="21"/>
                <w:highlight w:val="none"/>
                <w:lang w:val="en-US" w:eastAsia="zh-CN"/>
              </w:rPr>
              <w:t>水利类项目的质量与安全监督、辅助监管、</w:t>
            </w:r>
            <w:r>
              <w:rPr>
                <w:rFonts w:hint="eastAsia" w:ascii="宋体" w:hAnsi="宋体" w:eastAsia="宋体" w:cs="宋体"/>
                <w:bCs/>
                <w:color w:val="auto"/>
                <w:sz w:val="21"/>
                <w:szCs w:val="21"/>
                <w:highlight w:val="none"/>
              </w:rPr>
              <w:t>评估、评价</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手册（或标准）编制</w:t>
            </w:r>
            <w:r>
              <w:rPr>
                <w:rFonts w:hint="eastAsia" w:ascii="宋体" w:hAnsi="宋体" w:eastAsia="宋体" w:cs="宋体"/>
                <w:bCs/>
                <w:color w:val="auto"/>
                <w:sz w:val="21"/>
                <w:szCs w:val="21"/>
                <w:highlight w:val="none"/>
              </w:rPr>
              <w:t>等类似项目的，每项得2分，本项满分10分。</w:t>
            </w:r>
          </w:p>
          <w:p w14:paraId="10832F7D">
            <w:pPr>
              <w:spacing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注：提供合同复印件并加盖供应商电子公章；合同需体现合同标的、合同双方签字或盖章信息、合同签订时间等实质性信息，否则不予计分。</w:t>
            </w:r>
          </w:p>
        </w:tc>
      </w:tr>
      <w:tr w14:paraId="0F57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531" w:type="dxa"/>
            <w:gridSpan w:val="4"/>
            <w:noWrap w:val="0"/>
            <w:vAlign w:val="top"/>
          </w:tcPr>
          <w:p w14:paraId="666A69E2">
            <w:pPr>
              <w:snapToGrid w:val="0"/>
              <w:spacing w:line="240" w:lineRule="auto"/>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rPr>
              <w:t>总得分（100分）=1+2+3</w:t>
            </w:r>
          </w:p>
        </w:tc>
      </w:tr>
    </w:tbl>
    <w:p w14:paraId="3C65BA3A">
      <w:pPr>
        <w:shd w:val="clear" w:color="auto" w:fill="auto"/>
        <w:spacing w:line="360" w:lineRule="auto"/>
        <w:ind w:firstLine="0" w:firstLineChars="0"/>
        <w:rPr>
          <w:rFonts w:hint="eastAsia" w:ascii="仿宋" w:hAnsi="仿宋" w:eastAsia="仿宋" w:cs="仿宋"/>
          <w:bCs/>
          <w:color w:val="auto"/>
          <w:sz w:val="24"/>
          <w:szCs w:val="24"/>
          <w:highlight w:val="none"/>
        </w:rPr>
      </w:pPr>
    </w:p>
    <w:p w14:paraId="579C7ACF">
      <w:pPr>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7.</w:t>
      </w:r>
      <w:r>
        <w:rPr>
          <w:rFonts w:hint="eastAsia" w:ascii="宋体" w:hAnsi="宋体" w:eastAsia="宋体" w:cs="宋体"/>
          <w:bCs/>
          <w:color w:val="auto"/>
          <w:sz w:val="21"/>
          <w:szCs w:val="21"/>
          <w:highlight w:val="none"/>
          <w:lang w:val="en-US" w:eastAsia="zh-CN"/>
        </w:rPr>
        <w:t>评标顺序：</w:t>
      </w:r>
    </w:p>
    <w:p w14:paraId="7C67F5D0">
      <w:pPr>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由磋商小组根据综合评分情况，按照各分标（如有）评审得分由高到低顺序推荐3名以上成交候选供应商，并编写评审报告，</w:t>
      </w:r>
      <w:r>
        <w:rPr>
          <w:rFonts w:hint="eastAsia" w:ascii="宋体" w:hAnsi="宋体" w:eastAsia="宋体" w:cs="宋体"/>
          <w:color w:val="auto"/>
          <w:sz w:val="21"/>
          <w:szCs w:val="21"/>
          <w:highlight w:val="none"/>
        </w:rPr>
        <w:t>评审报告通过电子交易平台向采购人、采购代理机构提交。</w:t>
      </w:r>
      <w:r>
        <w:rPr>
          <w:rFonts w:hint="eastAsia" w:ascii="宋体" w:hAnsi="宋体" w:eastAsia="宋体" w:cs="宋体"/>
          <w:bCs/>
          <w:color w:val="auto"/>
          <w:sz w:val="21"/>
          <w:szCs w:val="21"/>
          <w:highlight w:val="none"/>
        </w:rPr>
        <w:t>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02CEBD4D">
      <w:pPr>
        <w:pStyle w:val="3"/>
        <w:shd w:val="clear" w:color="auto" w:fill="auto"/>
        <w:jc w:val="center"/>
        <w:rPr>
          <w:rFonts w:hint="eastAsia" w:ascii="方正小标宋_GBK" w:hAnsi="方正小标宋_GBK" w:eastAsia="方正小标宋_GBK" w:cs="方正小标宋_GBK"/>
          <w:color w:val="auto"/>
          <w:sz w:val="28"/>
          <w:szCs w:val="28"/>
          <w:highlight w:val="none"/>
          <w:lang w:val="en-US" w:eastAsia="zh-CN"/>
        </w:rPr>
      </w:pPr>
      <w:r>
        <w:rPr>
          <w:rFonts w:hint="eastAsia" w:ascii="仿宋" w:hAnsi="仿宋" w:eastAsia="仿宋" w:cs="仿宋"/>
          <w:color w:val="auto"/>
          <w:highlight w:val="none"/>
        </w:rPr>
        <w:br w:type="page"/>
      </w:r>
      <w:bookmarkStart w:id="120" w:name="_Toc144750175"/>
      <w:bookmarkStart w:id="121" w:name="_Toc17964"/>
      <w:bookmarkStart w:id="122" w:name="_Toc30035"/>
      <w:r>
        <w:rPr>
          <w:rFonts w:hint="eastAsia" w:ascii="方正小标宋_GBK" w:hAnsi="方正小标宋_GBK" w:eastAsia="方正小标宋_GBK" w:cs="方正小标宋_GBK"/>
          <w:color w:val="auto"/>
          <w:sz w:val="28"/>
          <w:szCs w:val="28"/>
          <w:highlight w:val="none"/>
          <w:lang w:val="en-US" w:eastAsia="zh-CN"/>
        </w:rPr>
        <w:t>第五章 响应文件格式</w:t>
      </w:r>
      <w:bookmarkEnd w:id="120"/>
      <w:bookmarkEnd w:id="121"/>
      <w:bookmarkEnd w:id="122"/>
    </w:p>
    <w:p w14:paraId="2CB2EFAD">
      <w:pPr>
        <w:shd w:val="clear" w:color="auto" w:fill="auto"/>
        <w:spacing w:line="240" w:lineRule="atLeast"/>
        <w:rPr>
          <w:rFonts w:hint="eastAsia" w:ascii="仿宋" w:hAnsi="仿宋" w:eastAsia="仿宋" w:cs="仿宋"/>
          <w:b/>
          <w:color w:val="auto"/>
          <w:sz w:val="32"/>
          <w:szCs w:val="32"/>
          <w:highlight w:val="none"/>
        </w:rPr>
      </w:pPr>
    </w:p>
    <w:p w14:paraId="3C9DCD4A">
      <w:pPr>
        <w:shd w:val="clear" w:color="auto" w:fill="auto"/>
        <w:spacing w:line="240" w:lineRule="atLeast"/>
        <w:rPr>
          <w:rFonts w:hint="eastAsia" w:ascii="仿宋" w:hAnsi="仿宋" w:eastAsia="仿宋" w:cs="仿宋"/>
          <w:b/>
          <w:color w:val="auto"/>
          <w:sz w:val="32"/>
          <w:szCs w:val="32"/>
          <w:highlight w:val="none"/>
        </w:rPr>
      </w:pPr>
    </w:p>
    <w:p w14:paraId="13DBE8C3">
      <w:pPr>
        <w:shd w:val="clear" w:color="auto" w:fill="auto"/>
        <w:spacing w:line="240" w:lineRule="atLeast"/>
        <w:rPr>
          <w:rFonts w:hint="eastAsia" w:ascii="仿宋" w:hAnsi="仿宋" w:eastAsia="仿宋" w:cs="仿宋"/>
          <w:b/>
          <w:color w:val="auto"/>
          <w:sz w:val="32"/>
          <w:szCs w:val="32"/>
          <w:highlight w:val="none"/>
        </w:rPr>
      </w:pPr>
    </w:p>
    <w:p w14:paraId="48BCBA5C">
      <w:pPr>
        <w:shd w:val="clear" w:color="auto" w:fill="auto"/>
        <w:spacing w:line="240" w:lineRule="atLeast"/>
        <w:rPr>
          <w:rFonts w:hint="eastAsia" w:ascii="仿宋" w:hAnsi="仿宋" w:eastAsia="仿宋" w:cs="仿宋"/>
          <w:b/>
          <w:color w:val="auto"/>
          <w:sz w:val="32"/>
          <w:szCs w:val="32"/>
          <w:highlight w:val="none"/>
        </w:rPr>
      </w:pPr>
    </w:p>
    <w:p w14:paraId="389B3056">
      <w:pPr>
        <w:shd w:val="clear" w:color="auto" w:fill="auto"/>
        <w:spacing w:line="240" w:lineRule="atLeast"/>
        <w:rPr>
          <w:rFonts w:hint="eastAsia" w:ascii="仿宋" w:hAnsi="仿宋" w:eastAsia="仿宋" w:cs="仿宋"/>
          <w:b/>
          <w:color w:val="auto"/>
          <w:sz w:val="32"/>
          <w:szCs w:val="32"/>
          <w:highlight w:val="none"/>
        </w:rPr>
      </w:pPr>
    </w:p>
    <w:p w14:paraId="3EA9942B">
      <w:pPr>
        <w:shd w:val="clear" w:color="auto" w:fill="auto"/>
        <w:spacing w:line="240" w:lineRule="atLeast"/>
        <w:rPr>
          <w:rFonts w:hint="eastAsia" w:ascii="仿宋" w:hAnsi="仿宋" w:eastAsia="仿宋" w:cs="仿宋"/>
          <w:b/>
          <w:color w:val="auto"/>
          <w:sz w:val="32"/>
          <w:szCs w:val="32"/>
          <w:highlight w:val="none"/>
        </w:rPr>
      </w:pPr>
    </w:p>
    <w:p w14:paraId="4C56916E">
      <w:pPr>
        <w:shd w:val="clear" w:color="auto" w:fill="auto"/>
        <w:spacing w:line="240" w:lineRule="atLeast"/>
        <w:rPr>
          <w:rFonts w:hint="eastAsia" w:ascii="仿宋" w:hAnsi="仿宋" w:eastAsia="仿宋" w:cs="仿宋"/>
          <w:b/>
          <w:color w:val="auto"/>
          <w:sz w:val="32"/>
          <w:szCs w:val="32"/>
          <w:highlight w:val="none"/>
        </w:rPr>
      </w:pPr>
    </w:p>
    <w:p w14:paraId="68F4E1DC">
      <w:pPr>
        <w:shd w:val="clear" w:color="auto" w:fill="auto"/>
        <w:spacing w:line="240" w:lineRule="atLeast"/>
        <w:rPr>
          <w:rFonts w:hint="eastAsia" w:ascii="仿宋" w:hAnsi="仿宋" w:eastAsia="仿宋" w:cs="仿宋"/>
          <w:b/>
          <w:color w:val="auto"/>
          <w:sz w:val="32"/>
          <w:szCs w:val="32"/>
          <w:highlight w:val="none"/>
        </w:rPr>
      </w:pPr>
    </w:p>
    <w:p w14:paraId="35817A10">
      <w:pPr>
        <w:shd w:val="clear" w:color="auto" w:fill="auto"/>
        <w:spacing w:line="240" w:lineRule="atLeast"/>
        <w:rPr>
          <w:rFonts w:hint="eastAsia" w:ascii="仿宋" w:hAnsi="仿宋" w:eastAsia="仿宋" w:cs="仿宋"/>
          <w:b/>
          <w:color w:val="auto"/>
          <w:sz w:val="32"/>
          <w:szCs w:val="32"/>
          <w:highlight w:val="none"/>
        </w:rPr>
      </w:pPr>
    </w:p>
    <w:p w14:paraId="3A08447E">
      <w:pPr>
        <w:shd w:val="clear" w:color="auto" w:fill="auto"/>
        <w:spacing w:line="240" w:lineRule="atLeast"/>
        <w:rPr>
          <w:rFonts w:hint="eastAsia" w:ascii="仿宋" w:hAnsi="仿宋" w:eastAsia="仿宋" w:cs="仿宋"/>
          <w:b/>
          <w:color w:val="auto"/>
          <w:sz w:val="32"/>
          <w:szCs w:val="32"/>
          <w:highlight w:val="none"/>
        </w:rPr>
      </w:pPr>
    </w:p>
    <w:p w14:paraId="3C4C9A20">
      <w:pPr>
        <w:shd w:val="clear" w:color="auto" w:fill="auto"/>
        <w:spacing w:line="240" w:lineRule="atLeast"/>
        <w:outlineLvl w:val="1"/>
        <w:rPr>
          <w:rFonts w:hint="eastAsia" w:ascii="宋体" w:hAnsi="宋体" w:eastAsia="宋体" w:cs="宋体"/>
          <w:b/>
          <w:color w:val="auto"/>
          <w:sz w:val="21"/>
          <w:szCs w:val="21"/>
          <w:highlight w:val="none"/>
        </w:rPr>
      </w:pPr>
      <w:r>
        <w:rPr>
          <w:rFonts w:hint="eastAsia" w:ascii="仿宋" w:hAnsi="仿宋" w:eastAsia="仿宋" w:cs="仿宋"/>
          <w:b/>
          <w:color w:val="auto"/>
          <w:sz w:val="32"/>
          <w:szCs w:val="32"/>
          <w:highlight w:val="none"/>
        </w:rPr>
        <w:br w:type="page"/>
      </w:r>
      <w:bookmarkStart w:id="123" w:name="_Toc25236"/>
      <w:bookmarkStart w:id="124" w:name="_Toc30636"/>
      <w:r>
        <w:rPr>
          <w:rFonts w:hint="eastAsia" w:ascii="宋体" w:hAnsi="宋体" w:eastAsia="宋体" w:cs="宋体"/>
          <w:b/>
          <w:color w:val="auto"/>
          <w:sz w:val="21"/>
          <w:szCs w:val="21"/>
          <w:highlight w:val="none"/>
        </w:rPr>
        <w:t>一、资格证明文件格式</w:t>
      </w:r>
      <w:bookmarkEnd w:id="123"/>
      <w:bookmarkEnd w:id="124"/>
    </w:p>
    <w:p w14:paraId="38FB0294">
      <w:pPr>
        <w:shd w:val="clear" w:color="auto" w:fill="auto"/>
        <w:snapToGrid w:val="0"/>
        <w:spacing w:before="156" w:beforeLines="50" w:after="50"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1.资格证明文件封面格式： </w:t>
      </w:r>
    </w:p>
    <w:p w14:paraId="10D62ECA">
      <w:pPr>
        <w:shd w:val="clear" w:color="auto" w:fill="auto"/>
        <w:snapToGrid w:val="0"/>
        <w:spacing w:before="156" w:beforeLines="50" w:after="50"/>
        <w:jc w:val="center"/>
        <w:rPr>
          <w:rFonts w:hint="eastAsia" w:ascii="宋体" w:hAnsi="宋体" w:eastAsia="宋体" w:cs="宋体"/>
          <w:color w:val="auto"/>
          <w:sz w:val="44"/>
          <w:szCs w:val="44"/>
          <w:highlight w:val="none"/>
        </w:rPr>
      </w:pPr>
    </w:p>
    <w:p w14:paraId="091335BC">
      <w:pPr>
        <w:shd w:val="clear" w:color="auto" w:fill="auto"/>
        <w:snapToGrid w:val="0"/>
        <w:spacing w:before="156" w:beforeLines="50" w:after="50"/>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电 子 响 应 文 件</w:t>
      </w:r>
    </w:p>
    <w:p w14:paraId="11FA07CB">
      <w:pPr>
        <w:shd w:val="clear" w:color="auto" w:fill="auto"/>
        <w:snapToGrid w:val="0"/>
        <w:spacing w:before="156" w:beforeLines="50" w:after="50"/>
        <w:rPr>
          <w:rFonts w:hint="eastAsia" w:ascii="方正小标宋_GBK" w:hAnsi="方正小标宋_GBK" w:eastAsia="方正小标宋_GBK" w:cs="方正小标宋_GBK"/>
          <w:color w:val="auto"/>
          <w:sz w:val="44"/>
          <w:szCs w:val="44"/>
          <w:highlight w:val="none"/>
        </w:rPr>
      </w:pPr>
    </w:p>
    <w:p w14:paraId="76EB8DE0">
      <w:pPr>
        <w:shd w:val="clear" w:color="auto" w:fill="auto"/>
        <w:snapToGrid w:val="0"/>
        <w:spacing w:before="156" w:beforeLines="50" w:after="50"/>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资  格  证  明  文  件</w:t>
      </w:r>
    </w:p>
    <w:p w14:paraId="45DFCE96">
      <w:pPr>
        <w:shd w:val="clear" w:color="auto" w:fill="auto"/>
        <w:snapToGrid w:val="0"/>
        <w:spacing w:before="156" w:beforeLines="50" w:after="50"/>
        <w:rPr>
          <w:rFonts w:hint="eastAsia" w:ascii="宋体" w:hAnsi="宋体" w:eastAsia="宋体" w:cs="宋体"/>
          <w:bCs/>
          <w:color w:val="auto"/>
          <w:sz w:val="24"/>
          <w:szCs w:val="20"/>
          <w:highlight w:val="none"/>
        </w:rPr>
      </w:pPr>
    </w:p>
    <w:p w14:paraId="6607F943">
      <w:pPr>
        <w:shd w:val="clear" w:color="auto" w:fill="auto"/>
        <w:snapToGrid w:val="0"/>
        <w:spacing w:before="156" w:beforeLines="50" w:after="50"/>
        <w:rPr>
          <w:rFonts w:hint="eastAsia" w:ascii="宋体" w:hAnsi="宋体" w:eastAsia="宋体" w:cs="宋体"/>
          <w:bCs/>
          <w:color w:val="auto"/>
          <w:sz w:val="24"/>
          <w:szCs w:val="20"/>
          <w:highlight w:val="none"/>
        </w:rPr>
      </w:pPr>
    </w:p>
    <w:p w14:paraId="40693BCD">
      <w:pPr>
        <w:shd w:val="clear" w:color="auto" w:fill="auto"/>
        <w:snapToGrid w:val="0"/>
        <w:spacing w:before="156" w:beforeLines="50" w:after="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p w14:paraId="4B6C54E5">
      <w:pPr>
        <w:shd w:val="clear" w:color="auto" w:fill="auto"/>
        <w:snapToGrid w:val="0"/>
        <w:spacing w:before="156" w:beforeLines="50" w:after="50"/>
        <w:ind w:firstLine="472" w:firstLineChars="225"/>
        <w:rPr>
          <w:rFonts w:hint="eastAsia" w:ascii="宋体" w:hAnsi="宋体" w:eastAsia="宋体" w:cs="宋体"/>
          <w:bCs/>
          <w:color w:val="auto"/>
          <w:sz w:val="21"/>
          <w:szCs w:val="21"/>
          <w:highlight w:val="none"/>
        </w:rPr>
      </w:pPr>
    </w:p>
    <w:p w14:paraId="6936366A">
      <w:pPr>
        <w:shd w:val="clear" w:color="auto" w:fill="auto"/>
        <w:snapToGrid w:val="0"/>
        <w:spacing w:before="156" w:beforeLines="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p w14:paraId="650D5D91">
      <w:pPr>
        <w:shd w:val="clear" w:color="auto" w:fill="auto"/>
        <w:snapToGrid w:val="0"/>
        <w:spacing w:before="156" w:beforeLines="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p w14:paraId="17E9F671">
      <w:pPr>
        <w:shd w:val="clear" w:color="auto" w:fill="auto"/>
        <w:snapToGrid w:val="0"/>
        <w:spacing w:before="156" w:beforeLines="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所竞分标（如有则填写，无分标时填写“无”或者留空）：</w:t>
      </w:r>
    </w:p>
    <w:p w14:paraId="5DA82884">
      <w:pPr>
        <w:shd w:val="clear" w:color="auto" w:fill="auto"/>
        <w:snapToGrid w:val="0"/>
        <w:spacing w:before="156" w:beforeLines="50" w:after="50"/>
        <w:ind w:firstLine="472" w:firstLineChars="225"/>
        <w:rPr>
          <w:rFonts w:hint="eastAsia" w:ascii="宋体" w:hAnsi="宋体" w:eastAsia="宋体" w:cs="宋体"/>
          <w:bCs/>
          <w:color w:val="auto"/>
          <w:sz w:val="21"/>
          <w:szCs w:val="21"/>
          <w:highlight w:val="none"/>
        </w:rPr>
      </w:pPr>
    </w:p>
    <w:p w14:paraId="1956E3B9">
      <w:pPr>
        <w:pStyle w:val="8"/>
        <w:shd w:val="clear" w:color="auto" w:fill="auto"/>
        <w:snapToGrid w:val="0"/>
        <w:spacing w:before="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供应商名称：</w:t>
      </w:r>
    </w:p>
    <w:p w14:paraId="464FA811">
      <w:pPr>
        <w:pStyle w:val="8"/>
        <w:shd w:val="clear" w:color="auto" w:fill="auto"/>
        <w:snapToGrid w:val="0"/>
        <w:spacing w:before="50" w:after="50"/>
        <w:ind w:firstLine="472" w:firstLineChars="225"/>
        <w:rPr>
          <w:rFonts w:hint="eastAsia" w:ascii="宋体" w:hAnsi="宋体" w:eastAsia="宋体" w:cs="宋体"/>
          <w:bCs/>
          <w:color w:val="auto"/>
          <w:sz w:val="21"/>
          <w:szCs w:val="21"/>
          <w:highlight w:val="none"/>
        </w:rPr>
      </w:pPr>
    </w:p>
    <w:p w14:paraId="28389958">
      <w:pPr>
        <w:pStyle w:val="8"/>
        <w:shd w:val="clear" w:color="auto" w:fill="auto"/>
        <w:snapToGrid w:val="0"/>
        <w:spacing w:before="50" w:after="50"/>
        <w:ind w:firstLine="720" w:firstLineChars="225"/>
        <w:rPr>
          <w:rFonts w:hint="eastAsia" w:ascii="宋体" w:hAnsi="宋体" w:eastAsia="宋体" w:cs="宋体"/>
          <w:bCs/>
          <w:color w:val="auto"/>
          <w:sz w:val="32"/>
          <w:szCs w:val="32"/>
          <w:highlight w:val="none"/>
        </w:rPr>
      </w:pPr>
    </w:p>
    <w:p w14:paraId="4B04484C">
      <w:pPr>
        <w:pStyle w:val="8"/>
        <w:shd w:val="clear" w:color="auto" w:fill="auto"/>
        <w:snapToGrid w:val="0"/>
        <w:spacing w:before="50" w:after="50"/>
        <w:ind w:firstLine="1280" w:firstLineChars="400"/>
        <w:rPr>
          <w:rFonts w:hint="eastAsia" w:ascii="宋体" w:hAnsi="宋体" w:eastAsia="宋体" w:cs="宋体"/>
          <w:bCs/>
          <w:color w:val="auto"/>
          <w:sz w:val="32"/>
          <w:szCs w:val="32"/>
          <w:highlight w:val="none"/>
        </w:rPr>
      </w:pPr>
    </w:p>
    <w:p w14:paraId="5E043FF8">
      <w:pPr>
        <w:shd w:val="clear" w:color="auto" w:fill="auto"/>
        <w:snapToGrid w:val="0"/>
        <w:spacing w:before="156" w:beforeLines="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1042CDBB">
      <w:pPr>
        <w:shd w:val="clear" w:color="auto" w:fill="auto"/>
        <w:snapToGrid w:val="0"/>
        <w:spacing w:before="156" w:beforeLines="50" w:after="50" w:line="360" w:lineRule="auto"/>
        <w:ind w:left="142"/>
        <w:jc w:val="left"/>
        <w:rPr>
          <w:rFonts w:hint="eastAsia" w:ascii="宋体" w:hAnsi="宋体" w:eastAsia="宋体" w:cs="宋体"/>
          <w:b/>
          <w:bCs/>
          <w:color w:val="auto"/>
          <w:sz w:val="21"/>
          <w:szCs w:val="21"/>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1"/>
          <w:szCs w:val="21"/>
          <w:highlight w:val="none"/>
        </w:rPr>
        <w:t>2.资格证明文件目录</w:t>
      </w:r>
    </w:p>
    <w:p w14:paraId="302EBFBC">
      <w:pPr>
        <w:shd w:val="clear" w:color="auto" w:fill="auto"/>
        <w:snapToGrid w:val="0"/>
        <w:spacing w:before="156" w:beforeLines="50" w:after="50" w:line="360" w:lineRule="auto"/>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根据磋商文件规定及供应商提供的材料自行编写目录（部分格式后附）。</w:t>
      </w:r>
    </w:p>
    <w:p w14:paraId="6FAA24A1">
      <w:pPr>
        <w:shd w:val="clear" w:color="auto" w:fill="auto"/>
        <w:snapToGrid w:val="0"/>
        <w:spacing w:before="156" w:beforeLines="50" w:after="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14:paraId="4C4A651E">
      <w:pPr>
        <w:shd w:val="clear" w:color="auto" w:fill="auto"/>
        <w:spacing w:line="300" w:lineRule="auto"/>
        <w:rPr>
          <w:rFonts w:hint="eastAsia" w:ascii="仿宋" w:hAnsi="仿宋" w:eastAsia="仿宋" w:cs="仿宋"/>
          <w:color w:val="auto"/>
          <w:szCs w:val="21"/>
          <w:highlight w:val="none"/>
        </w:rPr>
      </w:pPr>
    </w:p>
    <w:p w14:paraId="0DB9D369">
      <w:pPr>
        <w:shd w:val="clear" w:color="auto" w:fill="auto"/>
        <w:spacing w:line="300" w:lineRule="auto"/>
        <w:rPr>
          <w:rFonts w:hint="eastAsia" w:ascii="仿宋" w:hAnsi="仿宋" w:eastAsia="仿宋" w:cs="仿宋"/>
          <w:color w:val="auto"/>
          <w:szCs w:val="21"/>
          <w:highlight w:val="none"/>
        </w:rPr>
      </w:pPr>
    </w:p>
    <w:p w14:paraId="7AFD6AC1">
      <w:pPr>
        <w:shd w:val="clear" w:color="auto" w:fill="auto"/>
        <w:spacing w:line="300" w:lineRule="auto"/>
        <w:rPr>
          <w:rFonts w:hint="eastAsia" w:ascii="仿宋" w:hAnsi="仿宋" w:eastAsia="仿宋" w:cs="仿宋"/>
          <w:color w:val="auto"/>
          <w:szCs w:val="21"/>
          <w:highlight w:val="none"/>
        </w:rPr>
      </w:pPr>
    </w:p>
    <w:p w14:paraId="6C689A5A">
      <w:pPr>
        <w:shd w:val="clear" w:color="auto" w:fill="auto"/>
        <w:spacing w:line="300" w:lineRule="auto"/>
        <w:rPr>
          <w:rFonts w:hint="eastAsia" w:ascii="仿宋" w:hAnsi="仿宋" w:eastAsia="仿宋" w:cs="仿宋"/>
          <w:color w:val="auto"/>
          <w:szCs w:val="21"/>
          <w:highlight w:val="none"/>
        </w:rPr>
      </w:pPr>
    </w:p>
    <w:p w14:paraId="360D7647">
      <w:pPr>
        <w:shd w:val="clear" w:color="auto" w:fill="auto"/>
        <w:spacing w:line="300" w:lineRule="auto"/>
        <w:rPr>
          <w:rFonts w:hint="eastAsia" w:ascii="仿宋" w:hAnsi="仿宋" w:eastAsia="仿宋" w:cs="仿宋"/>
          <w:color w:val="auto"/>
          <w:szCs w:val="21"/>
          <w:highlight w:val="none"/>
        </w:rPr>
      </w:pPr>
    </w:p>
    <w:p w14:paraId="250A7B90">
      <w:pPr>
        <w:shd w:val="clear" w:color="auto" w:fill="auto"/>
        <w:spacing w:line="300" w:lineRule="auto"/>
        <w:rPr>
          <w:rFonts w:hint="eastAsia" w:ascii="仿宋" w:hAnsi="仿宋" w:eastAsia="仿宋" w:cs="仿宋"/>
          <w:color w:val="auto"/>
          <w:szCs w:val="21"/>
          <w:highlight w:val="none"/>
        </w:rPr>
      </w:pPr>
    </w:p>
    <w:p w14:paraId="672D6DF7">
      <w:pPr>
        <w:shd w:val="clear" w:color="auto" w:fill="auto"/>
        <w:spacing w:line="300" w:lineRule="auto"/>
        <w:rPr>
          <w:rFonts w:hint="eastAsia" w:ascii="仿宋" w:hAnsi="仿宋" w:eastAsia="仿宋" w:cs="仿宋"/>
          <w:color w:val="auto"/>
          <w:szCs w:val="21"/>
          <w:highlight w:val="none"/>
        </w:rPr>
      </w:pPr>
    </w:p>
    <w:p w14:paraId="31C4F990">
      <w:pPr>
        <w:shd w:val="clear" w:color="auto" w:fill="auto"/>
        <w:spacing w:line="300" w:lineRule="auto"/>
        <w:rPr>
          <w:rFonts w:hint="eastAsia" w:ascii="仿宋" w:hAnsi="仿宋" w:eastAsia="仿宋" w:cs="仿宋"/>
          <w:color w:val="auto"/>
          <w:szCs w:val="21"/>
          <w:highlight w:val="none"/>
        </w:rPr>
      </w:pPr>
    </w:p>
    <w:p w14:paraId="63E6E1D5">
      <w:pPr>
        <w:shd w:val="clear" w:color="auto" w:fill="auto"/>
        <w:spacing w:line="300" w:lineRule="auto"/>
        <w:rPr>
          <w:rFonts w:hint="eastAsia" w:ascii="仿宋" w:hAnsi="仿宋" w:eastAsia="仿宋" w:cs="仿宋"/>
          <w:color w:val="auto"/>
          <w:szCs w:val="21"/>
          <w:highlight w:val="none"/>
        </w:rPr>
      </w:pPr>
    </w:p>
    <w:p w14:paraId="70CB3F63">
      <w:pPr>
        <w:shd w:val="clear" w:color="auto" w:fill="auto"/>
        <w:spacing w:line="300" w:lineRule="auto"/>
        <w:rPr>
          <w:rFonts w:hint="eastAsia" w:ascii="仿宋" w:hAnsi="仿宋" w:eastAsia="仿宋" w:cs="仿宋"/>
          <w:color w:val="auto"/>
          <w:szCs w:val="21"/>
          <w:highlight w:val="none"/>
        </w:rPr>
      </w:pPr>
    </w:p>
    <w:p w14:paraId="65A02514">
      <w:pPr>
        <w:shd w:val="clear" w:color="auto" w:fill="auto"/>
        <w:spacing w:line="300" w:lineRule="auto"/>
        <w:rPr>
          <w:rFonts w:hint="eastAsia" w:ascii="仿宋" w:hAnsi="仿宋" w:eastAsia="仿宋" w:cs="仿宋"/>
          <w:color w:val="auto"/>
          <w:szCs w:val="21"/>
          <w:highlight w:val="none"/>
        </w:rPr>
      </w:pPr>
    </w:p>
    <w:p w14:paraId="1088444B">
      <w:pPr>
        <w:shd w:val="clear" w:color="auto" w:fill="auto"/>
        <w:spacing w:line="300" w:lineRule="auto"/>
        <w:rPr>
          <w:rFonts w:hint="eastAsia" w:ascii="仿宋" w:hAnsi="仿宋" w:eastAsia="仿宋" w:cs="仿宋"/>
          <w:color w:val="auto"/>
          <w:szCs w:val="21"/>
          <w:highlight w:val="none"/>
        </w:rPr>
      </w:pPr>
    </w:p>
    <w:p w14:paraId="2C72F9DF">
      <w:pPr>
        <w:shd w:val="clear" w:color="auto" w:fill="auto"/>
        <w:spacing w:line="300" w:lineRule="auto"/>
        <w:rPr>
          <w:rFonts w:hint="eastAsia" w:ascii="仿宋" w:hAnsi="仿宋" w:eastAsia="仿宋" w:cs="仿宋"/>
          <w:color w:val="auto"/>
          <w:szCs w:val="21"/>
          <w:highlight w:val="none"/>
        </w:rPr>
      </w:pPr>
    </w:p>
    <w:p w14:paraId="58D9DC13">
      <w:pPr>
        <w:shd w:val="clear" w:color="auto" w:fill="auto"/>
        <w:spacing w:line="300" w:lineRule="auto"/>
        <w:rPr>
          <w:rFonts w:hint="eastAsia" w:ascii="仿宋" w:hAnsi="仿宋" w:eastAsia="仿宋" w:cs="仿宋"/>
          <w:color w:val="auto"/>
          <w:szCs w:val="21"/>
          <w:highlight w:val="none"/>
        </w:rPr>
      </w:pPr>
    </w:p>
    <w:p w14:paraId="6FFEA437">
      <w:pPr>
        <w:shd w:val="clear" w:color="auto" w:fill="auto"/>
        <w:spacing w:line="300" w:lineRule="auto"/>
        <w:rPr>
          <w:rFonts w:hint="eastAsia" w:ascii="仿宋" w:hAnsi="仿宋" w:eastAsia="仿宋" w:cs="仿宋"/>
          <w:color w:val="auto"/>
          <w:szCs w:val="21"/>
          <w:highlight w:val="none"/>
        </w:rPr>
      </w:pPr>
    </w:p>
    <w:p w14:paraId="39DB3C4E">
      <w:pPr>
        <w:shd w:val="clear" w:color="auto" w:fill="auto"/>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Cs w:val="21"/>
          <w:highlight w:val="none"/>
        </w:rPr>
        <w:t xml:space="preserve"> </w:t>
      </w:r>
    </w:p>
    <w:p w14:paraId="2DC3D5BE">
      <w:pPr>
        <w:shd w:val="clear" w:color="auto" w:fill="auto"/>
        <w:snapToGrid w:val="0"/>
        <w:spacing w:before="156" w:beforeLines="50" w:after="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供应商直接控股、管理关系信息表</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049"/>
        <w:gridCol w:w="802"/>
        <w:gridCol w:w="1483"/>
        <w:gridCol w:w="4395"/>
      </w:tblGrid>
      <w:tr w14:paraId="2234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418" w:type="pct"/>
            <w:gridSpan w:val="4"/>
            <w:shd w:val="clear" w:color="auto" w:fill="F2DBDB"/>
            <w:noWrap w:val="0"/>
            <w:vAlign w:val="center"/>
          </w:tcPr>
          <w:p w14:paraId="6FB9CB89">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供应商直接控股股东信息表</w:t>
            </w:r>
          </w:p>
        </w:tc>
        <w:tc>
          <w:tcPr>
            <w:tcW w:w="2581" w:type="pct"/>
            <w:shd w:val="clear" w:color="auto" w:fill="F2DBDB"/>
            <w:noWrap w:val="0"/>
            <w:vAlign w:val="center"/>
          </w:tcPr>
          <w:p w14:paraId="375FFB91">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14:paraId="391D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center"/>
          </w:tcPr>
          <w:p w14:paraId="33093770">
            <w:pPr>
              <w:keepNext w:val="0"/>
              <w:keepLines w:val="0"/>
              <w:pageBreakBefore w:val="0"/>
              <w:widowControl w:val="0"/>
              <w:shd w:val="clear" w:color="auto" w:fill="auto"/>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616" w:type="pct"/>
            <w:noWrap w:val="0"/>
            <w:vAlign w:val="center"/>
          </w:tcPr>
          <w:p w14:paraId="46ED56C7">
            <w:pPr>
              <w:keepNext w:val="0"/>
              <w:keepLines w:val="0"/>
              <w:pageBreakBefore w:val="0"/>
              <w:widowControl w:val="0"/>
              <w:shd w:val="clear" w:color="auto" w:fill="auto"/>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直接控股股东名称</w:t>
            </w:r>
          </w:p>
        </w:tc>
        <w:tc>
          <w:tcPr>
            <w:tcW w:w="470" w:type="pct"/>
            <w:noWrap w:val="0"/>
            <w:vAlign w:val="center"/>
          </w:tcPr>
          <w:p w14:paraId="7536FCD1">
            <w:pPr>
              <w:keepNext w:val="0"/>
              <w:keepLines w:val="0"/>
              <w:pageBreakBefore w:val="0"/>
              <w:widowControl w:val="0"/>
              <w:shd w:val="clear" w:color="auto" w:fill="auto"/>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出资比例</w:t>
            </w:r>
          </w:p>
        </w:tc>
        <w:tc>
          <w:tcPr>
            <w:tcW w:w="869" w:type="pct"/>
            <w:noWrap w:val="0"/>
            <w:vAlign w:val="center"/>
          </w:tcPr>
          <w:p w14:paraId="5A0FBD8D">
            <w:pPr>
              <w:keepNext w:val="0"/>
              <w:keepLines w:val="0"/>
              <w:pageBreakBefore w:val="0"/>
              <w:widowControl w:val="0"/>
              <w:shd w:val="clear" w:color="auto" w:fill="auto"/>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身份证号码或者统一社会信用代码</w:t>
            </w:r>
          </w:p>
        </w:tc>
        <w:tc>
          <w:tcPr>
            <w:tcW w:w="2581" w:type="pct"/>
            <w:vMerge w:val="restart"/>
            <w:noWrap w:val="0"/>
            <w:vAlign w:val="center"/>
          </w:tcPr>
          <w:p w14:paraId="3D1AC6E0">
            <w:pPr>
              <w:keepNext w:val="0"/>
              <w:keepLines w:val="0"/>
              <w:pageBreakBefore w:val="0"/>
              <w:widowControl w:val="0"/>
              <w:shd w:val="clear" w:color="auto" w:fill="auto"/>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60795D5">
            <w:pPr>
              <w:keepNext w:val="0"/>
              <w:keepLines w:val="0"/>
              <w:pageBreakBefore w:val="0"/>
              <w:widowControl w:val="0"/>
              <w:shd w:val="clear" w:color="auto" w:fill="auto"/>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2.本表所指的控股关系仅限于直接控股关系，不包括间接的控股关系。公司实际控制人与公司之间的关系不属于本表所指的直接控股关系。</w:t>
            </w:r>
          </w:p>
          <w:p w14:paraId="6DBD0A17">
            <w:pPr>
              <w:keepNext w:val="0"/>
              <w:keepLines w:val="0"/>
              <w:pageBreakBefore w:val="0"/>
              <w:widowControl w:val="0"/>
              <w:shd w:val="clear" w:color="auto" w:fill="auto"/>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3.供应商不存在直接控股股东的，则填“无”。</w:t>
            </w:r>
          </w:p>
        </w:tc>
      </w:tr>
      <w:tr w14:paraId="7650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top"/>
          </w:tcPr>
          <w:p w14:paraId="4C3970F7">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616" w:type="pct"/>
            <w:noWrap w:val="0"/>
            <w:vAlign w:val="top"/>
          </w:tcPr>
          <w:p w14:paraId="1951CA53">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p>
        </w:tc>
        <w:tc>
          <w:tcPr>
            <w:tcW w:w="470" w:type="pct"/>
            <w:noWrap w:val="0"/>
            <w:vAlign w:val="top"/>
          </w:tcPr>
          <w:p w14:paraId="4BDAFD30">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p>
        </w:tc>
        <w:tc>
          <w:tcPr>
            <w:tcW w:w="869" w:type="pct"/>
            <w:noWrap w:val="0"/>
            <w:vAlign w:val="top"/>
          </w:tcPr>
          <w:p w14:paraId="7E4F340A">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p>
        </w:tc>
        <w:tc>
          <w:tcPr>
            <w:tcW w:w="2581" w:type="pct"/>
            <w:vMerge w:val="continue"/>
            <w:noWrap w:val="0"/>
            <w:vAlign w:val="top"/>
          </w:tcPr>
          <w:p w14:paraId="0D5FADF0">
            <w:pPr>
              <w:keepNext w:val="0"/>
              <w:keepLines w:val="0"/>
              <w:pageBreakBefore w:val="0"/>
              <w:widowControl w:val="0"/>
              <w:shd w:val="clear" w:color="auto" w:fill="auto"/>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p>
        </w:tc>
      </w:tr>
      <w:tr w14:paraId="6CC2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top"/>
          </w:tcPr>
          <w:p w14:paraId="19388D06">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616" w:type="pct"/>
            <w:noWrap w:val="0"/>
            <w:vAlign w:val="top"/>
          </w:tcPr>
          <w:p w14:paraId="27A23A63">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p>
        </w:tc>
        <w:tc>
          <w:tcPr>
            <w:tcW w:w="470" w:type="pct"/>
            <w:noWrap w:val="0"/>
            <w:vAlign w:val="top"/>
          </w:tcPr>
          <w:p w14:paraId="3B1C6517">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p>
        </w:tc>
        <w:tc>
          <w:tcPr>
            <w:tcW w:w="869" w:type="pct"/>
            <w:noWrap w:val="0"/>
            <w:vAlign w:val="top"/>
          </w:tcPr>
          <w:p w14:paraId="128DB447">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p>
        </w:tc>
        <w:tc>
          <w:tcPr>
            <w:tcW w:w="2581" w:type="pct"/>
            <w:vMerge w:val="continue"/>
            <w:noWrap w:val="0"/>
            <w:vAlign w:val="top"/>
          </w:tcPr>
          <w:p w14:paraId="097F251B">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p>
        </w:tc>
      </w:tr>
      <w:tr w14:paraId="6CAE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tcBorders>
              <w:bottom w:val="single" w:color="auto" w:sz="4" w:space="0"/>
            </w:tcBorders>
            <w:noWrap w:val="0"/>
            <w:vAlign w:val="top"/>
          </w:tcPr>
          <w:p w14:paraId="6A24C524">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w:t>
            </w:r>
          </w:p>
        </w:tc>
        <w:tc>
          <w:tcPr>
            <w:tcW w:w="616" w:type="pct"/>
            <w:tcBorders>
              <w:bottom w:val="single" w:color="auto" w:sz="4" w:space="0"/>
            </w:tcBorders>
            <w:noWrap w:val="0"/>
            <w:vAlign w:val="top"/>
          </w:tcPr>
          <w:p w14:paraId="5647B8B0">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p>
        </w:tc>
        <w:tc>
          <w:tcPr>
            <w:tcW w:w="470" w:type="pct"/>
            <w:tcBorders>
              <w:bottom w:val="single" w:color="auto" w:sz="4" w:space="0"/>
            </w:tcBorders>
            <w:noWrap w:val="0"/>
            <w:vAlign w:val="top"/>
          </w:tcPr>
          <w:p w14:paraId="753A9705">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p>
        </w:tc>
        <w:tc>
          <w:tcPr>
            <w:tcW w:w="869" w:type="pct"/>
            <w:tcBorders>
              <w:bottom w:val="single" w:color="auto" w:sz="4" w:space="0"/>
            </w:tcBorders>
            <w:noWrap w:val="0"/>
            <w:vAlign w:val="top"/>
          </w:tcPr>
          <w:p w14:paraId="4B038789">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p>
        </w:tc>
        <w:tc>
          <w:tcPr>
            <w:tcW w:w="2581" w:type="pct"/>
            <w:vMerge w:val="continue"/>
            <w:tcBorders>
              <w:bottom w:val="single" w:color="auto" w:sz="4" w:space="0"/>
            </w:tcBorders>
            <w:noWrap w:val="0"/>
            <w:vAlign w:val="top"/>
          </w:tcPr>
          <w:p w14:paraId="41A5C0E7">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p>
        </w:tc>
      </w:tr>
      <w:tr w14:paraId="6BCC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418" w:type="pct"/>
            <w:gridSpan w:val="4"/>
            <w:shd w:val="clear" w:color="auto" w:fill="F2DBDB"/>
            <w:noWrap w:val="0"/>
            <w:vAlign w:val="center"/>
          </w:tcPr>
          <w:p w14:paraId="339A5BBD">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供应商直接管理关系信息表</w:t>
            </w:r>
          </w:p>
        </w:tc>
        <w:tc>
          <w:tcPr>
            <w:tcW w:w="2581" w:type="pct"/>
            <w:shd w:val="clear" w:color="auto" w:fill="F2DBDB"/>
            <w:noWrap w:val="0"/>
            <w:vAlign w:val="center"/>
          </w:tcPr>
          <w:p w14:paraId="2AE8A25F">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14:paraId="1D83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center"/>
          </w:tcPr>
          <w:p w14:paraId="46127DF8">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序号</w:t>
            </w:r>
          </w:p>
        </w:tc>
        <w:tc>
          <w:tcPr>
            <w:tcW w:w="1087" w:type="pct"/>
            <w:gridSpan w:val="2"/>
            <w:noWrap w:val="0"/>
            <w:vAlign w:val="center"/>
          </w:tcPr>
          <w:p w14:paraId="01558C4B">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直接管理关系单位名称</w:t>
            </w:r>
          </w:p>
        </w:tc>
        <w:tc>
          <w:tcPr>
            <w:tcW w:w="869" w:type="pct"/>
            <w:noWrap w:val="0"/>
            <w:vAlign w:val="center"/>
          </w:tcPr>
          <w:p w14:paraId="6EED5C1F">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统一社会信用代码</w:t>
            </w:r>
          </w:p>
        </w:tc>
        <w:tc>
          <w:tcPr>
            <w:tcW w:w="2581" w:type="pct"/>
            <w:vMerge w:val="restart"/>
            <w:noWrap w:val="0"/>
            <w:vAlign w:val="center"/>
          </w:tcPr>
          <w:p w14:paraId="4DA2B7E8">
            <w:pPr>
              <w:keepNext w:val="0"/>
              <w:keepLines w:val="0"/>
              <w:pageBreakBefore w:val="0"/>
              <w:widowControl w:val="0"/>
              <w:shd w:val="clear" w:color="auto" w:fill="auto"/>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14:paraId="1330631E">
            <w:pPr>
              <w:keepNext w:val="0"/>
              <w:keepLines w:val="0"/>
              <w:pageBreakBefore w:val="0"/>
              <w:widowControl w:val="0"/>
              <w:shd w:val="clear" w:color="auto" w:fill="auto"/>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2.本表所指的管理关系仅限于直接管理关系，不包括间接的管理关系。</w:t>
            </w:r>
          </w:p>
          <w:p w14:paraId="1B155F6F">
            <w:pPr>
              <w:keepNext w:val="0"/>
              <w:keepLines w:val="0"/>
              <w:pageBreakBefore w:val="0"/>
              <w:widowControl w:val="0"/>
              <w:shd w:val="clear" w:color="auto" w:fill="auto"/>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3.供应商不存在直接管理关系的，则填“无”。</w:t>
            </w:r>
          </w:p>
        </w:tc>
      </w:tr>
      <w:tr w14:paraId="6CF6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top"/>
          </w:tcPr>
          <w:p w14:paraId="0B8C691A">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087" w:type="pct"/>
            <w:gridSpan w:val="2"/>
            <w:noWrap w:val="0"/>
            <w:vAlign w:val="center"/>
          </w:tcPr>
          <w:p w14:paraId="2F260310">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bCs/>
                <w:color w:val="auto"/>
                <w:kern w:val="0"/>
                <w:sz w:val="21"/>
                <w:szCs w:val="21"/>
                <w:highlight w:val="none"/>
              </w:rPr>
            </w:pPr>
          </w:p>
        </w:tc>
        <w:tc>
          <w:tcPr>
            <w:tcW w:w="869" w:type="pct"/>
            <w:noWrap w:val="0"/>
            <w:vAlign w:val="center"/>
          </w:tcPr>
          <w:p w14:paraId="6C9B952E">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bCs/>
                <w:color w:val="auto"/>
                <w:kern w:val="0"/>
                <w:sz w:val="21"/>
                <w:szCs w:val="21"/>
                <w:highlight w:val="none"/>
              </w:rPr>
            </w:pPr>
          </w:p>
        </w:tc>
        <w:tc>
          <w:tcPr>
            <w:tcW w:w="2581" w:type="pct"/>
            <w:vMerge w:val="continue"/>
            <w:noWrap w:val="0"/>
            <w:vAlign w:val="center"/>
          </w:tcPr>
          <w:p w14:paraId="2656D46C">
            <w:pPr>
              <w:keepNext w:val="0"/>
              <w:keepLines w:val="0"/>
              <w:pageBreakBefore w:val="0"/>
              <w:widowControl w:val="0"/>
              <w:shd w:val="clear" w:color="auto" w:fill="auto"/>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p>
        </w:tc>
      </w:tr>
      <w:tr w14:paraId="1F47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top"/>
          </w:tcPr>
          <w:p w14:paraId="3346F9A9">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087" w:type="pct"/>
            <w:gridSpan w:val="2"/>
            <w:noWrap w:val="0"/>
            <w:vAlign w:val="center"/>
          </w:tcPr>
          <w:p w14:paraId="0C25315E">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bCs/>
                <w:color w:val="auto"/>
                <w:kern w:val="0"/>
                <w:sz w:val="21"/>
                <w:szCs w:val="21"/>
                <w:highlight w:val="none"/>
              </w:rPr>
            </w:pPr>
          </w:p>
        </w:tc>
        <w:tc>
          <w:tcPr>
            <w:tcW w:w="869" w:type="pct"/>
            <w:noWrap w:val="0"/>
            <w:vAlign w:val="center"/>
          </w:tcPr>
          <w:p w14:paraId="593737A7">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bCs/>
                <w:color w:val="auto"/>
                <w:kern w:val="0"/>
                <w:sz w:val="21"/>
                <w:szCs w:val="21"/>
                <w:highlight w:val="none"/>
              </w:rPr>
            </w:pPr>
          </w:p>
        </w:tc>
        <w:tc>
          <w:tcPr>
            <w:tcW w:w="2581" w:type="pct"/>
            <w:vMerge w:val="continue"/>
            <w:noWrap w:val="0"/>
            <w:vAlign w:val="center"/>
          </w:tcPr>
          <w:p w14:paraId="7FCD3D79">
            <w:pPr>
              <w:keepNext w:val="0"/>
              <w:keepLines w:val="0"/>
              <w:pageBreakBefore w:val="0"/>
              <w:widowControl w:val="0"/>
              <w:shd w:val="clear" w:color="auto" w:fill="auto"/>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p>
        </w:tc>
      </w:tr>
      <w:tr w14:paraId="6ED2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top"/>
          </w:tcPr>
          <w:p w14:paraId="4950425C">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w:t>
            </w:r>
          </w:p>
        </w:tc>
        <w:tc>
          <w:tcPr>
            <w:tcW w:w="1087" w:type="pct"/>
            <w:gridSpan w:val="2"/>
            <w:noWrap w:val="0"/>
            <w:vAlign w:val="center"/>
          </w:tcPr>
          <w:p w14:paraId="7CFD5804">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bCs/>
                <w:color w:val="auto"/>
                <w:kern w:val="0"/>
                <w:sz w:val="21"/>
                <w:szCs w:val="21"/>
                <w:highlight w:val="none"/>
              </w:rPr>
            </w:pPr>
          </w:p>
        </w:tc>
        <w:tc>
          <w:tcPr>
            <w:tcW w:w="869" w:type="pct"/>
            <w:noWrap w:val="0"/>
            <w:vAlign w:val="center"/>
          </w:tcPr>
          <w:p w14:paraId="735E8333">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b/>
                <w:bCs/>
                <w:color w:val="auto"/>
                <w:kern w:val="0"/>
                <w:sz w:val="21"/>
                <w:szCs w:val="21"/>
                <w:highlight w:val="none"/>
              </w:rPr>
            </w:pPr>
          </w:p>
        </w:tc>
        <w:tc>
          <w:tcPr>
            <w:tcW w:w="2581" w:type="pct"/>
            <w:vMerge w:val="continue"/>
            <w:noWrap w:val="0"/>
            <w:vAlign w:val="center"/>
          </w:tcPr>
          <w:p w14:paraId="627DE055">
            <w:pPr>
              <w:keepNext w:val="0"/>
              <w:keepLines w:val="0"/>
              <w:pageBreakBefore w:val="0"/>
              <w:widowControl w:val="0"/>
              <w:shd w:val="clear" w:color="auto" w:fill="auto"/>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p>
        </w:tc>
      </w:tr>
    </w:tbl>
    <w:p w14:paraId="64F3EEBA">
      <w:pPr>
        <w:shd w:val="clear" w:color="auto" w:fill="auto"/>
        <w:snapToGrid w:val="0"/>
        <w:spacing w:line="360" w:lineRule="auto"/>
        <w:jc w:val="left"/>
        <w:rPr>
          <w:rFonts w:hint="eastAsia" w:ascii="仿宋" w:hAnsi="仿宋" w:eastAsia="仿宋" w:cs="仿宋"/>
          <w:color w:val="auto"/>
          <w:sz w:val="24"/>
          <w:highlight w:val="none"/>
        </w:rPr>
      </w:pPr>
    </w:p>
    <w:p w14:paraId="670EB8C8">
      <w:pPr>
        <w:keepNext w:val="0"/>
        <w:keepLines w:val="0"/>
        <w:pageBreakBefore w:val="0"/>
        <w:widowControl w:val="0"/>
        <w:shd w:val="clear" w:color="auto" w:fill="auto"/>
        <w:kinsoku/>
        <w:wordWrap/>
        <w:overflowPunct/>
        <w:topLinePunct w:val="0"/>
        <w:autoSpaceDE/>
        <w:autoSpaceDN/>
        <w:bidi w:val="0"/>
        <w:adjustRightInd/>
        <w:snapToGrid/>
        <w:spacing w:line="400" w:lineRule="exact"/>
        <w:ind w:right="480" w:firstLine="2625" w:firstLineChars="1250"/>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供应商（电子签章）： </w:t>
      </w:r>
      <w:r>
        <w:rPr>
          <w:rFonts w:hint="eastAsia" w:ascii="宋体" w:hAnsi="宋体" w:eastAsia="宋体" w:cs="宋体"/>
          <w:color w:val="auto"/>
          <w:sz w:val="21"/>
          <w:szCs w:val="21"/>
          <w:highlight w:val="none"/>
          <w:u w:val="single"/>
        </w:rPr>
        <w:t xml:space="preserve">                              </w:t>
      </w:r>
    </w:p>
    <w:p w14:paraId="5094062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410" w:firstLineChars="21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rPr>
        <w:t xml:space="preserve">    年    月    日</w:t>
      </w:r>
    </w:p>
    <w:p w14:paraId="4BABFDE3">
      <w:pPr>
        <w:shd w:val="clear" w:color="auto" w:fill="auto"/>
        <w:snapToGrid w:val="0"/>
        <w:jc w:val="center"/>
        <w:rPr>
          <w:rFonts w:hint="eastAsia" w:ascii="宋体" w:hAnsi="宋体" w:eastAsia="宋体" w:cs="宋体"/>
          <w:b/>
          <w:color w:val="auto"/>
          <w:sz w:val="21"/>
          <w:szCs w:val="21"/>
          <w:highlight w:val="none"/>
        </w:rPr>
      </w:pPr>
      <w:r>
        <w:rPr>
          <w:rFonts w:hint="eastAsia" w:ascii="仿宋" w:hAnsi="仿宋" w:eastAsia="仿宋" w:cs="仿宋"/>
          <w:b/>
          <w:color w:val="auto"/>
          <w:sz w:val="28"/>
          <w:szCs w:val="28"/>
          <w:highlight w:val="none"/>
        </w:rPr>
        <w:br w:type="page"/>
      </w:r>
      <w:r>
        <w:rPr>
          <w:rFonts w:hint="eastAsia" w:ascii="宋体" w:hAnsi="宋体" w:eastAsia="宋体" w:cs="宋体"/>
          <w:b/>
          <w:color w:val="auto"/>
          <w:sz w:val="28"/>
          <w:szCs w:val="28"/>
          <w:highlight w:val="none"/>
        </w:rPr>
        <w:t>竞标声明</w:t>
      </w:r>
    </w:p>
    <w:p w14:paraId="207846D8">
      <w:pPr>
        <w:shd w:val="clear" w:color="auto" w:fill="auto"/>
        <w:spacing w:line="320" w:lineRule="exact"/>
        <w:jc w:val="center"/>
        <w:rPr>
          <w:rFonts w:hint="eastAsia" w:ascii="仿宋" w:hAnsi="仿宋" w:eastAsia="仿宋" w:cs="仿宋"/>
          <w:color w:val="auto"/>
          <w:sz w:val="24"/>
          <w:szCs w:val="20"/>
          <w:highlight w:val="none"/>
        </w:rPr>
      </w:pPr>
    </w:p>
    <w:p w14:paraId="49EB4886">
      <w:pPr>
        <w:keepNext w:val="0"/>
        <w:keepLines w:val="0"/>
        <w:pageBreakBefore w:val="0"/>
        <w:widowControl w:val="0"/>
        <w:shd w:val="clear" w:color="auto" w:fill="auto"/>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177145F0">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rPr>
        <w:t>系中华人民共和国合法供应商，经营地址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E946770">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我方愿意参加贵方组织的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项目的竞标，为便于贵方公正、择优地确定成交供应商及其竞标产品和服务，我方就本次竞标有关事项郑重声明如下：</w:t>
      </w:r>
    </w:p>
    <w:p w14:paraId="264A32F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1.我方向贵方提交的所有响应文件、资料都是准确的和真实的。</w:t>
      </w:r>
    </w:p>
    <w:p w14:paraId="662FCB7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2.我方不是为本次采购项目提供整体设计、规范编制或者项目管理、监理、检测等服务的供应商。</w:t>
      </w:r>
    </w:p>
    <w:p w14:paraId="4CB939A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3.在此，我方宣布同意如下：</w:t>
      </w:r>
    </w:p>
    <w:p w14:paraId="7DB8D9A2">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（1）将按磋商文件的约定履行合同责任和义务；</w:t>
      </w:r>
    </w:p>
    <w:p w14:paraId="6C6C77EB">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（2）已详细审查全部磋商文件，包括澄清或者更正公告（如有）；</w:t>
      </w:r>
    </w:p>
    <w:p w14:paraId="3C213B3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（3）同意提供按照贵方可能要求的与磋商有关的一切数据或者资料；</w:t>
      </w:r>
    </w:p>
    <w:p w14:paraId="7DE2E80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（4）响应磋商文件规定的竞标有效期。</w:t>
      </w:r>
    </w:p>
    <w:p w14:paraId="62A1D680">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4.我方承诺符合《中华人民共和国政府采购法》第二十二条规定：</w:t>
      </w:r>
    </w:p>
    <w:p w14:paraId="0CB24FA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161D9FCC">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14:paraId="53AF49AC">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6E56F15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6BB7254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7B300F10">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p w14:paraId="0B974FF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2C6B47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4CA6CDC">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□我方本次响应文件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p>
    <w:p w14:paraId="43A8271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□我方本次响应文件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D60EEAF">
      <w:pPr>
        <w:pStyle w:val="18"/>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7.与本磋商有关的一切正式往来信函请寄：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邮政编号：</w:t>
      </w:r>
      <w:r>
        <w:rPr>
          <w:rFonts w:hint="eastAsia" w:ascii="宋体" w:hAnsi="宋体" w:eastAsia="宋体" w:cs="宋体"/>
          <w:color w:val="auto"/>
          <w:sz w:val="21"/>
          <w:szCs w:val="21"/>
          <w:highlight w:val="none"/>
          <w:u w:val="single"/>
        </w:rPr>
        <w:t xml:space="preserve">        </w:t>
      </w:r>
    </w:p>
    <w:p w14:paraId="1557B3F9">
      <w:pPr>
        <w:pStyle w:val="18"/>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77FFB81">
      <w:pPr>
        <w:pStyle w:val="16"/>
        <w:keepNext w:val="0"/>
        <w:keepLines w:val="0"/>
        <w:pageBreakBefore w:val="0"/>
        <w:widowControl w:val="0"/>
        <w:shd w:val="clear" w:color="auto" w:fill="auto"/>
        <w:tabs>
          <w:tab w:val="left" w:pos="939"/>
        </w:tabs>
        <w:kinsoku/>
        <w:wordWrap/>
        <w:overflowPunct/>
        <w:topLinePunct w:val="0"/>
        <w:autoSpaceDE/>
        <w:autoSpaceDN/>
        <w:bidi w:val="0"/>
        <w:adjustRightInd/>
        <w:snapToGrid/>
        <w:spacing w:line="400" w:lineRule="exact"/>
        <w:ind w:left="141" w:leftChars="67"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账号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60DD54ED">
      <w:pPr>
        <w:pStyle w:val="16"/>
        <w:keepNext w:val="0"/>
        <w:keepLines w:val="0"/>
        <w:pageBreakBefore w:val="0"/>
        <w:widowControl w:val="0"/>
        <w:shd w:val="clear" w:color="auto" w:fill="auto"/>
        <w:tabs>
          <w:tab w:val="left" w:pos="939"/>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8.以上事项如有虚假或者隐瞒，我方愿意承担一切后果，并不再寻求任何旨在减轻或者免除法律责任的辩解。</w:t>
      </w:r>
    </w:p>
    <w:p w14:paraId="63397A77">
      <w:pPr>
        <w:pStyle w:val="16"/>
        <w:keepNext w:val="0"/>
        <w:keepLines w:val="0"/>
        <w:pageBreakBefore w:val="0"/>
        <w:widowControl w:val="0"/>
        <w:shd w:val="clear" w:color="auto" w:fill="auto"/>
        <w:tabs>
          <w:tab w:val="left" w:pos="939"/>
        </w:tabs>
        <w:kinsoku/>
        <w:wordWrap/>
        <w:overflowPunct/>
        <w:topLinePunct w:val="0"/>
        <w:autoSpaceDE/>
        <w:autoSpaceDN/>
        <w:bidi w:val="0"/>
        <w:adjustRightInd/>
        <w:snapToGrid/>
        <w:spacing w:line="400" w:lineRule="exact"/>
        <w:ind w:left="141" w:leftChars="67"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1389F80D">
      <w:pPr>
        <w:pStyle w:val="16"/>
        <w:keepNext w:val="0"/>
        <w:keepLines w:val="0"/>
        <w:pageBreakBefore w:val="0"/>
        <w:widowControl w:val="0"/>
        <w:shd w:val="clear" w:color="auto" w:fill="auto"/>
        <w:tabs>
          <w:tab w:val="left" w:pos="939"/>
        </w:tabs>
        <w:kinsoku/>
        <w:wordWrap/>
        <w:overflowPunct/>
        <w:topLinePunct w:val="0"/>
        <w:autoSpaceDE/>
        <w:autoSpaceDN/>
        <w:bidi w:val="0"/>
        <w:adjustRightInd/>
        <w:snapToGrid/>
        <w:spacing w:line="400" w:lineRule="exact"/>
        <w:ind w:left="141" w:leftChars="67" w:firstLine="315" w:firstLineChars="150"/>
        <w:textAlignment w:val="auto"/>
        <w:rPr>
          <w:rFonts w:hint="eastAsia" w:ascii="宋体" w:hAnsi="宋体" w:eastAsia="宋体" w:cs="宋体"/>
          <w:color w:val="auto"/>
          <w:sz w:val="21"/>
          <w:szCs w:val="21"/>
          <w:highlight w:val="none"/>
        </w:rPr>
      </w:pPr>
    </w:p>
    <w:p w14:paraId="4EE60B34">
      <w:pPr>
        <w:keepNext w:val="0"/>
        <w:keepLines w:val="0"/>
        <w:pageBreakBefore w:val="0"/>
        <w:widowControl w:val="0"/>
        <w:shd w:val="clear" w:color="auto" w:fill="auto"/>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注：如为联合体竞标，盖章处须加盖联合体牵头人电子签章并由联合体牵头人法定代表人分别签字或者盖章或者电子签名，否则响应文件按无效处理。</w:t>
      </w:r>
    </w:p>
    <w:p w14:paraId="2D5D7C2B">
      <w:pPr>
        <w:keepNext w:val="0"/>
        <w:keepLines w:val="0"/>
        <w:pageBreakBefore w:val="0"/>
        <w:widowControl w:val="0"/>
        <w:shd w:val="clear" w:color="auto" w:fill="auto"/>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color w:val="auto"/>
          <w:sz w:val="21"/>
          <w:szCs w:val="21"/>
          <w:highlight w:val="none"/>
        </w:rPr>
      </w:pPr>
    </w:p>
    <w:p w14:paraId="70C5EA56">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2940" w:firstLineChars="1400"/>
        <w:contextualSpacing/>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法定代表人（签字或者盖章或者电子签名）：</w:t>
      </w:r>
      <w:r>
        <w:rPr>
          <w:rFonts w:hint="eastAsia" w:ascii="宋体" w:hAnsi="宋体" w:eastAsia="宋体" w:cs="宋体"/>
          <w:color w:val="auto"/>
          <w:sz w:val="21"/>
          <w:szCs w:val="21"/>
          <w:highlight w:val="none"/>
          <w:u w:val="single"/>
        </w:rPr>
        <w:t xml:space="preserve">           </w:t>
      </w:r>
    </w:p>
    <w:p w14:paraId="3FE4E5BC">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2940" w:firstLineChars="1400"/>
        <w:contextualSpacing/>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供应商（电子签章）：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3C5ADF8">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410" w:firstLineChars="21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rPr>
        <w:t xml:space="preserve">    年    月    日</w:t>
      </w:r>
    </w:p>
    <w:p w14:paraId="26E625A9">
      <w:pPr>
        <w:pStyle w:val="8"/>
        <w:shd w:val="clear" w:color="auto" w:fill="auto"/>
        <w:overflowPunct w:val="0"/>
        <w:spacing w:line="520" w:lineRule="exact"/>
        <w:ind w:firstLine="0"/>
        <w:jc w:val="center"/>
        <w:rPr>
          <w:rFonts w:hint="eastAsia" w:ascii="宋体" w:hAnsi="宋体" w:eastAsia="宋体" w:cs="宋体"/>
          <w:b/>
          <w:bCs/>
          <w:color w:val="auto"/>
          <w:sz w:val="21"/>
          <w:szCs w:val="21"/>
          <w:highlight w:val="none"/>
        </w:rPr>
      </w:pPr>
      <w:r>
        <w:rPr>
          <w:rFonts w:hint="eastAsia" w:ascii="仿宋" w:hAnsi="仿宋" w:eastAsia="仿宋" w:cs="仿宋"/>
          <w:color w:val="auto"/>
          <w:sz w:val="24"/>
          <w:highlight w:val="none"/>
        </w:rPr>
        <w:br w:type="page"/>
      </w:r>
      <w:r>
        <w:rPr>
          <w:rFonts w:hint="eastAsia" w:ascii="宋体" w:hAnsi="宋体" w:eastAsia="宋体" w:cs="宋体"/>
          <w:b/>
          <w:bCs/>
          <w:color w:val="auto"/>
          <w:sz w:val="28"/>
          <w:szCs w:val="28"/>
          <w:highlight w:val="none"/>
        </w:rPr>
        <w:t>联合体竞标协议书</w:t>
      </w:r>
    </w:p>
    <w:p w14:paraId="4CD3C362">
      <w:pPr>
        <w:pStyle w:val="8"/>
        <w:shd w:val="clear" w:color="auto" w:fill="auto"/>
        <w:overflowPunct w:val="0"/>
        <w:spacing w:line="360" w:lineRule="auto"/>
        <w:ind w:firstLine="0"/>
        <w:rPr>
          <w:rFonts w:hint="eastAsia" w:ascii="仿宋" w:hAnsi="仿宋" w:eastAsia="仿宋" w:cs="仿宋"/>
          <w:color w:val="auto"/>
          <w:sz w:val="24"/>
          <w:szCs w:val="24"/>
          <w:highlight w:val="none"/>
        </w:rPr>
      </w:pPr>
    </w:p>
    <w:p w14:paraId="5527C431">
      <w:pPr>
        <w:pStyle w:val="8"/>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（所有成员单位名称）自愿组成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（联合体名称）联合体，共同参加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（项目名称）采购项目竞标。现就联合体竞标事宜订立如下协议。</w:t>
      </w:r>
    </w:p>
    <w:p w14:paraId="64E4F04F">
      <w:pPr>
        <w:pStyle w:val="8"/>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（某成员单位名称）为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（联合体名称）牵头人。</w:t>
      </w:r>
    </w:p>
    <w:p w14:paraId="61194462">
      <w:pPr>
        <w:pStyle w:val="8"/>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682FC50A">
      <w:pPr>
        <w:pStyle w:val="8"/>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661C900C">
      <w:pPr>
        <w:pStyle w:val="8"/>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4.联合体各成员单位内部的职责分工如下：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A4AB0A3">
      <w:pPr>
        <w:pStyle w:val="8"/>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w:t>
      </w:r>
      <w:r>
        <w:rPr>
          <w:rFonts w:hint="eastAsia" w:ascii="宋体" w:hAnsi="宋体" w:eastAsia="宋体" w:cs="宋体"/>
          <w:color w:val="auto"/>
          <w:spacing w:val="-6"/>
          <w:sz w:val="21"/>
          <w:szCs w:val="21"/>
          <w:highlight w:val="none"/>
        </w:rPr>
        <w:t>协议书自所有成员单位法定代表人（单位负责人）或者其委托代理人签字或者盖单</w:t>
      </w:r>
      <w:r>
        <w:rPr>
          <w:rFonts w:hint="eastAsia" w:ascii="宋体" w:hAnsi="宋体" w:eastAsia="宋体" w:cs="宋体"/>
          <w:color w:val="auto"/>
          <w:spacing w:val="-6"/>
          <w:sz w:val="21"/>
          <w:szCs w:val="21"/>
          <w:highlight w:val="none"/>
          <w:lang w:eastAsia="zh-CN"/>
        </w:rPr>
        <w:t>位公</w:t>
      </w:r>
      <w:r>
        <w:rPr>
          <w:rFonts w:hint="eastAsia" w:ascii="宋体" w:hAnsi="宋体" w:eastAsia="宋体" w:cs="宋体"/>
          <w:color w:val="auto"/>
          <w:spacing w:val="-6"/>
          <w:sz w:val="21"/>
          <w:szCs w:val="21"/>
          <w:highlight w:val="none"/>
        </w:rPr>
        <w:t>章之日起生效，合同履行完毕后自动失效。</w:t>
      </w:r>
    </w:p>
    <w:p w14:paraId="7192C781">
      <w:pPr>
        <w:pStyle w:val="8"/>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6.本协议书一式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份，联合体成员和采购人各执一份。</w:t>
      </w:r>
    </w:p>
    <w:p w14:paraId="15D74B30">
      <w:pPr>
        <w:pStyle w:val="8"/>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注：本协议书应附法定代表人身份证明书；有委托代理的，应附权委托书（格式自拟）。</w:t>
      </w:r>
    </w:p>
    <w:p w14:paraId="0BB26F26">
      <w:pPr>
        <w:pStyle w:val="8"/>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Chars="175"/>
        <w:contextualSpacing/>
        <w:textAlignment w:val="auto"/>
        <w:rPr>
          <w:rFonts w:hint="eastAsia" w:ascii="宋体" w:hAnsi="宋体" w:eastAsia="宋体" w:cs="宋体"/>
          <w:color w:val="auto"/>
          <w:sz w:val="21"/>
          <w:szCs w:val="21"/>
          <w:highlight w:val="none"/>
        </w:rPr>
      </w:pPr>
    </w:p>
    <w:p w14:paraId="5D11F49E">
      <w:pPr>
        <w:pStyle w:val="8"/>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联合体牵头人名称（电子签章）：</w:t>
      </w:r>
    </w:p>
    <w:p w14:paraId="36705289">
      <w:pPr>
        <w:pStyle w:val="8"/>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法定代表人或者其委托代理人（签字或者电子签名）：</w:t>
      </w:r>
    </w:p>
    <w:p w14:paraId="61BE280B">
      <w:pPr>
        <w:pStyle w:val="8"/>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0"/>
        <w:contextualSpacing/>
        <w:textAlignment w:val="auto"/>
        <w:rPr>
          <w:rFonts w:hint="eastAsia" w:ascii="宋体" w:hAnsi="宋体" w:eastAsia="宋体" w:cs="宋体"/>
          <w:color w:val="auto"/>
          <w:sz w:val="21"/>
          <w:szCs w:val="21"/>
          <w:highlight w:val="none"/>
        </w:rPr>
      </w:pPr>
    </w:p>
    <w:p w14:paraId="7A68BBB8">
      <w:pPr>
        <w:pStyle w:val="8"/>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联合体成员名称（盖公章或者电子签章）：</w:t>
      </w:r>
    </w:p>
    <w:p w14:paraId="02AE94A2">
      <w:pPr>
        <w:pStyle w:val="8"/>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法定代表人或者其委托代理人（签字或者电子签名）：</w:t>
      </w:r>
    </w:p>
    <w:p w14:paraId="30B04DCB">
      <w:pPr>
        <w:pStyle w:val="8"/>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0"/>
        <w:contextualSpacing/>
        <w:textAlignment w:val="auto"/>
        <w:rPr>
          <w:rFonts w:hint="eastAsia" w:ascii="宋体" w:hAnsi="宋体" w:eastAsia="宋体" w:cs="宋体"/>
          <w:color w:val="auto"/>
          <w:sz w:val="21"/>
          <w:szCs w:val="21"/>
          <w:highlight w:val="none"/>
        </w:rPr>
      </w:pPr>
    </w:p>
    <w:p w14:paraId="374A079A">
      <w:pPr>
        <w:pStyle w:val="8"/>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71F9032E">
      <w:pPr>
        <w:keepNext w:val="0"/>
        <w:keepLines w:val="0"/>
        <w:pageBreakBefore w:val="0"/>
        <w:widowControl w:val="0"/>
        <w:shd w:val="clear" w:color="auto" w:fill="auto"/>
        <w:kinsoku/>
        <w:wordWrap/>
        <w:topLinePunct w:val="0"/>
        <w:autoSpaceDE/>
        <w:autoSpaceDN/>
        <w:bidi w:val="0"/>
        <w:adjustRightInd/>
        <w:snapToGrid/>
        <w:spacing w:line="400" w:lineRule="exact"/>
        <w:ind w:right="480" w:firstLine="210" w:firstLineChars="100"/>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0ADDB3C">
      <w:pPr>
        <w:keepNext w:val="0"/>
        <w:keepLines w:val="0"/>
        <w:pageBreakBefore w:val="0"/>
        <w:widowControl w:val="0"/>
        <w:shd w:val="clear" w:color="auto" w:fill="auto"/>
        <w:kinsoku/>
        <w:wordWrap/>
        <w:topLinePunct w:val="0"/>
        <w:autoSpaceDE/>
        <w:autoSpaceDN/>
        <w:bidi w:val="0"/>
        <w:adjustRightInd/>
        <w:snapToGrid/>
        <w:spacing w:line="400" w:lineRule="exact"/>
        <w:ind w:right="480" w:firstLine="210" w:firstLineChars="100"/>
        <w:contextualSpacing/>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年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日</w:t>
      </w:r>
    </w:p>
    <w:p w14:paraId="58D5643E">
      <w:pPr>
        <w:keepNext w:val="0"/>
        <w:keepLines w:val="0"/>
        <w:pageBreakBefore w:val="0"/>
        <w:widowControl w:val="0"/>
        <w:shd w:val="clear" w:color="auto" w:fill="auto"/>
        <w:kinsoku/>
        <w:wordWrap/>
        <w:topLinePunct w:val="0"/>
        <w:autoSpaceDE/>
        <w:autoSpaceDN/>
        <w:bidi w:val="0"/>
        <w:adjustRightInd/>
        <w:snapToGrid/>
        <w:spacing w:line="400" w:lineRule="exact"/>
        <w:ind w:right="420"/>
        <w:contextualSpacing/>
        <w:jc w:val="left"/>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br w:type="page"/>
      </w:r>
      <w:bookmarkStart w:id="125" w:name="_Toc7001"/>
      <w:bookmarkStart w:id="126" w:name="_Toc19138"/>
      <w:r>
        <w:rPr>
          <w:rFonts w:hint="eastAsia" w:ascii="宋体" w:hAnsi="宋体" w:eastAsia="宋体" w:cs="宋体"/>
          <w:b/>
          <w:bCs/>
          <w:color w:val="auto"/>
          <w:sz w:val="21"/>
          <w:szCs w:val="21"/>
          <w:highlight w:val="none"/>
        </w:rPr>
        <w:t>二、</w:t>
      </w:r>
      <w:r>
        <w:rPr>
          <w:rFonts w:hint="eastAsia" w:ascii="宋体" w:hAnsi="宋体" w:eastAsia="宋体" w:cs="宋体"/>
          <w:b/>
          <w:color w:val="auto"/>
          <w:sz w:val="21"/>
          <w:szCs w:val="21"/>
          <w:highlight w:val="none"/>
        </w:rPr>
        <w:t>报价文件格式</w:t>
      </w:r>
      <w:bookmarkEnd w:id="125"/>
      <w:bookmarkEnd w:id="126"/>
      <w:r>
        <w:rPr>
          <w:rFonts w:hint="eastAsia" w:ascii="宋体" w:hAnsi="宋体" w:eastAsia="宋体" w:cs="宋体"/>
          <w:b/>
          <w:color w:val="auto"/>
          <w:sz w:val="21"/>
          <w:szCs w:val="21"/>
          <w:highlight w:val="none"/>
        </w:rPr>
        <w:t xml:space="preserve"> </w:t>
      </w:r>
    </w:p>
    <w:p w14:paraId="346A451F">
      <w:pPr>
        <w:shd w:val="clear" w:color="auto" w:fill="auto"/>
        <w:snapToGrid w:val="0"/>
        <w:spacing w:before="156" w:beforeLines="50" w:after="50"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1.报价文件封面格式</w:t>
      </w:r>
    </w:p>
    <w:p w14:paraId="1DC3AEF0">
      <w:pPr>
        <w:shd w:val="clear" w:color="auto" w:fill="auto"/>
        <w:snapToGrid w:val="0"/>
        <w:spacing w:before="156" w:beforeLines="50" w:after="50"/>
        <w:rPr>
          <w:rFonts w:hint="eastAsia" w:ascii="方正小标宋_GBK" w:hAnsi="方正小标宋_GBK" w:eastAsia="方正小标宋_GBK" w:cs="方正小标宋_GBK"/>
          <w:bCs/>
          <w:color w:val="auto"/>
          <w:sz w:val="44"/>
          <w:szCs w:val="44"/>
          <w:highlight w:val="none"/>
        </w:rPr>
      </w:pPr>
      <w:r>
        <w:rPr>
          <w:rFonts w:hint="eastAsia" w:ascii="仿宋" w:hAnsi="仿宋" w:eastAsia="仿宋" w:cs="仿宋"/>
          <w:color w:val="auto"/>
          <w:sz w:val="24"/>
          <w:highlight w:val="none"/>
        </w:rPr>
        <w:t xml:space="preserve">                        </w:t>
      </w:r>
      <w:r>
        <w:rPr>
          <w:rFonts w:hint="eastAsia" w:ascii="方正小标宋_GBK" w:hAnsi="方正小标宋_GBK" w:eastAsia="方正小标宋_GBK" w:cs="方正小标宋_GBK"/>
          <w:color w:val="auto"/>
          <w:sz w:val="44"/>
          <w:szCs w:val="44"/>
          <w:highlight w:val="none"/>
        </w:rPr>
        <w:t xml:space="preserve">                            </w:t>
      </w:r>
    </w:p>
    <w:p w14:paraId="098E287A">
      <w:pPr>
        <w:shd w:val="clear" w:color="auto" w:fill="auto"/>
        <w:snapToGrid w:val="0"/>
        <w:spacing w:before="156" w:beforeLines="50" w:after="50"/>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电 子 响 应 文 件</w:t>
      </w:r>
    </w:p>
    <w:p w14:paraId="526C10A9">
      <w:pPr>
        <w:shd w:val="clear" w:color="auto" w:fill="auto"/>
        <w:snapToGrid w:val="0"/>
        <w:spacing w:before="156" w:beforeLines="50" w:after="50"/>
        <w:rPr>
          <w:rFonts w:hint="eastAsia" w:ascii="方正小标宋_GBK" w:hAnsi="方正小标宋_GBK" w:eastAsia="方正小标宋_GBK" w:cs="方正小标宋_GBK"/>
          <w:color w:val="auto"/>
          <w:sz w:val="44"/>
          <w:szCs w:val="44"/>
          <w:highlight w:val="none"/>
        </w:rPr>
      </w:pPr>
    </w:p>
    <w:p w14:paraId="73E15845">
      <w:pPr>
        <w:shd w:val="clear" w:color="auto" w:fill="auto"/>
        <w:snapToGrid w:val="0"/>
        <w:spacing w:before="156" w:beforeLines="50" w:after="50"/>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报  价  文  件</w:t>
      </w:r>
    </w:p>
    <w:p w14:paraId="4ACF2307">
      <w:pPr>
        <w:shd w:val="clear" w:color="auto" w:fill="auto"/>
        <w:snapToGrid w:val="0"/>
        <w:spacing w:before="156" w:beforeLines="50" w:after="50"/>
        <w:rPr>
          <w:rFonts w:hint="eastAsia" w:ascii="方正小标宋_GBK" w:hAnsi="方正小标宋_GBK" w:eastAsia="方正小标宋_GBK" w:cs="方正小标宋_GBK"/>
          <w:bCs/>
          <w:color w:val="auto"/>
          <w:sz w:val="44"/>
          <w:szCs w:val="44"/>
          <w:highlight w:val="none"/>
        </w:rPr>
      </w:pPr>
    </w:p>
    <w:p w14:paraId="5BCC2511">
      <w:pPr>
        <w:shd w:val="clear" w:color="auto" w:fill="auto"/>
        <w:snapToGrid w:val="0"/>
        <w:spacing w:before="156" w:beforeLines="50" w:after="50"/>
        <w:rPr>
          <w:rFonts w:hint="eastAsia" w:ascii="仿宋" w:hAnsi="仿宋" w:eastAsia="仿宋" w:cs="仿宋"/>
          <w:bCs/>
          <w:color w:val="auto"/>
          <w:sz w:val="24"/>
          <w:szCs w:val="20"/>
          <w:highlight w:val="none"/>
        </w:rPr>
      </w:pPr>
    </w:p>
    <w:p w14:paraId="1D75FE8C">
      <w:pPr>
        <w:shd w:val="clear" w:color="auto" w:fill="auto"/>
        <w:snapToGrid w:val="0"/>
        <w:spacing w:before="156" w:beforeLines="50" w:after="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p w14:paraId="7A73FCC6">
      <w:pPr>
        <w:shd w:val="clear" w:color="auto" w:fill="auto"/>
        <w:snapToGrid w:val="0"/>
        <w:spacing w:before="156" w:beforeLines="50" w:after="50"/>
        <w:ind w:firstLine="472" w:firstLineChars="225"/>
        <w:rPr>
          <w:rFonts w:hint="eastAsia" w:ascii="宋体" w:hAnsi="宋体" w:eastAsia="宋体" w:cs="宋体"/>
          <w:bCs/>
          <w:color w:val="auto"/>
          <w:sz w:val="21"/>
          <w:szCs w:val="21"/>
          <w:highlight w:val="none"/>
        </w:rPr>
      </w:pPr>
    </w:p>
    <w:p w14:paraId="4F05CB27">
      <w:pPr>
        <w:shd w:val="clear" w:color="auto" w:fill="auto"/>
        <w:snapToGrid w:val="0"/>
        <w:spacing w:before="156" w:beforeLines="50" w:after="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p w14:paraId="56D21AF6">
      <w:pPr>
        <w:shd w:val="clear" w:color="auto" w:fill="auto"/>
        <w:snapToGrid w:val="0"/>
        <w:spacing w:before="156" w:beforeLines="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p w14:paraId="46ADCED8">
      <w:pPr>
        <w:shd w:val="clear" w:color="auto" w:fill="auto"/>
        <w:snapToGrid w:val="0"/>
        <w:spacing w:before="156" w:beforeLines="50" w:after="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所竞分标（如有则填写，无分标时填写“无”或者留空）：</w:t>
      </w:r>
    </w:p>
    <w:p w14:paraId="3057EDAE">
      <w:pPr>
        <w:shd w:val="clear" w:color="auto" w:fill="auto"/>
        <w:snapToGrid w:val="0"/>
        <w:spacing w:before="156" w:beforeLines="50" w:after="50"/>
        <w:ind w:firstLine="472" w:firstLineChars="225"/>
        <w:rPr>
          <w:rFonts w:hint="eastAsia" w:ascii="宋体" w:hAnsi="宋体" w:eastAsia="宋体" w:cs="宋体"/>
          <w:bCs/>
          <w:color w:val="auto"/>
          <w:sz w:val="21"/>
          <w:szCs w:val="21"/>
          <w:highlight w:val="none"/>
        </w:rPr>
      </w:pPr>
    </w:p>
    <w:p w14:paraId="6AA34313">
      <w:pPr>
        <w:pStyle w:val="8"/>
        <w:shd w:val="clear" w:color="auto" w:fill="auto"/>
        <w:snapToGrid w:val="0"/>
        <w:spacing w:before="50" w:after="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供应商名称：</w:t>
      </w:r>
    </w:p>
    <w:p w14:paraId="46349D7C">
      <w:pPr>
        <w:pStyle w:val="8"/>
        <w:shd w:val="clear" w:color="auto" w:fill="auto"/>
        <w:snapToGrid w:val="0"/>
        <w:spacing w:before="50" w:after="50"/>
        <w:ind w:firstLine="420" w:firstLineChars="200"/>
        <w:rPr>
          <w:rFonts w:hint="eastAsia" w:ascii="宋体" w:hAnsi="宋体" w:eastAsia="宋体" w:cs="宋体"/>
          <w:bCs/>
          <w:color w:val="auto"/>
          <w:sz w:val="21"/>
          <w:szCs w:val="21"/>
          <w:highlight w:val="none"/>
        </w:rPr>
      </w:pPr>
    </w:p>
    <w:p w14:paraId="5A8D8EEA">
      <w:pPr>
        <w:pStyle w:val="8"/>
        <w:shd w:val="clear" w:color="auto" w:fill="auto"/>
        <w:snapToGrid w:val="0"/>
        <w:spacing w:before="50" w:after="50"/>
        <w:ind w:firstLine="840" w:firstLineChars="400"/>
        <w:rPr>
          <w:rFonts w:hint="eastAsia" w:ascii="宋体" w:hAnsi="宋体" w:eastAsia="宋体" w:cs="宋体"/>
          <w:bCs/>
          <w:color w:val="auto"/>
          <w:sz w:val="21"/>
          <w:szCs w:val="21"/>
          <w:highlight w:val="none"/>
        </w:rPr>
      </w:pPr>
    </w:p>
    <w:p w14:paraId="071B9B38">
      <w:pPr>
        <w:shd w:val="clear" w:color="auto" w:fill="auto"/>
        <w:snapToGrid w:val="0"/>
        <w:spacing w:before="156" w:beforeLines="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3B6EB324">
      <w:pPr>
        <w:shd w:val="clear" w:color="auto" w:fill="auto"/>
        <w:snapToGrid w:val="0"/>
        <w:spacing w:before="156" w:beforeLines="50" w:after="50" w:line="360" w:lineRule="auto"/>
        <w:ind w:left="142"/>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2.报价文件目录</w:t>
      </w:r>
    </w:p>
    <w:p w14:paraId="2F72B498">
      <w:pPr>
        <w:keepNext w:val="0"/>
        <w:keepLines w:val="0"/>
        <w:pageBreakBefore w:val="0"/>
        <w:widowControl w:val="0"/>
        <w:shd w:val="clear" w:color="auto" w:fill="auto"/>
        <w:kinsoku/>
        <w:wordWrap/>
        <w:overflowPunct/>
        <w:topLinePunct w:val="0"/>
        <w:autoSpaceDE/>
        <w:autoSpaceDN/>
        <w:bidi w:val="0"/>
        <w:adjustRightInd/>
        <w:spacing w:line="400" w:lineRule="exact"/>
        <w:jc w:val="center"/>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1"/>
          <w:szCs w:val="21"/>
          <w:highlight w:val="none"/>
        </w:rPr>
        <w:t>根据磋商文件规定及供应商提供的材料自行编写目录（部分格式后附）。</w:t>
      </w:r>
      <w:r>
        <w:rPr>
          <w:rFonts w:hint="eastAsia" w:ascii="宋体" w:hAnsi="宋体" w:eastAsia="宋体" w:cs="宋体"/>
          <w:b/>
          <w:bCs/>
          <w:color w:val="auto"/>
          <w:sz w:val="21"/>
          <w:szCs w:val="21"/>
          <w:highlight w:val="none"/>
        </w:rPr>
        <w:br w:type="page"/>
      </w:r>
      <w:r>
        <w:rPr>
          <w:rFonts w:hint="eastAsia" w:ascii="宋体" w:hAnsi="宋体" w:eastAsia="宋体" w:cs="宋体"/>
          <w:b/>
          <w:bCs w:val="0"/>
          <w:color w:val="auto"/>
          <w:sz w:val="28"/>
          <w:szCs w:val="28"/>
          <w:highlight w:val="none"/>
        </w:rPr>
        <w:t>竞  标  报  价  表</w:t>
      </w:r>
    </w:p>
    <w:p w14:paraId="3DB5A2BA">
      <w:pPr>
        <w:keepNext w:val="0"/>
        <w:keepLines w:val="0"/>
        <w:pageBreakBefore w:val="0"/>
        <w:widowControl w:val="0"/>
        <w:shd w:val="clear" w:color="auto" w:fill="auto"/>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 w:val="21"/>
          <w:szCs w:val="21"/>
          <w:highlight w:val="none"/>
        </w:rPr>
      </w:pPr>
    </w:p>
    <w:p w14:paraId="7BD9D181">
      <w:pPr>
        <w:keepNext w:val="0"/>
        <w:keepLines w:val="0"/>
        <w:pageBreakBefore w:val="0"/>
        <w:widowControl w:val="0"/>
        <w:shd w:val="clear" w:color="auto" w:fill="auto"/>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3ECDE4F5">
      <w:pPr>
        <w:keepNext w:val="0"/>
        <w:keepLines w:val="0"/>
        <w:pageBreakBefore w:val="0"/>
        <w:widowControl w:val="0"/>
        <w:shd w:val="clear" w:color="auto" w:fill="auto"/>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p>
    <w:p w14:paraId="0AB468E1">
      <w:pPr>
        <w:keepNext w:val="0"/>
        <w:keepLines w:val="0"/>
        <w:pageBreakBefore w:val="0"/>
        <w:widowControl w:val="0"/>
        <w:shd w:val="clear" w:color="auto" w:fill="auto"/>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w:t>
      </w:r>
      <w:r>
        <w:rPr>
          <w:rFonts w:hint="eastAsia" w:ascii="宋体" w:hAnsi="宋体" w:eastAsia="宋体" w:cs="宋体"/>
          <w:bCs/>
          <w:color w:val="auto"/>
          <w:sz w:val="21"/>
          <w:szCs w:val="21"/>
          <w:highlight w:val="none"/>
        </w:rPr>
        <w:t>（如有则填写，无分标时填写“无”或者留空）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tbl>
      <w:tblPr>
        <w:tblStyle w:val="26"/>
        <w:tblW w:w="88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3260"/>
        <w:gridCol w:w="937"/>
        <w:gridCol w:w="3696"/>
      </w:tblGrid>
      <w:tr w14:paraId="4EEA0B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398B2D87">
            <w:pPr>
              <w:keepNext w:val="0"/>
              <w:keepLines w:val="0"/>
              <w:pageBreakBefore w:val="0"/>
              <w:widowControl w:val="0"/>
              <w:shd w:val="clear" w:color="auto" w:fill="auto"/>
              <w:kinsoku/>
              <w:wordWrap/>
              <w:overflowPunct/>
              <w:topLinePunct w:val="0"/>
              <w:autoSpaceDE/>
              <w:autoSpaceDN/>
              <w:bidi w:val="0"/>
              <w:adjustRightInd/>
              <w:spacing w:beforeLines="0" w:line="4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序号</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543AF6B6">
            <w:pPr>
              <w:keepNext w:val="0"/>
              <w:keepLines w:val="0"/>
              <w:pageBreakBefore w:val="0"/>
              <w:widowControl w:val="0"/>
              <w:shd w:val="clear" w:color="auto" w:fill="auto"/>
              <w:kinsoku/>
              <w:wordWrap/>
              <w:overflowPunct/>
              <w:topLinePunct w:val="0"/>
              <w:autoSpaceDE/>
              <w:autoSpaceDN/>
              <w:bidi w:val="0"/>
              <w:adjustRightInd/>
              <w:spacing w:beforeLines="0" w:line="40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标项名称</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00AF561D">
            <w:pPr>
              <w:keepNext w:val="0"/>
              <w:keepLines w:val="0"/>
              <w:pageBreakBefore w:val="0"/>
              <w:widowControl w:val="0"/>
              <w:shd w:val="clear" w:color="auto" w:fill="auto"/>
              <w:kinsoku/>
              <w:wordWrap/>
              <w:overflowPunct/>
              <w:topLinePunct w:val="0"/>
              <w:autoSpaceDE/>
              <w:autoSpaceDN/>
              <w:bidi w:val="0"/>
              <w:adjustRightInd/>
              <w:spacing w:beforeLines="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lang w:val="en-US" w:eastAsia="zh-CN"/>
              </w:rPr>
              <w:t>及单位</w:t>
            </w:r>
          </w:p>
        </w:tc>
        <w:tc>
          <w:tcPr>
            <w:tcW w:w="3696" w:type="dxa"/>
            <w:tcBorders>
              <w:top w:val="single" w:color="auto" w:sz="4" w:space="0"/>
              <w:left w:val="single" w:color="auto" w:sz="4" w:space="0"/>
              <w:bottom w:val="single" w:color="auto" w:sz="4" w:space="0"/>
              <w:right w:val="single" w:color="auto" w:sz="4" w:space="0"/>
            </w:tcBorders>
            <w:noWrap w:val="0"/>
            <w:vAlign w:val="center"/>
          </w:tcPr>
          <w:p w14:paraId="79D6E548">
            <w:pPr>
              <w:keepNext w:val="0"/>
              <w:keepLines w:val="0"/>
              <w:pageBreakBefore w:val="0"/>
              <w:widowControl w:val="0"/>
              <w:shd w:val="clear" w:color="auto" w:fill="auto"/>
              <w:kinsoku/>
              <w:wordWrap/>
              <w:overflowPunct/>
              <w:topLinePunct w:val="0"/>
              <w:autoSpaceDE/>
              <w:autoSpaceDN/>
              <w:bidi w:val="0"/>
              <w:adjustRightInd/>
              <w:snapToGrid w:val="0"/>
              <w:spacing w:before="50" w:after="5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合计（元）</w:t>
            </w:r>
          </w:p>
        </w:tc>
      </w:tr>
      <w:tr w14:paraId="32D44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1"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737940B5">
            <w:pPr>
              <w:keepNext w:val="0"/>
              <w:keepLines w:val="0"/>
              <w:pageBreakBefore w:val="0"/>
              <w:widowControl w:val="0"/>
              <w:shd w:val="clear" w:color="auto" w:fill="auto"/>
              <w:kinsoku/>
              <w:wordWrap/>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578D7061">
            <w:pPr>
              <w:keepNext w:val="0"/>
              <w:keepLines w:val="0"/>
              <w:pageBreakBefore w:val="0"/>
              <w:widowControl w:val="0"/>
              <w:shd w:val="clear" w:color="auto" w:fill="auto"/>
              <w:kinsoku/>
              <w:wordWrap/>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广西水利工程建设质量管理工作手册编制</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717F295E">
            <w:pPr>
              <w:keepNext w:val="0"/>
              <w:keepLines w:val="0"/>
              <w:pageBreakBefore w:val="0"/>
              <w:widowControl w:val="0"/>
              <w:shd w:val="clear" w:color="auto" w:fill="auto"/>
              <w:kinsoku/>
              <w:wordWrap/>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3696" w:type="dxa"/>
            <w:tcBorders>
              <w:top w:val="single" w:color="auto" w:sz="4" w:space="0"/>
              <w:left w:val="single" w:color="auto" w:sz="4" w:space="0"/>
              <w:bottom w:val="single" w:color="auto" w:sz="4" w:space="0"/>
              <w:right w:val="single" w:color="auto" w:sz="4" w:space="0"/>
            </w:tcBorders>
            <w:noWrap w:val="0"/>
            <w:vAlign w:val="center"/>
          </w:tcPr>
          <w:p w14:paraId="27E22810">
            <w:pPr>
              <w:keepNext w:val="0"/>
              <w:keepLines w:val="0"/>
              <w:pageBreakBefore w:val="0"/>
              <w:widowControl w:val="0"/>
              <w:shd w:val="clear" w:color="auto" w:fill="auto"/>
              <w:kinsoku/>
              <w:wordWrap/>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z w:val="21"/>
                <w:szCs w:val="21"/>
                <w:highlight w:val="none"/>
              </w:rPr>
            </w:pPr>
          </w:p>
        </w:tc>
      </w:tr>
      <w:tr w14:paraId="3F8C4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1" w:hRule="atLeast"/>
          <w:jc w:val="center"/>
        </w:trPr>
        <w:tc>
          <w:tcPr>
            <w:tcW w:w="8853" w:type="dxa"/>
            <w:gridSpan w:val="4"/>
            <w:tcBorders>
              <w:top w:val="single" w:color="auto" w:sz="4" w:space="0"/>
              <w:left w:val="single" w:color="auto" w:sz="4" w:space="0"/>
              <w:bottom w:val="single" w:color="auto" w:sz="4" w:space="0"/>
              <w:right w:val="single" w:color="auto" w:sz="4" w:space="0"/>
            </w:tcBorders>
            <w:noWrap w:val="0"/>
            <w:vAlign w:val="center"/>
          </w:tcPr>
          <w:p w14:paraId="43D7E7EC">
            <w:pPr>
              <w:keepNext w:val="0"/>
              <w:keepLines w:val="0"/>
              <w:pageBreakBefore w:val="0"/>
              <w:widowControl w:val="0"/>
              <w:shd w:val="clear" w:color="auto" w:fill="auto"/>
              <w:kinsoku/>
              <w:wordWrap/>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总报价</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大写）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人民币</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w:t>
            </w:r>
            <w:r>
              <w:rPr>
                <w:rFonts w:hint="eastAsia" w:ascii="宋体" w:hAnsi="宋体" w:eastAsia="宋体" w:cs="宋体"/>
                <w:color w:val="auto"/>
                <w:sz w:val="24"/>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w:t>
            </w:r>
          </w:p>
        </w:tc>
      </w:tr>
    </w:tbl>
    <w:p w14:paraId="24F2C69C">
      <w:pPr>
        <w:keepNext w:val="0"/>
        <w:keepLines w:val="0"/>
        <w:pageBreakBefore w:val="0"/>
        <w:widowControl w:val="0"/>
        <w:shd w:val="clear" w:color="auto" w:fill="auto"/>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7C96E12">
      <w:pPr>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1.供应商的报价表必须加盖供应商电子签章并由法定代表人或者委托代理人签字或者电子签名，</w:t>
      </w:r>
      <w:r>
        <w:rPr>
          <w:rFonts w:hint="eastAsia" w:ascii="宋体" w:hAnsi="宋体" w:eastAsia="宋体" w:cs="宋体"/>
          <w:b/>
          <w:color w:val="auto"/>
          <w:sz w:val="21"/>
          <w:szCs w:val="21"/>
          <w:highlight w:val="none"/>
        </w:rPr>
        <w:t>否则其响应文件按无效处理</w:t>
      </w:r>
      <w:r>
        <w:rPr>
          <w:rFonts w:hint="eastAsia" w:ascii="宋体" w:hAnsi="宋体" w:eastAsia="宋体" w:cs="宋体"/>
          <w:color w:val="auto"/>
          <w:sz w:val="21"/>
          <w:szCs w:val="21"/>
          <w:highlight w:val="none"/>
        </w:rPr>
        <w:t>。</w:t>
      </w:r>
    </w:p>
    <w:p w14:paraId="1B68D074">
      <w:pPr>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报价一经涂改，应在涂改处加盖供应商公章或者加盖电子签章或者由法定代表人或者授权委托人签字（或者电子签名）</w:t>
      </w:r>
      <w:r>
        <w:rPr>
          <w:rFonts w:hint="eastAsia" w:ascii="宋体" w:hAnsi="宋体" w:eastAsia="宋体" w:cs="宋体"/>
          <w:b/>
          <w:color w:val="auto"/>
          <w:sz w:val="21"/>
          <w:szCs w:val="21"/>
          <w:highlight w:val="none"/>
        </w:rPr>
        <w:t>，否则其响应文件按无效处理。</w:t>
      </w:r>
    </w:p>
    <w:p w14:paraId="632C8847">
      <w:pPr>
        <w:keepNext w:val="0"/>
        <w:keepLines w:val="0"/>
        <w:pageBreakBefore w:val="0"/>
        <w:widowControl w:val="0"/>
        <w:shd w:val="clear" w:color="auto" w:fill="auto"/>
        <w:kinsoku/>
        <w:wordWrap/>
        <w:overflowPunct/>
        <w:topLinePunct w:val="0"/>
        <w:autoSpaceDE/>
        <w:autoSpaceDN/>
        <w:bidi w:val="0"/>
        <w:adjustRightInd/>
        <w:spacing w:line="40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pacing w:val="-6"/>
          <w:sz w:val="21"/>
          <w:szCs w:val="21"/>
          <w:highlight w:val="none"/>
        </w:rPr>
        <w:t>如有多分标，分别列明各分标的报价表，否则其响应文件按无效响应处理。</w:t>
      </w:r>
    </w:p>
    <w:p w14:paraId="097E0589">
      <w:pPr>
        <w:keepNext w:val="0"/>
        <w:keepLines w:val="0"/>
        <w:pageBreakBefore w:val="0"/>
        <w:widowControl w:val="0"/>
        <w:shd w:val="clear" w:color="auto" w:fill="auto"/>
        <w:kinsoku/>
        <w:wordWrap/>
        <w:overflowPunct/>
        <w:topLinePunct w:val="0"/>
        <w:autoSpaceDE/>
        <w:autoSpaceDN/>
        <w:bidi w:val="0"/>
        <w:adjustRightInd/>
        <w:spacing w:line="400" w:lineRule="exact"/>
        <w:ind w:right="-817" w:rightChars="-389"/>
        <w:contextualSpacing/>
        <w:textAlignment w:val="auto"/>
        <w:rPr>
          <w:rFonts w:hint="eastAsia" w:ascii="宋体" w:hAnsi="宋体" w:eastAsia="宋体" w:cs="宋体"/>
          <w:b/>
          <w:bCs/>
          <w:color w:val="auto"/>
          <w:sz w:val="21"/>
          <w:szCs w:val="21"/>
          <w:highlight w:val="none"/>
        </w:rPr>
      </w:pPr>
    </w:p>
    <w:p w14:paraId="7ACE978A">
      <w:pPr>
        <w:keepNext w:val="0"/>
        <w:keepLines w:val="0"/>
        <w:pageBreakBefore w:val="0"/>
        <w:widowControl w:val="0"/>
        <w:shd w:val="clear" w:color="auto" w:fill="auto"/>
        <w:kinsoku/>
        <w:wordWrap/>
        <w:overflowPunct/>
        <w:topLinePunct w:val="0"/>
        <w:autoSpaceDE/>
        <w:autoSpaceDN/>
        <w:bidi w:val="0"/>
        <w:adjustRightInd/>
        <w:spacing w:line="400" w:lineRule="exact"/>
        <w:ind w:right="-817" w:rightChars="-389" w:firstLine="2310" w:firstLineChars="11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法定代表人或者委托代理人（签字或者电子签名）：                    </w:t>
      </w:r>
    </w:p>
    <w:p w14:paraId="14A88684">
      <w:pPr>
        <w:keepNext w:val="0"/>
        <w:keepLines w:val="0"/>
        <w:pageBreakBefore w:val="0"/>
        <w:widowControl w:val="0"/>
        <w:shd w:val="clear" w:color="auto" w:fill="auto"/>
        <w:kinsoku/>
        <w:wordWrap/>
        <w:overflowPunct/>
        <w:topLinePunct w:val="0"/>
        <w:autoSpaceDE/>
        <w:autoSpaceDN/>
        <w:bidi w:val="0"/>
        <w:adjustRightInd/>
        <w:spacing w:line="400" w:lineRule="exact"/>
        <w:ind w:right="-817" w:rightChars="-389" w:firstLine="2310" w:firstLineChars="11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供应商（电子签章）：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p w14:paraId="17A59096">
      <w:pPr>
        <w:keepNext w:val="0"/>
        <w:keepLines w:val="0"/>
        <w:pageBreakBefore w:val="0"/>
        <w:widowControl w:val="0"/>
        <w:shd w:val="clear" w:color="auto" w:fill="auto"/>
        <w:kinsoku/>
        <w:wordWrap/>
        <w:overflowPunct/>
        <w:topLinePunct w:val="0"/>
        <w:autoSpaceDE/>
        <w:autoSpaceDN/>
        <w:bidi w:val="0"/>
        <w:adjustRightInd/>
        <w:spacing w:line="400" w:lineRule="exact"/>
        <w:ind w:right="-817" w:rightChars="-389" w:firstLine="3570" w:firstLineChars="17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7BBA2723">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8"/>
          <w:szCs w:val="28"/>
          <w:highlight w:val="none"/>
        </w:rPr>
        <w:t>中小企业声明函（服务）</w:t>
      </w:r>
    </w:p>
    <w:p w14:paraId="57B65E5E">
      <w:pPr>
        <w:keepNext w:val="0"/>
        <w:keepLines w:val="0"/>
        <w:pageBreakBefore w:val="0"/>
        <w:widowControl w:val="0"/>
        <w:shd w:val="clear" w:color="auto" w:fill="auto"/>
        <w:kinsoku/>
        <w:wordWrap/>
        <w:overflowPunct/>
        <w:topLinePunct w:val="0"/>
        <w:autoSpaceDE/>
        <w:autoSpaceDN/>
        <w:bidi w:val="0"/>
        <w:adjustRightInd/>
        <w:snapToGrid/>
        <w:spacing w:before="2" w:line="400" w:lineRule="exact"/>
        <w:textAlignment w:val="auto"/>
        <w:rPr>
          <w:rFonts w:hint="eastAsia" w:ascii="宋体" w:hAnsi="宋体" w:eastAsia="宋体" w:cs="宋体"/>
          <w:b/>
          <w:bCs/>
          <w:color w:val="auto"/>
          <w:sz w:val="21"/>
          <w:szCs w:val="21"/>
          <w:highlight w:val="none"/>
        </w:rPr>
      </w:pPr>
    </w:p>
    <w:p w14:paraId="6D3DC69E">
      <w:pPr>
        <w:keepNext w:val="0"/>
        <w:keepLines w:val="0"/>
        <w:pageBreakBefore w:val="0"/>
        <w:widowControl w:val="0"/>
        <w:shd w:val="clear" w:color="auto" w:fill="auto"/>
        <w:kinsoku/>
        <w:wordWrap/>
        <w:overflowPunct/>
        <w:topLinePunct w:val="0"/>
        <w:autoSpaceDE/>
        <w:autoSpaceDN/>
        <w:bidi w:val="0"/>
        <w:adjustRightInd/>
        <w:snapToGrid/>
        <w:spacing w:line="400" w:lineRule="exact"/>
        <w:ind w:right="142"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本公司（联合体）郑重声明，根据《政府采购促进中小企业发展管理办法》（财库﹝2020﹞46号）的规定，本公司（联合体）参加</w:t>
      </w:r>
      <w:r>
        <w:rPr>
          <w:rFonts w:hint="eastAsia" w:ascii="宋体" w:hAnsi="宋体" w:eastAsia="宋体" w:cs="宋体"/>
          <w:color w:val="auto"/>
          <w:kern w:val="0"/>
          <w:sz w:val="21"/>
          <w:szCs w:val="21"/>
          <w:highlight w:val="none"/>
          <w:u w:val="single"/>
          <w:lang w:val="en-US" w:eastAsia="zh-CN" w:bidi="ar-SA"/>
        </w:rPr>
        <w:t>（单位名称）</w:t>
      </w:r>
      <w:r>
        <w:rPr>
          <w:rFonts w:hint="eastAsia" w:ascii="宋体" w:hAnsi="宋体" w:eastAsia="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u w:val="single"/>
          <w:lang w:val="en-US" w:eastAsia="zh-CN" w:bidi="ar-SA"/>
        </w:rPr>
        <w:t>（项目名称）</w:t>
      </w:r>
      <w:r>
        <w:rPr>
          <w:rFonts w:hint="eastAsia" w:ascii="宋体" w:hAnsi="宋体" w:eastAsia="宋体" w:cs="宋体"/>
          <w:color w:val="auto"/>
          <w:kern w:val="0"/>
          <w:sz w:val="21"/>
          <w:szCs w:val="21"/>
          <w:highlight w:val="none"/>
          <w:lang w:val="en-US" w:eastAsia="zh-CN" w:bidi="ar-SA"/>
        </w:rPr>
        <w:t>采购活动，服务全部由符合政策要求的中小企业承接。相关企业（含联合体中的中小企业、签订分包意向协议的中小企业）的具体情况如下：</w:t>
      </w:r>
    </w:p>
    <w:p w14:paraId="74CBB72B">
      <w:pPr>
        <w:keepNext w:val="0"/>
        <w:keepLines w:val="0"/>
        <w:pageBreakBefore w:val="0"/>
        <w:widowControl w:val="0"/>
        <w:shd w:val="clear" w:color="auto" w:fill="auto"/>
        <w:tabs>
          <w:tab w:val="left" w:pos="1384"/>
          <w:tab w:val="left" w:pos="4562"/>
          <w:tab w:val="left" w:pos="6803"/>
        </w:tabs>
        <w:kinsoku/>
        <w:wordWrap/>
        <w:overflowPunct/>
        <w:topLinePunct w:val="0"/>
        <w:autoSpaceDE/>
        <w:autoSpaceDN/>
        <w:bidi w:val="0"/>
        <w:adjustRightInd/>
        <w:snapToGrid/>
        <w:spacing w:before="13" w:line="400" w:lineRule="exact"/>
        <w:ind w:right="142" w:firstLine="600" w:firstLineChars="28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539A7FBF">
      <w:pPr>
        <w:keepNext w:val="0"/>
        <w:keepLines w:val="0"/>
        <w:pageBreakBefore w:val="0"/>
        <w:widowControl w:val="0"/>
        <w:shd w:val="clear" w:color="auto" w:fill="auto"/>
        <w:tabs>
          <w:tab w:val="left" w:pos="1065"/>
          <w:tab w:val="left" w:pos="4262"/>
          <w:tab w:val="left" w:pos="6477"/>
        </w:tabs>
        <w:kinsoku/>
        <w:wordWrap/>
        <w:overflowPunct/>
        <w:topLinePunct w:val="0"/>
        <w:autoSpaceDE/>
        <w:autoSpaceDN/>
        <w:bidi w:val="0"/>
        <w:adjustRightInd/>
        <w:snapToGrid/>
        <w:spacing w:before="20" w:line="400" w:lineRule="exact"/>
        <w:ind w:right="84" w:firstLine="600" w:firstLineChars="286"/>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7E07FA1A">
      <w:pPr>
        <w:keepNext w:val="0"/>
        <w:keepLines w:val="0"/>
        <w:pageBreakBefore w:val="0"/>
        <w:widowControl w:val="0"/>
        <w:shd w:val="clear" w:color="auto" w:fill="auto"/>
        <w:kinsoku/>
        <w:wordWrap/>
        <w:overflowPunct/>
        <w:topLinePunct w:val="0"/>
        <w:autoSpaceDE/>
        <w:autoSpaceDN/>
        <w:bidi w:val="0"/>
        <w:adjustRightInd/>
        <w:snapToGrid/>
        <w:spacing w:before="34" w:line="400" w:lineRule="exact"/>
        <w:ind w:left="765" w:right="142" w:hanging="5"/>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 </w:t>
      </w:r>
    </w:p>
    <w:p w14:paraId="000819CA">
      <w:pPr>
        <w:keepNext w:val="0"/>
        <w:keepLines w:val="0"/>
        <w:pageBreakBefore w:val="0"/>
        <w:widowControl w:val="0"/>
        <w:shd w:val="clear" w:color="auto" w:fill="auto"/>
        <w:kinsoku/>
        <w:wordWrap/>
        <w:overflowPunct/>
        <w:topLinePunct w:val="0"/>
        <w:autoSpaceDE/>
        <w:autoSpaceDN/>
        <w:bidi w:val="0"/>
        <w:adjustRightInd/>
        <w:snapToGrid/>
        <w:spacing w:before="34" w:line="400" w:lineRule="exact"/>
        <w:ind w:right="142"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以上企业，不属于大企业的分支机构，不存在控股股东为大企业的情形，也不存在与大企业的负责人为同一人的情形。</w:t>
      </w:r>
    </w:p>
    <w:p w14:paraId="6088D614">
      <w:pPr>
        <w:keepNext w:val="0"/>
        <w:keepLines w:val="0"/>
        <w:pageBreakBefore w:val="0"/>
        <w:widowControl w:val="0"/>
        <w:shd w:val="clear" w:color="auto" w:fill="auto"/>
        <w:kinsoku/>
        <w:wordWrap/>
        <w:overflowPunct/>
        <w:topLinePunct w:val="0"/>
        <w:autoSpaceDE/>
        <w:autoSpaceDN/>
        <w:bidi w:val="0"/>
        <w:adjustRightInd/>
        <w:snapToGrid/>
        <w:spacing w:before="34" w:line="400" w:lineRule="exact"/>
        <w:ind w:right="142"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本企业对上述声明内容的真实性负责。如有虚假，将依法承担相应责任。</w:t>
      </w:r>
    </w:p>
    <w:p w14:paraId="09DF6A8E">
      <w:pPr>
        <w:keepNext w:val="0"/>
        <w:keepLines w:val="0"/>
        <w:pageBreakBefore w:val="0"/>
        <w:widowControl w:val="0"/>
        <w:shd w:val="clear" w:color="auto" w:fill="auto"/>
        <w:kinsoku/>
        <w:wordWrap/>
        <w:overflowPunct/>
        <w:topLinePunct w:val="0"/>
        <w:autoSpaceDE/>
        <w:autoSpaceDN/>
        <w:bidi w:val="0"/>
        <w:adjustRightInd/>
        <w:snapToGrid/>
        <w:spacing w:before="56" w:line="400" w:lineRule="exact"/>
        <w:ind w:left="3960" w:right="1808"/>
        <w:jc w:val="both"/>
        <w:textAlignment w:val="auto"/>
        <w:rPr>
          <w:rFonts w:hint="eastAsia" w:ascii="宋体" w:hAnsi="宋体" w:eastAsia="宋体" w:cs="宋体"/>
          <w:color w:val="auto"/>
          <w:kern w:val="24"/>
          <w:sz w:val="21"/>
          <w:szCs w:val="21"/>
          <w:highlight w:val="none"/>
          <w:lang w:val="en-US" w:eastAsia="zh-CN" w:bidi="ar-SA"/>
        </w:rPr>
      </w:pPr>
    </w:p>
    <w:p w14:paraId="4FDA4B14">
      <w:pPr>
        <w:keepNext w:val="0"/>
        <w:keepLines w:val="0"/>
        <w:pageBreakBefore w:val="0"/>
        <w:widowControl w:val="0"/>
        <w:shd w:val="clear" w:color="auto" w:fill="auto"/>
        <w:kinsoku/>
        <w:wordWrap/>
        <w:overflowPunct/>
        <w:topLinePunct w:val="0"/>
        <w:autoSpaceDE/>
        <w:autoSpaceDN/>
        <w:bidi w:val="0"/>
        <w:adjustRightInd/>
        <w:snapToGrid/>
        <w:spacing w:before="56" w:line="400" w:lineRule="exact"/>
        <w:ind w:left="3960" w:right="1808"/>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4"/>
          <w:sz w:val="21"/>
          <w:szCs w:val="21"/>
          <w:highlight w:val="none"/>
          <w:lang w:val="en-US" w:eastAsia="zh-CN" w:bidi="ar-SA"/>
        </w:rPr>
        <w:t>企业名称（电子签章）：</w:t>
      </w:r>
      <w:r>
        <w:rPr>
          <w:rFonts w:hint="eastAsia" w:ascii="宋体" w:hAnsi="宋体" w:eastAsia="宋体" w:cs="宋体"/>
          <w:color w:val="auto"/>
          <w:kern w:val="0"/>
          <w:sz w:val="21"/>
          <w:szCs w:val="21"/>
          <w:highlight w:val="none"/>
          <w:lang w:val="en-US" w:eastAsia="zh-CN" w:bidi="ar-SA"/>
        </w:rPr>
        <w:t xml:space="preserve"> </w:t>
      </w:r>
    </w:p>
    <w:p w14:paraId="79784D59">
      <w:pPr>
        <w:keepNext w:val="0"/>
        <w:keepLines w:val="0"/>
        <w:pageBreakBefore w:val="0"/>
        <w:widowControl w:val="0"/>
        <w:shd w:val="clear" w:color="auto" w:fill="auto"/>
        <w:kinsoku/>
        <w:wordWrap/>
        <w:overflowPunct/>
        <w:topLinePunct w:val="0"/>
        <w:autoSpaceDE/>
        <w:autoSpaceDN/>
        <w:bidi w:val="0"/>
        <w:adjustRightInd/>
        <w:snapToGrid/>
        <w:spacing w:before="56" w:line="400" w:lineRule="exact"/>
        <w:ind w:left="3960" w:right="1808"/>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日 期：</w:t>
      </w:r>
    </w:p>
    <w:p w14:paraId="4F787165">
      <w:pPr>
        <w:keepNext w:val="0"/>
        <w:keepLines w:val="0"/>
        <w:pageBreakBefore w:val="0"/>
        <w:widowControl w:val="0"/>
        <w:shd w:val="clear" w:color="auto" w:fill="auto"/>
        <w:kinsoku/>
        <w:wordWrap/>
        <w:overflowPunct/>
        <w:topLinePunct w:val="0"/>
        <w:autoSpaceDE/>
        <w:autoSpaceDN/>
        <w:bidi w:val="0"/>
        <w:adjustRightInd/>
        <w:snapToGrid/>
        <w:spacing w:line="400" w:lineRule="exact"/>
        <w:ind w:right="-817" w:rightChars="-389" w:firstLine="3570" w:firstLineChars="1700"/>
        <w:contextualSpacing/>
        <w:textAlignment w:val="auto"/>
        <w:rPr>
          <w:rFonts w:hint="eastAsia" w:ascii="宋体" w:hAnsi="宋体" w:eastAsia="宋体" w:cs="宋体"/>
          <w:color w:val="auto"/>
          <w:sz w:val="21"/>
          <w:szCs w:val="21"/>
          <w:highlight w:val="none"/>
        </w:rPr>
      </w:pPr>
    </w:p>
    <w:p w14:paraId="7AC8CB3E">
      <w:pPr>
        <w:keepNext w:val="0"/>
        <w:keepLines w:val="0"/>
        <w:pageBreakBefore w:val="0"/>
        <w:widowControl w:val="0"/>
        <w:shd w:val="clear" w:color="auto" w:fill="auto"/>
        <w:kinsoku/>
        <w:wordWrap/>
        <w:overflowPunct/>
        <w:topLinePunct w:val="0"/>
        <w:autoSpaceDE/>
        <w:autoSpaceDN/>
        <w:bidi w:val="0"/>
        <w:adjustRightInd/>
        <w:snapToGrid/>
        <w:spacing w:line="400" w:lineRule="exact"/>
        <w:ind w:right="-817" w:rightChars="-389"/>
        <w:contextualSpacing/>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40621AA">
      <w:pPr>
        <w:keepNext w:val="0"/>
        <w:keepLines w:val="0"/>
        <w:pageBreakBefore w:val="0"/>
        <w:widowControl w:val="0"/>
        <w:shd w:val="clear" w:color="auto" w:fill="auto"/>
        <w:kinsoku/>
        <w:wordWrap/>
        <w:overflowPunct/>
        <w:topLinePunct w:val="0"/>
        <w:autoSpaceDE/>
        <w:autoSpaceDN/>
        <w:bidi w:val="0"/>
        <w:adjustRightInd/>
        <w:snapToGrid/>
        <w:spacing w:line="400" w:lineRule="exact"/>
        <w:ind w:right="-817" w:rightChars="-389"/>
        <w:contextualSpacing/>
        <w:textAlignment w:val="auto"/>
        <w:outlineLvl w:val="1"/>
        <w:rPr>
          <w:rFonts w:hint="eastAsia" w:ascii="宋体" w:hAnsi="宋体" w:eastAsia="宋体" w:cs="宋体"/>
          <w:color w:val="auto"/>
          <w:sz w:val="21"/>
          <w:szCs w:val="21"/>
          <w:highlight w:val="none"/>
        </w:rPr>
        <w:sectPr>
          <w:pgSz w:w="11906" w:h="16838"/>
          <w:pgMar w:top="1440" w:right="1803" w:bottom="1440" w:left="1803" w:header="851" w:footer="992" w:gutter="0"/>
          <w:cols w:space="720" w:num="1"/>
          <w:titlePg/>
          <w:docGrid w:type="lines" w:linePitch="312" w:charSpace="0"/>
        </w:sectPr>
      </w:pPr>
    </w:p>
    <w:p w14:paraId="1EE376F7">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残疾人福利性单位声明函</w:t>
      </w:r>
    </w:p>
    <w:p w14:paraId="4F16415C">
      <w:pPr>
        <w:spacing w:line="360" w:lineRule="auto"/>
        <w:contextualSpacing/>
        <w:rPr>
          <w:rFonts w:hint="eastAsia" w:ascii="宋体" w:hAnsi="宋体" w:eastAsia="宋体" w:cs="宋体"/>
          <w:color w:val="auto"/>
          <w:sz w:val="32"/>
          <w:szCs w:val="32"/>
          <w:highlight w:val="none"/>
        </w:rPr>
      </w:pPr>
    </w:p>
    <w:p w14:paraId="1AB1ECF1">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0B7C60B4">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5F0F9A29">
      <w:pPr>
        <w:spacing w:line="360" w:lineRule="auto"/>
        <w:contextualSpacing/>
        <w:rPr>
          <w:rFonts w:hint="eastAsia" w:ascii="宋体" w:hAnsi="宋体" w:eastAsia="宋体" w:cs="宋体"/>
          <w:color w:val="auto"/>
          <w:szCs w:val="21"/>
          <w:highlight w:val="none"/>
        </w:rPr>
      </w:pPr>
    </w:p>
    <w:p w14:paraId="39B827D2">
      <w:pPr>
        <w:spacing w:line="360" w:lineRule="auto"/>
        <w:contextualSpacing/>
        <w:rPr>
          <w:rFonts w:hint="eastAsia" w:ascii="宋体" w:hAnsi="宋体" w:eastAsia="宋体" w:cs="宋体"/>
          <w:color w:val="auto"/>
          <w:szCs w:val="21"/>
          <w:highlight w:val="none"/>
        </w:rPr>
      </w:pPr>
    </w:p>
    <w:p w14:paraId="2D0E7A41">
      <w:pPr>
        <w:spacing w:line="360" w:lineRule="auto"/>
        <w:contextualSpacing/>
        <w:rPr>
          <w:rFonts w:hint="eastAsia" w:ascii="宋体" w:hAnsi="宋体" w:eastAsia="宋体" w:cs="宋体"/>
          <w:color w:val="auto"/>
          <w:szCs w:val="21"/>
          <w:highlight w:val="none"/>
        </w:rPr>
      </w:pPr>
    </w:p>
    <w:p w14:paraId="37EBF342">
      <w:pPr>
        <w:spacing w:line="360" w:lineRule="auto"/>
        <w:ind w:firstLine="2100" w:firstLineChars="10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单位名称（盖章）：</w:t>
      </w:r>
    </w:p>
    <w:p w14:paraId="179B8FD7">
      <w:pPr>
        <w:spacing w:line="360" w:lineRule="auto"/>
        <w:ind w:firstLine="3150" w:firstLineChars="15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52D12846">
      <w:pPr>
        <w:spacing w:line="360" w:lineRule="auto"/>
        <w:contextualSpacing/>
        <w:rPr>
          <w:rFonts w:hint="eastAsia" w:ascii="宋体" w:hAnsi="宋体" w:eastAsia="宋体" w:cs="宋体"/>
          <w:color w:val="auto"/>
          <w:szCs w:val="21"/>
          <w:highlight w:val="none"/>
        </w:rPr>
      </w:pPr>
    </w:p>
    <w:p w14:paraId="40F10B89">
      <w:pPr>
        <w:spacing w:line="360" w:lineRule="auto"/>
        <w:contextualSpacing/>
        <w:rPr>
          <w:rFonts w:hint="eastAsia" w:ascii="宋体" w:hAnsi="宋体" w:eastAsia="宋体" w:cs="宋体"/>
          <w:color w:val="auto"/>
          <w:szCs w:val="21"/>
          <w:highlight w:val="none"/>
        </w:rPr>
      </w:pPr>
    </w:p>
    <w:p w14:paraId="7C2F948A">
      <w:pPr>
        <w:spacing w:line="360" w:lineRule="auto"/>
        <w:contextualSpacing/>
        <w:rPr>
          <w:rFonts w:hint="eastAsia" w:ascii="宋体" w:hAnsi="宋体" w:eastAsia="宋体" w:cs="宋体"/>
          <w:color w:val="auto"/>
          <w:szCs w:val="21"/>
          <w:highlight w:val="none"/>
        </w:rPr>
      </w:pPr>
    </w:p>
    <w:p w14:paraId="2C7E67E2">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注：请根据自己的真实情况出具《残疾人福利性单位声明函》。依法享受中小企业优惠政策的，采购人或者采购代理机构在公告成交结果时，同时公告其《残疾人福利性单位声明函》，接受社会监督。</w:t>
      </w:r>
    </w:p>
    <w:p w14:paraId="05DE2444">
      <w:pPr>
        <w:keepNext w:val="0"/>
        <w:keepLines w:val="0"/>
        <w:pageBreakBefore w:val="0"/>
        <w:widowControl w:val="0"/>
        <w:shd w:val="clear" w:color="auto" w:fill="auto"/>
        <w:kinsoku/>
        <w:wordWrap/>
        <w:overflowPunct/>
        <w:topLinePunct w:val="0"/>
        <w:autoSpaceDE/>
        <w:autoSpaceDN/>
        <w:bidi w:val="0"/>
        <w:adjustRightInd/>
        <w:snapToGrid/>
        <w:spacing w:line="400" w:lineRule="exact"/>
        <w:ind w:right="-817" w:rightChars="-389"/>
        <w:contextualSpacing/>
        <w:textAlignment w:val="auto"/>
        <w:outlineLvl w:val="1"/>
        <w:rPr>
          <w:rFonts w:hint="eastAsia" w:ascii="宋体" w:hAnsi="宋体" w:eastAsia="宋体" w:cs="宋体"/>
          <w:color w:val="auto"/>
          <w:sz w:val="21"/>
          <w:szCs w:val="21"/>
          <w:highlight w:val="none"/>
        </w:rPr>
        <w:sectPr>
          <w:pgSz w:w="11906" w:h="16838"/>
          <w:pgMar w:top="1440" w:right="1803" w:bottom="1440" w:left="1803" w:header="851" w:footer="992" w:gutter="0"/>
          <w:cols w:space="720" w:num="1"/>
          <w:titlePg/>
          <w:docGrid w:type="lines" w:linePitch="312" w:charSpace="0"/>
        </w:sectPr>
      </w:pPr>
    </w:p>
    <w:p w14:paraId="12B62BE9">
      <w:pPr>
        <w:keepNext w:val="0"/>
        <w:keepLines w:val="0"/>
        <w:pageBreakBefore w:val="0"/>
        <w:widowControl w:val="0"/>
        <w:shd w:val="clear" w:color="auto" w:fill="auto"/>
        <w:kinsoku/>
        <w:wordWrap/>
        <w:overflowPunct/>
        <w:topLinePunct w:val="0"/>
        <w:autoSpaceDE/>
        <w:autoSpaceDN/>
        <w:bidi w:val="0"/>
        <w:adjustRightInd/>
        <w:snapToGrid/>
        <w:spacing w:line="400" w:lineRule="exact"/>
        <w:ind w:right="-817" w:rightChars="-389"/>
        <w:contextualSpacing/>
        <w:textAlignment w:val="auto"/>
        <w:outlineLvl w:val="1"/>
        <w:rPr>
          <w:rFonts w:hint="eastAsia" w:ascii="宋体" w:hAnsi="宋体" w:eastAsia="宋体" w:cs="宋体"/>
          <w:b/>
          <w:color w:val="auto"/>
          <w:sz w:val="21"/>
          <w:szCs w:val="21"/>
          <w:highlight w:val="none"/>
        </w:rPr>
      </w:pPr>
      <w:bookmarkStart w:id="127" w:name="_Toc27361"/>
      <w:bookmarkStart w:id="128" w:name="_Toc32690"/>
      <w:r>
        <w:rPr>
          <w:rFonts w:hint="eastAsia" w:ascii="宋体" w:hAnsi="宋体" w:eastAsia="宋体" w:cs="宋体"/>
          <w:b/>
          <w:bCs/>
          <w:color w:val="auto"/>
          <w:sz w:val="21"/>
          <w:szCs w:val="21"/>
          <w:highlight w:val="none"/>
        </w:rPr>
        <w:t>三、</w:t>
      </w:r>
      <w:r>
        <w:rPr>
          <w:rFonts w:hint="eastAsia" w:ascii="宋体" w:hAnsi="宋体" w:eastAsia="宋体" w:cs="宋体"/>
          <w:b/>
          <w:color w:val="auto"/>
          <w:sz w:val="21"/>
          <w:szCs w:val="21"/>
          <w:highlight w:val="none"/>
        </w:rPr>
        <w:t>商务技术文件格式</w:t>
      </w:r>
      <w:bookmarkEnd w:id="127"/>
      <w:bookmarkEnd w:id="128"/>
      <w:r>
        <w:rPr>
          <w:rFonts w:hint="eastAsia" w:ascii="宋体" w:hAnsi="宋体" w:eastAsia="宋体" w:cs="宋体"/>
          <w:b/>
          <w:color w:val="auto"/>
          <w:sz w:val="21"/>
          <w:szCs w:val="21"/>
          <w:highlight w:val="none"/>
        </w:rPr>
        <w:t xml:space="preserve"> </w:t>
      </w:r>
    </w:p>
    <w:p w14:paraId="3C6F6572">
      <w:pPr>
        <w:shd w:val="clear" w:color="auto" w:fill="auto"/>
        <w:snapToGrid w:val="0"/>
        <w:spacing w:before="156" w:beforeLines="50" w:after="50"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1.商务技术文件封面格式</w:t>
      </w:r>
    </w:p>
    <w:p w14:paraId="0E9E90A4">
      <w:pPr>
        <w:shd w:val="clear" w:color="auto" w:fill="auto"/>
        <w:snapToGrid w:val="0"/>
        <w:spacing w:before="156"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p>
    <w:p w14:paraId="2665D5AC">
      <w:pPr>
        <w:shd w:val="clear" w:color="auto" w:fill="auto"/>
        <w:snapToGrid w:val="0"/>
        <w:spacing w:before="156" w:beforeLines="50" w:after="50"/>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电 子 响 应 文 件</w:t>
      </w:r>
    </w:p>
    <w:p w14:paraId="5FECE41A">
      <w:pPr>
        <w:shd w:val="clear" w:color="auto" w:fill="auto"/>
        <w:snapToGrid w:val="0"/>
        <w:spacing w:before="156" w:beforeLines="50" w:after="50"/>
        <w:rPr>
          <w:rFonts w:hint="eastAsia" w:ascii="方正小标宋_GBK" w:hAnsi="方正小标宋_GBK" w:eastAsia="方正小标宋_GBK" w:cs="方正小标宋_GBK"/>
          <w:color w:val="auto"/>
          <w:sz w:val="44"/>
          <w:szCs w:val="44"/>
          <w:highlight w:val="none"/>
        </w:rPr>
      </w:pPr>
    </w:p>
    <w:p w14:paraId="5FF92D47">
      <w:pPr>
        <w:shd w:val="clear" w:color="auto" w:fill="auto"/>
        <w:snapToGrid w:val="0"/>
        <w:spacing w:before="156" w:beforeLines="50" w:after="50"/>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商  务  技  术  文  件</w:t>
      </w:r>
    </w:p>
    <w:p w14:paraId="231A1487">
      <w:pPr>
        <w:shd w:val="clear" w:color="auto" w:fill="auto"/>
        <w:snapToGrid w:val="0"/>
        <w:spacing w:before="156" w:beforeLines="50" w:after="50"/>
        <w:rPr>
          <w:rFonts w:hint="eastAsia" w:ascii="仿宋" w:hAnsi="仿宋" w:eastAsia="仿宋" w:cs="仿宋"/>
          <w:bCs/>
          <w:color w:val="auto"/>
          <w:sz w:val="24"/>
          <w:szCs w:val="20"/>
          <w:highlight w:val="none"/>
        </w:rPr>
      </w:pPr>
    </w:p>
    <w:p w14:paraId="7DDC659A">
      <w:pPr>
        <w:shd w:val="clear" w:color="auto" w:fill="auto"/>
        <w:snapToGrid w:val="0"/>
        <w:spacing w:before="156" w:beforeLines="50" w:after="50"/>
        <w:rPr>
          <w:rFonts w:hint="eastAsia" w:ascii="仿宋" w:hAnsi="仿宋" w:eastAsia="仿宋" w:cs="仿宋"/>
          <w:bCs/>
          <w:color w:val="auto"/>
          <w:sz w:val="24"/>
          <w:szCs w:val="20"/>
          <w:highlight w:val="none"/>
        </w:rPr>
      </w:pPr>
    </w:p>
    <w:p w14:paraId="456D880E">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p w14:paraId="3A19CBA9">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ind w:firstLine="472" w:firstLineChars="225"/>
        <w:textAlignment w:val="auto"/>
        <w:rPr>
          <w:rFonts w:hint="eastAsia" w:ascii="宋体" w:hAnsi="宋体" w:eastAsia="宋体" w:cs="宋体"/>
          <w:bCs/>
          <w:color w:val="auto"/>
          <w:sz w:val="21"/>
          <w:szCs w:val="21"/>
          <w:highlight w:val="none"/>
        </w:rPr>
      </w:pPr>
    </w:p>
    <w:p w14:paraId="0D9D254E">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p w14:paraId="4AAA5E96">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p w14:paraId="7439F0D7">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所竞分标（如有则填写，无分标时填写“无”或者留空）：</w:t>
      </w:r>
    </w:p>
    <w:p w14:paraId="37BF675C">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ind w:firstLine="472" w:firstLineChars="225"/>
        <w:textAlignment w:val="auto"/>
        <w:rPr>
          <w:rFonts w:hint="eastAsia" w:ascii="宋体" w:hAnsi="宋体" w:eastAsia="宋体" w:cs="宋体"/>
          <w:bCs/>
          <w:color w:val="auto"/>
          <w:sz w:val="21"/>
          <w:szCs w:val="21"/>
          <w:highlight w:val="none"/>
        </w:rPr>
      </w:pPr>
    </w:p>
    <w:p w14:paraId="68E6E01B">
      <w:pPr>
        <w:pStyle w:val="8"/>
        <w:keepNext w:val="0"/>
        <w:keepLines w:val="0"/>
        <w:pageBreakBefore w:val="0"/>
        <w:widowControl w:val="0"/>
        <w:shd w:val="clear" w:color="auto" w:fill="auto"/>
        <w:kinsoku/>
        <w:wordWrap/>
        <w:overflowPunct/>
        <w:topLinePunct w:val="0"/>
        <w:autoSpaceDE/>
        <w:autoSpaceDN/>
        <w:bidi w:val="0"/>
        <w:adjustRightInd/>
        <w:snapToGrid w:val="0"/>
        <w:spacing w:before="50" w:after="50"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供应商名称：</w:t>
      </w:r>
    </w:p>
    <w:p w14:paraId="2B469551">
      <w:pPr>
        <w:pStyle w:val="8"/>
        <w:keepNext w:val="0"/>
        <w:keepLines w:val="0"/>
        <w:pageBreakBefore w:val="0"/>
        <w:widowControl w:val="0"/>
        <w:shd w:val="clear" w:color="auto" w:fill="auto"/>
        <w:kinsoku/>
        <w:wordWrap/>
        <w:overflowPunct/>
        <w:topLinePunct w:val="0"/>
        <w:autoSpaceDE/>
        <w:autoSpaceDN/>
        <w:bidi w:val="0"/>
        <w:adjustRightInd/>
        <w:snapToGrid w:val="0"/>
        <w:spacing w:before="50" w:after="50" w:line="400" w:lineRule="exact"/>
        <w:ind w:firstLine="420" w:firstLineChars="200"/>
        <w:textAlignment w:val="auto"/>
        <w:rPr>
          <w:rFonts w:hint="eastAsia" w:ascii="宋体" w:hAnsi="宋体" w:eastAsia="宋体" w:cs="宋体"/>
          <w:bCs/>
          <w:color w:val="auto"/>
          <w:sz w:val="21"/>
          <w:szCs w:val="21"/>
          <w:highlight w:val="none"/>
        </w:rPr>
      </w:pPr>
    </w:p>
    <w:p w14:paraId="5B54DCAA">
      <w:pPr>
        <w:pStyle w:val="8"/>
        <w:keepNext w:val="0"/>
        <w:keepLines w:val="0"/>
        <w:pageBreakBefore w:val="0"/>
        <w:widowControl w:val="0"/>
        <w:shd w:val="clear" w:color="auto" w:fill="auto"/>
        <w:kinsoku/>
        <w:wordWrap/>
        <w:overflowPunct/>
        <w:topLinePunct w:val="0"/>
        <w:autoSpaceDE/>
        <w:autoSpaceDN/>
        <w:bidi w:val="0"/>
        <w:adjustRightInd/>
        <w:snapToGrid w:val="0"/>
        <w:spacing w:before="50" w:after="50" w:line="400" w:lineRule="exact"/>
        <w:ind w:firstLine="840" w:firstLineChars="400"/>
        <w:textAlignment w:val="auto"/>
        <w:rPr>
          <w:rFonts w:hint="eastAsia" w:ascii="宋体" w:hAnsi="宋体" w:eastAsia="宋体" w:cs="宋体"/>
          <w:bCs/>
          <w:color w:val="auto"/>
          <w:sz w:val="21"/>
          <w:szCs w:val="21"/>
          <w:highlight w:val="none"/>
        </w:rPr>
      </w:pPr>
    </w:p>
    <w:p w14:paraId="79A48CC5">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33579D54">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ind w:right="480" w:firstLine="210" w:firstLineChars="1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2.商务技术文件目录</w:t>
      </w:r>
    </w:p>
    <w:p w14:paraId="43D4F2EC">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根据磋商文件规定及供应商提供的材料自行编写目录（部分格式后附）。</w:t>
      </w:r>
    </w:p>
    <w:p w14:paraId="4F8630BA">
      <w:pPr>
        <w:keepNext w:val="0"/>
        <w:keepLines w:val="0"/>
        <w:pageBreakBefore w:val="0"/>
        <w:widowControl w:val="0"/>
        <w:shd w:val="clear" w:color="auto" w:fill="auto"/>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p>
    <w:p w14:paraId="430813A7">
      <w:pPr>
        <w:shd w:val="clear" w:color="auto" w:fill="auto"/>
        <w:spacing w:line="520" w:lineRule="exact"/>
        <w:jc w:val="center"/>
        <w:rPr>
          <w:rFonts w:hint="eastAsia" w:ascii="宋体" w:hAnsi="宋体" w:eastAsia="宋体" w:cs="宋体"/>
          <w:b/>
          <w:bCs/>
          <w:color w:val="auto"/>
          <w:sz w:val="28"/>
          <w:szCs w:val="28"/>
          <w:highlight w:val="none"/>
        </w:rPr>
      </w:pPr>
      <w:r>
        <w:rPr>
          <w:rFonts w:hint="eastAsia" w:ascii="仿宋" w:hAnsi="仿宋" w:eastAsia="仿宋" w:cs="仿宋"/>
          <w:color w:val="auto"/>
          <w:sz w:val="44"/>
          <w:szCs w:val="44"/>
          <w:highlight w:val="none"/>
        </w:rPr>
        <w:br w:type="page"/>
      </w:r>
      <w:r>
        <w:rPr>
          <w:rFonts w:hint="eastAsia" w:ascii="宋体" w:hAnsi="宋体" w:eastAsia="宋体" w:cs="宋体"/>
          <w:b/>
          <w:bCs/>
          <w:color w:val="auto"/>
          <w:sz w:val="28"/>
          <w:szCs w:val="28"/>
          <w:highlight w:val="none"/>
        </w:rPr>
        <w:t>无串通竞标行为的承诺函</w:t>
      </w:r>
    </w:p>
    <w:p w14:paraId="44880C70">
      <w:pPr>
        <w:shd w:val="clear" w:color="auto" w:fill="auto"/>
        <w:spacing w:line="360" w:lineRule="auto"/>
        <w:ind w:firstLine="420" w:firstLineChars="200"/>
        <w:contextualSpacing/>
        <w:rPr>
          <w:rFonts w:hint="eastAsia" w:ascii="宋体" w:hAnsi="宋体" w:eastAsia="宋体" w:cs="宋体"/>
          <w:color w:val="auto"/>
          <w:sz w:val="21"/>
          <w:szCs w:val="21"/>
          <w:highlight w:val="none"/>
        </w:rPr>
      </w:pPr>
    </w:p>
    <w:p w14:paraId="0341181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2" w:firstLineChars="200"/>
        <w:contextualSpacing/>
        <w:textAlignment w:val="auto"/>
        <w:outlineLvl w:val="9"/>
        <w:rPr>
          <w:rFonts w:hint="eastAsia" w:ascii="宋体" w:hAnsi="宋体" w:eastAsia="宋体" w:cs="宋体"/>
          <w:b/>
          <w:bCs/>
          <w:color w:val="auto"/>
          <w:sz w:val="21"/>
          <w:szCs w:val="21"/>
          <w:highlight w:val="none"/>
        </w:rPr>
      </w:pPr>
      <w:bookmarkStart w:id="129" w:name="_Toc23667"/>
      <w:bookmarkStart w:id="130" w:name="_Toc23695"/>
      <w:r>
        <w:rPr>
          <w:rFonts w:hint="eastAsia" w:ascii="宋体" w:hAnsi="宋体" w:eastAsia="宋体" w:cs="宋体"/>
          <w:b/>
          <w:bCs/>
          <w:color w:val="auto"/>
          <w:sz w:val="21"/>
          <w:szCs w:val="21"/>
          <w:highlight w:val="none"/>
        </w:rPr>
        <w:t>一、我方承诺无下列相互串通竞标的情形：</w:t>
      </w:r>
      <w:bookmarkEnd w:id="129"/>
      <w:bookmarkEnd w:id="130"/>
    </w:p>
    <w:p w14:paraId="27D53850">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1.不同供应商的响应文件由同一单位或者个人编制；或不同供应商报名的IP地址一致的； </w:t>
      </w:r>
    </w:p>
    <w:p w14:paraId="3471749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2.不同供应商委托同一单位或者个人办理竞标事宜；</w:t>
      </w:r>
    </w:p>
    <w:p w14:paraId="786AB85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3.不同供应商的响应文件载明的项目管理员为同一个人；</w:t>
      </w:r>
    </w:p>
    <w:p w14:paraId="2C939688">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w:t>
      </w:r>
      <w:r>
        <w:rPr>
          <w:rFonts w:hint="eastAsia" w:ascii="宋体" w:hAnsi="宋体" w:eastAsia="宋体" w:cs="宋体"/>
          <w:color w:val="auto"/>
          <w:spacing w:val="-6"/>
          <w:sz w:val="21"/>
          <w:szCs w:val="21"/>
          <w:highlight w:val="none"/>
        </w:rPr>
        <w:t>同供应商的响应文件异常一致或者竞标报价呈规律性差异；</w:t>
      </w:r>
    </w:p>
    <w:p w14:paraId="5FAC667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5.不同供应商的响应文件相互混装；</w:t>
      </w:r>
    </w:p>
    <w:p w14:paraId="52A05E88">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6.不同供应商的磋商保证金从同一单位或者个人账户转出。</w:t>
      </w:r>
    </w:p>
    <w:p w14:paraId="21699702">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2" w:firstLineChars="200"/>
        <w:contextualSpacing/>
        <w:textAlignment w:val="auto"/>
        <w:outlineLvl w:val="9"/>
        <w:rPr>
          <w:rFonts w:hint="eastAsia" w:ascii="宋体" w:hAnsi="宋体" w:eastAsia="宋体" w:cs="宋体"/>
          <w:b/>
          <w:bCs/>
          <w:color w:val="auto"/>
          <w:sz w:val="21"/>
          <w:szCs w:val="21"/>
          <w:highlight w:val="none"/>
        </w:rPr>
      </w:pPr>
      <w:bookmarkStart w:id="131" w:name="_Toc15921"/>
      <w:bookmarkStart w:id="132" w:name="_Toc31658"/>
      <w:r>
        <w:rPr>
          <w:rFonts w:hint="eastAsia" w:ascii="宋体" w:hAnsi="宋体" w:eastAsia="宋体" w:cs="宋体"/>
          <w:b/>
          <w:bCs/>
          <w:color w:val="auto"/>
          <w:sz w:val="21"/>
          <w:szCs w:val="21"/>
          <w:highlight w:val="none"/>
        </w:rPr>
        <w:t>二、我方承诺无下列恶意串通的情形：</w:t>
      </w:r>
      <w:bookmarkEnd w:id="131"/>
      <w:bookmarkEnd w:id="132"/>
    </w:p>
    <w:p w14:paraId="694086A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1.供应商直接或者间接从采购人或者采购代理机构处获得其他供应商的相关信息并修改其响应文件；</w:t>
      </w:r>
    </w:p>
    <w:p w14:paraId="38B5B86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2.供应商按照采购人或者采购代理机构的授意撤换、修改响应文件；</w:t>
      </w:r>
    </w:p>
    <w:p w14:paraId="3711B57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w:t>
      </w:r>
      <w:r>
        <w:rPr>
          <w:rFonts w:hint="eastAsia" w:ascii="宋体" w:hAnsi="宋体" w:eastAsia="宋体" w:cs="宋体"/>
          <w:color w:val="auto"/>
          <w:spacing w:val="-6"/>
          <w:sz w:val="21"/>
          <w:szCs w:val="21"/>
          <w:highlight w:val="none"/>
        </w:rPr>
        <w:t>应商之间协商报价、技术方案等响应文件的实质性内容；</w:t>
      </w:r>
    </w:p>
    <w:p w14:paraId="406A4FF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4.属于同一集团、协会、商会等组织成员的供应商按照该组织要求协同参加政府采购活动；</w:t>
      </w:r>
    </w:p>
    <w:p w14:paraId="7AF6D2A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5.供应商之间事先约定一致抬高或者压低竞标报价，或者在竞争性磋商项目中事先约定轮流以高价位或者低价位成交，或者事先约定由某一特定供应商成交，然后再参加竞标；</w:t>
      </w:r>
    </w:p>
    <w:p w14:paraId="4FFCD1F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6.供应商之间商定部分供应商放弃参加政府采购活动或者放弃成交；</w:t>
      </w:r>
    </w:p>
    <w:p w14:paraId="435059A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7.供应商与采购人或者采购代理机构之间、供应商相互之间，为</w:t>
      </w:r>
      <w:r>
        <w:rPr>
          <w:rFonts w:hint="eastAsia" w:ascii="宋体" w:hAnsi="宋体" w:eastAsia="宋体" w:cs="宋体"/>
          <w:color w:val="auto"/>
          <w:spacing w:val="-6"/>
          <w:sz w:val="21"/>
          <w:szCs w:val="21"/>
          <w:highlight w:val="none"/>
        </w:rPr>
        <w:t>谋求特定供应商成交或者排斥其他供应商的其他串通行为。</w:t>
      </w:r>
    </w:p>
    <w:p w14:paraId="1553F7A4">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p>
    <w:p w14:paraId="0A7788E0">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2" w:firstLineChars="200"/>
        <w:contextualSpacing/>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以上情形一经核查属实，我方愿意承担一切后果，并不再寻求任何旨在减轻或者免除法律责任的辩解。</w:t>
      </w:r>
    </w:p>
    <w:p w14:paraId="5AB308E5">
      <w:pPr>
        <w:keepNext w:val="0"/>
        <w:keepLines w:val="0"/>
        <w:pageBreakBefore w:val="0"/>
        <w:widowControl w:val="0"/>
        <w:shd w:val="clear" w:color="auto" w:fill="auto"/>
        <w:kinsoku/>
        <w:wordWrap/>
        <w:overflowPunct/>
        <w:topLinePunct w:val="0"/>
        <w:autoSpaceDE/>
        <w:autoSpaceDN/>
        <w:bidi w:val="0"/>
        <w:adjustRightInd/>
        <w:snapToGrid/>
        <w:spacing w:line="400" w:lineRule="exact"/>
        <w:contextualSpacing/>
        <w:textAlignment w:val="auto"/>
        <w:outlineLvl w:val="9"/>
        <w:rPr>
          <w:rFonts w:hint="eastAsia" w:ascii="宋体" w:hAnsi="宋体" w:eastAsia="宋体" w:cs="宋体"/>
          <w:color w:val="auto"/>
          <w:sz w:val="21"/>
          <w:szCs w:val="21"/>
          <w:highlight w:val="none"/>
        </w:rPr>
      </w:pPr>
    </w:p>
    <w:p w14:paraId="11D83DF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150" w:firstLineChars="1500"/>
        <w:contextualSpacing/>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供应商（电子签章）：</w:t>
      </w:r>
      <w:r>
        <w:rPr>
          <w:rFonts w:hint="eastAsia" w:ascii="宋体" w:hAnsi="宋体" w:eastAsia="宋体" w:cs="宋体"/>
          <w:color w:val="auto"/>
          <w:sz w:val="21"/>
          <w:szCs w:val="21"/>
          <w:highlight w:val="none"/>
          <w:lang w:val="en-US" w:eastAsia="zh-CN"/>
        </w:rPr>
        <w:t xml:space="preserve">               </w:t>
      </w:r>
    </w:p>
    <w:p w14:paraId="5E308A10">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410" w:firstLineChars="21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日  期</w:t>
      </w:r>
      <w:r>
        <w:rPr>
          <w:rFonts w:hint="eastAsia" w:ascii="宋体" w:hAnsi="宋体" w:eastAsia="宋体" w:cs="宋体"/>
          <w:color w:val="auto"/>
          <w:sz w:val="21"/>
          <w:szCs w:val="21"/>
          <w:highlight w:val="none"/>
        </w:rPr>
        <w:t>：    年    月    日</w:t>
      </w:r>
    </w:p>
    <w:p w14:paraId="04C775DC">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Cs/>
          <w:color w:val="auto"/>
          <w:sz w:val="21"/>
          <w:szCs w:val="21"/>
          <w:highlight w:val="none"/>
        </w:rPr>
        <w:br w:type="page"/>
      </w:r>
      <w:r>
        <w:rPr>
          <w:rFonts w:hint="eastAsia" w:ascii="宋体" w:hAnsi="宋体" w:eastAsia="宋体" w:cs="宋体"/>
          <w:b/>
          <w:bCs/>
          <w:color w:val="auto"/>
          <w:sz w:val="28"/>
          <w:szCs w:val="28"/>
          <w:highlight w:val="none"/>
        </w:rPr>
        <w:t>法定代表人证明书</w:t>
      </w:r>
    </w:p>
    <w:p w14:paraId="7751B0CE">
      <w:pPr>
        <w:keepNext w:val="0"/>
        <w:keepLines w:val="0"/>
        <w:pageBreakBefore w:val="0"/>
        <w:widowControl w:val="0"/>
        <w:shd w:val="clear" w:color="auto" w:fill="auto"/>
        <w:kinsoku/>
        <w:wordWrap/>
        <w:overflowPunct/>
        <w:topLinePunct w:val="0"/>
        <w:autoSpaceDE/>
        <w:autoSpaceDN/>
        <w:bidi w:val="0"/>
        <w:spacing w:line="400" w:lineRule="exact"/>
        <w:ind w:left="540"/>
        <w:contextualSpacing/>
        <w:textAlignment w:val="auto"/>
        <w:rPr>
          <w:rFonts w:hint="eastAsia" w:ascii="宋体" w:hAnsi="宋体" w:eastAsia="宋体" w:cs="宋体"/>
          <w:color w:val="auto"/>
          <w:sz w:val="21"/>
          <w:szCs w:val="21"/>
          <w:highlight w:val="none"/>
        </w:rPr>
      </w:pPr>
    </w:p>
    <w:p w14:paraId="151A105D">
      <w:pPr>
        <w:keepNext w:val="0"/>
        <w:keepLines w:val="0"/>
        <w:pageBreakBefore w:val="0"/>
        <w:widowControl w:val="0"/>
        <w:shd w:val="clear" w:color="auto" w:fill="auto"/>
        <w:kinsoku/>
        <w:wordWrap/>
        <w:overflowPunct/>
        <w:topLinePunct w:val="0"/>
        <w:autoSpaceDE/>
        <w:autoSpaceDN/>
        <w:bidi w:val="0"/>
        <w:spacing w:line="400" w:lineRule="exact"/>
        <w:ind w:left="54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p>
    <w:p w14:paraId="040174F3">
      <w:pPr>
        <w:keepNext w:val="0"/>
        <w:keepLines w:val="0"/>
        <w:pageBreakBefore w:val="0"/>
        <w:widowControl w:val="0"/>
        <w:shd w:val="clear" w:color="auto" w:fill="auto"/>
        <w:kinsoku/>
        <w:wordWrap/>
        <w:overflowPunct/>
        <w:topLinePunct w:val="0"/>
        <w:autoSpaceDE/>
        <w:autoSpaceDN/>
        <w:bidi w:val="0"/>
        <w:spacing w:line="400" w:lineRule="exact"/>
        <w:ind w:left="54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1F8EAC15">
      <w:pPr>
        <w:keepNext w:val="0"/>
        <w:keepLines w:val="0"/>
        <w:pageBreakBefore w:val="0"/>
        <w:widowControl w:val="0"/>
        <w:shd w:val="clear" w:color="auto" w:fill="auto"/>
        <w:kinsoku/>
        <w:wordWrap/>
        <w:overflowPunct/>
        <w:topLinePunct w:val="0"/>
        <w:autoSpaceDE/>
        <w:autoSpaceDN/>
        <w:bidi w:val="0"/>
        <w:spacing w:line="400" w:lineRule="exact"/>
        <w:ind w:left="54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     别：</w:t>
      </w:r>
      <w:r>
        <w:rPr>
          <w:rFonts w:hint="eastAsia" w:ascii="宋体" w:hAnsi="宋体" w:eastAsia="宋体" w:cs="宋体"/>
          <w:color w:val="auto"/>
          <w:sz w:val="21"/>
          <w:szCs w:val="21"/>
          <w:highlight w:val="none"/>
          <w:u w:val="single"/>
        </w:rPr>
        <w:t xml:space="preserve">                </w:t>
      </w:r>
    </w:p>
    <w:p w14:paraId="13B34C79">
      <w:pPr>
        <w:keepNext w:val="0"/>
        <w:keepLines w:val="0"/>
        <w:pageBreakBefore w:val="0"/>
        <w:widowControl w:val="0"/>
        <w:shd w:val="clear" w:color="auto" w:fill="auto"/>
        <w:kinsoku/>
        <w:wordWrap/>
        <w:overflowPunct/>
        <w:topLinePunct w:val="0"/>
        <w:autoSpaceDE/>
        <w:autoSpaceDN/>
        <w:bidi w:val="0"/>
        <w:spacing w:line="400" w:lineRule="exact"/>
        <w:ind w:left="540"/>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年    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51DDE979">
      <w:pPr>
        <w:keepNext w:val="0"/>
        <w:keepLines w:val="0"/>
        <w:pageBreakBefore w:val="0"/>
        <w:widowControl w:val="0"/>
        <w:shd w:val="clear" w:color="auto" w:fill="auto"/>
        <w:kinsoku/>
        <w:wordWrap/>
        <w:overflowPunct/>
        <w:topLinePunct w:val="0"/>
        <w:autoSpaceDE/>
        <w:autoSpaceDN/>
        <w:bidi w:val="0"/>
        <w:spacing w:line="400" w:lineRule="exact"/>
        <w:ind w:left="54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350D0FA2">
      <w:pPr>
        <w:keepNext w:val="0"/>
        <w:keepLines w:val="0"/>
        <w:pageBreakBefore w:val="0"/>
        <w:widowControl w:val="0"/>
        <w:shd w:val="clear" w:color="auto" w:fill="auto"/>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的法定代表人。</w:t>
      </w:r>
    </w:p>
    <w:p w14:paraId="29907560">
      <w:pPr>
        <w:keepNext w:val="0"/>
        <w:keepLines w:val="0"/>
        <w:pageBreakBefore w:val="0"/>
        <w:widowControl w:val="0"/>
        <w:shd w:val="clear" w:color="auto" w:fill="auto"/>
        <w:kinsoku/>
        <w:wordWrap/>
        <w:overflowPunct/>
        <w:topLinePunct w:val="0"/>
        <w:autoSpaceDE/>
        <w:autoSpaceDN/>
        <w:bidi w:val="0"/>
        <w:spacing w:line="400" w:lineRule="exact"/>
        <w:ind w:left="54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1939BD41">
      <w:pPr>
        <w:keepNext w:val="0"/>
        <w:keepLines w:val="0"/>
        <w:pageBreakBefore w:val="0"/>
        <w:widowControl w:val="0"/>
        <w:shd w:val="clear" w:color="auto" w:fill="auto"/>
        <w:kinsoku/>
        <w:wordWrap/>
        <w:overflowPunct/>
        <w:topLinePunct w:val="0"/>
        <w:autoSpaceDE/>
        <w:autoSpaceDN/>
        <w:bidi w:val="0"/>
        <w:spacing w:line="400" w:lineRule="exact"/>
        <w:ind w:left="540"/>
        <w:contextualSpacing/>
        <w:textAlignment w:val="auto"/>
        <w:rPr>
          <w:rFonts w:hint="eastAsia" w:ascii="宋体" w:hAnsi="宋体" w:eastAsia="宋体" w:cs="宋体"/>
          <w:color w:val="auto"/>
          <w:sz w:val="21"/>
          <w:szCs w:val="21"/>
          <w:highlight w:val="none"/>
        </w:rPr>
      </w:pPr>
    </w:p>
    <w:p w14:paraId="089EEF4B">
      <w:pPr>
        <w:keepNext w:val="0"/>
        <w:keepLines w:val="0"/>
        <w:pageBreakBefore w:val="0"/>
        <w:widowControl w:val="0"/>
        <w:shd w:val="clear" w:color="auto" w:fill="auto"/>
        <w:kinsoku/>
        <w:wordWrap/>
        <w:overflowPunct/>
        <w:topLinePunct w:val="0"/>
        <w:autoSpaceDE/>
        <w:autoSpaceDN/>
        <w:bidi w:val="0"/>
        <w:spacing w:line="400" w:lineRule="exact"/>
        <w:ind w:left="540"/>
        <w:contextualSpacing/>
        <w:textAlignment w:val="auto"/>
        <w:rPr>
          <w:rFonts w:hint="eastAsia" w:ascii="宋体" w:hAnsi="宋体" w:eastAsia="宋体" w:cs="宋体"/>
          <w:color w:val="auto"/>
          <w:sz w:val="21"/>
          <w:szCs w:val="21"/>
          <w:highlight w:val="none"/>
        </w:rPr>
      </w:pPr>
    </w:p>
    <w:p w14:paraId="22EFA65F">
      <w:pPr>
        <w:keepNext w:val="0"/>
        <w:keepLines w:val="0"/>
        <w:pageBreakBefore w:val="0"/>
        <w:widowControl w:val="0"/>
        <w:shd w:val="clear" w:color="auto" w:fill="auto"/>
        <w:kinsoku/>
        <w:wordWrap/>
        <w:overflowPunct/>
        <w:topLinePunct w:val="0"/>
        <w:autoSpaceDE/>
        <w:autoSpaceDN/>
        <w:bidi w:val="0"/>
        <w:spacing w:line="400" w:lineRule="exact"/>
        <w:ind w:left="540"/>
        <w:contextualSpacing/>
        <w:textAlignment w:val="auto"/>
        <w:rPr>
          <w:rFonts w:hint="eastAsia" w:ascii="宋体" w:hAnsi="宋体" w:eastAsia="宋体" w:cs="宋体"/>
          <w:color w:val="auto"/>
          <w:sz w:val="21"/>
          <w:szCs w:val="21"/>
          <w:highlight w:val="none"/>
        </w:rPr>
      </w:pPr>
    </w:p>
    <w:p w14:paraId="2693B601">
      <w:pPr>
        <w:keepNext w:val="0"/>
        <w:keepLines w:val="0"/>
        <w:pageBreakBefore w:val="0"/>
        <w:widowControl w:val="0"/>
        <w:shd w:val="clear" w:color="auto" w:fill="auto"/>
        <w:kinsoku/>
        <w:wordWrap/>
        <w:overflowPunct/>
        <w:topLinePunct w:val="0"/>
        <w:autoSpaceDE/>
        <w:autoSpaceDN/>
        <w:bidi w:val="0"/>
        <w:spacing w:line="400" w:lineRule="exact"/>
        <w:ind w:left="54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附件：法定代表人有效身份证正反面复印件</w:t>
      </w:r>
    </w:p>
    <w:p w14:paraId="5B643B10">
      <w:pPr>
        <w:keepNext w:val="0"/>
        <w:keepLines w:val="0"/>
        <w:pageBreakBefore w:val="0"/>
        <w:widowControl w:val="0"/>
        <w:shd w:val="clear" w:color="auto" w:fill="auto"/>
        <w:kinsoku/>
        <w:wordWrap/>
        <w:overflowPunct/>
        <w:topLinePunct w:val="0"/>
        <w:autoSpaceDE/>
        <w:autoSpaceDN/>
        <w:bidi w:val="0"/>
        <w:spacing w:line="400" w:lineRule="exact"/>
        <w:ind w:left="540"/>
        <w:contextualSpacing/>
        <w:textAlignment w:val="auto"/>
        <w:rPr>
          <w:rFonts w:hint="eastAsia" w:ascii="宋体" w:hAnsi="宋体" w:eastAsia="宋体" w:cs="宋体"/>
          <w:color w:val="auto"/>
          <w:sz w:val="21"/>
          <w:szCs w:val="21"/>
          <w:highlight w:val="none"/>
        </w:rPr>
      </w:pPr>
    </w:p>
    <w:p w14:paraId="1D95880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150" w:firstLineChars="1500"/>
        <w:contextualSpacing/>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供应商（电子签章）：</w:t>
      </w:r>
      <w:r>
        <w:rPr>
          <w:rFonts w:hint="eastAsia" w:ascii="宋体" w:hAnsi="宋体" w:eastAsia="宋体" w:cs="宋体"/>
          <w:color w:val="auto"/>
          <w:sz w:val="21"/>
          <w:szCs w:val="21"/>
          <w:highlight w:val="none"/>
          <w:lang w:val="en-US" w:eastAsia="zh-CN"/>
        </w:rPr>
        <w:t xml:space="preserve">               </w:t>
      </w:r>
    </w:p>
    <w:p w14:paraId="628BD0C2">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410" w:firstLineChars="21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日  期</w:t>
      </w:r>
      <w:r>
        <w:rPr>
          <w:rFonts w:hint="eastAsia" w:ascii="宋体" w:hAnsi="宋体" w:eastAsia="宋体" w:cs="宋体"/>
          <w:color w:val="auto"/>
          <w:sz w:val="21"/>
          <w:szCs w:val="21"/>
          <w:highlight w:val="none"/>
        </w:rPr>
        <w:t>：    年    月    日</w:t>
      </w:r>
    </w:p>
    <w:p w14:paraId="315E1385">
      <w:pPr>
        <w:keepNext w:val="0"/>
        <w:keepLines w:val="0"/>
        <w:pageBreakBefore w:val="0"/>
        <w:widowControl w:val="0"/>
        <w:shd w:val="clear" w:color="auto" w:fill="auto"/>
        <w:kinsoku/>
        <w:wordWrap/>
        <w:overflowPunct/>
        <w:topLinePunct w:val="0"/>
        <w:autoSpaceDE/>
        <w:autoSpaceDN/>
        <w:bidi w:val="0"/>
        <w:spacing w:line="400" w:lineRule="exact"/>
        <w:contextualSpacing/>
        <w:jc w:val="center"/>
        <w:textAlignment w:val="auto"/>
        <w:rPr>
          <w:rFonts w:hint="eastAsia" w:ascii="宋体" w:hAnsi="宋体" w:eastAsia="宋体" w:cs="宋体"/>
          <w:b/>
          <w:color w:val="auto"/>
          <w:sz w:val="21"/>
          <w:szCs w:val="21"/>
          <w:highlight w:val="none"/>
        </w:rPr>
      </w:pPr>
    </w:p>
    <w:p w14:paraId="16EA9858">
      <w:pPr>
        <w:keepNext w:val="0"/>
        <w:keepLines w:val="0"/>
        <w:pageBreakBefore w:val="0"/>
        <w:widowControl w:val="0"/>
        <w:shd w:val="clear" w:color="auto" w:fill="auto"/>
        <w:kinsoku/>
        <w:wordWrap/>
        <w:overflowPunct/>
        <w:topLinePunct w:val="0"/>
        <w:autoSpaceDE/>
        <w:autoSpaceDN/>
        <w:bidi w:val="0"/>
        <w:spacing w:line="400" w:lineRule="exact"/>
        <w:contextualSpacing/>
        <w:jc w:val="left"/>
        <w:textAlignment w:val="auto"/>
        <w:rPr>
          <w:rFonts w:hint="eastAsia" w:ascii="宋体" w:hAnsi="宋体" w:eastAsia="宋体" w:cs="宋体"/>
          <w:color w:val="auto"/>
          <w:sz w:val="21"/>
          <w:szCs w:val="21"/>
          <w:highlight w:val="none"/>
        </w:rPr>
      </w:pPr>
    </w:p>
    <w:p w14:paraId="14313F75">
      <w:pPr>
        <w:keepNext w:val="0"/>
        <w:keepLines w:val="0"/>
        <w:pageBreakBefore w:val="0"/>
        <w:widowControl w:val="0"/>
        <w:shd w:val="clear" w:color="auto" w:fill="auto"/>
        <w:kinsoku/>
        <w:wordWrap/>
        <w:overflowPunct/>
        <w:topLinePunct w:val="0"/>
        <w:autoSpaceDE/>
        <w:autoSpaceDN/>
        <w:bidi w:val="0"/>
        <w:spacing w:line="40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注：自然人竞标的无需提供，联合体竞标的只需牵头人出具。</w:t>
      </w:r>
    </w:p>
    <w:p w14:paraId="719F93B2">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color w:val="auto"/>
          <w:sz w:val="21"/>
          <w:szCs w:val="21"/>
          <w:highlight w:val="none"/>
        </w:rPr>
      </w:pPr>
    </w:p>
    <w:p w14:paraId="6EAA5F48">
      <w:pPr>
        <w:shd w:val="clear" w:color="auto" w:fill="auto"/>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 xml:space="preserve"> </w:t>
      </w:r>
    </w:p>
    <w:p w14:paraId="08F269A1">
      <w:pPr>
        <w:shd w:val="clear" w:color="auto" w:fill="auto"/>
        <w:spacing w:line="520" w:lineRule="exact"/>
        <w:jc w:val="center"/>
        <w:rPr>
          <w:rFonts w:hint="eastAsia" w:ascii="宋体" w:hAnsi="宋体" w:eastAsia="宋体" w:cs="宋体"/>
          <w:b/>
          <w:bCs/>
          <w:color w:val="auto"/>
          <w:sz w:val="28"/>
          <w:szCs w:val="28"/>
          <w:highlight w:val="none"/>
        </w:rPr>
      </w:pPr>
      <w:bookmarkStart w:id="133" w:name="_Hlk65853643"/>
      <w:r>
        <w:rPr>
          <w:rFonts w:hint="eastAsia" w:ascii="宋体" w:hAnsi="宋体" w:eastAsia="宋体" w:cs="宋体"/>
          <w:b/>
          <w:bCs/>
          <w:color w:val="auto"/>
          <w:sz w:val="28"/>
          <w:szCs w:val="28"/>
          <w:highlight w:val="none"/>
        </w:rPr>
        <w:t>授权委托书</w:t>
      </w:r>
    </w:p>
    <w:p w14:paraId="27517438">
      <w:pPr>
        <w:shd w:val="clear" w:color="auto" w:fill="auto"/>
        <w:spacing w:line="520" w:lineRule="exact"/>
        <w:jc w:val="center"/>
        <w:rPr>
          <w:rFonts w:hint="eastAsia" w:ascii="方正小标宋_GBK" w:hAnsi="方正小标宋_GBK" w:eastAsia="方正小标宋_GBK" w:cs="方正小标宋_GBK"/>
          <w:color w:val="auto"/>
          <w:sz w:val="21"/>
          <w:szCs w:val="21"/>
          <w:highlight w:val="none"/>
        </w:rPr>
      </w:pPr>
      <w:r>
        <w:rPr>
          <w:rFonts w:hint="eastAsia" w:ascii="方正小标宋_GBK" w:hAnsi="方正小标宋_GBK" w:eastAsia="方正小标宋_GBK" w:cs="方正小标宋_GBK"/>
          <w:color w:val="auto"/>
          <w:sz w:val="21"/>
          <w:szCs w:val="21"/>
          <w:highlight w:val="none"/>
        </w:rPr>
        <w:t>（非联合体竞标格式）</w:t>
      </w:r>
    </w:p>
    <w:p w14:paraId="3376AAD1">
      <w:pPr>
        <w:shd w:val="clear" w:color="auto" w:fill="auto"/>
        <w:spacing w:line="520" w:lineRule="exact"/>
        <w:jc w:val="center"/>
        <w:rPr>
          <w:rFonts w:hint="eastAsia" w:ascii="方正小标宋_GBK" w:hAnsi="方正小标宋_GBK" w:eastAsia="方正小标宋_GBK" w:cs="方正小标宋_GBK"/>
          <w:color w:val="auto"/>
          <w:sz w:val="21"/>
          <w:szCs w:val="21"/>
          <w:highlight w:val="none"/>
        </w:rPr>
      </w:pPr>
      <w:r>
        <w:rPr>
          <w:rFonts w:hint="eastAsia" w:ascii="方正小标宋_GBK" w:hAnsi="方正小标宋_GBK" w:eastAsia="方正小标宋_GBK" w:cs="方正小标宋_GBK"/>
          <w:color w:val="auto"/>
          <w:sz w:val="21"/>
          <w:szCs w:val="21"/>
          <w:highlight w:val="none"/>
        </w:rPr>
        <w:t>（如有委托时）</w:t>
      </w:r>
    </w:p>
    <w:p w14:paraId="50F7CF26">
      <w:pPr>
        <w:shd w:val="clear" w:color="auto" w:fill="auto"/>
        <w:spacing w:line="520" w:lineRule="exact"/>
        <w:rPr>
          <w:rFonts w:hint="eastAsia" w:ascii="宋体" w:hAnsi="宋体" w:eastAsia="宋体" w:cs="宋体"/>
          <w:color w:val="auto"/>
          <w:sz w:val="21"/>
          <w:szCs w:val="21"/>
          <w:highlight w:val="none"/>
        </w:rPr>
      </w:pPr>
    </w:p>
    <w:p w14:paraId="2D7B773C">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5989C27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u w:val="single"/>
        </w:rPr>
        <w:t xml:space="preserve">  （姓名）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（供应商名称）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sym w:font="Wingdings 2" w:char="00A3"/>
      </w:r>
      <w:r>
        <w:rPr>
          <w:rFonts w:hint="eastAsia" w:ascii="宋体" w:hAnsi="宋体" w:eastAsia="宋体" w:cs="宋体"/>
          <w:color w:val="auto"/>
          <w:sz w:val="21"/>
          <w:szCs w:val="21"/>
          <w:highlight w:val="none"/>
          <w:u w:val="single"/>
        </w:rPr>
        <w:t>法定代表人/□负责人/□自然人本人</w:t>
      </w:r>
      <w:r>
        <w:rPr>
          <w:rFonts w:hint="eastAsia" w:ascii="宋体" w:hAnsi="宋体" w:eastAsia="宋体" w:cs="宋体"/>
          <w:color w:val="auto"/>
          <w:sz w:val="21"/>
          <w:szCs w:val="21"/>
          <w:highlight w:val="none"/>
        </w:rPr>
        <w:t>），现授权</w:t>
      </w:r>
      <w:r>
        <w:rPr>
          <w:rFonts w:hint="eastAsia" w:ascii="宋体" w:hAnsi="宋体" w:eastAsia="宋体" w:cs="宋体"/>
          <w:color w:val="auto"/>
          <w:sz w:val="21"/>
          <w:szCs w:val="21"/>
          <w:highlight w:val="none"/>
          <w:u w:val="single"/>
        </w:rPr>
        <w:t xml:space="preserve"> （姓名） </w:t>
      </w:r>
      <w:r>
        <w:rPr>
          <w:rFonts w:hint="eastAsia" w:ascii="宋体" w:hAnsi="宋体" w:eastAsia="宋体" w:cs="宋体"/>
          <w:color w:val="auto"/>
          <w:sz w:val="21"/>
          <w:szCs w:val="21"/>
          <w:highlight w:val="none"/>
        </w:rPr>
        <w:t>以我方的名义参加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项目的竞标活动，并代表我方全权办理针对上述项目的所有采购程序和环节的具体事务和签署相关文件。</w:t>
      </w:r>
    </w:p>
    <w:p w14:paraId="6E735051">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我方对委托代理人的签字或者电子签名事项负全部责任。</w:t>
      </w:r>
    </w:p>
    <w:p w14:paraId="184FF40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本授权书自签署之日起生效，在撤销授权的书面通知以前，本授权书一直有效。委托代理人在授权书有效期内签署的所有文件不因授权的撤销而失效。</w:t>
      </w:r>
    </w:p>
    <w:p w14:paraId="099047B2">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14:paraId="69CE4C2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附：法定代表人身份证明书及委托代理人有效身份证正反面复印件</w:t>
      </w:r>
    </w:p>
    <w:p w14:paraId="5EC82425">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031B0F66">
      <w:pPr>
        <w:keepNext w:val="0"/>
        <w:keepLines w:val="0"/>
        <w:pageBreakBefore w:val="0"/>
        <w:widowControl w:val="0"/>
        <w:shd w:val="clear" w:color="auto" w:fill="auto"/>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委托代理人（签字或者电子签名）：     </w:t>
      </w:r>
    </w:p>
    <w:p w14:paraId="1F956B16">
      <w:pPr>
        <w:keepNext w:val="0"/>
        <w:keepLines w:val="0"/>
        <w:pageBreakBefore w:val="0"/>
        <w:widowControl w:val="0"/>
        <w:shd w:val="clear" w:color="auto" w:fill="auto"/>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法定代表人（签字或者盖章或者电子签名）：                    </w:t>
      </w:r>
    </w:p>
    <w:p w14:paraId="67F9317C">
      <w:pPr>
        <w:keepNext w:val="0"/>
        <w:keepLines w:val="0"/>
        <w:pageBreakBefore w:val="0"/>
        <w:widowControl w:val="0"/>
        <w:shd w:val="clear" w:color="auto" w:fill="auto"/>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委托代理人身份证号码：                              </w:t>
      </w:r>
    </w:p>
    <w:p w14:paraId="765961C5">
      <w:pPr>
        <w:keepNext w:val="0"/>
        <w:keepLines w:val="0"/>
        <w:pageBreakBefore w:val="0"/>
        <w:widowControl w:val="0"/>
        <w:shd w:val="clear" w:color="auto" w:fill="auto"/>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852D88B">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供应商（电子签章）：                      </w:t>
      </w:r>
    </w:p>
    <w:p w14:paraId="4DC53C4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4C06C376">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464AB1A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18DD564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0F464574">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 法定代表人必须在授权委托书上签字或者盖章或者电子签名，委托代理人必须在授权委托书上签字或者电子签名，</w:t>
      </w:r>
      <w:r>
        <w:rPr>
          <w:rFonts w:hint="eastAsia" w:ascii="宋体" w:hAnsi="宋体" w:eastAsia="宋体" w:cs="宋体"/>
          <w:b/>
          <w:color w:val="auto"/>
          <w:sz w:val="21"/>
          <w:szCs w:val="21"/>
          <w:highlight w:val="none"/>
        </w:rPr>
        <w:t>否则其响应文件按无效响应处理。</w:t>
      </w:r>
    </w:p>
    <w:p w14:paraId="5EC1EEC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bookmarkStart w:id="134" w:name="_Hlk65853109"/>
      <w:bookmarkStart w:id="135" w:name="_Hlk65853542"/>
      <w:r>
        <w:rPr>
          <w:rFonts w:hint="eastAsia" w:ascii="宋体" w:hAnsi="宋体" w:eastAsia="宋体" w:cs="宋体"/>
          <w:color w:val="auto"/>
          <w:sz w:val="21"/>
          <w:szCs w:val="21"/>
          <w:highlight w:val="none"/>
        </w:rPr>
        <w:t>2.</w:t>
      </w:r>
      <w:bookmarkEnd w:id="134"/>
      <w:r>
        <w:rPr>
          <w:rFonts w:hint="eastAsia" w:ascii="宋体" w:hAnsi="宋体" w:eastAsia="宋体" w:cs="宋体"/>
          <w:color w:val="auto"/>
          <w:sz w:val="21"/>
          <w:szCs w:val="21"/>
          <w:highlight w:val="none"/>
        </w:rPr>
        <w:t>法人、其他组织竞标时“我方”是指“我单位”，自然人竞标时“我方”是指“本人”。</w:t>
      </w:r>
    </w:p>
    <w:bookmarkEnd w:id="135"/>
    <w:p w14:paraId="0F4A67E9">
      <w:pPr>
        <w:shd w:val="clear" w:color="auto" w:fill="auto"/>
        <w:spacing w:line="360" w:lineRule="auto"/>
        <w:ind w:firstLine="420" w:firstLineChars="200"/>
        <w:jc w:val="left"/>
        <w:rPr>
          <w:rFonts w:hint="eastAsia" w:ascii="宋体" w:hAnsi="宋体" w:eastAsia="宋体" w:cs="宋体"/>
          <w:color w:val="auto"/>
          <w:sz w:val="21"/>
          <w:szCs w:val="21"/>
          <w:highlight w:val="none"/>
        </w:rPr>
      </w:pPr>
    </w:p>
    <w:p w14:paraId="01F36D92">
      <w:pPr>
        <w:shd w:val="clear" w:color="auto" w:fill="auto"/>
        <w:spacing w:line="500" w:lineRule="exact"/>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8"/>
          <w:szCs w:val="28"/>
          <w:highlight w:val="none"/>
        </w:rPr>
        <w:t>授权委托书</w:t>
      </w:r>
    </w:p>
    <w:p w14:paraId="32744828">
      <w:pPr>
        <w:shd w:val="clear" w:color="auto" w:fill="auto"/>
        <w:spacing w:line="500" w:lineRule="exact"/>
        <w:jc w:val="center"/>
        <w:rPr>
          <w:rFonts w:hint="eastAsia" w:ascii="方正小标宋_GBK" w:hAnsi="方正小标宋_GBK" w:eastAsia="方正小标宋_GBK" w:cs="方正小标宋_GBK"/>
          <w:color w:val="auto"/>
          <w:sz w:val="21"/>
          <w:szCs w:val="21"/>
          <w:highlight w:val="none"/>
        </w:rPr>
      </w:pPr>
      <w:r>
        <w:rPr>
          <w:rFonts w:hint="eastAsia" w:ascii="方正小标宋_GBK" w:hAnsi="方正小标宋_GBK" w:eastAsia="方正小标宋_GBK" w:cs="方正小标宋_GBK"/>
          <w:color w:val="auto"/>
          <w:sz w:val="21"/>
          <w:szCs w:val="21"/>
          <w:highlight w:val="none"/>
        </w:rPr>
        <w:t>（联合体竞标格式）</w:t>
      </w:r>
    </w:p>
    <w:p w14:paraId="69C37752">
      <w:pPr>
        <w:shd w:val="clear" w:color="auto" w:fill="auto"/>
        <w:spacing w:line="500" w:lineRule="exact"/>
        <w:jc w:val="center"/>
        <w:rPr>
          <w:rFonts w:hint="eastAsia" w:ascii="方正小标宋_GBK" w:hAnsi="方正小标宋_GBK" w:eastAsia="方正小标宋_GBK" w:cs="方正小标宋_GBK"/>
          <w:color w:val="auto"/>
          <w:sz w:val="21"/>
          <w:szCs w:val="21"/>
          <w:highlight w:val="none"/>
        </w:rPr>
      </w:pPr>
      <w:r>
        <w:rPr>
          <w:rFonts w:hint="eastAsia" w:ascii="方正小标宋_GBK" w:hAnsi="方正小标宋_GBK" w:eastAsia="方正小标宋_GBK" w:cs="方正小标宋_GBK"/>
          <w:color w:val="auto"/>
          <w:sz w:val="21"/>
          <w:szCs w:val="21"/>
          <w:highlight w:val="none"/>
        </w:rPr>
        <w:t>（如有委托时）</w:t>
      </w:r>
    </w:p>
    <w:p w14:paraId="38D79D41">
      <w:pPr>
        <w:shd w:val="clear" w:color="auto" w:fill="auto"/>
        <w:spacing w:line="360" w:lineRule="auto"/>
        <w:ind w:firstLine="420" w:firstLineChars="200"/>
        <w:jc w:val="left"/>
        <w:rPr>
          <w:rFonts w:hint="eastAsia" w:ascii="宋体" w:hAnsi="宋体" w:eastAsia="宋体" w:cs="宋体"/>
          <w:color w:val="auto"/>
          <w:sz w:val="21"/>
          <w:szCs w:val="21"/>
          <w:highlight w:val="none"/>
        </w:rPr>
      </w:pPr>
    </w:p>
    <w:p w14:paraId="52D7CBB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本授权委托书声明：根据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（牵头人名称）与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（联合体其他成员名称）签订的《联合体竞标协议书》的内容，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（牵头人名称）的法定代表人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（姓名）现授权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（姓名）为联合委托代理人，并代表我方全权办理针对上述项目的所有采购程序和环节的具体事务和签署相关文件。</w:t>
      </w:r>
    </w:p>
    <w:p w14:paraId="2D423BB0">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我方对委托代理人的签字或者电子签名事项负全部责任。</w:t>
      </w:r>
    </w:p>
    <w:p w14:paraId="5D2BE22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本授权书自签署之日起生效，在撤销授权的书面通知以前，本授权书一直有效。委托代理人在授权书有效期内签署的所有文件不因授权的撤销而失效。</w:t>
      </w:r>
    </w:p>
    <w:p w14:paraId="0FBC94B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14:paraId="4EDF2BAF">
      <w:pPr>
        <w:keepNext w:val="0"/>
        <w:keepLines w:val="0"/>
        <w:pageBreakBefore w:val="0"/>
        <w:widowControl w:val="0"/>
        <w:shd w:val="clear" w:color="auto" w:fill="auto"/>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附：法定代表人身份证明书及委托代理人有效身份证正反面复印件</w:t>
      </w:r>
    </w:p>
    <w:p w14:paraId="3C156516">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2738" w:firstLineChars="1304"/>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牵头人法定代表人（签字或者盖章或者电子签名）：</w:t>
      </w:r>
    </w:p>
    <w:p w14:paraId="6A63817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730" w:firstLineChars="13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牵头人（电子签章）：</w:t>
      </w:r>
    </w:p>
    <w:p w14:paraId="0EB0D404">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360" w:firstLineChars="16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354BFF42">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730" w:firstLineChars="13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被授权人（签字或者电子签名）：</w:t>
      </w:r>
    </w:p>
    <w:p w14:paraId="5A3EC87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360" w:firstLineChars="16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01231903">
      <w:pPr>
        <w:keepNext w:val="0"/>
        <w:keepLines w:val="0"/>
        <w:pageBreakBefore w:val="0"/>
        <w:widowControl w:val="0"/>
        <w:shd w:val="clear" w:color="auto" w:fill="auto"/>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注：1.法定代表人必须在授权委托书上签字或者盖章或者电子签名，委托代理人必须在授权委托书上签字或者电子签名，</w:t>
      </w:r>
      <w:r>
        <w:rPr>
          <w:rFonts w:hint="eastAsia" w:ascii="宋体" w:hAnsi="宋体" w:eastAsia="宋体" w:cs="宋体"/>
          <w:b w:val="0"/>
          <w:color w:val="auto"/>
          <w:sz w:val="21"/>
          <w:szCs w:val="21"/>
          <w:highlight w:val="none"/>
        </w:rPr>
        <w:t>否则其响应文件按无效响应处理。</w:t>
      </w:r>
    </w:p>
    <w:p w14:paraId="3AB0462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0" w:firstLineChars="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2.法人、其他组织竞标时“我方”是指“我单位”，自然人竞标时“我方”是指“本人”。</w:t>
      </w:r>
    </w:p>
    <w:p w14:paraId="7EB3AEB0">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0" w:firstLineChars="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.本授权委托书应由联合体牵头人的法定代表人按上述规定签署。</w:t>
      </w:r>
    </w:p>
    <w:p w14:paraId="47F86918">
      <w:pPr>
        <w:keepNext/>
        <w:keepLines/>
        <w:shd w:val="clear" w:color="auto" w:fill="auto"/>
        <w:outlineLvl w:val="9"/>
        <w:rPr>
          <w:rFonts w:hint="eastAsia" w:ascii="宋体" w:hAnsi="宋体" w:eastAsia="宋体" w:cs="宋体"/>
          <w:color w:val="auto"/>
          <w:sz w:val="21"/>
          <w:szCs w:val="21"/>
          <w:highlight w:val="none"/>
        </w:rPr>
      </w:pPr>
    </w:p>
    <w:bookmarkEnd w:id="133"/>
    <w:p w14:paraId="2DFF73B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Cs/>
          <w:color w:val="auto"/>
          <w:sz w:val="21"/>
          <w:szCs w:val="21"/>
          <w:highlight w:val="none"/>
        </w:rPr>
        <w:br w:type="page"/>
      </w:r>
      <w:r>
        <w:rPr>
          <w:rFonts w:hint="eastAsia" w:ascii="宋体" w:hAnsi="宋体" w:eastAsia="宋体" w:cs="宋体"/>
          <w:b/>
          <w:bCs/>
          <w:color w:val="auto"/>
          <w:sz w:val="28"/>
          <w:szCs w:val="28"/>
          <w:highlight w:val="none"/>
        </w:rPr>
        <w:t>商务要求偏离表格式</w:t>
      </w:r>
    </w:p>
    <w:p w14:paraId="5CB61BA8">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i w:val="0"/>
          <w:iCs/>
          <w:color w:val="auto"/>
          <w:sz w:val="21"/>
          <w:szCs w:val="21"/>
          <w:highlight w:val="none"/>
        </w:rPr>
      </w:pPr>
    </w:p>
    <w:p w14:paraId="5081EC5A">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b w:val="0"/>
          <w:bCs w:val="0"/>
          <w:color w:val="auto"/>
          <w:sz w:val="21"/>
          <w:szCs w:val="21"/>
          <w:highlight w:val="none"/>
          <w:u w:val="single"/>
        </w:rPr>
        <w:t xml:space="preserve">                 </w:t>
      </w:r>
    </w:p>
    <w:p w14:paraId="4B996C0C">
      <w:pPr>
        <w:pStyle w:val="18"/>
        <w:keepNext w:val="0"/>
        <w:keepLines w:val="0"/>
        <w:pageBreakBefore w:val="0"/>
        <w:widowControl w:val="0"/>
        <w:shd w:val="clear" w:color="auto" w:fill="auto"/>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b w:val="0"/>
          <w:bCs w:val="0"/>
          <w:color w:val="auto"/>
          <w:sz w:val="21"/>
          <w:szCs w:val="21"/>
          <w:highlight w:val="none"/>
          <w:u w:val="single"/>
        </w:rPr>
        <w:t xml:space="preserve">                 </w:t>
      </w:r>
    </w:p>
    <w:p w14:paraId="66D0CE56">
      <w:pPr>
        <w:keepNext w:val="0"/>
        <w:keepLines w:val="0"/>
        <w:pageBreakBefore w:val="0"/>
        <w:widowControl w:val="0"/>
        <w:shd w:val="clear" w:color="auto" w:fill="auto"/>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color w:val="auto"/>
          <w:sz w:val="21"/>
          <w:szCs w:val="21"/>
          <w:highlight w:val="none"/>
          <w:u w:val="single"/>
        </w:rPr>
      </w:pPr>
    </w:p>
    <w:tbl>
      <w:tblPr>
        <w:tblStyle w:val="26"/>
        <w:tblpPr w:leftFromText="180" w:rightFromText="180" w:vertAnchor="text" w:horzAnchor="margin" w:tblpY="-9"/>
        <w:tblOverlap w:val="never"/>
        <w:tblW w:w="868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6"/>
        <w:gridCol w:w="3135"/>
        <w:gridCol w:w="2615"/>
        <w:gridCol w:w="1487"/>
      </w:tblGrid>
      <w:tr w14:paraId="4ED86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4B51F4D7">
            <w:pPr>
              <w:shd w:val="clear" w:color="auto" w:fill="auto"/>
              <w:snapToGrid w:val="0"/>
              <w:spacing w:beforeLines="5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序号</w:t>
            </w:r>
          </w:p>
        </w:tc>
        <w:tc>
          <w:tcPr>
            <w:tcW w:w="3135" w:type="dxa"/>
            <w:tcBorders>
              <w:top w:val="single" w:color="auto" w:sz="4" w:space="0"/>
              <w:left w:val="single" w:color="auto" w:sz="4" w:space="0"/>
              <w:bottom w:val="single" w:color="auto" w:sz="4" w:space="0"/>
              <w:right w:val="single" w:color="auto" w:sz="4" w:space="0"/>
            </w:tcBorders>
            <w:noWrap w:val="0"/>
            <w:vAlign w:val="center"/>
          </w:tcPr>
          <w:p w14:paraId="5F65BCD4">
            <w:pPr>
              <w:shd w:val="clear" w:color="auto" w:fill="auto"/>
              <w:snapToGrid w:val="0"/>
              <w:spacing w:beforeLines="5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竞争性</w:t>
            </w:r>
            <w:r>
              <w:rPr>
                <w:rFonts w:hint="eastAsia" w:ascii="宋体" w:hAnsi="宋体" w:eastAsia="宋体" w:cs="宋体"/>
                <w:color w:val="auto"/>
                <w:sz w:val="21"/>
                <w:szCs w:val="21"/>
                <w:highlight w:val="none"/>
              </w:rPr>
              <w:t>磋商文件</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商务要求</w:t>
            </w:r>
          </w:p>
        </w:tc>
        <w:tc>
          <w:tcPr>
            <w:tcW w:w="2615" w:type="dxa"/>
            <w:tcBorders>
              <w:top w:val="single" w:color="auto" w:sz="4" w:space="0"/>
              <w:left w:val="single" w:color="auto" w:sz="4" w:space="0"/>
              <w:bottom w:val="single" w:color="auto" w:sz="4" w:space="0"/>
              <w:right w:val="single" w:color="auto" w:sz="4" w:space="0"/>
            </w:tcBorders>
            <w:noWrap w:val="0"/>
            <w:vAlign w:val="center"/>
          </w:tcPr>
          <w:p w14:paraId="43787BFA">
            <w:pPr>
              <w:shd w:val="clear" w:color="auto" w:fill="auto"/>
              <w:snapToGrid w:val="0"/>
              <w:spacing w:beforeLines="5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响应文件承诺的商务要求</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89EF0D9">
            <w:pPr>
              <w:shd w:val="clear" w:color="auto" w:fill="auto"/>
              <w:snapToGrid w:val="0"/>
              <w:spacing w:beforeLines="5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偏离说明</w:t>
            </w:r>
          </w:p>
        </w:tc>
      </w:tr>
      <w:tr w14:paraId="20AFE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1EB7F4FD">
            <w:pPr>
              <w:shd w:val="clear" w:color="auto" w:fill="auto"/>
              <w:jc w:val="center"/>
              <w:rPr>
                <w:rFonts w:hint="eastAsia" w:ascii="宋体" w:hAnsi="宋体" w:eastAsia="宋体" w:cs="宋体"/>
                <w:color w:val="auto"/>
                <w:sz w:val="21"/>
                <w:szCs w:val="21"/>
                <w:highlight w:val="none"/>
              </w:rPr>
            </w:pPr>
          </w:p>
        </w:tc>
        <w:tc>
          <w:tcPr>
            <w:tcW w:w="3135" w:type="dxa"/>
            <w:tcBorders>
              <w:top w:val="single" w:color="auto" w:sz="4" w:space="0"/>
              <w:left w:val="single" w:color="auto" w:sz="4" w:space="0"/>
              <w:bottom w:val="single" w:color="auto" w:sz="4" w:space="0"/>
              <w:right w:val="single" w:color="auto" w:sz="4" w:space="0"/>
            </w:tcBorders>
            <w:noWrap w:val="0"/>
            <w:vAlign w:val="center"/>
          </w:tcPr>
          <w:p w14:paraId="5C481578">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2615" w:type="dxa"/>
            <w:tcBorders>
              <w:top w:val="single" w:color="auto" w:sz="4" w:space="0"/>
              <w:left w:val="single" w:color="auto" w:sz="4" w:space="0"/>
              <w:bottom w:val="single" w:color="auto" w:sz="4" w:space="0"/>
              <w:right w:val="single" w:color="auto" w:sz="4" w:space="0"/>
            </w:tcBorders>
            <w:noWrap w:val="0"/>
            <w:vAlign w:val="center"/>
          </w:tcPr>
          <w:p w14:paraId="5A6993EE">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14:paraId="103E404E">
            <w:pPr>
              <w:shd w:val="clear" w:color="auto" w:fill="auto"/>
              <w:spacing w:line="360" w:lineRule="auto"/>
              <w:contextualSpacing/>
              <w:jc w:val="center"/>
              <w:rPr>
                <w:rFonts w:hint="eastAsia" w:ascii="宋体" w:hAnsi="宋体" w:eastAsia="宋体" w:cs="宋体"/>
                <w:color w:val="auto"/>
                <w:sz w:val="21"/>
                <w:szCs w:val="21"/>
                <w:highlight w:val="none"/>
              </w:rPr>
            </w:pPr>
          </w:p>
        </w:tc>
      </w:tr>
      <w:tr w14:paraId="0844A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27059C11">
            <w:pPr>
              <w:shd w:val="clear" w:color="auto" w:fill="auto"/>
              <w:jc w:val="center"/>
              <w:rPr>
                <w:rFonts w:hint="eastAsia" w:ascii="宋体" w:hAnsi="宋体" w:eastAsia="宋体" w:cs="宋体"/>
                <w:color w:val="auto"/>
                <w:sz w:val="21"/>
                <w:szCs w:val="21"/>
                <w:highlight w:val="none"/>
              </w:rPr>
            </w:pPr>
          </w:p>
        </w:tc>
        <w:tc>
          <w:tcPr>
            <w:tcW w:w="3135" w:type="dxa"/>
            <w:tcBorders>
              <w:top w:val="single" w:color="auto" w:sz="4" w:space="0"/>
              <w:left w:val="single" w:color="auto" w:sz="4" w:space="0"/>
              <w:bottom w:val="single" w:color="auto" w:sz="4" w:space="0"/>
              <w:right w:val="single" w:color="auto" w:sz="4" w:space="0"/>
            </w:tcBorders>
            <w:noWrap w:val="0"/>
            <w:vAlign w:val="center"/>
          </w:tcPr>
          <w:p w14:paraId="3CFD9D6B">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2615" w:type="dxa"/>
            <w:tcBorders>
              <w:top w:val="single" w:color="auto" w:sz="4" w:space="0"/>
              <w:left w:val="single" w:color="auto" w:sz="4" w:space="0"/>
              <w:bottom w:val="single" w:color="auto" w:sz="4" w:space="0"/>
              <w:right w:val="single" w:color="auto" w:sz="4" w:space="0"/>
            </w:tcBorders>
            <w:noWrap w:val="0"/>
            <w:vAlign w:val="center"/>
          </w:tcPr>
          <w:p w14:paraId="7ED52F36">
            <w:pPr>
              <w:shd w:val="clear" w:color="auto" w:fill="auto"/>
              <w:spacing w:line="360" w:lineRule="auto"/>
              <w:ind w:left="43"/>
              <w:contextualSpacing/>
              <w:jc w:val="center"/>
              <w:rPr>
                <w:rFonts w:hint="eastAsia" w:ascii="宋体" w:hAnsi="宋体" w:eastAsia="宋体" w:cs="宋体"/>
                <w:color w:val="auto"/>
                <w:sz w:val="21"/>
                <w:szCs w:val="21"/>
                <w:highlight w:val="none"/>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68D80CF">
            <w:pPr>
              <w:shd w:val="clear" w:color="auto" w:fill="auto"/>
              <w:spacing w:line="360" w:lineRule="auto"/>
              <w:ind w:left="43"/>
              <w:contextualSpacing/>
              <w:jc w:val="center"/>
              <w:rPr>
                <w:rFonts w:hint="eastAsia" w:ascii="宋体" w:hAnsi="宋体" w:eastAsia="宋体" w:cs="宋体"/>
                <w:color w:val="auto"/>
                <w:sz w:val="21"/>
                <w:szCs w:val="21"/>
                <w:highlight w:val="none"/>
              </w:rPr>
            </w:pPr>
          </w:p>
        </w:tc>
      </w:tr>
      <w:tr w14:paraId="6205C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1AF8D514">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3135" w:type="dxa"/>
            <w:tcBorders>
              <w:top w:val="single" w:color="auto" w:sz="4" w:space="0"/>
              <w:left w:val="single" w:color="auto" w:sz="4" w:space="0"/>
              <w:bottom w:val="single" w:color="auto" w:sz="4" w:space="0"/>
              <w:right w:val="single" w:color="auto" w:sz="4" w:space="0"/>
            </w:tcBorders>
            <w:noWrap w:val="0"/>
            <w:vAlign w:val="center"/>
          </w:tcPr>
          <w:p w14:paraId="7415D119">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2615" w:type="dxa"/>
            <w:tcBorders>
              <w:top w:val="single" w:color="auto" w:sz="4" w:space="0"/>
              <w:left w:val="single" w:color="auto" w:sz="4" w:space="0"/>
              <w:bottom w:val="single" w:color="auto" w:sz="4" w:space="0"/>
              <w:right w:val="single" w:color="auto" w:sz="4" w:space="0"/>
            </w:tcBorders>
            <w:noWrap w:val="0"/>
            <w:vAlign w:val="center"/>
          </w:tcPr>
          <w:p w14:paraId="3FBD60E2">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14:paraId="57B3DE4A">
            <w:pPr>
              <w:shd w:val="clear" w:color="auto" w:fill="auto"/>
              <w:spacing w:line="360" w:lineRule="auto"/>
              <w:contextualSpacing/>
              <w:jc w:val="center"/>
              <w:rPr>
                <w:rFonts w:hint="eastAsia" w:ascii="宋体" w:hAnsi="宋体" w:eastAsia="宋体" w:cs="宋体"/>
                <w:color w:val="auto"/>
                <w:sz w:val="21"/>
                <w:szCs w:val="21"/>
                <w:highlight w:val="none"/>
              </w:rPr>
            </w:pPr>
          </w:p>
        </w:tc>
      </w:tr>
    </w:tbl>
    <w:p w14:paraId="14280543">
      <w:pPr>
        <w:pStyle w:val="13"/>
        <w:keepNext w:val="0"/>
        <w:keepLines w:val="0"/>
        <w:pageBreakBefore w:val="0"/>
        <w:widowControl w:val="0"/>
        <w:shd w:val="clear" w:color="auto" w:fill="auto"/>
        <w:kinsoku/>
        <w:wordWrap/>
        <w:overflowPunct/>
        <w:topLinePunct w:val="0"/>
        <w:autoSpaceDE/>
        <w:autoSpaceDN/>
        <w:bidi w:val="0"/>
        <w:spacing w:after="0" w:line="400" w:lineRule="exact"/>
        <w:contextualSpacing/>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383787EE">
      <w:pPr>
        <w:pStyle w:val="13"/>
        <w:keepNext w:val="0"/>
        <w:keepLines w:val="0"/>
        <w:pageBreakBefore w:val="0"/>
        <w:widowControl w:val="0"/>
        <w:shd w:val="clear" w:color="auto" w:fill="auto"/>
        <w:kinsoku/>
        <w:wordWrap/>
        <w:overflowPunct/>
        <w:topLinePunct w:val="0"/>
        <w:autoSpaceDE/>
        <w:autoSpaceDN/>
        <w:bidi w:val="0"/>
        <w:spacing w:after="0" w:line="400" w:lineRule="exact"/>
        <w:contextualSpacing/>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文件“第三章 采购需求”采购需求一览表中的商务要求逐条作出明确响应，并作出偏离说明。</w:t>
      </w:r>
    </w:p>
    <w:p w14:paraId="5ABDF0A7">
      <w:pPr>
        <w:keepNext w:val="0"/>
        <w:keepLines w:val="0"/>
        <w:pageBreakBefore w:val="0"/>
        <w:widowControl w:val="0"/>
        <w:shd w:val="clear" w:color="auto" w:fill="auto"/>
        <w:kinsoku/>
        <w:wordWrap/>
        <w:overflowPunct/>
        <w:topLinePunct w:val="0"/>
        <w:autoSpaceDE/>
        <w:autoSpaceDN/>
        <w:bidi w:val="0"/>
        <w:spacing w:line="400" w:lineRule="exact"/>
        <w:contextualSpacing/>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2.供应商应根据自身的承诺，对照磋商文件要求在“偏离说明”中注明“正偏离”、“负偏离”或者“无偏离”。既不属于“正偏离”也不属于“负偏离”即为“无偏离”。</w:t>
      </w:r>
    </w:p>
    <w:p w14:paraId="5380F7E6">
      <w:pPr>
        <w:keepNext w:val="0"/>
        <w:keepLines w:val="0"/>
        <w:pageBreakBefore w:val="0"/>
        <w:widowControl w:val="0"/>
        <w:shd w:val="clear" w:color="auto" w:fill="auto"/>
        <w:kinsoku/>
        <w:wordWrap/>
        <w:overflowPunct/>
        <w:topLinePunct w:val="0"/>
        <w:autoSpaceDE/>
        <w:autoSpaceDN/>
        <w:bidi w:val="0"/>
        <w:spacing w:line="400" w:lineRule="exact"/>
        <w:ind w:right="-817" w:rightChars="-389"/>
        <w:contextualSpacing/>
        <w:textAlignment w:val="auto"/>
        <w:rPr>
          <w:rFonts w:hint="eastAsia" w:ascii="宋体" w:hAnsi="宋体" w:eastAsia="宋体" w:cs="宋体"/>
          <w:color w:val="auto"/>
          <w:sz w:val="21"/>
          <w:szCs w:val="21"/>
          <w:highlight w:val="none"/>
        </w:rPr>
      </w:pPr>
    </w:p>
    <w:p w14:paraId="43870D3F">
      <w:pPr>
        <w:keepNext w:val="0"/>
        <w:keepLines w:val="0"/>
        <w:pageBreakBefore w:val="0"/>
        <w:widowControl w:val="0"/>
        <w:shd w:val="clear" w:color="auto" w:fill="auto"/>
        <w:kinsoku/>
        <w:wordWrap/>
        <w:overflowPunct/>
        <w:topLinePunct w:val="0"/>
        <w:autoSpaceDE/>
        <w:autoSpaceDN/>
        <w:bidi w:val="0"/>
        <w:spacing w:line="400" w:lineRule="exact"/>
        <w:ind w:right="-817" w:rightChars="-389"/>
        <w:contextualSpacing/>
        <w:jc w:val="center"/>
        <w:textAlignment w:val="auto"/>
        <w:rPr>
          <w:rFonts w:hint="eastAsia" w:ascii="宋体" w:hAnsi="宋体" w:eastAsia="宋体" w:cs="宋体"/>
          <w:color w:val="auto"/>
          <w:sz w:val="21"/>
          <w:szCs w:val="21"/>
          <w:highlight w:val="none"/>
        </w:rPr>
      </w:pPr>
    </w:p>
    <w:p w14:paraId="3B074113">
      <w:pPr>
        <w:keepNext w:val="0"/>
        <w:keepLines w:val="0"/>
        <w:pageBreakBefore w:val="0"/>
        <w:widowControl w:val="0"/>
        <w:shd w:val="clear" w:color="auto" w:fill="auto"/>
        <w:kinsoku/>
        <w:wordWrap/>
        <w:overflowPunct/>
        <w:topLinePunct w:val="0"/>
        <w:autoSpaceDE/>
        <w:autoSpaceDN/>
        <w:bidi w:val="0"/>
        <w:spacing w:line="400" w:lineRule="exact"/>
        <w:ind w:right="-817" w:rightChars="-389" w:firstLine="2940" w:firstLineChars="14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59BCA74">
      <w:pPr>
        <w:keepNext w:val="0"/>
        <w:keepLines w:val="0"/>
        <w:pageBreakBefore w:val="0"/>
        <w:widowControl w:val="0"/>
        <w:shd w:val="clear" w:color="auto" w:fill="auto"/>
        <w:kinsoku/>
        <w:wordWrap/>
        <w:overflowPunct/>
        <w:topLinePunct w:val="0"/>
        <w:autoSpaceDE/>
        <w:autoSpaceDN/>
        <w:bidi w:val="0"/>
        <w:spacing w:line="400" w:lineRule="exact"/>
        <w:ind w:right="-817" w:rightChars="-389" w:firstLine="3570" w:firstLineChars="1700"/>
        <w:contextualSpacing/>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   年   月   日</w:t>
      </w:r>
    </w:p>
    <w:p w14:paraId="5422A0C3">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3360" w:firstLineChars="1600"/>
        <w:jc w:val="center"/>
        <w:textAlignment w:val="auto"/>
        <w:rPr>
          <w:rFonts w:hint="eastAsia" w:ascii="宋体" w:hAnsi="宋体" w:eastAsia="宋体" w:cs="宋体"/>
          <w:bCs/>
          <w:color w:val="auto"/>
          <w:sz w:val="21"/>
          <w:szCs w:val="21"/>
          <w:highlight w:val="none"/>
        </w:rPr>
      </w:pPr>
    </w:p>
    <w:p w14:paraId="5342B32B">
      <w:pPr>
        <w:shd w:val="clear" w:color="auto" w:fill="auto"/>
        <w:adjustRightInd w:val="0"/>
        <w:snapToGrid w:val="0"/>
        <w:spacing w:line="520" w:lineRule="exact"/>
        <w:ind w:firstLine="3360" w:firstLineChars="1600"/>
        <w:jc w:val="center"/>
        <w:rPr>
          <w:rFonts w:hint="eastAsia" w:ascii="宋体" w:hAnsi="宋体" w:eastAsia="宋体" w:cs="宋体"/>
          <w:bCs/>
          <w:color w:val="auto"/>
          <w:sz w:val="21"/>
          <w:szCs w:val="21"/>
          <w:highlight w:val="none"/>
        </w:rPr>
      </w:pPr>
    </w:p>
    <w:p w14:paraId="27C63788">
      <w:pPr>
        <w:shd w:val="clear" w:color="auto" w:fill="auto"/>
        <w:adjustRightInd w:val="0"/>
        <w:snapToGrid w:val="0"/>
        <w:spacing w:line="520" w:lineRule="exact"/>
        <w:rPr>
          <w:rFonts w:hint="eastAsia" w:ascii="宋体" w:hAnsi="宋体" w:eastAsia="宋体" w:cs="宋体"/>
          <w:color w:val="auto"/>
          <w:sz w:val="21"/>
          <w:szCs w:val="21"/>
          <w:highlight w:val="none"/>
          <w:u w:val="single"/>
        </w:rPr>
      </w:pPr>
    </w:p>
    <w:p w14:paraId="02F4844D">
      <w:pPr>
        <w:shd w:val="clear" w:color="auto" w:fill="auto"/>
        <w:adjustRightInd w:val="0"/>
        <w:snapToGrid w:val="0"/>
        <w:spacing w:line="300" w:lineRule="auto"/>
        <w:jc w:val="center"/>
        <w:rPr>
          <w:rFonts w:hint="eastAsia" w:ascii="宋体" w:hAnsi="宋体" w:eastAsia="宋体" w:cs="宋体"/>
          <w:b/>
          <w:bCs/>
          <w:color w:val="auto"/>
          <w:sz w:val="28"/>
          <w:szCs w:val="28"/>
          <w:highlight w:val="none"/>
        </w:rPr>
      </w:pPr>
      <w:r>
        <w:rPr>
          <w:rFonts w:hint="eastAsia" w:ascii="宋体" w:hAnsi="宋体" w:eastAsia="宋体" w:cs="宋体"/>
          <w:bCs/>
          <w:color w:val="auto"/>
          <w:sz w:val="21"/>
          <w:szCs w:val="21"/>
          <w:highlight w:val="none"/>
        </w:rPr>
        <w:br w:type="page"/>
      </w:r>
      <w:r>
        <w:rPr>
          <w:rFonts w:hint="eastAsia" w:ascii="宋体" w:hAnsi="宋体" w:eastAsia="宋体" w:cs="宋体"/>
          <w:b/>
          <w:bCs/>
          <w:color w:val="auto"/>
          <w:sz w:val="28"/>
          <w:szCs w:val="28"/>
          <w:highlight w:val="none"/>
        </w:rPr>
        <w:t>技术要求偏离表</w:t>
      </w:r>
    </w:p>
    <w:p w14:paraId="43186AD4">
      <w:pPr>
        <w:shd w:val="clear" w:color="auto" w:fill="auto"/>
        <w:spacing w:line="360" w:lineRule="auto"/>
        <w:contextualSpacing/>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项目编号：</w:t>
      </w:r>
      <w:r>
        <w:rPr>
          <w:rFonts w:hint="eastAsia" w:ascii="宋体" w:hAnsi="宋体" w:eastAsia="宋体" w:cs="宋体"/>
          <w:b w:val="0"/>
          <w:bCs w:val="0"/>
          <w:color w:val="auto"/>
          <w:sz w:val="21"/>
          <w:szCs w:val="21"/>
          <w:highlight w:val="none"/>
          <w:u w:val="single"/>
        </w:rPr>
        <w:t xml:space="preserve">                 </w:t>
      </w:r>
    </w:p>
    <w:p w14:paraId="4436FEFE">
      <w:pPr>
        <w:shd w:val="clear" w:color="auto" w:fill="auto"/>
        <w:spacing w:line="360" w:lineRule="auto"/>
        <w:contextualSpacing/>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项目名称：</w:t>
      </w:r>
      <w:r>
        <w:rPr>
          <w:rFonts w:hint="eastAsia" w:ascii="宋体" w:hAnsi="宋体" w:eastAsia="宋体" w:cs="宋体"/>
          <w:b w:val="0"/>
          <w:bCs w:val="0"/>
          <w:color w:val="auto"/>
          <w:sz w:val="21"/>
          <w:szCs w:val="21"/>
          <w:highlight w:val="none"/>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8"/>
        <w:gridCol w:w="4057"/>
        <w:gridCol w:w="2938"/>
        <w:gridCol w:w="1492"/>
      </w:tblGrid>
      <w:tr w14:paraId="76E5A1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38" w:type="dxa"/>
            <w:noWrap w:val="0"/>
            <w:vAlign w:val="center"/>
          </w:tcPr>
          <w:p w14:paraId="30F83960">
            <w:pPr>
              <w:pStyle w:val="15"/>
              <w:shd w:val="clear" w:color="auto" w:fill="auto"/>
              <w:spacing w:line="360" w:lineRule="auto"/>
              <w:ind w:firstLine="0" w:firstLineChars="0"/>
              <w:contextualSpacing/>
              <w:jc w:val="cente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序号</w:t>
            </w:r>
          </w:p>
        </w:tc>
        <w:tc>
          <w:tcPr>
            <w:tcW w:w="4057" w:type="dxa"/>
            <w:tcBorders>
              <w:left w:val="single" w:color="auto" w:sz="4" w:space="0"/>
            </w:tcBorders>
            <w:noWrap w:val="0"/>
            <w:vAlign w:val="center"/>
          </w:tcPr>
          <w:p w14:paraId="37A38CE5">
            <w:pPr>
              <w:pStyle w:val="15"/>
              <w:shd w:val="clear" w:color="auto" w:fill="auto"/>
              <w:spacing w:line="360" w:lineRule="auto"/>
              <w:ind w:firstLine="0" w:firstLineChars="0"/>
              <w:contextualSpacing/>
              <w:jc w:val="cente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竞争性磋商文件</w:t>
            </w:r>
            <w:r>
              <w:rPr>
                <w:rFonts w:hint="eastAsia" w:ascii="宋体" w:hAnsi="宋体" w:eastAsia="宋体" w:cs="宋体"/>
                <w:b w:val="0"/>
                <w:bCs w:val="0"/>
                <w:color w:val="auto"/>
                <w:kern w:val="2"/>
                <w:sz w:val="21"/>
                <w:szCs w:val="21"/>
                <w:highlight w:val="none"/>
                <w:lang w:val="en-US" w:eastAsia="zh-CN"/>
              </w:rPr>
              <w:t>的项目需要及技术需求</w:t>
            </w:r>
          </w:p>
        </w:tc>
        <w:tc>
          <w:tcPr>
            <w:tcW w:w="2938" w:type="dxa"/>
            <w:noWrap w:val="0"/>
            <w:vAlign w:val="center"/>
          </w:tcPr>
          <w:p w14:paraId="382C51AB">
            <w:pPr>
              <w:pStyle w:val="15"/>
              <w:shd w:val="clear" w:color="auto" w:fill="auto"/>
              <w:spacing w:line="360" w:lineRule="auto"/>
              <w:ind w:firstLine="0" w:firstLineChars="0"/>
              <w:contextualSpacing/>
              <w:jc w:val="cente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响应文件承诺</w:t>
            </w:r>
          </w:p>
        </w:tc>
        <w:tc>
          <w:tcPr>
            <w:tcW w:w="1492" w:type="dxa"/>
            <w:noWrap w:val="0"/>
            <w:vAlign w:val="center"/>
          </w:tcPr>
          <w:p w14:paraId="6F1ED993">
            <w:pPr>
              <w:pStyle w:val="15"/>
              <w:shd w:val="clear" w:color="auto" w:fill="auto"/>
              <w:spacing w:line="360" w:lineRule="auto"/>
              <w:ind w:firstLine="0" w:firstLineChars="0"/>
              <w:contextualSpacing/>
              <w:jc w:val="cente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偏离说明</w:t>
            </w:r>
          </w:p>
        </w:tc>
      </w:tr>
      <w:tr w14:paraId="73C8EF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38" w:type="dxa"/>
            <w:noWrap w:val="0"/>
            <w:vAlign w:val="center"/>
          </w:tcPr>
          <w:p w14:paraId="784F7AB8">
            <w:pPr>
              <w:pStyle w:val="15"/>
              <w:shd w:val="clear" w:color="auto" w:fill="auto"/>
              <w:spacing w:line="360" w:lineRule="auto"/>
              <w:ind w:firstLine="0" w:firstLineChars="0"/>
              <w:contextualSpacing/>
              <w:jc w:val="both"/>
              <w:rPr>
                <w:rFonts w:hint="eastAsia" w:ascii="宋体" w:hAnsi="宋体" w:eastAsia="宋体" w:cs="宋体"/>
                <w:b w:val="0"/>
                <w:bCs w:val="0"/>
                <w:color w:val="auto"/>
                <w:kern w:val="2"/>
                <w:sz w:val="21"/>
                <w:szCs w:val="21"/>
                <w:highlight w:val="none"/>
                <w:lang w:val="en-US" w:eastAsia="zh-CN"/>
              </w:rPr>
            </w:pPr>
          </w:p>
        </w:tc>
        <w:tc>
          <w:tcPr>
            <w:tcW w:w="4057" w:type="dxa"/>
            <w:tcBorders>
              <w:left w:val="single" w:color="auto" w:sz="4" w:space="0"/>
            </w:tcBorders>
            <w:noWrap w:val="0"/>
            <w:vAlign w:val="center"/>
          </w:tcPr>
          <w:p w14:paraId="07D8BD6A">
            <w:pPr>
              <w:pStyle w:val="15"/>
              <w:shd w:val="clear" w:color="auto" w:fill="auto"/>
              <w:spacing w:line="360" w:lineRule="auto"/>
              <w:ind w:firstLine="0" w:firstLineChars="0"/>
              <w:contextualSpacing/>
              <w:jc w:val="both"/>
              <w:rPr>
                <w:rFonts w:hint="eastAsia" w:ascii="宋体" w:hAnsi="宋体" w:eastAsia="宋体" w:cs="宋体"/>
                <w:b w:val="0"/>
                <w:bCs w:val="0"/>
                <w:color w:val="auto"/>
                <w:sz w:val="21"/>
                <w:szCs w:val="21"/>
                <w:highlight w:val="none"/>
              </w:rPr>
            </w:pPr>
          </w:p>
        </w:tc>
        <w:tc>
          <w:tcPr>
            <w:tcW w:w="2938" w:type="dxa"/>
            <w:noWrap w:val="0"/>
            <w:vAlign w:val="center"/>
          </w:tcPr>
          <w:p w14:paraId="06216661">
            <w:pPr>
              <w:pStyle w:val="15"/>
              <w:shd w:val="clear" w:color="auto" w:fill="auto"/>
              <w:spacing w:line="360" w:lineRule="auto"/>
              <w:ind w:firstLine="0" w:firstLineChars="0"/>
              <w:contextualSpacing/>
              <w:jc w:val="both"/>
              <w:rPr>
                <w:rFonts w:hint="eastAsia" w:ascii="宋体" w:hAnsi="宋体" w:eastAsia="宋体" w:cs="宋体"/>
                <w:b w:val="0"/>
                <w:bCs w:val="0"/>
                <w:color w:val="auto"/>
                <w:kern w:val="2"/>
                <w:sz w:val="21"/>
                <w:szCs w:val="21"/>
                <w:highlight w:val="none"/>
              </w:rPr>
            </w:pPr>
          </w:p>
        </w:tc>
        <w:tc>
          <w:tcPr>
            <w:tcW w:w="1492" w:type="dxa"/>
            <w:noWrap w:val="0"/>
            <w:vAlign w:val="center"/>
          </w:tcPr>
          <w:p w14:paraId="341495FC">
            <w:pPr>
              <w:pStyle w:val="15"/>
              <w:shd w:val="clear" w:color="auto" w:fill="auto"/>
              <w:spacing w:line="360" w:lineRule="auto"/>
              <w:ind w:firstLine="0" w:firstLineChars="0"/>
              <w:contextualSpacing/>
              <w:jc w:val="both"/>
              <w:rPr>
                <w:rFonts w:hint="eastAsia" w:ascii="宋体" w:hAnsi="宋体" w:eastAsia="宋体" w:cs="宋体"/>
                <w:b w:val="0"/>
                <w:bCs w:val="0"/>
                <w:color w:val="auto"/>
                <w:kern w:val="2"/>
                <w:sz w:val="21"/>
                <w:szCs w:val="21"/>
                <w:highlight w:val="none"/>
              </w:rPr>
            </w:pPr>
          </w:p>
        </w:tc>
      </w:tr>
      <w:tr w14:paraId="609369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38" w:type="dxa"/>
            <w:noWrap w:val="0"/>
            <w:vAlign w:val="center"/>
          </w:tcPr>
          <w:p w14:paraId="5A71B1DE">
            <w:pPr>
              <w:pStyle w:val="15"/>
              <w:shd w:val="clear" w:color="auto" w:fill="auto"/>
              <w:spacing w:line="360" w:lineRule="auto"/>
              <w:ind w:firstLine="0" w:firstLineChars="0"/>
              <w:contextualSpacing/>
              <w:jc w:val="both"/>
              <w:rPr>
                <w:rFonts w:hint="eastAsia" w:ascii="宋体" w:hAnsi="宋体" w:eastAsia="宋体" w:cs="宋体"/>
                <w:b w:val="0"/>
                <w:bCs w:val="0"/>
                <w:color w:val="auto"/>
                <w:kern w:val="2"/>
                <w:sz w:val="21"/>
                <w:szCs w:val="21"/>
                <w:highlight w:val="none"/>
                <w:lang w:eastAsia="zh-CN"/>
              </w:rPr>
            </w:pPr>
          </w:p>
        </w:tc>
        <w:tc>
          <w:tcPr>
            <w:tcW w:w="4057" w:type="dxa"/>
            <w:tcBorders>
              <w:left w:val="single" w:color="auto" w:sz="4" w:space="0"/>
            </w:tcBorders>
            <w:noWrap w:val="0"/>
            <w:vAlign w:val="center"/>
          </w:tcPr>
          <w:p w14:paraId="28B3777E">
            <w:pPr>
              <w:pStyle w:val="15"/>
              <w:shd w:val="clear" w:color="auto" w:fill="auto"/>
              <w:spacing w:line="360" w:lineRule="auto"/>
              <w:ind w:firstLine="0" w:firstLineChars="0"/>
              <w:contextualSpacing/>
              <w:jc w:val="both"/>
              <w:rPr>
                <w:rFonts w:hint="eastAsia" w:ascii="宋体" w:hAnsi="宋体" w:eastAsia="宋体" w:cs="宋体"/>
                <w:b w:val="0"/>
                <w:bCs w:val="0"/>
                <w:color w:val="auto"/>
                <w:sz w:val="21"/>
                <w:szCs w:val="21"/>
                <w:highlight w:val="none"/>
              </w:rPr>
            </w:pPr>
          </w:p>
        </w:tc>
        <w:tc>
          <w:tcPr>
            <w:tcW w:w="2938" w:type="dxa"/>
            <w:noWrap w:val="0"/>
            <w:vAlign w:val="center"/>
          </w:tcPr>
          <w:p w14:paraId="103BB3CF">
            <w:pPr>
              <w:pStyle w:val="15"/>
              <w:shd w:val="clear" w:color="auto" w:fill="auto"/>
              <w:spacing w:line="360" w:lineRule="auto"/>
              <w:ind w:firstLine="0" w:firstLineChars="0"/>
              <w:contextualSpacing/>
              <w:jc w:val="both"/>
              <w:rPr>
                <w:rFonts w:hint="eastAsia" w:ascii="宋体" w:hAnsi="宋体" w:eastAsia="宋体" w:cs="宋体"/>
                <w:b w:val="0"/>
                <w:bCs w:val="0"/>
                <w:color w:val="auto"/>
                <w:kern w:val="2"/>
                <w:sz w:val="21"/>
                <w:szCs w:val="21"/>
                <w:highlight w:val="none"/>
              </w:rPr>
            </w:pPr>
          </w:p>
        </w:tc>
        <w:tc>
          <w:tcPr>
            <w:tcW w:w="1492" w:type="dxa"/>
            <w:noWrap w:val="0"/>
            <w:vAlign w:val="center"/>
          </w:tcPr>
          <w:p w14:paraId="7333DC14">
            <w:pPr>
              <w:pStyle w:val="15"/>
              <w:shd w:val="clear" w:color="auto" w:fill="auto"/>
              <w:spacing w:line="360" w:lineRule="auto"/>
              <w:ind w:firstLine="0" w:firstLineChars="0"/>
              <w:contextualSpacing/>
              <w:jc w:val="both"/>
              <w:rPr>
                <w:rFonts w:hint="eastAsia" w:ascii="宋体" w:hAnsi="宋体" w:eastAsia="宋体" w:cs="宋体"/>
                <w:b w:val="0"/>
                <w:bCs w:val="0"/>
                <w:color w:val="auto"/>
                <w:kern w:val="2"/>
                <w:sz w:val="21"/>
                <w:szCs w:val="21"/>
                <w:highlight w:val="none"/>
              </w:rPr>
            </w:pPr>
          </w:p>
        </w:tc>
      </w:tr>
    </w:tbl>
    <w:p w14:paraId="479B2D0B">
      <w:pPr>
        <w:shd w:val="clear" w:color="auto" w:fill="auto"/>
        <w:adjustRightInd w:val="0"/>
        <w:spacing w:line="360" w:lineRule="auto"/>
        <w:contextualSpacing/>
        <w:rPr>
          <w:rFonts w:hint="eastAsia" w:ascii="宋体" w:hAnsi="宋体" w:eastAsia="宋体" w:cs="宋体"/>
          <w:b w:val="0"/>
          <w:bCs w:val="0"/>
          <w:color w:val="auto"/>
          <w:sz w:val="21"/>
          <w:szCs w:val="21"/>
          <w:highlight w:val="none"/>
        </w:rPr>
      </w:pPr>
    </w:p>
    <w:p w14:paraId="0EAACF80">
      <w:pPr>
        <w:pStyle w:val="15"/>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0" w:firstLineChars="0"/>
        <w:contextualSpacing/>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w:t>
      </w:r>
    </w:p>
    <w:p w14:paraId="3222A658">
      <w:pPr>
        <w:pStyle w:val="15"/>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0" w:firstLineChars="0"/>
        <w:contextualSpacing/>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1.说明：应对照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文件“第三章 采购需求”采购需求一览表中的项目需要及技术需求逐条作出明确响应，并作出偏离说明。</w:t>
      </w:r>
    </w:p>
    <w:p w14:paraId="3FD2867C">
      <w:pPr>
        <w:pStyle w:val="15"/>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0" w:firstLineChars="0"/>
        <w:contextualSpacing/>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2.供应商应根据自身的承诺，对照磋商文件要求，在“偏离说明”中注明“正偏离”、“负偏离”或者“无偏离”。既不属于“正偏离”也不属于“负偏离”即为“无偏离”。</w:t>
      </w:r>
    </w:p>
    <w:p w14:paraId="7B757A42">
      <w:pPr>
        <w:keepNext w:val="0"/>
        <w:keepLines w:val="0"/>
        <w:pageBreakBefore w:val="0"/>
        <w:widowControl w:val="0"/>
        <w:shd w:val="clear" w:color="auto" w:fill="auto"/>
        <w:kinsoku/>
        <w:wordWrap/>
        <w:overflowPunct/>
        <w:topLinePunct w:val="0"/>
        <w:autoSpaceDE/>
        <w:autoSpaceDN/>
        <w:bidi w:val="0"/>
        <w:adjustRightInd/>
        <w:snapToGrid/>
        <w:spacing w:line="400" w:lineRule="exact"/>
        <w:ind w:right="-817" w:rightChars="-389"/>
        <w:contextualSpacing/>
        <w:jc w:val="center"/>
        <w:textAlignment w:val="auto"/>
        <w:rPr>
          <w:rFonts w:hint="eastAsia" w:ascii="宋体" w:hAnsi="宋体" w:eastAsia="宋体" w:cs="宋体"/>
          <w:b w:val="0"/>
          <w:bCs w:val="0"/>
          <w:color w:val="auto"/>
          <w:sz w:val="21"/>
          <w:szCs w:val="21"/>
          <w:highlight w:val="none"/>
        </w:rPr>
      </w:pPr>
    </w:p>
    <w:p w14:paraId="59B5C245">
      <w:pPr>
        <w:keepNext w:val="0"/>
        <w:keepLines w:val="0"/>
        <w:pageBreakBefore w:val="0"/>
        <w:widowControl w:val="0"/>
        <w:shd w:val="clear" w:color="auto" w:fill="auto"/>
        <w:kinsoku/>
        <w:wordWrap/>
        <w:overflowPunct/>
        <w:topLinePunct w:val="0"/>
        <w:autoSpaceDE/>
        <w:autoSpaceDN/>
        <w:bidi w:val="0"/>
        <w:spacing w:line="400" w:lineRule="exact"/>
        <w:ind w:right="-817" w:rightChars="-389" w:firstLine="2940" w:firstLineChars="14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D81D25E">
      <w:pPr>
        <w:keepNext w:val="0"/>
        <w:keepLines w:val="0"/>
        <w:pageBreakBefore w:val="0"/>
        <w:widowControl w:val="0"/>
        <w:shd w:val="clear" w:color="auto" w:fill="auto"/>
        <w:kinsoku/>
        <w:wordWrap/>
        <w:overflowPunct/>
        <w:topLinePunct w:val="0"/>
        <w:autoSpaceDE/>
        <w:autoSpaceDN/>
        <w:bidi w:val="0"/>
        <w:spacing w:line="400" w:lineRule="exact"/>
        <w:ind w:right="-817" w:rightChars="-389" w:firstLine="3570" w:firstLineChars="1700"/>
        <w:contextualSpacing/>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   年   月   日</w:t>
      </w:r>
    </w:p>
    <w:p w14:paraId="5084936E">
      <w:pPr>
        <w:keepNext w:val="0"/>
        <w:keepLines w:val="0"/>
        <w:pageBreakBefore w:val="0"/>
        <w:widowControl w:val="0"/>
        <w:shd w:val="clear" w:color="auto" w:fill="auto"/>
        <w:kinsoku/>
        <w:wordWrap/>
        <w:overflowPunct/>
        <w:topLinePunct w:val="0"/>
        <w:autoSpaceDE/>
        <w:autoSpaceDN/>
        <w:bidi w:val="0"/>
        <w:adjustRightInd/>
        <w:snapToGrid/>
        <w:spacing w:line="400" w:lineRule="exact"/>
        <w:ind w:right="-817" w:rightChars="-389" w:firstLine="6300" w:firstLineChars="3000"/>
        <w:contextualSpacing/>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日</w:t>
      </w:r>
    </w:p>
    <w:p w14:paraId="0643B4C5">
      <w:pPr>
        <w:shd w:val="clear" w:color="auto" w:fill="auto"/>
        <w:adjustRightInd w:val="0"/>
        <w:snapToGrid w:val="0"/>
        <w:spacing w:line="360" w:lineRule="auto"/>
        <w:ind w:left="0"/>
        <w:contextualSpacing/>
        <w:jc w:val="center"/>
        <w:rPr>
          <w:rFonts w:hint="eastAsia" w:ascii="宋体" w:hAnsi="宋体" w:eastAsia="宋体" w:cs="宋体"/>
          <w:b/>
          <w:bCs/>
          <w:color w:val="auto"/>
          <w:sz w:val="28"/>
          <w:szCs w:val="28"/>
          <w:highlight w:val="none"/>
        </w:rPr>
      </w:pPr>
      <w:r>
        <w:rPr>
          <w:rFonts w:hint="eastAsia" w:ascii="宋体" w:hAnsi="宋体" w:eastAsia="宋体" w:cs="宋体"/>
          <w:b w:val="0"/>
          <w:bCs w:val="0"/>
          <w:color w:val="auto"/>
          <w:sz w:val="21"/>
          <w:szCs w:val="21"/>
          <w:highlight w:val="none"/>
        </w:rPr>
        <w:br w:type="page"/>
      </w:r>
      <w:r>
        <w:rPr>
          <w:rFonts w:hint="eastAsia" w:ascii="宋体" w:hAnsi="宋体" w:eastAsia="宋体" w:cs="宋体"/>
          <w:b/>
          <w:bCs/>
          <w:color w:val="auto"/>
          <w:sz w:val="28"/>
          <w:szCs w:val="28"/>
          <w:highlight w:val="none"/>
        </w:rPr>
        <w:t>项目实施人员一览表</w:t>
      </w:r>
    </w:p>
    <w:p w14:paraId="7FC8D9DC">
      <w:pPr>
        <w:pStyle w:val="18"/>
        <w:shd w:val="clear" w:color="auto" w:fill="auto"/>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所竞分标</w:t>
      </w:r>
      <w:r>
        <w:rPr>
          <w:rFonts w:hint="eastAsia" w:ascii="宋体" w:hAnsi="宋体" w:eastAsia="宋体" w:cs="宋体"/>
          <w:bCs/>
          <w:color w:val="auto"/>
          <w:sz w:val="21"/>
          <w:szCs w:val="21"/>
          <w:highlight w:val="none"/>
        </w:rPr>
        <w:t>（如有则填写，无分标时填写“无”或者留空）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738"/>
        <w:gridCol w:w="2627"/>
        <w:gridCol w:w="1191"/>
        <w:gridCol w:w="1463"/>
        <w:gridCol w:w="1642"/>
      </w:tblGrid>
      <w:tr w14:paraId="0CE2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center"/>
          </w:tcPr>
          <w:p w14:paraId="5E5FF947">
            <w:pPr>
              <w:shd w:val="clear" w:color="auto" w:fill="auto"/>
              <w:spacing w:line="36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433" w:type="pct"/>
            <w:noWrap w:val="0"/>
            <w:vAlign w:val="center"/>
          </w:tcPr>
          <w:p w14:paraId="3A39E060">
            <w:pPr>
              <w:shd w:val="clear" w:color="auto" w:fill="auto"/>
              <w:spacing w:line="36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542" w:type="pct"/>
            <w:noWrap w:val="0"/>
            <w:vAlign w:val="center"/>
          </w:tcPr>
          <w:p w14:paraId="5205AB54">
            <w:pPr>
              <w:shd w:val="clear" w:color="auto" w:fill="auto"/>
              <w:spacing w:line="36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专业技术资格（职称）或者职业资格或者执业资格证或者其他证书</w:t>
            </w:r>
          </w:p>
        </w:tc>
        <w:tc>
          <w:tcPr>
            <w:tcW w:w="699" w:type="pct"/>
            <w:noWrap w:val="0"/>
            <w:vAlign w:val="center"/>
          </w:tcPr>
          <w:p w14:paraId="4C6029CF">
            <w:pPr>
              <w:shd w:val="clear" w:color="auto" w:fill="auto"/>
              <w:spacing w:line="36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证书编号</w:t>
            </w:r>
          </w:p>
        </w:tc>
        <w:tc>
          <w:tcPr>
            <w:tcW w:w="859" w:type="pct"/>
            <w:noWrap w:val="0"/>
            <w:vAlign w:val="center"/>
          </w:tcPr>
          <w:p w14:paraId="762D8829">
            <w:pPr>
              <w:shd w:val="clear" w:color="auto" w:fill="auto"/>
              <w:spacing w:line="36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参加本单位</w:t>
            </w:r>
          </w:p>
          <w:p w14:paraId="08415924">
            <w:pPr>
              <w:shd w:val="clear" w:color="auto" w:fill="auto"/>
              <w:spacing w:line="36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工作时间</w:t>
            </w:r>
          </w:p>
        </w:tc>
        <w:tc>
          <w:tcPr>
            <w:tcW w:w="964" w:type="pct"/>
            <w:noWrap w:val="0"/>
            <w:vAlign w:val="center"/>
          </w:tcPr>
          <w:p w14:paraId="25116B84">
            <w:pPr>
              <w:shd w:val="clear" w:color="auto" w:fill="auto"/>
              <w:spacing w:line="36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劳动合同编号</w:t>
            </w:r>
          </w:p>
        </w:tc>
      </w:tr>
      <w:tr w14:paraId="1AF6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center"/>
          </w:tcPr>
          <w:p w14:paraId="3900B084">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433" w:type="pct"/>
            <w:noWrap w:val="0"/>
            <w:vAlign w:val="center"/>
          </w:tcPr>
          <w:p w14:paraId="6F97BB8A">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1542" w:type="pct"/>
            <w:noWrap w:val="0"/>
            <w:vAlign w:val="center"/>
          </w:tcPr>
          <w:p w14:paraId="0E229435">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699" w:type="pct"/>
            <w:noWrap w:val="0"/>
            <w:vAlign w:val="center"/>
          </w:tcPr>
          <w:p w14:paraId="078A7F9F">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859" w:type="pct"/>
            <w:noWrap w:val="0"/>
            <w:vAlign w:val="center"/>
          </w:tcPr>
          <w:p w14:paraId="4136D339">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964" w:type="pct"/>
            <w:noWrap w:val="0"/>
            <w:vAlign w:val="center"/>
          </w:tcPr>
          <w:p w14:paraId="6D85435B">
            <w:pPr>
              <w:shd w:val="clear" w:color="auto" w:fill="auto"/>
              <w:spacing w:line="360" w:lineRule="auto"/>
              <w:contextualSpacing/>
              <w:jc w:val="center"/>
              <w:rPr>
                <w:rFonts w:hint="eastAsia" w:ascii="宋体" w:hAnsi="宋体" w:eastAsia="宋体" w:cs="宋体"/>
                <w:color w:val="auto"/>
                <w:sz w:val="21"/>
                <w:szCs w:val="21"/>
                <w:highlight w:val="none"/>
              </w:rPr>
            </w:pPr>
          </w:p>
        </w:tc>
      </w:tr>
      <w:tr w14:paraId="6196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center"/>
          </w:tcPr>
          <w:p w14:paraId="4C4C8B76">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433" w:type="pct"/>
            <w:noWrap w:val="0"/>
            <w:vAlign w:val="center"/>
          </w:tcPr>
          <w:p w14:paraId="799F40F6">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1542" w:type="pct"/>
            <w:noWrap w:val="0"/>
            <w:vAlign w:val="center"/>
          </w:tcPr>
          <w:p w14:paraId="5FC954F2">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699" w:type="pct"/>
            <w:noWrap w:val="0"/>
            <w:vAlign w:val="center"/>
          </w:tcPr>
          <w:p w14:paraId="589C08CF">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859" w:type="pct"/>
            <w:noWrap w:val="0"/>
            <w:vAlign w:val="center"/>
          </w:tcPr>
          <w:p w14:paraId="52889F0E">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964" w:type="pct"/>
            <w:noWrap w:val="0"/>
            <w:vAlign w:val="center"/>
          </w:tcPr>
          <w:p w14:paraId="462AD209">
            <w:pPr>
              <w:shd w:val="clear" w:color="auto" w:fill="auto"/>
              <w:spacing w:line="360" w:lineRule="auto"/>
              <w:contextualSpacing/>
              <w:jc w:val="center"/>
              <w:rPr>
                <w:rFonts w:hint="eastAsia" w:ascii="宋体" w:hAnsi="宋体" w:eastAsia="宋体" w:cs="宋体"/>
                <w:color w:val="auto"/>
                <w:sz w:val="21"/>
                <w:szCs w:val="21"/>
                <w:highlight w:val="none"/>
              </w:rPr>
            </w:pPr>
          </w:p>
        </w:tc>
      </w:tr>
      <w:tr w14:paraId="38C4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center"/>
          </w:tcPr>
          <w:p w14:paraId="0E23615E">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433" w:type="pct"/>
            <w:noWrap w:val="0"/>
            <w:vAlign w:val="center"/>
          </w:tcPr>
          <w:p w14:paraId="60B384E0">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1542" w:type="pct"/>
            <w:noWrap w:val="0"/>
            <w:vAlign w:val="center"/>
          </w:tcPr>
          <w:p w14:paraId="2CEEEC22">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699" w:type="pct"/>
            <w:noWrap w:val="0"/>
            <w:vAlign w:val="center"/>
          </w:tcPr>
          <w:p w14:paraId="5E543A47">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859" w:type="pct"/>
            <w:noWrap w:val="0"/>
            <w:vAlign w:val="center"/>
          </w:tcPr>
          <w:p w14:paraId="25641C02">
            <w:pPr>
              <w:shd w:val="clear" w:color="auto" w:fill="auto"/>
              <w:spacing w:line="360" w:lineRule="auto"/>
              <w:contextualSpacing/>
              <w:jc w:val="center"/>
              <w:rPr>
                <w:rFonts w:hint="eastAsia" w:ascii="宋体" w:hAnsi="宋体" w:eastAsia="宋体" w:cs="宋体"/>
                <w:color w:val="auto"/>
                <w:sz w:val="21"/>
                <w:szCs w:val="21"/>
                <w:highlight w:val="none"/>
              </w:rPr>
            </w:pPr>
          </w:p>
        </w:tc>
        <w:tc>
          <w:tcPr>
            <w:tcW w:w="964" w:type="pct"/>
            <w:noWrap w:val="0"/>
            <w:vAlign w:val="center"/>
          </w:tcPr>
          <w:p w14:paraId="2FEB4A5D">
            <w:pPr>
              <w:shd w:val="clear" w:color="auto" w:fill="auto"/>
              <w:spacing w:line="360" w:lineRule="auto"/>
              <w:contextualSpacing/>
              <w:jc w:val="center"/>
              <w:rPr>
                <w:rFonts w:hint="eastAsia" w:ascii="宋体" w:hAnsi="宋体" w:eastAsia="宋体" w:cs="宋体"/>
                <w:color w:val="auto"/>
                <w:sz w:val="21"/>
                <w:szCs w:val="21"/>
                <w:highlight w:val="none"/>
              </w:rPr>
            </w:pPr>
          </w:p>
        </w:tc>
      </w:tr>
    </w:tbl>
    <w:p w14:paraId="28AC4EAE">
      <w:pPr>
        <w:keepNext w:val="0"/>
        <w:keepLines w:val="0"/>
        <w:pageBreakBefore w:val="0"/>
        <w:widowControl w:val="0"/>
        <w:shd w:val="clear" w:color="auto" w:fill="auto"/>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013143F">
      <w:pPr>
        <w:keepNext w:val="0"/>
        <w:keepLines w:val="0"/>
        <w:pageBreakBefore w:val="0"/>
        <w:widowControl w:val="0"/>
        <w:shd w:val="clear" w:color="auto" w:fill="auto"/>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1.在填写时，如本表格不适合供应商的实际情况，可根据本表格式自行制表填写。</w:t>
      </w:r>
    </w:p>
    <w:p w14:paraId="13D9AFC9">
      <w:pPr>
        <w:keepNext w:val="0"/>
        <w:keepLines w:val="0"/>
        <w:pageBreakBefore w:val="0"/>
        <w:widowControl w:val="0"/>
        <w:shd w:val="clear" w:color="auto" w:fill="auto"/>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2.供应商应当附本表所列证书的复印件并加盖供应商电子签章。</w:t>
      </w:r>
    </w:p>
    <w:p w14:paraId="0EA82A55">
      <w:pPr>
        <w:keepNext w:val="0"/>
        <w:keepLines w:val="0"/>
        <w:pageBreakBefore w:val="0"/>
        <w:widowControl w:val="0"/>
        <w:shd w:val="clear" w:color="auto" w:fill="auto"/>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 w:val="21"/>
          <w:szCs w:val="21"/>
          <w:highlight w:val="none"/>
        </w:rPr>
      </w:pPr>
    </w:p>
    <w:p w14:paraId="60356D28">
      <w:pPr>
        <w:keepNext w:val="0"/>
        <w:keepLines w:val="0"/>
        <w:pageBreakBefore w:val="0"/>
        <w:widowControl w:val="0"/>
        <w:shd w:val="clear" w:color="auto" w:fill="auto"/>
        <w:kinsoku/>
        <w:wordWrap/>
        <w:overflowPunct/>
        <w:topLinePunct w:val="0"/>
        <w:autoSpaceDE/>
        <w:autoSpaceDN/>
        <w:bidi w:val="0"/>
        <w:spacing w:line="400" w:lineRule="exact"/>
        <w:ind w:right="-817" w:rightChars="-389" w:firstLine="2940" w:firstLineChars="14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2856609">
      <w:pPr>
        <w:keepNext w:val="0"/>
        <w:keepLines w:val="0"/>
        <w:pageBreakBefore w:val="0"/>
        <w:widowControl w:val="0"/>
        <w:shd w:val="clear" w:color="auto" w:fill="auto"/>
        <w:kinsoku/>
        <w:wordWrap/>
        <w:overflowPunct/>
        <w:topLinePunct w:val="0"/>
        <w:autoSpaceDE/>
        <w:autoSpaceDN/>
        <w:bidi w:val="0"/>
        <w:spacing w:line="400" w:lineRule="exact"/>
        <w:ind w:right="-817" w:rightChars="-389" w:firstLine="3570" w:firstLineChars="1700"/>
        <w:contextualSpacing/>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日期：   年   月   日</w:t>
      </w:r>
    </w:p>
    <w:p w14:paraId="356E2477">
      <w:pPr>
        <w:keepNext w:val="0"/>
        <w:keepLines w:val="0"/>
        <w:pageBreakBefore w:val="0"/>
        <w:widowControl w:val="0"/>
        <w:shd w:val="clear" w:color="auto" w:fill="auto"/>
        <w:kinsoku/>
        <w:wordWrap/>
        <w:overflowPunct/>
        <w:topLinePunct w:val="0"/>
        <w:autoSpaceDE/>
        <w:autoSpaceDN/>
        <w:bidi w:val="0"/>
        <w:adjustRightInd/>
        <w:snapToGrid w:val="0"/>
        <w:spacing w:before="50" w:after="156" w:afterLines="50" w:line="400" w:lineRule="exact"/>
        <w:jc w:val="left"/>
        <w:textAlignment w:val="auto"/>
        <w:rPr>
          <w:rFonts w:hint="eastAsia" w:ascii="宋体" w:hAnsi="宋体" w:eastAsia="宋体" w:cs="宋体"/>
          <w:color w:val="auto"/>
          <w:sz w:val="21"/>
          <w:szCs w:val="21"/>
          <w:highlight w:val="none"/>
        </w:rPr>
      </w:pPr>
    </w:p>
    <w:p w14:paraId="43487918">
      <w:pPr>
        <w:shd w:val="clear" w:color="auto" w:fill="auto"/>
        <w:snapToGrid w:val="0"/>
        <w:spacing w:before="50" w:after="50" w:line="360" w:lineRule="auto"/>
        <w:ind w:right="-817" w:rightChars="-389" w:firstLine="3584" w:firstLineChars="1700"/>
        <w:rPr>
          <w:rFonts w:hint="eastAsia" w:ascii="宋体" w:hAnsi="宋体" w:eastAsia="宋体" w:cs="宋体"/>
          <w:b/>
          <w:color w:val="auto"/>
          <w:sz w:val="21"/>
          <w:szCs w:val="21"/>
          <w:highlight w:val="none"/>
        </w:rPr>
      </w:pPr>
    </w:p>
    <w:p w14:paraId="13AD2CEA">
      <w:pPr>
        <w:shd w:val="clear" w:color="auto" w:fill="auto"/>
        <w:spacing w:line="300" w:lineRule="auto"/>
        <w:outlineLvl w:val="1"/>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br w:type="page"/>
      </w:r>
      <w:bookmarkStart w:id="136" w:name="_Toc12486"/>
      <w:bookmarkStart w:id="137" w:name="_Toc26489"/>
      <w:bookmarkStart w:id="138" w:name="_Toc23077"/>
      <w:r>
        <w:rPr>
          <w:rFonts w:hint="eastAsia" w:ascii="宋体" w:hAnsi="宋体" w:eastAsia="宋体" w:cs="宋体"/>
          <w:b/>
          <w:color w:val="auto"/>
          <w:sz w:val="21"/>
          <w:szCs w:val="21"/>
          <w:highlight w:val="none"/>
          <w:lang w:eastAsia="zh-CN"/>
        </w:rPr>
        <w:t>四</w:t>
      </w:r>
      <w:r>
        <w:rPr>
          <w:rFonts w:hint="eastAsia" w:ascii="宋体" w:hAnsi="宋体" w:eastAsia="宋体" w:cs="宋体"/>
          <w:b/>
          <w:color w:val="auto"/>
          <w:sz w:val="21"/>
          <w:szCs w:val="21"/>
          <w:highlight w:val="none"/>
        </w:rPr>
        <w:t>、</w:t>
      </w:r>
      <w:r>
        <w:rPr>
          <w:rFonts w:hint="eastAsia" w:ascii="宋体" w:hAnsi="宋体" w:eastAsia="宋体" w:cs="宋体"/>
          <w:b/>
          <w:bCs w:val="0"/>
          <w:color w:val="auto"/>
          <w:sz w:val="21"/>
          <w:szCs w:val="21"/>
          <w:highlight w:val="none"/>
        </w:rPr>
        <w:t>其他文书、文件格式</w:t>
      </w:r>
      <w:bookmarkEnd w:id="136"/>
      <w:bookmarkEnd w:id="137"/>
      <w:bookmarkEnd w:id="138"/>
    </w:p>
    <w:p w14:paraId="282B0E2A">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outlineLvl w:val="9"/>
        <w:rPr>
          <w:rFonts w:hint="eastAsia" w:ascii="方正小标宋_GBK" w:hAnsi="方正小标宋_GBK" w:eastAsia="方正小标宋_GBK" w:cs="方正小标宋_GBK"/>
          <w:b/>
          <w:bCs/>
          <w:color w:val="auto"/>
          <w:sz w:val="28"/>
          <w:szCs w:val="28"/>
          <w:highlight w:val="none"/>
        </w:rPr>
      </w:pPr>
      <w:r>
        <w:rPr>
          <w:rFonts w:hint="eastAsia" w:ascii="方正小标宋_GBK" w:hAnsi="方正小标宋_GBK" w:eastAsia="方正小标宋_GBK" w:cs="方正小标宋_GBK"/>
          <w:color w:val="auto"/>
          <w:sz w:val="28"/>
          <w:szCs w:val="28"/>
          <w:highlight w:val="none"/>
        </w:rPr>
        <w:t>质疑函（格式）</w:t>
      </w:r>
    </w:p>
    <w:p w14:paraId="4ACE975C">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2" w:firstLineChars="200"/>
        <w:contextualSpacing/>
        <w:textAlignment w:val="auto"/>
        <w:outlineLvl w:val="9"/>
        <w:rPr>
          <w:rFonts w:hint="eastAsia" w:ascii="宋体" w:hAnsi="宋体" w:eastAsia="宋体" w:cs="宋体"/>
          <w:b/>
          <w:bCs/>
          <w:color w:val="auto"/>
          <w:sz w:val="21"/>
          <w:szCs w:val="21"/>
          <w:highlight w:val="none"/>
        </w:rPr>
      </w:pPr>
      <w:bookmarkStart w:id="139" w:name="_Toc27903"/>
      <w:bookmarkStart w:id="140" w:name="_Toc8197"/>
      <w:r>
        <w:rPr>
          <w:rFonts w:hint="eastAsia" w:ascii="宋体" w:hAnsi="宋体" w:eastAsia="宋体" w:cs="宋体"/>
          <w:b/>
          <w:bCs/>
          <w:color w:val="auto"/>
          <w:sz w:val="21"/>
          <w:szCs w:val="21"/>
          <w:highlight w:val="none"/>
        </w:rPr>
        <w:t>一、质疑供应商基本信息：</w:t>
      </w:r>
      <w:bookmarkEnd w:id="139"/>
      <w:bookmarkEnd w:id="140"/>
    </w:p>
    <w:p w14:paraId="76B00F07">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contextualSpacing/>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质疑供应商：</w:t>
      </w:r>
      <w:r>
        <w:rPr>
          <w:rFonts w:hint="eastAsia" w:ascii="宋体" w:hAnsi="宋体" w:eastAsia="宋体" w:cs="宋体"/>
          <w:bCs/>
          <w:color w:val="auto"/>
          <w:sz w:val="21"/>
          <w:szCs w:val="21"/>
          <w:highlight w:val="none"/>
          <w:u w:val="single"/>
        </w:rPr>
        <w:t xml:space="preserve">                                       </w:t>
      </w:r>
    </w:p>
    <w:p w14:paraId="1644CDFD">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contextualSpacing/>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5D12C4C8">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contextualSpacing/>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4BB26BD8">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contextualSpacing/>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p>
    <w:p w14:paraId="2B1544FD">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contextualSpacing/>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76FA8E31">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contextualSpacing/>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44F100E7">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2" w:firstLineChars="200"/>
        <w:contextualSpacing/>
        <w:textAlignment w:val="auto"/>
        <w:outlineLvl w:val="9"/>
        <w:rPr>
          <w:rFonts w:hint="eastAsia" w:ascii="宋体" w:hAnsi="宋体" w:eastAsia="宋体" w:cs="宋体"/>
          <w:b/>
          <w:bCs/>
          <w:color w:val="auto"/>
          <w:sz w:val="21"/>
          <w:szCs w:val="21"/>
          <w:highlight w:val="none"/>
        </w:rPr>
      </w:pPr>
      <w:bookmarkStart w:id="141" w:name="_Toc17539"/>
      <w:bookmarkStart w:id="142" w:name="_Toc4609"/>
      <w:r>
        <w:rPr>
          <w:rFonts w:hint="eastAsia" w:ascii="宋体" w:hAnsi="宋体" w:eastAsia="宋体" w:cs="宋体"/>
          <w:b/>
          <w:bCs/>
          <w:color w:val="auto"/>
          <w:sz w:val="21"/>
          <w:szCs w:val="21"/>
          <w:highlight w:val="none"/>
        </w:rPr>
        <w:t>二、质疑项目基本情况：</w:t>
      </w:r>
      <w:bookmarkEnd w:id="141"/>
      <w:bookmarkEnd w:id="142"/>
    </w:p>
    <w:p w14:paraId="381E1A80">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2CC8CDE2">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258FC5B3">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52313CD5">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w:t>
      </w:r>
    </w:p>
    <w:p w14:paraId="6EF68455">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308" w:firstLineChars="14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   采购文件获取日期：</w:t>
      </w:r>
      <w:r>
        <w:rPr>
          <w:rFonts w:hint="eastAsia" w:ascii="宋体" w:hAnsi="宋体" w:eastAsia="宋体" w:cs="宋体"/>
          <w:bCs/>
          <w:color w:val="auto"/>
          <w:sz w:val="21"/>
          <w:szCs w:val="21"/>
          <w:highlight w:val="none"/>
          <w:u w:val="single"/>
        </w:rPr>
        <w:t xml:space="preserve">                                   </w:t>
      </w:r>
    </w:p>
    <w:p w14:paraId="500A8FA0">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308" w:firstLineChars="14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□采购过程   </w:t>
      </w:r>
    </w:p>
    <w:p w14:paraId="70347937">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308" w:firstLineChars="147"/>
        <w:contextualSpacing/>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□成交结果   </w:t>
      </w:r>
    </w:p>
    <w:p w14:paraId="0D4D33FD">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6"/>
        <w:contextualSpacing/>
        <w:textAlignment w:val="auto"/>
        <w:outlineLvl w:val="9"/>
        <w:rPr>
          <w:rFonts w:hint="eastAsia" w:ascii="宋体" w:hAnsi="宋体" w:eastAsia="宋体" w:cs="宋体"/>
          <w:b/>
          <w:color w:val="auto"/>
          <w:sz w:val="21"/>
          <w:szCs w:val="21"/>
          <w:highlight w:val="none"/>
        </w:rPr>
      </w:pPr>
      <w:bookmarkStart w:id="143" w:name="_Toc32471"/>
      <w:bookmarkStart w:id="144" w:name="_Toc31984"/>
      <w:r>
        <w:rPr>
          <w:rFonts w:hint="eastAsia" w:ascii="宋体" w:hAnsi="宋体" w:eastAsia="宋体" w:cs="宋体"/>
          <w:b/>
          <w:color w:val="auto"/>
          <w:sz w:val="21"/>
          <w:szCs w:val="21"/>
          <w:highlight w:val="none"/>
        </w:rPr>
        <w:t>三、质疑事项具体内容</w:t>
      </w:r>
      <w:bookmarkEnd w:id="143"/>
      <w:bookmarkEnd w:id="144"/>
    </w:p>
    <w:p w14:paraId="13290618">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质疑事项1：</w:t>
      </w:r>
      <w:r>
        <w:rPr>
          <w:rFonts w:hint="eastAsia" w:ascii="宋体" w:hAnsi="宋体" w:eastAsia="宋体" w:cs="宋体"/>
          <w:bCs/>
          <w:color w:val="auto"/>
          <w:sz w:val="21"/>
          <w:szCs w:val="21"/>
          <w:highlight w:val="none"/>
          <w:u w:val="single"/>
        </w:rPr>
        <w:t xml:space="preserve">                                                                    </w:t>
      </w:r>
    </w:p>
    <w:p w14:paraId="1331DBF2">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bCs/>
          <w:color w:val="auto"/>
          <w:sz w:val="21"/>
          <w:szCs w:val="21"/>
          <w:highlight w:val="none"/>
          <w:u w:val="single"/>
        </w:rPr>
        <w:t xml:space="preserve">                                                                      </w:t>
      </w:r>
    </w:p>
    <w:p w14:paraId="429ED2D8">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p>
    <w:p w14:paraId="79871132">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质疑事项2</w:t>
      </w:r>
    </w:p>
    <w:p w14:paraId="7F5C5689">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56BDC79D">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7"/>
        <w:contextualSpacing/>
        <w:textAlignment w:val="auto"/>
        <w:outlineLvl w:val="9"/>
        <w:rPr>
          <w:rFonts w:hint="eastAsia" w:ascii="宋体" w:hAnsi="宋体" w:eastAsia="宋体" w:cs="宋体"/>
          <w:color w:val="auto"/>
          <w:sz w:val="21"/>
          <w:szCs w:val="21"/>
          <w:highlight w:val="none"/>
        </w:rPr>
      </w:pPr>
      <w:bookmarkStart w:id="145" w:name="_Toc2348"/>
      <w:bookmarkStart w:id="146" w:name="_Toc10794"/>
      <w:r>
        <w:rPr>
          <w:rFonts w:hint="eastAsia" w:ascii="宋体" w:hAnsi="宋体" w:eastAsia="宋体" w:cs="宋体"/>
          <w:color w:val="auto"/>
          <w:sz w:val="21"/>
          <w:szCs w:val="21"/>
          <w:highlight w:val="none"/>
        </w:rPr>
        <w:t>四、与质疑事项相关的质疑请求：</w:t>
      </w:r>
      <w:bookmarkEnd w:id="145"/>
      <w:bookmarkEnd w:id="146"/>
    </w:p>
    <w:p w14:paraId="30033B57">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3577F224">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413" w:firstLineChars="197"/>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268D2E35">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contextualSpacing/>
        <w:textAlignment w:val="auto"/>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日期：</w:t>
      </w:r>
    </w:p>
    <w:p w14:paraId="05265B65">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contextualSpacing/>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1FBCBA18">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310" w:firstLineChars="147"/>
        <w:contextualSpacing/>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1.供应商提出质疑时，应提交质疑函和必要的证明材料</w:t>
      </w:r>
      <w:r>
        <w:rPr>
          <w:rFonts w:hint="eastAsia" w:ascii="宋体" w:hAnsi="宋体" w:eastAsia="宋体" w:cs="宋体"/>
          <w:b/>
          <w:bCs/>
          <w:color w:val="auto"/>
          <w:sz w:val="21"/>
          <w:szCs w:val="21"/>
          <w:highlight w:val="none"/>
        </w:rPr>
        <w:t>。</w:t>
      </w:r>
    </w:p>
    <w:p w14:paraId="441F9CEB">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310" w:firstLineChars="147"/>
        <w:contextualSpacing/>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0064785">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310" w:firstLineChars="147"/>
        <w:contextualSpacing/>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3.质疑函的质疑事项应具体、明确，并有必要的事实依据和法律依据。</w:t>
      </w:r>
    </w:p>
    <w:p w14:paraId="2518732D">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310" w:firstLineChars="147"/>
        <w:contextualSpacing/>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4.质疑函的质疑请求应与质疑事项相关。</w:t>
      </w:r>
    </w:p>
    <w:p w14:paraId="31B10D48">
      <w:pPr>
        <w:pStyle w:val="18"/>
        <w:keepNext w:val="0"/>
        <w:keepLines w:val="0"/>
        <w:pageBreakBefore w:val="0"/>
        <w:widowControl w:val="0"/>
        <w:shd w:val="clear" w:color="auto" w:fill="auto"/>
        <w:kinsoku/>
        <w:wordWrap/>
        <w:overflowPunct/>
        <w:topLinePunct w:val="0"/>
        <w:autoSpaceDE/>
        <w:autoSpaceDN/>
        <w:bidi w:val="0"/>
        <w:adjustRightInd/>
        <w:snapToGrid/>
        <w:spacing w:line="380" w:lineRule="exact"/>
        <w:ind w:left="25" w:leftChars="12" w:firstLine="310" w:firstLineChars="147"/>
        <w:contextualSpacing/>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5.质疑供应商为法人或者其他组织的，质疑函应由法定代表人、主要负责人，或者其授权代表签字或者盖章，并加盖公章。</w:t>
      </w:r>
    </w:p>
    <w:p w14:paraId="3FA6CF3E">
      <w:pPr>
        <w:keepNext w:val="0"/>
        <w:keepLines w:val="0"/>
        <w:pageBreakBefore w:val="0"/>
        <w:widowControl w:val="0"/>
        <w:shd w:val="clear" w:color="auto" w:fill="auto"/>
        <w:kinsoku/>
        <w:wordWrap/>
        <w:overflowPunct/>
        <w:topLinePunct w:val="0"/>
        <w:autoSpaceDE/>
        <w:autoSpaceDN/>
        <w:bidi w:val="0"/>
        <w:adjustRightInd/>
        <w:spacing w:line="360" w:lineRule="auto"/>
        <w:jc w:val="center"/>
        <w:textAlignment w:val="auto"/>
        <w:outlineLvl w:val="9"/>
        <w:rPr>
          <w:rFonts w:hint="eastAsia" w:ascii="方正小标宋_GBK" w:hAnsi="方正小标宋_GBK" w:eastAsia="方正小标宋_GBK" w:cs="方正小标宋_GBK"/>
          <w:color w:val="auto"/>
          <w:sz w:val="21"/>
          <w:szCs w:val="21"/>
          <w:highlight w:val="none"/>
        </w:rPr>
      </w:pPr>
      <w:r>
        <w:rPr>
          <w:rFonts w:hint="eastAsia" w:ascii="宋体" w:hAnsi="宋体" w:eastAsia="宋体" w:cs="宋体"/>
          <w:color w:val="auto"/>
          <w:sz w:val="21"/>
          <w:szCs w:val="21"/>
          <w:highlight w:val="none"/>
        </w:rPr>
        <w:br w:type="page"/>
      </w:r>
      <w:r>
        <w:rPr>
          <w:rFonts w:hint="eastAsia" w:ascii="方正小标宋_GBK" w:hAnsi="方正小标宋_GBK" w:eastAsia="方正小标宋_GBK" w:cs="方正小标宋_GBK"/>
          <w:color w:val="auto"/>
          <w:sz w:val="21"/>
          <w:szCs w:val="21"/>
          <w:highlight w:val="none"/>
        </w:rPr>
        <w:t>投诉书（格式）</w:t>
      </w:r>
    </w:p>
    <w:p w14:paraId="23CE0D76">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2" w:firstLineChars="200"/>
        <w:textAlignment w:val="auto"/>
        <w:outlineLvl w:val="9"/>
        <w:rPr>
          <w:rFonts w:hint="eastAsia" w:ascii="宋体" w:hAnsi="宋体" w:eastAsia="宋体" w:cs="宋体"/>
          <w:b/>
          <w:bCs/>
          <w:color w:val="auto"/>
          <w:sz w:val="21"/>
          <w:szCs w:val="21"/>
          <w:highlight w:val="none"/>
        </w:rPr>
      </w:pPr>
      <w:bookmarkStart w:id="147" w:name="_Toc25630"/>
      <w:bookmarkStart w:id="148" w:name="_Toc11424"/>
      <w:r>
        <w:rPr>
          <w:rFonts w:hint="eastAsia" w:ascii="宋体" w:hAnsi="宋体" w:eastAsia="宋体" w:cs="宋体"/>
          <w:b/>
          <w:bCs/>
          <w:color w:val="auto"/>
          <w:sz w:val="21"/>
          <w:szCs w:val="21"/>
          <w:highlight w:val="none"/>
        </w:rPr>
        <w:t>一、投诉相关主体基本情况：</w:t>
      </w:r>
      <w:bookmarkEnd w:id="147"/>
      <w:bookmarkEnd w:id="148"/>
    </w:p>
    <w:p w14:paraId="7555585B">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19ED7D00">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2D204B50">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法定代表人/主要负责人：</w:t>
      </w:r>
      <w:r>
        <w:rPr>
          <w:rFonts w:hint="eastAsia" w:ascii="宋体" w:hAnsi="宋体" w:eastAsia="宋体" w:cs="宋体"/>
          <w:bCs/>
          <w:color w:val="auto"/>
          <w:sz w:val="21"/>
          <w:szCs w:val="21"/>
          <w:highlight w:val="none"/>
          <w:u w:val="single"/>
        </w:rPr>
        <w:t xml:space="preserve">                                                         </w:t>
      </w:r>
    </w:p>
    <w:p w14:paraId="73F02088">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6EF3FE0F">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40C38FD7">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p>
    <w:p w14:paraId="2462B460">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0EC9DFD3">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被投诉人1：</w:t>
      </w:r>
    </w:p>
    <w:p w14:paraId="23EFACA5">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p>
    <w:p w14:paraId="6EF80B01">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3AA99268">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1D4C92A5">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被投诉人2：</w:t>
      </w:r>
    </w:p>
    <w:p w14:paraId="1926057C">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6DF325E8">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相关供应商：</w:t>
      </w:r>
      <w:r>
        <w:rPr>
          <w:rFonts w:hint="eastAsia" w:ascii="宋体" w:hAnsi="宋体" w:eastAsia="宋体" w:cs="宋体"/>
          <w:bCs/>
          <w:color w:val="auto"/>
          <w:sz w:val="21"/>
          <w:szCs w:val="21"/>
          <w:highlight w:val="none"/>
          <w:u w:val="single"/>
        </w:rPr>
        <w:t xml:space="preserve">                                                                       </w:t>
      </w:r>
    </w:p>
    <w:p w14:paraId="1173EA24">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77A46AFF">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5088A179">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2" w:firstLineChars="200"/>
        <w:textAlignment w:val="auto"/>
        <w:outlineLvl w:val="9"/>
        <w:rPr>
          <w:rFonts w:hint="eastAsia" w:ascii="宋体" w:hAnsi="宋体" w:eastAsia="宋体" w:cs="宋体"/>
          <w:b/>
          <w:bCs/>
          <w:color w:val="auto"/>
          <w:sz w:val="21"/>
          <w:szCs w:val="21"/>
          <w:highlight w:val="none"/>
        </w:rPr>
      </w:pPr>
      <w:bookmarkStart w:id="149" w:name="_Toc28601"/>
      <w:bookmarkStart w:id="150" w:name="_Toc3622"/>
      <w:r>
        <w:rPr>
          <w:rFonts w:hint="eastAsia" w:ascii="宋体" w:hAnsi="宋体" w:eastAsia="宋体" w:cs="宋体"/>
          <w:b/>
          <w:bCs/>
          <w:color w:val="auto"/>
          <w:sz w:val="21"/>
          <w:szCs w:val="21"/>
          <w:highlight w:val="none"/>
        </w:rPr>
        <w:t>二、投诉项目基本情况：</w:t>
      </w:r>
      <w:bookmarkEnd w:id="149"/>
      <w:bookmarkEnd w:id="150"/>
    </w:p>
    <w:p w14:paraId="425F3271">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62AFDAF3">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4EF8303F">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078BFED2">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代理机构名称：</w:t>
      </w:r>
      <w:r>
        <w:rPr>
          <w:rFonts w:hint="eastAsia" w:ascii="宋体" w:hAnsi="宋体" w:eastAsia="宋体" w:cs="宋体"/>
          <w:bCs/>
          <w:color w:val="auto"/>
          <w:sz w:val="21"/>
          <w:szCs w:val="21"/>
          <w:highlight w:val="none"/>
          <w:u w:val="single"/>
        </w:rPr>
        <w:t xml:space="preserve">                                                                      </w:t>
      </w:r>
    </w:p>
    <w:p w14:paraId="165179F4">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采购文件公告：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30FC6A18">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采购结果公告：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101D0438">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6"/>
        <w:textAlignment w:val="auto"/>
        <w:outlineLvl w:val="9"/>
        <w:rPr>
          <w:rFonts w:hint="eastAsia" w:ascii="宋体" w:hAnsi="宋体" w:eastAsia="宋体" w:cs="宋体"/>
          <w:b/>
          <w:color w:val="auto"/>
          <w:sz w:val="21"/>
          <w:szCs w:val="21"/>
          <w:highlight w:val="none"/>
        </w:rPr>
      </w:pPr>
      <w:bookmarkStart w:id="151" w:name="_Toc9557"/>
      <w:bookmarkStart w:id="152" w:name="_Toc19518"/>
      <w:r>
        <w:rPr>
          <w:rFonts w:hint="eastAsia" w:ascii="宋体" w:hAnsi="宋体" w:eastAsia="宋体" w:cs="宋体"/>
          <w:b/>
          <w:color w:val="auto"/>
          <w:sz w:val="21"/>
          <w:szCs w:val="21"/>
          <w:highlight w:val="none"/>
        </w:rPr>
        <w:t>三、质疑基本情况</w:t>
      </w:r>
      <w:bookmarkEnd w:id="151"/>
      <w:bookmarkEnd w:id="152"/>
    </w:p>
    <w:p w14:paraId="05180E06">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提出质疑，质疑事项为：</w:t>
      </w:r>
    </w:p>
    <w:p w14:paraId="0B874811">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241"/>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67BA7F46">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241"/>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380A3F2D">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采购人/代理机构</w:t>
      </w:r>
      <w:r>
        <w:rPr>
          <w:rFonts w:hint="eastAsia" w:ascii="宋体" w:hAnsi="宋体" w:eastAsia="宋体" w:cs="宋体"/>
          <w:bCs/>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就质疑事项作出了答复/没有在法定期限内作出答复。</w:t>
      </w:r>
    </w:p>
    <w:p w14:paraId="47589965">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6"/>
        <w:textAlignment w:val="auto"/>
        <w:outlineLvl w:val="9"/>
        <w:rPr>
          <w:rFonts w:hint="eastAsia" w:ascii="宋体" w:hAnsi="宋体" w:eastAsia="宋体" w:cs="宋体"/>
          <w:b/>
          <w:color w:val="auto"/>
          <w:sz w:val="21"/>
          <w:szCs w:val="21"/>
          <w:highlight w:val="none"/>
        </w:rPr>
      </w:pPr>
      <w:bookmarkStart w:id="153" w:name="_Toc31411"/>
      <w:bookmarkStart w:id="154" w:name="_Toc2336"/>
      <w:r>
        <w:rPr>
          <w:rFonts w:hint="eastAsia" w:ascii="宋体" w:hAnsi="宋体" w:eastAsia="宋体" w:cs="宋体"/>
          <w:b/>
          <w:color w:val="auto"/>
          <w:sz w:val="21"/>
          <w:szCs w:val="21"/>
          <w:highlight w:val="none"/>
        </w:rPr>
        <w:t>四、投诉事项具体内容</w:t>
      </w:r>
      <w:bookmarkEnd w:id="153"/>
      <w:bookmarkEnd w:id="154"/>
    </w:p>
    <w:p w14:paraId="58E52AD5">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投诉事项1：</w:t>
      </w:r>
      <w:r>
        <w:rPr>
          <w:rFonts w:hint="eastAsia" w:ascii="宋体" w:hAnsi="宋体" w:eastAsia="宋体" w:cs="宋体"/>
          <w:bCs/>
          <w:color w:val="auto"/>
          <w:sz w:val="21"/>
          <w:szCs w:val="21"/>
          <w:highlight w:val="none"/>
          <w:u w:val="single"/>
        </w:rPr>
        <w:t xml:space="preserve">                                                                           </w:t>
      </w:r>
    </w:p>
    <w:p w14:paraId="34F7A325">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事实依据：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08B9AB4B">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 xml:space="preserve">                                                                                        </w:t>
      </w:r>
    </w:p>
    <w:p w14:paraId="46EFC82F">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法律依据：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270DA66E">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308" w:firstLineChars="14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66A54751">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投诉事项2  </w:t>
      </w:r>
      <w:r>
        <w:rPr>
          <w:rFonts w:hint="eastAsia" w:ascii="宋体" w:hAnsi="宋体" w:eastAsia="宋体" w:cs="宋体"/>
          <w:bCs/>
          <w:color w:val="auto"/>
          <w:sz w:val="21"/>
          <w:szCs w:val="21"/>
          <w:highlight w:val="none"/>
        </w:rPr>
        <w:t xml:space="preserve">   </w:t>
      </w:r>
    </w:p>
    <w:p w14:paraId="6E5A545C">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4AD8DFFF">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6"/>
        <w:textAlignment w:val="auto"/>
        <w:outlineLvl w:val="9"/>
        <w:rPr>
          <w:rFonts w:hint="eastAsia" w:ascii="宋体" w:hAnsi="宋体" w:eastAsia="宋体" w:cs="宋体"/>
          <w:b/>
          <w:color w:val="auto"/>
          <w:sz w:val="21"/>
          <w:szCs w:val="21"/>
          <w:highlight w:val="none"/>
        </w:rPr>
      </w:pPr>
      <w:bookmarkStart w:id="155" w:name="_Toc17143"/>
      <w:bookmarkStart w:id="156" w:name="_Toc26155"/>
      <w:r>
        <w:rPr>
          <w:rFonts w:hint="eastAsia" w:ascii="宋体" w:hAnsi="宋体" w:eastAsia="宋体" w:cs="宋体"/>
          <w:b/>
          <w:color w:val="auto"/>
          <w:sz w:val="21"/>
          <w:szCs w:val="21"/>
          <w:highlight w:val="none"/>
        </w:rPr>
        <w:t>五、与投诉事项相关的投诉请求：</w:t>
      </w:r>
      <w:bookmarkEnd w:id="155"/>
      <w:bookmarkEnd w:id="156"/>
    </w:p>
    <w:p w14:paraId="050A2BB3">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72139091">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308" w:firstLineChars="147"/>
        <w:textAlignment w:val="auto"/>
        <w:outlineLvl w:val="9"/>
        <w:rPr>
          <w:rFonts w:hint="eastAsia" w:ascii="宋体" w:hAnsi="宋体" w:eastAsia="宋体" w:cs="宋体"/>
          <w:color w:val="auto"/>
          <w:sz w:val="21"/>
          <w:szCs w:val="21"/>
          <w:highlight w:val="none"/>
        </w:rPr>
      </w:pPr>
    </w:p>
    <w:p w14:paraId="7A191134">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07D6D2E8">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308" w:firstLineChars="147"/>
        <w:textAlignment w:val="auto"/>
        <w:outlineLvl w:val="9"/>
        <w:rPr>
          <w:rFonts w:hint="eastAsia" w:ascii="宋体" w:hAnsi="宋体" w:eastAsia="宋体" w:cs="宋体"/>
          <w:color w:val="auto"/>
          <w:sz w:val="21"/>
          <w:szCs w:val="21"/>
          <w:highlight w:val="none"/>
        </w:rPr>
      </w:pPr>
    </w:p>
    <w:p w14:paraId="2AC5D7B6">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02875FD2">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413" w:firstLineChars="19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 xml:space="preserve">                                                                                 </w:t>
      </w:r>
    </w:p>
    <w:p w14:paraId="6F239710">
      <w:pPr>
        <w:pStyle w:val="18"/>
        <w:keepNext w:val="0"/>
        <w:keepLines w:val="0"/>
        <w:pageBreakBefore w:val="0"/>
        <w:widowControl w:val="0"/>
        <w:shd w:val="clear" w:color="auto" w:fill="auto"/>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69D18519">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310" w:firstLineChars="147"/>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1"/>
          <w:szCs w:val="21"/>
          <w:highlight w:val="none"/>
        </w:rPr>
        <w:t>。</w:t>
      </w:r>
    </w:p>
    <w:p w14:paraId="562003AA">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DC1F530">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3.投诉书应简要列明质疑事项，质疑函、质疑答复等作为附件材料提供。</w:t>
      </w:r>
    </w:p>
    <w:p w14:paraId="42B17E92">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4.投诉书的投诉事项应具体、明确，并有必要的事实依据和法律依据。</w:t>
      </w:r>
    </w:p>
    <w:p w14:paraId="02E24D73">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5.投诉书的投诉请求应与投诉事项相关。</w:t>
      </w:r>
    </w:p>
    <w:p w14:paraId="733E6888">
      <w:pPr>
        <w:pStyle w:val="18"/>
        <w:keepNext w:val="0"/>
        <w:keepLines w:val="0"/>
        <w:pageBreakBefore w:val="0"/>
        <w:widowControl w:val="0"/>
        <w:shd w:val="clear" w:color="auto" w:fill="auto"/>
        <w:kinsoku/>
        <w:wordWrap/>
        <w:overflowPunct/>
        <w:topLinePunct w:val="0"/>
        <w:autoSpaceDE/>
        <w:autoSpaceDN/>
        <w:bidi w:val="0"/>
        <w:adjustRightInd/>
        <w:spacing w:line="400" w:lineRule="exact"/>
        <w:ind w:left="25" w:leftChars="12"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6.投诉人为法人或者其他组织的，投诉书应由法定代表人、主要负责人，或者其授权代表签字或者盖章，并加盖公章。</w:t>
      </w:r>
    </w:p>
    <w:p w14:paraId="3E4631CC">
      <w:pPr>
        <w:pStyle w:val="18"/>
        <w:keepNext w:val="0"/>
        <w:keepLines w:val="0"/>
        <w:pageBreakBefore w:val="0"/>
        <w:widowControl w:val="0"/>
        <w:shd w:val="clear" w:color="auto" w:fill="auto"/>
        <w:kinsoku/>
        <w:wordWrap/>
        <w:overflowPunct/>
        <w:topLinePunct w:val="0"/>
        <w:autoSpaceDE/>
        <w:autoSpaceDN/>
        <w:bidi w:val="0"/>
        <w:adjustRightInd/>
        <w:spacing w:line="360" w:lineRule="auto"/>
        <w:textAlignment w:val="auto"/>
        <w:outlineLvl w:val="9"/>
        <w:rPr>
          <w:rFonts w:hint="eastAsia" w:ascii="方正小标宋_GBK" w:hAnsi="方正小标宋_GBK" w:eastAsia="方正小标宋_GBK" w:cs="方正小标宋_GBK"/>
          <w:color w:val="auto"/>
          <w:sz w:val="21"/>
          <w:szCs w:val="21"/>
          <w:highlight w:val="none"/>
          <w:lang w:val="en-US" w:eastAsia="zh-CN"/>
        </w:rPr>
      </w:pPr>
      <w:bookmarkStart w:id="157" w:name="_Toc26741"/>
      <w:bookmarkStart w:id="158" w:name="_Toc144750176"/>
    </w:p>
    <w:p w14:paraId="6A6C1866">
      <w:pPr>
        <w:pStyle w:val="18"/>
        <w:shd w:val="clear" w:color="auto" w:fill="auto"/>
        <w:spacing w:line="360" w:lineRule="auto"/>
        <w:rPr>
          <w:rFonts w:hint="eastAsia" w:ascii="方正小标宋_GBK" w:hAnsi="方正小标宋_GBK" w:eastAsia="方正小标宋_GBK" w:cs="方正小标宋_GBK"/>
          <w:color w:val="auto"/>
          <w:sz w:val="21"/>
          <w:szCs w:val="21"/>
          <w:highlight w:val="none"/>
          <w:lang w:val="en-US" w:eastAsia="zh-CN"/>
        </w:rPr>
      </w:pPr>
    </w:p>
    <w:p w14:paraId="25B3DF5D">
      <w:pPr>
        <w:pStyle w:val="18"/>
        <w:shd w:val="clear" w:color="auto" w:fill="auto"/>
        <w:spacing w:line="360" w:lineRule="auto"/>
        <w:rPr>
          <w:rFonts w:hint="eastAsia" w:ascii="方正小标宋_GBK" w:hAnsi="方正小标宋_GBK" w:eastAsia="方正小标宋_GBK" w:cs="方正小标宋_GBK"/>
          <w:color w:val="auto"/>
          <w:sz w:val="21"/>
          <w:szCs w:val="21"/>
          <w:highlight w:val="none"/>
          <w:lang w:val="en-US" w:eastAsia="zh-CN"/>
        </w:rPr>
      </w:pPr>
    </w:p>
    <w:p w14:paraId="7C7E5E0C">
      <w:pPr>
        <w:pStyle w:val="18"/>
        <w:shd w:val="clear" w:color="auto" w:fill="auto"/>
        <w:spacing w:line="360" w:lineRule="auto"/>
        <w:rPr>
          <w:rFonts w:hint="eastAsia" w:ascii="方正小标宋_GBK" w:hAnsi="方正小标宋_GBK" w:eastAsia="方正小标宋_GBK" w:cs="方正小标宋_GBK"/>
          <w:color w:val="auto"/>
          <w:sz w:val="21"/>
          <w:szCs w:val="21"/>
          <w:highlight w:val="none"/>
          <w:lang w:val="en-US" w:eastAsia="zh-CN"/>
        </w:rPr>
      </w:pPr>
    </w:p>
    <w:p w14:paraId="32B3C182">
      <w:pPr>
        <w:pStyle w:val="18"/>
        <w:shd w:val="clear" w:color="auto" w:fill="auto"/>
        <w:spacing w:line="360" w:lineRule="auto"/>
        <w:rPr>
          <w:rFonts w:hint="eastAsia" w:ascii="方正小标宋_GBK" w:hAnsi="方正小标宋_GBK" w:eastAsia="方正小标宋_GBK" w:cs="方正小标宋_GBK"/>
          <w:color w:val="auto"/>
          <w:sz w:val="21"/>
          <w:szCs w:val="21"/>
          <w:highlight w:val="none"/>
          <w:lang w:val="en-US" w:eastAsia="zh-CN"/>
        </w:rPr>
      </w:pPr>
    </w:p>
    <w:p w14:paraId="0558D6D5">
      <w:pPr>
        <w:pStyle w:val="18"/>
        <w:shd w:val="clear" w:color="auto" w:fill="auto"/>
        <w:spacing w:line="360" w:lineRule="auto"/>
        <w:rPr>
          <w:rFonts w:hint="eastAsia" w:ascii="方正小标宋_GBK" w:hAnsi="方正小标宋_GBK" w:eastAsia="方正小标宋_GBK" w:cs="方正小标宋_GBK"/>
          <w:color w:val="auto"/>
          <w:sz w:val="21"/>
          <w:szCs w:val="21"/>
          <w:highlight w:val="none"/>
          <w:lang w:val="en-US" w:eastAsia="zh-CN"/>
        </w:rPr>
      </w:pPr>
    </w:p>
    <w:p w14:paraId="54C78568">
      <w:pPr>
        <w:pStyle w:val="18"/>
        <w:shd w:val="clear" w:color="auto" w:fill="auto"/>
        <w:spacing w:line="360" w:lineRule="auto"/>
        <w:rPr>
          <w:rFonts w:hint="eastAsia" w:ascii="方正小标宋_GBK" w:hAnsi="方正小标宋_GBK" w:eastAsia="方正小标宋_GBK" w:cs="方正小标宋_GBK"/>
          <w:color w:val="auto"/>
          <w:sz w:val="21"/>
          <w:szCs w:val="21"/>
          <w:highlight w:val="none"/>
          <w:lang w:val="en-US" w:eastAsia="zh-CN"/>
        </w:rPr>
      </w:pPr>
    </w:p>
    <w:p w14:paraId="46A3B443">
      <w:pPr>
        <w:pStyle w:val="18"/>
        <w:shd w:val="clear" w:color="auto" w:fill="auto"/>
        <w:spacing w:line="360" w:lineRule="auto"/>
        <w:jc w:val="center"/>
        <w:outlineLvl w:val="0"/>
        <w:rPr>
          <w:rFonts w:hint="eastAsia" w:ascii="方正小标宋_GBK" w:hAnsi="方正小标宋_GBK" w:eastAsia="方正小标宋_GBK" w:cs="方正小标宋_GBK"/>
          <w:color w:val="auto"/>
          <w:sz w:val="28"/>
          <w:szCs w:val="28"/>
          <w:highlight w:val="none"/>
          <w:lang w:val="en-US" w:eastAsia="zh-CN"/>
        </w:rPr>
      </w:pPr>
      <w:bookmarkStart w:id="159" w:name="_Toc10445"/>
      <w:r>
        <w:rPr>
          <w:rFonts w:hint="eastAsia" w:ascii="方正小标宋_GBK" w:hAnsi="方正小标宋_GBK" w:eastAsia="方正小标宋_GBK" w:cs="方正小标宋_GBK"/>
          <w:color w:val="auto"/>
          <w:sz w:val="28"/>
          <w:szCs w:val="28"/>
          <w:highlight w:val="none"/>
          <w:lang w:val="en-US" w:eastAsia="zh-CN"/>
        </w:rPr>
        <w:t>第六章 合同文本</w:t>
      </w:r>
      <w:bookmarkEnd w:id="157"/>
      <w:bookmarkEnd w:id="158"/>
      <w:bookmarkEnd w:id="159"/>
    </w:p>
    <w:p w14:paraId="14834B5B">
      <w:pPr>
        <w:spacing w:line="360" w:lineRule="auto"/>
        <w:jc w:val="center"/>
        <w:rPr>
          <w:rFonts w:hint="eastAsia" w:ascii="宋体" w:hAnsi="宋体" w:eastAsia="宋体" w:cs="宋体"/>
          <w:b/>
          <w:color w:val="auto"/>
          <w:sz w:val="52"/>
          <w:szCs w:val="52"/>
          <w:highlight w:val="none"/>
          <w:lang w:bidi="ar"/>
        </w:rPr>
      </w:pPr>
    </w:p>
    <w:p w14:paraId="39B37751">
      <w:pPr>
        <w:spacing w:line="360" w:lineRule="auto"/>
        <w:jc w:val="center"/>
        <w:rPr>
          <w:rFonts w:hint="eastAsia" w:ascii="宋体" w:hAnsi="宋体" w:eastAsia="宋体" w:cs="宋体"/>
          <w:b/>
          <w:color w:val="auto"/>
          <w:sz w:val="52"/>
          <w:szCs w:val="52"/>
          <w:highlight w:val="none"/>
          <w:lang w:bidi="ar"/>
        </w:rPr>
      </w:pPr>
    </w:p>
    <w:p w14:paraId="0BD8EB36">
      <w:pPr>
        <w:spacing w:line="360" w:lineRule="auto"/>
        <w:jc w:val="center"/>
        <w:rPr>
          <w:rFonts w:hint="eastAsia" w:ascii="宋体" w:hAnsi="宋体" w:eastAsia="宋体" w:cs="宋体"/>
          <w:b/>
          <w:color w:val="auto"/>
          <w:kern w:val="0"/>
          <w:sz w:val="52"/>
          <w:szCs w:val="52"/>
          <w:highlight w:val="none"/>
        </w:rPr>
      </w:pPr>
      <w:r>
        <w:rPr>
          <w:rFonts w:hint="eastAsia" w:ascii="宋体" w:hAnsi="宋体" w:eastAsia="宋体" w:cs="宋体"/>
          <w:b/>
          <w:color w:val="auto"/>
          <w:sz w:val="52"/>
          <w:szCs w:val="52"/>
          <w:highlight w:val="none"/>
          <w:lang w:bidi="ar"/>
        </w:rPr>
        <w:t>广西壮族自治区政府采购合同</w:t>
      </w:r>
    </w:p>
    <w:p w14:paraId="697AAD84">
      <w:pPr>
        <w:spacing w:line="360" w:lineRule="auto"/>
        <w:rPr>
          <w:rFonts w:hint="eastAsia" w:ascii="宋体" w:hAnsi="宋体" w:eastAsia="宋体" w:cs="宋体"/>
          <w:color w:val="auto"/>
          <w:kern w:val="0"/>
          <w:sz w:val="24"/>
          <w:highlight w:val="none"/>
        </w:rPr>
      </w:pPr>
    </w:p>
    <w:p w14:paraId="30107E38">
      <w:pPr>
        <w:spacing w:line="360" w:lineRule="auto"/>
        <w:rPr>
          <w:rFonts w:hint="eastAsia" w:ascii="宋体" w:hAnsi="宋体" w:eastAsia="宋体" w:cs="宋体"/>
          <w:color w:val="auto"/>
          <w:kern w:val="0"/>
          <w:sz w:val="24"/>
          <w:highlight w:val="none"/>
        </w:rPr>
      </w:pPr>
    </w:p>
    <w:p w14:paraId="73C7C1DC">
      <w:pPr>
        <w:spacing w:line="360" w:lineRule="auto"/>
        <w:rPr>
          <w:rFonts w:hint="eastAsia" w:ascii="宋体" w:hAnsi="宋体" w:eastAsia="宋体" w:cs="宋体"/>
          <w:color w:val="auto"/>
          <w:kern w:val="0"/>
          <w:sz w:val="24"/>
          <w:highlight w:val="none"/>
        </w:rPr>
      </w:pPr>
    </w:p>
    <w:p w14:paraId="03051739">
      <w:pPr>
        <w:spacing w:line="600" w:lineRule="auto"/>
        <w:ind w:left="0" w:leftChars="0" w:firstLine="1263" w:firstLineChars="393"/>
        <w:rPr>
          <w:rFonts w:hint="eastAsia" w:ascii="宋体" w:hAnsi="宋体" w:eastAsia="宋体" w:cs="宋体"/>
          <w:b/>
          <w:color w:val="auto"/>
          <w:kern w:val="0"/>
          <w:sz w:val="32"/>
          <w:szCs w:val="32"/>
          <w:highlight w:val="none"/>
          <w:u w:val="single"/>
        </w:rPr>
      </w:pPr>
      <w:r>
        <w:rPr>
          <w:rFonts w:hint="eastAsia" w:ascii="宋体" w:hAnsi="宋体" w:eastAsia="宋体" w:cs="宋体"/>
          <w:b/>
          <w:color w:val="auto"/>
          <w:sz w:val="32"/>
          <w:szCs w:val="32"/>
          <w:highlight w:val="none"/>
          <w:lang w:bidi="ar"/>
        </w:rPr>
        <w:t>合同名称：</w:t>
      </w:r>
      <w:r>
        <w:rPr>
          <w:rFonts w:hint="eastAsia" w:ascii="宋体" w:hAnsi="宋体" w:eastAsia="宋体" w:cs="宋体"/>
          <w:b/>
          <w:color w:val="auto"/>
          <w:sz w:val="32"/>
          <w:szCs w:val="32"/>
          <w:highlight w:val="none"/>
          <w:u w:val="single"/>
          <w:lang w:bidi="ar"/>
        </w:rPr>
        <w:t xml:space="preserve">                              </w:t>
      </w:r>
    </w:p>
    <w:p w14:paraId="59398C4E">
      <w:pPr>
        <w:spacing w:line="600" w:lineRule="auto"/>
        <w:ind w:left="0" w:leftChars="0" w:firstLine="1263" w:firstLineChars="393"/>
        <w:rPr>
          <w:rFonts w:hint="eastAsia" w:ascii="宋体" w:hAnsi="宋体" w:eastAsia="宋体" w:cs="宋体"/>
          <w:b/>
          <w:color w:val="auto"/>
          <w:kern w:val="0"/>
          <w:sz w:val="32"/>
          <w:szCs w:val="32"/>
          <w:highlight w:val="none"/>
          <w:u w:val="single"/>
        </w:rPr>
      </w:pPr>
      <w:r>
        <w:rPr>
          <w:rFonts w:hint="eastAsia" w:ascii="宋体" w:hAnsi="宋体" w:eastAsia="宋体" w:cs="宋体"/>
          <w:b/>
          <w:color w:val="auto"/>
          <w:sz w:val="32"/>
          <w:szCs w:val="32"/>
          <w:highlight w:val="none"/>
          <w:lang w:bidi="ar"/>
        </w:rPr>
        <w:t>合同编号：</w:t>
      </w:r>
      <w:r>
        <w:rPr>
          <w:rFonts w:hint="eastAsia" w:ascii="宋体" w:hAnsi="宋体" w:eastAsia="宋体" w:cs="宋体"/>
          <w:b/>
          <w:color w:val="auto"/>
          <w:sz w:val="32"/>
          <w:szCs w:val="32"/>
          <w:highlight w:val="none"/>
          <w:u w:val="single"/>
          <w:lang w:bidi="ar"/>
        </w:rPr>
        <w:t xml:space="preserve">                              </w:t>
      </w:r>
    </w:p>
    <w:p w14:paraId="2384D189">
      <w:pPr>
        <w:spacing w:line="600" w:lineRule="auto"/>
        <w:ind w:left="0" w:leftChars="0" w:firstLine="1263" w:firstLineChars="393"/>
        <w:rPr>
          <w:rFonts w:hint="eastAsia" w:ascii="宋体" w:hAnsi="宋体" w:eastAsia="宋体" w:cs="宋体"/>
          <w:b/>
          <w:color w:val="auto"/>
          <w:kern w:val="0"/>
          <w:sz w:val="32"/>
          <w:szCs w:val="32"/>
          <w:highlight w:val="none"/>
        </w:rPr>
      </w:pPr>
      <w:r>
        <w:rPr>
          <w:rFonts w:hint="eastAsia" w:ascii="宋体" w:hAnsi="宋体" w:eastAsia="宋体" w:cs="宋体"/>
          <w:b/>
          <w:color w:val="auto"/>
          <w:sz w:val="32"/>
          <w:szCs w:val="32"/>
          <w:highlight w:val="none"/>
          <w:lang w:bidi="ar"/>
        </w:rPr>
        <w:t>采购单位（甲方）：</w:t>
      </w:r>
      <w:r>
        <w:rPr>
          <w:rFonts w:hint="eastAsia" w:ascii="宋体" w:hAnsi="宋体" w:eastAsia="宋体" w:cs="宋体"/>
          <w:b/>
          <w:color w:val="auto"/>
          <w:sz w:val="32"/>
          <w:szCs w:val="32"/>
          <w:highlight w:val="none"/>
          <w:u w:val="single"/>
          <w:lang w:bidi="ar"/>
        </w:rPr>
        <w:t xml:space="preserve">              </w:t>
      </w:r>
      <w:r>
        <w:rPr>
          <w:rFonts w:hint="eastAsia" w:ascii="宋体" w:hAnsi="宋体" w:eastAsia="宋体" w:cs="宋体"/>
          <w:b/>
          <w:color w:val="auto"/>
          <w:sz w:val="32"/>
          <w:szCs w:val="32"/>
          <w:highlight w:val="none"/>
          <w:u w:val="single"/>
          <w:lang w:val="en-US" w:eastAsia="zh-CN" w:bidi="ar"/>
        </w:rPr>
        <w:t xml:space="preserve"> </w:t>
      </w:r>
      <w:r>
        <w:rPr>
          <w:rFonts w:hint="eastAsia" w:ascii="宋体" w:hAnsi="宋体" w:eastAsia="宋体" w:cs="宋体"/>
          <w:b/>
          <w:color w:val="auto"/>
          <w:sz w:val="32"/>
          <w:szCs w:val="32"/>
          <w:highlight w:val="none"/>
          <w:u w:val="single"/>
          <w:lang w:bidi="ar"/>
        </w:rPr>
        <w:t xml:space="preserve">        </w:t>
      </w:r>
    </w:p>
    <w:p w14:paraId="7CC75CE6">
      <w:pPr>
        <w:spacing w:line="600" w:lineRule="auto"/>
        <w:ind w:left="0" w:leftChars="0" w:firstLine="1263" w:firstLineChars="393"/>
        <w:rPr>
          <w:rFonts w:hint="eastAsia" w:ascii="宋体" w:hAnsi="宋体" w:eastAsia="宋体" w:cs="宋体"/>
          <w:b/>
          <w:color w:val="auto"/>
          <w:kern w:val="0"/>
          <w:sz w:val="32"/>
          <w:szCs w:val="32"/>
          <w:highlight w:val="none"/>
        </w:rPr>
      </w:pPr>
      <w:r>
        <w:rPr>
          <w:rFonts w:hint="eastAsia" w:ascii="宋体" w:hAnsi="宋体" w:eastAsia="宋体" w:cs="宋体"/>
          <w:b/>
          <w:color w:val="auto"/>
          <w:sz w:val="32"/>
          <w:szCs w:val="32"/>
          <w:highlight w:val="none"/>
          <w:lang w:bidi="ar"/>
        </w:rPr>
        <w:t>供 应 商（乙方）：</w:t>
      </w:r>
      <w:r>
        <w:rPr>
          <w:rFonts w:hint="eastAsia" w:ascii="宋体" w:hAnsi="宋体" w:eastAsia="宋体" w:cs="宋体"/>
          <w:b/>
          <w:color w:val="auto"/>
          <w:sz w:val="32"/>
          <w:szCs w:val="32"/>
          <w:highlight w:val="none"/>
          <w:u w:val="single"/>
          <w:lang w:bidi="ar"/>
        </w:rPr>
        <w:t xml:space="preserve">            </w:t>
      </w:r>
      <w:r>
        <w:rPr>
          <w:rFonts w:hint="eastAsia" w:ascii="宋体" w:hAnsi="宋体" w:eastAsia="宋体" w:cs="宋体"/>
          <w:b/>
          <w:color w:val="auto"/>
          <w:sz w:val="32"/>
          <w:szCs w:val="32"/>
          <w:highlight w:val="none"/>
          <w:u w:val="single"/>
          <w:lang w:val="en-US" w:eastAsia="zh-CN" w:bidi="ar"/>
        </w:rPr>
        <w:t xml:space="preserve"> </w:t>
      </w:r>
      <w:r>
        <w:rPr>
          <w:rFonts w:hint="eastAsia" w:ascii="宋体" w:hAnsi="宋体" w:eastAsia="宋体" w:cs="宋体"/>
          <w:b/>
          <w:color w:val="auto"/>
          <w:sz w:val="32"/>
          <w:szCs w:val="32"/>
          <w:highlight w:val="none"/>
          <w:u w:val="single"/>
          <w:lang w:bidi="ar"/>
        </w:rPr>
        <w:t xml:space="preserve">          </w:t>
      </w:r>
    </w:p>
    <w:p w14:paraId="4A5A7DB7">
      <w:pPr>
        <w:spacing w:line="600" w:lineRule="auto"/>
        <w:ind w:left="0" w:leftChars="0" w:firstLine="1263" w:firstLineChars="393"/>
        <w:rPr>
          <w:rFonts w:hint="eastAsia" w:ascii="宋体" w:hAnsi="宋体" w:eastAsia="宋体" w:cs="宋体"/>
          <w:b/>
          <w:color w:val="auto"/>
          <w:kern w:val="0"/>
          <w:sz w:val="32"/>
          <w:szCs w:val="32"/>
          <w:highlight w:val="none"/>
          <w:u w:val="single"/>
        </w:rPr>
      </w:pPr>
      <w:r>
        <w:rPr>
          <w:rFonts w:hint="eastAsia" w:ascii="宋体" w:hAnsi="宋体" w:eastAsia="宋体" w:cs="宋体"/>
          <w:b/>
          <w:color w:val="auto"/>
          <w:sz w:val="32"/>
          <w:szCs w:val="32"/>
          <w:highlight w:val="none"/>
          <w:lang w:bidi="ar"/>
        </w:rPr>
        <w:t>签订合同地点：</w:t>
      </w:r>
      <w:r>
        <w:rPr>
          <w:rFonts w:hint="eastAsia" w:ascii="宋体" w:hAnsi="宋体" w:eastAsia="宋体" w:cs="宋体"/>
          <w:b/>
          <w:color w:val="auto"/>
          <w:sz w:val="32"/>
          <w:szCs w:val="32"/>
          <w:highlight w:val="none"/>
          <w:u w:val="single"/>
          <w:lang w:bidi="ar"/>
        </w:rPr>
        <w:t xml:space="preserve">                          </w:t>
      </w:r>
    </w:p>
    <w:p w14:paraId="4AB72F8D">
      <w:pPr>
        <w:spacing w:line="600" w:lineRule="auto"/>
        <w:ind w:left="0" w:leftChars="0" w:firstLine="1263" w:firstLineChars="393"/>
        <w:rPr>
          <w:rFonts w:hint="eastAsia" w:ascii="宋体" w:hAnsi="宋体" w:eastAsia="宋体" w:cs="宋体"/>
          <w:b/>
          <w:color w:val="auto"/>
          <w:kern w:val="0"/>
          <w:sz w:val="32"/>
          <w:szCs w:val="32"/>
          <w:highlight w:val="none"/>
        </w:rPr>
      </w:pPr>
      <w:r>
        <w:rPr>
          <w:rFonts w:hint="eastAsia" w:ascii="宋体" w:hAnsi="宋体" w:eastAsia="宋体" w:cs="宋体"/>
          <w:b/>
          <w:color w:val="auto"/>
          <w:sz w:val="32"/>
          <w:szCs w:val="32"/>
          <w:highlight w:val="none"/>
          <w:lang w:bidi="ar"/>
        </w:rPr>
        <w:t>签订合同时间：</w:t>
      </w:r>
      <w:r>
        <w:rPr>
          <w:rFonts w:hint="eastAsia" w:ascii="宋体" w:hAnsi="宋体" w:eastAsia="宋体" w:cs="宋体"/>
          <w:b/>
          <w:color w:val="auto"/>
          <w:sz w:val="32"/>
          <w:szCs w:val="32"/>
          <w:highlight w:val="none"/>
          <w:u w:val="single"/>
          <w:lang w:bidi="ar"/>
        </w:rPr>
        <w:t xml:space="preserve">                          </w:t>
      </w:r>
    </w:p>
    <w:p w14:paraId="03FE6FEE">
      <w:pPr>
        <w:spacing w:line="360" w:lineRule="auto"/>
        <w:ind w:left="0" w:leftChars="0" w:firstLine="943" w:firstLineChars="393"/>
        <w:jc w:val="center"/>
        <w:rPr>
          <w:rFonts w:hint="eastAsia" w:ascii="宋体" w:hAnsi="宋体" w:eastAsia="宋体" w:cs="宋体"/>
          <w:color w:val="auto"/>
          <w:kern w:val="0"/>
          <w:sz w:val="24"/>
          <w:highlight w:val="none"/>
        </w:rPr>
      </w:pPr>
    </w:p>
    <w:p w14:paraId="61A7EC8C">
      <w:pPr>
        <w:spacing w:line="360" w:lineRule="auto"/>
        <w:rPr>
          <w:rFonts w:hint="eastAsia" w:ascii="宋体" w:hAnsi="宋体" w:eastAsia="宋体" w:cs="宋体"/>
          <w:color w:val="auto"/>
          <w:kern w:val="0"/>
          <w:sz w:val="24"/>
          <w:highlight w:val="none"/>
        </w:rPr>
      </w:pPr>
    </w:p>
    <w:p w14:paraId="3655B270">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lang w:bidi="ar"/>
        </w:rPr>
        <w:t>合同使用说明：根据《中华人民共和国政府采购法》《中华人民共和国民法典》等</w:t>
      </w:r>
      <w:r>
        <w:rPr>
          <w:rFonts w:hint="eastAsia" w:ascii="宋体" w:hAnsi="宋体" w:eastAsia="宋体" w:cs="宋体"/>
          <w:color w:val="auto"/>
          <w:szCs w:val="21"/>
          <w:highlight w:val="none"/>
          <w:lang w:eastAsia="zh-CN" w:bidi="ar"/>
        </w:rPr>
        <w:t>法律法规</w:t>
      </w:r>
      <w:r>
        <w:rPr>
          <w:rFonts w:hint="eastAsia" w:ascii="宋体" w:hAnsi="宋体" w:eastAsia="宋体" w:cs="宋体"/>
          <w:color w:val="auto"/>
          <w:szCs w:val="21"/>
          <w:highlight w:val="none"/>
          <w:lang w:bidi="ar"/>
        </w:rPr>
        <w:t>规定，按照磋商文件规定条款和</w:t>
      </w:r>
      <w:r>
        <w:rPr>
          <w:rFonts w:hint="eastAsia" w:ascii="宋体" w:hAnsi="宋体" w:eastAsia="宋体" w:cs="宋体"/>
          <w:color w:val="auto"/>
          <w:szCs w:val="21"/>
          <w:highlight w:val="none"/>
          <w:lang w:eastAsia="zh-CN" w:bidi="ar"/>
        </w:rPr>
        <w:t>乙方</w:t>
      </w:r>
      <w:r>
        <w:rPr>
          <w:rFonts w:hint="eastAsia" w:ascii="宋体" w:hAnsi="宋体" w:eastAsia="宋体" w:cs="宋体"/>
          <w:color w:val="auto"/>
          <w:szCs w:val="21"/>
          <w:highlight w:val="none"/>
          <w:lang w:bidi="ar"/>
        </w:rPr>
        <w:t>响应文件及其承诺，甲乙双方签订本合同。</w:t>
      </w:r>
    </w:p>
    <w:p w14:paraId="509C5C4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32"/>
          <w:szCs w:val="32"/>
        </w:rPr>
        <w:br w:type="page"/>
      </w:r>
      <w:r>
        <w:rPr>
          <w:rFonts w:hint="eastAsia" w:ascii="宋体" w:hAnsi="宋体" w:eastAsia="宋体" w:cs="宋体"/>
          <w:b/>
          <w:bCs/>
          <w:color w:val="auto"/>
          <w:sz w:val="28"/>
          <w:szCs w:val="28"/>
        </w:rPr>
        <w:t>采购合同</w:t>
      </w:r>
      <w:r>
        <w:rPr>
          <w:rFonts w:hint="eastAsia" w:ascii="宋体" w:hAnsi="宋体" w:eastAsia="宋体" w:cs="宋体"/>
          <w:b/>
          <w:bCs/>
          <w:color w:val="auto"/>
          <w:sz w:val="28"/>
          <w:szCs w:val="28"/>
          <w:lang w:val="en-US" w:eastAsia="zh-CN"/>
        </w:rPr>
        <w:t>文本</w:t>
      </w:r>
    </w:p>
    <w:p w14:paraId="619BEDFE">
      <w:pPr>
        <w:keepNext w:val="0"/>
        <w:keepLines w:val="0"/>
        <w:pageBreakBefore w:val="0"/>
        <w:widowControl w:val="0"/>
        <w:kinsoku/>
        <w:wordWrap/>
        <w:overflowPunct/>
        <w:topLinePunct w:val="0"/>
        <w:autoSpaceDE/>
        <w:autoSpaceDN/>
        <w:bidi w:val="0"/>
        <w:adjustRightInd/>
        <w:spacing w:line="360" w:lineRule="auto"/>
        <w:ind w:right="800"/>
        <w:textAlignment w:val="auto"/>
        <w:rPr>
          <w:rFonts w:hint="eastAsia" w:ascii="宋体" w:hAnsi="宋体" w:eastAsia="宋体" w:cs="宋体"/>
          <w:color w:val="auto"/>
          <w:sz w:val="21"/>
          <w:szCs w:val="21"/>
        </w:rPr>
      </w:pPr>
    </w:p>
    <w:p w14:paraId="06BBAA34">
      <w:pPr>
        <w:spacing w:line="360" w:lineRule="auto"/>
        <w:ind w:right="800"/>
        <w:rPr>
          <w:rFonts w:hint="eastAsia" w:ascii="宋体" w:hAnsi="宋体" w:eastAsia="宋体" w:cs="宋体"/>
          <w:color w:val="auto"/>
          <w:sz w:val="21"/>
          <w:szCs w:val="21"/>
        </w:rPr>
      </w:pPr>
      <w:r>
        <w:rPr>
          <w:rFonts w:hint="eastAsia" w:ascii="宋体" w:hAnsi="宋体" w:eastAsia="宋体" w:cs="宋体"/>
          <w:color w:val="auto"/>
          <w:sz w:val="21"/>
          <w:szCs w:val="21"/>
        </w:rPr>
        <w:t>采购计划文号：</w:t>
      </w:r>
      <w:r>
        <w:rPr>
          <w:rFonts w:hint="eastAsia" w:ascii="宋体" w:hAnsi="宋体" w:eastAsia="宋体" w:cs="宋体"/>
          <w:color w:val="auto"/>
          <w:sz w:val="21"/>
          <w:szCs w:val="21"/>
          <w:u w:val="single"/>
        </w:rPr>
        <w:t xml:space="preserve">                                    </w:t>
      </w:r>
    </w:p>
    <w:p w14:paraId="1EFD662E">
      <w:pPr>
        <w:spacing w:line="360" w:lineRule="auto"/>
        <w:ind w:right="800"/>
        <w:rPr>
          <w:rFonts w:hint="eastAsia" w:ascii="宋体" w:hAnsi="宋体" w:eastAsia="宋体" w:cs="宋体"/>
          <w:bCs/>
          <w:color w:val="auto"/>
          <w:sz w:val="21"/>
          <w:szCs w:val="21"/>
          <w:u w:val="single"/>
        </w:rPr>
      </w:pPr>
      <w:r>
        <w:rPr>
          <w:rFonts w:hint="eastAsia" w:ascii="宋体" w:hAnsi="宋体" w:eastAsia="宋体" w:cs="宋体"/>
          <w:bCs/>
          <w:color w:val="auto"/>
          <w:sz w:val="21"/>
          <w:szCs w:val="21"/>
        </w:rPr>
        <w:t xml:space="preserve">合同编号：  </w:t>
      </w:r>
      <w:r>
        <w:rPr>
          <w:rFonts w:hint="eastAsia" w:ascii="宋体" w:hAnsi="宋体" w:eastAsia="宋体" w:cs="宋体"/>
          <w:color w:val="auto"/>
          <w:sz w:val="21"/>
          <w:szCs w:val="21"/>
          <w:u w:val="single"/>
        </w:rPr>
        <w:t xml:space="preserve">                                      </w:t>
      </w:r>
    </w:p>
    <w:p w14:paraId="1EC95192">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采购人（甲方）：</w:t>
      </w:r>
      <w:r>
        <w:rPr>
          <w:rFonts w:hint="eastAsia" w:ascii="宋体" w:hAnsi="宋体" w:eastAsia="宋体" w:cs="宋体"/>
          <w:color w:val="auto"/>
          <w:sz w:val="21"/>
          <w:szCs w:val="21"/>
          <w:u w:val="single"/>
        </w:rPr>
        <w:t xml:space="preserve">                                   </w:t>
      </w:r>
    </w:p>
    <w:p w14:paraId="18372020">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供应商（乙方）： </w:t>
      </w:r>
      <w:r>
        <w:rPr>
          <w:rFonts w:hint="eastAsia" w:ascii="宋体" w:hAnsi="宋体" w:eastAsia="宋体" w:cs="宋体"/>
          <w:color w:val="auto"/>
          <w:sz w:val="21"/>
          <w:szCs w:val="21"/>
          <w:u w:val="single"/>
        </w:rPr>
        <w:t xml:space="preserve">                                  </w:t>
      </w:r>
    </w:p>
    <w:p w14:paraId="5DAC056F">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r>
        <w:rPr>
          <w:rFonts w:hint="eastAsia" w:ascii="宋体" w:hAnsi="宋体" w:eastAsia="宋体" w:cs="宋体"/>
          <w:color w:val="auto"/>
          <w:sz w:val="21"/>
          <w:szCs w:val="21"/>
          <w:u w:val="single"/>
        </w:rPr>
        <w:t xml:space="preserve">                                        </w:t>
      </w:r>
    </w:p>
    <w:p w14:paraId="634B6494">
      <w:pPr>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项目编号：</w:t>
      </w:r>
      <w:r>
        <w:rPr>
          <w:rFonts w:hint="eastAsia" w:ascii="宋体" w:hAnsi="宋体" w:eastAsia="宋体" w:cs="宋体"/>
          <w:color w:val="auto"/>
          <w:sz w:val="21"/>
          <w:szCs w:val="21"/>
          <w:u w:val="single"/>
        </w:rPr>
        <w:t xml:space="preserve">                                        </w:t>
      </w:r>
    </w:p>
    <w:p w14:paraId="384FB497">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签订地点：</w:t>
      </w:r>
      <w:r>
        <w:rPr>
          <w:rFonts w:hint="eastAsia" w:ascii="宋体" w:hAnsi="宋体" w:eastAsia="宋体" w:cs="宋体"/>
          <w:color w:val="auto"/>
          <w:sz w:val="21"/>
          <w:szCs w:val="21"/>
          <w:u w:val="single"/>
        </w:rPr>
        <w:t xml:space="preserve">                                        </w:t>
      </w:r>
    </w:p>
    <w:p w14:paraId="1E707896">
      <w:pPr>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签订时间：</w:t>
      </w:r>
      <w:r>
        <w:rPr>
          <w:rFonts w:hint="eastAsia" w:ascii="宋体" w:hAnsi="宋体" w:eastAsia="宋体" w:cs="宋体"/>
          <w:color w:val="auto"/>
          <w:sz w:val="21"/>
          <w:szCs w:val="21"/>
          <w:u w:val="single"/>
        </w:rPr>
        <w:t xml:space="preserve">                                        </w:t>
      </w:r>
    </w:p>
    <w:p w14:paraId="308813D3">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本合同为中小企业预留合同：</w:t>
      </w:r>
      <w:r>
        <w:rPr>
          <w:rFonts w:hint="eastAsia" w:ascii="宋体" w:hAnsi="宋体" w:eastAsia="宋体" w:cs="宋体"/>
          <w:color w:val="auto"/>
          <w:sz w:val="21"/>
          <w:szCs w:val="21"/>
          <w:u w:val="single"/>
        </w:rPr>
        <w:t>否</w:t>
      </w:r>
      <w:r>
        <w:rPr>
          <w:rFonts w:hint="eastAsia" w:ascii="宋体" w:hAnsi="宋体" w:eastAsia="宋体" w:cs="宋体"/>
          <w:color w:val="auto"/>
          <w:sz w:val="21"/>
          <w:szCs w:val="21"/>
        </w:rPr>
        <w:t>。</w:t>
      </w:r>
    </w:p>
    <w:p w14:paraId="33BB91FD">
      <w:pPr>
        <w:snapToGrid w:val="0"/>
        <w:spacing w:line="360" w:lineRule="auto"/>
        <w:ind w:firstLine="420" w:firstLineChars="200"/>
        <w:rPr>
          <w:rFonts w:hint="eastAsia" w:ascii="宋体" w:hAnsi="宋体" w:eastAsia="宋体" w:cs="宋体"/>
          <w:color w:val="auto"/>
          <w:sz w:val="21"/>
          <w:szCs w:val="21"/>
        </w:rPr>
      </w:pPr>
    </w:p>
    <w:p w14:paraId="2D66671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根据《中华人民共和国政府采购法》《中华人民共和国民法典》等法律法规规定，按照磋商文件规定条款和乙方响应文件及其承诺，甲乙双方签订本合同。</w:t>
      </w:r>
    </w:p>
    <w:p w14:paraId="2057B018">
      <w:pPr>
        <w:tabs>
          <w:tab w:val="right" w:pos="8312"/>
        </w:tabs>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第一条  合同标的</w:t>
      </w:r>
      <w:r>
        <w:rPr>
          <w:rFonts w:hint="eastAsia" w:ascii="宋体" w:hAnsi="宋体" w:eastAsia="宋体" w:cs="宋体"/>
          <w:b/>
          <w:color w:val="auto"/>
          <w:sz w:val="21"/>
          <w:szCs w:val="21"/>
        </w:rPr>
        <w:tab/>
      </w:r>
    </w:p>
    <w:p w14:paraId="0C41FC9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1.项目一览表</w:t>
      </w:r>
    </w:p>
    <w:tbl>
      <w:tblPr>
        <w:tblStyle w:val="26"/>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985"/>
        <w:gridCol w:w="2409"/>
        <w:gridCol w:w="709"/>
        <w:gridCol w:w="773"/>
        <w:gridCol w:w="1213"/>
        <w:gridCol w:w="1213"/>
      </w:tblGrid>
      <w:tr w14:paraId="2B11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5414DAF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ABC6D1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标的名称</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51BDAC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服务内容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3D026A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2B0E60A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99EC73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单价</w:t>
            </w:r>
          </w:p>
          <w:p w14:paraId="3BE7C21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（元）</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57E2CA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总价</w:t>
            </w:r>
          </w:p>
          <w:p w14:paraId="2A751F4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（元）</w:t>
            </w:r>
          </w:p>
        </w:tc>
      </w:tr>
      <w:tr w14:paraId="50E1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67B7A89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6BE9B9C">
            <w:pPr>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广西水利工程建设质量管理工作手册编制</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47D9AC6">
            <w:pPr>
              <w:spacing w:line="360" w:lineRule="auto"/>
              <w:jc w:val="center"/>
              <w:rPr>
                <w:rFonts w:hint="eastAsia" w:ascii="宋体" w:hAnsi="宋体" w:eastAsia="宋体" w:cs="宋体"/>
                <w:color w:val="auto"/>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835DF4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6448368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27F82D4C">
            <w:pPr>
              <w:spacing w:line="360" w:lineRule="auto"/>
              <w:jc w:val="center"/>
              <w:rPr>
                <w:rFonts w:hint="eastAsia" w:ascii="宋体" w:hAnsi="宋体" w:eastAsia="宋体" w:cs="宋体"/>
                <w:color w:val="auto"/>
                <w:sz w:val="21"/>
                <w:szCs w:val="21"/>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2FA649F1">
            <w:pPr>
              <w:spacing w:line="360" w:lineRule="auto"/>
              <w:jc w:val="center"/>
              <w:rPr>
                <w:rFonts w:hint="eastAsia" w:ascii="宋体" w:hAnsi="宋体" w:eastAsia="宋体" w:cs="宋体"/>
                <w:color w:val="auto"/>
                <w:sz w:val="21"/>
                <w:szCs w:val="21"/>
              </w:rPr>
            </w:pPr>
          </w:p>
        </w:tc>
      </w:tr>
      <w:tr w14:paraId="2174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016" w:type="dxa"/>
            <w:gridSpan w:val="7"/>
            <w:tcBorders>
              <w:top w:val="single" w:color="auto" w:sz="4" w:space="0"/>
              <w:left w:val="single" w:color="auto" w:sz="4" w:space="0"/>
              <w:bottom w:val="single" w:color="auto" w:sz="4" w:space="0"/>
              <w:right w:val="single" w:color="auto" w:sz="4" w:space="0"/>
            </w:tcBorders>
            <w:noWrap w:val="0"/>
            <w:vAlign w:val="center"/>
          </w:tcPr>
          <w:p w14:paraId="152906D6">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合计金额（大写）：人民币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tc>
      </w:tr>
    </w:tbl>
    <w:p w14:paraId="22FAAE7A">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合同价格为完成甲方指定服务全部内容的报价，即履行合同的最终价格，包括乙方完成本项目所需的一切工作内容而发生的所有直接费用、间接费用、其他费用、税金等全部费用和乙方要求获得的利润以及应由乙方承担的义务、责任和风险所发生的一切费用。</w:t>
      </w:r>
    </w:p>
    <w:p w14:paraId="1E1C3415">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第二条  质量保证</w:t>
      </w:r>
    </w:p>
    <w:p w14:paraId="4477467C">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乙方所提供的服务必须执行现行的强制执行的国家、行业、地方标准，同时服务成果必须与采购文件、响应文件承诺相一致。</w:t>
      </w:r>
    </w:p>
    <w:p w14:paraId="04E5B07E">
      <w:pPr>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第三条  权利保证</w:t>
      </w:r>
    </w:p>
    <w:p w14:paraId="1955EF1E">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1.乙方应保证所提供服务在使用时不会侵犯任何第三方的专利权、商标权、工业设计权等知识产权及其他合法权利，且所有权、处分权等没有受到任何限制。</w:t>
      </w:r>
    </w:p>
    <w:p w14:paraId="265900CE">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没有甲方事先书面同意，乙方不得将由甲方提供的有关合同或者任何合同条文、规格、计划、图纸、样品或者资料提供给予履行本合同无关的任何其他人。即使向履行本合同有关的人员提供，也应注意保密并限于履行合同的必需范围。乙方的保密义务持续有效，不因为本合同履行终止、解除或者无效而解除。</w:t>
      </w:r>
    </w:p>
    <w:p w14:paraId="726E5819">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第四条  服务要求</w:t>
      </w:r>
    </w:p>
    <w:p w14:paraId="2CB456E5">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1.进度要求：</w:t>
      </w:r>
    </w:p>
    <w:p w14:paraId="0296E6B2">
      <w:pPr>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（1）2026年3月至2026年12月</w:t>
      </w:r>
    </w:p>
    <w:p w14:paraId="45474644">
      <w:pPr>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开展堤防、水库、灌区及水利信息化工程（部分）的质量管理调研，分析区外先进办法，梳理先进经验与区内问题；编制《堤防工程分册》、《水库工程分册》、《灌区工程分册》。</w:t>
      </w:r>
    </w:p>
    <w:p w14:paraId="338FC8DC">
      <w:pPr>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（2）2027年1月至2027年12月</w:t>
      </w:r>
    </w:p>
    <w:p w14:paraId="4188B224">
      <w:pPr>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开展水闸及水利信息化工程（其余部分）的质量管理调研，研究区外先进办法，梳理先进经验与区内问题；编制《水闸工程分册》及《水利信息化工程建设质量管理工作手册》各部分，完成典型项目帮扶咨询服务，完成成果验收与完善。</w:t>
      </w:r>
    </w:p>
    <w:p w14:paraId="62C9EC2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如乙方响应文件的承诺优于上述进度要求的，按乙方响应文件承诺执行</w:t>
      </w:r>
      <w:r>
        <w:rPr>
          <w:rFonts w:hint="eastAsia" w:ascii="宋体" w:hAnsi="宋体" w:eastAsia="宋体" w:cs="宋体"/>
          <w:color w:val="auto"/>
          <w:sz w:val="21"/>
          <w:szCs w:val="21"/>
          <w:highlight w:val="none"/>
        </w:rPr>
        <w:t>。</w:t>
      </w:r>
    </w:p>
    <w:p w14:paraId="6F41A5B8">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2.人员要求：</w:t>
      </w:r>
      <w:r>
        <w:rPr>
          <w:rFonts w:hint="eastAsia" w:ascii="宋体" w:hAnsi="宋体" w:eastAsia="宋体" w:cs="宋体"/>
          <w:color w:val="auto"/>
          <w:sz w:val="21"/>
          <w:szCs w:val="21"/>
          <w:u w:val="single"/>
        </w:rPr>
        <w:t>按乙方响应文件承诺执行</w:t>
      </w:r>
      <w:r>
        <w:rPr>
          <w:rFonts w:hint="eastAsia" w:ascii="宋体" w:hAnsi="宋体" w:eastAsia="宋体" w:cs="宋体"/>
          <w:color w:val="auto"/>
          <w:sz w:val="21"/>
          <w:szCs w:val="21"/>
        </w:rPr>
        <w:t>。</w:t>
      </w:r>
    </w:p>
    <w:p w14:paraId="32E82CF3">
      <w:pPr>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第五条  交付和验收</w:t>
      </w:r>
    </w:p>
    <w:p w14:paraId="44EF6A6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1.服务期限：</w:t>
      </w:r>
      <w:r>
        <w:rPr>
          <w:rFonts w:hint="eastAsia" w:ascii="宋体" w:hAnsi="宋体" w:eastAsia="宋体" w:cs="宋体"/>
          <w:color w:val="auto"/>
          <w:sz w:val="21"/>
          <w:szCs w:val="21"/>
          <w:u w:val="single"/>
        </w:rPr>
        <w:t>自合同签订之日起至202</w:t>
      </w:r>
      <w:r>
        <w:rPr>
          <w:rFonts w:hint="eastAsia" w:ascii="宋体" w:hAnsi="宋体" w:eastAsia="宋体" w:cs="宋体"/>
          <w:color w:val="auto"/>
          <w:sz w:val="21"/>
          <w:szCs w:val="21"/>
          <w:u w:val="single"/>
          <w:lang w:val="en-US" w:eastAsia="zh-CN"/>
        </w:rPr>
        <w:t>7</w:t>
      </w:r>
      <w:r>
        <w:rPr>
          <w:rFonts w:hint="eastAsia" w:ascii="宋体" w:hAnsi="宋体" w:eastAsia="宋体" w:cs="宋体"/>
          <w:color w:val="auto"/>
          <w:sz w:val="21"/>
          <w:szCs w:val="21"/>
          <w:u w:val="single"/>
        </w:rPr>
        <w:t>年1</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月30日，按采购人要求提交编制成果及完成合同履约验收</w:t>
      </w:r>
      <w:r>
        <w:rPr>
          <w:rFonts w:hint="eastAsia" w:ascii="宋体" w:hAnsi="宋体" w:eastAsia="宋体" w:cs="宋体"/>
          <w:color w:val="auto"/>
          <w:sz w:val="21"/>
          <w:szCs w:val="21"/>
        </w:rPr>
        <w:t>，服务地点：</w:t>
      </w:r>
      <w:r>
        <w:rPr>
          <w:rFonts w:hint="eastAsia" w:ascii="宋体" w:hAnsi="宋体" w:eastAsia="宋体" w:cs="宋体"/>
          <w:color w:val="auto"/>
          <w:sz w:val="21"/>
          <w:szCs w:val="21"/>
          <w:u w:val="single"/>
        </w:rPr>
        <w:t>广西壮族自治区内甲方指定地点</w:t>
      </w:r>
      <w:r>
        <w:rPr>
          <w:rFonts w:hint="eastAsia" w:ascii="宋体" w:hAnsi="宋体" w:eastAsia="宋体" w:cs="宋体"/>
          <w:color w:val="auto"/>
          <w:sz w:val="21"/>
          <w:szCs w:val="21"/>
        </w:rPr>
        <w:t>。</w:t>
      </w:r>
    </w:p>
    <w:p w14:paraId="3855C514">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2.乙方应按响应文件的承诺向甲方提供相应的服务，并提供所服务内容的相关技术资料。</w:t>
      </w:r>
    </w:p>
    <w:p w14:paraId="44D4403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3.乙方提供不符合响应文件和本合同规定的服务成果，甲方有权拒绝接受。</w:t>
      </w:r>
    </w:p>
    <w:p w14:paraId="68E2603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4.乙方完成服务后应及时书面通知甲方进行验收，甲方应在收到通知后七个工作日内进行验收。验收合格后由甲乙双方签署验收单并加盖甲方公章，甲乙双方各执一份。</w:t>
      </w:r>
    </w:p>
    <w:p w14:paraId="472BF64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5.甲乙双方应按照《广西壮族自治区政府采购项目履约验收管理办法》、双方合同、响应文件验收。</w:t>
      </w:r>
    </w:p>
    <w:p w14:paraId="6FCF97C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甲方在初步验收或者最终验收过程中如发现乙方提供的服务成果不满足投标文件及本合同的规定或者发现乙方有违约行为的，可暂缓向乙方付款，直到乙方及时完善并提交相应的服务成果且经甲方验收合格后，方可办理付款。</w:t>
      </w:r>
    </w:p>
    <w:p w14:paraId="4B3A3D8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7.甲方验收时以书面形式提出异议的，乙方应自收到甲方书面异议后五个工作日内及时予以解决，否则甲方有权不出具服务验收合格单。</w:t>
      </w:r>
    </w:p>
    <w:p w14:paraId="5B44AE1A">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第六条  付款方式</w:t>
      </w:r>
    </w:p>
    <w:p w14:paraId="3EE68B3B">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1.资金性质：</w:t>
      </w:r>
      <w:r>
        <w:rPr>
          <w:rFonts w:hint="eastAsia" w:ascii="宋体" w:hAnsi="宋体" w:eastAsia="宋体" w:cs="宋体"/>
          <w:color w:val="auto"/>
          <w:sz w:val="21"/>
          <w:szCs w:val="21"/>
          <w:u w:val="single"/>
        </w:rPr>
        <w:t>财政性资金</w:t>
      </w:r>
      <w:r>
        <w:rPr>
          <w:rFonts w:hint="eastAsia" w:ascii="宋体" w:hAnsi="宋体" w:eastAsia="宋体" w:cs="宋体"/>
          <w:color w:val="auto"/>
          <w:sz w:val="21"/>
          <w:szCs w:val="21"/>
        </w:rPr>
        <w:t>。</w:t>
      </w:r>
    </w:p>
    <w:p w14:paraId="0CEC57CB">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2.付款方式：</w:t>
      </w:r>
      <w:r>
        <w:rPr>
          <w:rFonts w:hint="eastAsia" w:ascii="宋体" w:hAnsi="宋体" w:eastAsia="宋体" w:cs="宋体"/>
          <w:color w:val="auto"/>
          <w:sz w:val="21"/>
          <w:szCs w:val="21"/>
          <w:u w:val="none"/>
        </w:rPr>
        <w:t>本项目服务费用分两年支付，其中2026年支付金额为50万元，2027年支付合同余额，具体支付方式和时间如下：</w:t>
      </w:r>
    </w:p>
    <w:p w14:paraId="4213DAA1">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（1）合同签订后10个工作日内，甲方向乙方支付合同金额的30%作为预付款；</w:t>
      </w:r>
    </w:p>
    <w:p w14:paraId="1FC6FCB1">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2）2026年12月底前，完成堤防、水库、灌区及水利信息化工程（部分）的质量管理调研工作及《堤防工程分册》、《水库工程分册》、《灌区工程分册》编制工作，并提交《堤防工程分册》、《水库工程分册》、《灌区工程分册》最终成果文件后10个工作日内，甲方向乙方支付当年预算的剩余部分；</w:t>
      </w:r>
    </w:p>
    <w:p w14:paraId="0C7250F7">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（3）2027年3月底前，完成水闸、水利信息化工程（其余部分）的质量管理调研工作，提交调研报告，支付剩余合同款项的50%；</w:t>
      </w:r>
    </w:p>
    <w:p w14:paraId="316E73A5">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4）2027年12月底前，完成《水闸工程分册》及《水利信息化工程建设质量管理工作手册》各部分的编制工作，提交《水闸工程分册》及《水利信息化工程建设质量管理工作手册》各部分的最终成果文件，并通过验收后10个工作日内，甲方向乙方支付合同余款。</w:t>
      </w:r>
    </w:p>
    <w:p w14:paraId="22B9CD9C">
      <w:pPr>
        <w:spacing w:line="360" w:lineRule="auto"/>
        <w:ind w:firstLine="420" w:firstLineChars="200"/>
        <w:rPr>
          <w:rFonts w:hint="eastAsia" w:ascii="宋体" w:hAnsi="宋体" w:cs="宋体"/>
          <w:color w:val="auto"/>
          <w:sz w:val="21"/>
          <w:szCs w:val="21"/>
          <w:lang w:val="en-US" w:eastAsia="zh-CN"/>
        </w:rPr>
      </w:pPr>
      <w:r>
        <w:rPr>
          <w:rFonts w:hint="eastAsia" w:ascii="宋体" w:hAnsi="宋体" w:eastAsia="宋体" w:cs="宋体"/>
          <w:color w:val="auto"/>
          <w:sz w:val="21"/>
          <w:szCs w:val="21"/>
        </w:rPr>
        <w:t>注：</w:t>
      </w:r>
      <w:r>
        <w:rPr>
          <w:rFonts w:hint="eastAsia" w:ascii="宋体" w:hAnsi="宋体" w:cs="宋体"/>
          <w:color w:val="auto"/>
          <w:sz w:val="21"/>
          <w:szCs w:val="21"/>
          <w:lang w:val="en-US" w:eastAsia="zh-CN"/>
        </w:rPr>
        <w:t>（1）合同款项支付时，乙方应提供相应数额的合格发票、请</w:t>
      </w:r>
      <w:bookmarkStart w:id="160" w:name="_GoBack"/>
      <w:bookmarkEnd w:id="160"/>
      <w:r>
        <w:rPr>
          <w:rFonts w:hint="eastAsia" w:ascii="宋体" w:hAnsi="宋体" w:cs="宋体"/>
          <w:color w:val="auto"/>
          <w:sz w:val="21"/>
          <w:szCs w:val="21"/>
          <w:lang w:val="en-US" w:eastAsia="zh-CN"/>
        </w:rPr>
        <w:t>款函、进度证明材料等；否则甲方有权不予支付相应款项，并不承担延迟付款责任。</w:t>
      </w:r>
    </w:p>
    <w:p w14:paraId="08ACDD80">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乙方未在规定时间内完成任务的，或经抽查发现服务质量不符合要求的，按照合同约定扣减相应费用。对于严重质量问题，甲方有权拒绝支付当期费用，并要求乙方无偿整改。乙方存在严重违约行为的，甲方有权拒绝支付当期或全部费用，并终止合同。</w:t>
      </w:r>
    </w:p>
    <w:p w14:paraId="3C925AFD">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第七条  履约保证金</w:t>
      </w:r>
    </w:p>
    <w:p w14:paraId="3B858A7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本项目不需要缴</w:t>
      </w:r>
      <w:r>
        <w:rPr>
          <w:rFonts w:hint="eastAsia" w:ascii="宋体" w:hAnsi="宋体" w:eastAsia="宋体" w:cs="宋体"/>
          <w:color w:val="auto"/>
          <w:kern w:val="0"/>
          <w:sz w:val="21"/>
          <w:szCs w:val="21"/>
        </w:rPr>
        <w:t>纳</w:t>
      </w:r>
      <w:r>
        <w:rPr>
          <w:rFonts w:hint="eastAsia" w:ascii="宋体" w:hAnsi="宋体" w:eastAsia="宋体" w:cs="宋体"/>
          <w:color w:val="auto"/>
          <w:sz w:val="21"/>
          <w:szCs w:val="21"/>
        </w:rPr>
        <w:t>履约保证金。</w:t>
      </w:r>
    </w:p>
    <w:p w14:paraId="3E6D0909">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第八条  税费</w:t>
      </w:r>
    </w:p>
    <w:p w14:paraId="55C039D2">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本合同执行中相关的一切税费均由乙方负担。</w:t>
      </w:r>
    </w:p>
    <w:p w14:paraId="68E59BCD">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第九条  违约责任</w:t>
      </w:r>
    </w:p>
    <w:p w14:paraId="3AC5FB7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.除不可抗力原因外，乙方没有按照合同规定的时间提供服务的，甲方可要求乙方支付违约金。每推迟一天按合同金额的3‰支付违约金，该违约金累计不超过合同金额的10%。</w:t>
      </w:r>
    </w:p>
    <w:p w14:paraId="44A9295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.乙方提供的服务（包括设备等）如侵犯了第三方合法权益而引发的任何纠纷或诉讼，均由乙方负责交涉并承担全部责任。</w:t>
      </w:r>
    </w:p>
    <w:p w14:paraId="0636B35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甲方延期付款的，每天向乙方偿付延期款额3‰滞纳金，但滞纳金累计不得超过延期款额5%。</w:t>
      </w:r>
    </w:p>
    <w:p w14:paraId="47CC1D50">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第十条  文书往来方式</w:t>
      </w:r>
    </w:p>
    <w:p w14:paraId="1D50B59F">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1.为及时有效解决本合同履行过程中所产生的各项函件的往来的问题，双方确认以下人员与地址为文书送达收件人与送达地址，包括但不限于法院诉讼文书等所有函件寄至以下地址和收件人即视为已经送达。</w:t>
      </w:r>
    </w:p>
    <w:p w14:paraId="0EBEC82F">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甲方指定收件人：        </w:t>
      </w:r>
    </w:p>
    <w:p w14:paraId="0C38F3C0">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送达地址：        </w:t>
      </w:r>
    </w:p>
    <w:p w14:paraId="60EE1726">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联系电话：                 传真号码：        </w:t>
      </w:r>
    </w:p>
    <w:p w14:paraId="69FB7BCF">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电子邮箱：        </w:t>
      </w:r>
    </w:p>
    <w:p w14:paraId="43D0EB39">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乙方指定收件人：        </w:t>
      </w:r>
    </w:p>
    <w:p w14:paraId="3B2833A7">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送达地址：        </w:t>
      </w:r>
    </w:p>
    <w:p w14:paraId="63D81ED9">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联系电话：                 传真号码：        </w:t>
      </w:r>
    </w:p>
    <w:p w14:paraId="5E405D59">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电子邮箱：        </w:t>
      </w:r>
    </w:p>
    <w:p w14:paraId="2AB73665">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通过电子邮箱及其它电子方式送达时，发出之日即视为有效送达。通过快递等方式送达时，对方签收之日视为有效送达；如由于受送达方的原因不能送达或受送达方拒绝签收的，送达方可采用挂号信或者邮政特快专递邮寄送达，邮件寄至本协议记载之地址时，即视为送达。</w:t>
      </w:r>
    </w:p>
    <w:p w14:paraId="1CC5E786">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3.乙方住址、联系电话、邮箱发生变更的，应及时书面通知甲方，乙方未及时通知甲方的，甲方或法院仍按本合同的地址、邮箱向乙方发出通知、相关文书及诉讼文书的，退回之日即视为已有效送达给乙方。</w:t>
      </w:r>
    </w:p>
    <w:p w14:paraId="385ACC6E">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第十一条  不可抗力事件处理</w:t>
      </w:r>
    </w:p>
    <w:p w14:paraId="74D40EA4">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1.在合同有效期内，任何一方因不可抗力事件导致不能履行合同，则合同履行期可延长，其延长期与不可抗力影响期相同。</w:t>
      </w:r>
    </w:p>
    <w:p w14:paraId="5CEB0EEB">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2.不可抗力事件发生后，应立即通知对方，并寄送有关权威机构出具的证明。</w:t>
      </w:r>
    </w:p>
    <w:p w14:paraId="2388A689">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3.不可抗力事件延续一百二十天以上，双方应通过友好协商，确定是否继续履行合同。</w:t>
      </w:r>
    </w:p>
    <w:p w14:paraId="17190583">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第十二条  保密</w:t>
      </w:r>
    </w:p>
    <w:p w14:paraId="0DB3F73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的工作人员应对本项目中接触到的甲方所有的知识产权、商业秘密、技术成果等信息负有保密义务。未经甲方书面同意，不得向社会公众或第三方通过任何途径出示、泄露，不得许可使用，不得对上述信息进行复制、传播、销售；保证不向外泄漏任何相关数据，不向外泄漏任何保密的技术资料。如出现乙方的工作人员泄密事件，乙方</w:t>
      </w:r>
      <w:r>
        <w:rPr>
          <w:rFonts w:hint="eastAsia" w:ascii="宋体" w:hAnsi="宋体" w:eastAsia="宋体" w:cs="宋体"/>
          <w:color w:val="auto"/>
          <w:sz w:val="21"/>
          <w:szCs w:val="21"/>
          <w:highlight w:val="none"/>
          <w:lang w:val="en-US" w:eastAsia="zh-CN"/>
        </w:rPr>
        <w:t>依法承担法律</w:t>
      </w:r>
      <w:r>
        <w:rPr>
          <w:rFonts w:hint="eastAsia" w:ascii="宋体" w:hAnsi="宋体" w:eastAsia="宋体" w:cs="宋体"/>
          <w:color w:val="auto"/>
          <w:sz w:val="21"/>
          <w:szCs w:val="21"/>
          <w:highlight w:val="none"/>
        </w:rPr>
        <w:t>责任。</w:t>
      </w:r>
    </w:p>
    <w:p w14:paraId="2C8F622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2.任何一方违反保密条款，给对方造成损失，应按对方的实际损失承担赔偿责任。</w:t>
      </w:r>
    </w:p>
    <w:p w14:paraId="6EDBD2F0">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.本条款不因合同的变更、解除和终止而失效。</w:t>
      </w:r>
    </w:p>
    <w:p w14:paraId="6B884301">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第十三条  合同争议解决</w:t>
      </w:r>
    </w:p>
    <w:p w14:paraId="4582CD78">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1.因履行本合同引起的或与本合同有关的争议，甲乙双方应首先通过友好协商解决，如果协商不能解决，可向</w:t>
      </w:r>
      <w:r>
        <w:rPr>
          <w:rFonts w:hint="eastAsia" w:ascii="宋体" w:hAnsi="宋体" w:eastAsia="宋体" w:cs="宋体"/>
          <w:color w:val="auto"/>
          <w:sz w:val="21"/>
          <w:szCs w:val="21"/>
          <w:lang w:val="en-US" w:eastAsia="zh-CN"/>
        </w:rPr>
        <w:t>南宁</w:t>
      </w:r>
      <w:r>
        <w:rPr>
          <w:rFonts w:hint="eastAsia" w:ascii="宋体" w:hAnsi="宋体" w:eastAsia="宋体" w:cs="宋体"/>
          <w:color w:val="auto"/>
          <w:sz w:val="21"/>
          <w:szCs w:val="21"/>
        </w:rPr>
        <w:t>仲裁委员会申请仲裁。</w:t>
      </w:r>
    </w:p>
    <w:p w14:paraId="1232BA74">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2.争议解决期间，本合同继续履行。</w:t>
      </w:r>
    </w:p>
    <w:p w14:paraId="2E1D8F9E">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第十四条  合同生效及其它</w:t>
      </w:r>
    </w:p>
    <w:p w14:paraId="2C9A645F">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1.合同经双方法定代表人或</w:t>
      </w:r>
      <w:r>
        <w:rPr>
          <w:rFonts w:hint="eastAsia" w:ascii="宋体" w:hAnsi="宋体" w:eastAsia="宋体" w:cs="宋体"/>
          <w:color w:val="auto"/>
          <w:sz w:val="21"/>
          <w:szCs w:val="21"/>
          <w:highlight w:val="none"/>
          <w:lang w:val="en-US" w:eastAsia="zh-CN"/>
        </w:rPr>
        <w:t>委托代理人</w:t>
      </w:r>
      <w:r>
        <w:rPr>
          <w:rFonts w:hint="eastAsia" w:ascii="宋体" w:hAnsi="宋体" w:eastAsia="宋体" w:cs="宋体"/>
          <w:color w:val="auto"/>
          <w:sz w:val="21"/>
          <w:szCs w:val="21"/>
        </w:rPr>
        <w:t>签字并加盖单位公章后生效（</w:t>
      </w:r>
      <w:r>
        <w:rPr>
          <w:rFonts w:hint="eastAsia" w:ascii="宋体" w:hAnsi="宋体" w:eastAsia="宋体" w:cs="宋体"/>
          <w:color w:val="auto"/>
          <w:sz w:val="21"/>
          <w:szCs w:val="21"/>
          <w:highlight w:val="none"/>
          <w:lang w:val="en-US" w:eastAsia="zh-CN"/>
        </w:rPr>
        <w:t>委托代理人</w:t>
      </w:r>
      <w:r>
        <w:rPr>
          <w:rFonts w:hint="eastAsia" w:ascii="宋体" w:hAnsi="宋体" w:eastAsia="宋体" w:cs="宋体"/>
          <w:color w:val="auto"/>
          <w:sz w:val="21"/>
          <w:szCs w:val="21"/>
        </w:rPr>
        <w:t>签字的需后附法定代表人授权委托书，格式自拟）。</w:t>
      </w:r>
    </w:p>
    <w:p w14:paraId="3E94FA33">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2.本合同未尽事宜，遵照《中华人民共和国民法典》有关条文执行。</w:t>
      </w:r>
    </w:p>
    <w:p w14:paraId="65C21BAB">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第十五条  合同的变更、终止与转让</w:t>
      </w:r>
    </w:p>
    <w:p w14:paraId="63B48213">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1.除《中华人民共和国政府采购法》第五十条规定的情形外，本合同一经签订甲乙双方不得擅自变更、中止或终止。</w:t>
      </w:r>
    </w:p>
    <w:p w14:paraId="28DA17F9">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2.乙方不得擅自转让其应履行的合同义务。</w:t>
      </w:r>
    </w:p>
    <w:p w14:paraId="5E51B794">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第十六条　签订本合同依据</w:t>
      </w:r>
    </w:p>
    <w:p w14:paraId="39F6DC9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1.竞争性磋商文件；</w:t>
      </w:r>
    </w:p>
    <w:p w14:paraId="1001586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2.乙方提供的响应（或应答）文件；</w:t>
      </w:r>
    </w:p>
    <w:p w14:paraId="0AEEFBD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3.成交通知书。</w:t>
      </w:r>
    </w:p>
    <w:p w14:paraId="4B0C41EA">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第十七条　</w:t>
      </w:r>
      <w:r>
        <w:rPr>
          <w:rFonts w:hint="eastAsia" w:ascii="宋体" w:hAnsi="宋体" w:eastAsia="宋体" w:cs="宋体"/>
          <w:color w:val="auto"/>
          <w:sz w:val="21"/>
          <w:szCs w:val="21"/>
        </w:rPr>
        <w:t>本合同一式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份，具有同等法律效力，甲方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份，乙方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份，采购代理机构一份。</w:t>
      </w:r>
    </w:p>
    <w:p w14:paraId="16595B0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本合同自签订之日起2个工作日内，甲方应当将采购合同在广西壮族自治区财政厅指定的媒体上公告。</w:t>
      </w:r>
    </w:p>
    <w:p w14:paraId="6D0FB959">
      <w:pPr>
        <w:pStyle w:val="14"/>
        <w:spacing w:line="360" w:lineRule="auto"/>
        <w:rPr>
          <w:rFonts w:hint="eastAsia" w:ascii="宋体" w:hAnsi="宋体" w:eastAsia="宋体" w:cs="宋体"/>
          <w:b/>
          <w:color w:val="auto"/>
          <w:kern w:val="2"/>
          <w:sz w:val="21"/>
          <w:szCs w:val="21"/>
          <w:highlight w:val="none"/>
          <w:lang w:val="en-US" w:eastAsia="zh-CN" w:bidi="ar-SA"/>
        </w:rPr>
      </w:pPr>
    </w:p>
    <w:p w14:paraId="571DAF5D">
      <w:pP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br w:type="page"/>
      </w:r>
    </w:p>
    <w:p w14:paraId="67FFC17E">
      <w:pPr>
        <w:pStyle w:val="14"/>
        <w:spacing w:line="360" w:lineRule="auto"/>
        <w:rPr>
          <w:rFonts w:hint="eastAsia" w:ascii="宋体" w:hAnsi="宋体" w:eastAsia="宋体" w:cs="宋体"/>
          <w:color w:val="auto"/>
          <w:sz w:val="21"/>
          <w:szCs w:val="21"/>
        </w:rPr>
      </w:pPr>
      <w:r>
        <w:rPr>
          <w:rFonts w:hint="eastAsia" w:ascii="宋体" w:hAnsi="宋体" w:eastAsia="宋体" w:cs="宋体"/>
          <w:b/>
          <w:color w:val="auto"/>
          <w:kern w:val="2"/>
          <w:sz w:val="21"/>
          <w:szCs w:val="21"/>
          <w:highlight w:val="none"/>
          <w:lang w:val="en-US" w:eastAsia="zh-CN" w:bidi="ar-SA"/>
        </w:rPr>
        <w:t>（以下无正文）</w:t>
      </w:r>
    </w:p>
    <w:tbl>
      <w:tblPr>
        <w:tblStyle w:val="26"/>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5"/>
        <w:gridCol w:w="4608"/>
      </w:tblGrid>
      <w:tr w14:paraId="2E7C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14:paraId="121CA97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：广西壮族自治区水利厅</w:t>
            </w:r>
            <w:r>
              <w:rPr>
                <w:rFonts w:hint="eastAsia" w:ascii="宋体" w:hAnsi="宋体" w:eastAsia="宋体" w:cs="宋体"/>
                <w:color w:val="auto"/>
                <w:sz w:val="21"/>
                <w:szCs w:val="21"/>
                <w:highlight w:val="none"/>
              </w:rPr>
              <w:t>（章）</w:t>
            </w:r>
          </w:p>
          <w:p w14:paraId="42B6F1B3">
            <w:pPr>
              <w:pStyle w:val="14"/>
              <w:keepNext w:val="0"/>
              <w:keepLines w:val="0"/>
              <w:pageBreakBefore w:val="0"/>
              <w:widowControl w:val="0"/>
              <w:kinsoku/>
              <w:wordWrap/>
              <w:overflowPunct/>
              <w:topLinePunct w:val="0"/>
              <w:autoSpaceDE/>
              <w:autoSpaceDN/>
              <w:bidi w:val="0"/>
              <w:adjustRightInd/>
              <w:spacing w:after="0" w:line="400" w:lineRule="exact"/>
              <w:textAlignment w:val="auto"/>
              <w:rPr>
                <w:rFonts w:hint="eastAsia" w:ascii="宋体" w:hAnsi="宋体" w:eastAsia="宋体" w:cs="宋体"/>
                <w:color w:val="auto"/>
                <w:sz w:val="21"/>
                <w:szCs w:val="21"/>
              </w:rPr>
            </w:pPr>
          </w:p>
          <w:p w14:paraId="1C63D15D">
            <w:pPr>
              <w:keepNext w:val="0"/>
              <w:keepLines w:val="0"/>
              <w:pageBreakBefore w:val="0"/>
              <w:widowControl w:val="0"/>
              <w:kinsoku/>
              <w:wordWrap/>
              <w:overflowPunct/>
              <w:topLinePunct w:val="0"/>
              <w:autoSpaceDE/>
              <w:autoSpaceDN/>
              <w:bidi w:val="0"/>
              <w:adjustRightInd/>
              <w:snapToGrid w:val="0"/>
              <w:spacing w:line="400" w:lineRule="exact"/>
              <w:ind w:firstLine="945" w:firstLineChars="45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c>
          <w:tcPr>
            <w:tcW w:w="4608" w:type="dxa"/>
            <w:tcBorders>
              <w:top w:val="single" w:color="auto" w:sz="4" w:space="0"/>
              <w:left w:val="single" w:color="auto" w:sz="4" w:space="0"/>
              <w:bottom w:val="single" w:color="auto" w:sz="4" w:space="0"/>
              <w:right w:val="single" w:color="auto" w:sz="4" w:space="0"/>
            </w:tcBorders>
            <w:noWrap w:val="0"/>
            <w:vAlign w:val="center"/>
          </w:tcPr>
          <w:p w14:paraId="0C53908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（章）</w:t>
            </w:r>
          </w:p>
          <w:p w14:paraId="7583C971">
            <w:pPr>
              <w:pStyle w:val="2"/>
              <w:keepNext w:val="0"/>
              <w:keepLines w:val="0"/>
              <w:pageBreakBefore w:val="0"/>
              <w:widowControl w:val="0"/>
              <w:kinsoku/>
              <w:wordWrap/>
              <w:overflowPunct/>
              <w:topLinePunct w:val="0"/>
              <w:autoSpaceDE/>
              <w:autoSpaceDN/>
              <w:bidi w:val="0"/>
              <w:adjustRightInd/>
              <w:spacing w:before="0" w:after="0" w:line="400" w:lineRule="exact"/>
              <w:textAlignment w:val="auto"/>
              <w:outlineLvl w:val="9"/>
              <w:rPr>
                <w:rFonts w:hint="eastAsia" w:ascii="宋体" w:hAnsi="宋体" w:eastAsia="宋体" w:cs="宋体"/>
                <w:color w:val="auto"/>
                <w:sz w:val="21"/>
                <w:szCs w:val="21"/>
              </w:rPr>
            </w:pPr>
          </w:p>
          <w:p w14:paraId="7D17E4CE">
            <w:pPr>
              <w:keepNext w:val="0"/>
              <w:keepLines w:val="0"/>
              <w:pageBreakBefore w:val="0"/>
              <w:widowControl w:val="0"/>
              <w:kinsoku/>
              <w:wordWrap/>
              <w:overflowPunct/>
              <w:topLinePunct w:val="0"/>
              <w:autoSpaceDE/>
              <w:autoSpaceDN/>
              <w:bidi w:val="0"/>
              <w:adjustRightInd/>
              <w:snapToGrid w:val="0"/>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r>
      <w:tr w14:paraId="437A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14:paraId="3110F7B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单位地址： </w:t>
            </w:r>
          </w:p>
        </w:tc>
        <w:tc>
          <w:tcPr>
            <w:tcW w:w="4608" w:type="dxa"/>
            <w:tcBorders>
              <w:top w:val="single" w:color="auto" w:sz="4" w:space="0"/>
              <w:left w:val="single" w:color="auto" w:sz="4" w:space="0"/>
              <w:bottom w:val="single" w:color="auto" w:sz="4" w:space="0"/>
              <w:right w:val="single" w:color="auto" w:sz="4" w:space="0"/>
            </w:tcBorders>
            <w:noWrap w:val="0"/>
            <w:vAlign w:val="center"/>
          </w:tcPr>
          <w:p w14:paraId="03E04E6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14:paraId="0B62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14:paraId="41FC78E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p>
        </w:tc>
        <w:tc>
          <w:tcPr>
            <w:tcW w:w="4608" w:type="dxa"/>
            <w:tcBorders>
              <w:top w:val="single" w:color="auto" w:sz="4" w:space="0"/>
              <w:left w:val="single" w:color="auto" w:sz="4" w:space="0"/>
              <w:bottom w:val="single" w:color="auto" w:sz="4" w:space="0"/>
              <w:right w:val="single" w:color="auto" w:sz="4" w:space="0"/>
            </w:tcBorders>
            <w:noWrap w:val="0"/>
            <w:vAlign w:val="center"/>
          </w:tcPr>
          <w:p w14:paraId="6E3B26D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r>
      <w:tr w14:paraId="7351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14:paraId="2AE3FDC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4608" w:type="dxa"/>
            <w:tcBorders>
              <w:top w:val="single" w:color="auto" w:sz="4" w:space="0"/>
              <w:left w:val="single" w:color="auto" w:sz="4" w:space="0"/>
              <w:bottom w:val="single" w:color="auto" w:sz="4" w:space="0"/>
              <w:right w:val="single" w:color="auto" w:sz="4" w:space="0"/>
            </w:tcBorders>
            <w:noWrap w:val="0"/>
            <w:vAlign w:val="center"/>
          </w:tcPr>
          <w:p w14:paraId="4C1BDC9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4E2B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14:paraId="1B385EA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608" w:type="dxa"/>
            <w:tcBorders>
              <w:top w:val="single" w:color="auto" w:sz="4" w:space="0"/>
              <w:left w:val="single" w:color="auto" w:sz="4" w:space="0"/>
              <w:bottom w:val="single" w:color="auto" w:sz="4" w:space="0"/>
              <w:right w:val="single" w:color="auto" w:sz="4" w:space="0"/>
            </w:tcBorders>
            <w:noWrap w:val="0"/>
            <w:vAlign w:val="center"/>
          </w:tcPr>
          <w:p w14:paraId="0D43EAC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0222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14:paraId="362D049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4608" w:type="dxa"/>
            <w:tcBorders>
              <w:top w:val="single" w:color="auto" w:sz="4" w:space="0"/>
              <w:left w:val="single" w:color="auto" w:sz="4" w:space="0"/>
              <w:bottom w:val="single" w:color="auto" w:sz="4" w:space="0"/>
              <w:right w:val="single" w:color="auto" w:sz="4" w:space="0"/>
            </w:tcBorders>
            <w:noWrap w:val="0"/>
            <w:vAlign w:val="center"/>
          </w:tcPr>
          <w:p w14:paraId="5F07820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14:paraId="3B0F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14:paraId="2A6FE65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p>
        </w:tc>
        <w:tc>
          <w:tcPr>
            <w:tcW w:w="4608" w:type="dxa"/>
            <w:tcBorders>
              <w:top w:val="single" w:color="auto" w:sz="4" w:space="0"/>
              <w:left w:val="single" w:color="auto" w:sz="4" w:space="0"/>
              <w:bottom w:val="single" w:color="auto" w:sz="4" w:space="0"/>
              <w:right w:val="single" w:color="auto" w:sz="4" w:space="0"/>
            </w:tcBorders>
            <w:noWrap w:val="0"/>
            <w:vAlign w:val="center"/>
          </w:tcPr>
          <w:p w14:paraId="3C96231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2841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14:paraId="50B14DC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4608" w:type="dxa"/>
            <w:tcBorders>
              <w:top w:val="single" w:color="auto" w:sz="4" w:space="0"/>
              <w:left w:val="single" w:color="auto" w:sz="4" w:space="0"/>
              <w:bottom w:val="single" w:color="auto" w:sz="4" w:space="0"/>
              <w:right w:val="single" w:color="auto" w:sz="4" w:space="0"/>
            </w:tcBorders>
            <w:noWrap w:val="0"/>
            <w:vAlign w:val="center"/>
          </w:tcPr>
          <w:p w14:paraId="723A50A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052E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14:paraId="16F00F11">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纳税人识别号或统一社会信用代码：</w:t>
            </w:r>
          </w:p>
        </w:tc>
        <w:tc>
          <w:tcPr>
            <w:tcW w:w="4608" w:type="dxa"/>
            <w:tcBorders>
              <w:top w:val="single" w:color="auto" w:sz="4" w:space="0"/>
              <w:left w:val="single" w:color="auto" w:sz="4" w:space="0"/>
              <w:bottom w:val="single" w:color="auto" w:sz="4" w:space="0"/>
              <w:right w:val="single" w:color="auto" w:sz="4" w:space="0"/>
            </w:tcBorders>
            <w:noWrap w:val="0"/>
            <w:vAlign w:val="center"/>
          </w:tcPr>
          <w:p w14:paraId="51B74DD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纳税人识别号或统一社会信用代码：</w:t>
            </w:r>
          </w:p>
        </w:tc>
      </w:tr>
      <w:tr w14:paraId="263E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14:paraId="76F5F14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4608" w:type="dxa"/>
            <w:tcBorders>
              <w:top w:val="single" w:color="auto" w:sz="4" w:space="0"/>
              <w:left w:val="single" w:color="auto" w:sz="4" w:space="0"/>
              <w:bottom w:val="single" w:color="auto" w:sz="4" w:space="0"/>
              <w:right w:val="single" w:color="auto" w:sz="4" w:space="0"/>
            </w:tcBorders>
            <w:noWrap w:val="0"/>
            <w:vAlign w:val="center"/>
          </w:tcPr>
          <w:p w14:paraId="6DDAE36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bl>
    <w:p w14:paraId="2329A69B">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p>
    <w:p w14:paraId="3EA407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合同附件：</w:t>
      </w:r>
    </w:p>
    <w:p w14:paraId="23EA06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1.成交通知书</w:t>
      </w:r>
    </w:p>
    <w:p w14:paraId="628AAB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2.采购需求</w:t>
      </w:r>
    </w:p>
    <w:p w14:paraId="13E1BD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3.响应报价表</w:t>
      </w:r>
    </w:p>
    <w:p w14:paraId="0FA449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4.磋商记录</w:t>
      </w:r>
    </w:p>
    <w:p w14:paraId="1C8FC2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5.商务条款偏离表</w:t>
      </w:r>
    </w:p>
    <w:p w14:paraId="513AAB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6.服务需求偏离表</w:t>
      </w:r>
    </w:p>
    <w:p w14:paraId="2A5E46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7.其他</w:t>
      </w:r>
    </w:p>
    <w:p w14:paraId="433F2F93">
      <w:pPr>
        <w:pStyle w:val="18"/>
        <w:keepNext w:val="0"/>
        <w:keepLines w:val="0"/>
        <w:pageBreakBefore w:val="0"/>
        <w:widowControl w:val="0"/>
        <w:kinsoku/>
        <w:wordWrap/>
        <w:overflowPunct/>
        <w:topLinePunct w:val="0"/>
        <w:autoSpaceDE/>
        <w:autoSpaceDN/>
        <w:bidi w:val="0"/>
        <w:adjustRightInd/>
        <w:snapToGrid w:val="0"/>
        <w:spacing w:line="360" w:lineRule="auto"/>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lang w:val="en-US" w:eastAsia="zh-CN"/>
        </w:rPr>
        <w:br w:type="page"/>
      </w:r>
    </w:p>
    <w:p w14:paraId="096AFB17">
      <w:pPr>
        <w:snapToGrid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广西壮族自治区政府采购项目合同验收书</w:t>
      </w:r>
    </w:p>
    <w:p w14:paraId="25CF40A4">
      <w:pPr>
        <w:widowControl/>
        <w:snapToGrid w:val="0"/>
        <w:spacing w:before="100" w:beforeAutospacing="1" w:after="100" w:afterAutospacing="1" w:line="320" w:lineRule="exact"/>
        <w:ind w:left="-359" w:leftChars="-171"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根据政府采购项目（</w:t>
      </w:r>
      <w:r>
        <w:rPr>
          <w:rFonts w:hint="eastAsia" w:ascii="宋体" w:hAnsi="宋体" w:eastAsia="宋体" w:cs="宋体"/>
          <w:color w:val="auto"/>
          <w:kern w:val="0"/>
          <w:sz w:val="21"/>
          <w:szCs w:val="21"/>
          <w:highlight w:val="none"/>
          <w:u w:val="single"/>
        </w:rPr>
        <w:t xml:space="preserve">采购合同编号：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）的约定，我单位对（</w:t>
      </w:r>
      <w:r>
        <w:rPr>
          <w:rFonts w:hint="eastAsia" w:ascii="宋体" w:hAnsi="宋体" w:eastAsia="宋体" w:cs="宋体"/>
          <w:color w:val="auto"/>
          <w:kern w:val="0"/>
          <w:sz w:val="21"/>
          <w:szCs w:val="21"/>
          <w:highlight w:val="none"/>
          <w:u w:val="single"/>
        </w:rPr>
        <w:t xml:space="preserve">  项目名称   </w:t>
      </w:r>
      <w:r>
        <w:rPr>
          <w:rFonts w:hint="eastAsia" w:ascii="宋体" w:hAnsi="宋体" w:eastAsia="宋体" w:cs="宋体"/>
          <w:color w:val="auto"/>
          <w:kern w:val="0"/>
          <w:sz w:val="21"/>
          <w:szCs w:val="21"/>
          <w:highlight w:val="none"/>
        </w:rPr>
        <w:t>）政府采购项目中标（或成交）供应商（</w:t>
      </w:r>
      <w:r>
        <w:rPr>
          <w:rFonts w:hint="eastAsia" w:ascii="宋体" w:hAnsi="宋体" w:eastAsia="宋体" w:cs="宋体"/>
          <w:color w:val="auto"/>
          <w:kern w:val="0"/>
          <w:sz w:val="21"/>
          <w:szCs w:val="21"/>
          <w:highlight w:val="none"/>
          <w:u w:val="single"/>
        </w:rPr>
        <w:t xml:space="preserve">            公司名称              </w:t>
      </w:r>
      <w:r>
        <w:rPr>
          <w:rFonts w:hint="eastAsia" w:ascii="宋体" w:hAnsi="宋体" w:eastAsia="宋体" w:cs="宋体"/>
          <w:color w:val="auto"/>
          <w:kern w:val="0"/>
          <w:sz w:val="21"/>
          <w:szCs w:val="21"/>
          <w:highlight w:val="none"/>
        </w:rPr>
        <w:t>）提供的货物（或工程、服务）进行了验收，验收情况如下：</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06C92D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noWrap w:val="0"/>
            <w:vAlign w:val="center"/>
          </w:tcPr>
          <w:p w14:paraId="3025B521">
            <w:pPr>
              <w:widowControl/>
              <w:snapToGrid w:val="0"/>
              <w:spacing w:before="100" w:beforeAutospacing="1" w:after="100" w:afterAutospacing="1" w:line="320" w:lineRule="exact"/>
              <w:ind w:left="-3" w:firstLine="4" w:firstLineChars="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验收方式：</w:t>
            </w:r>
          </w:p>
        </w:tc>
        <w:tc>
          <w:tcPr>
            <w:tcW w:w="5806" w:type="dxa"/>
            <w:gridSpan w:val="5"/>
            <w:tcBorders>
              <w:top w:val="single" w:color="auto" w:sz="8" w:space="0"/>
              <w:left w:val="single" w:color="auto" w:sz="8" w:space="0"/>
              <w:bottom w:val="single" w:color="auto" w:sz="8" w:space="0"/>
              <w:right w:val="single" w:color="auto" w:sz="8" w:space="0"/>
            </w:tcBorders>
            <w:noWrap w:val="0"/>
            <w:vAlign w:val="center"/>
          </w:tcPr>
          <w:p w14:paraId="6025A4A2">
            <w:pPr>
              <w:widowControl/>
              <w:snapToGrid w:val="0"/>
              <w:spacing w:before="100" w:beforeAutospacing="1" w:after="100" w:afterAutospacing="1" w:line="320" w:lineRule="exact"/>
              <w:ind w:left="-3" w:firstLine="420" w:firstLineChars="20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□自行验收         □委托验收</w:t>
            </w:r>
          </w:p>
        </w:tc>
      </w:tr>
      <w:tr w14:paraId="4C5BF5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12498A1F">
            <w:pPr>
              <w:widowControl/>
              <w:snapToGrid w:val="0"/>
              <w:spacing w:before="100" w:beforeAutospacing="1" w:after="100" w:afterAutospacing="1" w:line="320" w:lineRule="exact"/>
              <w:ind w:firstLine="2" w:firstLineChars="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1F866DEC">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12555EC5">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623BC2B9">
            <w:pPr>
              <w:widowControl/>
              <w:snapToGrid w:val="0"/>
              <w:spacing w:before="100" w:beforeAutospacing="1" w:after="100" w:afterAutospacing="1"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05502A01">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金  额</w:t>
            </w:r>
          </w:p>
        </w:tc>
      </w:tr>
      <w:tr w14:paraId="755585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4CBCD54E">
            <w:pPr>
              <w:widowControl/>
              <w:snapToGrid w:val="0"/>
              <w:spacing w:before="100" w:beforeAutospacing="1" w:after="100" w:afterAutospacing="1" w:line="320" w:lineRule="exact"/>
              <w:ind w:left="-3" w:firstLine="4" w:firstLineChars="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451F1EE6">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270808E9">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5C80FB40">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14F68A46">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502077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64236B32">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1661401D">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58222AC3">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3C9191C1">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16CDADDA">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04DAA9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2A133FEE">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0A564D7C">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2E7E7048">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34F28AEF">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5378D7C8">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734B96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noWrap w:val="0"/>
            <w:vAlign w:val="center"/>
          </w:tcPr>
          <w:p w14:paraId="5C371C64">
            <w:pPr>
              <w:widowControl/>
              <w:snapToGrid w:val="0"/>
              <w:spacing w:before="100" w:beforeAutospacing="1" w:after="100" w:afterAutospacing="1" w:line="320" w:lineRule="exact"/>
              <w:ind w:left="-3" w:firstLine="4" w:firstLineChars="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        计</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2D066C23">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4709A37C">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748CB4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vAlign w:val="center"/>
          </w:tcPr>
          <w:p w14:paraId="4C46FB21">
            <w:pPr>
              <w:widowControl/>
              <w:snapToGrid w:val="0"/>
              <w:spacing w:before="100" w:beforeAutospacing="1" w:after="100" w:afterAutospacing="1" w:line="320" w:lineRule="exact"/>
              <w:ind w:firstLine="2" w:firstLineChars="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合计大写金额：   仟    佰    拾    万    仟    佰    拾    元</w:t>
            </w:r>
          </w:p>
        </w:tc>
      </w:tr>
      <w:tr w14:paraId="3DF805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719A8AE8">
            <w:pPr>
              <w:widowControl/>
              <w:snapToGrid w:val="0"/>
              <w:spacing w:before="100" w:beforeAutospacing="1" w:after="100" w:afterAutospacing="1" w:line="320" w:lineRule="exact"/>
              <w:ind w:firstLine="2" w:firstLineChars="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2B087F60">
            <w:pPr>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noWrap w:val="0"/>
            <w:vAlign w:val="center"/>
          </w:tcPr>
          <w:p w14:paraId="2E25483C">
            <w:pPr>
              <w:snapToGrid w:val="0"/>
              <w:spacing w:before="100" w:beforeAutospacing="1" w:after="100" w:afterAutospacing="1" w:line="320" w:lineRule="exact"/>
              <w:ind w:firstLine="39" w:firstLineChars="19"/>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合同交付验收日期</w:t>
            </w:r>
          </w:p>
        </w:tc>
        <w:tc>
          <w:tcPr>
            <w:tcW w:w="2160" w:type="dxa"/>
            <w:gridSpan w:val="2"/>
            <w:tcBorders>
              <w:top w:val="single" w:color="auto" w:sz="8" w:space="0"/>
              <w:left w:val="single" w:color="auto" w:sz="8" w:space="0"/>
              <w:bottom w:val="single" w:color="auto" w:sz="8" w:space="0"/>
              <w:right w:val="single" w:color="auto" w:sz="8" w:space="0"/>
            </w:tcBorders>
            <w:noWrap w:val="0"/>
            <w:vAlign w:val="center"/>
          </w:tcPr>
          <w:p w14:paraId="43AB36EB">
            <w:pPr>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p>
        </w:tc>
      </w:tr>
      <w:tr w14:paraId="25F99F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F39FC02">
            <w:pPr>
              <w:widowControl/>
              <w:snapToGrid w:val="0"/>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276A509">
            <w:pPr>
              <w:widowControl/>
              <w:snapToGrid w:val="0"/>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（应</w:t>
            </w:r>
            <w:r>
              <w:rPr>
                <w:rFonts w:hint="eastAsia" w:ascii="宋体" w:hAnsi="宋体" w:eastAsia="宋体" w:cs="宋体"/>
                <w:color w:val="auto"/>
                <w:kern w:val="0"/>
                <w:sz w:val="21"/>
                <w:szCs w:val="21"/>
                <w:highlight w:val="none"/>
              </w:rPr>
              <w:t>按采购合同、采购文件、投标</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文件及验收方案等进行验收；并核对</w:t>
            </w:r>
            <w:r>
              <w:rPr>
                <w:rFonts w:hint="eastAsia" w:ascii="宋体" w:hAnsi="宋体" w:eastAsia="宋体" w:cs="宋体"/>
                <w:color w:val="auto"/>
                <w:sz w:val="21"/>
                <w:szCs w:val="21"/>
                <w:highlight w:val="none"/>
              </w:rPr>
              <w:t>中标或者成交供应商在安装调试等方面是否违反合同约定或服务规范要求、提供的质量保证证明材料是否齐全、应有的配件及附件是否达到合同约定等</w:t>
            </w:r>
            <w:r>
              <w:rPr>
                <w:rFonts w:hint="eastAsia" w:ascii="宋体" w:hAnsi="宋体" w:eastAsia="宋体" w:cs="宋体"/>
                <w:color w:val="auto"/>
                <w:kern w:val="0"/>
                <w:sz w:val="21"/>
                <w:szCs w:val="21"/>
                <w:highlight w:val="none"/>
              </w:rPr>
              <w:t>。可附件)</w:t>
            </w:r>
          </w:p>
        </w:tc>
      </w:tr>
      <w:tr w14:paraId="281A43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2" w:hRule="atLeast"/>
          <w:jc w:val="center"/>
        </w:trPr>
        <w:tc>
          <w:tcPr>
            <w:tcW w:w="1527"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BA63415">
            <w:pPr>
              <w:widowControl/>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0BE914CB">
            <w:pPr>
              <w:widowControl/>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验收结论性意见：</w:t>
            </w:r>
          </w:p>
        </w:tc>
      </w:tr>
      <w:tr w14:paraId="37C6C9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8" w:space="0"/>
              <w:left w:val="single" w:color="auto" w:sz="8" w:space="0"/>
              <w:bottom w:val="single" w:color="auto" w:sz="8" w:space="0"/>
              <w:right w:val="single" w:color="auto" w:sz="8" w:space="0"/>
            </w:tcBorders>
            <w:noWrap w:val="0"/>
            <w:vAlign w:val="center"/>
          </w:tcPr>
          <w:p w14:paraId="111B1B49">
            <w:pPr>
              <w:widowControl/>
              <w:spacing w:line="320" w:lineRule="exact"/>
              <w:jc w:val="left"/>
              <w:rPr>
                <w:rFonts w:hint="eastAsia" w:ascii="宋体" w:hAnsi="宋体" w:eastAsia="宋体" w:cs="宋体"/>
                <w:color w:val="auto"/>
                <w:kern w:val="0"/>
                <w:sz w:val="21"/>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77353BE7">
            <w:pPr>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有异议的意见和说明理由：</w:t>
            </w:r>
          </w:p>
          <w:p w14:paraId="5240F7F1">
            <w:pPr>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签字：</w:t>
            </w:r>
          </w:p>
        </w:tc>
      </w:tr>
      <w:tr w14:paraId="2ED75A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981D202">
            <w:pPr>
              <w:widowControl/>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验收小组成员签字：</w:t>
            </w:r>
          </w:p>
        </w:tc>
      </w:tr>
      <w:tr w14:paraId="5C0824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CA991E">
            <w:pPr>
              <w:widowControl/>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监督人员或其他相关人员签字：</w:t>
            </w:r>
          </w:p>
          <w:p w14:paraId="49D743D2">
            <w:pPr>
              <w:widowControl/>
              <w:spacing w:before="100" w:beforeAutospacing="1" w:after="100" w:afterAutospacing="1" w:line="320" w:lineRule="exact"/>
              <w:ind w:firstLine="65" w:firstLineChars="3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或受邀机构的意见（盖章）：</w:t>
            </w:r>
          </w:p>
        </w:tc>
      </w:tr>
      <w:tr w14:paraId="2AD679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767" w:type="dxa"/>
            <w:gridSpan w:val="3"/>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2BFF5CB5">
            <w:pPr>
              <w:widowControl/>
              <w:spacing w:before="100" w:beforeAutospacing="1" w:after="100" w:afterAutospacing="1" w:line="320" w:lineRule="exact"/>
              <w:ind w:firstLine="65" w:firstLineChars="3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中标或者成交供应商负责人签字或盖章：</w:t>
            </w:r>
          </w:p>
          <w:p w14:paraId="2DBFC24E">
            <w:pPr>
              <w:widowControl/>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noWrap w:val="0"/>
            <w:vAlign w:val="center"/>
          </w:tcPr>
          <w:p w14:paraId="79C2C963">
            <w:pPr>
              <w:widowControl/>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采购人或受托机构的意见（盖章）：</w:t>
            </w:r>
          </w:p>
          <w:p w14:paraId="4A980F13">
            <w:pPr>
              <w:widowControl/>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                 年   月   日</w:t>
            </w:r>
          </w:p>
        </w:tc>
      </w:tr>
    </w:tbl>
    <w:p w14:paraId="03389C3F">
      <w:pPr>
        <w:widowControl/>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备注：本报告单一式4份（采购单位1份、供应商1份、采购监督部门备案1份、采购代理机构1份）。</w:t>
      </w:r>
    </w:p>
    <w:p w14:paraId="10C3FE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p>
    <w:sectPr>
      <w:pgSz w:w="11906" w:h="16838"/>
      <w:pgMar w:top="1440" w:right="1803" w:bottom="1440" w:left="1803"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64564">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49614">
    <w:pPr>
      <w:pStyle w:val="21"/>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F361">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A1108">
    <w:pPr>
      <w:pStyle w:val="21"/>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8BAD0">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91E46D">
                          <w:pPr>
                            <w:pStyle w:val="21"/>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D91E46D">
                    <w:pPr>
                      <w:pStyle w:val="2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152A6">
    <w:pPr>
      <w:pStyle w:val="21"/>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FAC609">
                          <w:pPr>
                            <w:pStyle w:val="21"/>
                            <w:jc w:val="center"/>
                          </w:pPr>
                          <w:r>
                            <w:fldChar w:fldCharType="begin"/>
                          </w:r>
                          <w:r>
                            <w:instrText xml:space="preserve"> PAGE   \* MERGEFORMAT </w:instrText>
                          </w:r>
                          <w:r>
                            <w:fldChar w:fldCharType="separate"/>
                          </w:r>
                          <w:r>
                            <w:rPr>
                              <w:lang w:val="zh-CN"/>
                            </w:rPr>
                            <w:t>2</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YMg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UtKHLc48PP3b+cfv84/v5LX&#10;WZ4+QI1ZjwHz0vDWD7g0sx/QmVkPKtr8RT4E4yju6SKuHBIR+dFquVpVGBIYmy+Iz56ehwjpQXpL&#10;stHQiNMrovLje0hj6pySqzl/r40pEzTuLwdiZg/LvY89ZisNu2EitPPtCfn0OPiGOtxzSsw7h7rm&#10;HZmNOBu72TiEqPddWaJcD8Kb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uSGDIAQAAmQMAAA4AAAAAAAAAAQAgAAAAHgEAAGRycy9lMm9Eb2Mu&#10;eG1sUEsFBgAAAAAGAAYAWQEAAFgFAAAAAA==&#10;">
              <v:fill on="f" focussize="0,0"/>
              <v:stroke on="f"/>
              <v:imagedata o:title=""/>
              <o:lock v:ext="edit" aspectratio="f"/>
              <v:textbox inset="0mm,0mm,0mm,0mm" style="mso-fit-shape-to-text:t;">
                <w:txbxContent>
                  <w:p w14:paraId="57FAC609">
                    <w:pPr>
                      <w:pStyle w:val="21"/>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77CA4">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239B4">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2293B">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E859F"/>
    <w:multiLevelType w:val="singleLevel"/>
    <w:tmpl w:val="A8FE859F"/>
    <w:lvl w:ilvl="0" w:tentative="0">
      <w:start w:val="1"/>
      <w:numFmt w:val="decimal"/>
      <w:pStyle w:val="10"/>
      <w:lvlText w:val="%1."/>
      <w:lvlJc w:val="left"/>
      <w:pPr>
        <w:tabs>
          <w:tab w:val="left" w:pos="360"/>
        </w:tabs>
        <w:ind w:left="360" w:hanging="360"/>
      </w:pPr>
    </w:lvl>
  </w:abstractNum>
  <w:abstractNum w:abstractNumId="1">
    <w:nsid w:val="12306E94"/>
    <w:multiLevelType w:val="multilevel"/>
    <w:tmpl w:val="12306E94"/>
    <w:lvl w:ilvl="0" w:tentative="0">
      <w:start w:val="1"/>
      <w:numFmt w:val="chineseCountingThousand"/>
      <w:lvlText w:val="第%1章"/>
      <w:lvlJc w:val="left"/>
      <w:pPr>
        <w:ind w:left="0" w:firstLine="0"/>
      </w:pPr>
      <w:rPr>
        <w:rFonts w:hint="eastAsia"/>
      </w:rPr>
    </w:lvl>
    <w:lvl w:ilvl="1" w:tentative="0">
      <w:start w:val="1"/>
      <w:numFmt w:val="decimal"/>
      <w:pStyle w:val="4"/>
      <w:isLgl/>
      <w:suff w:val="space"/>
      <w:lvlText w:val="%1.%2"/>
      <w:lvlJc w:val="left"/>
      <w:pPr>
        <w:ind w:left="710" w:firstLine="0"/>
      </w:pPr>
      <w:rPr>
        <w:rFonts w:hint="eastAsia"/>
      </w:rPr>
    </w:lvl>
    <w:lvl w:ilvl="2" w:tentative="0">
      <w:start w:val="1"/>
      <w:numFmt w:val="decimal"/>
      <w:isLgl/>
      <w:suff w:val="space"/>
      <w:lvlText w:val="%1.%2.%3"/>
      <w:lvlJc w:val="left"/>
      <w:pPr>
        <w:ind w:left="3828" w:firstLine="0"/>
      </w:pPr>
      <w:rPr>
        <w:rFonts w:hint="eastAsia"/>
      </w:rPr>
    </w:lvl>
    <w:lvl w:ilvl="3" w:tentative="0">
      <w:start w:val="1"/>
      <w:numFmt w:val="decimal"/>
      <w:isLgl/>
      <w:suff w:val="space"/>
      <w:lvlText w:val="%1.%2.%3.%4"/>
      <w:lvlJc w:val="left"/>
      <w:pPr>
        <w:ind w:left="851" w:firstLine="0"/>
      </w:p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002346F"/>
    <w:rsid w:val="00046CC7"/>
    <w:rsid w:val="00056545"/>
    <w:rsid w:val="000624DA"/>
    <w:rsid w:val="000817E2"/>
    <w:rsid w:val="00124D41"/>
    <w:rsid w:val="00167807"/>
    <w:rsid w:val="0017698E"/>
    <w:rsid w:val="00184E4E"/>
    <w:rsid w:val="00194AFC"/>
    <w:rsid w:val="00197A8B"/>
    <w:rsid w:val="002410A0"/>
    <w:rsid w:val="00277003"/>
    <w:rsid w:val="002C43F0"/>
    <w:rsid w:val="002C4DA7"/>
    <w:rsid w:val="00355E87"/>
    <w:rsid w:val="00370EB7"/>
    <w:rsid w:val="003A75C1"/>
    <w:rsid w:val="00400DFD"/>
    <w:rsid w:val="00430124"/>
    <w:rsid w:val="004326CC"/>
    <w:rsid w:val="00493A97"/>
    <w:rsid w:val="004941DB"/>
    <w:rsid w:val="004E0E01"/>
    <w:rsid w:val="0050241A"/>
    <w:rsid w:val="00534F90"/>
    <w:rsid w:val="005A4EC6"/>
    <w:rsid w:val="005C7F6A"/>
    <w:rsid w:val="006D1DDD"/>
    <w:rsid w:val="006D3D1A"/>
    <w:rsid w:val="006F480F"/>
    <w:rsid w:val="007111ED"/>
    <w:rsid w:val="00746F26"/>
    <w:rsid w:val="0078757C"/>
    <w:rsid w:val="00795671"/>
    <w:rsid w:val="008237AC"/>
    <w:rsid w:val="00851B3B"/>
    <w:rsid w:val="00865CDD"/>
    <w:rsid w:val="008721EB"/>
    <w:rsid w:val="0087352E"/>
    <w:rsid w:val="008B68E7"/>
    <w:rsid w:val="008D0ADA"/>
    <w:rsid w:val="008D4EE8"/>
    <w:rsid w:val="009153DB"/>
    <w:rsid w:val="00925810"/>
    <w:rsid w:val="00934AB4"/>
    <w:rsid w:val="00951BEE"/>
    <w:rsid w:val="009B4F31"/>
    <w:rsid w:val="009D0EA3"/>
    <w:rsid w:val="00A34658"/>
    <w:rsid w:val="00A42354"/>
    <w:rsid w:val="00A773CF"/>
    <w:rsid w:val="00A903F1"/>
    <w:rsid w:val="00A9291F"/>
    <w:rsid w:val="00AC4AE8"/>
    <w:rsid w:val="00B64C83"/>
    <w:rsid w:val="00BB3032"/>
    <w:rsid w:val="00C06F86"/>
    <w:rsid w:val="00C22CD6"/>
    <w:rsid w:val="00C3450F"/>
    <w:rsid w:val="00C76300"/>
    <w:rsid w:val="00D030E3"/>
    <w:rsid w:val="00D10B5F"/>
    <w:rsid w:val="00D2042C"/>
    <w:rsid w:val="00D767C3"/>
    <w:rsid w:val="00E14AC4"/>
    <w:rsid w:val="00EF6F85"/>
    <w:rsid w:val="00F45B14"/>
    <w:rsid w:val="00F77DB4"/>
    <w:rsid w:val="00FB0A3F"/>
    <w:rsid w:val="00FF2195"/>
    <w:rsid w:val="00FF54FE"/>
    <w:rsid w:val="014B1FDC"/>
    <w:rsid w:val="0159301C"/>
    <w:rsid w:val="017C2F4D"/>
    <w:rsid w:val="01A275D5"/>
    <w:rsid w:val="01D972B1"/>
    <w:rsid w:val="01E12B54"/>
    <w:rsid w:val="01F80A87"/>
    <w:rsid w:val="01FF0067"/>
    <w:rsid w:val="022573A2"/>
    <w:rsid w:val="03710AF1"/>
    <w:rsid w:val="03773C2D"/>
    <w:rsid w:val="038A08FA"/>
    <w:rsid w:val="03C0027E"/>
    <w:rsid w:val="03C36E72"/>
    <w:rsid w:val="044562AE"/>
    <w:rsid w:val="04583A5F"/>
    <w:rsid w:val="046E5030"/>
    <w:rsid w:val="04E62E18"/>
    <w:rsid w:val="051200B1"/>
    <w:rsid w:val="05281683"/>
    <w:rsid w:val="0528241D"/>
    <w:rsid w:val="054144F3"/>
    <w:rsid w:val="056337F9"/>
    <w:rsid w:val="05A76A4C"/>
    <w:rsid w:val="05A84572"/>
    <w:rsid w:val="05E03D0C"/>
    <w:rsid w:val="05E653A0"/>
    <w:rsid w:val="061A394A"/>
    <w:rsid w:val="061F1325"/>
    <w:rsid w:val="062802F3"/>
    <w:rsid w:val="06293905"/>
    <w:rsid w:val="06727092"/>
    <w:rsid w:val="068D580B"/>
    <w:rsid w:val="06920C2F"/>
    <w:rsid w:val="06BC6A39"/>
    <w:rsid w:val="06E4782C"/>
    <w:rsid w:val="06F15AA5"/>
    <w:rsid w:val="074B3407"/>
    <w:rsid w:val="07593D76"/>
    <w:rsid w:val="07854B6B"/>
    <w:rsid w:val="07DE40D6"/>
    <w:rsid w:val="08202AE5"/>
    <w:rsid w:val="082A5712"/>
    <w:rsid w:val="083245C7"/>
    <w:rsid w:val="084A7B62"/>
    <w:rsid w:val="086724C2"/>
    <w:rsid w:val="08A51783"/>
    <w:rsid w:val="08AA0601"/>
    <w:rsid w:val="08ED6CBA"/>
    <w:rsid w:val="09267C87"/>
    <w:rsid w:val="092D370C"/>
    <w:rsid w:val="0935611C"/>
    <w:rsid w:val="09A10CB8"/>
    <w:rsid w:val="09AB5E2F"/>
    <w:rsid w:val="0A326B00"/>
    <w:rsid w:val="0A461488"/>
    <w:rsid w:val="0AA16B98"/>
    <w:rsid w:val="0AF618DB"/>
    <w:rsid w:val="0B324EDB"/>
    <w:rsid w:val="0B59720D"/>
    <w:rsid w:val="0B666A61"/>
    <w:rsid w:val="0BBC09BB"/>
    <w:rsid w:val="0BCB1636"/>
    <w:rsid w:val="0C01720B"/>
    <w:rsid w:val="0C017F76"/>
    <w:rsid w:val="0C0D3381"/>
    <w:rsid w:val="0C526FE5"/>
    <w:rsid w:val="0CAC4948"/>
    <w:rsid w:val="0CB87790"/>
    <w:rsid w:val="0CBF5551"/>
    <w:rsid w:val="0CE916F8"/>
    <w:rsid w:val="0CEA3062"/>
    <w:rsid w:val="0CFF716D"/>
    <w:rsid w:val="0D246B1B"/>
    <w:rsid w:val="0D425EC2"/>
    <w:rsid w:val="0D8E229F"/>
    <w:rsid w:val="0D95362E"/>
    <w:rsid w:val="0DAB2E51"/>
    <w:rsid w:val="0DC363ED"/>
    <w:rsid w:val="0DF26933"/>
    <w:rsid w:val="0E9A4078"/>
    <w:rsid w:val="0EC87A33"/>
    <w:rsid w:val="0EE426B9"/>
    <w:rsid w:val="0EE5553C"/>
    <w:rsid w:val="0F0566F4"/>
    <w:rsid w:val="0F0713EB"/>
    <w:rsid w:val="0F4A7CCC"/>
    <w:rsid w:val="0F865924"/>
    <w:rsid w:val="0FD50659"/>
    <w:rsid w:val="10030641"/>
    <w:rsid w:val="100549B2"/>
    <w:rsid w:val="100B2A95"/>
    <w:rsid w:val="109819C6"/>
    <w:rsid w:val="10A1053B"/>
    <w:rsid w:val="10A2678D"/>
    <w:rsid w:val="10AC13BA"/>
    <w:rsid w:val="11802A9D"/>
    <w:rsid w:val="11CD1C30"/>
    <w:rsid w:val="11E178C9"/>
    <w:rsid w:val="1299771C"/>
    <w:rsid w:val="12CF4B96"/>
    <w:rsid w:val="13086650"/>
    <w:rsid w:val="130D010A"/>
    <w:rsid w:val="13121358"/>
    <w:rsid w:val="132C540B"/>
    <w:rsid w:val="136A7125"/>
    <w:rsid w:val="13765CAF"/>
    <w:rsid w:val="1379754E"/>
    <w:rsid w:val="139A44FC"/>
    <w:rsid w:val="139B74C4"/>
    <w:rsid w:val="13C42DEB"/>
    <w:rsid w:val="13F15336"/>
    <w:rsid w:val="13F97381"/>
    <w:rsid w:val="14044EE5"/>
    <w:rsid w:val="144D4C62"/>
    <w:rsid w:val="14926B19"/>
    <w:rsid w:val="14E804E7"/>
    <w:rsid w:val="15115C90"/>
    <w:rsid w:val="154C6CC8"/>
    <w:rsid w:val="156377E9"/>
    <w:rsid w:val="15A106FB"/>
    <w:rsid w:val="15B7153F"/>
    <w:rsid w:val="15C30F8F"/>
    <w:rsid w:val="166D4D09"/>
    <w:rsid w:val="166E7112"/>
    <w:rsid w:val="16730A62"/>
    <w:rsid w:val="16785E3E"/>
    <w:rsid w:val="16892A0D"/>
    <w:rsid w:val="16B20DAC"/>
    <w:rsid w:val="176D73C9"/>
    <w:rsid w:val="176E7FC2"/>
    <w:rsid w:val="17740758"/>
    <w:rsid w:val="17980F6F"/>
    <w:rsid w:val="17EA0A1A"/>
    <w:rsid w:val="180B49F2"/>
    <w:rsid w:val="181B01C0"/>
    <w:rsid w:val="182E6B2B"/>
    <w:rsid w:val="18597894"/>
    <w:rsid w:val="185C36C6"/>
    <w:rsid w:val="187E2A36"/>
    <w:rsid w:val="189616CE"/>
    <w:rsid w:val="189F2E4D"/>
    <w:rsid w:val="18E4669B"/>
    <w:rsid w:val="19063631"/>
    <w:rsid w:val="19DB686C"/>
    <w:rsid w:val="19E82A14"/>
    <w:rsid w:val="1A4428F3"/>
    <w:rsid w:val="1A75281D"/>
    <w:rsid w:val="1AEE0821"/>
    <w:rsid w:val="1B2129A5"/>
    <w:rsid w:val="1B22156B"/>
    <w:rsid w:val="1B3E3557"/>
    <w:rsid w:val="1B6B1E72"/>
    <w:rsid w:val="1B8D1DE8"/>
    <w:rsid w:val="1BBE036A"/>
    <w:rsid w:val="1BDF22AB"/>
    <w:rsid w:val="1C913B5A"/>
    <w:rsid w:val="1CA129A5"/>
    <w:rsid w:val="1CD852E5"/>
    <w:rsid w:val="1CFA0A2B"/>
    <w:rsid w:val="1CFB52A5"/>
    <w:rsid w:val="1D003C24"/>
    <w:rsid w:val="1D120FFF"/>
    <w:rsid w:val="1D1E6052"/>
    <w:rsid w:val="1D436C02"/>
    <w:rsid w:val="1D6D6106"/>
    <w:rsid w:val="1DED3012"/>
    <w:rsid w:val="1E067C30"/>
    <w:rsid w:val="1E2E78B2"/>
    <w:rsid w:val="1E7D3904"/>
    <w:rsid w:val="1E8C23EC"/>
    <w:rsid w:val="1EA379A0"/>
    <w:rsid w:val="1EDD1C44"/>
    <w:rsid w:val="1F0C1276"/>
    <w:rsid w:val="1F1A59EC"/>
    <w:rsid w:val="1F884DA0"/>
    <w:rsid w:val="1FE81CE3"/>
    <w:rsid w:val="20054643"/>
    <w:rsid w:val="205E1FA5"/>
    <w:rsid w:val="215F7D83"/>
    <w:rsid w:val="21676C37"/>
    <w:rsid w:val="216872BC"/>
    <w:rsid w:val="21884584"/>
    <w:rsid w:val="21AC39A2"/>
    <w:rsid w:val="21BC6F83"/>
    <w:rsid w:val="21F030D1"/>
    <w:rsid w:val="22040499"/>
    <w:rsid w:val="222025E6"/>
    <w:rsid w:val="222E1D53"/>
    <w:rsid w:val="22675CD2"/>
    <w:rsid w:val="227A01DE"/>
    <w:rsid w:val="22813D29"/>
    <w:rsid w:val="22EE7610"/>
    <w:rsid w:val="234C4337"/>
    <w:rsid w:val="236643F7"/>
    <w:rsid w:val="236A1FF4"/>
    <w:rsid w:val="237E233A"/>
    <w:rsid w:val="23A14A66"/>
    <w:rsid w:val="23A777BF"/>
    <w:rsid w:val="23C465C3"/>
    <w:rsid w:val="24155F16"/>
    <w:rsid w:val="24B46546"/>
    <w:rsid w:val="24BA1AF7"/>
    <w:rsid w:val="250B57DB"/>
    <w:rsid w:val="251D41DD"/>
    <w:rsid w:val="258B7398"/>
    <w:rsid w:val="25CF5B7E"/>
    <w:rsid w:val="26561413"/>
    <w:rsid w:val="266100F9"/>
    <w:rsid w:val="266876DA"/>
    <w:rsid w:val="26A12BEB"/>
    <w:rsid w:val="26BB5A5B"/>
    <w:rsid w:val="270A69E3"/>
    <w:rsid w:val="271138CD"/>
    <w:rsid w:val="276F4A98"/>
    <w:rsid w:val="283E4B96"/>
    <w:rsid w:val="284D4E05"/>
    <w:rsid w:val="28531992"/>
    <w:rsid w:val="287A1AB4"/>
    <w:rsid w:val="28C51146"/>
    <w:rsid w:val="28F416F8"/>
    <w:rsid w:val="28F81B07"/>
    <w:rsid w:val="291604BC"/>
    <w:rsid w:val="29672724"/>
    <w:rsid w:val="29BC2EB5"/>
    <w:rsid w:val="29C966E1"/>
    <w:rsid w:val="29E74DB9"/>
    <w:rsid w:val="2A1A518F"/>
    <w:rsid w:val="2A4931AE"/>
    <w:rsid w:val="2A7228D5"/>
    <w:rsid w:val="2A8820F8"/>
    <w:rsid w:val="2A8F7C27"/>
    <w:rsid w:val="2ABB2CEC"/>
    <w:rsid w:val="2AF82165"/>
    <w:rsid w:val="2AFF29A3"/>
    <w:rsid w:val="2B122B57"/>
    <w:rsid w:val="2B54022C"/>
    <w:rsid w:val="2B6371BC"/>
    <w:rsid w:val="2B7136DB"/>
    <w:rsid w:val="2B797C93"/>
    <w:rsid w:val="2BBE1B4A"/>
    <w:rsid w:val="2BD51D32"/>
    <w:rsid w:val="2C1874AC"/>
    <w:rsid w:val="2C31186B"/>
    <w:rsid w:val="2C3A1B18"/>
    <w:rsid w:val="2C4B464E"/>
    <w:rsid w:val="2C4F018A"/>
    <w:rsid w:val="2C4F733C"/>
    <w:rsid w:val="2C581F9E"/>
    <w:rsid w:val="2CED0939"/>
    <w:rsid w:val="2D0044DF"/>
    <w:rsid w:val="2D0A3299"/>
    <w:rsid w:val="2D3B78F6"/>
    <w:rsid w:val="2D6D1A79"/>
    <w:rsid w:val="2D800584"/>
    <w:rsid w:val="2DE3040B"/>
    <w:rsid w:val="2E3507E9"/>
    <w:rsid w:val="2E474078"/>
    <w:rsid w:val="2E8F4234"/>
    <w:rsid w:val="2ECC7DC5"/>
    <w:rsid w:val="2EDF2503"/>
    <w:rsid w:val="2EFA733D"/>
    <w:rsid w:val="2F1C4ABA"/>
    <w:rsid w:val="2F4A02C4"/>
    <w:rsid w:val="2F4E096D"/>
    <w:rsid w:val="2F803CE6"/>
    <w:rsid w:val="2FB41BE1"/>
    <w:rsid w:val="3013798C"/>
    <w:rsid w:val="30232343"/>
    <w:rsid w:val="30284EFC"/>
    <w:rsid w:val="30532F8E"/>
    <w:rsid w:val="307C4186"/>
    <w:rsid w:val="309D08C8"/>
    <w:rsid w:val="30D81900"/>
    <w:rsid w:val="30EE27BC"/>
    <w:rsid w:val="3102072B"/>
    <w:rsid w:val="31035035"/>
    <w:rsid w:val="31264419"/>
    <w:rsid w:val="313379B8"/>
    <w:rsid w:val="313755B9"/>
    <w:rsid w:val="313F1A67"/>
    <w:rsid w:val="319E48F7"/>
    <w:rsid w:val="31B41A25"/>
    <w:rsid w:val="31CF2D03"/>
    <w:rsid w:val="320767B9"/>
    <w:rsid w:val="324F79A0"/>
    <w:rsid w:val="32586854"/>
    <w:rsid w:val="32653FDA"/>
    <w:rsid w:val="328B6805"/>
    <w:rsid w:val="32AE2918"/>
    <w:rsid w:val="32D234F4"/>
    <w:rsid w:val="32DB1233"/>
    <w:rsid w:val="333D3C9C"/>
    <w:rsid w:val="33D4015C"/>
    <w:rsid w:val="33E34843"/>
    <w:rsid w:val="33F60D22"/>
    <w:rsid w:val="344057F2"/>
    <w:rsid w:val="348318D4"/>
    <w:rsid w:val="34A772C6"/>
    <w:rsid w:val="34B84F99"/>
    <w:rsid w:val="350A21BF"/>
    <w:rsid w:val="352C25EB"/>
    <w:rsid w:val="35A668E8"/>
    <w:rsid w:val="35C42453"/>
    <w:rsid w:val="35C97A69"/>
    <w:rsid w:val="35F72828"/>
    <w:rsid w:val="35F904E7"/>
    <w:rsid w:val="363650FE"/>
    <w:rsid w:val="36940077"/>
    <w:rsid w:val="36B10C29"/>
    <w:rsid w:val="37074CED"/>
    <w:rsid w:val="37262402"/>
    <w:rsid w:val="375717D0"/>
    <w:rsid w:val="37E455AA"/>
    <w:rsid w:val="37ED5C91"/>
    <w:rsid w:val="38863297"/>
    <w:rsid w:val="38CF6444"/>
    <w:rsid w:val="38D11FDA"/>
    <w:rsid w:val="393618B9"/>
    <w:rsid w:val="39693A3D"/>
    <w:rsid w:val="397845BB"/>
    <w:rsid w:val="39910994"/>
    <w:rsid w:val="39E57B8C"/>
    <w:rsid w:val="39FA6443"/>
    <w:rsid w:val="3A045513"/>
    <w:rsid w:val="3A2931D7"/>
    <w:rsid w:val="3A3951BD"/>
    <w:rsid w:val="3A966AF0"/>
    <w:rsid w:val="3AA80595"/>
    <w:rsid w:val="3ACC0DB7"/>
    <w:rsid w:val="3AE72E6B"/>
    <w:rsid w:val="3AFE4D0B"/>
    <w:rsid w:val="3B190B4B"/>
    <w:rsid w:val="3B223862"/>
    <w:rsid w:val="3B4F0A10"/>
    <w:rsid w:val="3B711096"/>
    <w:rsid w:val="3C0331DD"/>
    <w:rsid w:val="3C682271"/>
    <w:rsid w:val="3C6B2AEF"/>
    <w:rsid w:val="3C7B6540"/>
    <w:rsid w:val="3CAB1280"/>
    <w:rsid w:val="3CC316B6"/>
    <w:rsid w:val="3CCA1DDD"/>
    <w:rsid w:val="3CD146A2"/>
    <w:rsid w:val="3CFD4BC8"/>
    <w:rsid w:val="3D015D3A"/>
    <w:rsid w:val="3D0575D8"/>
    <w:rsid w:val="3D194571"/>
    <w:rsid w:val="3D4E71D1"/>
    <w:rsid w:val="3D6971ED"/>
    <w:rsid w:val="3D7FF7BF"/>
    <w:rsid w:val="3D9646D4"/>
    <w:rsid w:val="3DBB413B"/>
    <w:rsid w:val="3DCB25D0"/>
    <w:rsid w:val="3DF0052A"/>
    <w:rsid w:val="3E014244"/>
    <w:rsid w:val="3E171F0B"/>
    <w:rsid w:val="3E190DF5"/>
    <w:rsid w:val="3E297D2E"/>
    <w:rsid w:val="3E2B7513"/>
    <w:rsid w:val="3E5A3954"/>
    <w:rsid w:val="3E7E7642"/>
    <w:rsid w:val="3ED74A6A"/>
    <w:rsid w:val="3EF271C6"/>
    <w:rsid w:val="3F1D3F99"/>
    <w:rsid w:val="40224BB0"/>
    <w:rsid w:val="402E32EA"/>
    <w:rsid w:val="40520D87"/>
    <w:rsid w:val="40896772"/>
    <w:rsid w:val="40B82E15"/>
    <w:rsid w:val="40CA33B4"/>
    <w:rsid w:val="40FB7B3F"/>
    <w:rsid w:val="40FE2CBD"/>
    <w:rsid w:val="41006A35"/>
    <w:rsid w:val="41641646"/>
    <w:rsid w:val="41C725A6"/>
    <w:rsid w:val="41F320F5"/>
    <w:rsid w:val="42595168"/>
    <w:rsid w:val="426D22AE"/>
    <w:rsid w:val="42F73E67"/>
    <w:rsid w:val="42F9198D"/>
    <w:rsid w:val="434D1CD9"/>
    <w:rsid w:val="43A72D5B"/>
    <w:rsid w:val="43B9679D"/>
    <w:rsid w:val="446E0159"/>
    <w:rsid w:val="447119F7"/>
    <w:rsid w:val="44937BC0"/>
    <w:rsid w:val="44D16FF4"/>
    <w:rsid w:val="45933C3C"/>
    <w:rsid w:val="45B24076"/>
    <w:rsid w:val="45C864B7"/>
    <w:rsid w:val="46295A03"/>
    <w:rsid w:val="46635713"/>
    <w:rsid w:val="466C2476"/>
    <w:rsid w:val="46B5206F"/>
    <w:rsid w:val="46B53E1D"/>
    <w:rsid w:val="473A07C7"/>
    <w:rsid w:val="47514501"/>
    <w:rsid w:val="47A53E92"/>
    <w:rsid w:val="47AB0EC4"/>
    <w:rsid w:val="47BF6F48"/>
    <w:rsid w:val="47C03160"/>
    <w:rsid w:val="47DD6F22"/>
    <w:rsid w:val="47E82830"/>
    <w:rsid w:val="47F46BC7"/>
    <w:rsid w:val="48496604"/>
    <w:rsid w:val="48741AB6"/>
    <w:rsid w:val="4904108C"/>
    <w:rsid w:val="49076191"/>
    <w:rsid w:val="493F3E72"/>
    <w:rsid w:val="4961203A"/>
    <w:rsid w:val="4977360C"/>
    <w:rsid w:val="499248EA"/>
    <w:rsid w:val="49A4684F"/>
    <w:rsid w:val="4A886E95"/>
    <w:rsid w:val="4AB97C54"/>
    <w:rsid w:val="4AC565F9"/>
    <w:rsid w:val="4B0B3D86"/>
    <w:rsid w:val="4B2652EA"/>
    <w:rsid w:val="4B480623"/>
    <w:rsid w:val="4B971FC5"/>
    <w:rsid w:val="4B9761E7"/>
    <w:rsid w:val="4BC468B1"/>
    <w:rsid w:val="4C213D03"/>
    <w:rsid w:val="4C40062D"/>
    <w:rsid w:val="4C583BC9"/>
    <w:rsid w:val="4CAC7A71"/>
    <w:rsid w:val="4CE4545C"/>
    <w:rsid w:val="4D3D2DBF"/>
    <w:rsid w:val="4D6C360F"/>
    <w:rsid w:val="4D7A7B6F"/>
    <w:rsid w:val="4DE42C7B"/>
    <w:rsid w:val="4DE65204"/>
    <w:rsid w:val="4E3B5550"/>
    <w:rsid w:val="4E500513"/>
    <w:rsid w:val="4E610709"/>
    <w:rsid w:val="4E9730A7"/>
    <w:rsid w:val="4E995D92"/>
    <w:rsid w:val="4EB36AEA"/>
    <w:rsid w:val="4ED07FB2"/>
    <w:rsid w:val="4F84781B"/>
    <w:rsid w:val="4F9667B6"/>
    <w:rsid w:val="4FF84CD5"/>
    <w:rsid w:val="502520DB"/>
    <w:rsid w:val="50443DFB"/>
    <w:rsid w:val="505E72D4"/>
    <w:rsid w:val="50E05F3B"/>
    <w:rsid w:val="50F11EF6"/>
    <w:rsid w:val="51271DBC"/>
    <w:rsid w:val="51907961"/>
    <w:rsid w:val="51E101BC"/>
    <w:rsid w:val="51FD48CA"/>
    <w:rsid w:val="53746A04"/>
    <w:rsid w:val="53764934"/>
    <w:rsid w:val="53D37FD9"/>
    <w:rsid w:val="53DF24DA"/>
    <w:rsid w:val="53E91BA4"/>
    <w:rsid w:val="53F631D3"/>
    <w:rsid w:val="5474356A"/>
    <w:rsid w:val="54B7213F"/>
    <w:rsid w:val="54E83610"/>
    <w:rsid w:val="55020B76"/>
    <w:rsid w:val="550E1BFA"/>
    <w:rsid w:val="556D6D64"/>
    <w:rsid w:val="559612BE"/>
    <w:rsid w:val="55B10CB4"/>
    <w:rsid w:val="55D1023B"/>
    <w:rsid w:val="55E82E39"/>
    <w:rsid w:val="561A5895"/>
    <w:rsid w:val="561D2EF6"/>
    <w:rsid w:val="565325B4"/>
    <w:rsid w:val="565D002E"/>
    <w:rsid w:val="56625644"/>
    <w:rsid w:val="566B274A"/>
    <w:rsid w:val="57066D44"/>
    <w:rsid w:val="5757086E"/>
    <w:rsid w:val="57591D1A"/>
    <w:rsid w:val="57627677"/>
    <w:rsid w:val="57686C8A"/>
    <w:rsid w:val="57C06AC6"/>
    <w:rsid w:val="57C52DA1"/>
    <w:rsid w:val="57E35DA9"/>
    <w:rsid w:val="57E82774"/>
    <w:rsid w:val="585C67EF"/>
    <w:rsid w:val="58944362"/>
    <w:rsid w:val="58A67A6A"/>
    <w:rsid w:val="58A81C6F"/>
    <w:rsid w:val="58C21F06"/>
    <w:rsid w:val="58DB71EA"/>
    <w:rsid w:val="58DE06B7"/>
    <w:rsid w:val="5951525B"/>
    <w:rsid w:val="595E20F3"/>
    <w:rsid w:val="596D0588"/>
    <w:rsid w:val="59983F3B"/>
    <w:rsid w:val="59D73A43"/>
    <w:rsid w:val="59D95C1D"/>
    <w:rsid w:val="5A386FD2"/>
    <w:rsid w:val="5A76346C"/>
    <w:rsid w:val="5A8E6A07"/>
    <w:rsid w:val="5A9D30EE"/>
    <w:rsid w:val="5AA77AC9"/>
    <w:rsid w:val="5ABD5539"/>
    <w:rsid w:val="5ADA39F5"/>
    <w:rsid w:val="5B242EC8"/>
    <w:rsid w:val="5B616C97"/>
    <w:rsid w:val="5B81248F"/>
    <w:rsid w:val="5B9D167B"/>
    <w:rsid w:val="5BFD1D2F"/>
    <w:rsid w:val="5C2C64D8"/>
    <w:rsid w:val="5C3E620B"/>
    <w:rsid w:val="5C5D2B35"/>
    <w:rsid w:val="5C614EE3"/>
    <w:rsid w:val="5CCE033A"/>
    <w:rsid w:val="5D1551BE"/>
    <w:rsid w:val="5D2B2C34"/>
    <w:rsid w:val="5D813F6F"/>
    <w:rsid w:val="5D883BE2"/>
    <w:rsid w:val="5DA12EF6"/>
    <w:rsid w:val="5DE82A19"/>
    <w:rsid w:val="5E0D03A2"/>
    <w:rsid w:val="5E0E2546"/>
    <w:rsid w:val="5E167411"/>
    <w:rsid w:val="5E7625F1"/>
    <w:rsid w:val="5EA002B8"/>
    <w:rsid w:val="5EF13A09"/>
    <w:rsid w:val="5EFA7CCD"/>
    <w:rsid w:val="5F1F40D2"/>
    <w:rsid w:val="5F2B0A2B"/>
    <w:rsid w:val="5F6273A9"/>
    <w:rsid w:val="5F6D6B2B"/>
    <w:rsid w:val="5FD815C3"/>
    <w:rsid w:val="60461E8A"/>
    <w:rsid w:val="60C211B9"/>
    <w:rsid w:val="60C23C73"/>
    <w:rsid w:val="60E05344"/>
    <w:rsid w:val="612B2D7B"/>
    <w:rsid w:val="61AB6CA2"/>
    <w:rsid w:val="61D45648"/>
    <w:rsid w:val="61E3588B"/>
    <w:rsid w:val="61FA4982"/>
    <w:rsid w:val="626A7D5A"/>
    <w:rsid w:val="627A60E1"/>
    <w:rsid w:val="62A9366C"/>
    <w:rsid w:val="62B72874"/>
    <w:rsid w:val="62DE42A4"/>
    <w:rsid w:val="62E93375"/>
    <w:rsid w:val="63104393"/>
    <w:rsid w:val="63321D9C"/>
    <w:rsid w:val="635F7193"/>
    <w:rsid w:val="63834E39"/>
    <w:rsid w:val="638C5AAE"/>
    <w:rsid w:val="63C60FC0"/>
    <w:rsid w:val="645F633A"/>
    <w:rsid w:val="649760A1"/>
    <w:rsid w:val="656E190F"/>
    <w:rsid w:val="65EB11B2"/>
    <w:rsid w:val="663D12E2"/>
    <w:rsid w:val="66426C83"/>
    <w:rsid w:val="66451D50"/>
    <w:rsid w:val="6685798F"/>
    <w:rsid w:val="669E7FD2"/>
    <w:rsid w:val="66B07BA5"/>
    <w:rsid w:val="66D954AE"/>
    <w:rsid w:val="66E6060C"/>
    <w:rsid w:val="677828D6"/>
    <w:rsid w:val="67D068B1"/>
    <w:rsid w:val="683F57E5"/>
    <w:rsid w:val="687E630D"/>
    <w:rsid w:val="68A13DAA"/>
    <w:rsid w:val="68A37B22"/>
    <w:rsid w:val="68C36416"/>
    <w:rsid w:val="68FE2FAA"/>
    <w:rsid w:val="69035AF3"/>
    <w:rsid w:val="69445698"/>
    <w:rsid w:val="698C6808"/>
    <w:rsid w:val="6A21253A"/>
    <w:rsid w:val="6A3E5200"/>
    <w:rsid w:val="6A4E7F61"/>
    <w:rsid w:val="6AD95A7D"/>
    <w:rsid w:val="6AFF300A"/>
    <w:rsid w:val="6CBA1B78"/>
    <w:rsid w:val="6CF641EE"/>
    <w:rsid w:val="6CF64BB7"/>
    <w:rsid w:val="6D0112BB"/>
    <w:rsid w:val="6D0E5786"/>
    <w:rsid w:val="6D400035"/>
    <w:rsid w:val="6D551743"/>
    <w:rsid w:val="6D773C65"/>
    <w:rsid w:val="6D877A12"/>
    <w:rsid w:val="6DA560EA"/>
    <w:rsid w:val="6DB225B5"/>
    <w:rsid w:val="6DD41477"/>
    <w:rsid w:val="6E160D96"/>
    <w:rsid w:val="6E3F02ED"/>
    <w:rsid w:val="6E6935BC"/>
    <w:rsid w:val="6E775CD9"/>
    <w:rsid w:val="6E930639"/>
    <w:rsid w:val="6F052765"/>
    <w:rsid w:val="6F237EA7"/>
    <w:rsid w:val="6F7246F2"/>
    <w:rsid w:val="6FB940CF"/>
    <w:rsid w:val="6FF1538B"/>
    <w:rsid w:val="70563E6D"/>
    <w:rsid w:val="70673B2B"/>
    <w:rsid w:val="707F0E75"/>
    <w:rsid w:val="70AE1E7D"/>
    <w:rsid w:val="70E37655"/>
    <w:rsid w:val="71446A8C"/>
    <w:rsid w:val="71573B9F"/>
    <w:rsid w:val="719259CB"/>
    <w:rsid w:val="71A462ED"/>
    <w:rsid w:val="72170B15"/>
    <w:rsid w:val="725B3589"/>
    <w:rsid w:val="726447C6"/>
    <w:rsid w:val="726D604E"/>
    <w:rsid w:val="72800ED4"/>
    <w:rsid w:val="72C25048"/>
    <w:rsid w:val="7321368F"/>
    <w:rsid w:val="73334198"/>
    <w:rsid w:val="73415F19"/>
    <w:rsid w:val="739015EB"/>
    <w:rsid w:val="740729BF"/>
    <w:rsid w:val="7420471D"/>
    <w:rsid w:val="74251D33"/>
    <w:rsid w:val="74314B71"/>
    <w:rsid w:val="743E4BA3"/>
    <w:rsid w:val="7466391B"/>
    <w:rsid w:val="74BC2BCE"/>
    <w:rsid w:val="753B792D"/>
    <w:rsid w:val="755A1EB0"/>
    <w:rsid w:val="755C65B1"/>
    <w:rsid w:val="756D3991"/>
    <w:rsid w:val="757650E1"/>
    <w:rsid w:val="757C5983"/>
    <w:rsid w:val="75947170"/>
    <w:rsid w:val="75A35605"/>
    <w:rsid w:val="75DB50F0"/>
    <w:rsid w:val="75F47C0F"/>
    <w:rsid w:val="76393874"/>
    <w:rsid w:val="764201A5"/>
    <w:rsid w:val="76571277"/>
    <w:rsid w:val="76937428"/>
    <w:rsid w:val="76B16AD4"/>
    <w:rsid w:val="76D06621"/>
    <w:rsid w:val="77BB5D25"/>
    <w:rsid w:val="785B3F75"/>
    <w:rsid w:val="78675E70"/>
    <w:rsid w:val="78903BC9"/>
    <w:rsid w:val="78B11DE7"/>
    <w:rsid w:val="78B44548"/>
    <w:rsid w:val="78E62834"/>
    <w:rsid w:val="791D747D"/>
    <w:rsid w:val="793B4DF1"/>
    <w:rsid w:val="794669D3"/>
    <w:rsid w:val="7956473D"/>
    <w:rsid w:val="79C618C2"/>
    <w:rsid w:val="79DB863C"/>
    <w:rsid w:val="7A6C5B2F"/>
    <w:rsid w:val="7A832815"/>
    <w:rsid w:val="7AAC05FD"/>
    <w:rsid w:val="7B080BE9"/>
    <w:rsid w:val="7B454A69"/>
    <w:rsid w:val="7B9D6653"/>
    <w:rsid w:val="7BCFF2F2"/>
    <w:rsid w:val="7BDF6C6B"/>
    <w:rsid w:val="7BED75DA"/>
    <w:rsid w:val="7BFF0086"/>
    <w:rsid w:val="7C10151B"/>
    <w:rsid w:val="7C254995"/>
    <w:rsid w:val="7C5533D1"/>
    <w:rsid w:val="7C90187B"/>
    <w:rsid w:val="7CF60710"/>
    <w:rsid w:val="7CFA32DD"/>
    <w:rsid w:val="7D161CF4"/>
    <w:rsid w:val="7D782ED3"/>
    <w:rsid w:val="7DA52540"/>
    <w:rsid w:val="7DBE39F9"/>
    <w:rsid w:val="7DC205F3"/>
    <w:rsid w:val="7DDA3B8E"/>
    <w:rsid w:val="7DE404FB"/>
    <w:rsid w:val="7DF54524"/>
    <w:rsid w:val="7E3F055C"/>
    <w:rsid w:val="7E6A0D19"/>
    <w:rsid w:val="7EF26CB5"/>
    <w:rsid w:val="7EF568AC"/>
    <w:rsid w:val="7F032C71"/>
    <w:rsid w:val="7F080753"/>
    <w:rsid w:val="7F822798"/>
    <w:rsid w:val="7FAD20FB"/>
    <w:rsid w:val="7FD52A5E"/>
    <w:rsid w:val="7FFEB71F"/>
    <w:rsid w:val="A37F029E"/>
    <w:rsid w:val="A5C9BB4D"/>
    <w:rsid w:val="BA7B23C6"/>
    <w:rsid w:val="F7BAA7C2"/>
    <w:rsid w:val="FBF37C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next w:val="1"/>
    <w:qFormat/>
    <w:uiPriority w:val="0"/>
    <w:pPr>
      <w:keepNext/>
      <w:keepLines/>
      <w:widowControl w:val="0"/>
      <w:numPr>
        <w:ilvl w:val="1"/>
        <w:numId w:val="1"/>
      </w:numPr>
      <w:spacing w:before="50" w:beforeLines="50" w:line="360" w:lineRule="auto"/>
      <w:ind w:left="0"/>
      <w:outlineLvl w:val="1"/>
    </w:pPr>
    <w:rPr>
      <w:rFonts w:ascii="黑体" w:hAnsi="Cambria" w:eastAsia="黑体" w:cs="Times New Roman"/>
      <w:bCs/>
      <w:sz w:val="28"/>
      <w:szCs w:val="32"/>
      <w:lang w:val="en-US" w:eastAsia="zh-CN" w:bidi="ar-SA"/>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paragraph" w:styleId="6">
    <w:name w:val="heading 4"/>
    <w:basedOn w:val="1"/>
    <w:next w:val="1"/>
    <w:unhideWhenUsed/>
    <w:qFormat/>
    <w:uiPriority w:val="9"/>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7">
    <w:name w:val="heading 5"/>
    <w:basedOn w:val="1"/>
    <w:next w:val="8"/>
    <w:qFormat/>
    <w:uiPriority w:val="9"/>
    <w:pPr>
      <w:keepNext/>
      <w:keepLines/>
      <w:spacing w:before="280" w:after="290" w:line="376" w:lineRule="auto"/>
      <w:outlineLvl w:val="4"/>
    </w:pPr>
    <w:rPr>
      <w:b/>
      <w:bCs/>
      <w:sz w:val="28"/>
      <w:szCs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Title"/>
    <w:basedOn w:val="1"/>
    <w:next w:val="1"/>
    <w:link w:val="33"/>
    <w:qFormat/>
    <w:uiPriority w:val="0"/>
    <w:pPr>
      <w:spacing w:before="240" w:after="60"/>
      <w:jc w:val="center"/>
      <w:outlineLvl w:val="0"/>
    </w:pPr>
    <w:rPr>
      <w:rFonts w:ascii="Cambria" w:hAnsi="Cambria" w:cs="Times New Roman"/>
      <w:b/>
      <w:bCs/>
      <w:sz w:val="32"/>
      <w:szCs w:val="32"/>
    </w:rPr>
  </w:style>
  <w:style w:type="paragraph" w:styleId="8">
    <w:name w:val="Normal Indent"/>
    <w:basedOn w:val="1"/>
    <w:qFormat/>
    <w:uiPriority w:val="0"/>
    <w:pPr>
      <w:ind w:firstLine="420"/>
    </w:pPr>
    <w:rPr>
      <w:szCs w:val="20"/>
    </w:rPr>
  </w:style>
  <w:style w:type="paragraph" w:styleId="9">
    <w:name w:val="index 8"/>
    <w:basedOn w:val="1"/>
    <w:next w:val="1"/>
    <w:qFormat/>
    <w:uiPriority w:val="0"/>
    <w:pPr>
      <w:ind w:left="2940"/>
    </w:pPr>
  </w:style>
  <w:style w:type="paragraph" w:styleId="10">
    <w:name w:val="List Number"/>
    <w:basedOn w:val="1"/>
    <w:qFormat/>
    <w:uiPriority w:val="0"/>
    <w:pPr>
      <w:numPr>
        <w:ilvl w:val="0"/>
        <w:numId w:val="2"/>
      </w:numPr>
    </w:pPr>
  </w:style>
  <w:style w:type="paragraph" w:styleId="11">
    <w:name w:val="annotation text"/>
    <w:basedOn w:val="1"/>
    <w:link w:val="32"/>
    <w:qFormat/>
    <w:uiPriority w:val="0"/>
    <w:pPr>
      <w:jc w:val="left"/>
    </w:pPr>
  </w:style>
  <w:style w:type="paragraph" w:styleId="12">
    <w:name w:val="index 6"/>
    <w:basedOn w:val="1"/>
    <w:next w:val="1"/>
    <w:unhideWhenUsed/>
    <w:qFormat/>
    <w:uiPriority w:val="0"/>
    <w:pPr>
      <w:ind w:left="2100"/>
    </w:pPr>
    <w:rPr>
      <w:sz w:val="30"/>
      <w:szCs w:val="24"/>
    </w:rPr>
  </w:style>
  <w:style w:type="paragraph" w:styleId="13">
    <w:name w:val="Body Text 3"/>
    <w:basedOn w:val="1"/>
    <w:unhideWhenUsed/>
    <w:qFormat/>
    <w:uiPriority w:val="99"/>
    <w:pPr>
      <w:spacing w:after="120"/>
    </w:pPr>
    <w:rPr>
      <w:sz w:val="16"/>
      <w:szCs w:val="16"/>
    </w:rPr>
  </w:style>
  <w:style w:type="paragraph" w:styleId="14">
    <w:name w:val="Body Text"/>
    <w:basedOn w:val="1"/>
    <w:next w:val="2"/>
    <w:unhideWhenUsed/>
    <w:qFormat/>
    <w:uiPriority w:val="0"/>
    <w:pPr>
      <w:spacing w:after="120"/>
    </w:pPr>
  </w:style>
  <w:style w:type="paragraph" w:styleId="15">
    <w:name w:val="Body Text Indent"/>
    <w:basedOn w:val="1"/>
    <w:next w:val="1"/>
    <w:qFormat/>
    <w:uiPriority w:val="0"/>
    <w:pPr>
      <w:ind w:firstLine="830" w:firstLineChars="352"/>
    </w:pPr>
    <w:rPr>
      <w:rFonts w:ascii="仿宋_GB2312" w:eastAsia="仿宋_GB2312"/>
      <w:kern w:val="0"/>
      <w:sz w:val="32"/>
      <w:szCs w:val="20"/>
    </w:rPr>
  </w:style>
  <w:style w:type="paragraph" w:styleId="16">
    <w:name w:val="List 2"/>
    <w:basedOn w:val="1"/>
    <w:unhideWhenUsed/>
    <w:qFormat/>
    <w:uiPriority w:val="99"/>
    <w:pPr>
      <w:ind w:left="100" w:leftChars="200" w:hanging="200" w:hangingChars="200"/>
      <w:contextualSpacing/>
    </w:pPr>
  </w:style>
  <w:style w:type="paragraph" w:styleId="17">
    <w:name w:val="Block Text"/>
    <w:basedOn w:val="1"/>
    <w:unhideWhenUsed/>
    <w:qFormat/>
    <w:uiPriority w:val="99"/>
    <w:pPr>
      <w:spacing w:after="120"/>
      <w:ind w:left="1440" w:leftChars="700" w:right="1440" w:rightChars="700"/>
    </w:pPr>
    <w:rPr>
      <w:rFonts w:ascii="Times New Roman" w:hAnsi="Times New Roman" w:eastAsia="宋体" w:cs="Times New Roman"/>
    </w:rPr>
  </w:style>
  <w:style w:type="paragraph" w:styleId="18">
    <w:name w:val="Plain Text"/>
    <w:basedOn w:val="1"/>
    <w:next w:val="19"/>
    <w:qFormat/>
    <w:uiPriority w:val="0"/>
    <w:rPr>
      <w:rFonts w:ascii="宋体" w:hAnsi="Courier New"/>
      <w:kern w:val="0"/>
      <w:sz w:val="20"/>
      <w:szCs w:val="21"/>
    </w:rPr>
  </w:style>
  <w:style w:type="paragraph" w:styleId="19">
    <w:name w:val="toc 1"/>
    <w:basedOn w:val="1"/>
    <w:next w:val="1"/>
    <w:unhideWhenUsed/>
    <w:qFormat/>
    <w:uiPriority w:val="39"/>
  </w:style>
  <w:style w:type="paragraph" w:styleId="20">
    <w:name w:val="Balloon Text"/>
    <w:basedOn w:val="1"/>
    <w:link w:val="34"/>
    <w:qFormat/>
    <w:uiPriority w:val="0"/>
    <w:rPr>
      <w:sz w:val="18"/>
      <w:szCs w:val="18"/>
    </w:rPr>
  </w:style>
  <w:style w:type="paragraph" w:styleId="21">
    <w:name w:val="footer"/>
    <w:basedOn w:val="1"/>
    <w:unhideWhenUsed/>
    <w:qFormat/>
    <w:uiPriority w:val="99"/>
    <w:pPr>
      <w:tabs>
        <w:tab w:val="center" w:pos="4153"/>
        <w:tab w:val="right" w:pos="8306"/>
      </w:tabs>
      <w:snapToGrid w:val="0"/>
      <w:jc w:val="left"/>
    </w:pPr>
    <w:rPr>
      <w:kern w:val="0"/>
      <w:sz w:val="18"/>
      <w:szCs w:val="18"/>
    </w:rPr>
  </w:style>
  <w:style w:type="paragraph" w:styleId="22">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2"/>
    <w:basedOn w:val="1"/>
    <w:next w:val="1"/>
    <w:unhideWhenUsed/>
    <w:qFormat/>
    <w:uiPriority w:val="39"/>
    <w:pPr>
      <w:tabs>
        <w:tab w:val="right" w:leader="dot" w:pos="8296"/>
      </w:tabs>
      <w:ind w:left="420" w:leftChars="200"/>
    </w:pPr>
  </w:style>
  <w:style w:type="paragraph" w:styleId="2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5">
    <w:name w:val="annotation subject"/>
    <w:basedOn w:val="11"/>
    <w:next w:val="11"/>
    <w:link w:val="35"/>
    <w:qFormat/>
    <w:uiPriority w:val="0"/>
    <w:rPr>
      <w:b/>
      <w:bCs/>
    </w:rPr>
  </w:style>
  <w:style w:type="table" w:styleId="27">
    <w:name w:val="Table Grid"/>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Hyperlink"/>
    <w:unhideWhenUsed/>
    <w:qFormat/>
    <w:uiPriority w:val="99"/>
    <w:rPr>
      <w:color w:val="0000FF"/>
      <w:u w:val="single"/>
    </w:rPr>
  </w:style>
  <w:style w:type="character" w:styleId="30">
    <w:name w:val="annotation reference"/>
    <w:qFormat/>
    <w:uiPriority w:val="99"/>
    <w:rPr>
      <w:sz w:val="21"/>
      <w:szCs w:val="21"/>
    </w:rPr>
  </w:style>
  <w:style w:type="character" w:styleId="31">
    <w:name w:val="HTML Sample"/>
    <w:basedOn w:val="28"/>
    <w:qFormat/>
    <w:uiPriority w:val="0"/>
    <w:rPr>
      <w:rFonts w:ascii="Courier New" w:hAnsi="Courier New"/>
    </w:rPr>
  </w:style>
  <w:style w:type="character" w:customStyle="1" w:styleId="32">
    <w:name w:val="批注文字 Char"/>
    <w:link w:val="11"/>
    <w:qFormat/>
    <w:uiPriority w:val="0"/>
    <w:rPr>
      <w:rFonts w:ascii="Times New Roman" w:hAnsi="Times New Roman"/>
      <w:kern w:val="2"/>
      <w:sz w:val="21"/>
      <w:szCs w:val="24"/>
    </w:rPr>
  </w:style>
  <w:style w:type="character" w:customStyle="1" w:styleId="33">
    <w:name w:val="标题 Char"/>
    <w:link w:val="2"/>
    <w:qFormat/>
    <w:uiPriority w:val="0"/>
    <w:rPr>
      <w:rFonts w:ascii="Cambria" w:hAnsi="Cambria" w:cs="Times New Roman"/>
      <w:b/>
      <w:bCs/>
      <w:kern w:val="2"/>
      <w:sz w:val="32"/>
      <w:szCs w:val="32"/>
    </w:rPr>
  </w:style>
  <w:style w:type="character" w:customStyle="1" w:styleId="34">
    <w:name w:val="批注框文本 Char"/>
    <w:link w:val="20"/>
    <w:qFormat/>
    <w:uiPriority w:val="0"/>
    <w:rPr>
      <w:rFonts w:ascii="Times New Roman" w:hAnsi="Times New Roman"/>
      <w:kern w:val="2"/>
      <w:sz w:val="18"/>
      <w:szCs w:val="18"/>
    </w:rPr>
  </w:style>
  <w:style w:type="character" w:customStyle="1" w:styleId="35">
    <w:name w:val="批注主题 Char"/>
    <w:link w:val="25"/>
    <w:qFormat/>
    <w:uiPriority w:val="0"/>
    <w:rPr>
      <w:rFonts w:ascii="Times New Roman" w:hAnsi="Times New Roman"/>
      <w:b/>
      <w:bCs/>
      <w:kern w:val="2"/>
      <w:sz w:val="21"/>
      <w:szCs w:val="24"/>
    </w:rPr>
  </w:style>
  <w:style w:type="paragraph" w:customStyle="1" w:styleId="36">
    <w:name w:val="正文-2字符首行缩进"/>
    <w:basedOn w:val="1"/>
    <w:qFormat/>
    <w:uiPriority w:val="0"/>
    <w:pPr>
      <w:ind w:firstLine="200" w:firstLineChars="200"/>
    </w:pPr>
  </w:style>
  <w:style w:type="paragraph" w:customStyle="1" w:styleId="37">
    <w:name w:val="Default"/>
    <w:next w:val="12"/>
    <w:qFormat/>
    <w:uiPriority w:val="99"/>
    <w:pPr>
      <w:widowControl w:val="0"/>
      <w:autoSpaceDE w:val="0"/>
      <w:autoSpaceDN w:val="0"/>
      <w:adjustRightInd w:val="0"/>
      <w:jc w:val="left"/>
    </w:pPr>
    <w:rPr>
      <w:rFonts w:ascii="仿宋_GB2312" w:hAnsi="仿宋_GB2312" w:eastAsia="宋体" w:cs="Times New Roman"/>
      <w:color w:val="000000"/>
      <w:kern w:val="0"/>
      <w:sz w:val="24"/>
      <w:szCs w:val="24"/>
      <w:lang w:val="en-US" w:eastAsia="zh-CN" w:bidi="ar-SA"/>
    </w:rPr>
  </w:style>
  <w:style w:type="character" w:customStyle="1" w:styleId="38">
    <w:name w:val="fontstyle11"/>
    <w:qFormat/>
    <w:uiPriority w:val="0"/>
    <w:rPr>
      <w:rFonts w:hint="default" w:ascii="TimesNewRomanPSMT" w:hAnsi="TimesNewRomanPSMT"/>
      <w:color w:val="000000"/>
      <w:sz w:val="22"/>
      <w:szCs w:val="22"/>
    </w:rPr>
  </w:style>
  <w:style w:type="character" w:customStyle="1" w:styleId="39">
    <w:name w:val="fontstyle01"/>
    <w:qFormat/>
    <w:uiPriority w:val="0"/>
    <w:rPr>
      <w:rFonts w:hint="eastAsia" w:ascii="宋体" w:hAnsi="宋体" w:eastAsia="宋体"/>
      <w:color w:val="000000"/>
      <w:sz w:val="24"/>
      <w:szCs w:val="24"/>
    </w:rPr>
  </w:style>
  <w:style w:type="paragraph" w:styleId="40">
    <w:name w:val="List Paragraph"/>
    <w:basedOn w:val="1"/>
    <w:qFormat/>
    <w:uiPriority w:val="34"/>
    <w:pPr>
      <w:ind w:firstLine="420" w:firstLineChars="200"/>
    </w:pPr>
  </w:style>
  <w:style w:type="paragraph" w:customStyle="1" w:styleId="41">
    <w:name w:val="Table Paragraph"/>
    <w:qFormat/>
    <w:uiPriority w:val="1"/>
    <w:pPr>
      <w:widowControl w:val="0"/>
      <w:jc w:val="left"/>
    </w:pPr>
    <w:rPr>
      <w:rFonts w:ascii="Calibri" w:hAnsi="Calibri" w:eastAsia="宋体" w:cs="Times New Roman"/>
      <w:kern w:val="0"/>
      <w:sz w:val="22"/>
      <w:szCs w:val="22"/>
      <w:lang w:val="en-US" w:eastAsia="en-US" w:bidi="ar-SA"/>
    </w:rPr>
  </w:style>
  <w:style w:type="paragraph" w:customStyle="1" w:styleId="42">
    <w:name w:val="正文2"/>
    <w:basedOn w:val="1"/>
    <w:qFormat/>
    <w:uiPriority w:val="0"/>
    <w:pPr>
      <w:adjustRightInd w:val="0"/>
      <w:spacing w:before="156" w:line="360" w:lineRule="auto"/>
      <w:ind w:firstLine="510" w:firstLineChars="200"/>
    </w:pPr>
    <w:rPr>
      <w:sz w:val="24"/>
      <w:szCs w:val="20"/>
    </w:rPr>
  </w:style>
  <w:style w:type="paragraph" w:customStyle="1" w:styleId="43">
    <w:name w:val="正文-公1"/>
    <w:basedOn w:val="1"/>
    <w:qFormat/>
    <w:uiPriority w:val="99"/>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2"/>
    <w:qFormat/>
    <w:uiPriority w:val="0"/>
    <w:pPr>
      <w:ind w:leftChars="200"/>
    </w:pPr>
    <w:rPr>
      <w:rFonts w:ascii="Times New Roman" w:hAnsi="Times New Roman" w:eastAsia="宋体" w:cs="Times New Roman"/>
      <w:sz w:val="20"/>
      <w:szCs w:val="20"/>
    </w:rPr>
  </w:style>
  <w:style w:type="paragraph" w:customStyle="1" w:styleId="46">
    <w:name w:val="标题3"/>
    <w:basedOn w:val="47"/>
    <w:next w:val="5"/>
    <w:qFormat/>
    <w:uiPriority w:val="0"/>
    <w:pPr>
      <w:spacing w:line="600" w:lineRule="exact"/>
      <w:jc w:val="both"/>
      <w:outlineLvl w:val="2"/>
    </w:pPr>
    <w:rPr>
      <w:rFonts w:ascii="仿宋_GB2312"/>
      <w:b/>
    </w:rPr>
  </w:style>
  <w:style w:type="paragraph" w:customStyle="1" w:styleId="47">
    <w:name w:val="要求正文格式"/>
    <w:basedOn w:val="1"/>
    <w:qFormat/>
    <w:uiPriority w:val="99"/>
    <w:pPr>
      <w:widowControl w:val="0"/>
      <w:spacing w:line="360" w:lineRule="auto"/>
      <w:ind w:firstLine="200" w:firstLineChars="200"/>
      <w:jc w:val="both"/>
      <w:textAlignment w:val="center"/>
    </w:pPr>
    <w:rPr>
      <w:rFonts w:ascii="Times New Roman" w:hAnsi="Times New Roman" w:eastAsia="仿宋_GB2312" w:cs="Times New Roman"/>
      <w:kern w:val="2"/>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70</Pages>
  <Words>3105</Words>
  <Characters>3719</Characters>
  <Lines>311</Lines>
  <Paragraphs>87</Paragraphs>
  <TotalTime>40</TotalTime>
  <ScaleCrop>false</ScaleCrop>
  <LinksUpToDate>false</LinksUpToDate>
  <CharactersWithSpaces>3752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2023-09-28T13:23:00Z</dcterms:created>
  <dc:creator>王子申</dc:creator>
  <cp:lastModifiedBy>xiao</cp:lastModifiedBy>
  <dcterms:modified xsi:type="dcterms:W3CDTF">2026-03-19T02:31:02Z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9F14C84B8E5B425D9506022935F63B64_13</vt:lpwstr>
  </property>
  <property fmtid="{D5CDD505-2E9C-101B-9397-08002B2CF9AE}" pid="4" name="KSOTemplateDocerSaveRecord">
    <vt:lpwstr>eyJoZGlkIjoiMzEwNTM5NzYwMDRjMzkwZTVkZjY2ODkwMGIxNGU0OTUiLCJ1c2VySWQiOiIyMzkzNDY4MzQifQ==</vt:lpwstr>
  </property>
</Properties>
</file>