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6ECAF">
      <w:pPr>
        <w:pStyle w:val="14"/>
        <w:ind w:firstLine="0"/>
        <w:jc w:val="center"/>
        <w:rPr>
          <w:color w:val="auto"/>
        </w:rPr>
      </w:pPr>
      <w:r>
        <w:rPr>
          <w:rFonts w:hint="eastAsia"/>
          <w:color w:val="auto"/>
        </w:rPr>
        <w:t>广西正海招标有限公司</w:t>
      </w:r>
    </w:p>
    <w:p w14:paraId="7D7A921B">
      <w:pPr>
        <w:jc w:val="center"/>
        <w:rPr>
          <w:color w:val="auto"/>
        </w:rPr>
      </w:pPr>
    </w:p>
    <w:p w14:paraId="5E6111A9">
      <w:pPr>
        <w:pStyle w:val="14"/>
        <w:ind w:firstLine="1040"/>
        <w:jc w:val="center"/>
        <w:rPr>
          <w:color w:val="auto"/>
        </w:rPr>
      </w:pPr>
    </w:p>
    <w:p w14:paraId="1C28FB17">
      <w:pPr>
        <w:rPr>
          <w:color w:val="auto"/>
        </w:rPr>
      </w:pPr>
    </w:p>
    <w:p w14:paraId="449AB71B">
      <w:pPr>
        <w:rPr>
          <w:color w:val="auto"/>
        </w:rPr>
      </w:pPr>
    </w:p>
    <w:p w14:paraId="6ED59661">
      <w:pPr>
        <w:rPr>
          <w:color w:val="auto"/>
        </w:rPr>
      </w:pPr>
    </w:p>
    <w:p w14:paraId="3F90E1F3">
      <w:pPr>
        <w:rPr>
          <w:color w:val="auto"/>
        </w:rPr>
      </w:pPr>
    </w:p>
    <w:p w14:paraId="59380E1A">
      <w:pPr>
        <w:pStyle w:val="14"/>
        <w:ind w:firstLine="0"/>
        <w:jc w:val="center"/>
        <w:rPr>
          <w:color w:val="auto"/>
          <w:sz w:val="84"/>
          <w:szCs w:val="84"/>
        </w:rPr>
      </w:pPr>
      <w:r>
        <w:rPr>
          <w:rFonts w:hint="eastAsia"/>
          <w:color w:val="auto"/>
          <w:sz w:val="84"/>
          <w:szCs w:val="84"/>
        </w:rPr>
        <w:t>竞争性谈判文件</w:t>
      </w:r>
    </w:p>
    <w:p w14:paraId="5EA9685A">
      <w:pPr>
        <w:rPr>
          <w:color w:val="auto"/>
        </w:rPr>
      </w:pPr>
    </w:p>
    <w:p w14:paraId="375450F7">
      <w:pPr>
        <w:snapToGrid w:val="0"/>
        <w:spacing w:before="156" w:beforeLines="50"/>
        <w:ind w:firstLine="723"/>
        <w:jc w:val="center"/>
        <w:rPr>
          <w:rFonts w:ascii="宋体" w:hAnsi="宋体" w:cs="宋体"/>
          <w:b/>
          <w:color w:val="auto"/>
          <w:sz w:val="36"/>
          <w:szCs w:val="36"/>
        </w:rPr>
      </w:pPr>
      <w:r>
        <w:rPr>
          <w:rFonts w:hint="eastAsia" w:ascii="宋体" w:hAnsi="宋体" w:cs="宋体"/>
          <w:b/>
          <w:color w:val="auto"/>
          <w:sz w:val="36"/>
          <w:szCs w:val="36"/>
        </w:rPr>
        <w:t>（全流程电子化采购）</w:t>
      </w:r>
    </w:p>
    <w:p w14:paraId="19C55BF2">
      <w:pPr>
        <w:pStyle w:val="14"/>
        <w:ind w:firstLine="1040"/>
        <w:rPr>
          <w:color w:val="auto"/>
        </w:rPr>
      </w:pPr>
    </w:p>
    <w:p w14:paraId="6C7E2375">
      <w:pPr>
        <w:pStyle w:val="17"/>
        <w:ind w:firstLine="360"/>
        <w:rPr>
          <w:color w:val="auto"/>
        </w:rPr>
      </w:pPr>
    </w:p>
    <w:p w14:paraId="1AC12B82">
      <w:pPr>
        <w:pStyle w:val="17"/>
        <w:ind w:firstLine="360"/>
        <w:rPr>
          <w:color w:val="auto"/>
        </w:rPr>
      </w:pPr>
    </w:p>
    <w:p w14:paraId="1B312C8D">
      <w:pPr>
        <w:pStyle w:val="17"/>
        <w:ind w:firstLine="360"/>
        <w:rPr>
          <w:color w:val="auto"/>
        </w:rPr>
      </w:pPr>
    </w:p>
    <w:p w14:paraId="05F26292">
      <w:pPr>
        <w:pStyle w:val="14"/>
        <w:ind w:firstLine="640"/>
        <w:rPr>
          <w:color w:val="auto"/>
          <w:sz w:val="32"/>
          <w:szCs w:val="32"/>
        </w:rPr>
      </w:pPr>
    </w:p>
    <w:p w14:paraId="6722F530">
      <w:pPr>
        <w:pStyle w:val="14"/>
        <w:ind w:firstLine="0"/>
        <w:jc w:val="center"/>
        <w:rPr>
          <w:color w:val="auto"/>
          <w:sz w:val="32"/>
          <w:szCs w:val="32"/>
        </w:rPr>
      </w:pPr>
      <w:r>
        <w:rPr>
          <w:rFonts w:hint="eastAsia"/>
          <w:color w:val="auto"/>
          <w:sz w:val="32"/>
          <w:szCs w:val="32"/>
        </w:rPr>
        <w:t>项目名称：广西高院无纸化合议室设备采购项目</w:t>
      </w:r>
    </w:p>
    <w:p w14:paraId="13976685">
      <w:pPr>
        <w:jc w:val="center"/>
        <w:rPr>
          <w:color w:val="auto"/>
          <w:sz w:val="32"/>
          <w:szCs w:val="32"/>
        </w:rPr>
      </w:pPr>
    </w:p>
    <w:p w14:paraId="644FE6D0">
      <w:pPr>
        <w:pStyle w:val="14"/>
        <w:ind w:firstLine="0"/>
        <w:jc w:val="center"/>
        <w:rPr>
          <w:rFonts w:hint="eastAsia" w:eastAsia="宋体"/>
          <w:color w:val="auto"/>
          <w:sz w:val="32"/>
          <w:szCs w:val="32"/>
          <w:lang w:eastAsia="zh-CN"/>
        </w:rPr>
      </w:pPr>
      <w:r>
        <w:rPr>
          <w:rFonts w:hint="eastAsia"/>
          <w:color w:val="auto"/>
          <w:sz w:val="32"/>
          <w:szCs w:val="32"/>
        </w:rPr>
        <w:t>项目编号：</w:t>
      </w:r>
      <w:r>
        <w:rPr>
          <w:rFonts w:hint="eastAsia"/>
          <w:color w:val="auto"/>
          <w:sz w:val="32"/>
          <w:szCs w:val="32"/>
          <w:lang w:eastAsia="zh-CN"/>
        </w:rPr>
        <w:t>GXZC2025-J1-003977-ZHZB</w:t>
      </w:r>
    </w:p>
    <w:p w14:paraId="2621D63D">
      <w:pPr>
        <w:jc w:val="center"/>
        <w:rPr>
          <w:color w:val="auto"/>
          <w:sz w:val="32"/>
          <w:szCs w:val="32"/>
        </w:rPr>
      </w:pPr>
    </w:p>
    <w:p w14:paraId="079B0797">
      <w:pPr>
        <w:pStyle w:val="14"/>
        <w:ind w:firstLine="0"/>
        <w:jc w:val="center"/>
        <w:rPr>
          <w:color w:val="auto"/>
          <w:sz w:val="32"/>
          <w:szCs w:val="32"/>
        </w:rPr>
      </w:pPr>
    </w:p>
    <w:p w14:paraId="76BC1099">
      <w:pPr>
        <w:jc w:val="center"/>
        <w:rPr>
          <w:color w:val="auto"/>
          <w:sz w:val="32"/>
          <w:szCs w:val="32"/>
        </w:rPr>
      </w:pPr>
    </w:p>
    <w:p w14:paraId="46CBC579">
      <w:pPr>
        <w:jc w:val="center"/>
        <w:rPr>
          <w:rFonts w:ascii="宋体" w:hAnsi="宋体" w:cs="宋体"/>
          <w:color w:val="auto"/>
          <w:sz w:val="32"/>
          <w:szCs w:val="32"/>
        </w:rPr>
      </w:pPr>
    </w:p>
    <w:p w14:paraId="2F229BA9">
      <w:pPr>
        <w:pStyle w:val="14"/>
        <w:ind w:firstLine="0"/>
        <w:jc w:val="center"/>
        <w:rPr>
          <w:color w:val="auto"/>
          <w:sz w:val="32"/>
          <w:szCs w:val="32"/>
        </w:rPr>
      </w:pPr>
      <w:r>
        <w:rPr>
          <w:rFonts w:hint="eastAsia"/>
          <w:color w:val="auto"/>
          <w:sz w:val="32"/>
          <w:szCs w:val="32"/>
        </w:rPr>
        <w:t>采购人：广西壮族自治区高级人民法院</w:t>
      </w:r>
    </w:p>
    <w:p w14:paraId="631F8467">
      <w:pPr>
        <w:pStyle w:val="14"/>
        <w:ind w:firstLine="0"/>
        <w:jc w:val="both"/>
        <w:rPr>
          <w:color w:val="auto"/>
          <w:sz w:val="32"/>
          <w:szCs w:val="32"/>
        </w:rPr>
      </w:pPr>
    </w:p>
    <w:p w14:paraId="53074AD3">
      <w:pPr>
        <w:pStyle w:val="14"/>
        <w:ind w:firstLine="0"/>
        <w:jc w:val="center"/>
        <w:rPr>
          <w:color w:val="auto"/>
          <w:sz w:val="32"/>
          <w:szCs w:val="32"/>
        </w:rPr>
      </w:pPr>
      <w:r>
        <w:rPr>
          <w:rFonts w:hint="eastAsia"/>
          <w:color w:val="auto"/>
          <w:sz w:val="32"/>
          <w:szCs w:val="32"/>
        </w:rPr>
        <w:t>采购代理机构：广西正海招标有限公司</w:t>
      </w:r>
    </w:p>
    <w:p w14:paraId="0D41957F">
      <w:pPr>
        <w:jc w:val="center"/>
        <w:rPr>
          <w:color w:val="auto"/>
          <w:sz w:val="32"/>
          <w:szCs w:val="32"/>
        </w:rPr>
      </w:pPr>
    </w:p>
    <w:p w14:paraId="6268E9C6">
      <w:pPr>
        <w:pStyle w:val="14"/>
        <w:ind w:firstLine="0"/>
        <w:jc w:val="center"/>
        <w:rPr>
          <w:color w:val="auto"/>
          <w:sz w:val="32"/>
          <w:szCs w:val="32"/>
        </w:rPr>
      </w:pPr>
      <w:r>
        <w:rPr>
          <w:rFonts w:hint="eastAsia"/>
          <w:color w:val="auto"/>
          <w:sz w:val="32"/>
          <w:szCs w:val="32"/>
        </w:rPr>
        <w:t>2025年12月</w:t>
      </w:r>
    </w:p>
    <w:p w14:paraId="7DEDA064">
      <w:pPr>
        <w:ind w:firstLine="613"/>
        <w:rPr>
          <w:rFonts w:ascii="宋体" w:hAnsi="宋体" w:cs="宋体"/>
          <w:b/>
          <w:bCs/>
          <w:color w:val="auto"/>
          <w:w w:val="95"/>
          <w:kern w:val="0"/>
          <w:sz w:val="32"/>
          <w:szCs w:val="32"/>
          <w:lang w:val="zh-CN"/>
        </w:rPr>
        <w:sectPr>
          <w:headerReference r:id="rId4" w:type="first"/>
          <w:footerReference r:id="rId5" w:type="default"/>
          <w:headerReference r:id="rId3" w:type="even"/>
          <w:pgSz w:w="11906" w:h="16838"/>
          <w:pgMar w:top="1440" w:right="1803" w:bottom="1440" w:left="1803" w:header="851" w:footer="992" w:gutter="0"/>
          <w:cols w:space="720" w:num="1"/>
          <w:docGrid w:type="lines" w:linePitch="312" w:charSpace="0"/>
        </w:sectPr>
      </w:pPr>
    </w:p>
    <w:p w14:paraId="39D272C3">
      <w:pPr>
        <w:spacing w:line="360" w:lineRule="auto"/>
        <w:jc w:val="center"/>
        <w:rPr>
          <w:rFonts w:ascii="宋体" w:hAnsi="宋体"/>
          <w:b/>
          <w:color w:val="auto"/>
          <w:sz w:val="44"/>
          <w:szCs w:val="44"/>
        </w:rPr>
      </w:pPr>
      <w:r>
        <w:rPr>
          <w:rFonts w:hint="eastAsia" w:ascii="宋体" w:hAnsi="宋体"/>
          <w:b/>
          <w:color w:val="auto"/>
          <w:sz w:val="44"/>
          <w:szCs w:val="44"/>
        </w:rPr>
        <w:t>目  录</w:t>
      </w:r>
    </w:p>
    <w:p w14:paraId="602A145E">
      <w:pPr>
        <w:spacing w:line="400" w:lineRule="exact"/>
        <w:ind w:firstLine="883"/>
        <w:jc w:val="center"/>
        <w:rPr>
          <w:rFonts w:ascii="宋体" w:hAnsi="宋体"/>
          <w:b/>
          <w:color w:val="auto"/>
          <w:sz w:val="44"/>
          <w:szCs w:val="44"/>
        </w:rPr>
      </w:pPr>
    </w:p>
    <w:p w14:paraId="1B47928C">
      <w:pPr>
        <w:pStyle w:val="19"/>
        <w:rPr>
          <w:rFonts w:asciiTheme="minorHAnsi" w:hAnsiTheme="minorHAnsi" w:eastAsiaTheme="minorEastAsia" w:cstheme="minorBidi"/>
          <w:color w:val="auto"/>
          <w:sz w:val="28"/>
          <w:szCs w:val="28"/>
        </w:rPr>
      </w:pPr>
      <w:r>
        <w:rPr>
          <w:rFonts w:ascii="宋体" w:hAnsi="宋体"/>
          <w:b/>
          <w:color w:val="auto"/>
        </w:rPr>
        <w:fldChar w:fldCharType="begin"/>
      </w:r>
      <w:r>
        <w:rPr>
          <w:rFonts w:ascii="宋体" w:hAnsi="宋体"/>
          <w:b/>
          <w:color w:val="auto"/>
        </w:rPr>
        <w:instrText xml:space="preserve"> </w:instrText>
      </w:r>
      <w:r>
        <w:rPr>
          <w:rFonts w:hint="eastAsia" w:ascii="宋体" w:hAnsi="宋体"/>
          <w:b/>
          <w:color w:val="auto"/>
        </w:rPr>
        <w:instrText xml:space="preserve">TOC \o "1-3" \h \z \u</w:instrText>
      </w:r>
      <w:r>
        <w:rPr>
          <w:rFonts w:ascii="宋体" w:hAnsi="宋体"/>
          <w:b/>
          <w:color w:val="auto"/>
        </w:rPr>
        <w:instrText xml:space="preserve"> </w:instrText>
      </w:r>
      <w:r>
        <w:rPr>
          <w:rFonts w:ascii="宋体" w:hAnsi="宋体"/>
          <w:b/>
          <w:color w:val="auto"/>
        </w:rPr>
        <w:fldChar w:fldCharType="separate"/>
      </w:r>
      <w:r>
        <w:rPr>
          <w:color w:val="auto"/>
        </w:rPr>
        <w:fldChar w:fldCharType="begin"/>
      </w:r>
      <w:r>
        <w:rPr>
          <w:color w:val="auto"/>
        </w:rPr>
        <w:instrText xml:space="preserve"> HYPERLINK \l "_Toc129703548" </w:instrText>
      </w:r>
      <w:r>
        <w:rPr>
          <w:color w:val="auto"/>
        </w:rPr>
        <w:fldChar w:fldCharType="separate"/>
      </w:r>
      <w:r>
        <w:rPr>
          <w:rStyle w:val="31"/>
          <w:rFonts w:hint="eastAsia"/>
          <w:color w:val="auto"/>
          <w:sz w:val="28"/>
          <w:szCs w:val="28"/>
        </w:rPr>
        <w:t>第一章</w:t>
      </w:r>
      <w:r>
        <w:rPr>
          <w:rStyle w:val="31"/>
          <w:color w:val="auto"/>
          <w:sz w:val="28"/>
          <w:szCs w:val="28"/>
        </w:rPr>
        <w:t xml:space="preserve"> </w:t>
      </w:r>
      <w:r>
        <w:rPr>
          <w:rStyle w:val="31"/>
          <w:rFonts w:hint="eastAsia"/>
          <w:color w:val="auto"/>
          <w:sz w:val="28"/>
          <w:szCs w:val="28"/>
        </w:rPr>
        <w:t>竞争性谈判公告</w:t>
      </w:r>
      <w:r>
        <w:rPr>
          <w:color w:val="auto"/>
          <w:sz w:val="28"/>
          <w:szCs w:val="28"/>
        </w:rPr>
        <w:tab/>
      </w:r>
      <w:r>
        <w:rPr>
          <w:color w:val="auto"/>
          <w:sz w:val="28"/>
          <w:szCs w:val="28"/>
        </w:rPr>
        <w:fldChar w:fldCharType="begin"/>
      </w:r>
      <w:r>
        <w:rPr>
          <w:color w:val="auto"/>
          <w:sz w:val="28"/>
          <w:szCs w:val="28"/>
        </w:rPr>
        <w:instrText xml:space="preserve"> PAGEREF _Toc129703548 \h </w:instrText>
      </w:r>
      <w:r>
        <w:rPr>
          <w:color w:val="auto"/>
          <w:sz w:val="28"/>
          <w:szCs w:val="28"/>
        </w:rPr>
        <w:fldChar w:fldCharType="separate"/>
      </w:r>
      <w:r>
        <w:rPr>
          <w:color w:val="auto"/>
          <w:sz w:val="28"/>
          <w:szCs w:val="28"/>
        </w:rPr>
        <w:t>1</w:t>
      </w:r>
      <w:r>
        <w:rPr>
          <w:color w:val="auto"/>
          <w:sz w:val="28"/>
          <w:szCs w:val="28"/>
        </w:rPr>
        <w:fldChar w:fldCharType="end"/>
      </w:r>
      <w:r>
        <w:rPr>
          <w:color w:val="auto"/>
          <w:sz w:val="28"/>
          <w:szCs w:val="28"/>
        </w:rPr>
        <w:fldChar w:fldCharType="end"/>
      </w:r>
    </w:p>
    <w:p w14:paraId="63ACF953">
      <w:pPr>
        <w:pStyle w:val="19"/>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"_Toc129703549" </w:instrText>
      </w:r>
      <w:r>
        <w:rPr>
          <w:color w:val="auto"/>
        </w:rPr>
        <w:fldChar w:fldCharType="separate"/>
      </w:r>
      <w:r>
        <w:rPr>
          <w:rStyle w:val="31"/>
          <w:rFonts w:hint="eastAsia"/>
          <w:color w:val="auto"/>
          <w:sz w:val="28"/>
          <w:szCs w:val="28"/>
        </w:rPr>
        <w:t>第二章</w:t>
      </w:r>
      <w:r>
        <w:rPr>
          <w:rStyle w:val="31"/>
          <w:color w:val="auto"/>
          <w:sz w:val="28"/>
          <w:szCs w:val="28"/>
        </w:rPr>
        <w:t xml:space="preserve"> </w:t>
      </w:r>
      <w:r>
        <w:rPr>
          <w:rStyle w:val="31"/>
          <w:rFonts w:hint="eastAsia"/>
          <w:color w:val="auto"/>
          <w:sz w:val="28"/>
          <w:szCs w:val="28"/>
        </w:rPr>
        <w:t>供应商须知</w:t>
      </w:r>
      <w:r>
        <w:rPr>
          <w:color w:val="auto"/>
          <w:sz w:val="28"/>
          <w:szCs w:val="28"/>
        </w:rPr>
        <w:tab/>
      </w:r>
      <w:r>
        <w:rPr>
          <w:color w:val="auto"/>
          <w:sz w:val="28"/>
          <w:szCs w:val="28"/>
        </w:rPr>
        <w:fldChar w:fldCharType="begin"/>
      </w:r>
      <w:r>
        <w:rPr>
          <w:color w:val="auto"/>
          <w:sz w:val="28"/>
          <w:szCs w:val="28"/>
        </w:rPr>
        <w:instrText xml:space="preserve"> PAGEREF _Toc129703549 \h </w:instrText>
      </w:r>
      <w:r>
        <w:rPr>
          <w:color w:val="auto"/>
          <w:sz w:val="28"/>
          <w:szCs w:val="28"/>
        </w:rPr>
        <w:fldChar w:fldCharType="separate"/>
      </w:r>
      <w:r>
        <w:rPr>
          <w:color w:val="auto"/>
          <w:sz w:val="28"/>
          <w:szCs w:val="28"/>
        </w:rPr>
        <w:t>4</w:t>
      </w:r>
      <w:r>
        <w:rPr>
          <w:color w:val="auto"/>
          <w:sz w:val="28"/>
          <w:szCs w:val="28"/>
        </w:rPr>
        <w:fldChar w:fldCharType="end"/>
      </w:r>
      <w:r>
        <w:rPr>
          <w:color w:val="auto"/>
          <w:sz w:val="28"/>
          <w:szCs w:val="28"/>
        </w:rPr>
        <w:fldChar w:fldCharType="end"/>
      </w:r>
    </w:p>
    <w:p w14:paraId="021E7406">
      <w:pPr>
        <w:pStyle w:val="19"/>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"_Toc129703550" </w:instrText>
      </w:r>
      <w:r>
        <w:rPr>
          <w:color w:val="auto"/>
        </w:rPr>
        <w:fldChar w:fldCharType="separate"/>
      </w:r>
      <w:r>
        <w:rPr>
          <w:rStyle w:val="31"/>
          <w:rFonts w:hint="eastAsia"/>
          <w:color w:val="auto"/>
          <w:sz w:val="28"/>
          <w:szCs w:val="28"/>
        </w:rPr>
        <w:t>第三章</w:t>
      </w:r>
      <w:r>
        <w:rPr>
          <w:rStyle w:val="31"/>
          <w:color w:val="auto"/>
          <w:sz w:val="28"/>
          <w:szCs w:val="28"/>
        </w:rPr>
        <w:t xml:space="preserve"> </w:t>
      </w:r>
      <w:r>
        <w:rPr>
          <w:rStyle w:val="31"/>
          <w:rFonts w:hint="eastAsia"/>
          <w:color w:val="auto"/>
          <w:sz w:val="28"/>
          <w:szCs w:val="28"/>
        </w:rPr>
        <w:t>采购需求</w:t>
      </w:r>
      <w:r>
        <w:rPr>
          <w:color w:val="auto"/>
          <w:sz w:val="28"/>
          <w:szCs w:val="28"/>
        </w:rPr>
        <w:tab/>
      </w:r>
      <w:r>
        <w:rPr>
          <w:color w:val="auto"/>
          <w:sz w:val="28"/>
          <w:szCs w:val="28"/>
        </w:rPr>
        <w:fldChar w:fldCharType="begin"/>
      </w:r>
      <w:r>
        <w:rPr>
          <w:color w:val="auto"/>
          <w:sz w:val="28"/>
          <w:szCs w:val="28"/>
        </w:rPr>
        <w:instrText xml:space="preserve"> PAGEREF _Toc129703550 \h </w:instrText>
      </w:r>
      <w:r>
        <w:rPr>
          <w:color w:val="auto"/>
          <w:sz w:val="28"/>
          <w:szCs w:val="28"/>
        </w:rPr>
        <w:fldChar w:fldCharType="separate"/>
      </w:r>
      <w:r>
        <w:rPr>
          <w:color w:val="auto"/>
          <w:sz w:val="28"/>
          <w:szCs w:val="28"/>
        </w:rPr>
        <w:t>26</w:t>
      </w:r>
      <w:r>
        <w:rPr>
          <w:color w:val="auto"/>
          <w:sz w:val="28"/>
          <w:szCs w:val="28"/>
        </w:rPr>
        <w:fldChar w:fldCharType="end"/>
      </w:r>
      <w:r>
        <w:rPr>
          <w:color w:val="auto"/>
          <w:sz w:val="28"/>
          <w:szCs w:val="28"/>
        </w:rPr>
        <w:fldChar w:fldCharType="end"/>
      </w:r>
    </w:p>
    <w:p w14:paraId="5E97B142">
      <w:pPr>
        <w:pStyle w:val="19"/>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"_Toc129703551" </w:instrText>
      </w:r>
      <w:r>
        <w:rPr>
          <w:color w:val="auto"/>
        </w:rPr>
        <w:fldChar w:fldCharType="separate"/>
      </w:r>
      <w:r>
        <w:rPr>
          <w:rStyle w:val="31"/>
          <w:rFonts w:hint="eastAsia" w:ascii="宋体" w:hAnsi="宋体" w:cs="宋体"/>
          <w:color w:val="auto"/>
          <w:sz w:val="28"/>
          <w:szCs w:val="28"/>
        </w:rPr>
        <w:t>第四章</w:t>
      </w:r>
      <w:r>
        <w:rPr>
          <w:rStyle w:val="31"/>
          <w:rFonts w:ascii="宋体" w:hAnsi="宋体" w:cs="宋体"/>
          <w:color w:val="auto"/>
          <w:sz w:val="28"/>
          <w:szCs w:val="28"/>
        </w:rPr>
        <w:t xml:space="preserve"> </w:t>
      </w:r>
      <w:r>
        <w:rPr>
          <w:rStyle w:val="31"/>
          <w:rFonts w:hint="eastAsia" w:ascii="宋体" w:hAnsi="宋体" w:cs="宋体"/>
          <w:color w:val="auto"/>
          <w:sz w:val="28"/>
          <w:szCs w:val="28"/>
        </w:rPr>
        <w:t>评审程序和评定成交的标准</w:t>
      </w:r>
      <w:r>
        <w:rPr>
          <w:color w:val="auto"/>
          <w:sz w:val="28"/>
          <w:szCs w:val="28"/>
        </w:rPr>
        <w:tab/>
      </w:r>
      <w:r>
        <w:rPr>
          <w:color w:val="auto"/>
          <w:sz w:val="28"/>
          <w:szCs w:val="28"/>
        </w:rPr>
        <w:fldChar w:fldCharType="begin"/>
      </w:r>
      <w:r>
        <w:rPr>
          <w:color w:val="auto"/>
          <w:sz w:val="28"/>
          <w:szCs w:val="28"/>
        </w:rPr>
        <w:instrText xml:space="preserve"> PAGEREF _Toc129703551 \h </w:instrText>
      </w:r>
      <w:r>
        <w:rPr>
          <w:color w:val="auto"/>
          <w:sz w:val="28"/>
          <w:szCs w:val="28"/>
        </w:rPr>
        <w:fldChar w:fldCharType="separate"/>
      </w:r>
      <w:r>
        <w:rPr>
          <w:color w:val="auto"/>
          <w:sz w:val="28"/>
          <w:szCs w:val="28"/>
        </w:rPr>
        <w:t>46</w:t>
      </w:r>
      <w:r>
        <w:rPr>
          <w:color w:val="auto"/>
          <w:sz w:val="28"/>
          <w:szCs w:val="28"/>
        </w:rPr>
        <w:fldChar w:fldCharType="end"/>
      </w:r>
      <w:r>
        <w:rPr>
          <w:color w:val="auto"/>
          <w:sz w:val="28"/>
          <w:szCs w:val="28"/>
        </w:rPr>
        <w:fldChar w:fldCharType="end"/>
      </w:r>
    </w:p>
    <w:p w14:paraId="28469168">
      <w:pPr>
        <w:pStyle w:val="19"/>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"_Toc129703552" </w:instrText>
      </w:r>
      <w:r>
        <w:rPr>
          <w:color w:val="auto"/>
        </w:rPr>
        <w:fldChar w:fldCharType="separate"/>
      </w:r>
      <w:r>
        <w:rPr>
          <w:rStyle w:val="31"/>
          <w:rFonts w:hint="eastAsia" w:ascii="宋体" w:hAnsi="宋体" w:cs="宋体"/>
          <w:color w:val="auto"/>
          <w:sz w:val="28"/>
          <w:szCs w:val="28"/>
        </w:rPr>
        <w:t>第五章</w:t>
      </w:r>
      <w:r>
        <w:rPr>
          <w:rStyle w:val="31"/>
          <w:rFonts w:ascii="宋体" w:hAnsi="宋体" w:cs="宋体"/>
          <w:color w:val="auto"/>
          <w:sz w:val="28"/>
          <w:szCs w:val="28"/>
        </w:rPr>
        <w:t xml:space="preserve"> </w:t>
      </w:r>
      <w:r>
        <w:rPr>
          <w:rStyle w:val="31"/>
          <w:rFonts w:hint="eastAsia" w:ascii="宋体" w:hAnsi="宋体" w:cs="宋体"/>
          <w:color w:val="auto"/>
          <w:sz w:val="28"/>
          <w:szCs w:val="28"/>
        </w:rPr>
        <w:t>响应文件格式</w:t>
      </w:r>
      <w:r>
        <w:rPr>
          <w:color w:val="auto"/>
          <w:sz w:val="28"/>
          <w:szCs w:val="28"/>
        </w:rPr>
        <w:tab/>
      </w:r>
      <w:r>
        <w:rPr>
          <w:color w:val="auto"/>
          <w:sz w:val="28"/>
          <w:szCs w:val="28"/>
        </w:rPr>
        <w:fldChar w:fldCharType="begin"/>
      </w:r>
      <w:r>
        <w:rPr>
          <w:color w:val="auto"/>
          <w:sz w:val="28"/>
          <w:szCs w:val="28"/>
        </w:rPr>
        <w:instrText xml:space="preserve"> PAGEREF _Toc129703552 \h </w:instrText>
      </w:r>
      <w:r>
        <w:rPr>
          <w:color w:val="auto"/>
          <w:sz w:val="28"/>
          <w:szCs w:val="28"/>
        </w:rPr>
        <w:fldChar w:fldCharType="separate"/>
      </w:r>
      <w:r>
        <w:rPr>
          <w:color w:val="auto"/>
          <w:sz w:val="28"/>
          <w:szCs w:val="28"/>
        </w:rPr>
        <w:t>53</w:t>
      </w:r>
      <w:r>
        <w:rPr>
          <w:color w:val="auto"/>
          <w:sz w:val="28"/>
          <w:szCs w:val="28"/>
        </w:rPr>
        <w:fldChar w:fldCharType="end"/>
      </w:r>
      <w:r>
        <w:rPr>
          <w:color w:val="auto"/>
          <w:sz w:val="28"/>
          <w:szCs w:val="28"/>
        </w:rPr>
        <w:fldChar w:fldCharType="end"/>
      </w:r>
    </w:p>
    <w:p w14:paraId="5D3AF95C">
      <w:pPr>
        <w:pStyle w:val="19"/>
        <w:rPr>
          <w:rFonts w:asciiTheme="minorHAnsi" w:hAnsiTheme="minorHAnsi" w:eastAsiaTheme="minorEastAsia" w:cstheme="minorBidi"/>
          <w:color w:val="auto"/>
        </w:rPr>
      </w:pPr>
      <w:r>
        <w:rPr>
          <w:color w:val="auto"/>
        </w:rPr>
        <w:fldChar w:fldCharType="begin"/>
      </w:r>
      <w:r>
        <w:rPr>
          <w:color w:val="auto"/>
        </w:rPr>
        <w:instrText xml:space="preserve"> HYPERLINK \l "_Toc129703553" </w:instrText>
      </w:r>
      <w:r>
        <w:rPr>
          <w:color w:val="auto"/>
        </w:rPr>
        <w:fldChar w:fldCharType="separate"/>
      </w:r>
      <w:r>
        <w:rPr>
          <w:rStyle w:val="31"/>
          <w:rFonts w:hint="eastAsia" w:ascii="宋体" w:hAnsi="宋体" w:cs="宋体"/>
          <w:color w:val="auto"/>
          <w:sz w:val="28"/>
          <w:szCs w:val="28"/>
        </w:rPr>
        <w:t>第六章</w:t>
      </w:r>
      <w:r>
        <w:rPr>
          <w:rStyle w:val="31"/>
          <w:rFonts w:ascii="宋体" w:hAnsi="宋体" w:cs="宋体"/>
          <w:color w:val="auto"/>
          <w:sz w:val="28"/>
          <w:szCs w:val="28"/>
        </w:rPr>
        <w:t xml:space="preserve"> </w:t>
      </w:r>
      <w:r>
        <w:rPr>
          <w:rStyle w:val="31"/>
          <w:rFonts w:hint="eastAsia" w:ascii="宋体" w:hAnsi="宋体" w:cs="宋体"/>
          <w:color w:val="auto"/>
          <w:sz w:val="28"/>
          <w:szCs w:val="28"/>
        </w:rPr>
        <w:t>合同文本</w:t>
      </w:r>
      <w:r>
        <w:rPr>
          <w:color w:val="auto"/>
          <w:sz w:val="28"/>
          <w:szCs w:val="28"/>
        </w:rPr>
        <w:tab/>
      </w:r>
      <w:r>
        <w:rPr>
          <w:color w:val="auto"/>
          <w:sz w:val="28"/>
          <w:szCs w:val="28"/>
        </w:rPr>
        <w:fldChar w:fldCharType="begin"/>
      </w:r>
      <w:r>
        <w:rPr>
          <w:color w:val="auto"/>
          <w:sz w:val="28"/>
          <w:szCs w:val="28"/>
        </w:rPr>
        <w:instrText xml:space="preserve"> PAGEREF _Toc129703553 \h </w:instrText>
      </w:r>
      <w:r>
        <w:rPr>
          <w:color w:val="auto"/>
          <w:sz w:val="28"/>
          <w:szCs w:val="28"/>
        </w:rPr>
        <w:fldChar w:fldCharType="separate"/>
      </w:r>
      <w:r>
        <w:rPr>
          <w:color w:val="auto"/>
          <w:sz w:val="28"/>
          <w:szCs w:val="28"/>
        </w:rPr>
        <w:t>77</w:t>
      </w:r>
      <w:r>
        <w:rPr>
          <w:color w:val="auto"/>
          <w:sz w:val="28"/>
          <w:szCs w:val="28"/>
        </w:rPr>
        <w:fldChar w:fldCharType="end"/>
      </w:r>
      <w:r>
        <w:rPr>
          <w:color w:val="auto"/>
          <w:sz w:val="28"/>
          <w:szCs w:val="28"/>
        </w:rPr>
        <w:fldChar w:fldCharType="end"/>
      </w:r>
    </w:p>
    <w:p w14:paraId="49C716A4">
      <w:pPr>
        <w:pStyle w:val="20"/>
        <w:tabs>
          <w:tab w:val="right" w:leader="dot" w:pos="8931"/>
          <w:tab w:val="clear" w:pos="8296"/>
        </w:tabs>
        <w:snapToGrid w:val="0"/>
        <w:spacing w:line="500" w:lineRule="atLeast"/>
        <w:ind w:left="0" w:leftChars="0" w:firstLine="602"/>
        <w:rPr>
          <w:rFonts w:ascii="宋体" w:hAnsi="宋体"/>
          <w:b/>
          <w:color w:val="auto"/>
          <w:sz w:val="24"/>
        </w:rPr>
      </w:pPr>
      <w:r>
        <w:rPr>
          <w:rFonts w:ascii="宋体" w:hAnsi="宋体"/>
          <w:b/>
          <w:color w:val="auto"/>
          <w:sz w:val="30"/>
          <w:szCs w:val="30"/>
        </w:rPr>
        <w:fldChar w:fldCharType="end"/>
      </w:r>
    </w:p>
    <w:p w14:paraId="2997BA3E">
      <w:pPr>
        <w:spacing w:line="400" w:lineRule="exact"/>
        <w:ind w:firstLine="643"/>
        <w:jc w:val="left"/>
        <w:rPr>
          <w:rFonts w:ascii="宋体" w:hAnsi="宋体"/>
          <w:b/>
          <w:color w:val="auto"/>
          <w:sz w:val="32"/>
          <w:szCs w:val="32"/>
        </w:rPr>
      </w:pPr>
    </w:p>
    <w:p w14:paraId="7414F2BC">
      <w:pPr>
        <w:spacing w:line="400" w:lineRule="exact"/>
        <w:ind w:firstLine="643"/>
        <w:jc w:val="center"/>
        <w:rPr>
          <w:rFonts w:ascii="宋体" w:hAnsi="宋体"/>
          <w:b/>
          <w:color w:val="auto"/>
          <w:sz w:val="32"/>
          <w:szCs w:val="32"/>
        </w:rPr>
      </w:pPr>
    </w:p>
    <w:p w14:paraId="35E1ACE5">
      <w:pPr>
        <w:spacing w:line="400" w:lineRule="exact"/>
        <w:ind w:firstLine="643"/>
        <w:jc w:val="center"/>
        <w:rPr>
          <w:rFonts w:ascii="宋体" w:hAnsi="宋体"/>
          <w:b/>
          <w:color w:val="auto"/>
          <w:sz w:val="32"/>
          <w:szCs w:val="32"/>
        </w:rPr>
      </w:pPr>
    </w:p>
    <w:p w14:paraId="656E1357">
      <w:pPr>
        <w:spacing w:line="400" w:lineRule="exact"/>
        <w:ind w:firstLine="643"/>
        <w:jc w:val="center"/>
        <w:rPr>
          <w:rFonts w:ascii="宋体" w:hAnsi="宋体"/>
          <w:b/>
          <w:color w:val="auto"/>
          <w:sz w:val="32"/>
          <w:szCs w:val="32"/>
        </w:rPr>
      </w:pPr>
    </w:p>
    <w:p w14:paraId="1B00E27D">
      <w:pPr>
        <w:spacing w:line="400" w:lineRule="exact"/>
        <w:ind w:firstLine="643"/>
        <w:jc w:val="center"/>
        <w:rPr>
          <w:rFonts w:ascii="宋体" w:hAnsi="宋体"/>
          <w:b/>
          <w:color w:val="auto"/>
          <w:sz w:val="32"/>
          <w:szCs w:val="32"/>
        </w:rPr>
      </w:pPr>
    </w:p>
    <w:p w14:paraId="1CD746A1">
      <w:pPr>
        <w:spacing w:line="400" w:lineRule="exact"/>
        <w:ind w:firstLine="643"/>
        <w:rPr>
          <w:rFonts w:ascii="宋体" w:hAnsi="宋体"/>
          <w:b/>
          <w:color w:val="auto"/>
          <w:sz w:val="32"/>
          <w:szCs w:val="32"/>
        </w:rPr>
        <w:sectPr>
          <w:headerReference r:id="rId6" w:type="default"/>
          <w:footerReference r:id="rId7" w:type="default"/>
          <w:pgSz w:w="11906" w:h="16838"/>
          <w:pgMar w:top="1440" w:right="1803" w:bottom="1440" w:left="1803" w:header="851" w:footer="992" w:gutter="0"/>
          <w:pgNumType w:start="0"/>
          <w:cols w:space="720" w:num="1"/>
          <w:titlePg/>
          <w:docGrid w:type="lines" w:linePitch="312" w:charSpace="0"/>
        </w:sectPr>
      </w:pPr>
    </w:p>
    <w:p w14:paraId="24F7D07B">
      <w:pPr>
        <w:pStyle w:val="2"/>
        <w:spacing w:before="165" w:after="100" w:line="480" w:lineRule="auto"/>
        <w:jc w:val="center"/>
        <w:rPr>
          <w:color w:val="auto"/>
        </w:rPr>
      </w:pPr>
      <w:bookmarkStart w:id="0" w:name="_Toc129703548"/>
      <w:r>
        <w:rPr>
          <w:rFonts w:hint="eastAsia"/>
          <w:color w:val="auto"/>
        </w:rPr>
        <w:t>第一章 竞争性谈判公告</w:t>
      </w:r>
      <w:bookmarkEnd w:id="0"/>
    </w:p>
    <w:p w14:paraId="5C78855C">
      <w:pPr>
        <w:spacing w:line="400" w:lineRule="exact"/>
        <w:jc w:val="center"/>
        <w:rPr>
          <w:rFonts w:ascii="宋体" w:hAnsi="宋体"/>
          <w:b/>
          <w:bCs/>
          <w:color w:val="auto"/>
          <w:sz w:val="24"/>
        </w:rPr>
      </w:pPr>
      <w:r>
        <w:rPr>
          <w:rFonts w:hint="eastAsia" w:ascii="宋体" w:hAnsi="宋体"/>
          <w:b/>
          <w:bCs/>
          <w:color w:val="auto"/>
          <w:sz w:val="24"/>
        </w:rPr>
        <w:t>广西正海招标有限公司关于广西高院无纸化合议室设备采购项目（项目编号：</w:t>
      </w:r>
      <w:r>
        <w:rPr>
          <w:rFonts w:ascii="宋体" w:hAnsi="宋体"/>
          <w:b/>
          <w:bCs/>
          <w:color w:val="auto"/>
          <w:sz w:val="24"/>
        </w:rPr>
        <w:t xml:space="preserve"> </w:t>
      </w:r>
      <w:r>
        <w:rPr>
          <w:rFonts w:hint="eastAsia" w:ascii="宋体" w:hAnsi="宋体"/>
          <w:b/>
          <w:bCs/>
          <w:color w:val="auto"/>
          <w:sz w:val="24"/>
          <w:lang w:eastAsia="zh-CN"/>
        </w:rPr>
        <w:t>GXZC2025-J1-003977-ZHZB</w:t>
      </w:r>
      <w:r>
        <w:rPr>
          <w:rFonts w:hint="eastAsia" w:ascii="宋体" w:hAnsi="宋体"/>
          <w:b/>
          <w:bCs/>
          <w:color w:val="auto"/>
          <w:sz w:val="24"/>
        </w:rPr>
        <w:t>）的竞争性谈判公告</w:t>
      </w:r>
    </w:p>
    <w:p w14:paraId="7EEB911C">
      <w:pPr>
        <w:pBdr>
          <w:top w:val="single" w:color="auto" w:sz="4" w:space="1"/>
          <w:left w:val="single" w:color="auto" w:sz="4" w:space="4"/>
          <w:bottom w:val="single" w:color="auto" w:sz="4" w:space="1"/>
          <w:right w:val="single" w:color="auto" w:sz="4" w:space="4"/>
        </w:pBdr>
        <w:spacing w:line="400" w:lineRule="exact"/>
        <w:ind w:firstLine="420" w:firstLineChars="200"/>
        <w:rPr>
          <w:rFonts w:ascii="宋体" w:hAnsi="宋体"/>
          <w:color w:val="auto"/>
          <w:szCs w:val="21"/>
        </w:rPr>
      </w:pPr>
      <w:bookmarkStart w:id="1" w:name="_Hlk37430271"/>
      <w:r>
        <w:rPr>
          <w:rFonts w:hint="eastAsia" w:ascii="宋体" w:hAnsi="宋体"/>
          <w:color w:val="auto"/>
          <w:szCs w:val="21"/>
        </w:rPr>
        <w:t>项目概况</w:t>
      </w:r>
    </w:p>
    <w:p w14:paraId="4506A281">
      <w:pPr>
        <w:pBdr>
          <w:top w:val="single" w:color="auto" w:sz="4" w:space="1"/>
          <w:left w:val="single" w:color="auto" w:sz="4" w:space="4"/>
          <w:bottom w:val="single" w:color="auto" w:sz="4" w:space="1"/>
          <w:right w:val="single" w:color="auto" w:sz="4" w:space="4"/>
        </w:pBdr>
        <w:spacing w:line="400" w:lineRule="exact"/>
        <w:ind w:firstLine="420" w:firstLineChars="200"/>
        <w:rPr>
          <w:rFonts w:ascii="宋体" w:hAnsi="宋体"/>
          <w:color w:val="auto"/>
          <w:szCs w:val="21"/>
        </w:rPr>
      </w:pPr>
      <w:r>
        <w:rPr>
          <w:rFonts w:hint="eastAsia" w:ascii="宋体" w:hAnsi="宋体"/>
          <w:color w:val="auto"/>
          <w:szCs w:val="21"/>
          <w:u w:val="single"/>
        </w:rPr>
        <w:t>广西高院无纸化合议室设备采购项目</w:t>
      </w:r>
      <w:r>
        <w:rPr>
          <w:rFonts w:hint="eastAsia" w:ascii="宋体" w:hAnsi="宋体"/>
          <w:color w:val="auto"/>
          <w:szCs w:val="21"/>
        </w:rPr>
        <w:t>的潜在供应商应在广西政府采购云平台（https://www.gcy.zfcg.gxzf.gov.cn/）获取（下载）竞争性谈判文件，并于</w:t>
      </w:r>
      <w:r>
        <w:rPr>
          <w:rFonts w:hint="eastAsia" w:ascii="宋体" w:hAnsi="宋体"/>
          <w:color w:val="auto"/>
          <w:szCs w:val="21"/>
          <w:u w:val="single"/>
        </w:rPr>
        <w:t>2025年</w:t>
      </w:r>
      <w:r>
        <w:rPr>
          <w:rFonts w:hint="eastAsia" w:ascii="宋体" w:hAnsi="宋体"/>
          <w:color w:val="auto"/>
          <w:szCs w:val="21"/>
          <w:u w:val="single"/>
          <w:lang w:val="en-US" w:eastAsia="zh-CN"/>
        </w:rPr>
        <w:t>12</w:t>
      </w:r>
      <w:r>
        <w:rPr>
          <w:rFonts w:hint="eastAsia" w:ascii="宋体" w:hAnsi="宋体"/>
          <w:color w:val="auto"/>
          <w:szCs w:val="21"/>
          <w:u w:val="single"/>
        </w:rPr>
        <w:t>月</w:t>
      </w:r>
      <w:r>
        <w:rPr>
          <w:rFonts w:hint="eastAsia" w:ascii="宋体" w:hAnsi="宋体"/>
          <w:color w:val="auto"/>
          <w:szCs w:val="21"/>
          <w:u w:val="single"/>
          <w:lang w:val="en-US" w:eastAsia="zh-CN"/>
        </w:rPr>
        <w:t>30</w:t>
      </w:r>
      <w:r>
        <w:rPr>
          <w:rFonts w:hint="eastAsia" w:ascii="宋体" w:hAnsi="宋体"/>
          <w:color w:val="auto"/>
          <w:szCs w:val="21"/>
          <w:u w:val="single"/>
        </w:rPr>
        <w:t>日09时00分</w:t>
      </w:r>
      <w:r>
        <w:rPr>
          <w:rFonts w:hint="eastAsia" w:ascii="宋体" w:hAnsi="宋体"/>
          <w:bCs/>
          <w:color w:val="auto"/>
          <w:szCs w:val="21"/>
          <w:u w:val="single"/>
        </w:rPr>
        <w:t>（</w:t>
      </w:r>
      <w:r>
        <w:rPr>
          <w:rFonts w:hint="eastAsia" w:ascii="宋体" w:hAnsi="宋体"/>
          <w:bCs/>
          <w:color w:val="auto"/>
          <w:szCs w:val="21"/>
        </w:rPr>
        <w:t>北京时间）前提交（上传）</w:t>
      </w:r>
      <w:r>
        <w:rPr>
          <w:rFonts w:hint="eastAsia" w:ascii="宋体" w:hAnsi="宋体"/>
          <w:color w:val="auto"/>
          <w:szCs w:val="21"/>
        </w:rPr>
        <w:t>响应</w:t>
      </w:r>
      <w:r>
        <w:rPr>
          <w:rFonts w:ascii="宋体" w:hAnsi="宋体"/>
          <w:bCs/>
          <w:color w:val="auto"/>
          <w:szCs w:val="21"/>
        </w:rPr>
        <w:t>文件</w:t>
      </w:r>
      <w:r>
        <w:rPr>
          <w:rFonts w:hint="eastAsia" w:ascii="宋体" w:hAnsi="宋体"/>
          <w:color w:val="auto"/>
          <w:szCs w:val="21"/>
        </w:rPr>
        <w:t>。</w:t>
      </w:r>
    </w:p>
    <w:p w14:paraId="05EE5B3E">
      <w:pPr>
        <w:spacing w:line="400" w:lineRule="exact"/>
        <w:ind w:firstLine="360" w:firstLineChars="150"/>
        <w:rPr>
          <w:rFonts w:ascii="黑体" w:hAnsi="黑体" w:eastAsia="黑体"/>
          <w:color w:val="auto"/>
          <w:sz w:val="24"/>
        </w:rPr>
      </w:pPr>
      <w:bookmarkStart w:id="2" w:name="_Toc35393798"/>
      <w:bookmarkStart w:id="3" w:name="_Toc28359089"/>
      <w:bookmarkStart w:id="4" w:name="_Toc35393629"/>
      <w:bookmarkStart w:id="5" w:name="_Toc28359012"/>
      <w:bookmarkStart w:id="6" w:name="_Toc71365362"/>
      <w:bookmarkStart w:id="7" w:name="_Toc71366040"/>
      <w:r>
        <w:rPr>
          <w:rFonts w:hint="eastAsia" w:ascii="黑体" w:hAnsi="黑体" w:eastAsia="黑体"/>
          <w:color w:val="auto"/>
          <w:sz w:val="24"/>
        </w:rPr>
        <w:t>一、项目基本情况</w:t>
      </w:r>
      <w:bookmarkEnd w:id="2"/>
      <w:bookmarkEnd w:id="3"/>
      <w:bookmarkEnd w:id="4"/>
      <w:bookmarkEnd w:id="5"/>
      <w:bookmarkEnd w:id="6"/>
      <w:bookmarkEnd w:id="7"/>
    </w:p>
    <w:p w14:paraId="366FD555">
      <w:pPr>
        <w:spacing w:line="400" w:lineRule="exact"/>
        <w:ind w:firstLine="420" w:firstLineChars="200"/>
        <w:rPr>
          <w:rFonts w:ascii="宋体" w:hAnsi="宋体"/>
          <w:color w:val="auto"/>
          <w:szCs w:val="21"/>
        </w:rPr>
      </w:pPr>
      <w:r>
        <w:rPr>
          <w:rFonts w:hint="eastAsia" w:ascii="宋体" w:hAnsi="宋体"/>
          <w:color w:val="auto"/>
          <w:szCs w:val="21"/>
        </w:rPr>
        <w:t>项目编号：</w:t>
      </w:r>
      <w:r>
        <w:rPr>
          <w:rFonts w:hint="eastAsia" w:ascii="宋体" w:hAnsi="宋体"/>
          <w:color w:val="auto"/>
          <w:szCs w:val="21"/>
          <w:lang w:eastAsia="zh-CN"/>
        </w:rPr>
        <w:t>GXZC2025-J1-003977-ZHZB</w:t>
      </w:r>
      <w:r>
        <w:rPr>
          <w:rFonts w:hint="eastAsia" w:ascii="宋体" w:hAnsi="宋体"/>
          <w:color w:val="auto"/>
          <w:szCs w:val="21"/>
        </w:rPr>
        <w:t xml:space="preserve">   </w:t>
      </w:r>
      <w:bookmarkStart w:id="8" w:name="OLE_LINK3"/>
      <w:bookmarkStart w:id="84" w:name="_GoBack"/>
      <w:bookmarkEnd w:id="84"/>
    </w:p>
    <w:p w14:paraId="569E7E51">
      <w:pPr>
        <w:spacing w:line="400" w:lineRule="exact"/>
        <w:ind w:firstLine="420" w:firstLineChars="200"/>
        <w:rPr>
          <w:rFonts w:ascii="宋体" w:hAnsi="宋体"/>
          <w:color w:val="auto"/>
          <w:szCs w:val="21"/>
        </w:rPr>
      </w:pPr>
      <w:r>
        <w:rPr>
          <w:rFonts w:hint="eastAsia" w:ascii="宋体" w:hAnsi="宋体"/>
          <w:color w:val="auto"/>
          <w:szCs w:val="21"/>
        </w:rPr>
        <w:t>政府采购计划编号：</w:t>
      </w:r>
      <w:bookmarkEnd w:id="8"/>
      <w:r>
        <w:rPr>
          <w:rFonts w:hint="eastAsia" w:ascii="宋体" w:hAnsi="宋体"/>
          <w:color w:val="auto"/>
          <w:szCs w:val="21"/>
          <w:lang w:eastAsia="zh-CN"/>
        </w:rPr>
        <w:t>广西政采[2025]26341号</w:t>
      </w:r>
    </w:p>
    <w:p w14:paraId="215FFAAA">
      <w:pPr>
        <w:spacing w:line="400" w:lineRule="exact"/>
        <w:ind w:firstLine="420" w:firstLineChars="200"/>
        <w:rPr>
          <w:rFonts w:ascii="宋体" w:hAnsi="宋体"/>
          <w:color w:val="auto"/>
          <w:szCs w:val="21"/>
          <w:u w:val="single"/>
        </w:rPr>
      </w:pPr>
      <w:r>
        <w:rPr>
          <w:rFonts w:hint="eastAsia" w:ascii="宋体" w:hAnsi="宋体"/>
          <w:color w:val="auto"/>
          <w:szCs w:val="21"/>
        </w:rPr>
        <w:t>项目名称：广西高院无纸化合议室设备采购项目</w:t>
      </w:r>
    </w:p>
    <w:p w14:paraId="6611C51F">
      <w:pPr>
        <w:spacing w:line="400" w:lineRule="exact"/>
        <w:ind w:firstLine="420" w:firstLineChars="200"/>
        <w:rPr>
          <w:rFonts w:ascii="宋体" w:hAnsi="宋体"/>
          <w:color w:val="auto"/>
          <w:szCs w:val="21"/>
        </w:rPr>
      </w:pPr>
      <w:r>
        <w:rPr>
          <w:rFonts w:hint="eastAsia" w:ascii="宋体" w:hAnsi="宋体"/>
          <w:color w:val="auto"/>
          <w:szCs w:val="21"/>
        </w:rPr>
        <w:t>采购方式：竞争性谈判</w:t>
      </w:r>
    </w:p>
    <w:p w14:paraId="14507DB9">
      <w:pPr>
        <w:spacing w:line="400" w:lineRule="exact"/>
        <w:ind w:firstLine="420" w:firstLineChars="200"/>
        <w:rPr>
          <w:rFonts w:ascii="宋体" w:hAnsi="宋体"/>
          <w:color w:val="auto"/>
          <w:szCs w:val="21"/>
        </w:rPr>
      </w:pPr>
      <w:r>
        <w:rPr>
          <w:rFonts w:hint="eastAsia" w:ascii="宋体" w:hAnsi="宋体"/>
          <w:color w:val="auto"/>
          <w:szCs w:val="21"/>
        </w:rPr>
        <w:t>预算金额：</w:t>
      </w:r>
      <w:r>
        <w:rPr>
          <w:rFonts w:hint="eastAsia" w:ascii="宋体" w:hAnsi="宋体"/>
          <w:iCs/>
          <w:color w:val="auto"/>
          <w:szCs w:val="21"/>
        </w:rPr>
        <w:t>人民币壹佰柒拾捌万柒仟伍佰元整（¥1,787,500.00）</w:t>
      </w:r>
    </w:p>
    <w:p w14:paraId="157597C8">
      <w:pPr>
        <w:spacing w:line="400" w:lineRule="exact"/>
        <w:ind w:firstLine="420" w:firstLineChars="200"/>
        <w:rPr>
          <w:rFonts w:ascii="宋体" w:hAnsi="宋体"/>
          <w:color w:val="auto"/>
          <w:szCs w:val="21"/>
        </w:rPr>
      </w:pPr>
      <w:r>
        <w:rPr>
          <w:rFonts w:hint="eastAsia" w:ascii="宋体" w:hAnsi="宋体"/>
          <w:color w:val="auto"/>
          <w:szCs w:val="21"/>
        </w:rPr>
        <w:t>最高限价：</w:t>
      </w:r>
      <w:r>
        <w:rPr>
          <w:rFonts w:hint="eastAsia" w:ascii="宋体" w:hAnsi="宋体" w:cs="宋体"/>
          <w:color w:val="auto"/>
          <w:szCs w:val="21"/>
        </w:rPr>
        <w:t>同预算金额。</w:t>
      </w:r>
    </w:p>
    <w:p w14:paraId="41CD413E">
      <w:pPr>
        <w:spacing w:line="400" w:lineRule="exact"/>
        <w:ind w:firstLine="420" w:firstLineChars="200"/>
        <w:rPr>
          <w:rFonts w:ascii="宋体" w:hAnsi="宋体"/>
          <w:color w:val="auto"/>
          <w:szCs w:val="21"/>
        </w:rPr>
      </w:pPr>
      <w:r>
        <w:rPr>
          <w:rFonts w:hint="eastAsia" w:ascii="宋体" w:hAnsi="宋体"/>
          <w:color w:val="auto"/>
          <w:szCs w:val="21"/>
        </w:rPr>
        <w:t>采购需求：详见第三章采购需求。</w:t>
      </w:r>
    </w:p>
    <w:p w14:paraId="0D7F3DC0">
      <w:pPr>
        <w:spacing w:line="400" w:lineRule="exact"/>
        <w:ind w:firstLine="420" w:firstLineChars="200"/>
        <w:rPr>
          <w:rFonts w:ascii="宋体" w:hAnsi="宋体"/>
          <w:color w:val="auto"/>
          <w:szCs w:val="21"/>
        </w:rPr>
      </w:pPr>
      <w:r>
        <w:rPr>
          <w:rFonts w:hint="eastAsia" w:ascii="宋体" w:hAnsi="宋体"/>
          <w:color w:val="auto"/>
          <w:szCs w:val="21"/>
        </w:rPr>
        <w:t>合同履行期限：</w:t>
      </w:r>
      <w:r>
        <w:rPr>
          <w:color w:val="auto"/>
          <w:szCs w:val="21"/>
        </w:rPr>
        <w:t>自签订合同之日起</w:t>
      </w:r>
      <w:r>
        <w:rPr>
          <w:rFonts w:hint="eastAsia"/>
          <w:color w:val="auto"/>
          <w:szCs w:val="21"/>
        </w:rPr>
        <w:t>30</w:t>
      </w:r>
      <w:r>
        <w:rPr>
          <w:color w:val="auto"/>
          <w:szCs w:val="21"/>
        </w:rPr>
        <w:t>日内完成供货、安装调试完毕并通过验收。</w:t>
      </w:r>
    </w:p>
    <w:p w14:paraId="426BA6FB">
      <w:pPr>
        <w:spacing w:line="400" w:lineRule="exact"/>
        <w:ind w:firstLine="420" w:firstLineChars="200"/>
        <w:rPr>
          <w:rFonts w:ascii="宋体" w:hAnsi="宋体"/>
          <w:color w:val="auto"/>
          <w:szCs w:val="21"/>
        </w:rPr>
      </w:pPr>
      <w:r>
        <w:rPr>
          <w:rFonts w:hint="eastAsia" w:ascii="宋体" w:hAnsi="宋体"/>
          <w:color w:val="auto"/>
          <w:szCs w:val="21"/>
        </w:rPr>
        <w:t>本项目不接受联合体竞标。</w:t>
      </w:r>
    </w:p>
    <w:p w14:paraId="153F5F09">
      <w:pPr>
        <w:spacing w:line="400" w:lineRule="exact"/>
        <w:ind w:firstLine="480" w:firstLineChars="200"/>
        <w:rPr>
          <w:rFonts w:ascii="黑体" w:hAnsi="黑体" w:eastAsia="黑体"/>
          <w:color w:val="auto"/>
          <w:sz w:val="24"/>
        </w:rPr>
      </w:pPr>
      <w:bookmarkStart w:id="9" w:name="_Toc35393799"/>
      <w:bookmarkStart w:id="10" w:name="_Toc28359090"/>
      <w:bookmarkStart w:id="11" w:name="_Toc71365363"/>
      <w:bookmarkStart w:id="12" w:name="_Toc35393630"/>
      <w:bookmarkStart w:id="13" w:name="_Toc28359013"/>
      <w:bookmarkStart w:id="14" w:name="_Toc71366041"/>
      <w:r>
        <w:rPr>
          <w:rFonts w:hint="eastAsia" w:ascii="黑体" w:hAnsi="黑体" w:eastAsia="黑体"/>
          <w:color w:val="auto"/>
          <w:sz w:val="24"/>
        </w:rPr>
        <w:t>二、供应商的资格条件：</w:t>
      </w:r>
      <w:bookmarkEnd w:id="9"/>
      <w:bookmarkEnd w:id="10"/>
      <w:bookmarkEnd w:id="11"/>
      <w:bookmarkEnd w:id="12"/>
      <w:bookmarkEnd w:id="13"/>
      <w:bookmarkEnd w:id="14"/>
    </w:p>
    <w:p w14:paraId="25191CF8">
      <w:pPr>
        <w:spacing w:line="400" w:lineRule="exact"/>
        <w:ind w:firstLine="420" w:firstLineChars="200"/>
        <w:rPr>
          <w:rFonts w:ascii="宋体" w:hAnsi="宋体"/>
          <w:color w:val="auto"/>
          <w:szCs w:val="21"/>
        </w:rPr>
      </w:pPr>
      <w:bookmarkStart w:id="15" w:name="_Toc28359091"/>
      <w:bookmarkStart w:id="16" w:name="_Toc28359014"/>
      <w:r>
        <w:rPr>
          <w:rFonts w:hint="eastAsia" w:ascii="宋体" w:hAnsi="宋体"/>
          <w:color w:val="auto"/>
          <w:szCs w:val="21"/>
        </w:rPr>
        <w:t>1.满足《中华人民共和国政府采购法》第二十二条规定；</w:t>
      </w:r>
    </w:p>
    <w:p w14:paraId="3FDE68C6">
      <w:pPr>
        <w:spacing w:line="400" w:lineRule="exact"/>
        <w:ind w:firstLine="420" w:firstLineChars="200"/>
        <w:rPr>
          <w:rFonts w:ascii="宋体" w:hAnsi="宋体"/>
          <w:color w:val="auto"/>
          <w:szCs w:val="21"/>
        </w:rPr>
      </w:pPr>
      <w:r>
        <w:rPr>
          <w:rFonts w:ascii="宋体" w:hAnsi="宋体"/>
          <w:color w:val="auto"/>
          <w:szCs w:val="21"/>
        </w:rPr>
        <w:t>2</w:t>
      </w:r>
      <w:r>
        <w:rPr>
          <w:rFonts w:hint="eastAsia" w:ascii="宋体" w:hAnsi="宋体"/>
          <w:color w:val="auto"/>
          <w:szCs w:val="21"/>
        </w:rPr>
        <w:t>.落实政府采购政策需满足的资格要求：</w:t>
      </w:r>
      <w:r>
        <w:rPr>
          <w:rFonts w:hint="eastAsia" w:ascii="宋体" w:hAnsi="宋体" w:cs="宋体"/>
          <w:color w:val="auto"/>
          <w:szCs w:val="21"/>
        </w:rPr>
        <w:t>无</w:t>
      </w:r>
      <w:r>
        <w:rPr>
          <w:rFonts w:hint="eastAsia" w:ascii="宋体" w:hAnsi="宋体" w:cs="宋体"/>
          <w:color w:val="auto"/>
        </w:rPr>
        <w:t>；</w:t>
      </w:r>
    </w:p>
    <w:p w14:paraId="72EAF242">
      <w:pPr>
        <w:spacing w:line="400" w:lineRule="exact"/>
        <w:ind w:firstLine="420" w:firstLineChars="200"/>
        <w:rPr>
          <w:rFonts w:ascii="宋体" w:hAnsi="宋体"/>
          <w:color w:val="auto"/>
          <w:szCs w:val="21"/>
        </w:rPr>
      </w:pPr>
      <w:r>
        <w:rPr>
          <w:rFonts w:hint="eastAsia" w:ascii="宋体" w:hAnsi="宋体"/>
          <w:color w:val="auto"/>
          <w:szCs w:val="21"/>
        </w:rPr>
        <w:t>3.本项目的特定资格要求：无。</w:t>
      </w:r>
    </w:p>
    <w:p w14:paraId="790A6742">
      <w:pPr>
        <w:spacing w:line="400" w:lineRule="exact"/>
        <w:ind w:firstLine="480" w:firstLineChars="200"/>
        <w:rPr>
          <w:rFonts w:ascii="黑体" w:hAnsi="黑体" w:eastAsia="黑体"/>
          <w:color w:val="auto"/>
          <w:sz w:val="24"/>
        </w:rPr>
      </w:pPr>
      <w:bookmarkStart w:id="17" w:name="_Toc35393800"/>
      <w:bookmarkStart w:id="18" w:name="_Toc71365364"/>
      <w:bookmarkStart w:id="19" w:name="_Toc35393631"/>
      <w:bookmarkStart w:id="20" w:name="_Toc71366042"/>
      <w:r>
        <w:rPr>
          <w:rFonts w:hint="eastAsia" w:ascii="黑体" w:hAnsi="黑体" w:eastAsia="黑体"/>
          <w:color w:val="auto"/>
          <w:sz w:val="24"/>
        </w:rPr>
        <w:t>三、获取竞争性谈判文件</w:t>
      </w:r>
      <w:bookmarkEnd w:id="15"/>
      <w:bookmarkEnd w:id="16"/>
      <w:bookmarkEnd w:id="17"/>
      <w:bookmarkEnd w:id="18"/>
      <w:bookmarkEnd w:id="19"/>
      <w:bookmarkEnd w:id="20"/>
    </w:p>
    <w:p w14:paraId="31BBA69D">
      <w:pPr>
        <w:widowControl/>
        <w:spacing w:line="400" w:lineRule="exact"/>
        <w:ind w:firstLine="420" w:firstLineChars="200"/>
        <w:jc w:val="left"/>
        <w:rPr>
          <w:rFonts w:ascii="宋体" w:hAnsi="宋体" w:cs="宋体"/>
          <w:color w:val="auto"/>
          <w:szCs w:val="21"/>
        </w:rPr>
      </w:pPr>
      <w:bookmarkStart w:id="21" w:name="_Toc28359092"/>
      <w:bookmarkStart w:id="22" w:name="_Toc71366043"/>
      <w:bookmarkStart w:id="23" w:name="_Toc35393632"/>
      <w:bookmarkStart w:id="24" w:name="_Toc35393801"/>
      <w:bookmarkStart w:id="25" w:name="_Toc28359015"/>
      <w:bookmarkStart w:id="26" w:name="_Toc71365365"/>
      <w:r>
        <w:rPr>
          <w:rFonts w:hint="eastAsia" w:ascii="宋体" w:hAnsi="宋体" w:cs="宋体"/>
          <w:color w:val="auto"/>
          <w:szCs w:val="21"/>
        </w:rPr>
        <w:t>时间：2025年</w:t>
      </w:r>
      <w:r>
        <w:rPr>
          <w:rFonts w:hint="eastAsia" w:ascii="宋体" w:hAnsi="宋体" w:cs="宋体"/>
          <w:color w:val="auto"/>
          <w:szCs w:val="21"/>
          <w:lang w:val="en-US" w:eastAsia="zh-CN"/>
        </w:rPr>
        <w:t>12</w:t>
      </w:r>
      <w:r>
        <w:rPr>
          <w:rFonts w:hint="eastAsia" w:ascii="宋体" w:hAnsi="宋体" w:cs="宋体"/>
          <w:color w:val="auto"/>
          <w:szCs w:val="21"/>
        </w:rPr>
        <w:t>月</w:t>
      </w:r>
      <w:r>
        <w:rPr>
          <w:rFonts w:hint="eastAsia" w:ascii="宋体" w:hAnsi="宋体" w:cs="宋体"/>
          <w:color w:val="auto"/>
          <w:szCs w:val="21"/>
          <w:lang w:val="en-US" w:eastAsia="zh-CN"/>
        </w:rPr>
        <w:t>24</w:t>
      </w:r>
      <w:r>
        <w:rPr>
          <w:rFonts w:hint="eastAsia" w:ascii="宋体" w:hAnsi="宋体" w:cs="宋体"/>
          <w:color w:val="auto"/>
          <w:szCs w:val="21"/>
        </w:rPr>
        <w:t>日至2025年</w:t>
      </w:r>
      <w:r>
        <w:rPr>
          <w:rFonts w:hint="eastAsia" w:ascii="宋体" w:hAnsi="宋体" w:cs="宋体"/>
          <w:color w:val="auto"/>
          <w:szCs w:val="21"/>
          <w:lang w:val="en-US" w:eastAsia="zh-CN"/>
        </w:rPr>
        <w:t>12</w:t>
      </w:r>
      <w:r>
        <w:rPr>
          <w:rFonts w:hint="eastAsia" w:ascii="宋体" w:hAnsi="宋体" w:cs="宋体"/>
          <w:color w:val="auto"/>
          <w:szCs w:val="21"/>
        </w:rPr>
        <w:t>月</w:t>
      </w:r>
      <w:r>
        <w:rPr>
          <w:rFonts w:hint="eastAsia" w:ascii="宋体" w:hAnsi="宋体" w:cs="宋体"/>
          <w:color w:val="auto"/>
          <w:szCs w:val="21"/>
          <w:lang w:val="en-US" w:eastAsia="zh-CN"/>
        </w:rPr>
        <w:t>29</w:t>
      </w:r>
      <w:r>
        <w:rPr>
          <w:rFonts w:hint="eastAsia" w:ascii="宋体" w:hAnsi="宋体" w:cs="宋体"/>
          <w:color w:val="auto"/>
          <w:szCs w:val="21"/>
        </w:rPr>
        <w:t>日，</w:t>
      </w:r>
      <w:r>
        <w:rPr>
          <w:rFonts w:asciiTheme="minorEastAsia" w:hAnsiTheme="minorEastAsia" w:eastAsiaTheme="minorEastAsia"/>
          <w:color w:val="auto"/>
        </w:rPr>
        <w:t>每天00:00至11:59，12:00至23:59（北京时间）</w:t>
      </w:r>
    </w:p>
    <w:p w14:paraId="7C3E34D6">
      <w:pPr>
        <w:widowControl/>
        <w:spacing w:line="400" w:lineRule="exact"/>
        <w:ind w:firstLine="420" w:firstLineChars="200"/>
        <w:jc w:val="left"/>
        <w:rPr>
          <w:rFonts w:ascii="宋体" w:hAnsi="宋体" w:cs="宋体"/>
          <w:color w:val="auto"/>
          <w:szCs w:val="21"/>
        </w:rPr>
      </w:pPr>
      <w:r>
        <w:rPr>
          <w:rFonts w:hint="eastAsia" w:ascii="宋体" w:hAnsi="宋体" w:cs="宋体"/>
          <w:color w:val="auto"/>
          <w:szCs w:val="21"/>
        </w:rPr>
        <w:t xml:space="preserve">地点（网址）：广西政府采购云平台（https://www.gcy.zfcg.gxzf.gov.cn/） </w:t>
      </w:r>
    </w:p>
    <w:p w14:paraId="74890E80">
      <w:pPr>
        <w:widowControl/>
        <w:wordWrap w:val="0"/>
        <w:spacing w:line="400" w:lineRule="exact"/>
        <w:ind w:firstLine="420" w:firstLineChars="200"/>
        <w:jc w:val="left"/>
        <w:rPr>
          <w:rFonts w:ascii="宋体" w:hAnsi="宋体" w:cs="宋体"/>
          <w:color w:val="auto"/>
          <w:szCs w:val="21"/>
        </w:rPr>
      </w:pPr>
      <w:r>
        <w:rPr>
          <w:rFonts w:hint="eastAsia" w:ascii="宋体" w:hAnsi="宋体" w:cs="宋体"/>
          <w:color w:val="auto"/>
          <w:szCs w:val="21"/>
        </w:rPr>
        <w:t>方式：网上下载。本项目不提供纸质文件，潜在供应商需在广西政府采购云平台（https://www.gcy.zfcg.gxzf.gov.cn/）-进入“项目采购”应用，在获取采购文件菜单中选择项目，获取竞争性谈判文件。电子响应文件制作需要基于广西政府采购云平台获取的谈判文件编制，通过其他方式获取谈判文件的，将有可能导致供应商无法在广西政府采购云平台编制及上传响应文件。</w:t>
      </w:r>
    </w:p>
    <w:p w14:paraId="0FF486E5">
      <w:pPr>
        <w:widowControl/>
        <w:spacing w:line="400" w:lineRule="exact"/>
        <w:ind w:firstLine="420" w:firstLineChars="200"/>
        <w:jc w:val="left"/>
        <w:rPr>
          <w:rFonts w:ascii="宋体" w:hAnsi="宋体" w:cs="宋体"/>
          <w:color w:val="auto"/>
          <w:szCs w:val="21"/>
        </w:rPr>
      </w:pPr>
      <w:r>
        <w:rPr>
          <w:rFonts w:hint="eastAsia" w:ascii="宋体" w:hAnsi="宋体" w:cs="宋体"/>
          <w:color w:val="auto"/>
          <w:szCs w:val="21"/>
        </w:rPr>
        <w:t>售价：0元</w:t>
      </w:r>
    </w:p>
    <w:p w14:paraId="618B3896">
      <w:pPr>
        <w:spacing w:line="400" w:lineRule="exact"/>
        <w:ind w:firstLine="360" w:firstLineChars="150"/>
        <w:rPr>
          <w:rFonts w:ascii="黑体" w:hAnsi="黑体" w:eastAsia="黑体"/>
          <w:color w:val="auto"/>
          <w:sz w:val="24"/>
        </w:rPr>
      </w:pPr>
      <w:r>
        <w:rPr>
          <w:rFonts w:hint="eastAsia" w:ascii="黑体" w:hAnsi="黑体" w:eastAsia="黑体"/>
          <w:color w:val="auto"/>
          <w:sz w:val="24"/>
        </w:rPr>
        <w:t>四、响应文件提交</w:t>
      </w:r>
      <w:bookmarkEnd w:id="21"/>
      <w:bookmarkEnd w:id="22"/>
      <w:bookmarkEnd w:id="23"/>
      <w:bookmarkEnd w:id="24"/>
      <w:bookmarkEnd w:id="25"/>
      <w:bookmarkEnd w:id="26"/>
    </w:p>
    <w:p w14:paraId="66C2C3A3">
      <w:pPr>
        <w:spacing w:line="400" w:lineRule="exact"/>
        <w:ind w:firstLine="420" w:firstLineChars="200"/>
        <w:rPr>
          <w:rFonts w:ascii="宋体" w:hAnsi="宋体"/>
          <w:bCs/>
          <w:color w:val="auto"/>
          <w:szCs w:val="21"/>
          <w:u w:val="single"/>
        </w:rPr>
      </w:pPr>
      <w:r>
        <w:rPr>
          <w:rFonts w:hint="eastAsia" w:ascii="宋体" w:hAnsi="宋体"/>
          <w:color w:val="auto"/>
          <w:szCs w:val="21"/>
        </w:rPr>
        <w:t>截止时间：</w:t>
      </w:r>
      <w:r>
        <w:rPr>
          <w:rFonts w:hint="eastAsia" w:ascii="宋体" w:hAnsi="宋体"/>
          <w:color w:val="auto"/>
          <w:szCs w:val="21"/>
          <w:u w:val="single"/>
        </w:rPr>
        <w:t>2025年</w:t>
      </w:r>
      <w:r>
        <w:rPr>
          <w:rFonts w:hint="eastAsia" w:ascii="宋体" w:hAnsi="宋体"/>
          <w:color w:val="auto"/>
          <w:szCs w:val="21"/>
          <w:u w:val="single"/>
          <w:lang w:val="en-US" w:eastAsia="zh-CN"/>
        </w:rPr>
        <w:t>12</w:t>
      </w:r>
      <w:r>
        <w:rPr>
          <w:rFonts w:hint="eastAsia" w:ascii="宋体" w:hAnsi="宋体"/>
          <w:color w:val="auto"/>
          <w:szCs w:val="21"/>
          <w:u w:val="single"/>
        </w:rPr>
        <w:t>月</w:t>
      </w:r>
      <w:r>
        <w:rPr>
          <w:rFonts w:hint="eastAsia" w:ascii="宋体" w:hAnsi="宋体"/>
          <w:color w:val="auto"/>
          <w:szCs w:val="21"/>
          <w:u w:val="single"/>
          <w:lang w:val="en-US" w:eastAsia="zh-CN"/>
        </w:rPr>
        <w:t>30</w:t>
      </w:r>
      <w:r>
        <w:rPr>
          <w:rFonts w:hint="eastAsia" w:ascii="宋体" w:hAnsi="宋体"/>
          <w:color w:val="auto"/>
          <w:szCs w:val="21"/>
          <w:u w:val="single"/>
        </w:rPr>
        <w:t>日09时00分</w:t>
      </w:r>
      <w:r>
        <w:rPr>
          <w:rFonts w:hint="eastAsia" w:ascii="宋体" w:hAnsi="宋体"/>
          <w:bCs/>
          <w:color w:val="auto"/>
          <w:szCs w:val="21"/>
        </w:rPr>
        <w:t>（北京时间）</w:t>
      </w:r>
    </w:p>
    <w:p w14:paraId="5B66205A">
      <w:pPr>
        <w:tabs>
          <w:tab w:val="left" w:pos="0"/>
        </w:tabs>
        <w:spacing w:line="400" w:lineRule="exact"/>
        <w:rPr>
          <w:rFonts w:ascii="宋体" w:hAnsi="宋体"/>
          <w:bCs/>
          <w:color w:val="auto"/>
          <w:szCs w:val="21"/>
          <w:u w:val="single"/>
        </w:rPr>
      </w:pPr>
      <w:r>
        <w:rPr>
          <w:rFonts w:hint="eastAsia" w:ascii="宋体" w:hAnsi="宋体"/>
          <w:color w:val="auto"/>
          <w:szCs w:val="21"/>
        </w:rPr>
        <w:t>地点：广西政府采购云平台</w:t>
      </w:r>
      <w:r>
        <w:rPr>
          <w:rFonts w:hint="eastAsia" w:ascii="宋体" w:hAnsi="宋体" w:cs="宋体"/>
          <w:bCs/>
          <w:color w:val="auto"/>
          <w:kern w:val="0"/>
          <w:szCs w:val="21"/>
        </w:rPr>
        <w:t>（https://www.gcy.zfcg.gxzf.gov.cn/）</w:t>
      </w:r>
    </w:p>
    <w:p w14:paraId="25855D50">
      <w:pPr>
        <w:spacing w:line="400" w:lineRule="exact"/>
        <w:ind w:firstLine="360" w:firstLineChars="150"/>
        <w:rPr>
          <w:rFonts w:ascii="黑体" w:hAnsi="黑体" w:eastAsia="黑体"/>
          <w:color w:val="auto"/>
          <w:sz w:val="24"/>
        </w:rPr>
      </w:pPr>
      <w:bookmarkStart w:id="27" w:name="_Toc35393633"/>
      <w:bookmarkStart w:id="28" w:name="_Toc71366044"/>
      <w:bookmarkStart w:id="29" w:name="_Toc28359016"/>
      <w:bookmarkStart w:id="30" w:name="_Toc28359093"/>
      <w:bookmarkStart w:id="31" w:name="_Toc71365366"/>
      <w:bookmarkStart w:id="32" w:name="_Toc35393802"/>
      <w:r>
        <w:rPr>
          <w:rFonts w:hint="eastAsia" w:ascii="黑体" w:hAnsi="黑体" w:eastAsia="黑体"/>
          <w:color w:val="auto"/>
          <w:sz w:val="24"/>
        </w:rPr>
        <w:t>五、开启</w:t>
      </w:r>
      <w:bookmarkEnd w:id="27"/>
      <w:bookmarkEnd w:id="28"/>
      <w:bookmarkEnd w:id="29"/>
      <w:bookmarkEnd w:id="30"/>
      <w:bookmarkEnd w:id="31"/>
      <w:bookmarkEnd w:id="32"/>
    </w:p>
    <w:p w14:paraId="2B3CFA6B">
      <w:pPr>
        <w:spacing w:line="400" w:lineRule="exact"/>
        <w:ind w:firstLine="420" w:firstLineChars="200"/>
        <w:rPr>
          <w:rFonts w:ascii="宋体" w:hAnsi="宋体"/>
          <w:bCs/>
          <w:color w:val="auto"/>
          <w:szCs w:val="21"/>
          <w:u w:val="single"/>
        </w:rPr>
      </w:pPr>
      <w:r>
        <w:rPr>
          <w:rFonts w:hint="eastAsia" w:ascii="宋体" w:hAnsi="宋体"/>
          <w:color w:val="auto"/>
          <w:szCs w:val="21"/>
        </w:rPr>
        <w:t>时间：</w:t>
      </w:r>
      <w:r>
        <w:rPr>
          <w:rFonts w:hint="eastAsia" w:ascii="宋体" w:hAnsi="宋体"/>
          <w:color w:val="auto"/>
          <w:szCs w:val="21"/>
          <w:u w:val="single"/>
        </w:rPr>
        <w:t>2025年</w:t>
      </w:r>
      <w:r>
        <w:rPr>
          <w:rFonts w:hint="eastAsia" w:ascii="宋体" w:hAnsi="宋体"/>
          <w:color w:val="auto"/>
          <w:szCs w:val="21"/>
          <w:u w:val="single"/>
          <w:lang w:val="en-US" w:eastAsia="zh-CN"/>
        </w:rPr>
        <w:t>12</w:t>
      </w:r>
      <w:r>
        <w:rPr>
          <w:rFonts w:hint="eastAsia" w:ascii="宋体" w:hAnsi="宋体"/>
          <w:color w:val="auto"/>
          <w:szCs w:val="21"/>
          <w:u w:val="single"/>
        </w:rPr>
        <w:t>月</w:t>
      </w:r>
      <w:r>
        <w:rPr>
          <w:rFonts w:hint="eastAsia" w:ascii="宋体" w:hAnsi="宋体"/>
          <w:color w:val="auto"/>
          <w:szCs w:val="21"/>
          <w:u w:val="single"/>
          <w:lang w:val="en-US" w:eastAsia="zh-CN"/>
        </w:rPr>
        <w:t>30</w:t>
      </w:r>
      <w:r>
        <w:rPr>
          <w:rFonts w:hint="eastAsia" w:ascii="宋体" w:hAnsi="宋体"/>
          <w:color w:val="auto"/>
          <w:szCs w:val="21"/>
          <w:u w:val="single"/>
        </w:rPr>
        <w:t>日09时00分</w:t>
      </w:r>
      <w:r>
        <w:rPr>
          <w:rFonts w:hint="eastAsia" w:ascii="宋体" w:hAnsi="宋体"/>
          <w:bCs/>
          <w:color w:val="auto"/>
          <w:szCs w:val="21"/>
          <w:u w:val="single"/>
        </w:rPr>
        <w:t>（北京时间）</w:t>
      </w:r>
    </w:p>
    <w:p w14:paraId="634F3B70">
      <w:pPr>
        <w:spacing w:line="400" w:lineRule="exact"/>
        <w:ind w:firstLine="420" w:firstLineChars="200"/>
        <w:rPr>
          <w:rFonts w:ascii="宋体" w:hAnsi="宋体"/>
          <w:bCs/>
          <w:color w:val="auto"/>
          <w:szCs w:val="21"/>
          <w:u w:val="single"/>
        </w:rPr>
      </w:pPr>
      <w:r>
        <w:rPr>
          <w:rFonts w:hint="eastAsia" w:ascii="宋体" w:hAnsi="宋体"/>
          <w:color w:val="auto"/>
          <w:szCs w:val="21"/>
        </w:rPr>
        <w:t>地点：广西政府采购云平台</w:t>
      </w:r>
      <w:r>
        <w:rPr>
          <w:rFonts w:hint="eastAsia" w:ascii="宋体" w:hAnsi="宋体" w:cs="宋体"/>
          <w:bCs/>
          <w:color w:val="auto"/>
          <w:kern w:val="0"/>
          <w:szCs w:val="21"/>
        </w:rPr>
        <w:t>（https://www.gcy.zfcg.gxzf.gov.cn/）</w:t>
      </w:r>
    </w:p>
    <w:p w14:paraId="157955D6">
      <w:pPr>
        <w:spacing w:line="400" w:lineRule="exact"/>
        <w:ind w:firstLine="360" w:firstLineChars="150"/>
        <w:rPr>
          <w:rFonts w:ascii="黑体" w:hAnsi="黑体" w:eastAsia="黑体"/>
          <w:color w:val="auto"/>
          <w:sz w:val="24"/>
        </w:rPr>
      </w:pPr>
      <w:bookmarkStart w:id="33" w:name="_Toc71366045"/>
      <w:bookmarkStart w:id="34" w:name="_Toc35393803"/>
      <w:bookmarkStart w:id="35" w:name="_Toc28359017"/>
      <w:bookmarkStart w:id="36" w:name="_Toc28359094"/>
      <w:bookmarkStart w:id="37" w:name="_Toc35393634"/>
      <w:bookmarkStart w:id="38" w:name="_Toc71365367"/>
      <w:r>
        <w:rPr>
          <w:rFonts w:hint="eastAsia" w:ascii="黑体" w:hAnsi="黑体" w:eastAsia="黑体"/>
          <w:color w:val="auto"/>
          <w:sz w:val="24"/>
        </w:rPr>
        <w:t>六、公告期限</w:t>
      </w:r>
      <w:bookmarkEnd w:id="33"/>
      <w:bookmarkEnd w:id="34"/>
      <w:bookmarkEnd w:id="35"/>
      <w:bookmarkEnd w:id="36"/>
      <w:bookmarkEnd w:id="37"/>
      <w:bookmarkEnd w:id="38"/>
    </w:p>
    <w:p w14:paraId="32F8606F">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自本公告发布之日起3个工作日。</w:t>
      </w:r>
    </w:p>
    <w:p w14:paraId="1F60907C">
      <w:pPr>
        <w:spacing w:line="400" w:lineRule="exact"/>
        <w:ind w:firstLine="360" w:firstLineChars="150"/>
        <w:rPr>
          <w:rFonts w:ascii="黑体" w:hAnsi="黑体" w:eastAsia="黑体"/>
          <w:color w:val="auto"/>
          <w:sz w:val="24"/>
        </w:rPr>
      </w:pPr>
      <w:bookmarkStart w:id="39" w:name="_Toc35393804"/>
      <w:bookmarkStart w:id="40" w:name="_Toc71365368"/>
      <w:bookmarkStart w:id="41" w:name="_Toc71366046"/>
      <w:bookmarkStart w:id="42" w:name="_Toc35393635"/>
      <w:r>
        <w:rPr>
          <w:rFonts w:hint="eastAsia" w:ascii="黑体" w:hAnsi="黑体" w:eastAsia="黑体"/>
          <w:color w:val="auto"/>
          <w:sz w:val="24"/>
        </w:rPr>
        <w:t>七、其他补充事宜</w:t>
      </w:r>
      <w:bookmarkEnd w:id="39"/>
      <w:bookmarkEnd w:id="40"/>
      <w:bookmarkEnd w:id="41"/>
      <w:bookmarkEnd w:id="42"/>
    </w:p>
    <w:p w14:paraId="4DB7EACC">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1</w:t>
      </w:r>
      <w:r>
        <w:rPr>
          <w:rFonts w:ascii="宋体" w:hAnsi="宋体" w:cs="宋体"/>
          <w:color w:val="auto"/>
          <w:kern w:val="0"/>
          <w:szCs w:val="21"/>
        </w:rPr>
        <w:t>.</w:t>
      </w:r>
      <w:r>
        <w:rPr>
          <w:rFonts w:hint="eastAsia" w:ascii="宋体" w:hAnsi="宋体" w:cs="宋体"/>
          <w:color w:val="auto"/>
          <w:kern w:val="0"/>
          <w:szCs w:val="21"/>
        </w:rPr>
        <w:t>网上查询地址</w:t>
      </w:r>
    </w:p>
    <w:p w14:paraId="5891A6AF">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中国政府采购网（http://www.ccgp.gov.cn）、广西政府采购网（http://www.ccgp-guangxi.gov.cn）</w:t>
      </w:r>
    </w:p>
    <w:p w14:paraId="46049456">
      <w:pPr>
        <w:keepLines/>
        <w:spacing w:line="400" w:lineRule="exact"/>
        <w:ind w:firstLine="420" w:firstLineChars="200"/>
        <w:jc w:val="left"/>
        <w:rPr>
          <w:rFonts w:ascii="宋体" w:hAnsi="宋体" w:cs="宋体"/>
          <w:bCs/>
          <w:color w:val="auto"/>
          <w:szCs w:val="21"/>
        </w:rPr>
      </w:pPr>
      <w:bookmarkStart w:id="43" w:name="_Hlk37429674"/>
      <w:bookmarkStart w:id="44" w:name="_Toc71366047"/>
      <w:bookmarkStart w:id="45" w:name="_Toc28359095"/>
      <w:bookmarkStart w:id="46" w:name="_Toc71365369"/>
      <w:bookmarkStart w:id="47" w:name="_Toc28359018"/>
      <w:bookmarkStart w:id="48" w:name="_Toc35393805"/>
      <w:bookmarkStart w:id="49" w:name="_Toc35393636"/>
      <w:r>
        <w:rPr>
          <w:rFonts w:hint="eastAsia" w:ascii="宋体" w:hAnsi="宋体" w:cs="宋体"/>
          <w:bCs/>
          <w:color w:val="auto"/>
          <w:szCs w:val="21"/>
        </w:rPr>
        <w:t>2.本项目需要落实的政府采购政策</w:t>
      </w:r>
    </w:p>
    <w:p w14:paraId="7F493D15">
      <w:pPr>
        <w:keepLines/>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（1）政府采购促进中小企业发展。</w:t>
      </w:r>
    </w:p>
    <w:p w14:paraId="7A9CA34D">
      <w:pPr>
        <w:keepLines/>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（2）政府采购支持采用本国产品的政策。</w:t>
      </w:r>
    </w:p>
    <w:p w14:paraId="28009A79">
      <w:pPr>
        <w:keepLines/>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（3）强制采购节能产品、优先采购节能产品、环境标志产品。</w:t>
      </w:r>
    </w:p>
    <w:p w14:paraId="4B682011">
      <w:pPr>
        <w:keepLines/>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（4）政府采购促进残疾人就业政策。</w:t>
      </w:r>
    </w:p>
    <w:p w14:paraId="67BD904E">
      <w:pPr>
        <w:keepLines/>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（5）政府采购支持监狱企业发展。</w:t>
      </w:r>
    </w:p>
    <w:bookmarkEnd w:id="43"/>
    <w:p w14:paraId="6245A40B">
      <w:pPr>
        <w:keepLines/>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3.供应商竞标注意事项</w:t>
      </w:r>
    </w:p>
    <w:p w14:paraId="7FED1BFB">
      <w:pPr>
        <w:wordWrap w:val="0"/>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（1）本项目为全流程电子化采购项目，通过广西政府采购云平台（https://www.gcy.zfcg.gxzf.gov.cn/）实行在线电子竞标，供应商应按照本项目竞争性谈判文件和广西政府采购云平台 的要求编制、加密后在提交响应文件截止时间前通过网络上传至 广西政府采购云平台 （加密的电子响应文件是指后缀名为“jmbs”的文件），供应商在广西政府采购云平台 提交电子响应文件时，请填写参加远程采购活动经办人联系方式。供应商登录广西政府采购云平台 ，依次进入“服务中心-项目采购-操作流程-电子招投标-政府采购项目电子交易管理操作指南-供应商”查看电子竞标具体操作流程。</w:t>
      </w:r>
    </w:p>
    <w:p w14:paraId="7FBA32B7">
      <w:pPr>
        <w:wordWrap w:val="0"/>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 ，依次进入“服务中心-入驻与配置”中查看CA数字证书办理操作流程。如在操作过程中遇到问题或者需要技术支持，请致电桂采云客服热线：95763）。</w:t>
      </w:r>
    </w:p>
    <w:p w14:paraId="718EAB11">
      <w:pPr>
        <w:wordWrap w:val="0"/>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（3）CA证书在线解密：首次响应文件开启时，需携带制作响应文件时用来加密的有效数字证书（CA认证）登录广西政府采购云平台 电子开标大厅现场按规定时间对加密的响应文件进行解密，否则后果自负。</w:t>
      </w:r>
    </w:p>
    <w:p w14:paraId="25566050">
      <w:pPr>
        <w:wordWrap w:val="0"/>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注：1）为确保网上操作合法、有效和安全，请供应商确保在电子竞标过程中能够对相关数据电文进行加密和使用电子签章，妥善保管CA数字证书并使用有效的CA数字证书参与整个采购活动。</w:t>
      </w:r>
    </w:p>
    <w:p w14:paraId="26533288">
      <w:pPr>
        <w:wordWrap w:val="0"/>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4CC87A9C">
      <w:pPr>
        <w:wordWrap w:val="0"/>
        <w:spacing w:line="400" w:lineRule="exact"/>
        <w:ind w:firstLine="420" w:firstLineChars="200"/>
        <w:jc w:val="left"/>
        <w:rPr>
          <w:rFonts w:ascii="宋体" w:hAnsi="宋体" w:cs="宋体"/>
          <w:bCs/>
          <w:color w:val="auto"/>
          <w:szCs w:val="21"/>
        </w:rPr>
      </w:pPr>
      <w:r>
        <w:rPr>
          <w:rFonts w:hint="eastAsia" w:ascii="宋体" w:hAnsi="宋体" w:cs="宋体"/>
          <w:bCs/>
          <w:color w:val="auto"/>
          <w:szCs w:val="21"/>
        </w:rPr>
        <w:t>（4）供应商需要在具备有摄像头及语音功能且互联网网络状况良好的电脑登录广西政府采购云平台 远程开标大厅参与本次谈判，否则后果自负。</w:t>
      </w:r>
    </w:p>
    <w:p w14:paraId="54513BD0">
      <w:pPr>
        <w:spacing w:line="400" w:lineRule="exact"/>
        <w:ind w:firstLine="360" w:firstLineChars="150"/>
        <w:rPr>
          <w:rFonts w:ascii="黑体" w:hAnsi="黑体" w:eastAsia="黑体"/>
          <w:color w:val="auto"/>
          <w:sz w:val="24"/>
        </w:rPr>
      </w:pPr>
      <w:r>
        <w:rPr>
          <w:rFonts w:hint="eastAsia" w:ascii="黑体" w:hAnsi="黑体" w:eastAsia="黑体"/>
          <w:color w:val="auto"/>
          <w:sz w:val="24"/>
        </w:rPr>
        <w:t>八、凡对本次采购提出询问，请按</w:t>
      </w:r>
      <w:r>
        <w:rPr>
          <w:rFonts w:ascii="黑体" w:hAnsi="黑体" w:eastAsia="黑体"/>
          <w:color w:val="auto"/>
          <w:sz w:val="24"/>
        </w:rPr>
        <w:t>以下方式</w:t>
      </w:r>
      <w:r>
        <w:rPr>
          <w:rFonts w:hint="eastAsia" w:ascii="黑体" w:hAnsi="黑体" w:eastAsia="黑体"/>
          <w:color w:val="auto"/>
          <w:sz w:val="24"/>
        </w:rPr>
        <w:t>联系。</w:t>
      </w:r>
      <w:bookmarkEnd w:id="44"/>
      <w:bookmarkEnd w:id="45"/>
      <w:bookmarkEnd w:id="46"/>
      <w:bookmarkEnd w:id="47"/>
      <w:bookmarkEnd w:id="48"/>
      <w:bookmarkEnd w:id="49"/>
    </w:p>
    <w:p w14:paraId="764C7F27">
      <w:pPr>
        <w:spacing w:line="400" w:lineRule="exact"/>
        <w:ind w:firstLine="420" w:firstLineChars="200"/>
        <w:rPr>
          <w:rFonts w:ascii="宋体" w:hAnsi="宋体" w:cs="宋体"/>
          <w:color w:val="auto"/>
          <w:kern w:val="0"/>
          <w:szCs w:val="21"/>
        </w:rPr>
      </w:pPr>
      <w:bookmarkStart w:id="50" w:name="_Toc28359096"/>
      <w:bookmarkStart w:id="51" w:name="_Toc35393806"/>
      <w:bookmarkStart w:id="52" w:name="_Toc28359019"/>
      <w:bookmarkStart w:id="53" w:name="_Toc35393637"/>
      <w:r>
        <w:rPr>
          <w:rFonts w:hint="eastAsia" w:ascii="宋体" w:hAnsi="宋体" w:cs="宋体"/>
          <w:color w:val="auto"/>
          <w:kern w:val="0"/>
          <w:szCs w:val="21"/>
        </w:rPr>
        <w:t>1.采购人信息</w:t>
      </w:r>
      <w:bookmarkEnd w:id="50"/>
      <w:bookmarkEnd w:id="51"/>
      <w:bookmarkEnd w:id="52"/>
      <w:bookmarkEnd w:id="53"/>
      <w:r>
        <w:rPr>
          <w:rFonts w:hint="eastAsia" w:ascii="宋体" w:hAnsi="宋体" w:cs="宋体"/>
          <w:color w:val="auto"/>
          <w:kern w:val="0"/>
          <w:szCs w:val="21"/>
        </w:rPr>
        <w:t xml:space="preserve">    </w:t>
      </w:r>
    </w:p>
    <w:p w14:paraId="0E6F918A">
      <w:pPr>
        <w:spacing w:line="400" w:lineRule="exact"/>
        <w:ind w:firstLine="420" w:firstLineChars="200"/>
        <w:jc w:val="left"/>
        <w:rPr>
          <w:rFonts w:ascii="宋体" w:hAnsi="宋体"/>
          <w:color w:val="auto"/>
          <w:szCs w:val="21"/>
        </w:rPr>
      </w:pPr>
      <w:bookmarkStart w:id="54" w:name="_Toc28359020"/>
      <w:bookmarkStart w:id="55" w:name="_Toc28359097"/>
      <w:bookmarkStart w:id="56" w:name="_Toc35393807"/>
      <w:bookmarkStart w:id="57" w:name="_Toc35393638"/>
      <w:r>
        <w:rPr>
          <w:rFonts w:hint="eastAsia" w:ascii="宋体" w:hAnsi="宋体"/>
          <w:color w:val="auto"/>
          <w:szCs w:val="21"/>
        </w:rPr>
        <w:t>名称：广西壮族自治区高级人民法院</w:t>
      </w:r>
    </w:p>
    <w:p w14:paraId="6A72E6F3">
      <w:pPr>
        <w:spacing w:line="400" w:lineRule="exact"/>
        <w:ind w:firstLine="420" w:firstLineChars="200"/>
        <w:jc w:val="left"/>
        <w:rPr>
          <w:rFonts w:ascii="宋体" w:hAnsi="宋体"/>
          <w:color w:val="auto"/>
          <w:szCs w:val="21"/>
        </w:rPr>
      </w:pPr>
      <w:r>
        <w:rPr>
          <w:rFonts w:hint="eastAsia" w:ascii="宋体" w:hAnsi="宋体"/>
          <w:color w:val="auto"/>
          <w:szCs w:val="21"/>
        </w:rPr>
        <w:t xml:space="preserve">地址：南宁市民族大道121号   </w:t>
      </w:r>
    </w:p>
    <w:p w14:paraId="668199D2">
      <w:pPr>
        <w:spacing w:line="400" w:lineRule="exact"/>
        <w:ind w:firstLine="420" w:firstLineChars="200"/>
        <w:jc w:val="left"/>
        <w:rPr>
          <w:rFonts w:ascii="宋体" w:hAnsi="宋体"/>
          <w:color w:val="auto"/>
          <w:szCs w:val="21"/>
        </w:rPr>
      </w:pPr>
      <w:r>
        <w:rPr>
          <w:rFonts w:hint="eastAsia" w:ascii="宋体" w:hAnsi="宋体"/>
          <w:color w:val="auto"/>
          <w:szCs w:val="21"/>
        </w:rPr>
        <w:t>联系人：周工   联系电话：0771-5788338</w:t>
      </w:r>
    </w:p>
    <w:p w14:paraId="16A1F237">
      <w:pPr>
        <w:spacing w:line="400" w:lineRule="exact"/>
        <w:ind w:firstLine="420" w:firstLineChars="200"/>
        <w:rPr>
          <w:rFonts w:ascii="宋体" w:hAnsi="宋体"/>
          <w:color w:val="auto"/>
          <w:szCs w:val="21"/>
        </w:rPr>
      </w:pPr>
      <w:r>
        <w:rPr>
          <w:rFonts w:hint="eastAsia" w:ascii="宋体" w:hAnsi="宋体"/>
          <w:color w:val="auto"/>
          <w:szCs w:val="21"/>
        </w:rPr>
        <w:t>2.采购代理机构信息</w:t>
      </w:r>
      <w:bookmarkEnd w:id="54"/>
      <w:bookmarkEnd w:id="55"/>
      <w:bookmarkEnd w:id="56"/>
      <w:bookmarkEnd w:id="57"/>
    </w:p>
    <w:bookmarkEnd w:id="1"/>
    <w:p w14:paraId="094BA1EA">
      <w:pPr>
        <w:spacing w:line="400" w:lineRule="exact"/>
        <w:ind w:firstLine="420" w:firstLineChars="200"/>
        <w:rPr>
          <w:rFonts w:ascii="宋体" w:hAnsi="宋体"/>
          <w:color w:val="auto"/>
          <w:szCs w:val="21"/>
        </w:rPr>
      </w:pPr>
      <w:r>
        <w:rPr>
          <w:rFonts w:hint="eastAsia" w:ascii="宋体" w:hAnsi="宋体"/>
          <w:color w:val="auto"/>
          <w:szCs w:val="21"/>
        </w:rPr>
        <w:t>名称：广西正海招标有限公司　　　　　　　　　　　　</w:t>
      </w:r>
    </w:p>
    <w:p w14:paraId="75BB9C3C">
      <w:pPr>
        <w:spacing w:line="400" w:lineRule="exact"/>
        <w:ind w:firstLine="420" w:firstLineChars="200"/>
        <w:rPr>
          <w:rFonts w:ascii="宋体" w:hAnsi="宋体"/>
          <w:color w:val="auto"/>
          <w:szCs w:val="21"/>
        </w:rPr>
      </w:pPr>
      <w:r>
        <w:rPr>
          <w:rFonts w:hint="eastAsia" w:ascii="宋体" w:hAnsi="宋体"/>
          <w:color w:val="auto"/>
          <w:szCs w:val="21"/>
        </w:rPr>
        <w:t>地址：南宁市青秀区茅桥路2号习艺基地A栋1号电梯3楼　　　　　　　　　　　　</w:t>
      </w:r>
    </w:p>
    <w:p w14:paraId="6FFD2380">
      <w:pPr>
        <w:spacing w:line="400" w:lineRule="exact"/>
        <w:ind w:firstLine="420" w:firstLineChars="200"/>
        <w:rPr>
          <w:rFonts w:ascii="宋体" w:hAnsi="宋体"/>
          <w:color w:val="auto"/>
          <w:szCs w:val="21"/>
        </w:rPr>
      </w:pPr>
      <w:r>
        <w:rPr>
          <w:rFonts w:hint="eastAsia" w:ascii="宋体" w:hAnsi="宋体"/>
          <w:color w:val="auto"/>
          <w:szCs w:val="21"/>
        </w:rPr>
        <w:t>联系方式：0771-2865989　　　　　　　　　　</w:t>
      </w:r>
    </w:p>
    <w:p w14:paraId="6699C827">
      <w:pPr>
        <w:spacing w:line="400" w:lineRule="exact"/>
        <w:ind w:firstLine="420" w:firstLineChars="200"/>
        <w:rPr>
          <w:rFonts w:ascii="宋体" w:hAnsi="宋体"/>
          <w:color w:val="auto"/>
          <w:szCs w:val="21"/>
        </w:rPr>
      </w:pPr>
      <w:r>
        <w:rPr>
          <w:rFonts w:hint="eastAsia" w:ascii="宋体" w:hAnsi="宋体"/>
          <w:color w:val="auto"/>
          <w:szCs w:val="21"/>
        </w:rPr>
        <w:t>3.项目联系方式</w:t>
      </w:r>
    </w:p>
    <w:p w14:paraId="1EB0D0FB">
      <w:pPr>
        <w:spacing w:line="400" w:lineRule="exact"/>
        <w:ind w:firstLine="420" w:firstLineChars="200"/>
        <w:rPr>
          <w:color w:val="auto"/>
        </w:rPr>
      </w:pPr>
      <w:r>
        <w:rPr>
          <w:rFonts w:hint="eastAsia" w:ascii="宋体" w:hAnsi="宋体"/>
          <w:color w:val="auto"/>
          <w:szCs w:val="21"/>
        </w:rPr>
        <w:t>项目联系人：谭工   联系电话：0771-2865989</w:t>
      </w:r>
      <w:r>
        <w:rPr>
          <w:rFonts w:ascii="方正小标宋简体" w:hAnsi="方正小标宋简体" w:eastAsia="方正小标宋简体" w:cs="方正小标宋简体"/>
          <w:bCs/>
          <w:color w:val="auto"/>
          <w:sz w:val="44"/>
          <w:szCs w:val="44"/>
        </w:rPr>
        <w:br w:type="page"/>
      </w:r>
    </w:p>
    <w:p w14:paraId="03E64231">
      <w:pPr>
        <w:pStyle w:val="2"/>
        <w:spacing w:before="165"/>
        <w:jc w:val="center"/>
        <w:rPr>
          <w:color w:val="auto"/>
        </w:rPr>
      </w:pPr>
      <w:bookmarkStart w:id="58" w:name="_Toc129703549"/>
      <w:r>
        <w:rPr>
          <w:rFonts w:hint="eastAsia"/>
          <w:color w:val="auto"/>
        </w:rPr>
        <w:t>第二章 供应商须知</w:t>
      </w:r>
      <w:bookmarkEnd w:id="58"/>
    </w:p>
    <w:p w14:paraId="79D3E56A">
      <w:pPr>
        <w:spacing w:before="165" w:line="400" w:lineRule="exact"/>
        <w:jc w:val="center"/>
        <w:rPr>
          <w:rFonts w:ascii="宋体" w:hAnsi="宋体"/>
          <w:b/>
          <w:color w:val="auto"/>
          <w:sz w:val="32"/>
          <w:szCs w:val="32"/>
        </w:rPr>
      </w:pPr>
      <w:r>
        <w:rPr>
          <w:rFonts w:hint="eastAsia" w:ascii="宋体" w:hAnsi="宋体"/>
          <w:b/>
          <w:color w:val="auto"/>
          <w:sz w:val="32"/>
          <w:szCs w:val="32"/>
        </w:rPr>
        <w:t>供应商须知前附表</w:t>
      </w:r>
    </w:p>
    <w:tbl>
      <w:tblPr>
        <w:tblStyle w:val="26"/>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445BF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4C1E557E">
            <w:pPr>
              <w:spacing w:before="165"/>
              <w:rPr>
                <w:rFonts w:ascii="宋体" w:hAnsi="宋体" w:cs="宋体"/>
                <w:b/>
                <w:color w:val="auto"/>
                <w:szCs w:val="21"/>
              </w:rPr>
            </w:pPr>
            <w:r>
              <w:rPr>
                <w:rFonts w:hint="eastAsia" w:ascii="宋体" w:hAnsi="宋体" w:cs="宋体"/>
                <w:b/>
                <w:color w:val="auto"/>
                <w:szCs w:val="21"/>
              </w:rPr>
              <w:t>条款号</w:t>
            </w:r>
          </w:p>
        </w:tc>
        <w:tc>
          <w:tcPr>
            <w:tcW w:w="7912" w:type="dxa"/>
          </w:tcPr>
          <w:p w14:paraId="42E5847A">
            <w:pPr>
              <w:spacing w:before="165"/>
              <w:ind w:firstLine="422"/>
              <w:jc w:val="center"/>
              <w:rPr>
                <w:rFonts w:ascii="宋体" w:hAnsi="宋体" w:cs="宋体"/>
                <w:b/>
                <w:color w:val="auto"/>
                <w:szCs w:val="21"/>
              </w:rPr>
            </w:pPr>
            <w:r>
              <w:rPr>
                <w:rFonts w:hint="eastAsia" w:ascii="宋体" w:hAnsi="宋体" w:cs="宋体"/>
                <w:b/>
                <w:color w:val="auto"/>
                <w:szCs w:val="21"/>
              </w:rPr>
              <w:t>内    容</w:t>
            </w:r>
          </w:p>
        </w:tc>
      </w:tr>
      <w:tr w14:paraId="54B0A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141E843">
            <w:pPr>
              <w:spacing w:before="165"/>
              <w:rPr>
                <w:rFonts w:ascii="宋体" w:hAnsi="宋体" w:cs="宋体"/>
                <w:color w:val="auto"/>
                <w:szCs w:val="21"/>
              </w:rPr>
            </w:pPr>
            <w:r>
              <w:rPr>
                <w:rFonts w:hint="eastAsia" w:ascii="宋体" w:hAnsi="宋体" w:cs="宋体"/>
                <w:color w:val="auto"/>
                <w:szCs w:val="21"/>
              </w:rPr>
              <w:t>3</w:t>
            </w:r>
          </w:p>
        </w:tc>
        <w:tc>
          <w:tcPr>
            <w:tcW w:w="7912" w:type="dxa"/>
            <w:vAlign w:val="center"/>
          </w:tcPr>
          <w:p w14:paraId="604C3D04">
            <w:pPr>
              <w:spacing w:line="440" w:lineRule="exact"/>
              <w:ind w:firstLine="420"/>
              <w:rPr>
                <w:rFonts w:ascii="宋体" w:hAnsi="宋体" w:cs="宋体"/>
                <w:color w:val="auto"/>
                <w:szCs w:val="21"/>
              </w:rPr>
            </w:pPr>
            <w:r>
              <w:rPr>
                <w:rFonts w:hint="eastAsia" w:ascii="宋体" w:hAnsi="宋体" w:cs="宋体"/>
                <w:color w:val="auto"/>
                <w:szCs w:val="21"/>
              </w:rPr>
              <w:t>1.供应商的资格条件：详见竞争性谈判公告</w:t>
            </w:r>
          </w:p>
          <w:p w14:paraId="2CCCF69E">
            <w:pPr>
              <w:spacing w:line="440" w:lineRule="exact"/>
              <w:ind w:firstLine="420"/>
              <w:rPr>
                <w:rFonts w:ascii="宋体" w:hAnsi="宋体" w:cs="宋体"/>
                <w:color w:val="auto"/>
                <w:szCs w:val="21"/>
              </w:rPr>
            </w:pPr>
            <w:r>
              <w:rPr>
                <w:rFonts w:hint="eastAsia" w:ascii="宋体" w:hAnsi="宋体" w:cs="宋体"/>
                <w:color w:val="auto"/>
                <w:szCs w:val="21"/>
              </w:rPr>
              <w:t>2.</w:t>
            </w:r>
            <w:r>
              <w:rPr>
                <w:rFonts w:hint="eastAsia" w:ascii="宋体" w:hAnsi="宋体" w:cs="宋体"/>
                <w:bCs/>
                <w:color w:val="auto"/>
                <w:szCs w:val="21"/>
              </w:rPr>
              <w:t>供应商</w:t>
            </w:r>
            <w:r>
              <w:rPr>
                <w:rFonts w:hint="eastAsia" w:ascii="宋体" w:hAnsi="宋体" w:cs="宋体"/>
                <w:color w:val="auto"/>
                <w:szCs w:val="21"/>
              </w:rPr>
              <w:t>出现下列情形之一的，不得参加政府采购活动：</w:t>
            </w:r>
          </w:p>
          <w:p w14:paraId="79871123">
            <w:pPr>
              <w:spacing w:line="440" w:lineRule="exact"/>
              <w:ind w:firstLine="420"/>
              <w:rPr>
                <w:rFonts w:ascii="宋体" w:hAnsi="宋体" w:cs="宋体"/>
                <w:color w:val="auto"/>
                <w:szCs w:val="21"/>
              </w:rPr>
            </w:pPr>
            <w:r>
              <w:rPr>
                <w:rFonts w:hint="eastAsia" w:ascii="宋体" w:hAnsi="宋体" w:cs="宋体"/>
                <w:color w:val="auto"/>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D9A7B84">
            <w:pPr>
              <w:spacing w:line="440" w:lineRule="exact"/>
              <w:ind w:firstLine="420"/>
              <w:rPr>
                <w:rFonts w:ascii="宋体" w:hAnsi="宋体" w:cs="宋体"/>
                <w:color w:val="auto"/>
                <w:szCs w:val="21"/>
              </w:rPr>
            </w:pPr>
            <w:r>
              <w:rPr>
                <w:rFonts w:hint="eastAsia" w:ascii="宋体" w:hAnsi="宋体" w:cs="宋体"/>
                <w:color w:val="auto"/>
                <w:szCs w:val="21"/>
              </w:rPr>
              <w:t>2.2对在“信用中国”网站（www.creditchina.gov.cn）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20B09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B7B0272">
            <w:pPr>
              <w:spacing w:before="165"/>
              <w:rPr>
                <w:rFonts w:ascii="宋体" w:hAnsi="宋体" w:cs="宋体"/>
                <w:color w:val="auto"/>
                <w:szCs w:val="21"/>
              </w:rPr>
            </w:pPr>
            <w:r>
              <w:rPr>
                <w:rFonts w:hint="eastAsia" w:ascii="宋体" w:hAnsi="宋体" w:cs="宋体"/>
                <w:color w:val="auto"/>
                <w:szCs w:val="21"/>
              </w:rPr>
              <w:t>5.1</w:t>
            </w:r>
          </w:p>
        </w:tc>
        <w:tc>
          <w:tcPr>
            <w:tcW w:w="7912" w:type="dxa"/>
            <w:vAlign w:val="center"/>
          </w:tcPr>
          <w:p w14:paraId="2E74C79A">
            <w:pPr>
              <w:spacing w:line="440" w:lineRule="exact"/>
              <w:ind w:firstLine="420"/>
              <w:rPr>
                <w:rFonts w:ascii="宋体" w:hAnsi="宋体" w:cs="宋体"/>
                <w:color w:val="auto"/>
                <w:szCs w:val="21"/>
              </w:rPr>
            </w:pPr>
            <w:r>
              <w:rPr>
                <w:rFonts w:hint="eastAsia" w:ascii="宋体" w:hAnsi="宋体" w:cs="宋体"/>
                <w:color w:val="auto"/>
                <w:szCs w:val="21"/>
              </w:rPr>
              <w:t>是否接受联合体竞标: 否</w:t>
            </w:r>
          </w:p>
        </w:tc>
      </w:tr>
      <w:tr w14:paraId="5B96A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12C214B">
            <w:pPr>
              <w:spacing w:before="165"/>
              <w:rPr>
                <w:rFonts w:ascii="宋体" w:hAnsi="宋体" w:cs="宋体"/>
                <w:color w:val="auto"/>
                <w:szCs w:val="21"/>
              </w:rPr>
            </w:pPr>
            <w:r>
              <w:rPr>
                <w:rFonts w:hint="eastAsia" w:ascii="宋体" w:hAnsi="宋体" w:cs="宋体"/>
                <w:color w:val="auto"/>
                <w:szCs w:val="21"/>
              </w:rPr>
              <w:t>5</w:t>
            </w:r>
            <w:r>
              <w:rPr>
                <w:rFonts w:ascii="宋体" w:hAnsi="宋体" w:cs="宋体"/>
                <w:color w:val="auto"/>
                <w:szCs w:val="21"/>
              </w:rPr>
              <w:t>.2</w:t>
            </w:r>
          </w:p>
        </w:tc>
        <w:tc>
          <w:tcPr>
            <w:tcW w:w="7912" w:type="dxa"/>
            <w:vAlign w:val="center"/>
          </w:tcPr>
          <w:p w14:paraId="311F89E3">
            <w:pPr>
              <w:spacing w:line="440" w:lineRule="exact"/>
              <w:ind w:firstLine="420"/>
              <w:rPr>
                <w:rFonts w:ascii="宋体" w:hAnsi="宋体" w:cs="宋体"/>
                <w:color w:val="auto"/>
                <w:szCs w:val="21"/>
              </w:rPr>
            </w:pPr>
            <w:r>
              <w:rPr>
                <w:rFonts w:hint="eastAsia" w:ascii="宋体" w:hAnsi="宋体"/>
                <w:color w:val="auto"/>
                <w:szCs w:val="21"/>
              </w:rPr>
              <w:t>如接受联合体竞标，联合体竞标要求如下：</w:t>
            </w:r>
          </w:p>
          <w:p w14:paraId="03135350">
            <w:pPr>
              <w:spacing w:line="440" w:lineRule="exact"/>
              <w:ind w:firstLine="420"/>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w:t>
            </w:r>
            <w:r>
              <w:rPr>
                <w:rFonts w:hint="eastAsia" w:ascii="宋体" w:hAnsi="宋体" w:cs="宋体"/>
                <w:color w:val="auto"/>
                <w:szCs w:val="21"/>
              </w:rPr>
              <w:t>两个以上供应商可以组成一个竞标联合体，以一个供应商的身份共同参加竞标。联合体竞标的，须提供《联合体竞标协议书》（格式后附）。</w:t>
            </w:r>
          </w:p>
          <w:p w14:paraId="3F5C5385">
            <w:pPr>
              <w:spacing w:line="440" w:lineRule="exact"/>
              <w:ind w:firstLine="42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w:t>
            </w:r>
            <w:r>
              <w:rPr>
                <w:rFonts w:hint="eastAsia" w:ascii="宋体" w:hAnsi="宋体" w:cs="宋体"/>
                <w:color w:val="auto"/>
                <w:szCs w:val="21"/>
              </w:rPr>
              <w:t>以联合体形式参加竞标的，联合体各方均须具备《中华人民共和国政府采购法》第二十二条第一款规定的基本条件（涉及行政许可范围的内容，联合体各方均应具备相应资质）。本项目有特殊要求规定供应商特定条件的，联合体各方中至少有一方必须符合谈判文件规定的特定条件。</w:t>
            </w:r>
          </w:p>
          <w:p w14:paraId="577FC542">
            <w:pPr>
              <w:spacing w:line="440" w:lineRule="exact"/>
              <w:ind w:firstLine="420"/>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w:t>
            </w:r>
            <w:r>
              <w:rPr>
                <w:rFonts w:hint="eastAsia" w:ascii="宋体" w:hAnsi="宋体" w:cs="宋体"/>
                <w:color w:val="auto"/>
                <w:szCs w:val="21"/>
              </w:rPr>
              <w:t>联合体各方之间必须签订联合竞标协议，协议书必须明确主体方（或者牵头方）并明确约定联合体各方承担的工作和相应的责任（各方承担责任与义务的分工必须符合采购需求，否则，联合体</w:t>
            </w:r>
            <w:r>
              <w:rPr>
                <w:rFonts w:hint="eastAsia" w:ascii="宋体" w:hAnsi="宋体" w:cs="宋体"/>
                <w:color w:val="auto"/>
                <w:szCs w:val="21"/>
                <w:lang w:eastAsia="zh-CN"/>
              </w:rPr>
              <w:t>响应无效</w:t>
            </w:r>
            <w:r>
              <w:rPr>
                <w:rFonts w:hint="eastAsia" w:ascii="宋体" w:hAnsi="宋体" w:cs="宋体"/>
                <w:color w:val="auto"/>
                <w:szCs w:val="21"/>
              </w:rPr>
              <w:t>），并将联合竞标协议连同响应文件一并提交采购代理机构。联合体各方必须共同与采购人签订采购合同，就采购合同约定的事项对采购人承担连带责任。</w:t>
            </w:r>
          </w:p>
          <w:p w14:paraId="5F429D86">
            <w:pPr>
              <w:spacing w:line="440" w:lineRule="exact"/>
              <w:ind w:firstLine="420"/>
              <w:rPr>
                <w:rFonts w:ascii="宋体" w:hAnsi="宋体" w:cs="宋体"/>
                <w:color w:val="auto"/>
                <w:szCs w:val="21"/>
              </w:rPr>
            </w:pPr>
            <w:r>
              <w:rPr>
                <w:rFonts w:hint="eastAsia" w:ascii="宋体" w:hAnsi="宋体" w:cs="宋体"/>
                <w:color w:val="auto"/>
                <w:szCs w:val="21"/>
              </w:rPr>
              <w:t>4</w:t>
            </w:r>
            <w:r>
              <w:rPr>
                <w:rFonts w:ascii="宋体" w:hAnsi="宋体" w:cs="宋体"/>
                <w:color w:val="auto"/>
                <w:szCs w:val="21"/>
              </w:rPr>
              <w:t>.</w:t>
            </w:r>
            <w:r>
              <w:rPr>
                <w:rFonts w:hint="eastAsia" w:ascii="宋体" w:hAnsi="宋体" w:cs="宋体"/>
                <w:color w:val="auto"/>
                <w:szCs w:val="21"/>
              </w:rPr>
              <w:t>以联合体形式参加政府采购活动的，联合体各方不得再单独参加或者与其他供应商另外组成联合体参加同一合同项下的政府采购活动。</w:t>
            </w:r>
          </w:p>
          <w:p w14:paraId="227B8EE5">
            <w:pPr>
              <w:spacing w:line="440" w:lineRule="exact"/>
              <w:ind w:firstLine="420"/>
              <w:rPr>
                <w:rFonts w:ascii="宋体" w:hAnsi="宋体" w:cs="宋体"/>
                <w:color w:val="auto"/>
                <w:szCs w:val="21"/>
              </w:rPr>
            </w:pPr>
            <w:r>
              <w:rPr>
                <w:rFonts w:hint="eastAsia" w:ascii="宋体" w:hAnsi="宋体" w:cs="宋体"/>
                <w:color w:val="auto"/>
                <w:szCs w:val="21"/>
              </w:rPr>
              <w:t>5</w:t>
            </w:r>
            <w:r>
              <w:rPr>
                <w:rFonts w:ascii="宋体" w:hAnsi="宋体" w:cs="宋体"/>
                <w:color w:val="auto"/>
                <w:szCs w:val="21"/>
              </w:rPr>
              <w:t>.</w:t>
            </w:r>
            <w:r>
              <w:rPr>
                <w:rFonts w:hint="eastAsia" w:ascii="宋体" w:hAnsi="宋体" w:cs="宋体"/>
                <w:color w:val="auto"/>
                <w:szCs w:val="21"/>
              </w:rPr>
              <w:t>联合体中有同类资质的供应商按照联合体分工承担相同工作的，应当按照资质等级较低的供应商确定资质等级。</w:t>
            </w:r>
          </w:p>
          <w:p w14:paraId="17661CEC">
            <w:pPr>
              <w:spacing w:line="440" w:lineRule="exact"/>
              <w:ind w:firstLine="420"/>
              <w:rPr>
                <w:rFonts w:ascii="宋体" w:hAnsi="宋体" w:cs="宋体"/>
                <w:color w:val="auto"/>
                <w:szCs w:val="21"/>
              </w:rPr>
            </w:pPr>
            <w:r>
              <w:rPr>
                <w:rFonts w:hint="eastAsia" w:ascii="宋体" w:hAnsi="宋体" w:cs="宋体"/>
                <w:color w:val="auto"/>
                <w:szCs w:val="21"/>
              </w:rPr>
              <w:t>6</w:t>
            </w:r>
            <w:r>
              <w:rPr>
                <w:rFonts w:ascii="宋体" w:hAnsi="宋体" w:cs="宋体"/>
                <w:color w:val="auto"/>
                <w:szCs w:val="21"/>
              </w:rPr>
              <w:t>.</w:t>
            </w:r>
            <w:r>
              <w:rPr>
                <w:rFonts w:hint="eastAsia" w:ascii="宋体" w:hAnsi="宋体" w:cs="宋体"/>
                <w:color w:val="auto"/>
                <w:szCs w:val="21"/>
              </w:rPr>
              <w:t>联合体竞标业绩、履约能力按照联合体各方中较高的一方认定并计算。</w:t>
            </w:r>
          </w:p>
          <w:p w14:paraId="143F53ED">
            <w:pPr>
              <w:spacing w:line="440" w:lineRule="exact"/>
              <w:ind w:firstLine="420"/>
              <w:rPr>
                <w:rFonts w:ascii="宋体" w:hAnsi="宋体" w:cs="宋体"/>
                <w:color w:val="auto"/>
                <w:szCs w:val="21"/>
              </w:rPr>
            </w:pPr>
            <w:r>
              <w:rPr>
                <w:rFonts w:hint="eastAsia" w:ascii="宋体" w:hAnsi="宋体" w:cs="宋体"/>
                <w:color w:val="auto"/>
                <w:szCs w:val="21"/>
              </w:rPr>
              <w:t>7</w:t>
            </w:r>
            <w:r>
              <w:rPr>
                <w:rFonts w:ascii="宋体" w:hAnsi="宋体" w:cs="宋体"/>
                <w:color w:val="auto"/>
                <w:szCs w:val="21"/>
              </w:rPr>
              <w:t>.</w:t>
            </w:r>
            <w:r>
              <w:rPr>
                <w:rFonts w:hint="eastAsia" w:ascii="宋体" w:hAnsi="宋体" w:cs="宋体"/>
                <w:color w:val="auto"/>
                <w:szCs w:val="21"/>
              </w:rPr>
              <w:t>供应商为联合体的，可以由联合体中的一方或者多方共同交纳保证金，其交纳的保证金对联合体各方均具有约束力。</w:t>
            </w:r>
          </w:p>
          <w:p w14:paraId="3CDE5F6E">
            <w:pPr>
              <w:spacing w:line="440" w:lineRule="exact"/>
              <w:ind w:firstLine="420"/>
              <w:rPr>
                <w:rFonts w:ascii="宋体" w:hAnsi="宋体" w:cs="宋体"/>
                <w:color w:val="auto"/>
                <w:szCs w:val="21"/>
              </w:rPr>
            </w:pPr>
            <w:r>
              <w:rPr>
                <w:rFonts w:hint="eastAsia" w:ascii="宋体" w:hAnsi="宋体" w:cs="宋体"/>
                <w:color w:val="auto"/>
                <w:szCs w:val="21"/>
              </w:rPr>
              <w:t>8</w:t>
            </w:r>
            <w:r>
              <w:rPr>
                <w:rFonts w:ascii="宋体" w:hAnsi="宋体" w:cs="宋体"/>
                <w:color w:val="auto"/>
                <w:szCs w:val="21"/>
              </w:rPr>
              <w:t>.</w:t>
            </w:r>
            <w:r>
              <w:rPr>
                <w:rFonts w:hint="eastAsia" w:ascii="宋体" w:hAnsi="宋体" w:cs="宋体"/>
                <w:color w:val="auto"/>
                <w:szCs w:val="21"/>
              </w:rPr>
              <w:t>联合体各方均应按照谈判文件的规定分别提交资格证明文件。</w:t>
            </w:r>
          </w:p>
        </w:tc>
      </w:tr>
      <w:tr w14:paraId="671ED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B4543A1">
            <w:pPr>
              <w:spacing w:before="165"/>
              <w:rPr>
                <w:rFonts w:ascii="宋体" w:hAnsi="宋体" w:cs="宋体"/>
                <w:color w:val="auto"/>
                <w:szCs w:val="21"/>
              </w:rPr>
            </w:pPr>
            <w:r>
              <w:rPr>
                <w:rFonts w:hint="eastAsia" w:ascii="宋体" w:hAnsi="宋体" w:cs="宋体"/>
                <w:color w:val="auto"/>
                <w:szCs w:val="21"/>
              </w:rPr>
              <w:t>6.2</w:t>
            </w:r>
          </w:p>
        </w:tc>
        <w:tc>
          <w:tcPr>
            <w:tcW w:w="7912" w:type="dxa"/>
            <w:vAlign w:val="center"/>
          </w:tcPr>
          <w:p w14:paraId="560790AF">
            <w:pPr>
              <w:pStyle w:val="9"/>
              <w:spacing w:line="440" w:lineRule="exact"/>
              <w:rPr>
                <w:color w:val="auto"/>
              </w:rPr>
            </w:pPr>
            <w:r>
              <w:rPr>
                <w:rFonts w:hint="eastAsia" w:ascii="MS Mincho" w:hAnsi="MS Mincho" w:eastAsia="MS Mincho" w:cs="MS Mincho"/>
                <w:color w:val="auto"/>
              </w:rPr>
              <w:t>☑</w:t>
            </w:r>
            <w:r>
              <w:rPr>
                <w:rFonts w:hint="eastAsia"/>
                <w:color w:val="auto"/>
              </w:rPr>
              <w:t>不允许分包</w:t>
            </w:r>
          </w:p>
          <w:p w14:paraId="534C29EF">
            <w:pPr>
              <w:pStyle w:val="9"/>
              <w:spacing w:line="440" w:lineRule="exact"/>
              <w:rPr>
                <w:color w:val="auto"/>
              </w:rPr>
            </w:pPr>
            <w:r>
              <w:rPr>
                <w:rFonts w:hint="eastAsia"/>
                <w:color w:val="auto"/>
              </w:rPr>
              <w:t>□允许分包</w:t>
            </w:r>
          </w:p>
          <w:p w14:paraId="66EB001F">
            <w:pPr>
              <w:pStyle w:val="9"/>
              <w:spacing w:line="440" w:lineRule="exact"/>
              <w:rPr>
                <w:color w:val="auto"/>
                <w:u w:val="single"/>
              </w:rPr>
            </w:pPr>
            <w:r>
              <w:rPr>
                <w:rFonts w:hint="eastAsia"/>
                <w:color w:val="auto"/>
              </w:rPr>
              <w:t>分包内容：</w:t>
            </w:r>
            <w:r>
              <w:rPr>
                <w:rFonts w:hint="eastAsia"/>
                <w:color w:val="auto"/>
                <w:u w:val="single"/>
              </w:rPr>
              <w:t xml:space="preserve">            /                         。</w:t>
            </w:r>
          </w:p>
          <w:p w14:paraId="127C765D">
            <w:pPr>
              <w:pStyle w:val="9"/>
              <w:spacing w:line="440" w:lineRule="exact"/>
              <w:rPr>
                <w:color w:val="auto"/>
                <w:u w:val="single"/>
              </w:rPr>
            </w:pPr>
            <w:r>
              <w:rPr>
                <w:rFonts w:hint="eastAsia"/>
                <w:color w:val="auto"/>
              </w:rPr>
              <w:t>分包金额或者比例：</w:t>
            </w:r>
            <w:r>
              <w:rPr>
                <w:rFonts w:hint="eastAsia"/>
                <w:color w:val="auto"/>
                <w:u w:val="single"/>
              </w:rPr>
              <w:t xml:space="preserve">      /                               。</w:t>
            </w:r>
          </w:p>
          <w:p w14:paraId="5BEB55EA">
            <w:pPr>
              <w:pStyle w:val="9"/>
              <w:spacing w:line="440" w:lineRule="exact"/>
              <w:rPr>
                <w:color w:val="auto"/>
                <w:u w:val="single"/>
              </w:rPr>
            </w:pPr>
            <w:r>
              <w:rPr>
                <w:rFonts w:hint="eastAsia" w:ascii="宋体" w:hAnsi="宋体"/>
                <w:color w:val="auto"/>
                <w:szCs w:val="21"/>
              </w:rPr>
              <w:t>分包供应商必须具备的资质：</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w:t>
            </w:r>
            <w:r>
              <w:rPr>
                <w:rFonts w:ascii="宋体" w:hAnsi="宋体"/>
                <w:color w:val="auto"/>
                <w:szCs w:val="21"/>
                <w:u w:val="single"/>
              </w:rPr>
              <w:t xml:space="preserve">                    </w:t>
            </w:r>
            <w:r>
              <w:rPr>
                <w:rFonts w:hint="eastAsia" w:ascii="宋体" w:hAnsi="宋体"/>
                <w:color w:val="auto"/>
                <w:szCs w:val="21"/>
                <w:u w:val="single"/>
              </w:rPr>
              <w:t>。</w:t>
            </w:r>
          </w:p>
        </w:tc>
      </w:tr>
      <w:tr w14:paraId="30CA8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E0E6255">
            <w:pPr>
              <w:spacing w:before="165"/>
              <w:rPr>
                <w:rFonts w:ascii="宋体" w:hAnsi="宋体" w:cs="宋体"/>
                <w:color w:val="auto"/>
                <w:szCs w:val="21"/>
              </w:rPr>
            </w:pPr>
            <w:r>
              <w:rPr>
                <w:rFonts w:ascii="宋体" w:hAnsi="宋体" w:cs="宋体"/>
                <w:color w:val="auto"/>
                <w:szCs w:val="21"/>
              </w:rPr>
              <w:t>7.1</w:t>
            </w:r>
          </w:p>
        </w:tc>
        <w:tc>
          <w:tcPr>
            <w:tcW w:w="7912" w:type="dxa"/>
            <w:vAlign w:val="center"/>
          </w:tcPr>
          <w:p w14:paraId="5C19491E">
            <w:pPr>
              <w:autoSpaceDE w:val="0"/>
              <w:autoSpaceDN w:val="0"/>
              <w:snapToGrid w:val="0"/>
              <w:spacing w:line="440" w:lineRule="exact"/>
              <w:ind w:firstLine="420" w:firstLineChars="200"/>
              <w:textAlignment w:val="bottom"/>
              <w:rPr>
                <w:rFonts w:ascii="宋体" w:hAnsi="宋体"/>
                <w:color w:val="auto"/>
                <w:szCs w:val="21"/>
              </w:rPr>
            </w:pPr>
            <w:r>
              <w:rPr>
                <w:rFonts w:hint="eastAsia" w:ascii="宋体" w:hAnsi="宋体"/>
                <w:color w:val="auto"/>
                <w:szCs w:val="21"/>
              </w:rPr>
              <w:t>提供相同品牌产品（非单一产品采购项目的，指核心产品）的不同供应商最后报价相同时，按照下列方式确定一个供应商获得成交人推荐资格：</w:t>
            </w:r>
          </w:p>
          <w:p w14:paraId="42D19803">
            <w:pPr>
              <w:autoSpaceDE w:val="0"/>
              <w:autoSpaceDN w:val="0"/>
              <w:snapToGrid w:val="0"/>
              <w:spacing w:line="440" w:lineRule="exact"/>
              <w:textAlignment w:val="bottom"/>
              <w:rPr>
                <w:rFonts w:ascii="宋体" w:hAnsi="宋体"/>
                <w:color w:val="auto"/>
                <w:szCs w:val="21"/>
              </w:rPr>
            </w:pPr>
            <w:r>
              <w:rPr>
                <w:rFonts w:hint="eastAsia" w:ascii="宋体" w:hAnsi="宋体"/>
                <w:color w:val="auto"/>
                <w:szCs w:val="21"/>
              </w:rPr>
              <w:t>□随机抽取；</w:t>
            </w:r>
          </w:p>
          <w:p w14:paraId="2B52DC58">
            <w:pPr>
              <w:pStyle w:val="9"/>
              <w:spacing w:line="440" w:lineRule="exact"/>
              <w:rPr>
                <w:rFonts w:ascii="MS Mincho" w:hAnsi="MS Mincho" w:eastAsia="MS Mincho" w:cs="MS Mincho"/>
                <w:color w:val="auto"/>
              </w:rPr>
            </w:pPr>
            <w:r>
              <w:rPr>
                <w:rFonts w:hint="eastAsia" w:ascii="MS Mincho" w:hAnsi="MS Mincho" w:eastAsia="MS Mincho" w:cs="MS Mincho"/>
                <w:color w:val="auto"/>
              </w:rPr>
              <w:t>☑</w:t>
            </w:r>
            <w:r>
              <w:rPr>
                <w:rFonts w:hint="eastAsia" w:ascii="宋体" w:hAnsi="宋体" w:cs="宋体"/>
                <w:color w:val="auto"/>
                <w:szCs w:val="21"/>
              </w:rPr>
              <w:t>由采购人自主选择确定一家供应商参加评审，其他</w:t>
            </w:r>
            <w:r>
              <w:rPr>
                <w:rFonts w:hint="eastAsia" w:ascii="宋体" w:hAnsi="宋体" w:cs="宋体"/>
                <w:color w:val="auto"/>
                <w:szCs w:val="21"/>
                <w:lang w:eastAsia="zh-CN"/>
              </w:rPr>
              <w:t>响应无效</w:t>
            </w:r>
            <w:r>
              <w:rPr>
                <w:rFonts w:hint="eastAsia" w:ascii="宋体" w:hAnsi="宋体"/>
                <w:color w:val="auto"/>
                <w:szCs w:val="21"/>
              </w:rPr>
              <w:t>。</w:t>
            </w:r>
          </w:p>
        </w:tc>
      </w:tr>
      <w:tr w14:paraId="5DF87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9957454">
            <w:pPr>
              <w:spacing w:before="165"/>
              <w:jc w:val="right"/>
              <w:rPr>
                <w:rFonts w:ascii="宋体" w:hAnsi="宋体" w:cs="宋体"/>
                <w:color w:val="auto"/>
                <w:szCs w:val="21"/>
              </w:rPr>
            </w:pPr>
            <w:r>
              <w:rPr>
                <w:rFonts w:hint="eastAsia" w:ascii="宋体" w:hAnsi="宋体" w:cs="宋体"/>
                <w:color w:val="auto"/>
                <w:szCs w:val="21"/>
              </w:rPr>
              <w:t>12.1</w:t>
            </w:r>
            <w:r>
              <w:rPr>
                <w:rFonts w:ascii="宋体" w:hAnsi="宋体" w:cs="宋体"/>
                <w:color w:val="auto"/>
                <w:szCs w:val="21"/>
              </w:rPr>
              <w:t>.1</w:t>
            </w:r>
          </w:p>
        </w:tc>
        <w:tc>
          <w:tcPr>
            <w:tcW w:w="7912" w:type="dxa"/>
            <w:vAlign w:val="center"/>
          </w:tcPr>
          <w:p w14:paraId="02EC0BFA">
            <w:pPr>
              <w:snapToGrid w:val="0"/>
              <w:spacing w:line="440" w:lineRule="exact"/>
              <w:ind w:firstLine="422"/>
              <w:jc w:val="left"/>
              <w:rPr>
                <w:rFonts w:ascii="宋体" w:hAnsi="宋体" w:cs="宋体"/>
                <w:b/>
                <w:color w:val="auto"/>
                <w:szCs w:val="21"/>
              </w:rPr>
            </w:pPr>
            <w:r>
              <w:rPr>
                <w:rFonts w:hint="eastAsia" w:ascii="宋体" w:hAnsi="宋体" w:cs="宋体"/>
                <w:b/>
                <w:color w:val="auto"/>
                <w:szCs w:val="21"/>
              </w:rPr>
              <w:t>资格证明文件</w:t>
            </w:r>
          </w:p>
          <w:p w14:paraId="695ED194">
            <w:pPr>
              <w:snapToGrid w:val="0"/>
              <w:spacing w:line="440" w:lineRule="exact"/>
              <w:ind w:firstLine="420"/>
              <w:jc w:val="left"/>
              <w:rPr>
                <w:rFonts w:ascii="宋体" w:hAnsi="宋体" w:cs="宋体"/>
                <w:color w:val="auto"/>
                <w:szCs w:val="21"/>
              </w:rPr>
            </w:pPr>
            <w:r>
              <w:rPr>
                <w:rFonts w:hint="eastAsia" w:ascii="宋体" w:hAnsi="宋体" w:cs="宋体"/>
                <w:color w:val="auto"/>
                <w:szCs w:val="21"/>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0ED424DF">
            <w:pPr>
              <w:snapToGrid w:val="0"/>
              <w:spacing w:line="440" w:lineRule="exact"/>
              <w:ind w:firstLine="420"/>
              <w:jc w:val="left"/>
              <w:rPr>
                <w:rFonts w:ascii="宋体" w:hAnsi="宋体" w:cs="宋体"/>
                <w:color w:val="auto"/>
                <w:szCs w:val="21"/>
              </w:rPr>
            </w:pPr>
            <w:r>
              <w:rPr>
                <w:rFonts w:hint="eastAsia" w:ascii="宋体" w:hAnsi="宋体" w:cs="宋体"/>
                <w:color w:val="auto"/>
                <w:szCs w:val="21"/>
              </w:rPr>
              <w:t>2.供应商依法缴纳税收的相关材料（</w:t>
            </w:r>
            <w:r>
              <w:rPr>
                <w:rFonts w:hint="eastAsia" w:ascii="宋体" w:hAnsi="宋体" w:cs="宋体"/>
                <w:color w:val="auto"/>
                <w:szCs w:val="21"/>
                <w:u w:val="single"/>
              </w:rPr>
              <w:t>2025年6月至2025年12月任意1个</w:t>
            </w:r>
            <w:r>
              <w:rPr>
                <w:rFonts w:hint="eastAsia" w:ascii="宋体" w:hAnsi="宋体" w:cs="宋体"/>
                <w:color w:val="auto"/>
                <w:szCs w:val="21"/>
              </w:rPr>
              <w:t>月的依法缴纳税收的凭据复印件；依法免税的，必须提供相应文件证明其依法免税。从成立之日起到响应文件提交截止时间止不足要求月数的，只需提供从成立之日起的依法缴纳税收相应证明文件）；（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p>
          <w:p w14:paraId="2E629CB2">
            <w:pPr>
              <w:tabs>
                <w:tab w:val="left" w:pos="525"/>
              </w:tabs>
              <w:snapToGrid w:val="0"/>
              <w:spacing w:line="440" w:lineRule="exact"/>
              <w:ind w:firstLine="420"/>
              <w:jc w:val="left"/>
              <w:rPr>
                <w:rFonts w:ascii="宋体" w:hAnsi="宋体" w:cs="宋体"/>
                <w:color w:val="auto"/>
                <w:szCs w:val="21"/>
              </w:rPr>
            </w:pPr>
            <w:r>
              <w:rPr>
                <w:rFonts w:hint="eastAsia" w:ascii="宋体" w:hAnsi="宋体" w:cs="宋体"/>
                <w:color w:val="auto"/>
                <w:szCs w:val="21"/>
              </w:rPr>
              <w:t>3.供应商依法缴纳社会保障资金的相关材料[</w:t>
            </w:r>
            <w:r>
              <w:rPr>
                <w:rFonts w:hint="eastAsia" w:ascii="宋体" w:hAnsi="宋体" w:cs="宋体"/>
                <w:color w:val="auto"/>
                <w:szCs w:val="21"/>
                <w:u w:val="single"/>
              </w:rPr>
              <w:t>2025年6月至2025年12月任意1个</w:t>
            </w:r>
            <w:r>
              <w:rPr>
                <w:rFonts w:hint="eastAsia" w:ascii="宋体" w:hAnsi="宋体" w:cs="宋体"/>
                <w:color w:val="auto"/>
                <w:szCs w:val="21"/>
              </w:rPr>
              <w:t>月的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宋体" w:hAnsi="宋体" w:cs="宋体"/>
                <w:b/>
                <w:color w:val="auto"/>
                <w:szCs w:val="21"/>
              </w:rPr>
              <w:t>必须提供，否则响应文件按无效响应处理</w:t>
            </w:r>
            <w:r>
              <w:rPr>
                <w:rFonts w:hint="eastAsia" w:ascii="宋体" w:hAnsi="宋体" w:cs="宋体"/>
                <w:color w:val="auto"/>
                <w:szCs w:val="21"/>
              </w:rPr>
              <w:t>）</w:t>
            </w:r>
            <w:r>
              <w:rPr>
                <w:rFonts w:hint="eastAsia" w:ascii="宋体" w:hAnsi="宋体" w:cs="宋体"/>
                <w:b/>
                <w:bCs/>
                <w:color w:val="auto"/>
                <w:szCs w:val="21"/>
              </w:rPr>
              <w:t>；</w:t>
            </w:r>
          </w:p>
          <w:p w14:paraId="55B9515E">
            <w:pPr>
              <w:spacing w:line="440" w:lineRule="exact"/>
              <w:ind w:firstLine="420"/>
              <w:contextualSpacing/>
              <w:jc w:val="left"/>
              <w:rPr>
                <w:rFonts w:ascii="宋体" w:hAnsi="宋体" w:cs="宋体"/>
                <w:b/>
                <w:color w:val="auto"/>
                <w:szCs w:val="21"/>
              </w:rPr>
            </w:pPr>
            <w:r>
              <w:rPr>
                <w:rFonts w:hint="eastAsia" w:ascii="宋体" w:hAnsi="宋体" w:cs="宋体"/>
                <w:color w:val="auto"/>
                <w:szCs w:val="21"/>
              </w:rPr>
              <w:t>4. 供应商2024年度的财务审计报告或财务报表复印件或者银行出具的资信证明；供应商属于成立时间在规定年度之后的法人或其他组织，需提供成立之日起至响应文件提交截止时间前的月报表或银行出具的资信证明；资信证明应在有效期内，未注明有效期的，银行出具时间至响应文件提交截止时间不超过一年]；</w:t>
            </w:r>
            <w:r>
              <w:rPr>
                <w:rFonts w:hint="eastAsia" w:ascii="宋体" w:hAnsi="宋体" w:cs="宋体"/>
                <w:bCs/>
                <w:color w:val="auto"/>
                <w:szCs w:val="21"/>
              </w:rPr>
              <w:t>（</w:t>
            </w:r>
            <w:r>
              <w:rPr>
                <w:rFonts w:hint="eastAsia" w:ascii="宋体" w:hAnsi="宋体"/>
                <w:b/>
                <w:color w:val="auto"/>
                <w:szCs w:val="21"/>
              </w:rPr>
              <w:t>必须提供</w:t>
            </w:r>
            <w:r>
              <w:rPr>
                <w:rFonts w:hint="eastAsia" w:ascii="宋体" w:hAnsi="宋体" w:cs="宋体"/>
                <w:b/>
                <w:color w:val="auto"/>
                <w:szCs w:val="21"/>
              </w:rPr>
              <w:t>，否则响应文件按无效响应处理</w:t>
            </w:r>
            <w:r>
              <w:rPr>
                <w:rFonts w:hint="eastAsia" w:ascii="宋体" w:hAnsi="宋体" w:cs="宋体"/>
                <w:bCs/>
                <w:color w:val="auto"/>
                <w:szCs w:val="21"/>
              </w:rPr>
              <w:t>）</w:t>
            </w:r>
          </w:p>
          <w:p w14:paraId="53DEEAAE">
            <w:pPr>
              <w:snapToGrid w:val="0"/>
              <w:spacing w:line="440" w:lineRule="exact"/>
              <w:ind w:firstLine="420"/>
              <w:jc w:val="left"/>
              <w:rPr>
                <w:rFonts w:ascii="宋体" w:hAnsi="宋体" w:cs="宋体"/>
                <w:color w:val="auto"/>
                <w:szCs w:val="21"/>
              </w:rPr>
            </w:pPr>
            <w:r>
              <w:rPr>
                <w:rFonts w:hint="eastAsia" w:ascii="宋体" w:hAnsi="宋体" w:cs="宋体"/>
                <w:color w:val="auto"/>
                <w:szCs w:val="21"/>
              </w:rPr>
              <w:t>5. 供应商直接控股、管理关系信息表（格式后附）；（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5FF9439C">
            <w:pPr>
              <w:snapToGrid w:val="0"/>
              <w:spacing w:line="440" w:lineRule="exact"/>
              <w:ind w:firstLine="420"/>
              <w:jc w:val="left"/>
              <w:rPr>
                <w:rFonts w:ascii="宋体" w:hAnsi="宋体" w:cs="宋体"/>
                <w:color w:val="auto"/>
                <w:szCs w:val="21"/>
              </w:rPr>
            </w:pPr>
            <w:r>
              <w:rPr>
                <w:rFonts w:hint="eastAsia" w:ascii="宋体" w:hAnsi="宋体" w:cs="宋体"/>
                <w:color w:val="auto"/>
                <w:szCs w:val="21"/>
              </w:rPr>
              <w:t>6.竞标声明（格式后附）；（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20A6BEF7">
            <w:pPr>
              <w:spacing w:line="440" w:lineRule="exact"/>
              <w:ind w:firstLine="420"/>
              <w:contextualSpacing/>
              <w:jc w:val="left"/>
              <w:rPr>
                <w:rFonts w:ascii="宋体" w:hAnsi="宋体"/>
                <w:color w:val="auto"/>
                <w:szCs w:val="21"/>
              </w:rPr>
            </w:pPr>
            <w:r>
              <w:rPr>
                <w:rFonts w:hint="eastAsia" w:ascii="宋体" w:hAnsi="宋体"/>
                <w:color w:val="auto"/>
                <w:szCs w:val="21"/>
              </w:rPr>
              <w:t>7.联合体竞标协议书（格式后附）；（联合体竞标时必须提供，否则响应文件按无效处理）</w:t>
            </w:r>
          </w:p>
          <w:p w14:paraId="792F2332">
            <w:pPr>
              <w:snapToGrid w:val="0"/>
              <w:spacing w:line="440" w:lineRule="exact"/>
              <w:ind w:firstLine="420"/>
              <w:jc w:val="left"/>
              <w:rPr>
                <w:rFonts w:ascii="宋体" w:hAnsi="宋体"/>
                <w:i/>
                <w:color w:val="auto"/>
                <w:szCs w:val="21"/>
              </w:rPr>
            </w:pPr>
            <w:r>
              <w:rPr>
                <w:rFonts w:hint="eastAsia" w:ascii="宋体" w:hAnsi="宋体"/>
                <w:color w:val="auto"/>
                <w:szCs w:val="21"/>
              </w:rPr>
              <w:t>8.</w:t>
            </w:r>
            <w:r>
              <w:rPr>
                <w:rFonts w:hint="eastAsia" w:ascii="宋体" w:hAnsi="宋体" w:cs="宋体"/>
                <w:color w:val="auto"/>
                <w:szCs w:val="21"/>
              </w:rPr>
              <w:t xml:space="preserve"> 除谈判文件规定必须提供以外，供应商认为需要提供的其他证明材料；</w:t>
            </w:r>
          </w:p>
          <w:p w14:paraId="33636CF3">
            <w:pPr>
              <w:snapToGrid w:val="0"/>
              <w:spacing w:line="440" w:lineRule="exact"/>
              <w:ind w:firstLine="422"/>
              <w:jc w:val="left"/>
              <w:rPr>
                <w:rFonts w:ascii="宋体" w:hAnsi="宋体" w:cs="宋体"/>
                <w:b/>
                <w:color w:val="auto"/>
                <w:szCs w:val="21"/>
              </w:rPr>
            </w:pPr>
            <w:r>
              <w:rPr>
                <w:rFonts w:hint="eastAsia" w:ascii="宋体" w:hAnsi="宋体" w:cs="宋体"/>
                <w:b/>
                <w:color w:val="auto"/>
                <w:szCs w:val="21"/>
              </w:rPr>
              <w:t>注：</w:t>
            </w:r>
          </w:p>
          <w:p w14:paraId="04DF8B58">
            <w:pPr>
              <w:snapToGrid w:val="0"/>
              <w:spacing w:line="440" w:lineRule="exact"/>
              <w:ind w:firstLine="413" w:firstLineChars="196"/>
              <w:jc w:val="left"/>
              <w:rPr>
                <w:rFonts w:ascii="宋体" w:hAnsi="宋体" w:cs="宋体"/>
                <w:b/>
                <w:color w:val="auto"/>
                <w:szCs w:val="21"/>
              </w:rPr>
            </w:pPr>
            <w:r>
              <w:rPr>
                <w:rFonts w:hint="eastAsia" w:ascii="宋体" w:hAnsi="宋体" w:cs="宋体"/>
                <w:b/>
                <w:color w:val="auto"/>
                <w:szCs w:val="21"/>
              </w:rPr>
              <w:t>1.以上标明“必须提供”的材料属于复印件的，必须加盖供应商</w:t>
            </w:r>
            <w:r>
              <w:rPr>
                <w:rFonts w:hint="eastAsia"/>
                <w:b/>
                <w:color w:val="auto"/>
              </w:rPr>
              <w:t>电子签章</w:t>
            </w:r>
            <w:r>
              <w:rPr>
                <w:rFonts w:hint="eastAsia" w:ascii="宋体" w:hAnsi="宋体" w:cs="宋体"/>
                <w:b/>
                <w:color w:val="auto"/>
                <w:szCs w:val="21"/>
              </w:rPr>
              <w:t>，否则响应文件按无效处理。</w:t>
            </w:r>
          </w:p>
          <w:p w14:paraId="2ED4B6BB">
            <w:pPr>
              <w:snapToGrid w:val="0"/>
              <w:spacing w:line="440" w:lineRule="exact"/>
              <w:ind w:firstLine="422" w:firstLineChars="200"/>
              <w:jc w:val="left"/>
              <w:rPr>
                <w:rFonts w:ascii="宋体" w:hAnsi="宋体" w:cs="宋体"/>
                <w:b/>
                <w:color w:val="auto"/>
                <w:szCs w:val="21"/>
              </w:rPr>
            </w:pPr>
            <w:r>
              <w:rPr>
                <w:rFonts w:hint="eastAsia" w:ascii="宋体" w:hAnsi="宋体" w:cs="宋体"/>
                <w:b/>
                <w:color w:val="auto"/>
                <w:szCs w:val="21"/>
              </w:rPr>
              <w:t>2.联合体竞标时，第1-5项资格证明文件联合体各方均必须分别提供，</w:t>
            </w:r>
            <w:r>
              <w:rPr>
                <w:rFonts w:hint="eastAsia"/>
                <w:b/>
                <w:color w:val="auto"/>
              </w:rPr>
              <w:t>并由</w:t>
            </w:r>
            <w:r>
              <w:rPr>
                <w:rFonts w:hint="eastAsia" w:ascii="宋体" w:hAnsi="宋体" w:cs="宋体"/>
                <w:b/>
                <w:color w:val="auto"/>
                <w:szCs w:val="21"/>
              </w:rPr>
              <w:t>联合体</w:t>
            </w:r>
            <w:r>
              <w:rPr>
                <w:rFonts w:hint="eastAsia"/>
                <w:b/>
                <w:color w:val="auto"/>
              </w:rPr>
              <w:t>牵头人加盖电子签章</w:t>
            </w:r>
            <w:r>
              <w:rPr>
                <w:rFonts w:hint="eastAsia" w:ascii="宋体" w:hAnsi="宋体" w:cs="宋体"/>
                <w:b/>
                <w:color w:val="auto"/>
                <w:szCs w:val="21"/>
              </w:rPr>
              <w:t>，</w:t>
            </w:r>
            <w:r>
              <w:rPr>
                <w:rFonts w:hint="eastAsia"/>
                <w:b/>
                <w:color w:val="auto"/>
              </w:rPr>
              <w:t>规定签字</w:t>
            </w:r>
            <w:r>
              <w:rPr>
                <w:rFonts w:hint="eastAsia" w:ascii="宋体" w:hAnsi="宋体" w:cs="宋体"/>
                <w:b/>
                <w:color w:val="auto"/>
                <w:szCs w:val="21"/>
              </w:rPr>
              <w:t>处签字</w:t>
            </w:r>
            <w:r>
              <w:rPr>
                <w:rFonts w:hint="eastAsia" w:ascii="宋体" w:hAnsi="宋体"/>
                <w:b/>
                <w:bCs/>
                <w:color w:val="auto"/>
                <w:szCs w:val="21"/>
              </w:rPr>
              <w:t>（或者电子签名）</w:t>
            </w:r>
            <w:r>
              <w:rPr>
                <w:rFonts w:hint="eastAsia" w:ascii="宋体" w:hAnsi="宋体" w:cs="宋体"/>
                <w:b/>
                <w:color w:val="auto"/>
                <w:szCs w:val="21"/>
              </w:rPr>
              <w:t>，否则响应文件按无效处理。</w:t>
            </w:r>
          </w:p>
          <w:p w14:paraId="66FAC054">
            <w:pPr>
              <w:snapToGrid w:val="0"/>
              <w:spacing w:line="440" w:lineRule="exact"/>
              <w:ind w:firstLine="422" w:firstLineChars="200"/>
              <w:jc w:val="left"/>
              <w:rPr>
                <w:rFonts w:ascii="宋体" w:hAnsi="宋体" w:cs="宋体"/>
                <w:b/>
                <w:color w:val="auto"/>
                <w:szCs w:val="21"/>
              </w:rPr>
            </w:pPr>
            <w:r>
              <w:rPr>
                <w:rFonts w:hint="eastAsia" w:ascii="宋体" w:hAnsi="宋体"/>
                <w:b/>
                <w:bCs/>
                <w:color w:val="auto"/>
                <w:szCs w:val="21"/>
              </w:rPr>
              <w:t>3.分公司参加竞标的，应当取得总公司授权。</w:t>
            </w:r>
          </w:p>
        </w:tc>
      </w:tr>
      <w:tr w14:paraId="27D7A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65722AA">
            <w:pPr>
              <w:spacing w:before="165"/>
              <w:rPr>
                <w:rFonts w:ascii="宋体" w:hAnsi="宋体" w:cs="宋体"/>
                <w:color w:val="auto"/>
                <w:szCs w:val="21"/>
              </w:rPr>
            </w:pPr>
            <w:r>
              <w:rPr>
                <w:rFonts w:hint="eastAsia" w:ascii="宋体" w:hAnsi="宋体" w:cs="宋体"/>
                <w:color w:val="auto"/>
                <w:szCs w:val="21"/>
              </w:rPr>
              <w:t>12.1.2</w:t>
            </w:r>
          </w:p>
        </w:tc>
        <w:tc>
          <w:tcPr>
            <w:tcW w:w="7912" w:type="dxa"/>
            <w:vAlign w:val="center"/>
          </w:tcPr>
          <w:p w14:paraId="5D65CBA4">
            <w:pPr>
              <w:spacing w:line="440" w:lineRule="exact"/>
              <w:ind w:firstLine="420"/>
              <w:rPr>
                <w:rFonts w:ascii="宋体" w:hAnsi="宋体" w:cs="宋体"/>
                <w:color w:val="auto"/>
                <w:szCs w:val="21"/>
              </w:rPr>
            </w:pPr>
            <w:r>
              <w:rPr>
                <w:rFonts w:hint="eastAsia" w:ascii="宋体" w:hAnsi="宋体" w:cs="宋体"/>
                <w:color w:val="auto"/>
                <w:szCs w:val="21"/>
              </w:rPr>
              <w:t>报价文件</w:t>
            </w:r>
          </w:p>
          <w:p w14:paraId="66D9689C">
            <w:pPr>
              <w:spacing w:line="440" w:lineRule="exact"/>
              <w:ind w:firstLine="420"/>
              <w:rPr>
                <w:rFonts w:ascii="宋体" w:hAnsi="宋体" w:cs="宋体"/>
                <w:color w:val="auto"/>
                <w:szCs w:val="21"/>
              </w:rPr>
            </w:pPr>
            <w:r>
              <w:rPr>
                <w:rFonts w:hint="eastAsia" w:ascii="宋体" w:hAnsi="宋体" w:cs="宋体"/>
                <w:color w:val="auto"/>
                <w:szCs w:val="21"/>
              </w:rPr>
              <w:t>1.竞标报价表（格式后附）；</w:t>
            </w:r>
            <w:r>
              <w:rPr>
                <w:rFonts w:hint="eastAsia" w:ascii="宋体" w:hAnsi="宋体" w:cs="宋体"/>
                <w:b/>
                <w:bCs/>
                <w:color w:val="auto"/>
                <w:szCs w:val="21"/>
              </w:rPr>
              <w:t>（必须提供，否则响应文件按无效处理）</w:t>
            </w:r>
          </w:p>
          <w:p w14:paraId="3CBE3428">
            <w:pPr>
              <w:spacing w:line="440" w:lineRule="exact"/>
              <w:ind w:firstLine="420"/>
              <w:rPr>
                <w:rFonts w:ascii="宋体" w:hAnsi="宋体" w:cs="宋体"/>
                <w:color w:val="auto"/>
                <w:szCs w:val="21"/>
              </w:rPr>
            </w:pPr>
            <w:r>
              <w:rPr>
                <w:rFonts w:hint="eastAsia" w:ascii="宋体" w:hAnsi="宋体" w:cs="宋体"/>
                <w:color w:val="auto"/>
                <w:szCs w:val="21"/>
              </w:rPr>
              <w:t>2.中小企业声明函（格式后附）；（如是，请提供）</w:t>
            </w:r>
          </w:p>
          <w:p w14:paraId="19C6C466">
            <w:pPr>
              <w:spacing w:line="440" w:lineRule="exact"/>
              <w:ind w:firstLine="420"/>
              <w:rPr>
                <w:rFonts w:ascii="宋体" w:hAnsi="宋体" w:cs="宋体"/>
                <w:color w:val="auto"/>
                <w:szCs w:val="21"/>
              </w:rPr>
            </w:pPr>
            <w:r>
              <w:rPr>
                <w:rFonts w:hint="eastAsia" w:ascii="宋体" w:hAnsi="宋体" w:cs="宋体"/>
                <w:color w:val="auto"/>
                <w:szCs w:val="21"/>
              </w:rPr>
              <w:t>3.供应商认为需要提供的其他有关资料。</w:t>
            </w:r>
          </w:p>
          <w:p w14:paraId="20AD0B8B">
            <w:pPr>
              <w:spacing w:line="440" w:lineRule="exact"/>
              <w:ind w:firstLine="422"/>
              <w:rPr>
                <w:rFonts w:ascii="宋体" w:hAnsi="宋体" w:cs="宋体"/>
                <w:color w:val="auto"/>
                <w:szCs w:val="21"/>
              </w:rPr>
            </w:pPr>
            <w:r>
              <w:rPr>
                <w:rFonts w:hint="eastAsia" w:ascii="宋体" w:hAnsi="宋体" w:cs="宋体"/>
                <w:b/>
                <w:color w:val="auto"/>
                <w:szCs w:val="21"/>
              </w:rPr>
              <w:t>以上标明“必须提供”的材料属于复印件的，必须加盖供应商</w:t>
            </w:r>
            <w:r>
              <w:rPr>
                <w:rFonts w:hint="eastAsia"/>
                <w:b/>
                <w:color w:val="auto"/>
              </w:rPr>
              <w:t>电子签章</w:t>
            </w:r>
            <w:r>
              <w:rPr>
                <w:rFonts w:hint="eastAsia" w:ascii="宋体" w:hAnsi="宋体" w:cs="宋体"/>
                <w:b/>
                <w:color w:val="auto"/>
                <w:szCs w:val="21"/>
              </w:rPr>
              <w:t>，否则响应文件按无效处理。</w:t>
            </w:r>
          </w:p>
        </w:tc>
      </w:tr>
      <w:tr w14:paraId="43A17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DFAB391">
            <w:pPr>
              <w:spacing w:before="165"/>
              <w:rPr>
                <w:rFonts w:ascii="宋体" w:hAnsi="宋体" w:cs="宋体"/>
                <w:color w:val="auto"/>
                <w:szCs w:val="21"/>
              </w:rPr>
            </w:pPr>
            <w:r>
              <w:rPr>
                <w:rFonts w:hint="eastAsia" w:ascii="宋体" w:hAnsi="宋体" w:cs="宋体"/>
                <w:color w:val="auto"/>
                <w:szCs w:val="21"/>
              </w:rPr>
              <w:t>12.</w:t>
            </w:r>
            <w:r>
              <w:rPr>
                <w:rFonts w:ascii="宋体" w:hAnsi="宋体" w:cs="宋体"/>
                <w:color w:val="auto"/>
                <w:szCs w:val="21"/>
              </w:rPr>
              <w:t>1.</w:t>
            </w:r>
            <w:r>
              <w:rPr>
                <w:rFonts w:hint="eastAsia" w:ascii="宋体" w:hAnsi="宋体" w:cs="宋体"/>
                <w:color w:val="auto"/>
                <w:szCs w:val="21"/>
              </w:rPr>
              <w:t>3</w:t>
            </w:r>
          </w:p>
        </w:tc>
        <w:tc>
          <w:tcPr>
            <w:tcW w:w="7912" w:type="dxa"/>
            <w:vAlign w:val="center"/>
          </w:tcPr>
          <w:p w14:paraId="7199E964">
            <w:pPr>
              <w:spacing w:line="440" w:lineRule="exact"/>
              <w:ind w:firstLine="420"/>
              <w:rPr>
                <w:rFonts w:ascii="宋体" w:hAnsi="宋体" w:cs="宋体"/>
                <w:color w:val="auto"/>
                <w:szCs w:val="21"/>
              </w:rPr>
            </w:pPr>
            <w:r>
              <w:rPr>
                <w:rFonts w:hint="eastAsia" w:ascii="宋体" w:hAnsi="宋体" w:cs="宋体"/>
                <w:color w:val="auto"/>
                <w:szCs w:val="21"/>
              </w:rPr>
              <w:t>商务技术文件</w:t>
            </w:r>
          </w:p>
          <w:p w14:paraId="164DE46A">
            <w:pPr>
              <w:spacing w:line="440" w:lineRule="exact"/>
              <w:ind w:firstLine="420"/>
              <w:rPr>
                <w:rFonts w:ascii="宋体" w:hAnsi="宋体" w:cs="宋体"/>
                <w:color w:val="auto"/>
                <w:szCs w:val="21"/>
              </w:rPr>
            </w:pPr>
            <w:r>
              <w:rPr>
                <w:rFonts w:hint="eastAsia" w:ascii="宋体" w:hAnsi="宋体" w:cs="宋体"/>
                <w:color w:val="auto"/>
                <w:szCs w:val="21"/>
              </w:rPr>
              <w:t>1.无串通竞标行为的承诺函（格式后附）；（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36702A56">
            <w:pPr>
              <w:snapToGrid w:val="0"/>
              <w:spacing w:line="440" w:lineRule="exact"/>
              <w:ind w:firstLine="420"/>
              <w:jc w:val="left"/>
              <w:rPr>
                <w:rFonts w:ascii="宋体" w:hAnsi="宋体" w:cs="宋体"/>
                <w:color w:val="auto"/>
                <w:szCs w:val="21"/>
              </w:rPr>
            </w:pPr>
            <w:r>
              <w:rPr>
                <w:rFonts w:hint="eastAsia" w:ascii="宋体" w:hAnsi="宋体" w:cs="宋体"/>
                <w:color w:val="auto"/>
                <w:szCs w:val="21"/>
              </w:rPr>
              <w:t>2.法定代表人身份证明书及法定代表人有效身份证正反面复印件（格式后附）；（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066E9316">
            <w:pPr>
              <w:spacing w:line="440" w:lineRule="exact"/>
              <w:ind w:firstLine="420"/>
              <w:rPr>
                <w:rFonts w:ascii="宋体" w:hAnsi="宋体" w:cs="宋体"/>
                <w:b/>
                <w:color w:val="auto"/>
                <w:szCs w:val="21"/>
              </w:rPr>
            </w:pPr>
            <w:r>
              <w:rPr>
                <w:rFonts w:hint="eastAsia" w:ascii="宋体" w:hAnsi="宋体" w:cs="宋体"/>
                <w:color w:val="auto"/>
                <w:szCs w:val="21"/>
              </w:rPr>
              <w:t>3.授权委托书及委托代理人有效身份证正反面复印件（格式后附）；（</w:t>
            </w:r>
            <w:r>
              <w:rPr>
                <w:rFonts w:hint="eastAsia" w:ascii="宋体" w:hAnsi="宋体" w:cs="宋体"/>
                <w:b/>
                <w:color w:val="auto"/>
                <w:szCs w:val="21"/>
              </w:rPr>
              <w:t>委托时必须提供，否则响应文件按无效处理</w:t>
            </w:r>
            <w:r>
              <w:rPr>
                <w:rFonts w:hint="eastAsia" w:ascii="宋体" w:hAnsi="宋体" w:cs="宋体"/>
                <w:color w:val="auto"/>
                <w:szCs w:val="21"/>
              </w:rPr>
              <w:t>）</w:t>
            </w:r>
          </w:p>
          <w:p w14:paraId="00D1A969">
            <w:pPr>
              <w:spacing w:line="440" w:lineRule="exact"/>
              <w:ind w:firstLine="420"/>
              <w:rPr>
                <w:rFonts w:ascii="宋体" w:hAnsi="宋体" w:cs="宋体"/>
                <w:color w:val="auto"/>
                <w:szCs w:val="21"/>
              </w:rPr>
            </w:pPr>
            <w:r>
              <w:rPr>
                <w:rFonts w:hint="eastAsia" w:ascii="宋体" w:hAnsi="宋体" w:cs="宋体"/>
                <w:color w:val="auto"/>
                <w:szCs w:val="21"/>
              </w:rPr>
              <w:t>4.竞标保证金提交凭证；（</w:t>
            </w:r>
            <w:r>
              <w:rPr>
                <w:rFonts w:hint="eastAsia"/>
                <w:b/>
                <w:bCs/>
                <w:color w:val="auto"/>
              </w:rPr>
              <w:t>必须提供</w:t>
            </w:r>
            <w:r>
              <w:rPr>
                <w:rFonts w:hint="eastAsia" w:ascii="宋体" w:hAnsi="宋体" w:cs="宋体"/>
                <w:b/>
                <w:color w:val="auto"/>
                <w:szCs w:val="21"/>
              </w:rPr>
              <w:t>，否则响应文件按无效处理</w:t>
            </w:r>
            <w:r>
              <w:rPr>
                <w:rFonts w:hint="eastAsia" w:ascii="宋体" w:hAnsi="宋体" w:cs="宋体"/>
                <w:color w:val="auto"/>
                <w:szCs w:val="21"/>
              </w:rPr>
              <w:t>）</w:t>
            </w:r>
          </w:p>
          <w:p w14:paraId="3AA1378E">
            <w:pPr>
              <w:spacing w:line="440" w:lineRule="exact"/>
              <w:ind w:firstLine="420"/>
              <w:rPr>
                <w:rFonts w:ascii="宋体" w:hAnsi="宋体" w:cs="宋体"/>
                <w:color w:val="auto"/>
                <w:szCs w:val="21"/>
              </w:rPr>
            </w:pPr>
            <w:r>
              <w:rPr>
                <w:rFonts w:hint="eastAsia" w:ascii="宋体" w:hAnsi="宋体" w:cs="宋体"/>
                <w:color w:val="auto"/>
                <w:szCs w:val="21"/>
              </w:rPr>
              <w:t>5.商务要求偏离表（格式后附）；（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13321FF5">
            <w:pPr>
              <w:spacing w:line="440" w:lineRule="exact"/>
              <w:ind w:firstLine="420"/>
              <w:rPr>
                <w:rFonts w:ascii="宋体" w:hAnsi="宋体" w:cs="宋体"/>
                <w:color w:val="auto"/>
                <w:szCs w:val="21"/>
              </w:rPr>
            </w:pPr>
            <w:r>
              <w:rPr>
                <w:rFonts w:hint="eastAsia" w:ascii="宋体" w:hAnsi="宋体" w:cs="宋体"/>
                <w:color w:val="auto"/>
                <w:szCs w:val="21"/>
              </w:rPr>
              <w:t>6.售后服务承诺（格式自拟）；（</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2A417B1F">
            <w:pPr>
              <w:spacing w:line="440" w:lineRule="exact"/>
              <w:ind w:firstLine="420"/>
              <w:rPr>
                <w:rFonts w:ascii="宋体" w:hAnsi="宋体" w:cs="宋体"/>
                <w:color w:val="auto"/>
                <w:szCs w:val="21"/>
              </w:rPr>
            </w:pPr>
            <w:r>
              <w:rPr>
                <w:rFonts w:hint="eastAsia" w:ascii="宋体" w:hAnsi="宋体" w:cs="宋体"/>
                <w:color w:val="auto"/>
                <w:szCs w:val="21"/>
              </w:rPr>
              <w:t>7.货物配置清单（均不含报价）（格式后附）；（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621B6A44">
            <w:pPr>
              <w:spacing w:line="440" w:lineRule="exact"/>
              <w:ind w:firstLine="420"/>
              <w:rPr>
                <w:rFonts w:ascii="宋体" w:hAnsi="宋体" w:cs="宋体"/>
                <w:color w:val="auto"/>
                <w:szCs w:val="21"/>
              </w:rPr>
            </w:pPr>
            <w:r>
              <w:rPr>
                <w:rFonts w:hint="eastAsia" w:ascii="宋体" w:hAnsi="宋体" w:cs="宋体"/>
                <w:color w:val="auto"/>
                <w:szCs w:val="21"/>
              </w:rPr>
              <w:t>8.技术要求偏离表（格式后附）；（</w:t>
            </w:r>
            <w:r>
              <w:rPr>
                <w:rFonts w:hint="eastAsia" w:ascii="宋体" w:hAnsi="宋体" w:cs="宋体"/>
                <w:b/>
                <w:color w:val="auto"/>
                <w:szCs w:val="21"/>
              </w:rPr>
              <w:t>必须提供，否则响应文件按无效处理</w:t>
            </w:r>
            <w:r>
              <w:rPr>
                <w:rFonts w:hint="eastAsia" w:ascii="宋体" w:hAnsi="宋体" w:cs="宋体"/>
                <w:color w:val="auto"/>
                <w:szCs w:val="21"/>
              </w:rPr>
              <w:t>）</w:t>
            </w:r>
          </w:p>
          <w:p w14:paraId="34310DE5">
            <w:pPr>
              <w:spacing w:line="440" w:lineRule="exact"/>
              <w:ind w:firstLine="420"/>
              <w:rPr>
                <w:rFonts w:ascii="宋体" w:hAnsi="宋体" w:cs="宋体"/>
                <w:color w:val="auto"/>
                <w:szCs w:val="21"/>
              </w:rPr>
            </w:pPr>
            <w:r>
              <w:rPr>
                <w:rFonts w:hint="eastAsia" w:ascii="宋体" w:hAnsi="宋体" w:cs="宋体"/>
                <w:color w:val="auto"/>
                <w:szCs w:val="21"/>
              </w:rPr>
              <w:t>9.对应采购需求的技术要求、商务要求提供的其他文件资料（格式自拟）；</w:t>
            </w:r>
          </w:p>
          <w:p w14:paraId="1BA6EE0B">
            <w:pPr>
              <w:spacing w:line="440" w:lineRule="exact"/>
              <w:ind w:firstLine="420"/>
              <w:rPr>
                <w:rFonts w:ascii="宋体" w:hAnsi="宋体" w:cs="宋体"/>
                <w:color w:val="auto"/>
                <w:szCs w:val="21"/>
              </w:rPr>
            </w:pPr>
            <w:r>
              <w:rPr>
                <w:rFonts w:hint="eastAsia" w:ascii="宋体" w:hAnsi="宋体" w:cs="宋体"/>
                <w:color w:val="auto"/>
                <w:szCs w:val="21"/>
              </w:rPr>
              <w:t>10.供应商认为需要提供的其他有关资料。</w:t>
            </w:r>
          </w:p>
          <w:p w14:paraId="1675DE95">
            <w:pPr>
              <w:snapToGrid w:val="0"/>
              <w:spacing w:line="440" w:lineRule="exact"/>
              <w:ind w:firstLine="422"/>
              <w:jc w:val="left"/>
              <w:rPr>
                <w:rFonts w:ascii="宋体" w:hAnsi="宋体" w:cs="宋体"/>
                <w:b/>
                <w:color w:val="auto"/>
                <w:szCs w:val="21"/>
              </w:rPr>
            </w:pPr>
            <w:r>
              <w:rPr>
                <w:rFonts w:hint="eastAsia" w:ascii="宋体" w:hAnsi="宋体" w:cs="宋体"/>
                <w:b/>
                <w:color w:val="auto"/>
                <w:szCs w:val="21"/>
              </w:rPr>
              <w:t>注：以上标明“必须提供”材料复印件的，必须加盖供应商</w:t>
            </w:r>
            <w:r>
              <w:rPr>
                <w:rFonts w:hint="eastAsia" w:ascii="宋体" w:hAnsi="宋体"/>
                <w:b/>
                <w:bCs/>
                <w:color w:val="auto"/>
                <w:szCs w:val="21"/>
              </w:rPr>
              <w:t>电子签章</w:t>
            </w:r>
            <w:r>
              <w:rPr>
                <w:rFonts w:hint="eastAsia" w:ascii="宋体" w:hAnsi="宋体" w:cs="宋体"/>
                <w:b/>
                <w:color w:val="auto"/>
                <w:szCs w:val="21"/>
              </w:rPr>
              <w:t>，否则响应文件按无效处理。</w:t>
            </w:r>
          </w:p>
        </w:tc>
      </w:tr>
      <w:tr w14:paraId="78D7E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15D3766">
            <w:pPr>
              <w:spacing w:before="165"/>
              <w:rPr>
                <w:rFonts w:ascii="宋体" w:hAnsi="宋体" w:cs="宋体"/>
                <w:color w:val="auto"/>
                <w:szCs w:val="21"/>
              </w:rPr>
            </w:pPr>
            <w:r>
              <w:rPr>
                <w:rFonts w:hint="eastAsia" w:ascii="宋体" w:hAnsi="宋体" w:cs="宋体"/>
                <w:color w:val="auto"/>
                <w:szCs w:val="21"/>
              </w:rPr>
              <w:t>15.2</w:t>
            </w:r>
          </w:p>
        </w:tc>
        <w:tc>
          <w:tcPr>
            <w:tcW w:w="7912" w:type="dxa"/>
            <w:vAlign w:val="center"/>
          </w:tcPr>
          <w:p w14:paraId="5DCECEE0">
            <w:pPr>
              <w:snapToGrid w:val="0"/>
              <w:spacing w:line="440" w:lineRule="exact"/>
              <w:ind w:firstLine="420"/>
              <w:jc w:val="left"/>
              <w:rPr>
                <w:rFonts w:ascii="宋体" w:hAnsi="宋体" w:cs="宋体"/>
                <w:color w:val="auto"/>
                <w:szCs w:val="21"/>
              </w:rPr>
            </w:pPr>
            <w:r>
              <w:rPr>
                <w:rFonts w:hint="eastAsia" w:ascii="宋体" w:hAnsi="宋体" w:cs="宋体"/>
                <w:color w:val="auto"/>
                <w:szCs w:val="21"/>
              </w:rPr>
              <w:t>竞标报价包含竞标货物（包括备品备件、专用工具等）的价格（包括已在中国</w:t>
            </w:r>
            <w:r>
              <w:rPr>
                <w:rFonts w:hint="eastAsia"/>
                <w:color w:val="auto"/>
              </w:rPr>
              <w:t>境内</w:t>
            </w:r>
            <w:r>
              <w:rPr>
                <w:rFonts w:hint="eastAsia" w:ascii="宋体" w:hAnsi="宋体" w:cs="宋体"/>
                <w:color w:val="auto"/>
                <w:szCs w:val="21"/>
              </w:rPr>
              <w:t>的进口货物完税后的仓库交货价、展室交货价或者货架交货价），竞标货物运输（含保险）、安装（如有）、调试、检验、技术服务、培训和谈判文件要求提供的所有伴随服务、工程等费用和税费。（采购需求另有约定的，从其约定。）</w:t>
            </w:r>
          </w:p>
        </w:tc>
      </w:tr>
      <w:tr w14:paraId="3EC9C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0254EB2">
            <w:pPr>
              <w:spacing w:before="165"/>
              <w:rPr>
                <w:rFonts w:ascii="宋体" w:hAnsi="宋体" w:cs="宋体"/>
                <w:color w:val="auto"/>
                <w:szCs w:val="21"/>
              </w:rPr>
            </w:pPr>
            <w:r>
              <w:rPr>
                <w:rFonts w:hint="eastAsia" w:ascii="宋体" w:hAnsi="宋体" w:cs="宋体"/>
                <w:color w:val="auto"/>
                <w:szCs w:val="21"/>
              </w:rPr>
              <w:t>16.</w:t>
            </w:r>
            <w:r>
              <w:rPr>
                <w:rFonts w:ascii="宋体" w:hAnsi="宋体" w:cs="宋体"/>
                <w:color w:val="auto"/>
                <w:szCs w:val="21"/>
              </w:rPr>
              <w:t>2</w:t>
            </w:r>
          </w:p>
        </w:tc>
        <w:tc>
          <w:tcPr>
            <w:tcW w:w="7912" w:type="dxa"/>
            <w:vAlign w:val="center"/>
          </w:tcPr>
          <w:p w14:paraId="112FDF94">
            <w:pPr>
              <w:pStyle w:val="8"/>
              <w:widowControl w:val="0"/>
              <w:tabs>
                <w:tab w:val="clear" w:pos="454"/>
              </w:tabs>
              <w:snapToGrid w:val="0"/>
              <w:spacing w:afterLines="0" w:line="440" w:lineRule="exact"/>
              <w:ind w:left="283" w:hanging="283" w:hangingChars="135"/>
              <w:rPr>
                <w:rFonts w:ascii="宋体" w:hAnsi="宋体" w:cs="宋体"/>
                <w:color w:val="auto"/>
                <w:kern w:val="2"/>
                <w:sz w:val="21"/>
                <w:szCs w:val="21"/>
              </w:rPr>
            </w:pPr>
            <w:r>
              <w:rPr>
                <w:rFonts w:hint="eastAsia" w:ascii="宋体" w:hAnsi="宋体" w:cs="宋体"/>
                <w:color w:val="auto"/>
                <w:kern w:val="2"/>
                <w:sz w:val="21"/>
                <w:szCs w:val="21"/>
              </w:rPr>
              <w:t>竞标有效期：自首次响应文件提交截止之日起</w:t>
            </w:r>
            <w:r>
              <w:rPr>
                <w:rFonts w:hint="eastAsia" w:ascii="宋体" w:hAnsi="宋体" w:cs="宋体"/>
                <w:color w:val="auto"/>
                <w:kern w:val="2"/>
                <w:sz w:val="21"/>
                <w:szCs w:val="21"/>
                <w:u w:val="single"/>
              </w:rPr>
              <w:t>90</w:t>
            </w:r>
            <w:r>
              <w:rPr>
                <w:rFonts w:hint="eastAsia" w:ascii="宋体" w:hAnsi="宋体" w:cs="宋体"/>
                <w:color w:val="auto"/>
                <w:kern w:val="2"/>
                <w:sz w:val="21"/>
                <w:szCs w:val="21"/>
              </w:rPr>
              <w:t>日。</w:t>
            </w:r>
          </w:p>
        </w:tc>
      </w:tr>
      <w:tr w14:paraId="686D1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016C7CD">
            <w:pPr>
              <w:spacing w:before="165"/>
              <w:rPr>
                <w:rFonts w:ascii="宋体" w:hAnsi="宋体" w:cs="宋体"/>
                <w:color w:val="auto"/>
                <w:szCs w:val="21"/>
              </w:rPr>
            </w:pPr>
            <w:r>
              <w:rPr>
                <w:rFonts w:hint="eastAsia" w:ascii="宋体" w:hAnsi="宋体" w:cs="宋体"/>
                <w:color w:val="auto"/>
                <w:szCs w:val="21"/>
              </w:rPr>
              <w:t>17.1</w:t>
            </w:r>
          </w:p>
        </w:tc>
        <w:tc>
          <w:tcPr>
            <w:tcW w:w="7912" w:type="dxa"/>
            <w:vAlign w:val="center"/>
          </w:tcPr>
          <w:p w14:paraId="31FE3377">
            <w:pPr>
              <w:autoSpaceDE w:val="0"/>
              <w:autoSpaceDN w:val="0"/>
              <w:snapToGrid w:val="0"/>
              <w:spacing w:line="440" w:lineRule="exact"/>
              <w:ind w:firstLine="420"/>
              <w:textAlignment w:val="bottom"/>
              <w:rPr>
                <w:rFonts w:ascii="宋体" w:hAnsi="宋体"/>
                <w:color w:val="auto"/>
                <w:szCs w:val="21"/>
              </w:rPr>
            </w:pPr>
            <w:r>
              <w:rPr>
                <w:rFonts w:hint="eastAsia" w:ascii="宋体" w:hAnsi="宋体"/>
                <w:color w:val="auto"/>
                <w:szCs w:val="21"/>
              </w:rPr>
              <w:t>□本项目不收取竞标保证金。</w:t>
            </w:r>
          </w:p>
          <w:p w14:paraId="3D1AD98C">
            <w:pPr>
              <w:snapToGrid w:val="0"/>
              <w:spacing w:line="440" w:lineRule="exact"/>
              <w:ind w:firstLine="420"/>
              <w:rPr>
                <w:rFonts w:ascii="宋体" w:hAnsi="宋体"/>
                <w:color w:val="auto"/>
                <w:szCs w:val="21"/>
              </w:rPr>
            </w:pPr>
            <w:r>
              <w:rPr>
                <w:rFonts w:hint="eastAsia" w:ascii="MS Mincho" w:hAnsi="MS Mincho" w:eastAsia="MS Mincho" w:cs="MS Mincho"/>
                <w:color w:val="auto"/>
                <w:szCs w:val="21"/>
              </w:rPr>
              <w:t>☑</w:t>
            </w:r>
            <w:r>
              <w:rPr>
                <w:rFonts w:hint="eastAsia" w:ascii="宋体" w:hAnsi="宋体"/>
                <w:color w:val="auto"/>
                <w:szCs w:val="21"/>
              </w:rPr>
              <w:t>本项目收取竞标保证金，具体规定如下：</w:t>
            </w:r>
          </w:p>
          <w:p w14:paraId="1A199406">
            <w:pPr>
              <w:snapToGrid w:val="0"/>
              <w:spacing w:line="440" w:lineRule="exact"/>
              <w:ind w:firstLine="420"/>
              <w:rPr>
                <w:rFonts w:ascii="宋体" w:hAnsi="宋体" w:cs="宋体"/>
                <w:color w:val="auto"/>
                <w:kern w:val="0"/>
                <w:szCs w:val="21"/>
              </w:rPr>
            </w:pPr>
            <w:r>
              <w:rPr>
                <w:rFonts w:hint="eastAsia" w:ascii="宋体" w:hAnsi="宋体" w:cs="宋体"/>
                <w:color w:val="auto"/>
                <w:kern w:val="0"/>
                <w:szCs w:val="21"/>
              </w:rPr>
              <w:t>竞标保证金：人民币壹万柒仟元整（¥17,000.00）。</w:t>
            </w:r>
          </w:p>
          <w:p w14:paraId="7E1BA269">
            <w:pPr>
              <w:snapToGrid w:val="0"/>
              <w:spacing w:line="440" w:lineRule="exact"/>
              <w:ind w:firstLine="420"/>
              <w:rPr>
                <w:rFonts w:ascii="宋体" w:hAnsi="宋体" w:cs="宋体"/>
                <w:color w:val="auto"/>
                <w:kern w:val="0"/>
                <w:szCs w:val="21"/>
              </w:rPr>
            </w:pPr>
            <w:r>
              <w:rPr>
                <w:rFonts w:hint="eastAsia" w:ascii="宋体" w:hAnsi="宋体" w:cs="宋体"/>
                <w:color w:val="auto"/>
                <w:kern w:val="0"/>
                <w:szCs w:val="21"/>
              </w:rPr>
              <w:t>竞标保证金的交纳方式：银行转账、支票、汇票、本票或者银行、保险机构出具的保函（含电子保函），禁止采用现钞方式。采用银行转账方式的，在响应文件提交截止时间前交至指定账户并且到账[</w:t>
            </w:r>
            <w:r>
              <w:rPr>
                <w:rFonts w:hint="eastAsia" w:ascii="宋体" w:hAnsi="宋体" w:cs="宋体"/>
                <w:b/>
                <w:bCs/>
                <w:color w:val="auto"/>
                <w:szCs w:val="21"/>
              </w:rPr>
              <w:t>开户名称：广西正海招标有限公司，开户银行：广西北部湾银行南宁市兴宁支行，银行账号：800105504300012</w:t>
            </w:r>
            <w:r>
              <w:rPr>
                <w:rFonts w:hint="eastAsia" w:ascii="宋体" w:hAnsi="宋体" w:cs="宋体"/>
                <w:color w:val="auto"/>
                <w:kern w:val="0"/>
                <w:szCs w:val="21"/>
              </w:rPr>
              <w:t>]；采用支票、汇票、本票或者保函（含电子保函）等方式的，在响应文件提交截止时间前，供应商必须提交单独密封的支票、汇票、本票或者保函（含电子保函）原件。否则视为无效竞标保证金。</w:t>
            </w:r>
          </w:p>
          <w:p w14:paraId="2DC59F96">
            <w:pPr>
              <w:snapToGrid w:val="0"/>
              <w:spacing w:line="440" w:lineRule="exact"/>
              <w:ind w:firstLine="420"/>
              <w:rPr>
                <w:rFonts w:ascii="宋体" w:hAnsi="宋体" w:cs="宋体"/>
                <w:color w:val="auto"/>
                <w:szCs w:val="21"/>
              </w:rPr>
            </w:pPr>
            <w:r>
              <w:rPr>
                <w:rFonts w:hint="eastAsia" w:ascii="宋体" w:hAnsi="宋体" w:cs="宋体"/>
                <w:color w:val="auto"/>
                <w:szCs w:val="21"/>
              </w:rPr>
              <w:t>相关要求：</w:t>
            </w:r>
          </w:p>
          <w:p w14:paraId="1E28C568">
            <w:pPr>
              <w:snapToGrid w:val="0"/>
              <w:spacing w:line="440" w:lineRule="exact"/>
              <w:ind w:firstLine="420"/>
              <w:rPr>
                <w:rFonts w:ascii="宋体" w:hAnsi="宋体" w:cs="宋体"/>
                <w:color w:val="auto"/>
                <w:szCs w:val="21"/>
              </w:rPr>
            </w:pPr>
            <w:r>
              <w:rPr>
                <w:rFonts w:hint="eastAsia" w:ascii="宋体" w:hAnsi="宋体" w:cs="宋体"/>
                <w:color w:val="auto"/>
                <w:szCs w:val="21"/>
              </w:rPr>
              <w:t>1.竞标保证金采用银行转账交纳方式的，在响应文件递交截止时间前交至指定账户并且到账，供应商应将银行转账底单的复印件作为竞标保证金提交凭证，放置于商务文件中，否则响应文件无效。</w:t>
            </w:r>
          </w:p>
          <w:p w14:paraId="12EC0897">
            <w:pPr>
              <w:snapToGrid w:val="0"/>
              <w:spacing w:line="440" w:lineRule="exact"/>
              <w:ind w:firstLine="420"/>
              <w:rPr>
                <w:rFonts w:ascii="宋体" w:hAnsi="宋体" w:cs="宋体"/>
                <w:color w:val="auto"/>
                <w:szCs w:val="21"/>
              </w:rPr>
            </w:pPr>
            <w:r>
              <w:rPr>
                <w:rFonts w:hint="eastAsia" w:ascii="宋体" w:hAnsi="宋体" w:cs="宋体"/>
                <w:color w:val="auto"/>
                <w:szCs w:val="21"/>
              </w:rPr>
              <w:t>2.竞标保证金采用支票、汇票、本票或者银行、保险机构出具的保函</w:t>
            </w:r>
            <w:r>
              <w:rPr>
                <w:rFonts w:hint="eastAsia" w:ascii="宋体" w:hAnsi="宋体" w:cs="宋体"/>
                <w:color w:val="auto"/>
                <w:kern w:val="0"/>
                <w:szCs w:val="21"/>
              </w:rPr>
              <w:t>（含电子保函）</w:t>
            </w:r>
            <w:r>
              <w:rPr>
                <w:rFonts w:hint="eastAsia" w:ascii="宋体" w:hAnsi="宋体" w:cs="宋体"/>
                <w:color w:val="auto"/>
                <w:szCs w:val="21"/>
              </w:rPr>
              <w:t>交纳方式的，供应商应在响应文件递交截止时间前采用现场或邮寄方式（现场提交地址：广西正海招标有限公司（南宁市青秀区茅桥路2号习艺基地A栋1号电梯3楼）；邮寄地址：广西正海招标有限公司（南宁市青秀区茅桥路2号习艺基地A栋1号电梯3楼，收件人：谭工，联系方式：0771-2865989）将单独密封的支票、汇票、本票或者银行、保险机构出具的保函</w:t>
            </w:r>
            <w:r>
              <w:rPr>
                <w:rFonts w:hint="eastAsia" w:ascii="宋体" w:hAnsi="宋体" w:cs="宋体"/>
                <w:color w:val="auto"/>
                <w:kern w:val="0"/>
                <w:szCs w:val="21"/>
              </w:rPr>
              <w:t>（含电子保函）</w:t>
            </w:r>
            <w:r>
              <w:rPr>
                <w:rFonts w:hint="eastAsia" w:ascii="宋体" w:hAnsi="宋体" w:cs="宋体"/>
                <w:color w:val="auto"/>
                <w:szCs w:val="21"/>
              </w:rPr>
              <w:t>原件提交给采购人或者采购代理机构，并妥善保管。</w:t>
            </w:r>
          </w:p>
          <w:p w14:paraId="4D7D1347">
            <w:pPr>
              <w:snapToGrid w:val="0"/>
              <w:spacing w:line="440" w:lineRule="exact"/>
              <w:ind w:firstLine="420"/>
              <w:rPr>
                <w:rFonts w:ascii="宋体" w:hAnsi="宋体" w:cs="宋体"/>
                <w:b/>
                <w:color w:val="auto"/>
                <w:szCs w:val="21"/>
              </w:rPr>
            </w:pPr>
            <w:r>
              <w:rPr>
                <w:rFonts w:hint="eastAsia" w:ascii="宋体" w:hAnsi="宋体" w:cs="宋体"/>
                <w:color w:val="auto"/>
                <w:szCs w:val="21"/>
              </w:rPr>
              <w:t>3.供应商为联合体的，可以由联合体中的一方或者多方共同交纳竞标保证金，其交纳的保证金对联合体各方均具有约束力。</w:t>
            </w:r>
          </w:p>
          <w:p w14:paraId="26E22D0D">
            <w:pPr>
              <w:snapToGrid w:val="0"/>
              <w:spacing w:line="440" w:lineRule="exact"/>
              <w:ind w:firstLine="422"/>
              <w:rPr>
                <w:rFonts w:ascii="宋体" w:hAnsi="宋体" w:cs="宋体"/>
                <w:b/>
                <w:color w:val="auto"/>
                <w:szCs w:val="21"/>
              </w:rPr>
            </w:pPr>
            <w:r>
              <w:rPr>
                <w:rFonts w:hint="eastAsia" w:ascii="宋体" w:hAnsi="宋体" w:cs="宋体"/>
                <w:b/>
                <w:color w:val="auto"/>
                <w:szCs w:val="21"/>
              </w:rPr>
              <w:t xml:space="preserve">备注： </w:t>
            </w:r>
          </w:p>
          <w:p w14:paraId="1194B1FA">
            <w:pPr>
              <w:snapToGrid w:val="0"/>
              <w:spacing w:line="440" w:lineRule="exact"/>
              <w:ind w:firstLine="422"/>
              <w:rPr>
                <w:rFonts w:ascii="宋体" w:hAnsi="宋体" w:cs="宋体"/>
                <w:b/>
                <w:color w:val="auto"/>
                <w:szCs w:val="21"/>
              </w:rPr>
            </w:pPr>
            <w:r>
              <w:rPr>
                <w:rFonts w:hint="eastAsia" w:ascii="宋体" w:hAnsi="宋体" w:cs="宋体"/>
                <w:b/>
                <w:color w:val="auto"/>
                <w:szCs w:val="21"/>
              </w:rPr>
              <w:t>1.竞标保证金在响应文件提交截止时间后提交的，或者不按规定交纳方式交纳的，或者未足额交纳的（包含保函额度不足的），视为无效竞标保证金。</w:t>
            </w:r>
          </w:p>
          <w:p w14:paraId="43382E55">
            <w:pPr>
              <w:snapToGrid w:val="0"/>
              <w:spacing w:line="440" w:lineRule="exact"/>
              <w:ind w:firstLine="422"/>
              <w:rPr>
                <w:rFonts w:ascii="宋体" w:hAnsi="宋体" w:cs="宋体"/>
                <w:b/>
                <w:color w:val="auto"/>
                <w:szCs w:val="21"/>
              </w:rPr>
            </w:pPr>
            <w:r>
              <w:rPr>
                <w:rFonts w:hint="eastAsia" w:ascii="宋体" w:hAnsi="宋体" w:cs="宋体"/>
                <w:b/>
                <w:color w:val="auto"/>
                <w:szCs w:val="21"/>
              </w:rPr>
              <w:t>2.供应商采用现钞方式或者从个人账户（自然人竞标除外）转出的竞标保证金，视为无效竞标保证金。</w:t>
            </w:r>
          </w:p>
          <w:p w14:paraId="1DCBC154">
            <w:pPr>
              <w:snapToGrid w:val="0"/>
              <w:spacing w:line="440" w:lineRule="exact"/>
              <w:ind w:firstLine="422"/>
              <w:rPr>
                <w:rFonts w:ascii="宋体" w:hAnsi="宋体" w:cs="宋体"/>
                <w:b/>
                <w:color w:val="auto"/>
                <w:szCs w:val="21"/>
              </w:rPr>
            </w:pPr>
            <w:r>
              <w:rPr>
                <w:rFonts w:hint="eastAsia" w:ascii="宋体" w:hAnsi="宋体" w:cs="宋体"/>
                <w:b/>
                <w:color w:val="auto"/>
                <w:szCs w:val="21"/>
              </w:rPr>
              <w:t>3.支票、汇票或者本票出现无效或者背书情形的，视为无效竞标保证金。</w:t>
            </w:r>
          </w:p>
          <w:p w14:paraId="520F4F9D">
            <w:pPr>
              <w:snapToGrid w:val="0"/>
              <w:spacing w:line="440" w:lineRule="exact"/>
              <w:ind w:firstLine="422"/>
              <w:rPr>
                <w:rFonts w:ascii="宋体" w:hAnsi="宋体" w:cs="宋体"/>
                <w:b/>
                <w:color w:val="auto"/>
                <w:szCs w:val="21"/>
              </w:rPr>
            </w:pPr>
            <w:r>
              <w:rPr>
                <w:rFonts w:hint="eastAsia" w:ascii="宋体" w:hAnsi="宋体" w:cs="宋体"/>
                <w:b/>
                <w:color w:val="auto"/>
                <w:szCs w:val="21"/>
              </w:rPr>
              <w:t>4.保函</w:t>
            </w:r>
            <w:r>
              <w:rPr>
                <w:rFonts w:hint="eastAsia" w:ascii="宋体" w:hAnsi="宋体" w:cs="宋体"/>
                <w:b/>
                <w:color w:val="auto"/>
                <w:kern w:val="0"/>
                <w:szCs w:val="21"/>
              </w:rPr>
              <w:t>（含电子保函）</w:t>
            </w:r>
            <w:r>
              <w:rPr>
                <w:rFonts w:hint="eastAsia" w:ascii="宋体" w:hAnsi="宋体" w:cs="宋体"/>
                <w:b/>
                <w:color w:val="auto"/>
                <w:szCs w:val="21"/>
              </w:rPr>
              <w:t>有效期低于竞标有效期的，视为无效竞标保证金。</w:t>
            </w:r>
          </w:p>
          <w:p w14:paraId="427F2762">
            <w:pPr>
              <w:snapToGrid w:val="0"/>
              <w:spacing w:line="440" w:lineRule="exact"/>
              <w:ind w:firstLine="422"/>
              <w:rPr>
                <w:rFonts w:ascii="宋体" w:hAnsi="宋体" w:cs="宋体"/>
                <w:color w:val="auto"/>
                <w:szCs w:val="21"/>
              </w:rPr>
            </w:pPr>
            <w:r>
              <w:rPr>
                <w:rFonts w:hint="eastAsia" w:ascii="宋体" w:hAnsi="宋体" w:cs="宋体"/>
                <w:b/>
                <w:color w:val="auto"/>
                <w:szCs w:val="21"/>
              </w:rPr>
              <w:t>5.竞标保证金采用银行、保险机构出具的保函</w:t>
            </w:r>
            <w:r>
              <w:rPr>
                <w:rFonts w:hint="eastAsia" w:ascii="宋体" w:hAnsi="宋体" w:cs="宋体"/>
                <w:b/>
                <w:color w:val="auto"/>
                <w:kern w:val="0"/>
                <w:szCs w:val="21"/>
              </w:rPr>
              <w:t>（含电子保函）</w:t>
            </w:r>
            <w:r>
              <w:rPr>
                <w:rFonts w:hint="eastAsia" w:ascii="宋体" w:hAnsi="宋体" w:cs="宋体"/>
                <w:b/>
                <w:color w:val="auto"/>
                <w:szCs w:val="21"/>
              </w:rPr>
              <w:t>为有条件保函的，视为无效竞标保证金。</w:t>
            </w:r>
          </w:p>
        </w:tc>
      </w:tr>
      <w:tr w14:paraId="78D1E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908EC2A">
            <w:pPr>
              <w:spacing w:before="165"/>
              <w:rPr>
                <w:rFonts w:ascii="宋体" w:hAnsi="宋体" w:cs="宋体"/>
                <w:color w:val="auto"/>
                <w:szCs w:val="21"/>
              </w:rPr>
            </w:pPr>
            <w:r>
              <w:rPr>
                <w:rFonts w:hint="eastAsia" w:ascii="宋体" w:hAnsi="宋体" w:cs="宋体"/>
                <w:color w:val="auto"/>
                <w:szCs w:val="21"/>
              </w:rPr>
              <w:t>19</w:t>
            </w:r>
          </w:p>
        </w:tc>
        <w:tc>
          <w:tcPr>
            <w:tcW w:w="7912" w:type="dxa"/>
            <w:vAlign w:val="center"/>
          </w:tcPr>
          <w:p w14:paraId="796086B4">
            <w:pPr>
              <w:autoSpaceDE w:val="0"/>
              <w:autoSpaceDN w:val="0"/>
              <w:snapToGrid w:val="0"/>
              <w:spacing w:line="440" w:lineRule="exact"/>
              <w:ind w:firstLine="420"/>
              <w:textAlignment w:val="bottom"/>
              <w:rPr>
                <w:rFonts w:ascii="宋体" w:hAnsi="宋体"/>
                <w:color w:val="auto"/>
                <w:szCs w:val="21"/>
              </w:rPr>
            </w:pPr>
            <w:r>
              <w:rPr>
                <w:rFonts w:hint="eastAsia" w:ascii="宋体" w:hAnsi="宋体"/>
                <w:color w:val="auto"/>
                <w:szCs w:val="21"/>
              </w:rPr>
              <w:t>本项目不接受</w:t>
            </w:r>
            <w:r>
              <w:rPr>
                <w:rFonts w:hint="eastAsia"/>
                <w:color w:val="auto"/>
              </w:rPr>
              <w:t>电子</w:t>
            </w:r>
            <w:r>
              <w:rPr>
                <w:rFonts w:hint="eastAsia" w:ascii="宋体" w:hAnsi="宋体"/>
                <w:color w:val="auto"/>
                <w:szCs w:val="21"/>
              </w:rPr>
              <w:t>备份响应文件</w:t>
            </w:r>
          </w:p>
        </w:tc>
      </w:tr>
      <w:tr w14:paraId="1F943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C3E4035">
            <w:pPr>
              <w:spacing w:before="165"/>
              <w:rPr>
                <w:rFonts w:ascii="宋体" w:hAnsi="宋体" w:cs="宋体"/>
                <w:color w:val="auto"/>
                <w:szCs w:val="21"/>
              </w:rPr>
            </w:pPr>
            <w:r>
              <w:rPr>
                <w:rFonts w:hint="eastAsia" w:ascii="宋体" w:hAnsi="宋体" w:cs="宋体"/>
                <w:color w:val="auto"/>
                <w:szCs w:val="21"/>
              </w:rPr>
              <w:t>20.1</w:t>
            </w:r>
          </w:p>
        </w:tc>
        <w:tc>
          <w:tcPr>
            <w:tcW w:w="7912" w:type="dxa"/>
            <w:vAlign w:val="center"/>
          </w:tcPr>
          <w:p w14:paraId="7BA8875A">
            <w:pPr>
              <w:spacing w:line="440" w:lineRule="exact"/>
              <w:ind w:firstLine="420"/>
              <w:contextualSpacing/>
              <w:jc w:val="left"/>
              <w:rPr>
                <w:rFonts w:ascii="宋体" w:hAnsi="宋体" w:cs="宋体"/>
                <w:color w:val="auto"/>
                <w:szCs w:val="21"/>
                <w:u w:val="single"/>
              </w:rPr>
            </w:pPr>
            <w:r>
              <w:rPr>
                <w:rFonts w:hint="eastAsia" w:ascii="宋体" w:hAnsi="宋体" w:cs="宋体"/>
                <w:color w:val="auto"/>
                <w:szCs w:val="21"/>
              </w:rPr>
              <w:t>响应文件提交截止时间：详见竞争性谈判公告或者竞标邀请函。</w:t>
            </w:r>
          </w:p>
          <w:p w14:paraId="3B5C662F">
            <w:pPr>
              <w:spacing w:line="440" w:lineRule="exact"/>
              <w:ind w:firstLine="420"/>
              <w:contextualSpacing/>
              <w:jc w:val="left"/>
              <w:rPr>
                <w:rFonts w:ascii="宋体" w:hAnsi="宋体" w:cs="宋体"/>
                <w:color w:val="auto"/>
                <w:szCs w:val="21"/>
              </w:rPr>
            </w:pPr>
            <w:r>
              <w:rPr>
                <w:rFonts w:hint="eastAsia" w:ascii="宋体" w:hAnsi="宋体" w:cs="宋体"/>
                <w:color w:val="auto"/>
                <w:szCs w:val="21"/>
              </w:rPr>
              <w:t>响应文件提交地点：详见竞争性谈判公告或者竞标邀请函。</w:t>
            </w:r>
          </w:p>
        </w:tc>
      </w:tr>
      <w:tr w14:paraId="5E658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D027317">
            <w:pPr>
              <w:spacing w:before="165"/>
              <w:rPr>
                <w:rFonts w:ascii="宋体" w:hAnsi="宋体" w:cs="宋体"/>
                <w:color w:val="auto"/>
                <w:szCs w:val="21"/>
              </w:rPr>
            </w:pPr>
            <w:r>
              <w:rPr>
                <w:rFonts w:hint="eastAsia" w:ascii="宋体" w:hAnsi="宋体" w:cs="宋体"/>
                <w:color w:val="auto"/>
                <w:szCs w:val="21"/>
              </w:rPr>
              <w:t>24.1</w:t>
            </w:r>
          </w:p>
        </w:tc>
        <w:tc>
          <w:tcPr>
            <w:tcW w:w="7912" w:type="dxa"/>
            <w:vAlign w:val="center"/>
          </w:tcPr>
          <w:p w14:paraId="74B05FA4">
            <w:pPr>
              <w:snapToGrid w:val="0"/>
              <w:spacing w:line="440" w:lineRule="exact"/>
              <w:ind w:firstLine="420"/>
              <w:jc w:val="left"/>
              <w:rPr>
                <w:rFonts w:ascii="宋体" w:hAnsi="宋体" w:cs="宋体"/>
                <w:color w:val="auto"/>
                <w:szCs w:val="21"/>
                <w:u w:val="single"/>
              </w:rPr>
            </w:pPr>
            <w:r>
              <w:rPr>
                <w:rFonts w:hint="eastAsia" w:ascii="宋体" w:hAnsi="宋体" w:cs="宋体"/>
                <w:color w:val="auto"/>
                <w:szCs w:val="21"/>
              </w:rPr>
              <w:t>谈判小组的人数：</w:t>
            </w:r>
            <w:r>
              <w:rPr>
                <w:rFonts w:hint="eastAsia" w:ascii="宋体" w:hAnsi="宋体" w:cs="宋体"/>
                <w:color w:val="auto"/>
                <w:szCs w:val="21"/>
                <w:u w:val="single"/>
              </w:rPr>
              <w:t>3</w:t>
            </w:r>
            <w:r>
              <w:rPr>
                <w:rFonts w:hint="eastAsia" w:ascii="宋体" w:hAnsi="宋体" w:cs="宋体"/>
                <w:color w:val="auto"/>
                <w:szCs w:val="21"/>
              </w:rPr>
              <w:t>人。</w:t>
            </w:r>
          </w:p>
        </w:tc>
      </w:tr>
      <w:tr w14:paraId="378EA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2FFC3D1">
            <w:pPr>
              <w:spacing w:before="165"/>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5</w:t>
            </w:r>
          </w:p>
        </w:tc>
        <w:tc>
          <w:tcPr>
            <w:tcW w:w="7912" w:type="dxa"/>
            <w:vAlign w:val="center"/>
          </w:tcPr>
          <w:p w14:paraId="2320F9AF">
            <w:pPr>
              <w:snapToGrid w:val="0"/>
              <w:spacing w:line="440" w:lineRule="exact"/>
              <w:ind w:firstLine="420"/>
              <w:jc w:val="left"/>
              <w:rPr>
                <w:rFonts w:ascii="宋体" w:hAnsi="宋体" w:cs="宋体"/>
                <w:color w:val="auto"/>
                <w:szCs w:val="21"/>
              </w:rPr>
            </w:pPr>
            <w:r>
              <w:rPr>
                <w:rFonts w:hint="eastAsia" w:ascii="宋体" w:hAnsi="宋体" w:cs="宋体"/>
                <w:color w:val="auto"/>
                <w:szCs w:val="21"/>
              </w:rPr>
              <w:t>首次响应文件开启时间详见“竞争性谈判公告”或者“竞标邀请函”</w:t>
            </w:r>
          </w:p>
          <w:p w14:paraId="257F525A">
            <w:pPr>
              <w:snapToGrid w:val="0"/>
              <w:spacing w:line="440" w:lineRule="exact"/>
              <w:ind w:firstLine="420"/>
              <w:jc w:val="left"/>
              <w:rPr>
                <w:rFonts w:ascii="宋体" w:hAnsi="宋体" w:cs="宋体"/>
                <w:color w:val="auto"/>
                <w:szCs w:val="21"/>
              </w:rPr>
            </w:pPr>
            <w:r>
              <w:rPr>
                <w:rFonts w:hint="eastAsia" w:ascii="宋体" w:hAnsi="宋体" w:cs="宋体"/>
                <w:color w:val="auto"/>
                <w:szCs w:val="21"/>
              </w:rPr>
              <w:t>首次响应文件解密时间：</w:t>
            </w:r>
            <w:r>
              <w:rPr>
                <w:rFonts w:hint="eastAsia" w:hAnsi="宋体"/>
                <w:color w:val="auto"/>
                <w:u w:val="single"/>
              </w:rPr>
              <w:t>30</w:t>
            </w:r>
            <w:r>
              <w:rPr>
                <w:rFonts w:hint="eastAsia" w:hAnsi="宋体"/>
                <w:color w:val="auto"/>
              </w:rPr>
              <w:t>分钟</w:t>
            </w:r>
          </w:p>
        </w:tc>
      </w:tr>
      <w:tr w14:paraId="319E5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Merge w:val="restart"/>
            <w:vAlign w:val="center"/>
          </w:tcPr>
          <w:p w14:paraId="5C1B1933">
            <w:pPr>
              <w:spacing w:before="165"/>
              <w:rPr>
                <w:rFonts w:ascii="宋体" w:hAnsi="宋体" w:cs="宋体"/>
                <w:color w:val="auto"/>
                <w:szCs w:val="21"/>
              </w:rPr>
            </w:pPr>
            <w:r>
              <w:rPr>
                <w:rFonts w:ascii="宋体" w:hAnsi="宋体" w:cs="宋体"/>
                <w:color w:val="auto"/>
                <w:szCs w:val="21"/>
              </w:rPr>
              <w:t>26</w:t>
            </w:r>
          </w:p>
        </w:tc>
        <w:tc>
          <w:tcPr>
            <w:tcW w:w="7912" w:type="dxa"/>
            <w:vAlign w:val="center"/>
          </w:tcPr>
          <w:p w14:paraId="082BD8FE">
            <w:pPr>
              <w:spacing w:line="440" w:lineRule="exact"/>
              <w:ind w:firstLine="420"/>
              <w:contextualSpacing/>
              <w:rPr>
                <w:rFonts w:ascii="宋体" w:hAnsi="宋体" w:cs="宋体"/>
                <w:color w:val="auto"/>
                <w:szCs w:val="21"/>
              </w:rPr>
            </w:pPr>
            <w:r>
              <w:rPr>
                <w:rFonts w:hint="eastAsia" w:ascii="宋体" w:hAnsi="宋体" w:cs="宋体"/>
                <w:color w:val="auto"/>
                <w:szCs w:val="21"/>
              </w:rPr>
              <w:t xml:space="preserve">评审价相同时，按照最后报价由低到高顺序依次推荐；最后报价相同时，按节能、环保产品累计金额由高到低顺序依次推荐；节能、环保产品累计金额也相同时，按以下原则确定成交候选人的顺序： </w:t>
            </w:r>
            <w:r>
              <w:rPr>
                <w:rFonts w:hint="eastAsia" w:ascii="MS Mincho" w:hAnsi="MS Mincho" w:eastAsia="MS Mincho" w:cs="MS Mincho"/>
                <w:color w:val="auto"/>
                <w:szCs w:val="21"/>
              </w:rPr>
              <w:t>☑</w:t>
            </w:r>
            <w:r>
              <w:rPr>
                <w:rFonts w:hint="eastAsia" w:ascii="宋体" w:hAnsi="宋体" w:cs="宋体"/>
                <w:color w:val="auto"/>
                <w:szCs w:val="21"/>
              </w:rPr>
              <w:t>带“▲”的实质性要求正偏离项数多的优先、均无正偏离或者正偏离项数一致时负偏离项数少的优先、保修期长优先、交货期短优先、故障响应时间短优先的顺序推荐。</w:t>
            </w:r>
          </w:p>
          <w:p w14:paraId="6C94F610">
            <w:pPr>
              <w:snapToGrid w:val="0"/>
              <w:spacing w:line="440" w:lineRule="exact"/>
              <w:ind w:firstLine="420"/>
              <w:rPr>
                <w:rFonts w:ascii="宋体" w:hAnsi="宋体" w:cs="宋体"/>
                <w:color w:val="auto"/>
                <w:szCs w:val="21"/>
              </w:rPr>
            </w:pPr>
            <w:r>
              <w:rPr>
                <w:rFonts w:hint="eastAsia" w:ascii="宋体" w:hAnsi="宋体" w:cs="宋体"/>
                <w:color w:val="auto"/>
                <w:szCs w:val="21"/>
              </w:rPr>
              <w:t>□由谈判小组推荐代表随机抽取。</w:t>
            </w:r>
          </w:p>
        </w:tc>
      </w:tr>
      <w:tr w14:paraId="1F507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08E505AC">
            <w:pPr>
              <w:spacing w:before="165"/>
              <w:ind w:firstLine="420"/>
              <w:jc w:val="center"/>
              <w:rPr>
                <w:rFonts w:ascii="宋体" w:hAnsi="宋体" w:cs="宋体"/>
                <w:color w:val="auto"/>
                <w:szCs w:val="21"/>
              </w:rPr>
            </w:pPr>
          </w:p>
        </w:tc>
        <w:tc>
          <w:tcPr>
            <w:tcW w:w="7912" w:type="dxa"/>
            <w:vAlign w:val="center"/>
          </w:tcPr>
          <w:p w14:paraId="4C748E92">
            <w:pPr>
              <w:snapToGrid w:val="0"/>
              <w:spacing w:line="440" w:lineRule="exact"/>
              <w:ind w:firstLine="420"/>
              <w:rPr>
                <w:rFonts w:ascii="宋体" w:hAnsi="宋体" w:cs="宋体"/>
                <w:color w:val="auto"/>
                <w:szCs w:val="21"/>
              </w:rPr>
            </w:pPr>
            <w:r>
              <w:rPr>
                <w:rFonts w:hint="eastAsia" w:ascii="宋体" w:hAnsi="宋体" w:cs="宋体"/>
                <w:color w:val="auto"/>
                <w:szCs w:val="21"/>
              </w:rPr>
              <w:t>商务要求评审中允许负偏离的条款数为</w:t>
            </w:r>
            <w:r>
              <w:rPr>
                <w:rFonts w:hint="eastAsia" w:ascii="宋体" w:hAnsi="宋体" w:cs="宋体"/>
                <w:color w:val="auto"/>
                <w:szCs w:val="21"/>
                <w:u w:val="single"/>
              </w:rPr>
              <w:t xml:space="preserve"> 0 </w:t>
            </w:r>
            <w:r>
              <w:rPr>
                <w:rFonts w:hint="eastAsia" w:ascii="宋体" w:hAnsi="宋体" w:cs="宋体"/>
                <w:color w:val="auto"/>
                <w:szCs w:val="21"/>
              </w:rPr>
              <w:t>项。</w:t>
            </w:r>
          </w:p>
          <w:p w14:paraId="0A5537CF">
            <w:pPr>
              <w:snapToGrid w:val="0"/>
              <w:spacing w:line="440" w:lineRule="exact"/>
              <w:ind w:firstLine="420"/>
              <w:rPr>
                <w:rFonts w:ascii="宋体" w:hAnsi="宋体" w:cs="宋体"/>
                <w:color w:val="auto"/>
                <w:szCs w:val="21"/>
              </w:rPr>
            </w:pPr>
            <w:r>
              <w:rPr>
                <w:rFonts w:hint="eastAsia" w:ascii="宋体" w:hAnsi="宋体" w:cs="宋体"/>
                <w:color w:val="auto"/>
                <w:szCs w:val="21"/>
              </w:rPr>
              <w:t>技术要求评审中允许负偏离的条款数为</w:t>
            </w:r>
            <w:r>
              <w:rPr>
                <w:rFonts w:hint="eastAsia" w:ascii="宋体" w:hAnsi="宋体" w:cs="宋体"/>
                <w:color w:val="auto"/>
                <w:szCs w:val="21"/>
                <w:u w:val="single"/>
              </w:rPr>
              <w:t xml:space="preserve"> 0 </w:t>
            </w:r>
            <w:r>
              <w:rPr>
                <w:rFonts w:hint="eastAsia" w:ascii="宋体" w:hAnsi="宋体" w:cs="宋体"/>
                <w:color w:val="auto"/>
                <w:szCs w:val="21"/>
              </w:rPr>
              <w:t>项。</w:t>
            </w:r>
          </w:p>
        </w:tc>
      </w:tr>
      <w:tr w14:paraId="5FE86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ACB3A4A">
            <w:pPr>
              <w:spacing w:before="165"/>
              <w:rPr>
                <w:rFonts w:ascii="宋体" w:hAnsi="宋体" w:cs="宋体"/>
                <w:color w:val="auto"/>
                <w:szCs w:val="21"/>
              </w:rPr>
            </w:pPr>
            <w:r>
              <w:rPr>
                <w:rFonts w:ascii="宋体" w:hAnsi="宋体" w:cs="宋体"/>
                <w:color w:val="auto"/>
                <w:szCs w:val="21"/>
              </w:rPr>
              <w:t>28.1</w:t>
            </w:r>
          </w:p>
        </w:tc>
        <w:tc>
          <w:tcPr>
            <w:tcW w:w="7912" w:type="dxa"/>
            <w:vAlign w:val="center"/>
          </w:tcPr>
          <w:p w14:paraId="3BB107E8">
            <w:pPr>
              <w:autoSpaceDE w:val="0"/>
              <w:autoSpaceDN w:val="0"/>
              <w:snapToGrid w:val="0"/>
              <w:spacing w:line="440" w:lineRule="exact"/>
              <w:ind w:firstLine="420"/>
              <w:textAlignment w:val="bottom"/>
              <w:rPr>
                <w:rFonts w:ascii="宋体" w:hAnsi="宋体"/>
                <w:color w:val="auto"/>
                <w:szCs w:val="21"/>
              </w:rPr>
            </w:pPr>
            <w:r>
              <w:rPr>
                <w:rFonts w:hint="eastAsia" w:ascii="Segoe UI Symbol" w:hAnsi="Segoe UI Symbol" w:cs="Segoe UI Symbol"/>
                <w:b/>
                <w:bCs/>
                <w:color w:val="auto"/>
                <w:szCs w:val="21"/>
              </w:rPr>
              <w:t>☑</w:t>
            </w:r>
            <w:r>
              <w:rPr>
                <w:rFonts w:hint="eastAsia" w:ascii="宋体" w:hAnsi="宋体"/>
                <w:color w:val="auto"/>
                <w:szCs w:val="21"/>
              </w:rPr>
              <w:t>本项目不收取履约保证金。</w:t>
            </w:r>
          </w:p>
          <w:p w14:paraId="02729F19">
            <w:pPr>
              <w:autoSpaceDE w:val="0"/>
              <w:autoSpaceDN w:val="0"/>
              <w:snapToGrid w:val="0"/>
              <w:spacing w:line="440" w:lineRule="exact"/>
              <w:ind w:firstLine="422"/>
              <w:textAlignment w:val="bottom"/>
              <w:rPr>
                <w:rFonts w:ascii="宋体" w:hAnsi="宋体"/>
                <w:color w:val="auto"/>
                <w:szCs w:val="21"/>
              </w:rPr>
            </w:pPr>
            <w:r>
              <w:rPr>
                <w:rFonts w:hint="eastAsia" w:ascii="宋体" w:hAnsi="宋体"/>
                <w:color w:val="auto"/>
                <w:szCs w:val="21"/>
              </w:rPr>
              <w:t>□</w:t>
            </w:r>
            <w:r>
              <w:rPr>
                <w:rFonts w:hint="eastAsia" w:ascii="宋体" w:hAnsi="宋体"/>
                <w:bCs/>
                <w:color w:val="auto"/>
                <w:szCs w:val="21"/>
              </w:rPr>
              <w:t>本项目收取履约保证金</w:t>
            </w:r>
            <w:r>
              <w:rPr>
                <w:rFonts w:hint="eastAsia" w:ascii="宋体" w:hAnsi="宋体"/>
                <w:color w:val="auto"/>
                <w:szCs w:val="21"/>
              </w:rPr>
              <w:t>，具体规定如下：</w:t>
            </w:r>
          </w:p>
          <w:p w14:paraId="2EC3893F">
            <w:pPr>
              <w:pStyle w:val="9"/>
              <w:spacing w:line="440" w:lineRule="exact"/>
              <w:ind w:firstLine="420" w:firstLineChars="200"/>
              <w:rPr>
                <w:rFonts w:ascii="宋体" w:hAnsi="宋体"/>
                <w:color w:val="auto"/>
                <w:szCs w:val="21"/>
              </w:rPr>
            </w:pPr>
            <w:r>
              <w:rPr>
                <w:rFonts w:hint="eastAsia" w:ascii="宋体" w:hAnsi="宋体"/>
                <w:color w:val="auto"/>
                <w:szCs w:val="21"/>
              </w:rPr>
              <w:t>履约保证金金额：成交金额的</w:t>
            </w:r>
            <w:r>
              <w:rPr>
                <w:rFonts w:ascii="宋体" w:hAnsi="宋体"/>
                <w:color w:val="auto"/>
                <w:szCs w:val="21"/>
              </w:rPr>
              <w:t>_____</w:t>
            </w:r>
            <w:r>
              <w:rPr>
                <w:rFonts w:hint="eastAsia" w:ascii="宋体" w:hAnsi="宋体"/>
                <w:color w:val="auto"/>
                <w:szCs w:val="21"/>
              </w:rPr>
              <w:t>%。</w:t>
            </w:r>
          </w:p>
          <w:p w14:paraId="7844623B">
            <w:pPr>
              <w:pStyle w:val="9"/>
              <w:spacing w:line="440" w:lineRule="exact"/>
              <w:ind w:firstLine="420" w:firstLineChars="200"/>
              <w:rPr>
                <w:rFonts w:cs="仿宋" w:asciiTheme="minorEastAsia" w:hAnsiTheme="minorEastAsia"/>
                <w:color w:val="auto"/>
                <w:szCs w:val="21"/>
              </w:rPr>
            </w:pPr>
            <w:r>
              <w:rPr>
                <w:rFonts w:hint="eastAsia" w:cs="仿宋" w:asciiTheme="minorEastAsia" w:hAnsiTheme="minorEastAsia"/>
                <w:color w:val="auto"/>
                <w:szCs w:val="21"/>
              </w:rPr>
              <w:t>成交人与采购人签订采购合同前，成交人必须按采购文件约定的金额向采购人提交履约保证金，成交人若不能完全履行合同，履约保证金不予退还；成交人若完全履行合同，货物验收合格并履行完质保服务后，成交人凭提供《广西壮族自治区政府采购项目合同验收书》（详见附件1）及《政府采购项目履约保证金退付意见书》（详见附件2）到采购人财务部门办理无息退还手续。</w:t>
            </w:r>
          </w:p>
          <w:p w14:paraId="31294B45">
            <w:pPr>
              <w:autoSpaceDE w:val="0"/>
              <w:autoSpaceDN w:val="0"/>
              <w:snapToGrid w:val="0"/>
              <w:spacing w:line="440" w:lineRule="exact"/>
              <w:ind w:firstLine="420"/>
              <w:textAlignment w:val="bottom"/>
              <w:rPr>
                <w:color w:val="auto"/>
              </w:rPr>
            </w:pPr>
            <w:r>
              <w:rPr>
                <w:rFonts w:hint="eastAsia" w:ascii="宋体" w:hAnsi="宋体"/>
                <w:color w:val="auto"/>
                <w:szCs w:val="21"/>
              </w:rPr>
              <w:t>履约保证金递交方式：银行转账、支票、汇票、本票或者银行、保险机构出具的保函等非现金方式（参照竞标保证金）</w:t>
            </w:r>
          </w:p>
          <w:p w14:paraId="1F559DEB">
            <w:pPr>
              <w:spacing w:line="440" w:lineRule="exact"/>
              <w:ind w:firstLine="420"/>
              <w:contextualSpacing/>
              <w:rPr>
                <w:rFonts w:ascii="宋体" w:hAnsi="宋体" w:cs="宋体"/>
                <w:color w:val="auto"/>
                <w:szCs w:val="21"/>
              </w:rPr>
            </w:pPr>
            <w:r>
              <w:rPr>
                <w:rFonts w:hint="eastAsia" w:ascii="宋体" w:hAnsi="宋体" w:cs="宋体"/>
                <w:color w:val="auto"/>
                <w:szCs w:val="21"/>
              </w:rPr>
              <w:t>备注：</w:t>
            </w:r>
          </w:p>
          <w:p w14:paraId="1291F214">
            <w:pPr>
              <w:spacing w:line="440" w:lineRule="exact"/>
              <w:ind w:firstLine="422"/>
              <w:contextualSpacing/>
              <w:rPr>
                <w:rFonts w:ascii="宋体" w:hAnsi="宋体" w:cs="宋体"/>
                <w:b/>
                <w:color w:val="auto"/>
                <w:szCs w:val="21"/>
              </w:rPr>
            </w:pPr>
            <w:r>
              <w:rPr>
                <w:rFonts w:hint="eastAsia" w:ascii="宋体" w:hAnsi="宋体" w:cs="宋体"/>
                <w:b/>
                <w:color w:val="auto"/>
                <w:szCs w:val="21"/>
              </w:rPr>
              <w:t>1</w:t>
            </w:r>
            <w:r>
              <w:rPr>
                <w:rFonts w:ascii="宋体" w:hAnsi="宋体" w:cs="宋体"/>
                <w:b/>
                <w:color w:val="auto"/>
                <w:szCs w:val="21"/>
              </w:rPr>
              <w:t>.</w:t>
            </w:r>
            <w:r>
              <w:rPr>
                <w:rFonts w:hint="eastAsia" w:ascii="宋体" w:hAnsi="宋体" w:cs="宋体"/>
                <w:b/>
                <w:color w:val="auto"/>
                <w:szCs w:val="21"/>
              </w:rPr>
              <w:t>履约保证金不足额缴纳的，或者银行、保险机构出具的保函额度不足的或者保函有效期低于合同履行期限（即签订采购合同之日起至履行完合同约定的权利及义务之日止）的，不予签订合同。</w:t>
            </w:r>
          </w:p>
          <w:p w14:paraId="403F31F6">
            <w:pPr>
              <w:spacing w:line="440" w:lineRule="exact"/>
              <w:ind w:firstLine="422"/>
              <w:contextualSpacing/>
              <w:rPr>
                <w:rFonts w:ascii="宋体" w:hAnsi="宋体" w:cs="宋体"/>
                <w:b/>
                <w:color w:val="auto"/>
                <w:szCs w:val="21"/>
              </w:rPr>
            </w:pPr>
            <w:r>
              <w:rPr>
                <w:rFonts w:hint="eastAsia" w:ascii="宋体" w:hAnsi="宋体" w:cs="宋体"/>
                <w:b/>
                <w:color w:val="auto"/>
                <w:szCs w:val="21"/>
              </w:rPr>
              <w:t>2</w:t>
            </w:r>
            <w:r>
              <w:rPr>
                <w:rFonts w:ascii="宋体" w:hAnsi="宋体" w:cs="宋体"/>
                <w:b/>
                <w:color w:val="auto"/>
                <w:szCs w:val="21"/>
              </w:rPr>
              <w:t>.</w:t>
            </w:r>
            <w:r>
              <w:rPr>
                <w:rFonts w:hint="eastAsia" w:ascii="宋体" w:hAnsi="宋体" w:cs="宋体"/>
                <w:b/>
                <w:color w:val="auto"/>
                <w:szCs w:val="21"/>
              </w:rPr>
              <w:t>采用银行、保险机构出具的保函的，必须为无条件保函，否则不予签订合同。</w:t>
            </w:r>
          </w:p>
          <w:p w14:paraId="50FE9BAC">
            <w:pPr>
              <w:snapToGrid w:val="0"/>
              <w:spacing w:line="440" w:lineRule="exact"/>
              <w:ind w:firstLine="422"/>
              <w:rPr>
                <w:rFonts w:ascii="宋体" w:hAnsi="宋体" w:cs="宋体"/>
                <w:color w:val="auto"/>
                <w:szCs w:val="21"/>
              </w:rPr>
            </w:pPr>
            <w:r>
              <w:rPr>
                <w:rFonts w:hint="eastAsia" w:ascii="宋体" w:hAnsi="宋体" w:cs="宋体"/>
                <w:b/>
                <w:color w:val="auto"/>
                <w:szCs w:val="21"/>
              </w:rPr>
              <w:t>3</w:t>
            </w:r>
            <w:r>
              <w:rPr>
                <w:rFonts w:ascii="宋体" w:hAnsi="宋体" w:cs="宋体"/>
                <w:b/>
                <w:color w:val="auto"/>
                <w:szCs w:val="21"/>
              </w:rPr>
              <w:t>.</w:t>
            </w:r>
            <w:r>
              <w:rPr>
                <w:rFonts w:hint="eastAsia" w:ascii="宋体" w:hAnsi="宋体" w:cs="宋体"/>
                <w:b/>
                <w:color w:val="auto"/>
                <w:szCs w:val="21"/>
              </w:rPr>
              <w:t>供应商为联合体的，由联合体任意一方按规定提交的履约保证金，视为有效履约保证金。</w:t>
            </w:r>
          </w:p>
        </w:tc>
      </w:tr>
      <w:tr w14:paraId="22007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21FC30B">
            <w:pPr>
              <w:spacing w:before="165"/>
              <w:rPr>
                <w:rFonts w:ascii="宋体" w:hAnsi="宋体" w:cs="宋体"/>
                <w:color w:val="auto"/>
                <w:szCs w:val="21"/>
              </w:rPr>
            </w:pPr>
            <w:r>
              <w:rPr>
                <w:rFonts w:ascii="宋体" w:hAnsi="宋体" w:cs="宋体"/>
                <w:color w:val="auto"/>
                <w:szCs w:val="21"/>
              </w:rPr>
              <w:t>29</w:t>
            </w:r>
            <w:r>
              <w:rPr>
                <w:rFonts w:hint="eastAsia" w:ascii="宋体" w:hAnsi="宋体" w:cs="宋体"/>
                <w:color w:val="auto"/>
                <w:szCs w:val="21"/>
              </w:rPr>
              <w:t>.1</w:t>
            </w:r>
          </w:p>
        </w:tc>
        <w:tc>
          <w:tcPr>
            <w:tcW w:w="7912" w:type="dxa"/>
            <w:vAlign w:val="center"/>
          </w:tcPr>
          <w:p w14:paraId="4CD8A2CB">
            <w:pPr>
              <w:autoSpaceDE w:val="0"/>
              <w:autoSpaceDN w:val="0"/>
              <w:snapToGrid w:val="0"/>
              <w:spacing w:line="440" w:lineRule="exact"/>
              <w:ind w:firstLine="420"/>
              <w:textAlignment w:val="bottom"/>
              <w:rPr>
                <w:rFonts w:ascii="宋体" w:hAnsi="宋体"/>
                <w:color w:val="auto"/>
                <w:szCs w:val="21"/>
              </w:rPr>
            </w:pPr>
            <w:r>
              <w:rPr>
                <w:rFonts w:hint="eastAsia" w:ascii="宋体" w:hAnsi="宋体"/>
                <w:color w:val="auto"/>
                <w:szCs w:val="21"/>
              </w:rPr>
              <w:t xml:space="preserve">签订合同携带的证明材料： </w:t>
            </w:r>
          </w:p>
          <w:p w14:paraId="6EC63128">
            <w:pPr>
              <w:autoSpaceDE w:val="0"/>
              <w:autoSpaceDN w:val="0"/>
              <w:snapToGrid w:val="0"/>
              <w:spacing w:line="440" w:lineRule="exact"/>
              <w:ind w:firstLine="420"/>
              <w:textAlignment w:val="bottom"/>
              <w:rPr>
                <w:rFonts w:ascii="宋体" w:hAnsi="宋体"/>
                <w:color w:val="auto"/>
                <w:szCs w:val="21"/>
              </w:rPr>
            </w:pPr>
            <w:r>
              <w:rPr>
                <w:rFonts w:hint="eastAsia" w:ascii="宋体" w:hAnsi="宋体"/>
                <w:color w:val="auto"/>
                <w:szCs w:val="21"/>
              </w:rPr>
              <w:t>委托代理人负责签订合同的，须携带授权委托书及委托代理人身份证原件等其他资格证件。</w:t>
            </w:r>
          </w:p>
          <w:p w14:paraId="22D7810F">
            <w:pPr>
              <w:snapToGrid w:val="0"/>
              <w:spacing w:line="440" w:lineRule="exact"/>
              <w:ind w:firstLine="420"/>
              <w:rPr>
                <w:rFonts w:ascii="宋体" w:hAnsi="宋体" w:cs="宋体"/>
                <w:color w:val="auto"/>
                <w:szCs w:val="21"/>
              </w:rPr>
            </w:pPr>
            <w:r>
              <w:rPr>
                <w:rFonts w:hint="eastAsia" w:ascii="宋体" w:hAnsi="宋体"/>
                <w:color w:val="auto"/>
                <w:szCs w:val="21"/>
              </w:rPr>
              <w:t>法定代表人负责签订合同的，须携带法定代表人</w:t>
            </w:r>
            <w:r>
              <w:rPr>
                <w:rFonts w:ascii="宋体" w:hAnsi="宋体"/>
                <w:color w:val="auto"/>
                <w:szCs w:val="21"/>
              </w:rPr>
              <w:t>身份证明原件</w:t>
            </w:r>
            <w:r>
              <w:rPr>
                <w:rFonts w:hint="eastAsia" w:ascii="宋体" w:hAnsi="宋体"/>
                <w:color w:val="auto"/>
                <w:szCs w:val="21"/>
              </w:rPr>
              <w:t>及</w:t>
            </w:r>
            <w:r>
              <w:rPr>
                <w:rFonts w:ascii="宋体" w:hAnsi="宋体"/>
                <w:color w:val="auto"/>
                <w:szCs w:val="21"/>
              </w:rPr>
              <w:t>身份证原件</w:t>
            </w:r>
            <w:r>
              <w:rPr>
                <w:rFonts w:hint="eastAsia" w:ascii="宋体" w:hAnsi="宋体"/>
                <w:color w:val="auto"/>
                <w:szCs w:val="21"/>
              </w:rPr>
              <w:t>等其他证明材料。</w:t>
            </w:r>
          </w:p>
        </w:tc>
      </w:tr>
      <w:tr w14:paraId="507F3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A5DB427">
            <w:pPr>
              <w:spacing w:before="165"/>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1.2</w:t>
            </w:r>
          </w:p>
        </w:tc>
        <w:tc>
          <w:tcPr>
            <w:tcW w:w="7912" w:type="dxa"/>
            <w:vAlign w:val="center"/>
          </w:tcPr>
          <w:p w14:paraId="4E031937">
            <w:pPr>
              <w:snapToGrid w:val="0"/>
              <w:spacing w:line="440" w:lineRule="exact"/>
              <w:ind w:firstLine="420"/>
              <w:jc w:val="left"/>
              <w:rPr>
                <w:rFonts w:ascii="宋体" w:hAnsi="宋体" w:cs="宋体"/>
                <w:color w:val="auto"/>
                <w:szCs w:val="21"/>
              </w:rPr>
            </w:pPr>
            <w:r>
              <w:rPr>
                <w:rFonts w:hint="eastAsia" w:ascii="宋体" w:hAnsi="宋体" w:cs="宋体"/>
                <w:color w:val="auto"/>
                <w:szCs w:val="21"/>
              </w:rPr>
              <w:t>接收质疑函方式：以书面形式。</w:t>
            </w:r>
          </w:p>
          <w:p w14:paraId="142015C5">
            <w:pPr>
              <w:snapToGrid w:val="0"/>
              <w:spacing w:line="440" w:lineRule="exact"/>
              <w:ind w:firstLine="420"/>
              <w:jc w:val="left"/>
              <w:rPr>
                <w:rFonts w:ascii="宋体" w:hAnsi="宋体"/>
                <w:color w:val="auto"/>
                <w:szCs w:val="21"/>
              </w:rPr>
            </w:pPr>
            <w:r>
              <w:rPr>
                <w:rFonts w:hint="eastAsia" w:ascii="宋体" w:hAnsi="宋体"/>
                <w:color w:val="auto"/>
                <w:szCs w:val="21"/>
              </w:rPr>
              <w:t>质疑联系部门及联系方式：</w:t>
            </w:r>
            <w:r>
              <w:rPr>
                <w:rFonts w:hint="eastAsia" w:ascii="宋体" w:hAnsi="宋体"/>
                <w:color w:val="auto"/>
                <w:szCs w:val="21"/>
                <w:u w:val="single"/>
              </w:rPr>
              <w:t>广西正海招标有限公司</w:t>
            </w:r>
            <w:r>
              <w:rPr>
                <w:rFonts w:hint="eastAsia" w:ascii="宋体" w:hAnsi="宋体"/>
                <w:color w:val="auto"/>
                <w:szCs w:val="21"/>
              </w:rPr>
              <w:t>，联系电话：</w:t>
            </w:r>
            <w:r>
              <w:rPr>
                <w:rFonts w:hint="eastAsia" w:ascii="宋体" w:hAnsi="宋体"/>
                <w:color w:val="auto"/>
                <w:szCs w:val="21"/>
                <w:u w:val="single"/>
              </w:rPr>
              <w:t>0771-2865989</w:t>
            </w:r>
            <w:r>
              <w:rPr>
                <w:rFonts w:hint="eastAsia" w:ascii="宋体" w:hAnsi="宋体"/>
                <w:color w:val="auto"/>
                <w:szCs w:val="21"/>
              </w:rPr>
              <w:t>，通讯地址</w:t>
            </w:r>
            <w:r>
              <w:rPr>
                <w:rFonts w:hint="eastAsia" w:ascii="宋体" w:hAnsi="宋体" w:cs="Helvetica"/>
                <w:color w:val="auto"/>
                <w:szCs w:val="21"/>
              </w:rPr>
              <w:t>：</w:t>
            </w:r>
            <w:r>
              <w:rPr>
                <w:rFonts w:hint="eastAsia" w:ascii="宋体" w:hAnsi="宋体" w:cs="仿宋"/>
                <w:color w:val="auto"/>
                <w:szCs w:val="21"/>
                <w:u w:val="single"/>
              </w:rPr>
              <w:t>广西正海招标有限公司（南宁市青秀区茅桥路2号习艺基地A栋1号电梯3楼）</w:t>
            </w:r>
          </w:p>
          <w:p w14:paraId="37D097E9">
            <w:pPr>
              <w:pStyle w:val="14"/>
              <w:spacing w:line="440" w:lineRule="exact"/>
              <w:ind w:firstLine="420"/>
              <w:rPr>
                <w:rFonts w:cs="宋体"/>
                <w:color w:val="auto"/>
                <w:kern w:val="2"/>
                <w:sz w:val="21"/>
                <w:szCs w:val="21"/>
              </w:rPr>
            </w:pPr>
            <w:r>
              <w:rPr>
                <w:rFonts w:hint="eastAsia"/>
                <w:color w:val="auto"/>
                <w:kern w:val="2"/>
                <w:sz w:val="21"/>
                <w:szCs w:val="21"/>
              </w:rPr>
              <w:t>业务时间：工作日每天上午8时00分到12时00分，下午3时00分到6时00分。</w:t>
            </w:r>
          </w:p>
        </w:tc>
      </w:tr>
      <w:tr w14:paraId="452B5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2A61ACD">
            <w:pPr>
              <w:spacing w:before="165"/>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2</w:t>
            </w:r>
            <w:r>
              <w:rPr>
                <w:rFonts w:hint="eastAsia" w:ascii="宋体" w:hAnsi="宋体" w:cs="宋体"/>
                <w:color w:val="auto"/>
                <w:szCs w:val="21"/>
              </w:rPr>
              <w:t>.1</w:t>
            </w:r>
          </w:p>
        </w:tc>
        <w:tc>
          <w:tcPr>
            <w:tcW w:w="7912" w:type="dxa"/>
            <w:vAlign w:val="center"/>
          </w:tcPr>
          <w:p w14:paraId="39C99089">
            <w:pPr>
              <w:pStyle w:val="14"/>
              <w:spacing w:line="440" w:lineRule="exact"/>
              <w:ind w:firstLine="420"/>
              <w:rPr>
                <w:color w:val="auto"/>
                <w:sz w:val="21"/>
                <w:szCs w:val="21"/>
              </w:rPr>
            </w:pPr>
            <w:r>
              <w:rPr>
                <w:rFonts w:hint="eastAsia"/>
                <w:color w:val="auto"/>
                <w:sz w:val="21"/>
                <w:szCs w:val="21"/>
              </w:rPr>
              <w:t>1.采购代理费支付方式：</w:t>
            </w:r>
          </w:p>
          <w:p w14:paraId="42E465A9">
            <w:pPr>
              <w:spacing w:line="440" w:lineRule="exact"/>
              <w:ind w:firstLine="420" w:firstLineChars="200"/>
              <w:rPr>
                <w:rFonts w:ascii="宋体" w:hAnsi="宋体" w:cs="宋体"/>
                <w:color w:val="auto"/>
                <w:kern w:val="0"/>
                <w:szCs w:val="21"/>
              </w:rPr>
            </w:pPr>
            <w:r>
              <w:rPr>
                <w:rFonts w:hint="eastAsia" w:ascii="宋体" w:hAnsi="宋体" w:cs="宋体"/>
                <w:color w:val="auto"/>
                <w:kern w:val="0"/>
                <w:szCs w:val="21"/>
              </w:rPr>
              <w:t>☑以项目（☑中标金额/□采购预算/□暂定中标金额/□其他</w:t>
            </w:r>
            <w:r>
              <w:rPr>
                <w:rFonts w:hint="eastAsia" w:ascii="宋体" w:hAnsi="宋体" w:cs="宋体"/>
                <w:color w:val="auto"/>
                <w:kern w:val="0"/>
                <w:szCs w:val="21"/>
                <w:u w:val="single"/>
              </w:rPr>
              <w:t xml:space="preserve"> </w:t>
            </w:r>
            <w:r>
              <w:rPr>
                <w:rFonts w:ascii="宋体" w:hAnsi="宋体" w:cs="宋体"/>
                <w:color w:val="auto"/>
                <w:kern w:val="0"/>
                <w:szCs w:val="21"/>
                <w:u w:val="single"/>
              </w:rPr>
              <w:t xml:space="preserve">  </w:t>
            </w:r>
            <w:r>
              <w:rPr>
                <w:rFonts w:hint="eastAsia" w:ascii="宋体" w:hAnsi="宋体" w:cs="宋体"/>
                <w:color w:val="auto"/>
                <w:kern w:val="0"/>
                <w:szCs w:val="21"/>
              </w:rPr>
              <w:t>）为计费额，按本须知正文第</w:t>
            </w:r>
            <w:r>
              <w:rPr>
                <w:rFonts w:ascii="宋体" w:hAnsi="宋体" w:cs="宋体"/>
                <w:color w:val="auto"/>
                <w:kern w:val="0"/>
                <w:szCs w:val="21"/>
              </w:rPr>
              <w:t>39</w:t>
            </w:r>
            <w:r>
              <w:rPr>
                <w:rFonts w:hint="eastAsia" w:ascii="宋体" w:hAnsi="宋体" w:cs="宋体"/>
                <w:color w:val="auto"/>
                <w:kern w:val="0"/>
                <w:szCs w:val="21"/>
              </w:rPr>
              <w:t>.</w:t>
            </w:r>
            <w:r>
              <w:rPr>
                <w:rFonts w:ascii="宋体" w:hAnsi="宋体" w:cs="宋体"/>
                <w:color w:val="auto"/>
                <w:kern w:val="0"/>
                <w:szCs w:val="21"/>
              </w:rPr>
              <w:t>2</w:t>
            </w:r>
            <w:r>
              <w:rPr>
                <w:rFonts w:hint="eastAsia" w:ascii="宋体" w:hAnsi="宋体" w:cs="宋体"/>
                <w:color w:val="auto"/>
                <w:kern w:val="0"/>
                <w:szCs w:val="21"/>
              </w:rPr>
              <w:t>条规定的收费计算标准（☑货物招标/□服务招标/□工程招标）采用差额定率累进法计算出收费基准价格，采购代理收费以（</w:t>
            </w:r>
            <w:r>
              <w:rPr>
                <w:rFonts w:hint="eastAsia" w:ascii="宋体" w:hAnsi="宋体"/>
                <w:color w:val="auto"/>
                <w:kern w:val="0"/>
                <w:sz w:val="20"/>
                <w:szCs w:val="21"/>
              </w:rPr>
              <w:t>☑</w:t>
            </w:r>
            <w:r>
              <w:rPr>
                <w:rFonts w:hint="eastAsia" w:ascii="宋体" w:hAnsi="宋体" w:cs="宋体"/>
                <w:color w:val="auto"/>
                <w:kern w:val="0"/>
                <w:szCs w:val="21"/>
              </w:rPr>
              <w:t>收费基准价格/□收费基准价格下浮</w:t>
            </w:r>
            <w:r>
              <w:rPr>
                <w:rFonts w:hint="eastAsia" w:ascii="宋体" w:hAnsi="宋体" w:cs="宋体"/>
                <w:color w:val="auto"/>
                <w:kern w:val="0"/>
                <w:szCs w:val="21"/>
                <w:u w:val="single"/>
              </w:rPr>
              <w:t xml:space="preserve"> / %</w:t>
            </w:r>
            <w:r>
              <w:rPr>
                <w:rFonts w:ascii="宋体" w:hAnsi="宋体" w:cs="宋体"/>
                <w:color w:val="auto"/>
                <w:kern w:val="0"/>
                <w:szCs w:val="21"/>
              </w:rPr>
              <w:t>/</w:t>
            </w:r>
            <w:r>
              <w:rPr>
                <w:rFonts w:hint="eastAsia" w:ascii="宋体" w:hAnsi="宋体"/>
                <w:color w:val="auto"/>
                <w:kern w:val="0"/>
                <w:sz w:val="20"/>
                <w:szCs w:val="21"/>
              </w:rPr>
              <w:t>□</w:t>
            </w:r>
            <w:r>
              <w:rPr>
                <w:rFonts w:hint="eastAsia" w:ascii="宋体" w:hAnsi="宋体" w:cs="宋体"/>
                <w:color w:val="auto"/>
                <w:kern w:val="0"/>
                <w:szCs w:val="21"/>
              </w:rPr>
              <w:t>收费基准价格上浮</w:t>
            </w:r>
            <w:r>
              <w:rPr>
                <w:rFonts w:hint="eastAsia" w:ascii="宋体" w:hAnsi="宋体" w:cs="宋体"/>
                <w:color w:val="auto"/>
                <w:kern w:val="0"/>
                <w:szCs w:val="21"/>
                <w:u w:val="single"/>
              </w:rPr>
              <w:t>/%</w:t>
            </w:r>
            <w:r>
              <w:rPr>
                <w:rFonts w:hint="eastAsia" w:ascii="宋体" w:hAnsi="宋体" w:cs="宋体"/>
                <w:color w:val="auto"/>
                <w:kern w:val="0"/>
                <w:szCs w:val="21"/>
              </w:rPr>
              <w:t>）收取。</w:t>
            </w:r>
          </w:p>
          <w:p w14:paraId="08020015">
            <w:pPr>
              <w:pStyle w:val="14"/>
              <w:spacing w:line="440" w:lineRule="exact"/>
              <w:ind w:firstLine="420"/>
              <w:rPr>
                <w:color w:val="auto"/>
                <w:sz w:val="21"/>
                <w:szCs w:val="21"/>
              </w:rPr>
            </w:pPr>
            <w:r>
              <w:rPr>
                <w:rFonts w:hint="eastAsia"/>
                <w:color w:val="auto"/>
                <w:sz w:val="21"/>
                <w:szCs w:val="21"/>
              </w:rPr>
              <w:t>2.采购代理机构收取采购代理服务费的银行账户：</w:t>
            </w:r>
          </w:p>
          <w:p w14:paraId="6E520D2D">
            <w:pPr>
              <w:pStyle w:val="14"/>
              <w:spacing w:line="440" w:lineRule="exact"/>
              <w:ind w:firstLine="420"/>
              <w:rPr>
                <w:color w:val="auto"/>
                <w:sz w:val="21"/>
                <w:szCs w:val="21"/>
              </w:rPr>
            </w:pPr>
            <w:r>
              <w:rPr>
                <w:rFonts w:hint="eastAsia"/>
                <w:color w:val="auto"/>
                <w:sz w:val="21"/>
                <w:szCs w:val="21"/>
              </w:rPr>
              <w:t>户名：广西正海招标有限公司</w:t>
            </w:r>
          </w:p>
          <w:p w14:paraId="313317F6">
            <w:pPr>
              <w:pStyle w:val="14"/>
              <w:spacing w:line="440" w:lineRule="exact"/>
              <w:ind w:firstLine="420"/>
              <w:rPr>
                <w:color w:val="auto"/>
                <w:sz w:val="21"/>
                <w:szCs w:val="21"/>
              </w:rPr>
            </w:pPr>
            <w:r>
              <w:rPr>
                <w:rFonts w:hint="eastAsia"/>
                <w:color w:val="auto"/>
                <w:sz w:val="21"/>
                <w:szCs w:val="21"/>
              </w:rPr>
              <w:t>账号：7908 0188 0000 35937</w:t>
            </w:r>
          </w:p>
          <w:p w14:paraId="60FD5CB6">
            <w:pPr>
              <w:pStyle w:val="14"/>
              <w:spacing w:line="440" w:lineRule="exact"/>
              <w:ind w:firstLine="420"/>
              <w:rPr>
                <w:color w:val="auto"/>
                <w:sz w:val="21"/>
                <w:szCs w:val="21"/>
              </w:rPr>
            </w:pPr>
            <w:r>
              <w:rPr>
                <w:rFonts w:hint="eastAsia"/>
                <w:color w:val="auto"/>
                <w:sz w:val="21"/>
                <w:szCs w:val="21"/>
              </w:rPr>
              <w:t>开户行：中国光大银行股份有限公司南宁长湖支行</w:t>
            </w:r>
          </w:p>
        </w:tc>
      </w:tr>
      <w:tr w14:paraId="58105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C022B2A">
            <w:pPr>
              <w:spacing w:before="165"/>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3.1</w:t>
            </w:r>
          </w:p>
        </w:tc>
        <w:tc>
          <w:tcPr>
            <w:tcW w:w="7912" w:type="dxa"/>
            <w:vAlign w:val="center"/>
          </w:tcPr>
          <w:p w14:paraId="5CD00CD5">
            <w:pPr>
              <w:pStyle w:val="14"/>
              <w:spacing w:line="440" w:lineRule="exact"/>
              <w:ind w:firstLine="420"/>
              <w:rPr>
                <w:color w:val="auto"/>
                <w:sz w:val="21"/>
                <w:szCs w:val="21"/>
              </w:rPr>
            </w:pPr>
            <w:r>
              <w:rPr>
                <w:rFonts w:hint="eastAsia"/>
                <w:color w:val="auto"/>
                <w:sz w:val="21"/>
                <w:szCs w:val="21"/>
              </w:rPr>
              <w:t>解释：</w:t>
            </w:r>
            <w:r>
              <w:rPr>
                <w:color w:val="auto"/>
                <w:sz w:val="21"/>
                <w:szCs w:val="21"/>
              </w:rPr>
              <w:t>构成本</w:t>
            </w:r>
            <w:r>
              <w:rPr>
                <w:rFonts w:hint="eastAsia"/>
                <w:color w:val="auto"/>
                <w:sz w:val="21"/>
                <w:szCs w:val="21"/>
              </w:rPr>
              <w:t>谈判文件</w:t>
            </w:r>
            <w:r>
              <w:rPr>
                <w:color w:val="auto"/>
                <w:sz w:val="21"/>
                <w:szCs w:val="21"/>
              </w:rPr>
              <w:t>的各个组成文件应互为解释，互为说明；除</w:t>
            </w:r>
            <w:r>
              <w:rPr>
                <w:rFonts w:hint="eastAsia"/>
                <w:color w:val="auto"/>
                <w:sz w:val="21"/>
                <w:szCs w:val="21"/>
              </w:rPr>
              <w:t>谈判文件</w:t>
            </w:r>
            <w:r>
              <w:rPr>
                <w:color w:val="auto"/>
                <w:sz w:val="21"/>
                <w:szCs w:val="21"/>
              </w:rPr>
              <w:t>中有特别规定外，仅适用于</w:t>
            </w:r>
            <w:r>
              <w:rPr>
                <w:rFonts w:hint="eastAsia"/>
                <w:color w:val="auto"/>
                <w:sz w:val="21"/>
                <w:szCs w:val="21"/>
              </w:rPr>
              <w:t>竞标</w:t>
            </w:r>
            <w:r>
              <w:rPr>
                <w:color w:val="auto"/>
                <w:sz w:val="21"/>
                <w:szCs w:val="21"/>
              </w:rPr>
              <w:t>阶段的规定，按</w:t>
            </w:r>
            <w:r>
              <w:rPr>
                <w:rFonts w:hint="eastAsia"/>
                <w:color w:val="auto"/>
                <w:sz w:val="21"/>
                <w:szCs w:val="21"/>
              </w:rPr>
              <w:t>更正公告（澄清公告）</w:t>
            </w:r>
            <w:r>
              <w:rPr>
                <w:color w:val="auto"/>
                <w:sz w:val="21"/>
                <w:szCs w:val="21"/>
              </w:rPr>
              <w:t>、</w:t>
            </w:r>
            <w:r>
              <w:rPr>
                <w:rFonts w:hint="eastAsia"/>
                <w:color w:val="auto"/>
                <w:sz w:val="21"/>
                <w:szCs w:val="21"/>
              </w:rPr>
              <w:t>竞争性谈判</w:t>
            </w:r>
            <w:r>
              <w:rPr>
                <w:color w:val="auto"/>
                <w:sz w:val="21"/>
                <w:szCs w:val="21"/>
              </w:rPr>
              <w:t>公告、</w:t>
            </w:r>
            <w:r>
              <w:rPr>
                <w:rFonts w:hint="eastAsia"/>
                <w:color w:val="auto"/>
                <w:sz w:val="21"/>
                <w:szCs w:val="21"/>
              </w:rPr>
              <w:t>供应商</w:t>
            </w:r>
            <w:r>
              <w:rPr>
                <w:color w:val="auto"/>
                <w:sz w:val="21"/>
                <w:szCs w:val="21"/>
              </w:rPr>
              <w:t>须知</w:t>
            </w:r>
            <w:r>
              <w:rPr>
                <w:rFonts w:hint="eastAsia"/>
                <w:color w:val="auto"/>
                <w:sz w:val="21"/>
                <w:szCs w:val="21"/>
              </w:rPr>
              <w:t>、采购需求</w:t>
            </w:r>
            <w:r>
              <w:rPr>
                <w:color w:val="auto"/>
                <w:sz w:val="21"/>
                <w:szCs w:val="21"/>
              </w:rPr>
              <w:t>、</w:t>
            </w:r>
            <w:r>
              <w:rPr>
                <w:rFonts w:hint="eastAsia"/>
                <w:color w:val="auto"/>
                <w:sz w:val="21"/>
                <w:szCs w:val="21"/>
              </w:rPr>
              <w:t>评审程序和评定成交的标准</w:t>
            </w:r>
            <w:r>
              <w:rPr>
                <w:color w:val="auto"/>
                <w:sz w:val="21"/>
                <w:szCs w:val="21"/>
              </w:rPr>
              <w:t>、</w:t>
            </w:r>
            <w:r>
              <w:rPr>
                <w:rFonts w:hint="eastAsia"/>
                <w:color w:val="auto"/>
                <w:sz w:val="21"/>
                <w:szCs w:val="21"/>
              </w:rPr>
              <w:t>响应</w:t>
            </w:r>
            <w:r>
              <w:rPr>
                <w:color w:val="auto"/>
                <w:sz w:val="21"/>
                <w:szCs w:val="21"/>
              </w:rPr>
              <w:t>文件格式</w:t>
            </w:r>
            <w:r>
              <w:rPr>
                <w:rFonts w:hint="eastAsia"/>
                <w:color w:val="auto"/>
                <w:sz w:val="21"/>
                <w:szCs w:val="21"/>
              </w:rPr>
              <w:t>、合同文本</w:t>
            </w:r>
            <w:r>
              <w:rPr>
                <w:color w:val="auto"/>
                <w:sz w:val="21"/>
                <w:szCs w:val="21"/>
              </w:rPr>
              <w:t>的先后顺序解释；同一组成文件中就同一事项的规定或约定不一致的，以编排顺序在后者为准；同一组成文件不同版本之间有不一致的，以形成时间在后者为准；</w:t>
            </w:r>
            <w:r>
              <w:rPr>
                <w:rFonts w:hint="eastAsia"/>
                <w:color w:val="auto"/>
                <w:sz w:val="21"/>
                <w:szCs w:val="21"/>
              </w:rPr>
              <w:t>更正公告（澄清公告）</w:t>
            </w:r>
            <w:r>
              <w:rPr>
                <w:color w:val="auto"/>
                <w:sz w:val="21"/>
                <w:szCs w:val="21"/>
              </w:rPr>
              <w:t>与同步更新的</w:t>
            </w:r>
            <w:r>
              <w:rPr>
                <w:rFonts w:hint="eastAsia"/>
                <w:color w:val="auto"/>
                <w:sz w:val="21"/>
                <w:szCs w:val="21"/>
              </w:rPr>
              <w:t>谈判文件</w:t>
            </w:r>
            <w:r>
              <w:rPr>
                <w:color w:val="auto"/>
                <w:sz w:val="21"/>
                <w:szCs w:val="21"/>
              </w:rPr>
              <w:t>不一致时以</w:t>
            </w:r>
            <w:r>
              <w:rPr>
                <w:rFonts w:hint="eastAsia"/>
                <w:color w:val="auto"/>
                <w:sz w:val="21"/>
                <w:szCs w:val="21"/>
              </w:rPr>
              <w:t>更正公告（澄清公告）</w:t>
            </w:r>
            <w:r>
              <w:rPr>
                <w:color w:val="auto"/>
                <w:sz w:val="21"/>
                <w:szCs w:val="21"/>
              </w:rPr>
              <w:t>为准。按本款前述规定仍不能形成结论的，由</w:t>
            </w:r>
            <w:r>
              <w:rPr>
                <w:rFonts w:hint="eastAsia"/>
                <w:color w:val="auto"/>
                <w:sz w:val="21"/>
                <w:szCs w:val="21"/>
              </w:rPr>
              <w:t>采购</w:t>
            </w:r>
            <w:r>
              <w:rPr>
                <w:color w:val="auto"/>
                <w:sz w:val="21"/>
                <w:szCs w:val="21"/>
              </w:rPr>
              <w:t>人</w:t>
            </w:r>
            <w:r>
              <w:rPr>
                <w:rFonts w:hint="eastAsia"/>
                <w:color w:val="auto"/>
                <w:sz w:val="21"/>
                <w:szCs w:val="21"/>
              </w:rPr>
              <w:t>或者采购代理机构</w:t>
            </w:r>
            <w:r>
              <w:rPr>
                <w:color w:val="auto"/>
                <w:sz w:val="21"/>
                <w:szCs w:val="21"/>
              </w:rPr>
              <w:t>负责解释。</w:t>
            </w:r>
          </w:p>
        </w:tc>
      </w:tr>
      <w:tr w14:paraId="1DFCE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597F897">
            <w:pPr>
              <w:spacing w:before="165"/>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3.2</w:t>
            </w:r>
          </w:p>
        </w:tc>
        <w:tc>
          <w:tcPr>
            <w:tcW w:w="7912" w:type="dxa"/>
            <w:vAlign w:val="center"/>
          </w:tcPr>
          <w:p w14:paraId="21655AE4">
            <w:pPr>
              <w:pStyle w:val="14"/>
              <w:spacing w:line="440" w:lineRule="exact"/>
              <w:ind w:firstLine="420"/>
              <w:rPr>
                <w:color w:val="auto"/>
                <w:sz w:val="21"/>
                <w:szCs w:val="21"/>
              </w:rPr>
            </w:pPr>
            <w:r>
              <w:rPr>
                <w:rFonts w:hint="eastAsia"/>
                <w:color w:val="auto"/>
                <w:sz w:val="21"/>
                <w:szCs w:val="21"/>
              </w:rPr>
              <w:t>1.本谈判文件中描述供应商的“公章”是指根据我国对公章的管理规定，用供应商法定主体行为名称制作的印章，除本谈判文件有特殊规定外，供应商的财务章、部门章、分公司章、工会章、合同章、竞标专用章、业务专用章及银行的转账章、现金收讫章、现金付讫章等其他形式印章均不能代替公章。</w:t>
            </w:r>
          </w:p>
          <w:p w14:paraId="1ABED644">
            <w:pPr>
              <w:pStyle w:val="14"/>
              <w:spacing w:line="440" w:lineRule="exact"/>
              <w:ind w:firstLine="420"/>
              <w:rPr>
                <w:rFonts w:cs="宋体"/>
                <w:bCs/>
                <w:color w:val="auto"/>
                <w:sz w:val="21"/>
                <w:szCs w:val="21"/>
              </w:rPr>
            </w:pPr>
            <w:r>
              <w:rPr>
                <w:rFonts w:hint="eastAsia" w:cs="宋体"/>
                <w:bCs/>
                <w:color w:val="auto"/>
                <w:sz w:val="21"/>
                <w:szCs w:val="21"/>
              </w:rPr>
              <w:t>2.本谈判文件所称的“</w:t>
            </w:r>
            <w:r>
              <w:rPr>
                <w:rFonts w:hint="eastAsia"/>
                <w:color w:val="auto"/>
                <w:sz w:val="21"/>
                <w:szCs w:val="21"/>
              </w:rPr>
              <w:t>电子签章</w:t>
            </w:r>
            <w:r>
              <w:rPr>
                <w:rFonts w:hint="eastAsia" w:cs="宋体"/>
                <w:bCs/>
                <w:color w:val="auto"/>
                <w:sz w:val="21"/>
                <w:szCs w:val="21"/>
              </w:rPr>
              <w:t>”、“电子签名”</w:t>
            </w:r>
            <w:r>
              <w:rPr>
                <w:rFonts w:hint="eastAsia"/>
                <w:color w:val="auto"/>
                <w:sz w:val="21"/>
                <w:szCs w:val="21"/>
              </w:rPr>
              <w:t>，是指经广西政府采购云平台认可的CA认证的电子签名数据为表现形式的印章，可用于签署电子响应文件，电子印章与实物印章具有同等法律效力，不因其采用电子化表现形式而否定其法律效力。</w:t>
            </w:r>
          </w:p>
          <w:p w14:paraId="020B0C68">
            <w:pPr>
              <w:pStyle w:val="14"/>
              <w:spacing w:line="440" w:lineRule="exact"/>
              <w:ind w:firstLine="420"/>
              <w:rPr>
                <w:color w:val="auto"/>
                <w:sz w:val="21"/>
                <w:szCs w:val="21"/>
              </w:rPr>
            </w:pPr>
            <w:r>
              <w:rPr>
                <w:rFonts w:hint="eastAsia"/>
                <w:color w:val="auto"/>
                <w:sz w:val="21"/>
                <w:szCs w:val="21"/>
              </w:rPr>
              <w:t>3.供应商为其他组织或者自然人时，本谈判文件规定的法定代表人指负责人或者自然人。本谈判文件所称负责人是指参加竞标的其他组织营业执照或者执业许可证等证照上的负责人，本谈判文件所称自然人指参与竞标的自然人本人，且应具备独立承担民事责任能力，自然人应当为年满18岁以上成年人（十六周岁以上的未成年人，以自己的劳动收入为主要生活来源的，视为完全民事行为能力人）。</w:t>
            </w:r>
          </w:p>
          <w:p w14:paraId="34D0909F">
            <w:pPr>
              <w:pStyle w:val="14"/>
              <w:spacing w:line="440" w:lineRule="exact"/>
              <w:ind w:firstLine="420"/>
              <w:rPr>
                <w:color w:val="auto"/>
                <w:sz w:val="21"/>
                <w:szCs w:val="21"/>
              </w:rPr>
            </w:pPr>
            <w:r>
              <w:rPr>
                <w:rFonts w:hint="eastAsia"/>
                <w:color w:val="auto"/>
                <w:sz w:val="21"/>
                <w:szCs w:val="21"/>
              </w:rPr>
              <w:t>4.本谈判文件中描述供应商的“签字”是指供应商的法定代表人或者委托代理人亲自在文件规定签署处亲笔写上个人的名字的行为，私章、签字章、印鉴、影印等其他形式均不能代替亲笔签字。</w:t>
            </w:r>
          </w:p>
          <w:p w14:paraId="2327DFBA">
            <w:pPr>
              <w:pStyle w:val="14"/>
              <w:spacing w:line="440" w:lineRule="exact"/>
              <w:ind w:firstLine="420"/>
              <w:rPr>
                <w:color w:val="auto"/>
                <w:sz w:val="21"/>
                <w:szCs w:val="21"/>
              </w:rPr>
            </w:pPr>
            <w:r>
              <w:rPr>
                <w:color w:val="auto"/>
                <w:sz w:val="21"/>
                <w:szCs w:val="21"/>
              </w:rPr>
              <w:t>5.</w:t>
            </w:r>
            <w:r>
              <w:rPr>
                <w:rFonts w:hint="eastAsia"/>
                <w:color w:val="auto"/>
                <w:sz w:val="21"/>
                <w:szCs w:val="21"/>
              </w:rPr>
              <w:t>本谈判文件所称的“以上”“以下”“以内”“届满”，包括本数；所称的“不满”“超过”“以外”，不包括本数。</w:t>
            </w:r>
          </w:p>
        </w:tc>
      </w:tr>
    </w:tbl>
    <w:p w14:paraId="79491AF9">
      <w:pPr>
        <w:spacing w:before="165" w:line="400" w:lineRule="exact"/>
        <w:jc w:val="center"/>
        <w:rPr>
          <w:rFonts w:ascii="宋体" w:hAnsi="宋体" w:cs="宋体"/>
          <w:b/>
          <w:color w:val="auto"/>
          <w:sz w:val="32"/>
          <w:szCs w:val="32"/>
        </w:rPr>
      </w:pPr>
      <w:r>
        <w:rPr>
          <w:rFonts w:ascii="宋体" w:hAnsi="宋体"/>
          <w:b/>
          <w:color w:val="auto"/>
          <w:sz w:val="32"/>
          <w:szCs w:val="32"/>
        </w:rPr>
        <w:br w:type="page"/>
      </w:r>
      <w:r>
        <w:rPr>
          <w:rFonts w:hint="eastAsia" w:ascii="宋体" w:hAnsi="宋体" w:cs="宋体"/>
          <w:b/>
          <w:color w:val="auto"/>
          <w:sz w:val="32"/>
          <w:szCs w:val="32"/>
        </w:rPr>
        <w:t>供应商须知正文</w:t>
      </w:r>
    </w:p>
    <w:p w14:paraId="7F3DCF97">
      <w:pPr>
        <w:spacing w:before="165" w:line="400" w:lineRule="exact"/>
        <w:ind w:firstLine="643"/>
        <w:jc w:val="center"/>
        <w:rPr>
          <w:rFonts w:ascii="宋体" w:hAnsi="宋体" w:cs="宋体"/>
          <w:b/>
          <w:color w:val="auto"/>
          <w:sz w:val="32"/>
          <w:szCs w:val="32"/>
        </w:rPr>
      </w:pPr>
    </w:p>
    <w:p w14:paraId="30EB7E4C">
      <w:pPr>
        <w:spacing w:before="165" w:line="400" w:lineRule="exact"/>
        <w:jc w:val="center"/>
        <w:rPr>
          <w:rFonts w:ascii="宋体" w:hAnsi="宋体" w:cs="宋体"/>
          <w:color w:val="auto"/>
          <w:szCs w:val="21"/>
        </w:rPr>
      </w:pPr>
      <w:r>
        <w:rPr>
          <w:rFonts w:hint="eastAsia" w:ascii="宋体" w:hAnsi="宋体" w:cs="宋体"/>
          <w:b/>
          <w:color w:val="auto"/>
          <w:sz w:val="32"/>
          <w:szCs w:val="32"/>
        </w:rPr>
        <w:t>一、总则</w:t>
      </w:r>
    </w:p>
    <w:p w14:paraId="049893D2">
      <w:pPr>
        <w:spacing w:line="360" w:lineRule="auto"/>
        <w:ind w:firstLine="482" w:firstLineChars="200"/>
        <w:rPr>
          <w:rFonts w:ascii="宋体" w:hAnsi="宋体" w:cs="宋体"/>
          <w:b/>
          <w:bCs/>
          <w:color w:val="auto"/>
          <w:sz w:val="24"/>
        </w:rPr>
      </w:pPr>
      <w:r>
        <w:rPr>
          <w:rFonts w:hint="eastAsia" w:ascii="宋体" w:hAnsi="宋体" w:cs="宋体"/>
          <w:b/>
          <w:bCs/>
          <w:color w:val="auto"/>
          <w:sz w:val="24"/>
        </w:rPr>
        <w:t>1. 适用范围</w:t>
      </w:r>
    </w:p>
    <w:p w14:paraId="33903D4E">
      <w:pPr>
        <w:spacing w:line="420" w:lineRule="exact"/>
        <w:ind w:firstLine="420" w:firstLineChars="200"/>
        <w:rPr>
          <w:rFonts w:ascii="宋体" w:hAnsi="宋体" w:cs="宋体"/>
          <w:color w:val="auto"/>
          <w:szCs w:val="21"/>
        </w:rPr>
      </w:pPr>
      <w:r>
        <w:rPr>
          <w:rFonts w:hint="eastAsia" w:ascii="宋体" w:hAnsi="宋体" w:cs="宋体"/>
          <w:color w:val="auto"/>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4D1261D6">
      <w:pPr>
        <w:spacing w:line="420" w:lineRule="exact"/>
        <w:ind w:firstLine="420" w:firstLineChars="200"/>
        <w:rPr>
          <w:rFonts w:ascii="宋体" w:hAnsi="宋体" w:cs="宋体"/>
          <w:color w:val="auto"/>
          <w:szCs w:val="21"/>
        </w:rPr>
      </w:pPr>
      <w:r>
        <w:rPr>
          <w:rFonts w:hint="eastAsia" w:ascii="宋体" w:hAnsi="宋体" w:cs="宋体"/>
          <w:color w:val="auto"/>
          <w:szCs w:val="21"/>
        </w:rPr>
        <w:t>1.2</w:t>
      </w:r>
      <w:r>
        <w:rPr>
          <w:rFonts w:hint="eastAsia" w:ascii="宋体" w:hAnsi="宋体" w:cs="宋体"/>
          <w:color w:val="auto"/>
          <w:spacing w:val="-6"/>
          <w:szCs w:val="21"/>
        </w:rPr>
        <w:t>本竞争性谈判文件（以下简称谈判文件）适用于本项目的所有采购程序和环节（法律、法规另有规定的，从其规定）。</w:t>
      </w:r>
    </w:p>
    <w:p w14:paraId="06375614">
      <w:pPr>
        <w:spacing w:line="420" w:lineRule="exact"/>
        <w:ind w:firstLine="482" w:firstLineChars="200"/>
        <w:rPr>
          <w:rFonts w:ascii="宋体" w:hAnsi="宋体" w:cs="宋体"/>
          <w:b/>
          <w:bCs/>
          <w:color w:val="auto"/>
          <w:sz w:val="24"/>
        </w:rPr>
      </w:pPr>
      <w:r>
        <w:rPr>
          <w:rFonts w:hint="eastAsia" w:ascii="宋体" w:hAnsi="宋体" w:cs="宋体"/>
          <w:b/>
          <w:bCs/>
          <w:color w:val="auto"/>
          <w:sz w:val="24"/>
        </w:rPr>
        <w:t>2. 定义</w:t>
      </w:r>
    </w:p>
    <w:p w14:paraId="7B4C3638">
      <w:pPr>
        <w:spacing w:line="420" w:lineRule="exact"/>
        <w:ind w:firstLine="420" w:firstLineChars="200"/>
        <w:rPr>
          <w:rFonts w:ascii="宋体" w:hAnsi="宋体" w:cs="宋体"/>
          <w:color w:val="auto"/>
          <w:szCs w:val="21"/>
        </w:rPr>
      </w:pPr>
      <w:r>
        <w:rPr>
          <w:rFonts w:hint="eastAsia" w:ascii="宋体" w:hAnsi="宋体" w:cs="宋体"/>
          <w:color w:val="auto"/>
          <w:szCs w:val="21"/>
        </w:rPr>
        <w:t>2.1“采购人”是指依法进行采购的国家机关、事业单位、团体组织。</w:t>
      </w:r>
    </w:p>
    <w:p w14:paraId="6C17054E">
      <w:pPr>
        <w:spacing w:line="420" w:lineRule="exact"/>
        <w:ind w:firstLine="420" w:firstLineChars="200"/>
        <w:rPr>
          <w:rFonts w:ascii="宋体" w:hAnsi="宋体" w:cs="宋体"/>
          <w:b/>
          <w:color w:val="auto"/>
          <w:szCs w:val="21"/>
        </w:rPr>
      </w:pPr>
      <w:r>
        <w:rPr>
          <w:rFonts w:hint="eastAsia" w:ascii="宋体" w:hAnsi="宋体" w:cs="宋体"/>
          <w:color w:val="auto"/>
          <w:szCs w:val="21"/>
        </w:rPr>
        <w:t>2.2“采购代理机构”</w:t>
      </w:r>
      <w:r>
        <w:rPr>
          <w:rFonts w:hint="eastAsia" w:ascii="宋体" w:hAnsi="宋体" w:cs="宋体"/>
          <w:b/>
          <w:color w:val="auto"/>
          <w:szCs w:val="21"/>
        </w:rPr>
        <w:t>是指政府采购集中采购机构和集中采购机构以外的采购代理机构。</w:t>
      </w:r>
    </w:p>
    <w:p w14:paraId="29392A51">
      <w:pPr>
        <w:spacing w:line="420" w:lineRule="exact"/>
        <w:ind w:firstLine="420" w:firstLineChars="200"/>
        <w:rPr>
          <w:rFonts w:ascii="宋体" w:hAnsi="宋体" w:cs="宋体"/>
          <w:color w:val="auto"/>
          <w:szCs w:val="21"/>
        </w:rPr>
      </w:pPr>
      <w:r>
        <w:rPr>
          <w:rFonts w:hint="eastAsia" w:ascii="宋体" w:hAnsi="宋体" w:cs="宋体"/>
          <w:color w:val="auto"/>
          <w:szCs w:val="21"/>
        </w:rPr>
        <w:t>2.3“供应商”是指向采购人提供货物、工程或者服务的法人、其他组织或者自然人。</w:t>
      </w:r>
    </w:p>
    <w:p w14:paraId="1800ADEB">
      <w:pPr>
        <w:spacing w:line="420" w:lineRule="exact"/>
        <w:ind w:firstLine="420" w:firstLineChars="200"/>
        <w:rPr>
          <w:rFonts w:ascii="宋体" w:hAnsi="宋体" w:cs="宋体"/>
          <w:color w:val="auto"/>
          <w:szCs w:val="21"/>
        </w:rPr>
      </w:pPr>
      <w:r>
        <w:rPr>
          <w:rFonts w:hint="eastAsia" w:ascii="宋体" w:hAnsi="宋体" w:cs="宋体"/>
          <w:color w:val="auto"/>
          <w:szCs w:val="21"/>
        </w:rPr>
        <w:t>2.4“货物”是指各种形态和种类的物品，包括原材料、燃料、设备、产品等。</w:t>
      </w:r>
    </w:p>
    <w:p w14:paraId="251168FC">
      <w:pPr>
        <w:spacing w:line="420" w:lineRule="exact"/>
        <w:ind w:firstLine="420" w:firstLineChars="200"/>
        <w:rPr>
          <w:rFonts w:ascii="宋体" w:hAnsi="宋体" w:cs="宋体"/>
          <w:color w:val="auto"/>
          <w:szCs w:val="21"/>
        </w:rPr>
      </w:pPr>
      <w:r>
        <w:rPr>
          <w:rFonts w:hint="eastAsia" w:ascii="宋体" w:hAnsi="宋体" w:cs="宋体"/>
          <w:color w:val="auto"/>
          <w:szCs w:val="21"/>
        </w:rPr>
        <w:t>2.5“竞标”是指按照本项目竞争性谈判公告或者邀请函规定的方式供应商获取谈判文件、提交响应文件并希望获得标的的行为。</w:t>
      </w:r>
    </w:p>
    <w:p w14:paraId="096EE7DD">
      <w:pPr>
        <w:spacing w:line="420" w:lineRule="exact"/>
        <w:ind w:firstLine="420" w:firstLineChars="200"/>
        <w:rPr>
          <w:rFonts w:ascii="宋体" w:hAnsi="宋体" w:cs="宋体"/>
          <w:color w:val="auto"/>
          <w:szCs w:val="21"/>
        </w:rPr>
      </w:pPr>
      <w:r>
        <w:rPr>
          <w:rFonts w:hint="eastAsia" w:ascii="宋体" w:hAnsi="宋体" w:cs="宋体"/>
          <w:color w:val="auto"/>
          <w:szCs w:val="21"/>
        </w:rPr>
        <w:t>2.6“售后服务” 是指包含但不限于供应商须承担的备品备件、包装、运输、装卸、保险、货到就位以及安装、调试、培训、保修和其他类似的义务。</w:t>
      </w:r>
    </w:p>
    <w:p w14:paraId="226B8D26">
      <w:pPr>
        <w:spacing w:line="420" w:lineRule="exact"/>
        <w:ind w:firstLine="420" w:firstLineChars="200"/>
        <w:rPr>
          <w:rFonts w:ascii="宋体" w:hAnsi="宋体" w:cs="宋体"/>
          <w:color w:val="auto"/>
          <w:szCs w:val="21"/>
        </w:rPr>
      </w:pPr>
      <w:r>
        <w:rPr>
          <w:rFonts w:hint="eastAsia" w:ascii="宋体" w:hAnsi="宋体" w:cs="宋体"/>
          <w:color w:val="auto"/>
          <w:szCs w:val="21"/>
        </w:rPr>
        <w:t>2.7“书面形式”是指合同书、信件和数据电文（包括电报、电传、传真、电子数据交换和电子邮件）等可以有形地表现所载内容的形式。</w:t>
      </w:r>
    </w:p>
    <w:p w14:paraId="459D6C12">
      <w:pPr>
        <w:spacing w:line="420" w:lineRule="exact"/>
        <w:ind w:firstLine="420" w:firstLineChars="200"/>
        <w:rPr>
          <w:rFonts w:ascii="宋体" w:hAnsi="宋体" w:cs="宋体"/>
          <w:color w:val="auto"/>
          <w:szCs w:val="21"/>
        </w:rPr>
      </w:pPr>
      <w:r>
        <w:rPr>
          <w:rFonts w:hint="eastAsia" w:ascii="宋体" w:hAnsi="宋体" w:cs="宋体"/>
          <w:color w:val="auto"/>
          <w:szCs w:val="21"/>
        </w:rPr>
        <w:t>2.8“响应文件”</w:t>
      </w:r>
      <w:r>
        <w:rPr>
          <w:rFonts w:hint="eastAsia" w:ascii="宋体" w:hAnsi="宋体" w:cs="宋体"/>
          <w:color w:val="auto"/>
          <w:spacing w:val="-6"/>
          <w:szCs w:val="21"/>
        </w:rPr>
        <w:t>是指：供应商根据本谈判文件要求，编制包含资格证明、报价、商务技术等所有内容的文件。</w:t>
      </w:r>
    </w:p>
    <w:p w14:paraId="65879068">
      <w:pPr>
        <w:spacing w:line="420" w:lineRule="exact"/>
        <w:ind w:firstLine="420" w:firstLineChars="200"/>
        <w:rPr>
          <w:rFonts w:ascii="宋体" w:hAnsi="宋体" w:cs="宋体"/>
          <w:color w:val="auto"/>
          <w:szCs w:val="21"/>
        </w:rPr>
      </w:pPr>
      <w:r>
        <w:rPr>
          <w:rFonts w:hint="eastAsia" w:ascii="宋体" w:hAnsi="宋体" w:cs="宋体"/>
          <w:color w:val="auto"/>
          <w:szCs w:val="21"/>
        </w:rPr>
        <w:t>2.9 “实质性要求”是指采购需求中带“</w:t>
      </w:r>
      <w:r>
        <w:rPr>
          <w:rFonts w:hint="eastAsia" w:ascii="宋体" w:hAnsi="宋体" w:cs="宋体"/>
          <w:b/>
          <w:bCs/>
          <w:color w:val="auto"/>
          <w:kern w:val="0"/>
          <w:szCs w:val="21"/>
        </w:rPr>
        <w:t>▲</w:t>
      </w:r>
      <w:r>
        <w:rPr>
          <w:rFonts w:hint="eastAsia" w:ascii="宋体" w:hAnsi="宋体" w:cs="宋体"/>
          <w:color w:val="auto"/>
          <w:szCs w:val="21"/>
        </w:rPr>
        <w:t>”的条款或者不能负偏离的条款或者已经指明不满足按响应文件按无效处理的条款。</w:t>
      </w:r>
    </w:p>
    <w:p w14:paraId="295D9B1E">
      <w:pPr>
        <w:spacing w:line="420" w:lineRule="exact"/>
        <w:ind w:firstLine="420" w:firstLineChars="200"/>
        <w:rPr>
          <w:rFonts w:ascii="宋体" w:hAnsi="宋体" w:cs="宋体"/>
          <w:color w:val="auto"/>
          <w:szCs w:val="21"/>
        </w:rPr>
      </w:pPr>
      <w:r>
        <w:rPr>
          <w:rFonts w:hint="eastAsia" w:ascii="宋体" w:hAnsi="宋体" w:cs="宋体"/>
          <w:color w:val="auto"/>
          <w:szCs w:val="21"/>
        </w:rPr>
        <w:t>2.10“正偏离”，是指响应文件对谈判文件“采购需求”中有关条款作出优于条款要求并有利于采购人的响应情形；</w:t>
      </w:r>
    </w:p>
    <w:p w14:paraId="560B4499">
      <w:pPr>
        <w:spacing w:line="420" w:lineRule="exact"/>
        <w:ind w:firstLine="420" w:firstLineChars="200"/>
        <w:rPr>
          <w:rFonts w:ascii="宋体" w:hAnsi="宋体" w:cs="宋体"/>
          <w:color w:val="auto"/>
          <w:szCs w:val="21"/>
        </w:rPr>
      </w:pPr>
      <w:r>
        <w:rPr>
          <w:rFonts w:hint="eastAsia" w:ascii="宋体" w:hAnsi="宋体" w:cs="宋体"/>
          <w:color w:val="auto"/>
          <w:szCs w:val="21"/>
        </w:rPr>
        <w:t>2.11“负偏离”，是指响应文件对谈判文件“采购需求”中有关条款作出的响应不满足条款要求，导致采购人要求不能得到满足的情形。</w:t>
      </w:r>
    </w:p>
    <w:p w14:paraId="20433AFD">
      <w:pPr>
        <w:spacing w:line="420" w:lineRule="exact"/>
        <w:ind w:firstLine="420" w:firstLineChars="200"/>
        <w:rPr>
          <w:rFonts w:ascii="宋体" w:hAnsi="宋体" w:cs="宋体"/>
          <w:color w:val="auto"/>
          <w:szCs w:val="21"/>
        </w:rPr>
      </w:pPr>
      <w:r>
        <w:rPr>
          <w:rFonts w:hint="eastAsia" w:ascii="宋体" w:hAnsi="宋体" w:cs="宋体"/>
          <w:color w:val="auto"/>
          <w:szCs w:val="21"/>
        </w:rPr>
        <w:t>2.12“允许负偏离的条款”是指采购需求中的不属于“实质性要求”的条款。</w:t>
      </w:r>
    </w:p>
    <w:p w14:paraId="45160F8F">
      <w:pPr>
        <w:spacing w:line="420" w:lineRule="exact"/>
        <w:ind w:firstLine="420" w:firstLineChars="200"/>
        <w:rPr>
          <w:rFonts w:ascii="宋体" w:hAnsi="宋体" w:cs="宋体"/>
          <w:color w:val="auto"/>
          <w:szCs w:val="21"/>
        </w:rPr>
      </w:pPr>
      <w:r>
        <w:rPr>
          <w:rFonts w:hint="eastAsia" w:ascii="宋体" w:hAnsi="宋体" w:cs="宋体"/>
          <w:color w:val="auto"/>
          <w:szCs w:val="21"/>
        </w:rPr>
        <w:t>2.13“首次报价”是指供应商提交的首次响应文件中的竞标报价。</w:t>
      </w:r>
    </w:p>
    <w:p w14:paraId="20CD7D0E">
      <w:pPr>
        <w:spacing w:line="420" w:lineRule="exact"/>
        <w:ind w:firstLine="482" w:firstLineChars="200"/>
        <w:contextualSpacing/>
        <w:rPr>
          <w:rFonts w:ascii="宋体" w:hAnsi="宋体" w:cs="宋体"/>
          <w:b/>
          <w:bCs/>
          <w:color w:val="auto"/>
          <w:sz w:val="24"/>
        </w:rPr>
      </w:pPr>
      <w:r>
        <w:rPr>
          <w:rFonts w:hint="eastAsia" w:ascii="宋体" w:hAnsi="宋体" w:cs="宋体"/>
          <w:b/>
          <w:bCs/>
          <w:color w:val="auto"/>
          <w:sz w:val="24"/>
        </w:rPr>
        <w:t>3. 供应商的资格条件</w:t>
      </w:r>
    </w:p>
    <w:p w14:paraId="6DF8B6D5">
      <w:pPr>
        <w:spacing w:line="420" w:lineRule="exact"/>
        <w:ind w:firstLine="420" w:firstLineChars="200"/>
        <w:contextualSpacing/>
        <w:rPr>
          <w:rFonts w:ascii="宋体" w:hAnsi="宋体" w:cs="宋体"/>
          <w:color w:val="auto"/>
          <w:szCs w:val="21"/>
        </w:rPr>
      </w:pPr>
      <w:r>
        <w:rPr>
          <w:rFonts w:hint="eastAsia" w:ascii="宋体" w:hAnsi="宋体" w:cs="宋体"/>
          <w:color w:val="auto"/>
          <w:szCs w:val="21"/>
        </w:rPr>
        <w:t>供应商的资格条件详见“供应商须知前附表”。</w:t>
      </w:r>
    </w:p>
    <w:p w14:paraId="6D0C152A">
      <w:pPr>
        <w:spacing w:line="420" w:lineRule="exact"/>
        <w:ind w:firstLine="482" w:firstLineChars="200"/>
        <w:rPr>
          <w:rFonts w:ascii="宋体" w:hAnsi="宋体" w:cs="宋体"/>
          <w:b/>
          <w:bCs/>
          <w:color w:val="auto"/>
          <w:sz w:val="24"/>
        </w:rPr>
      </w:pPr>
      <w:r>
        <w:rPr>
          <w:rFonts w:hint="eastAsia" w:ascii="宋体" w:hAnsi="宋体" w:cs="宋体"/>
          <w:b/>
          <w:bCs/>
          <w:color w:val="auto"/>
          <w:sz w:val="24"/>
        </w:rPr>
        <w:t>4. 竞标费用</w:t>
      </w:r>
    </w:p>
    <w:p w14:paraId="61C9F4B2">
      <w:pPr>
        <w:spacing w:line="420" w:lineRule="exact"/>
        <w:ind w:firstLine="420" w:firstLineChars="200"/>
        <w:rPr>
          <w:rFonts w:ascii="宋体" w:hAnsi="宋体" w:cs="宋体"/>
          <w:color w:val="auto"/>
          <w:szCs w:val="21"/>
        </w:rPr>
      </w:pPr>
      <w:r>
        <w:rPr>
          <w:rFonts w:hint="eastAsia" w:ascii="宋体" w:hAnsi="宋体" w:cs="宋体"/>
          <w:color w:val="auto"/>
          <w:szCs w:val="21"/>
        </w:rPr>
        <w:t>竞标费用：供应商应承担参与本次采购活动有关的所有费用，包括但不限于获取谈判文件、勘查现场、编制和提交响应文件、参加谈判与应答、签订合同等，不论竞标结果如何，均应自行承担。</w:t>
      </w:r>
    </w:p>
    <w:p w14:paraId="2528B84E">
      <w:pPr>
        <w:spacing w:line="420" w:lineRule="exact"/>
        <w:ind w:firstLine="482" w:firstLineChars="200"/>
        <w:rPr>
          <w:rFonts w:ascii="宋体" w:hAnsi="宋体" w:cs="宋体"/>
          <w:b/>
          <w:bCs/>
          <w:color w:val="auto"/>
          <w:sz w:val="24"/>
        </w:rPr>
      </w:pPr>
      <w:r>
        <w:rPr>
          <w:rFonts w:hint="eastAsia" w:ascii="宋体" w:hAnsi="宋体" w:cs="宋体"/>
          <w:b/>
          <w:bCs/>
          <w:color w:val="auto"/>
          <w:sz w:val="24"/>
        </w:rPr>
        <w:t>5.联合体竞标</w:t>
      </w:r>
    </w:p>
    <w:p w14:paraId="6DBD1E8D">
      <w:pPr>
        <w:spacing w:line="420" w:lineRule="exact"/>
        <w:ind w:firstLine="420" w:firstLineChars="200"/>
        <w:rPr>
          <w:rFonts w:ascii="宋体" w:hAnsi="宋体" w:cs="宋体"/>
          <w:color w:val="auto"/>
          <w:szCs w:val="21"/>
        </w:rPr>
      </w:pPr>
      <w:r>
        <w:rPr>
          <w:rFonts w:hint="eastAsia" w:ascii="宋体" w:hAnsi="宋体" w:cs="宋体"/>
          <w:color w:val="auto"/>
          <w:szCs w:val="21"/>
        </w:rPr>
        <w:t>5.1本项目是否接受联合体竞标，详见“供应商须知前附表”。</w:t>
      </w:r>
    </w:p>
    <w:p w14:paraId="76FDFFB7">
      <w:pPr>
        <w:spacing w:line="420" w:lineRule="exact"/>
        <w:ind w:firstLine="420" w:firstLineChars="200"/>
        <w:rPr>
          <w:rFonts w:ascii="宋体" w:hAnsi="宋体" w:cs="宋体"/>
          <w:color w:val="auto"/>
          <w:szCs w:val="21"/>
        </w:rPr>
      </w:pPr>
      <w:r>
        <w:rPr>
          <w:rFonts w:hint="eastAsia" w:ascii="宋体" w:hAnsi="宋体" w:cs="宋体"/>
          <w:color w:val="auto"/>
          <w:szCs w:val="21"/>
        </w:rPr>
        <w:t>5.2</w:t>
      </w:r>
      <w:r>
        <w:rPr>
          <w:rFonts w:hint="eastAsia" w:ascii="宋体" w:hAnsi="宋体" w:cs="宋体"/>
          <w:bCs/>
          <w:color w:val="auto"/>
          <w:szCs w:val="21"/>
        </w:rPr>
        <w:t>如接受联合体竞标，</w:t>
      </w:r>
      <w:r>
        <w:rPr>
          <w:rFonts w:hint="eastAsia" w:ascii="宋体" w:hAnsi="宋体" w:cs="宋体"/>
          <w:color w:val="auto"/>
          <w:szCs w:val="21"/>
        </w:rPr>
        <w:t>联合体竞标要求详见“供应商须知前附表”。</w:t>
      </w:r>
    </w:p>
    <w:p w14:paraId="39DEEB6F">
      <w:pPr>
        <w:spacing w:line="420" w:lineRule="exact"/>
        <w:ind w:firstLine="420" w:firstLineChars="200"/>
        <w:rPr>
          <w:rFonts w:ascii="宋体" w:hAnsi="宋体" w:cs="宋体"/>
          <w:color w:val="auto"/>
          <w:szCs w:val="21"/>
        </w:rPr>
      </w:pPr>
      <w:r>
        <w:rPr>
          <w:rFonts w:hint="eastAsia" w:ascii="宋体" w:hAnsi="宋体" w:cs="宋体"/>
          <w:color w:val="auto"/>
          <w:szCs w:val="21"/>
        </w:rPr>
        <w:t>5.3</w:t>
      </w:r>
      <w:bookmarkStart w:id="59" w:name="_Hlk65857072"/>
      <w:r>
        <w:rPr>
          <w:rFonts w:hint="eastAsia" w:ascii="宋体" w:hAnsi="宋体" w:cs="宋体"/>
          <w:color w:val="auto"/>
          <w:szCs w:val="21"/>
        </w:rPr>
        <w:t>根据《政府采购促进中小企业发展管理办法》（财库〔2020〕46号）及《关于进一步加大政府采购支持中小企业力度的通知》（财库〔2022〕19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具体详见《评审程序和评定成交的标准》。</w:t>
      </w:r>
      <w:bookmarkEnd w:id="59"/>
    </w:p>
    <w:p w14:paraId="1A586229">
      <w:pPr>
        <w:spacing w:line="420" w:lineRule="exact"/>
        <w:ind w:firstLine="482" w:firstLineChars="200"/>
        <w:rPr>
          <w:rFonts w:ascii="宋体" w:hAnsi="宋体" w:cs="宋体"/>
          <w:b/>
          <w:bCs/>
          <w:color w:val="auto"/>
          <w:sz w:val="24"/>
        </w:rPr>
      </w:pPr>
      <w:r>
        <w:rPr>
          <w:rFonts w:hint="eastAsia" w:ascii="宋体" w:hAnsi="宋体" w:cs="宋体"/>
          <w:b/>
          <w:bCs/>
          <w:color w:val="auto"/>
          <w:sz w:val="24"/>
        </w:rPr>
        <w:t xml:space="preserve">6.转包与分包             </w:t>
      </w:r>
    </w:p>
    <w:p w14:paraId="4B936B57">
      <w:pPr>
        <w:spacing w:line="420" w:lineRule="exact"/>
        <w:ind w:firstLine="420" w:firstLineChars="200"/>
        <w:rPr>
          <w:rFonts w:ascii="宋体" w:hAnsi="宋体" w:cs="宋体"/>
          <w:color w:val="auto"/>
          <w:szCs w:val="21"/>
        </w:rPr>
      </w:pPr>
      <w:bookmarkStart w:id="60" w:name="_Toc254970673"/>
      <w:bookmarkStart w:id="61" w:name="_Toc254970532"/>
      <w:r>
        <w:rPr>
          <w:rFonts w:hint="eastAsia" w:ascii="宋体" w:hAnsi="宋体" w:cs="宋体"/>
          <w:color w:val="auto"/>
          <w:szCs w:val="21"/>
        </w:rPr>
        <w:t>6.1本项目不允许转包。</w:t>
      </w:r>
    </w:p>
    <w:p w14:paraId="401E4363">
      <w:pPr>
        <w:spacing w:line="420" w:lineRule="exact"/>
        <w:ind w:firstLine="420" w:firstLineChars="200"/>
        <w:rPr>
          <w:rFonts w:ascii="宋体" w:hAnsi="宋体" w:cs="宋体"/>
          <w:color w:val="auto"/>
          <w:szCs w:val="21"/>
        </w:rPr>
      </w:pPr>
      <w:r>
        <w:rPr>
          <w:rFonts w:hint="eastAsia" w:ascii="宋体" w:hAnsi="宋体" w:cs="宋体"/>
          <w:color w:val="auto"/>
          <w:szCs w:val="21"/>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14:paraId="2FF148F2">
      <w:pPr>
        <w:spacing w:line="420" w:lineRule="exact"/>
        <w:ind w:firstLine="420" w:firstLineChars="200"/>
        <w:rPr>
          <w:rFonts w:ascii="宋体" w:hAnsi="宋体" w:cs="宋体"/>
          <w:color w:val="auto"/>
          <w:szCs w:val="21"/>
        </w:rPr>
      </w:pPr>
      <w:r>
        <w:rPr>
          <w:rFonts w:hint="eastAsia" w:ascii="宋体" w:hAnsi="宋体" w:cs="宋体"/>
          <w:color w:val="auto"/>
          <w:szCs w:val="21"/>
        </w:rPr>
        <w:t xml:space="preserve"> 6.3供应商根据谈判文件的规定和采购项目的实际情况，拟在成交后将成交项目的非主体、非关键性工作分包的，应当在响应文件中载明分包承担主体，分包承担主体应当具备相应资质条件且不得再次分包。</w:t>
      </w:r>
    </w:p>
    <w:p w14:paraId="58C5B07B">
      <w:pPr>
        <w:spacing w:line="420" w:lineRule="exact"/>
        <w:ind w:firstLine="482" w:firstLineChars="200"/>
        <w:rPr>
          <w:rFonts w:ascii="宋体" w:hAnsi="宋体" w:cs="宋体"/>
          <w:b/>
          <w:bCs/>
          <w:color w:val="auto"/>
          <w:sz w:val="24"/>
        </w:rPr>
      </w:pPr>
      <w:r>
        <w:rPr>
          <w:rFonts w:hint="eastAsia" w:ascii="宋体" w:hAnsi="宋体" w:cs="宋体"/>
          <w:b/>
          <w:bCs/>
          <w:color w:val="auto"/>
          <w:sz w:val="24"/>
        </w:rPr>
        <w:t>7.特别说明</w:t>
      </w:r>
      <w:bookmarkEnd w:id="60"/>
      <w:bookmarkEnd w:id="61"/>
    </w:p>
    <w:p w14:paraId="1EB417F1">
      <w:pPr>
        <w:spacing w:line="420" w:lineRule="exact"/>
        <w:ind w:firstLine="420" w:firstLineChars="200"/>
        <w:rPr>
          <w:rFonts w:ascii="宋体" w:hAnsi="宋体" w:cs="宋体"/>
          <w:color w:val="auto"/>
          <w:szCs w:val="21"/>
        </w:rPr>
      </w:pPr>
      <w:bookmarkStart w:id="62" w:name="_8.1提供相同品牌产品且通过资格审查、符合性审查的不同投标人参加同一合"/>
      <w:bookmarkEnd w:id="62"/>
      <w:r>
        <w:rPr>
          <w:rFonts w:hint="eastAsia"/>
          <w:color w:val="auto"/>
        </w:rPr>
        <w:fldChar w:fldCharType="begin"/>
      </w:r>
      <w:r>
        <w:rPr>
          <w:color w:val="auto"/>
        </w:rPr>
        <w:instrText xml:space="preserve"> HYPERLINK \l "_8.1" </w:instrText>
      </w:r>
      <w:r>
        <w:rPr>
          <w:rFonts w:hint="eastAsia"/>
          <w:color w:val="auto"/>
        </w:rPr>
        <w:fldChar w:fldCharType="separate"/>
      </w:r>
      <w:r>
        <w:rPr>
          <w:rFonts w:hint="eastAsia" w:ascii="宋体" w:hAnsi="宋体" w:cs="宋体"/>
          <w:color w:val="auto"/>
          <w:szCs w:val="21"/>
        </w:rPr>
        <w:t>7.1</w:t>
      </w:r>
      <w:r>
        <w:rPr>
          <w:rFonts w:hint="eastAsia" w:ascii="宋体" w:hAnsi="宋体" w:cs="宋体"/>
          <w:color w:val="auto"/>
          <w:szCs w:val="21"/>
        </w:rPr>
        <w:fldChar w:fldCharType="end"/>
      </w:r>
      <w:r>
        <w:rPr>
          <w:rFonts w:hint="eastAsia" w:ascii="宋体" w:hAnsi="宋体" w:cs="宋体"/>
          <w:color w:val="auto"/>
          <w:szCs w:val="21"/>
        </w:rPr>
        <w:t>提供相同品牌产品的不同供应商参加同一合同项下竞标的，以其中通过资格审查、符合性审查、谈判且最后报价最低的参加报价评审；最后报价相同的，由采购人或者采购人委托谈判小组按照“供应商须知前附表”规定的方式确定一个供应商获得成交人推荐资格，其他响应文件按无效处理。</w:t>
      </w:r>
    </w:p>
    <w:p w14:paraId="79325066">
      <w:pPr>
        <w:spacing w:line="420" w:lineRule="exact"/>
        <w:ind w:firstLine="420" w:firstLineChars="200"/>
        <w:rPr>
          <w:rFonts w:ascii="宋体" w:hAnsi="宋体" w:cs="宋体"/>
          <w:color w:val="auto"/>
          <w:szCs w:val="21"/>
        </w:rPr>
      </w:pPr>
      <w:r>
        <w:rPr>
          <w:rFonts w:hint="eastAsia" w:ascii="宋体" w:hAnsi="宋体" w:cs="宋体"/>
          <w:color w:val="auto"/>
          <w:szCs w:val="21"/>
        </w:rPr>
        <w:t>非单一产品采购项目，多家供应商提供的核心产品品牌相同的，按前款规定处理。</w:t>
      </w:r>
    </w:p>
    <w:p w14:paraId="3EF5A397">
      <w:pPr>
        <w:spacing w:line="420" w:lineRule="exact"/>
        <w:ind w:firstLine="420" w:firstLineChars="200"/>
        <w:rPr>
          <w:rFonts w:ascii="宋体" w:hAnsi="宋体" w:cs="宋体"/>
          <w:color w:val="auto"/>
          <w:szCs w:val="21"/>
        </w:rPr>
      </w:pPr>
      <w:r>
        <w:rPr>
          <w:rFonts w:hint="eastAsia" w:ascii="宋体" w:hAnsi="宋体" w:cs="宋体"/>
          <w:color w:val="auto"/>
          <w:szCs w:val="21"/>
        </w:rPr>
        <w:t>7.2</w:t>
      </w:r>
      <w:r>
        <w:rPr>
          <w:rFonts w:hint="eastAsia" w:ascii="宋体" w:hAnsi="宋体"/>
          <w:color w:val="auto"/>
          <w:szCs w:val="21"/>
        </w:rPr>
        <w:t xml:space="preserve">如果本谈判文件要求提供供应商或制造商的资格、信誉、荣誉、业绩与企业认证等材料的，资格、信誉、荣誉、业绩与企业认证等必须为供应商或者制造商所拥有或自身获得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rPr>
        <w:t>。</w:t>
      </w:r>
    </w:p>
    <w:p w14:paraId="23C5583B">
      <w:pPr>
        <w:spacing w:line="420" w:lineRule="exact"/>
        <w:ind w:firstLine="420" w:firstLineChars="200"/>
        <w:rPr>
          <w:rFonts w:ascii="宋体" w:hAnsi="宋体" w:cs="宋体"/>
          <w:color w:val="auto"/>
          <w:szCs w:val="21"/>
        </w:rPr>
      </w:pPr>
      <w:r>
        <w:rPr>
          <w:rFonts w:hint="eastAsia" w:ascii="宋体" w:hAnsi="宋体" w:cs="宋体"/>
          <w:color w:val="auto"/>
          <w:szCs w:val="21"/>
        </w:rPr>
        <w:t>7.3供应商应仔细阅读谈判文件的所有内容，按照谈判文件的要求提交响应文件，并对所提供的全部资料的真实性承担法律责任。</w:t>
      </w:r>
    </w:p>
    <w:p w14:paraId="181E9C4D">
      <w:pPr>
        <w:spacing w:line="420" w:lineRule="exact"/>
        <w:ind w:firstLine="420" w:firstLineChars="200"/>
        <w:rPr>
          <w:rFonts w:ascii="宋体" w:hAnsi="宋体" w:cs="宋体"/>
          <w:color w:val="auto"/>
          <w:szCs w:val="21"/>
        </w:rPr>
      </w:pPr>
      <w:r>
        <w:rPr>
          <w:rFonts w:hint="eastAsia" w:ascii="宋体" w:hAnsi="宋体" w:cs="宋体"/>
          <w:color w:val="auto"/>
          <w:szCs w:val="21"/>
        </w:rPr>
        <w:t>7.4供应商在竞标活动中提供任何虚假材料，其响应文件按无效处理，并报监管部门查处；签订合同后发现的,成交供应商须依照《中华人民共和国消费者权益保护法》规定赔偿采购人，且民事赔偿并不免除违法供应商的行政与刑事责任。</w:t>
      </w:r>
    </w:p>
    <w:p w14:paraId="5D71D4EA">
      <w:pPr>
        <w:spacing w:line="420" w:lineRule="exact"/>
        <w:ind w:firstLine="420" w:firstLineChars="200"/>
        <w:rPr>
          <w:rFonts w:ascii="宋体" w:hAnsi="宋体" w:cs="宋体"/>
          <w:color w:val="auto"/>
          <w:szCs w:val="21"/>
        </w:rPr>
      </w:pPr>
      <w:r>
        <w:rPr>
          <w:rFonts w:hint="eastAsia" w:ascii="宋体" w:hAnsi="宋体" w:cs="宋体"/>
          <w:color w:val="auto"/>
          <w:szCs w:val="21"/>
        </w:rPr>
        <w:t>7.5在政府采购活动中，采购人员及相关人员与供应商有下列利害关系之一的，应当回避：</w:t>
      </w:r>
    </w:p>
    <w:p w14:paraId="7D1EF829">
      <w:pPr>
        <w:spacing w:line="420" w:lineRule="exact"/>
        <w:ind w:firstLine="420" w:firstLineChars="200"/>
        <w:rPr>
          <w:rFonts w:ascii="宋体" w:hAnsi="宋体" w:cs="宋体"/>
          <w:color w:val="auto"/>
          <w:szCs w:val="21"/>
        </w:rPr>
      </w:pPr>
      <w:r>
        <w:rPr>
          <w:rFonts w:hint="eastAsia" w:ascii="宋体" w:hAnsi="宋体" w:cs="宋体"/>
          <w:color w:val="auto"/>
          <w:szCs w:val="21"/>
        </w:rPr>
        <w:t>（1）参加采购活动前3年内与供应商存在劳动关系；</w:t>
      </w:r>
    </w:p>
    <w:p w14:paraId="350E1E93">
      <w:pPr>
        <w:spacing w:line="420" w:lineRule="exact"/>
        <w:ind w:firstLine="420" w:firstLineChars="200"/>
        <w:rPr>
          <w:rFonts w:ascii="宋体" w:hAnsi="宋体" w:cs="宋体"/>
          <w:color w:val="auto"/>
          <w:szCs w:val="21"/>
        </w:rPr>
      </w:pPr>
      <w:r>
        <w:rPr>
          <w:rFonts w:hint="eastAsia" w:ascii="宋体" w:hAnsi="宋体" w:cs="宋体"/>
          <w:color w:val="auto"/>
          <w:szCs w:val="21"/>
        </w:rPr>
        <w:t>（2）参加采购活动前3年内担任供应商的董事、监事；</w:t>
      </w:r>
    </w:p>
    <w:p w14:paraId="09BB54A6">
      <w:pPr>
        <w:spacing w:line="420" w:lineRule="exact"/>
        <w:ind w:firstLine="420" w:firstLineChars="200"/>
        <w:rPr>
          <w:rFonts w:ascii="宋体" w:hAnsi="宋体" w:cs="宋体"/>
          <w:color w:val="auto"/>
          <w:szCs w:val="21"/>
        </w:rPr>
      </w:pPr>
      <w:r>
        <w:rPr>
          <w:rFonts w:hint="eastAsia" w:ascii="宋体" w:hAnsi="宋体" w:cs="宋体"/>
          <w:color w:val="auto"/>
          <w:szCs w:val="21"/>
        </w:rPr>
        <w:t>（3）参加采购活动前3年内是供应商的控股股东或者实际控制人；</w:t>
      </w:r>
    </w:p>
    <w:p w14:paraId="2B5F06BF">
      <w:pPr>
        <w:spacing w:line="420" w:lineRule="exact"/>
        <w:ind w:firstLine="420" w:firstLineChars="200"/>
        <w:rPr>
          <w:rFonts w:ascii="宋体" w:hAnsi="宋体" w:cs="宋体"/>
          <w:color w:val="auto"/>
          <w:szCs w:val="21"/>
        </w:rPr>
      </w:pPr>
      <w:r>
        <w:rPr>
          <w:rFonts w:hint="eastAsia" w:ascii="宋体" w:hAnsi="宋体" w:cs="宋体"/>
          <w:color w:val="auto"/>
          <w:szCs w:val="21"/>
        </w:rPr>
        <w:t>（4）与供应商的法定代表人或者负责人有夫妻、直系血亲、三代以内旁系血亲或者近姻亲关系；</w:t>
      </w:r>
    </w:p>
    <w:p w14:paraId="61184145">
      <w:pPr>
        <w:spacing w:line="420" w:lineRule="exact"/>
        <w:ind w:firstLine="420" w:firstLineChars="200"/>
        <w:rPr>
          <w:rFonts w:ascii="宋体" w:hAnsi="宋体" w:cs="宋体"/>
          <w:color w:val="auto"/>
          <w:szCs w:val="21"/>
        </w:rPr>
      </w:pPr>
      <w:r>
        <w:rPr>
          <w:rFonts w:hint="eastAsia" w:ascii="宋体" w:hAnsi="宋体" w:cs="宋体"/>
          <w:color w:val="auto"/>
          <w:szCs w:val="21"/>
        </w:rPr>
        <w:t>（5）与供应商有其他可能影响政府采购活动公平、公正进行的关系。</w:t>
      </w:r>
    </w:p>
    <w:p w14:paraId="3B08181B">
      <w:pPr>
        <w:spacing w:line="420" w:lineRule="exact"/>
        <w:ind w:firstLine="420" w:firstLineChars="200"/>
        <w:rPr>
          <w:rFonts w:ascii="宋体" w:hAnsi="宋体" w:cs="宋体"/>
          <w:color w:val="auto"/>
          <w:szCs w:val="21"/>
        </w:rPr>
      </w:pPr>
      <w:r>
        <w:rPr>
          <w:rFonts w:hint="eastAsia" w:ascii="宋体" w:hAnsi="宋体" w:cs="宋体"/>
          <w:color w:val="auto"/>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140C09F">
      <w:pPr>
        <w:spacing w:line="420" w:lineRule="exact"/>
        <w:ind w:firstLine="420" w:firstLineChars="200"/>
        <w:rPr>
          <w:rFonts w:ascii="宋体" w:hAnsi="宋体" w:cs="宋体"/>
          <w:color w:val="auto"/>
          <w:szCs w:val="21"/>
        </w:rPr>
      </w:pPr>
      <w:r>
        <w:rPr>
          <w:rFonts w:hint="eastAsia" w:ascii="宋体" w:hAnsi="宋体" w:cs="宋体"/>
          <w:color w:val="auto"/>
          <w:szCs w:val="21"/>
        </w:rPr>
        <w:t>7.6有下列情形之一的视为供应商相互串通竞标，响应文件将被视为无效：</w:t>
      </w:r>
    </w:p>
    <w:p w14:paraId="49512507">
      <w:pPr>
        <w:spacing w:line="420" w:lineRule="exact"/>
        <w:ind w:firstLine="420" w:firstLineChars="200"/>
        <w:rPr>
          <w:rFonts w:ascii="宋体" w:hAnsi="宋体" w:cs="宋体"/>
          <w:color w:val="auto"/>
          <w:szCs w:val="21"/>
        </w:rPr>
      </w:pPr>
      <w:r>
        <w:rPr>
          <w:rFonts w:hint="eastAsia" w:ascii="宋体" w:hAnsi="宋体" w:cs="宋体"/>
          <w:color w:val="auto"/>
          <w:szCs w:val="21"/>
        </w:rPr>
        <w:t>（1）不同供应商的响应文件由同一单位或者个人编制；</w:t>
      </w:r>
    </w:p>
    <w:p w14:paraId="4E5A9E0F">
      <w:pPr>
        <w:spacing w:line="420" w:lineRule="exact"/>
        <w:ind w:firstLine="420" w:firstLineChars="200"/>
        <w:rPr>
          <w:rFonts w:ascii="宋体" w:hAnsi="宋体" w:cs="宋体"/>
          <w:color w:val="auto"/>
          <w:szCs w:val="21"/>
        </w:rPr>
      </w:pPr>
      <w:r>
        <w:rPr>
          <w:rFonts w:hint="eastAsia" w:ascii="宋体" w:hAnsi="宋体" w:cs="宋体"/>
          <w:color w:val="auto"/>
          <w:szCs w:val="21"/>
        </w:rPr>
        <w:t>（2）不同供应商委托同一单位或者个人办理竞标事宜；</w:t>
      </w:r>
    </w:p>
    <w:p w14:paraId="2DAADFAF">
      <w:pPr>
        <w:spacing w:line="420" w:lineRule="exact"/>
        <w:ind w:firstLine="420" w:firstLineChars="200"/>
        <w:rPr>
          <w:rFonts w:ascii="宋体" w:hAnsi="宋体" w:cs="宋体"/>
          <w:color w:val="auto"/>
          <w:szCs w:val="21"/>
        </w:rPr>
      </w:pPr>
      <w:r>
        <w:rPr>
          <w:rFonts w:hint="eastAsia" w:ascii="宋体" w:hAnsi="宋体" w:cs="宋体"/>
          <w:color w:val="auto"/>
          <w:szCs w:val="21"/>
        </w:rPr>
        <w:t>（3）不同的供应商的响应文件载明的项目管理员为同一个人；</w:t>
      </w:r>
    </w:p>
    <w:p w14:paraId="4DBCBD3C">
      <w:pPr>
        <w:spacing w:line="420" w:lineRule="exact"/>
        <w:ind w:firstLine="420" w:firstLineChars="200"/>
        <w:rPr>
          <w:rFonts w:ascii="宋体" w:hAnsi="宋体" w:cs="宋体"/>
          <w:color w:val="auto"/>
          <w:szCs w:val="21"/>
        </w:rPr>
      </w:pPr>
      <w:r>
        <w:rPr>
          <w:rFonts w:hint="eastAsia" w:ascii="宋体" w:hAnsi="宋体" w:cs="宋体"/>
          <w:color w:val="auto"/>
          <w:szCs w:val="21"/>
        </w:rPr>
        <w:t>（4）不同供应商的响应文件异常一致或者报价呈规律性差异；</w:t>
      </w:r>
    </w:p>
    <w:p w14:paraId="2F1C0B8D">
      <w:pPr>
        <w:spacing w:line="420" w:lineRule="exact"/>
        <w:ind w:firstLine="420" w:firstLineChars="200"/>
        <w:rPr>
          <w:rFonts w:ascii="宋体" w:hAnsi="宋体" w:cs="宋体"/>
          <w:color w:val="auto"/>
          <w:szCs w:val="21"/>
        </w:rPr>
      </w:pPr>
      <w:r>
        <w:rPr>
          <w:rFonts w:hint="eastAsia" w:ascii="宋体" w:hAnsi="宋体" w:cs="宋体"/>
          <w:color w:val="auto"/>
          <w:szCs w:val="21"/>
        </w:rPr>
        <w:t>（5）不同供应商的响应文件相互混装；</w:t>
      </w:r>
    </w:p>
    <w:p w14:paraId="7D2819A0">
      <w:pPr>
        <w:spacing w:line="420" w:lineRule="exact"/>
        <w:ind w:firstLine="420" w:firstLineChars="200"/>
        <w:rPr>
          <w:rFonts w:ascii="宋体" w:hAnsi="宋体" w:cs="宋体"/>
          <w:color w:val="auto"/>
          <w:szCs w:val="21"/>
        </w:rPr>
      </w:pPr>
      <w:r>
        <w:rPr>
          <w:rFonts w:hint="eastAsia" w:ascii="宋体" w:hAnsi="宋体" w:cs="宋体"/>
          <w:color w:val="auto"/>
          <w:szCs w:val="21"/>
        </w:rPr>
        <w:t>（6）不同供应商的竞标保证金从同一单位或者个人账户转出。</w:t>
      </w:r>
    </w:p>
    <w:p w14:paraId="18F1B1F0">
      <w:pPr>
        <w:spacing w:line="420" w:lineRule="exact"/>
        <w:ind w:firstLine="420" w:firstLineChars="200"/>
        <w:rPr>
          <w:rFonts w:ascii="宋体" w:hAnsi="宋体" w:cs="宋体"/>
          <w:color w:val="auto"/>
          <w:szCs w:val="21"/>
        </w:rPr>
      </w:pPr>
      <w:r>
        <w:rPr>
          <w:rFonts w:hint="eastAsia" w:ascii="宋体" w:hAnsi="宋体" w:cs="宋体"/>
          <w:color w:val="auto"/>
          <w:szCs w:val="21"/>
        </w:rPr>
        <w:t>7.7供应商有下列情形之一的，属于恶意串通行为</w:t>
      </w:r>
      <w:bookmarkStart w:id="63" w:name="_Hlk54682620"/>
      <w:r>
        <w:rPr>
          <w:rFonts w:hint="eastAsia" w:ascii="宋体" w:hAnsi="宋体" w:cs="宋体"/>
          <w:color w:val="auto"/>
          <w:szCs w:val="21"/>
        </w:rPr>
        <w:t>，将报同级监督管理部门</w:t>
      </w:r>
      <w:bookmarkEnd w:id="63"/>
      <w:r>
        <w:rPr>
          <w:rFonts w:hint="eastAsia" w:ascii="宋体" w:hAnsi="宋体" w:cs="宋体"/>
          <w:color w:val="auto"/>
          <w:szCs w:val="21"/>
        </w:rPr>
        <w:t>：</w:t>
      </w:r>
    </w:p>
    <w:p w14:paraId="7FE3F7BB">
      <w:pPr>
        <w:spacing w:line="420" w:lineRule="exact"/>
        <w:ind w:firstLine="420" w:firstLineChars="200"/>
        <w:rPr>
          <w:rFonts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w:t>
      </w:r>
    </w:p>
    <w:p w14:paraId="52354124">
      <w:pPr>
        <w:spacing w:line="420" w:lineRule="exact"/>
        <w:ind w:firstLine="420" w:firstLineChars="200"/>
        <w:rPr>
          <w:rFonts w:ascii="宋体" w:hAnsi="宋体" w:cs="宋体"/>
          <w:color w:val="auto"/>
          <w:szCs w:val="21"/>
        </w:rPr>
      </w:pPr>
      <w:r>
        <w:rPr>
          <w:rFonts w:hint="eastAsia" w:ascii="宋体" w:hAnsi="宋体" w:cs="宋体"/>
          <w:color w:val="auto"/>
          <w:szCs w:val="21"/>
        </w:rPr>
        <w:t>（2）供应商按照采购人或者采购代理机构的授意撤换、修改响应文件；</w:t>
      </w:r>
    </w:p>
    <w:p w14:paraId="50CE81BF">
      <w:pPr>
        <w:spacing w:line="420" w:lineRule="exact"/>
        <w:ind w:firstLine="420" w:firstLineChars="200"/>
        <w:rPr>
          <w:rFonts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38271451">
      <w:pPr>
        <w:spacing w:line="420" w:lineRule="exact"/>
        <w:ind w:firstLine="420" w:firstLineChars="200"/>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4A620FF6">
      <w:pPr>
        <w:spacing w:line="420" w:lineRule="exact"/>
        <w:ind w:firstLine="420" w:firstLineChars="200"/>
        <w:rPr>
          <w:rFonts w:ascii="宋体" w:hAnsi="宋体" w:cs="宋体"/>
          <w:color w:val="auto"/>
          <w:szCs w:val="21"/>
        </w:rPr>
      </w:pPr>
      <w:r>
        <w:rPr>
          <w:rFonts w:hint="eastAsia" w:ascii="宋体" w:hAnsi="宋体" w:cs="宋体"/>
          <w:color w:val="auto"/>
          <w:szCs w:val="21"/>
        </w:rPr>
        <w:t>（5）供应商之间事先约定一致抬高或者压低报价，或者在政府采购活动中事先约定轮流以高价位或者低价位成交，或者事先约定由某一特定供应商成交，然后再参加竞标；</w:t>
      </w:r>
    </w:p>
    <w:p w14:paraId="69C4C2F9">
      <w:pPr>
        <w:spacing w:line="420" w:lineRule="exact"/>
        <w:ind w:firstLine="420" w:firstLineChars="200"/>
        <w:rPr>
          <w:rFonts w:ascii="宋体" w:hAnsi="宋体" w:cs="宋体"/>
          <w:color w:val="auto"/>
          <w:szCs w:val="21"/>
        </w:rPr>
      </w:pPr>
      <w:r>
        <w:rPr>
          <w:rFonts w:hint="eastAsia" w:ascii="宋体" w:hAnsi="宋体" w:cs="宋体"/>
          <w:color w:val="auto"/>
          <w:szCs w:val="21"/>
        </w:rPr>
        <w:t>（6）供应商之间商定部分供应商放弃参加政府采购活动或者放弃成交；</w:t>
      </w:r>
    </w:p>
    <w:p w14:paraId="33071E4C">
      <w:pPr>
        <w:spacing w:line="420" w:lineRule="exact"/>
        <w:ind w:firstLine="420" w:firstLineChars="200"/>
        <w:rPr>
          <w:rFonts w:ascii="宋体" w:hAnsi="宋体" w:cs="宋体"/>
          <w:color w:val="auto"/>
          <w:szCs w:val="21"/>
        </w:rPr>
      </w:pPr>
      <w:r>
        <w:rPr>
          <w:rFonts w:hint="eastAsia" w:ascii="宋体" w:hAnsi="宋体" w:cs="宋体"/>
          <w:color w:val="auto"/>
          <w:szCs w:val="21"/>
        </w:rPr>
        <w:t>（7）供应商与采购人或者采购代理机构之间、供应商相互之间，为谋求特定供应商成交或者排斥其他供应商的其他串通行为。</w:t>
      </w:r>
    </w:p>
    <w:p w14:paraId="33C8170A">
      <w:pPr>
        <w:spacing w:line="420" w:lineRule="exact"/>
        <w:ind w:firstLine="643"/>
        <w:jc w:val="center"/>
        <w:rPr>
          <w:rFonts w:ascii="宋体" w:hAnsi="宋体" w:cs="宋体"/>
          <w:b/>
          <w:color w:val="auto"/>
          <w:sz w:val="32"/>
          <w:szCs w:val="32"/>
        </w:rPr>
      </w:pPr>
      <w:bookmarkStart w:id="64" w:name="_Toc254970675"/>
      <w:bookmarkStart w:id="65" w:name="_Toc254970534"/>
      <w:r>
        <w:rPr>
          <w:rFonts w:hint="eastAsia" w:ascii="宋体" w:hAnsi="宋体" w:cs="宋体"/>
          <w:b/>
          <w:color w:val="auto"/>
          <w:sz w:val="32"/>
          <w:szCs w:val="32"/>
        </w:rPr>
        <w:t>二、谈判文件</w:t>
      </w:r>
      <w:bookmarkEnd w:id="64"/>
      <w:bookmarkEnd w:id="65"/>
    </w:p>
    <w:p w14:paraId="730A7AAB">
      <w:pPr>
        <w:spacing w:line="420" w:lineRule="exact"/>
        <w:ind w:firstLine="482" w:firstLineChars="200"/>
        <w:rPr>
          <w:rFonts w:ascii="宋体" w:hAnsi="宋体" w:cs="宋体"/>
          <w:b/>
          <w:bCs/>
          <w:color w:val="auto"/>
          <w:sz w:val="24"/>
        </w:rPr>
      </w:pPr>
      <w:r>
        <w:rPr>
          <w:rFonts w:hint="eastAsia" w:ascii="宋体" w:hAnsi="宋体" w:cs="宋体"/>
          <w:b/>
          <w:bCs/>
          <w:color w:val="auto"/>
          <w:sz w:val="24"/>
        </w:rPr>
        <w:t>8.谈判文件的构成</w:t>
      </w:r>
    </w:p>
    <w:p w14:paraId="4373AA4A">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（1）竞争性谈判公告/竞标邀请函；</w:t>
      </w:r>
    </w:p>
    <w:p w14:paraId="7F17F047">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 xml:space="preserve">（2）供应商须知； </w:t>
      </w:r>
    </w:p>
    <w:p w14:paraId="1B754650">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（3）采购需求；</w:t>
      </w:r>
    </w:p>
    <w:p w14:paraId="26FC374C">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（4）响应文件格式</w:t>
      </w:r>
    </w:p>
    <w:p w14:paraId="39FFF286">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（5）合同文本；</w:t>
      </w:r>
    </w:p>
    <w:p w14:paraId="628B6DE3">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（6）评审程序和评定成交的标准；</w:t>
      </w:r>
    </w:p>
    <w:p w14:paraId="0722E9F8">
      <w:pPr>
        <w:spacing w:line="420" w:lineRule="exact"/>
        <w:ind w:firstLine="482" w:firstLineChars="200"/>
        <w:rPr>
          <w:rFonts w:ascii="宋体" w:hAnsi="宋体" w:cs="宋体"/>
          <w:b/>
          <w:bCs/>
          <w:color w:val="auto"/>
          <w:sz w:val="24"/>
        </w:rPr>
      </w:pPr>
      <w:r>
        <w:rPr>
          <w:rFonts w:hint="eastAsia" w:ascii="宋体" w:hAnsi="宋体" w:cs="宋体"/>
          <w:b/>
          <w:bCs/>
          <w:color w:val="auto"/>
          <w:sz w:val="24"/>
        </w:rPr>
        <w:t>9.供应商的询问</w:t>
      </w:r>
    </w:p>
    <w:p w14:paraId="767C4E2D">
      <w:pPr>
        <w:spacing w:line="420" w:lineRule="exact"/>
        <w:ind w:firstLine="420" w:firstLineChars="200"/>
        <w:rPr>
          <w:rFonts w:ascii="宋体" w:hAnsi="宋体" w:cs="宋体"/>
          <w:color w:val="auto"/>
          <w:szCs w:val="21"/>
        </w:rPr>
      </w:pPr>
      <w:r>
        <w:rPr>
          <w:rFonts w:hint="eastAsia" w:ascii="宋体" w:hAnsi="宋体" w:cs="宋体"/>
          <w:color w:val="auto"/>
          <w:szCs w:val="21"/>
        </w:rPr>
        <w:t>供应商应认真阅读谈判文件的采购需求，如供应商对谈判文件有疑问的，如要求采购人作出澄清或者修改的，供应商尽可能在提交首次响应文件截止之日前，以书面形式向采购人、采购代理机构提出。</w:t>
      </w:r>
    </w:p>
    <w:p w14:paraId="0C52787E">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10.谈判文件的澄清和修改</w:t>
      </w:r>
    </w:p>
    <w:p w14:paraId="02F54C67">
      <w:pPr>
        <w:spacing w:line="420" w:lineRule="exact"/>
        <w:ind w:firstLine="420" w:firstLineChars="200"/>
        <w:rPr>
          <w:rFonts w:ascii="宋体" w:hAnsi="宋体" w:cs="宋体"/>
          <w:color w:val="auto"/>
          <w:szCs w:val="21"/>
        </w:rPr>
      </w:pPr>
      <w:r>
        <w:rPr>
          <w:rFonts w:hint="eastAsia" w:ascii="宋体" w:hAnsi="宋体" w:cs="宋体"/>
          <w:color w:val="auto"/>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19D39CAC">
      <w:pPr>
        <w:spacing w:line="420" w:lineRule="exact"/>
        <w:ind w:firstLine="420"/>
        <w:rPr>
          <w:rFonts w:ascii="宋体" w:hAnsi="宋体" w:cs="宋体"/>
          <w:color w:val="auto"/>
          <w:szCs w:val="21"/>
        </w:rPr>
      </w:pPr>
    </w:p>
    <w:p w14:paraId="5863A21C">
      <w:pPr>
        <w:spacing w:line="420" w:lineRule="exact"/>
        <w:ind w:firstLine="643"/>
        <w:jc w:val="center"/>
        <w:rPr>
          <w:rFonts w:ascii="宋体" w:hAnsi="宋体" w:cs="宋体"/>
          <w:b/>
          <w:color w:val="auto"/>
          <w:szCs w:val="21"/>
        </w:rPr>
      </w:pPr>
      <w:r>
        <w:rPr>
          <w:rFonts w:hint="eastAsia" w:ascii="宋体" w:hAnsi="宋体" w:cs="宋体"/>
          <w:b/>
          <w:color w:val="auto"/>
          <w:sz w:val="32"/>
          <w:szCs w:val="32"/>
        </w:rPr>
        <w:t>三、响应文件的编制</w:t>
      </w:r>
    </w:p>
    <w:p w14:paraId="40AEA072">
      <w:pPr>
        <w:spacing w:line="420" w:lineRule="exact"/>
        <w:ind w:firstLine="420"/>
        <w:rPr>
          <w:rFonts w:ascii="宋体" w:hAnsi="宋体" w:cs="宋体"/>
          <w:color w:val="auto"/>
          <w:szCs w:val="21"/>
        </w:rPr>
      </w:pPr>
    </w:p>
    <w:p w14:paraId="5C76833E">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11.响应文件的编制原则</w:t>
      </w:r>
    </w:p>
    <w:p w14:paraId="34E5D385">
      <w:pPr>
        <w:spacing w:line="420" w:lineRule="exact"/>
        <w:ind w:firstLine="420" w:firstLineChars="200"/>
        <w:rPr>
          <w:rFonts w:ascii="宋体" w:hAnsi="宋体" w:cs="宋体"/>
          <w:color w:val="auto"/>
          <w:szCs w:val="21"/>
        </w:rPr>
      </w:pPr>
      <w:r>
        <w:rPr>
          <w:rFonts w:hint="eastAsia" w:ascii="宋体" w:hAnsi="宋体" w:cs="宋体"/>
          <w:color w:val="auto"/>
          <w:szCs w:val="21"/>
        </w:rPr>
        <w:t>供应商必须按照谈判文件的要求编制响应文件，并对其提交的响应文件的真实性、合法性承担法律责任。响应文件必须对谈判文件作出实质性响应。</w:t>
      </w:r>
    </w:p>
    <w:p w14:paraId="12191AB1">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12.响应文件的组成</w:t>
      </w:r>
    </w:p>
    <w:p w14:paraId="1587417A">
      <w:pPr>
        <w:spacing w:line="420" w:lineRule="exact"/>
        <w:ind w:firstLine="420" w:firstLineChars="200"/>
        <w:rPr>
          <w:rFonts w:ascii="宋体" w:hAnsi="宋体" w:cs="宋体"/>
          <w:color w:val="auto"/>
          <w:szCs w:val="21"/>
        </w:rPr>
      </w:pPr>
      <w:r>
        <w:rPr>
          <w:rFonts w:hint="eastAsia" w:ascii="宋体" w:hAnsi="宋体" w:cs="宋体"/>
          <w:color w:val="auto"/>
          <w:szCs w:val="21"/>
        </w:rPr>
        <w:t>12.1响应文件由资格证明文件、报价文件、商务技术文件三部分组成。</w:t>
      </w:r>
    </w:p>
    <w:p w14:paraId="06C65B78">
      <w:pPr>
        <w:spacing w:line="420" w:lineRule="exact"/>
        <w:ind w:left="420" w:hanging="420" w:hangingChars="200"/>
        <w:rPr>
          <w:rFonts w:ascii="宋体" w:hAnsi="宋体" w:cs="宋体"/>
          <w:color w:val="auto"/>
          <w:szCs w:val="21"/>
        </w:rPr>
      </w:pPr>
      <w:r>
        <w:rPr>
          <w:rFonts w:hint="eastAsia" w:ascii="宋体" w:hAnsi="宋体" w:cs="宋体"/>
          <w:color w:val="auto"/>
          <w:szCs w:val="21"/>
        </w:rPr>
        <w:t>12.1.1资格证明文件：详见“供应商须知前附表”</w:t>
      </w:r>
    </w:p>
    <w:p w14:paraId="587A8D96">
      <w:pPr>
        <w:spacing w:line="420" w:lineRule="exact"/>
        <w:ind w:left="420" w:hanging="420" w:hangingChars="200"/>
        <w:rPr>
          <w:rFonts w:ascii="宋体" w:hAnsi="宋体" w:cs="宋体"/>
          <w:color w:val="auto"/>
          <w:szCs w:val="21"/>
        </w:rPr>
      </w:pPr>
      <w:r>
        <w:rPr>
          <w:rFonts w:hint="eastAsia" w:ascii="宋体" w:hAnsi="宋体" w:cs="宋体"/>
          <w:color w:val="auto"/>
          <w:szCs w:val="21"/>
        </w:rPr>
        <w:t>12.1.2报价文件：详见“供应商须知前附表”</w:t>
      </w:r>
    </w:p>
    <w:p w14:paraId="1982602F">
      <w:pPr>
        <w:spacing w:line="420" w:lineRule="exact"/>
        <w:ind w:left="420" w:hanging="420" w:hangingChars="200"/>
        <w:rPr>
          <w:rFonts w:ascii="宋体" w:hAnsi="宋体" w:cs="宋体"/>
          <w:color w:val="auto"/>
          <w:szCs w:val="21"/>
        </w:rPr>
      </w:pPr>
      <w:r>
        <w:rPr>
          <w:rFonts w:hint="eastAsia" w:ascii="宋体" w:hAnsi="宋体" w:cs="宋体"/>
          <w:color w:val="auto"/>
          <w:szCs w:val="21"/>
        </w:rPr>
        <w:t>12.1.3商务技术文件：详见“供应商须知前附表”</w:t>
      </w:r>
    </w:p>
    <w:p w14:paraId="333B9130">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13.计量单位</w:t>
      </w:r>
    </w:p>
    <w:p w14:paraId="77A1ED21">
      <w:pPr>
        <w:spacing w:line="420" w:lineRule="exact"/>
        <w:ind w:firstLine="420" w:firstLineChars="200"/>
        <w:rPr>
          <w:rFonts w:ascii="宋体" w:hAnsi="宋体" w:cs="宋体"/>
          <w:color w:val="auto"/>
          <w:szCs w:val="21"/>
        </w:rPr>
      </w:pPr>
      <w:r>
        <w:rPr>
          <w:rFonts w:hint="eastAsia" w:ascii="宋体" w:hAnsi="宋体" w:cs="宋体"/>
          <w:color w:val="auto"/>
          <w:szCs w:val="21"/>
        </w:rPr>
        <w:t>谈判文件已有明确规定的，使用谈判文件规定的计量单位；谈判文件没有规定的，应采用中华人民共和国法定计量单位，货币种类为人民币，否则视同未响应。</w:t>
      </w:r>
    </w:p>
    <w:p w14:paraId="35381483">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14.竞标的风险</w:t>
      </w:r>
    </w:p>
    <w:p w14:paraId="1A3E3295">
      <w:pPr>
        <w:spacing w:line="420" w:lineRule="exact"/>
        <w:ind w:firstLine="420" w:firstLineChars="200"/>
        <w:rPr>
          <w:rFonts w:ascii="宋体" w:hAnsi="宋体" w:cs="宋体"/>
          <w:color w:val="auto"/>
          <w:szCs w:val="21"/>
        </w:rPr>
      </w:pPr>
      <w:r>
        <w:rPr>
          <w:rFonts w:hint="eastAsia" w:ascii="宋体" w:hAnsi="宋体" w:cs="宋体"/>
          <w:color w:val="auto"/>
          <w:szCs w:val="21"/>
        </w:rPr>
        <w:t>供应商没有按照谈判文件要求提供全部资料，或者供应商没有对谈判文件在各方面作出实质性响应可能导致其响应文件按无效处理，是供应商应当考虑的风险。</w:t>
      </w:r>
    </w:p>
    <w:p w14:paraId="0ADF480A">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15.竞标报价</w:t>
      </w:r>
    </w:p>
    <w:p w14:paraId="13BA61C2">
      <w:pPr>
        <w:spacing w:line="420" w:lineRule="exact"/>
        <w:ind w:firstLine="420" w:firstLineChars="200"/>
        <w:rPr>
          <w:rFonts w:ascii="宋体" w:hAnsi="宋体" w:cs="宋体"/>
          <w:color w:val="auto"/>
          <w:szCs w:val="21"/>
        </w:rPr>
      </w:pPr>
      <w:r>
        <w:rPr>
          <w:rFonts w:hint="eastAsia" w:ascii="宋体" w:hAnsi="宋体" w:cs="宋体"/>
          <w:color w:val="auto"/>
          <w:szCs w:val="21"/>
        </w:rPr>
        <w:t>15.1竞标报价应按谈判文件中“竞标报价表”格式填写。</w:t>
      </w:r>
    </w:p>
    <w:p w14:paraId="0AEDF499">
      <w:pPr>
        <w:tabs>
          <w:tab w:val="left" w:pos="2492"/>
        </w:tabs>
        <w:spacing w:line="420" w:lineRule="exact"/>
        <w:ind w:firstLine="420" w:firstLineChars="200"/>
        <w:rPr>
          <w:rFonts w:ascii="宋体" w:hAnsi="宋体" w:cs="宋体"/>
          <w:color w:val="auto"/>
          <w:szCs w:val="21"/>
        </w:rPr>
      </w:pPr>
      <w:r>
        <w:rPr>
          <w:rFonts w:hint="eastAsia" w:ascii="宋体" w:hAnsi="宋体" w:cs="宋体"/>
          <w:color w:val="auto"/>
          <w:szCs w:val="21"/>
        </w:rPr>
        <w:t>15.2竞标报价的内容详见“供应商须知前附表”。</w:t>
      </w:r>
    </w:p>
    <w:p w14:paraId="0C6C154A">
      <w:pPr>
        <w:spacing w:line="420" w:lineRule="exact"/>
        <w:ind w:firstLine="420"/>
        <w:rPr>
          <w:rFonts w:ascii="宋体" w:hAnsi="宋体" w:cs="宋体"/>
          <w:color w:val="auto"/>
          <w:szCs w:val="21"/>
        </w:rPr>
      </w:pPr>
      <w:r>
        <w:rPr>
          <w:rFonts w:hint="eastAsia" w:ascii="宋体" w:hAnsi="宋体" w:cs="宋体"/>
          <w:color w:val="auto"/>
          <w:szCs w:val="21"/>
        </w:rPr>
        <w:t>15.3竞标报价要求</w:t>
      </w:r>
    </w:p>
    <w:p w14:paraId="68F0A2F0">
      <w:pPr>
        <w:spacing w:line="420" w:lineRule="exact"/>
        <w:ind w:firstLine="420" w:firstLineChars="200"/>
        <w:rPr>
          <w:rFonts w:ascii="宋体" w:hAnsi="宋体" w:cs="宋体"/>
          <w:color w:val="auto"/>
          <w:szCs w:val="21"/>
        </w:rPr>
      </w:pPr>
      <w:r>
        <w:rPr>
          <w:rFonts w:hint="eastAsia" w:ascii="宋体" w:hAnsi="宋体" w:cs="宋体"/>
          <w:color w:val="auto"/>
          <w:szCs w:val="21"/>
        </w:rPr>
        <w:t>15.3.1供应商的竞标报价应符合以下要求，否则响应文件按无效响应处理：</w:t>
      </w:r>
    </w:p>
    <w:p w14:paraId="23C9877A">
      <w:pPr>
        <w:spacing w:line="420" w:lineRule="exact"/>
        <w:ind w:firstLine="420"/>
        <w:rPr>
          <w:rFonts w:ascii="宋体" w:hAnsi="宋体" w:cs="宋体"/>
          <w:color w:val="auto"/>
          <w:szCs w:val="21"/>
        </w:rPr>
      </w:pPr>
      <w:r>
        <w:rPr>
          <w:rFonts w:hint="eastAsia" w:ascii="宋体" w:hAnsi="宋体" w:cs="宋体"/>
          <w:color w:val="auto"/>
          <w:szCs w:val="21"/>
        </w:rPr>
        <w:t>（1）供应商必须就“采购需求”中所竞标的每个分标的全部内容分别作完整唯一总价报价，</w:t>
      </w:r>
    </w:p>
    <w:p w14:paraId="35BD9CAD">
      <w:pPr>
        <w:spacing w:line="420" w:lineRule="exact"/>
        <w:ind w:firstLine="420"/>
        <w:rPr>
          <w:rFonts w:ascii="宋体" w:hAnsi="宋体" w:cs="宋体"/>
          <w:color w:val="auto"/>
          <w:szCs w:val="21"/>
        </w:rPr>
      </w:pPr>
      <w:r>
        <w:rPr>
          <w:rFonts w:hint="eastAsia" w:ascii="宋体" w:hAnsi="宋体" w:cs="宋体"/>
          <w:color w:val="auto"/>
          <w:szCs w:val="21"/>
        </w:rPr>
        <w:t>不得存在漏项报价；</w:t>
      </w:r>
    </w:p>
    <w:p w14:paraId="17132D09">
      <w:pPr>
        <w:spacing w:line="420" w:lineRule="exact"/>
        <w:ind w:firstLine="420" w:firstLineChars="200"/>
        <w:rPr>
          <w:rFonts w:ascii="宋体" w:hAnsi="宋体" w:cs="宋体"/>
          <w:color w:val="auto"/>
          <w:szCs w:val="21"/>
        </w:rPr>
      </w:pPr>
      <w:r>
        <w:rPr>
          <w:rFonts w:hint="eastAsia" w:ascii="宋体" w:hAnsi="宋体" w:cs="宋体"/>
          <w:color w:val="auto"/>
          <w:szCs w:val="21"/>
        </w:rPr>
        <w:t>（2）供应商必须就所竞标的分标的单项内容作唯一报价。</w:t>
      </w:r>
    </w:p>
    <w:p w14:paraId="3AE5D75C">
      <w:pPr>
        <w:spacing w:line="420" w:lineRule="exact"/>
        <w:ind w:firstLine="420" w:firstLineChars="200"/>
        <w:rPr>
          <w:rFonts w:ascii="宋体" w:hAnsi="宋体" w:cs="宋体"/>
          <w:color w:val="auto"/>
          <w:szCs w:val="21"/>
        </w:rPr>
      </w:pPr>
      <w:r>
        <w:rPr>
          <w:rFonts w:hint="eastAsia" w:ascii="宋体" w:hAnsi="宋体" w:cs="宋体"/>
          <w:color w:val="auto"/>
          <w:szCs w:val="21"/>
        </w:rPr>
        <w:t>15.3.2竞标报价（包含首次报价、最后报价）超过所竞标分标规定的采购预算金额或者最高限价的，其响应文件将按无效处理。</w:t>
      </w:r>
    </w:p>
    <w:p w14:paraId="7A78EA51">
      <w:pPr>
        <w:spacing w:line="420" w:lineRule="exact"/>
        <w:ind w:firstLine="420" w:firstLineChars="200"/>
        <w:rPr>
          <w:rFonts w:ascii="宋体" w:hAnsi="宋体" w:cs="宋体"/>
          <w:color w:val="auto"/>
          <w:szCs w:val="21"/>
        </w:rPr>
      </w:pPr>
      <w:r>
        <w:rPr>
          <w:rFonts w:hint="eastAsia" w:ascii="宋体" w:hAnsi="宋体" w:cs="宋体"/>
          <w:color w:val="auto"/>
          <w:szCs w:val="21"/>
        </w:rPr>
        <w:t>15.3.3竞标报价（包含首次报价、最后报价）超过分项采购预算金额或者最高限价的，其响应文件将按无效处理。</w:t>
      </w:r>
    </w:p>
    <w:p w14:paraId="0F594F40">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16.竞标有效期</w:t>
      </w:r>
    </w:p>
    <w:p w14:paraId="6AF50109">
      <w:pPr>
        <w:spacing w:line="400" w:lineRule="exact"/>
        <w:ind w:firstLine="420" w:firstLineChars="200"/>
        <w:rPr>
          <w:rFonts w:ascii="宋体" w:hAnsi="宋体" w:cs="宋体"/>
          <w:color w:val="auto"/>
          <w:szCs w:val="21"/>
        </w:rPr>
      </w:pPr>
      <w:r>
        <w:rPr>
          <w:rFonts w:hint="eastAsia" w:ascii="宋体" w:hAnsi="宋体" w:cs="宋体"/>
          <w:color w:val="auto"/>
          <w:szCs w:val="21"/>
        </w:rPr>
        <w:t>16.1竞标有效期是指为保证采购人有足够的时间在提交响应文件后完成评审、确定成交供应商、合同签订等工作而要求供应商提交的响应文件在一定时间内保持有效的期限。</w:t>
      </w:r>
    </w:p>
    <w:p w14:paraId="61B11FFB">
      <w:pPr>
        <w:spacing w:line="400" w:lineRule="exact"/>
        <w:ind w:firstLine="420" w:firstLineChars="200"/>
        <w:rPr>
          <w:rFonts w:ascii="宋体" w:hAnsi="宋体" w:cs="宋体"/>
          <w:color w:val="auto"/>
          <w:szCs w:val="21"/>
        </w:rPr>
      </w:pPr>
      <w:r>
        <w:rPr>
          <w:rFonts w:hint="eastAsia" w:ascii="宋体" w:hAnsi="宋体" w:cs="宋体"/>
          <w:color w:val="auto"/>
          <w:szCs w:val="21"/>
        </w:rPr>
        <w:t>16.2 竞标有效期应由供应商按“供应商须知前附表”规定的期限作出响应。</w:t>
      </w:r>
    </w:p>
    <w:p w14:paraId="6DDD84A7">
      <w:pPr>
        <w:spacing w:line="400" w:lineRule="exact"/>
        <w:ind w:firstLine="420" w:firstLineChars="200"/>
        <w:rPr>
          <w:rFonts w:ascii="宋体" w:hAnsi="宋体" w:cs="宋体"/>
          <w:color w:val="auto"/>
          <w:szCs w:val="21"/>
        </w:rPr>
      </w:pPr>
      <w:r>
        <w:rPr>
          <w:rFonts w:hint="eastAsia" w:ascii="宋体" w:hAnsi="宋体" w:cs="宋体"/>
          <w:color w:val="auto"/>
          <w:szCs w:val="21"/>
        </w:rPr>
        <w:t>16.3供应商的响应文件在竞标有效期内均保持有效。</w:t>
      </w:r>
    </w:p>
    <w:p w14:paraId="70CE7DF3">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17.竞标保证金</w:t>
      </w:r>
    </w:p>
    <w:p w14:paraId="792E205B">
      <w:pPr>
        <w:spacing w:line="420" w:lineRule="exact"/>
        <w:ind w:firstLine="420"/>
        <w:rPr>
          <w:rFonts w:ascii="宋体" w:hAnsi="宋体" w:cs="宋体"/>
          <w:color w:val="auto"/>
          <w:szCs w:val="21"/>
        </w:rPr>
      </w:pPr>
      <w:r>
        <w:rPr>
          <w:rFonts w:hint="eastAsia" w:ascii="宋体" w:hAnsi="宋体" w:cs="宋体"/>
          <w:color w:val="auto"/>
          <w:szCs w:val="21"/>
        </w:rPr>
        <w:t>17.1供应商须按“供应商须知前附表”的规定提交竞标保证金。</w:t>
      </w:r>
    </w:p>
    <w:p w14:paraId="7ED9B824">
      <w:pPr>
        <w:spacing w:line="420" w:lineRule="exact"/>
        <w:ind w:firstLine="420"/>
        <w:rPr>
          <w:rFonts w:ascii="宋体" w:hAnsi="宋体" w:cs="宋体"/>
          <w:color w:val="auto"/>
          <w:szCs w:val="21"/>
        </w:rPr>
      </w:pPr>
      <w:r>
        <w:rPr>
          <w:rFonts w:hint="eastAsia" w:ascii="宋体" w:hAnsi="宋体" w:cs="宋体"/>
          <w:color w:val="auto"/>
          <w:szCs w:val="21"/>
        </w:rPr>
        <w:t>17.2竞标保证金的退还</w:t>
      </w:r>
    </w:p>
    <w:p w14:paraId="04AEB0E1">
      <w:pPr>
        <w:spacing w:line="420" w:lineRule="exact"/>
        <w:ind w:firstLine="420" w:firstLineChars="200"/>
        <w:rPr>
          <w:rFonts w:ascii="宋体" w:hAnsi="宋体" w:cs="宋体"/>
          <w:color w:val="auto"/>
          <w:szCs w:val="21"/>
        </w:rPr>
      </w:pPr>
      <w:r>
        <w:rPr>
          <w:rFonts w:hint="eastAsia" w:ascii="宋体" w:hAnsi="宋体" w:cs="宋体"/>
          <w:color w:val="auto"/>
          <w:szCs w:val="21"/>
        </w:rPr>
        <w:t>未</w:t>
      </w:r>
      <w:r>
        <w:rPr>
          <w:rFonts w:hint="eastAsia" w:ascii="宋体" w:hAnsi="宋体" w:cs="宋体"/>
          <w:color w:val="auto"/>
          <w:spacing w:val="-6"/>
          <w:szCs w:val="21"/>
        </w:rPr>
        <w:t>成交供应商的竞标保证金自成交通知书发出之日起5个工作日内退还</w:t>
      </w:r>
      <w:r>
        <w:rPr>
          <w:rFonts w:hint="eastAsia" w:ascii="宋体" w:hAnsi="宋体" w:cs="宋体"/>
          <w:color w:val="auto"/>
          <w:szCs w:val="21"/>
        </w:rPr>
        <w:t xml:space="preserve">；成交供应商的竞标保证金自签订合同之日起5个工作日内退还。 </w:t>
      </w:r>
    </w:p>
    <w:p w14:paraId="13FA89A0">
      <w:pPr>
        <w:spacing w:line="420" w:lineRule="exact"/>
        <w:ind w:firstLine="420" w:firstLineChars="200"/>
        <w:rPr>
          <w:rFonts w:ascii="宋体" w:hAnsi="宋体" w:cs="宋体"/>
          <w:color w:val="auto"/>
          <w:szCs w:val="21"/>
        </w:rPr>
      </w:pPr>
      <w:r>
        <w:rPr>
          <w:rFonts w:hint="eastAsia" w:ascii="宋体" w:hAnsi="宋体" w:cs="宋体"/>
          <w:color w:val="auto"/>
          <w:szCs w:val="21"/>
        </w:rPr>
        <w:t>17.3竞标保证金不计息。</w:t>
      </w:r>
    </w:p>
    <w:p w14:paraId="33E4DCA9">
      <w:pPr>
        <w:spacing w:line="420" w:lineRule="exact"/>
        <w:ind w:firstLine="420" w:firstLineChars="200"/>
        <w:rPr>
          <w:rFonts w:ascii="宋体" w:hAnsi="宋体" w:cs="宋体"/>
          <w:color w:val="auto"/>
          <w:szCs w:val="21"/>
        </w:rPr>
      </w:pPr>
      <w:r>
        <w:rPr>
          <w:rFonts w:hint="eastAsia" w:ascii="宋体" w:hAnsi="宋体" w:cs="宋体"/>
          <w:color w:val="auto"/>
          <w:szCs w:val="21"/>
        </w:rPr>
        <w:t xml:space="preserve">17.4供应商有下列情形之一的，竞标保证金将不予退还： </w:t>
      </w:r>
    </w:p>
    <w:p w14:paraId="28054323">
      <w:pPr>
        <w:spacing w:line="420" w:lineRule="exact"/>
        <w:ind w:firstLine="420" w:firstLineChars="200"/>
        <w:rPr>
          <w:rFonts w:ascii="宋体" w:hAnsi="宋体" w:cs="宋体"/>
          <w:color w:val="auto"/>
          <w:szCs w:val="21"/>
        </w:rPr>
      </w:pPr>
      <w:r>
        <w:rPr>
          <w:rFonts w:hint="eastAsia" w:ascii="宋体" w:hAnsi="宋体" w:cs="宋体"/>
          <w:color w:val="auto"/>
          <w:szCs w:val="21"/>
        </w:rPr>
        <w:t>（1）供应商在提交响应文件截止时间后撤回响应文件的；</w:t>
      </w:r>
    </w:p>
    <w:p w14:paraId="502101BA">
      <w:pPr>
        <w:spacing w:line="420" w:lineRule="exact"/>
        <w:ind w:firstLine="420" w:firstLineChars="200"/>
        <w:rPr>
          <w:rFonts w:ascii="宋体" w:hAnsi="宋体" w:cs="宋体"/>
          <w:color w:val="auto"/>
          <w:szCs w:val="21"/>
        </w:rPr>
      </w:pPr>
      <w:r>
        <w:rPr>
          <w:rFonts w:hint="eastAsia" w:ascii="宋体" w:hAnsi="宋体" w:cs="宋体"/>
          <w:color w:val="auto"/>
          <w:szCs w:val="21"/>
        </w:rPr>
        <w:t>（2）未按规定提交履约保证金的；</w:t>
      </w:r>
    </w:p>
    <w:p w14:paraId="65D7893C">
      <w:pPr>
        <w:spacing w:line="420" w:lineRule="exact"/>
        <w:ind w:firstLine="420" w:firstLineChars="200"/>
        <w:rPr>
          <w:rFonts w:ascii="宋体" w:hAnsi="宋体" w:cs="宋体"/>
          <w:color w:val="auto"/>
          <w:szCs w:val="21"/>
        </w:rPr>
      </w:pPr>
      <w:r>
        <w:rPr>
          <w:rFonts w:hint="eastAsia" w:ascii="宋体" w:hAnsi="宋体" w:cs="宋体"/>
          <w:color w:val="auto"/>
          <w:szCs w:val="21"/>
        </w:rPr>
        <w:t>（3）供应商在响应文件中提供虚假材料的；</w:t>
      </w:r>
    </w:p>
    <w:p w14:paraId="7122AE57">
      <w:pPr>
        <w:spacing w:line="420" w:lineRule="exact"/>
        <w:ind w:firstLine="420" w:firstLineChars="200"/>
        <w:rPr>
          <w:rFonts w:ascii="宋体" w:hAnsi="宋体" w:cs="宋体"/>
          <w:color w:val="auto"/>
          <w:szCs w:val="21"/>
        </w:rPr>
      </w:pPr>
      <w:r>
        <w:rPr>
          <w:rFonts w:hint="eastAsia" w:ascii="宋体" w:hAnsi="宋体" w:cs="宋体"/>
          <w:color w:val="auto"/>
          <w:szCs w:val="21"/>
        </w:rPr>
        <w:t>（4）除因不可抗力或者谈判文件认可的情形以外，成交供应商不与采购人签订合同的；</w:t>
      </w:r>
    </w:p>
    <w:p w14:paraId="0A17BEC9">
      <w:pPr>
        <w:spacing w:line="420" w:lineRule="exact"/>
        <w:ind w:firstLine="420" w:firstLineChars="200"/>
        <w:rPr>
          <w:rFonts w:ascii="宋体" w:hAnsi="宋体" w:cs="宋体"/>
          <w:color w:val="auto"/>
          <w:szCs w:val="21"/>
        </w:rPr>
      </w:pPr>
      <w:r>
        <w:rPr>
          <w:rFonts w:hint="eastAsia" w:ascii="宋体" w:hAnsi="宋体" w:cs="宋体"/>
          <w:color w:val="auto"/>
          <w:szCs w:val="21"/>
        </w:rPr>
        <w:t>（5）供应商与采购人、其他供应商或者采购代理机构恶意串通的；</w:t>
      </w:r>
    </w:p>
    <w:p w14:paraId="22233E44">
      <w:pPr>
        <w:spacing w:line="420" w:lineRule="exact"/>
        <w:ind w:firstLine="420" w:firstLineChars="200"/>
        <w:rPr>
          <w:rFonts w:ascii="宋体" w:hAnsi="宋体" w:cs="宋体"/>
          <w:color w:val="auto"/>
          <w:szCs w:val="21"/>
        </w:rPr>
      </w:pPr>
      <w:r>
        <w:rPr>
          <w:rFonts w:hint="eastAsia" w:ascii="宋体" w:hAnsi="宋体" w:cs="宋体"/>
          <w:color w:val="auto"/>
          <w:szCs w:val="21"/>
        </w:rPr>
        <w:t>（6）法律法规规定的其他情形。</w:t>
      </w:r>
    </w:p>
    <w:p w14:paraId="6948C012">
      <w:pPr>
        <w:spacing w:line="420" w:lineRule="exact"/>
        <w:ind w:firstLine="482" w:firstLineChars="200"/>
        <w:rPr>
          <w:rFonts w:ascii="宋体" w:hAnsi="宋体" w:cs="宋体"/>
          <w:b/>
          <w:bCs/>
          <w:color w:val="auto"/>
          <w:sz w:val="24"/>
        </w:rPr>
      </w:pPr>
      <w:r>
        <w:rPr>
          <w:rFonts w:hint="eastAsia" w:ascii="宋体" w:hAnsi="宋体" w:cs="宋体"/>
          <w:b/>
          <w:bCs/>
          <w:color w:val="auto"/>
          <w:sz w:val="24"/>
        </w:rPr>
        <w:t>18. 响应文件编制的要求</w:t>
      </w:r>
    </w:p>
    <w:p w14:paraId="5BBE7F64">
      <w:pPr>
        <w:spacing w:line="420" w:lineRule="exact"/>
        <w:ind w:firstLine="420" w:firstLineChars="200"/>
        <w:rPr>
          <w:rFonts w:ascii="宋体" w:hAnsi="宋体" w:cs="宋体"/>
          <w:color w:val="auto"/>
          <w:szCs w:val="21"/>
        </w:rPr>
      </w:pPr>
      <w:r>
        <w:rPr>
          <w:rFonts w:hint="eastAsia" w:ascii="宋体" w:hAnsi="宋体" w:cs="宋体"/>
          <w:color w:val="auto"/>
          <w:szCs w:val="21"/>
        </w:rPr>
        <w:t>18.1供应商应先安装“政采云电子交易客户端”（请自行前往广西政府采购云平台进行下载），并按照本项目谈判文件规定的格式和顺序和广西政府采购云平台的要求编制并加密。响应文件内容不完整、编排混乱导致响应文件被误读、漏读或者查找不到相关内容的，由此引发的后果由供应商承担。</w:t>
      </w:r>
    </w:p>
    <w:p w14:paraId="7CD6E44C">
      <w:pPr>
        <w:spacing w:line="420" w:lineRule="exact"/>
        <w:ind w:firstLine="420" w:firstLineChars="200"/>
        <w:rPr>
          <w:rFonts w:ascii="宋体" w:hAnsi="宋体" w:cs="宋体"/>
          <w:color w:val="auto"/>
          <w:szCs w:val="21"/>
        </w:rPr>
      </w:pPr>
      <w:r>
        <w:rPr>
          <w:rFonts w:hint="eastAsia" w:ascii="宋体" w:hAnsi="宋体" w:cs="宋体"/>
          <w:color w:val="auto"/>
          <w:szCs w:val="21"/>
        </w:rPr>
        <w:t>18.2为确保网上操作合法、有效和安全，供应商应当在提交响应文件截止时间前完成在广西政府采购云平台的身份认证，确保在电子竞标过程中能够对相关数据电文进行加密和使用电子签章。</w:t>
      </w:r>
    </w:p>
    <w:p w14:paraId="78BF6B11">
      <w:pPr>
        <w:spacing w:line="420" w:lineRule="exact"/>
        <w:ind w:firstLine="420" w:firstLineChars="200"/>
        <w:rPr>
          <w:rFonts w:ascii="宋体" w:hAnsi="宋体" w:cs="宋体"/>
          <w:color w:val="auto"/>
          <w:szCs w:val="21"/>
        </w:rPr>
      </w:pPr>
      <w:r>
        <w:rPr>
          <w:rFonts w:hint="eastAsia" w:ascii="宋体" w:hAnsi="宋体" w:cs="宋体"/>
          <w:color w:val="auto"/>
          <w:szCs w:val="21"/>
        </w:rPr>
        <w:t>18.3响应文件须由供应商在规定位置签字、盖章（具体以供应商须知前附表或响应文件格式规定为准），否则按无效响应处理。</w:t>
      </w:r>
    </w:p>
    <w:p w14:paraId="4D22997A">
      <w:pPr>
        <w:spacing w:line="420" w:lineRule="exact"/>
        <w:ind w:firstLine="420" w:firstLineChars="200"/>
        <w:rPr>
          <w:rFonts w:ascii="宋体" w:hAnsi="宋体" w:cs="宋体"/>
          <w:color w:val="auto"/>
          <w:szCs w:val="21"/>
        </w:rPr>
      </w:pPr>
      <w:r>
        <w:rPr>
          <w:rFonts w:hint="eastAsia" w:ascii="宋体" w:hAnsi="宋体" w:cs="宋体"/>
          <w:color w:val="auto"/>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630C22D3">
      <w:pPr>
        <w:spacing w:line="420" w:lineRule="exact"/>
        <w:ind w:firstLine="420" w:firstLineChars="200"/>
        <w:rPr>
          <w:rFonts w:ascii="宋体" w:hAnsi="宋体" w:cs="宋体"/>
          <w:color w:val="auto"/>
          <w:szCs w:val="21"/>
        </w:rPr>
      </w:pPr>
      <w:r>
        <w:rPr>
          <w:rFonts w:hint="eastAsia" w:ascii="宋体" w:hAnsi="宋体" w:cs="宋体"/>
          <w:color w:val="auto"/>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42D6932C">
      <w:pPr>
        <w:spacing w:line="420" w:lineRule="exact"/>
        <w:ind w:firstLine="482" w:firstLineChars="200"/>
        <w:rPr>
          <w:rFonts w:ascii="宋体" w:hAnsi="宋体" w:cs="宋体"/>
          <w:color w:val="auto"/>
          <w:sz w:val="24"/>
        </w:rPr>
      </w:pPr>
      <w:r>
        <w:rPr>
          <w:rFonts w:hint="eastAsia" w:ascii="宋体" w:hAnsi="宋体" w:cs="宋体"/>
          <w:b/>
          <w:bCs/>
          <w:color w:val="auto"/>
          <w:sz w:val="24"/>
        </w:rPr>
        <w:t>19.电子</w:t>
      </w:r>
      <w:r>
        <w:rPr>
          <w:rFonts w:hint="eastAsia" w:ascii="宋体" w:hAnsi="宋体" w:cs="宋体"/>
          <w:b/>
          <w:color w:val="auto"/>
          <w:sz w:val="24"/>
        </w:rPr>
        <w:t>备份响应文件</w:t>
      </w:r>
    </w:p>
    <w:p w14:paraId="4080B40F">
      <w:pPr>
        <w:spacing w:line="420" w:lineRule="exact"/>
        <w:ind w:firstLine="420" w:firstLineChars="200"/>
        <w:rPr>
          <w:rFonts w:ascii="宋体" w:hAnsi="宋体" w:cs="宋体"/>
          <w:color w:val="auto"/>
          <w:sz w:val="24"/>
        </w:rPr>
      </w:pPr>
      <w:r>
        <w:rPr>
          <w:rFonts w:hint="eastAsia" w:ascii="宋体" w:hAnsi="宋体" w:cs="宋体"/>
          <w:color w:val="auto"/>
        </w:rPr>
        <w:t>电子备份响应文件是指通过“政采云电子投标客户端”在线编制生成且后缀名为“bfbs”的文件，是否接受电子备份响应文件</w:t>
      </w:r>
      <w:r>
        <w:rPr>
          <w:rFonts w:hint="eastAsia" w:ascii="宋体" w:hAnsi="宋体" w:cs="宋体"/>
          <w:bCs/>
          <w:color w:val="auto"/>
          <w:szCs w:val="21"/>
        </w:rPr>
        <w:t>详见在“供应商须知前附表”。</w:t>
      </w:r>
    </w:p>
    <w:p w14:paraId="361295AD">
      <w:pPr>
        <w:spacing w:line="420" w:lineRule="exact"/>
        <w:ind w:firstLine="482" w:firstLineChars="200"/>
        <w:rPr>
          <w:rFonts w:ascii="宋体" w:hAnsi="宋体" w:cs="宋体"/>
          <w:b/>
          <w:bCs/>
          <w:color w:val="auto"/>
          <w:sz w:val="24"/>
        </w:rPr>
      </w:pPr>
      <w:r>
        <w:rPr>
          <w:rFonts w:hint="eastAsia" w:ascii="宋体" w:hAnsi="宋体" w:cs="宋体"/>
          <w:b/>
          <w:bCs/>
          <w:color w:val="auto"/>
          <w:sz w:val="24"/>
        </w:rPr>
        <w:t>20.响应文件的提交</w:t>
      </w:r>
    </w:p>
    <w:p w14:paraId="65499AA6">
      <w:pPr>
        <w:spacing w:line="420" w:lineRule="exact"/>
        <w:ind w:firstLine="420" w:firstLineChars="200"/>
        <w:rPr>
          <w:rFonts w:ascii="宋体" w:hAnsi="宋体" w:cs="宋体"/>
          <w:b/>
          <w:color w:val="auto"/>
        </w:rPr>
      </w:pPr>
      <w:r>
        <w:rPr>
          <w:rFonts w:hint="eastAsia" w:ascii="宋体" w:hAnsi="宋体" w:cs="宋体"/>
          <w:bCs/>
          <w:color w:val="auto"/>
          <w:szCs w:val="21"/>
        </w:rPr>
        <w:t>20.1供应商必须按“供应商须知前附表”规定的</w:t>
      </w:r>
      <w:r>
        <w:rPr>
          <w:rFonts w:hint="eastAsia" w:ascii="宋体" w:hAnsi="宋体" w:cs="宋体"/>
          <w:color w:val="auto"/>
          <w:szCs w:val="21"/>
        </w:rPr>
        <w:t>时间及</w:t>
      </w:r>
      <w:r>
        <w:rPr>
          <w:rFonts w:hint="eastAsia" w:ascii="宋体" w:hAnsi="宋体" w:cs="宋体"/>
          <w:bCs/>
          <w:color w:val="auto"/>
          <w:szCs w:val="21"/>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cs="宋体"/>
          <w:color w:val="auto"/>
          <w:szCs w:val="21"/>
        </w:rPr>
        <w:t>广西政府采购云平台</w:t>
      </w:r>
      <w:r>
        <w:rPr>
          <w:rFonts w:hint="eastAsia" w:ascii="宋体" w:hAnsi="宋体" w:cs="宋体"/>
          <w:bCs/>
          <w:color w:val="auto"/>
          <w:szCs w:val="21"/>
        </w:rPr>
        <w:t xml:space="preserve">。 </w:t>
      </w:r>
      <w:r>
        <w:rPr>
          <w:rFonts w:hint="eastAsia" w:ascii="宋体" w:hAnsi="宋体" w:cs="宋体"/>
          <w:b/>
          <w:color w:val="auto"/>
        </w:rPr>
        <w:t xml:space="preserve"> </w:t>
      </w:r>
    </w:p>
    <w:p w14:paraId="7101ECD0">
      <w:pPr>
        <w:spacing w:line="420" w:lineRule="exact"/>
        <w:ind w:firstLine="422" w:firstLineChars="200"/>
        <w:rPr>
          <w:rFonts w:ascii="宋体" w:hAnsi="宋体" w:cs="宋体"/>
          <w:b/>
          <w:color w:val="auto"/>
          <w:szCs w:val="20"/>
        </w:rPr>
      </w:pPr>
      <w:r>
        <w:rPr>
          <w:rFonts w:hint="eastAsia" w:ascii="宋体" w:hAnsi="宋体" w:cs="宋体"/>
          <w:b/>
          <w:color w:val="auto"/>
          <w:szCs w:val="21"/>
        </w:rPr>
        <w:t>20.2未在规定时间内提交或者未按照谈判文件要求加密的电子响应文件，广西政府采购云平台将拒收。</w:t>
      </w:r>
    </w:p>
    <w:p w14:paraId="14FD3C38">
      <w:pPr>
        <w:spacing w:line="420" w:lineRule="exact"/>
        <w:ind w:firstLine="482" w:firstLineChars="200"/>
        <w:rPr>
          <w:rFonts w:ascii="宋体" w:hAnsi="宋体" w:cs="宋体"/>
          <w:b/>
          <w:bCs/>
          <w:color w:val="auto"/>
          <w:sz w:val="24"/>
        </w:rPr>
      </w:pPr>
      <w:r>
        <w:rPr>
          <w:rFonts w:hint="eastAsia" w:ascii="宋体" w:hAnsi="宋体" w:cs="宋体"/>
          <w:b/>
          <w:bCs/>
          <w:color w:val="auto"/>
          <w:sz w:val="24"/>
        </w:rPr>
        <w:t>21.首次响应文件的补充、修改与撤回</w:t>
      </w:r>
    </w:p>
    <w:p w14:paraId="756D3CEE">
      <w:pPr>
        <w:snapToGrid w:val="0"/>
        <w:spacing w:line="420" w:lineRule="exact"/>
        <w:ind w:firstLine="420"/>
        <w:jc w:val="left"/>
        <w:rPr>
          <w:rFonts w:ascii="宋体" w:hAnsi="宋体" w:cs="宋体"/>
          <w:color w:val="auto"/>
          <w:szCs w:val="21"/>
        </w:rPr>
      </w:pPr>
      <w:bookmarkStart w:id="66" w:name="_Toc254970684"/>
      <w:bookmarkStart w:id="67" w:name="_Toc254970543"/>
      <w:r>
        <w:rPr>
          <w:rFonts w:hint="eastAsia" w:ascii="宋体" w:hAnsi="宋体" w:cs="宋体"/>
          <w:color w:val="auto"/>
          <w:szCs w:val="21"/>
        </w:rPr>
        <w:t>21.1</w:t>
      </w:r>
      <w:r>
        <w:rPr>
          <w:rFonts w:hint="eastAsia" w:ascii="宋体" w:hAnsi="宋体" w:cs="宋体"/>
          <w:bCs/>
          <w:color w:val="auto"/>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cs="宋体"/>
          <w:color w:val="auto"/>
          <w:szCs w:val="21"/>
        </w:rPr>
        <w:t>（补充、修改或者撤回方式可登陆</w:t>
      </w:r>
      <w:r>
        <w:rPr>
          <w:rFonts w:hint="eastAsia" w:ascii="宋体" w:hAnsi="宋体" w:cs="宋体"/>
          <w:color w:val="auto"/>
          <w:kern w:val="0"/>
          <w:szCs w:val="21"/>
        </w:rPr>
        <w:t>广西政府采购云平台，</w:t>
      </w:r>
      <w:r>
        <w:rPr>
          <w:rFonts w:hint="eastAsia" w:ascii="宋体" w:hAnsi="宋体" w:cs="宋体"/>
          <w:color w:val="auto"/>
          <w:szCs w:val="21"/>
        </w:rPr>
        <w:t>进入“服务中心”中查看 “电子投标文件制作与投送教程”）</w:t>
      </w:r>
    </w:p>
    <w:bookmarkEnd w:id="66"/>
    <w:bookmarkEnd w:id="67"/>
    <w:p w14:paraId="02599B53">
      <w:pPr>
        <w:adjustRightInd w:val="0"/>
        <w:spacing w:line="420" w:lineRule="exact"/>
        <w:ind w:firstLine="420" w:firstLineChars="200"/>
        <w:rPr>
          <w:rFonts w:ascii="宋体" w:hAnsi="宋体" w:cs="宋体"/>
          <w:color w:val="auto"/>
          <w:szCs w:val="21"/>
        </w:rPr>
      </w:pPr>
      <w:r>
        <w:rPr>
          <w:rFonts w:hint="eastAsia" w:ascii="宋体" w:hAnsi="宋体" w:cs="宋体"/>
          <w:color w:val="auto"/>
          <w:szCs w:val="21"/>
        </w:rPr>
        <w:t>21.2在提交响应文件截止时间前，除供应商补充、修改或者撤回响应文件外，任何单位和个人不得解密或提取响应文件。</w:t>
      </w:r>
    </w:p>
    <w:p w14:paraId="0FE5514E">
      <w:pPr>
        <w:spacing w:line="420" w:lineRule="exact"/>
        <w:ind w:firstLine="482" w:firstLineChars="200"/>
        <w:rPr>
          <w:rFonts w:ascii="宋体" w:hAnsi="宋体" w:cs="宋体"/>
          <w:b/>
          <w:bCs/>
          <w:color w:val="auto"/>
          <w:sz w:val="24"/>
        </w:rPr>
      </w:pPr>
      <w:r>
        <w:rPr>
          <w:rFonts w:hint="eastAsia" w:ascii="宋体" w:hAnsi="宋体" w:cs="宋体"/>
          <w:b/>
          <w:bCs/>
          <w:color w:val="auto"/>
          <w:sz w:val="24"/>
        </w:rPr>
        <w:t>22.响应文件的退回</w:t>
      </w:r>
    </w:p>
    <w:p w14:paraId="40F3E83C">
      <w:pPr>
        <w:spacing w:line="420" w:lineRule="exact"/>
        <w:ind w:firstLine="420" w:firstLineChars="200"/>
        <w:rPr>
          <w:rFonts w:ascii="宋体" w:hAnsi="宋体" w:cs="宋体"/>
          <w:color w:val="auto"/>
          <w:szCs w:val="21"/>
        </w:rPr>
      </w:pPr>
      <w:r>
        <w:rPr>
          <w:rFonts w:hint="eastAsia" w:ascii="宋体" w:hAnsi="宋体" w:cs="宋体"/>
          <w:color w:val="auto"/>
          <w:szCs w:val="21"/>
        </w:rPr>
        <w:t>采购人和采购代理机构对已提交的响应文件概不退回。</w:t>
      </w:r>
    </w:p>
    <w:p w14:paraId="473DAE32">
      <w:pPr>
        <w:spacing w:line="420" w:lineRule="exact"/>
        <w:ind w:firstLine="482" w:firstLineChars="200"/>
        <w:rPr>
          <w:rFonts w:ascii="宋体" w:hAnsi="宋体" w:cs="宋体"/>
          <w:b/>
          <w:bCs/>
          <w:color w:val="auto"/>
          <w:sz w:val="24"/>
        </w:rPr>
      </w:pPr>
      <w:r>
        <w:rPr>
          <w:rFonts w:hint="eastAsia" w:ascii="宋体" w:hAnsi="宋体" w:cs="宋体"/>
          <w:b/>
          <w:bCs/>
          <w:color w:val="auto"/>
          <w:sz w:val="24"/>
        </w:rPr>
        <w:t>23.截止时间后的撤回</w:t>
      </w:r>
    </w:p>
    <w:p w14:paraId="4A830B94">
      <w:pPr>
        <w:spacing w:line="420" w:lineRule="exact"/>
        <w:ind w:firstLine="420" w:firstLineChars="200"/>
        <w:rPr>
          <w:rFonts w:ascii="宋体" w:hAnsi="宋体" w:cs="宋体"/>
          <w:color w:val="auto"/>
          <w:szCs w:val="21"/>
        </w:rPr>
      </w:pPr>
      <w:r>
        <w:rPr>
          <w:rFonts w:hint="eastAsia" w:ascii="宋体" w:hAnsi="宋体" w:cs="宋体"/>
          <w:color w:val="auto"/>
          <w:szCs w:val="21"/>
        </w:rPr>
        <w:t>供应商在响应文件提交截止时间后向采购人、采购代理机构书面申请撤回响应文件的，将根据本须知正文第17.4条的规定不予退还其竞标保证金。</w:t>
      </w:r>
    </w:p>
    <w:p w14:paraId="2525AA0B">
      <w:pPr>
        <w:spacing w:line="360" w:lineRule="auto"/>
        <w:jc w:val="center"/>
        <w:rPr>
          <w:rFonts w:ascii="宋体" w:hAnsi="宋体" w:cs="宋体"/>
          <w:b/>
          <w:color w:val="auto"/>
          <w:sz w:val="32"/>
          <w:szCs w:val="32"/>
        </w:rPr>
      </w:pPr>
      <w:r>
        <w:rPr>
          <w:rFonts w:hint="eastAsia" w:ascii="宋体" w:hAnsi="宋体" w:cs="宋体"/>
          <w:b/>
          <w:color w:val="auto"/>
          <w:sz w:val="32"/>
          <w:szCs w:val="32"/>
        </w:rPr>
        <w:t>四、评审及谈判</w:t>
      </w:r>
    </w:p>
    <w:p w14:paraId="1929AC31">
      <w:pPr>
        <w:spacing w:line="360" w:lineRule="auto"/>
        <w:ind w:firstLine="482" w:firstLineChars="200"/>
        <w:rPr>
          <w:rFonts w:ascii="宋体" w:hAnsi="宋体" w:cs="宋体"/>
          <w:b/>
          <w:bCs/>
          <w:color w:val="auto"/>
          <w:sz w:val="24"/>
        </w:rPr>
      </w:pPr>
      <w:r>
        <w:rPr>
          <w:rFonts w:hint="eastAsia" w:ascii="宋体" w:hAnsi="宋体" w:cs="宋体"/>
          <w:b/>
          <w:bCs/>
          <w:color w:val="auto"/>
          <w:sz w:val="24"/>
        </w:rPr>
        <w:t>24.谈判小组成立</w:t>
      </w:r>
    </w:p>
    <w:p w14:paraId="79E06711">
      <w:pPr>
        <w:spacing w:line="360" w:lineRule="auto"/>
        <w:ind w:firstLine="420" w:firstLineChars="200"/>
        <w:rPr>
          <w:rFonts w:ascii="宋体" w:hAnsi="宋体" w:cs="宋体"/>
          <w:color w:val="auto"/>
          <w:szCs w:val="21"/>
        </w:rPr>
      </w:pPr>
      <w:r>
        <w:rPr>
          <w:rFonts w:hint="eastAsia" w:ascii="宋体" w:hAnsi="宋体" w:cs="宋体"/>
          <w:color w:val="auto"/>
          <w:szCs w:val="21"/>
        </w:rPr>
        <w:t>24.1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6AB2FAEE">
      <w:pPr>
        <w:spacing w:line="360" w:lineRule="auto"/>
        <w:ind w:firstLine="420" w:firstLineChars="200"/>
        <w:rPr>
          <w:rFonts w:ascii="宋体" w:hAnsi="宋体" w:cs="宋体"/>
          <w:color w:val="auto"/>
          <w:szCs w:val="21"/>
        </w:rPr>
      </w:pPr>
      <w:r>
        <w:rPr>
          <w:rFonts w:hint="eastAsia" w:ascii="宋体" w:hAnsi="宋体" w:cs="宋体"/>
          <w:color w:val="auto"/>
          <w:szCs w:val="21"/>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294AA5BF">
      <w:pPr>
        <w:spacing w:line="360" w:lineRule="auto"/>
        <w:ind w:firstLine="420" w:firstLineChars="200"/>
        <w:rPr>
          <w:rFonts w:ascii="宋体" w:hAnsi="宋体" w:cs="宋体"/>
          <w:color w:val="auto"/>
          <w:szCs w:val="21"/>
        </w:rPr>
      </w:pPr>
      <w:r>
        <w:rPr>
          <w:rFonts w:hint="eastAsia" w:ascii="宋体" w:hAnsi="宋体" w:cs="宋体"/>
          <w:color w:val="auto"/>
          <w:szCs w:val="21"/>
        </w:rPr>
        <w:t>24.3</w:t>
      </w:r>
      <w:r>
        <w:rPr>
          <w:rFonts w:hint="eastAsia" w:ascii="宋体" w:hAnsi="宋体" w:cs="宋体"/>
          <w:bCs/>
          <w:color w:val="auto"/>
          <w:szCs w:val="21"/>
        </w:rPr>
        <w:t>采购代理机构</w:t>
      </w:r>
      <w:r>
        <w:rPr>
          <w:rFonts w:hint="eastAsia" w:ascii="宋体" w:hAnsi="宋体" w:cs="宋体"/>
          <w:bCs/>
          <w:color w:val="auto"/>
        </w:rPr>
        <w:t>应当</w:t>
      </w:r>
      <w:r>
        <w:rPr>
          <w:rFonts w:hint="eastAsia" w:ascii="宋体" w:hAnsi="宋体" w:cs="宋体"/>
          <w:bCs/>
          <w:color w:val="auto"/>
          <w:szCs w:val="21"/>
        </w:rPr>
        <w:t>基于广西政府采购云平台</w:t>
      </w:r>
      <w:r>
        <w:rPr>
          <w:rFonts w:hint="eastAsia" w:ascii="宋体" w:hAnsi="宋体" w:cs="宋体"/>
          <w:bCs/>
          <w:color w:val="auto"/>
        </w:rPr>
        <w:t>抽（选）取</w:t>
      </w:r>
      <w:r>
        <w:rPr>
          <w:rFonts w:hint="eastAsia" w:ascii="宋体" w:hAnsi="宋体" w:cs="宋体"/>
          <w:bCs/>
          <w:color w:val="auto"/>
          <w:szCs w:val="21"/>
        </w:rPr>
        <w:t>评审专家。</w:t>
      </w:r>
    </w:p>
    <w:p w14:paraId="1FFA1DDB">
      <w:pPr>
        <w:spacing w:line="360" w:lineRule="auto"/>
        <w:ind w:firstLine="482" w:firstLineChars="200"/>
        <w:rPr>
          <w:rFonts w:ascii="宋体" w:hAnsi="宋体" w:cs="宋体"/>
          <w:b/>
          <w:bCs/>
          <w:color w:val="auto"/>
          <w:sz w:val="24"/>
        </w:rPr>
      </w:pPr>
      <w:r>
        <w:rPr>
          <w:rFonts w:hint="eastAsia" w:ascii="宋体" w:hAnsi="宋体" w:cs="宋体"/>
          <w:b/>
          <w:bCs/>
          <w:color w:val="auto"/>
          <w:sz w:val="24"/>
        </w:rPr>
        <w:t>25. 首次响应文件的开启和解密</w:t>
      </w:r>
    </w:p>
    <w:p w14:paraId="2D3A4164">
      <w:pPr>
        <w:spacing w:line="360" w:lineRule="auto"/>
        <w:ind w:firstLine="420"/>
        <w:rPr>
          <w:rFonts w:ascii="宋体" w:hAnsi="宋体" w:cs="宋体"/>
          <w:b/>
          <w:bCs/>
          <w:color w:val="auto"/>
          <w:sz w:val="24"/>
        </w:rPr>
      </w:pPr>
      <w:r>
        <w:rPr>
          <w:rFonts w:hint="eastAsia" w:ascii="宋体" w:hAnsi="宋体" w:cs="宋体"/>
          <w:bCs/>
          <w:color w:val="auto"/>
        </w:rPr>
        <w:t>采购代理机构将在“供应商须知前附表”规定的时</w:t>
      </w:r>
      <w:r>
        <w:rPr>
          <w:rFonts w:hint="eastAsia" w:ascii="宋体" w:hAnsi="宋体" w:cs="宋体"/>
          <w:color w:val="auto"/>
        </w:rPr>
        <w:t>间通过电子交易平台组织响应文件开启，供应商的法定代表人或其委托代理人须携带加密时所用的CA锁，按平台提示和谈判文件的规定登录到广西政府采购云平台电子开标大厅签到，采购代理机构依托广西政府采购云平台向各供应商发出电子加密响应文件【开始解密】通知，由供应商按</w:t>
      </w:r>
      <w:r>
        <w:rPr>
          <w:rFonts w:hint="eastAsia" w:ascii="宋体" w:hAnsi="宋体" w:cs="宋体"/>
          <w:bCs/>
          <w:color w:val="auto"/>
          <w:szCs w:val="21"/>
        </w:rPr>
        <w:t>“供应商须知前附表”</w:t>
      </w:r>
      <w:r>
        <w:rPr>
          <w:rFonts w:hint="eastAsia" w:ascii="宋体" w:hAnsi="宋体" w:cs="宋体"/>
          <w:color w:val="auto"/>
        </w:rPr>
        <w:t>规定的时间内自行进行响应文件解密。</w:t>
      </w:r>
      <w:r>
        <w:rPr>
          <w:rFonts w:hint="eastAsia" w:ascii="宋体" w:hAnsi="宋体" w:cs="宋体"/>
          <w:b/>
          <w:color w:val="auto"/>
        </w:rPr>
        <w:t>供应商未在规定的时间内解密响应文件或者解密失败的，供应商</w:t>
      </w:r>
      <w:r>
        <w:rPr>
          <w:rFonts w:hint="eastAsia" w:ascii="宋体" w:hAnsi="宋体" w:cs="宋体"/>
          <w:b/>
          <w:color w:val="auto"/>
          <w:szCs w:val="21"/>
        </w:rPr>
        <w:t>的响应文件作无效处理</w:t>
      </w:r>
      <w:r>
        <w:rPr>
          <w:rFonts w:hint="eastAsia" w:ascii="宋体" w:hAnsi="宋体" w:cs="宋体"/>
          <w:b/>
          <w:color w:val="auto"/>
        </w:rPr>
        <w:t>。</w:t>
      </w:r>
    </w:p>
    <w:p w14:paraId="0D4BDA5B">
      <w:pPr>
        <w:spacing w:line="360" w:lineRule="auto"/>
        <w:ind w:firstLine="482" w:firstLineChars="200"/>
        <w:rPr>
          <w:rFonts w:ascii="宋体" w:hAnsi="宋体" w:cs="宋体"/>
          <w:b/>
          <w:bCs/>
          <w:color w:val="auto"/>
          <w:sz w:val="24"/>
        </w:rPr>
      </w:pPr>
      <w:r>
        <w:rPr>
          <w:rFonts w:hint="eastAsia" w:ascii="宋体" w:hAnsi="宋体" w:cs="宋体"/>
          <w:b/>
          <w:bCs/>
          <w:color w:val="auto"/>
          <w:sz w:val="24"/>
        </w:rPr>
        <w:t>26. 评审程序和评定成交的标准</w:t>
      </w:r>
    </w:p>
    <w:p w14:paraId="5283C766">
      <w:pPr>
        <w:spacing w:line="360" w:lineRule="auto"/>
        <w:ind w:firstLine="420" w:firstLineChars="200"/>
        <w:rPr>
          <w:rFonts w:ascii="宋体" w:hAnsi="宋体" w:cs="宋体"/>
          <w:color w:val="auto"/>
        </w:rPr>
      </w:pPr>
      <w:r>
        <w:rPr>
          <w:rFonts w:hint="eastAsia" w:ascii="宋体" w:hAnsi="宋体" w:cs="宋体"/>
          <w:color w:val="auto"/>
        </w:rPr>
        <w:t>26.1谈判小组按照“第四章  评审程序和评定成交的标准”规定的评审程序对响应文件进行评审，并按照评定成交的标准推荐成交候选供应商。评审价相同时，成交候选供应商推荐顺序见</w:t>
      </w:r>
      <w:r>
        <w:rPr>
          <w:rFonts w:hint="eastAsia" w:ascii="宋体" w:hAnsi="宋体" w:cs="宋体"/>
          <w:color w:val="auto"/>
          <w:szCs w:val="21"/>
        </w:rPr>
        <w:t>“供应商须知前附表”。</w:t>
      </w:r>
    </w:p>
    <w:p w14:paraId="49636C68">
      <w:pPr>
        <w:spacing w:line="360" w:lineRule="auto"/>
        <w:ind w:firstLine="420" w:firstLineChars="200"/>
        <w:rPr>
          <w:rFonts w:ascii="宋体" w:hAnsi="宋体" w:cs="宋体"/>
          <w:color w:val="auto"/>
          <w:szCs w:val="21"/>
        </w:rPr>
      </w:pPr>
      <w:r>
        <w:rPr>
          <w:rFonts w:hint="eastAsia" w:ascii="宋体" w:hAnsi="宋体" w:cs="宋体"/>
          <w:color w:val="auto"/>
          <w:szCs w:val="21"/>
        </w:rPr>
        <w:t>26.2 商务/技术要求允许负偏离的条款数详见“供应商须知前附表”。</w:t>
      </w:r>
    </w:p>
    <w:p w14:paraId="558405B6">
      <w:pPr>
        <w:spacing w:line="360" w:lineRule="auto"/>
        <w:ind w:firstLine="420" w:firstLineChars="200"/>
        <w:rPr>
          <w:rFonts w:ascii="宋体" w:hAnsi="宋体" w:cs="宋体"/>
          <w:color w:val="auto"/>
          <w:szCs w:val="21"/>
        </w:rPr>
      </w:pPr>
      <w:r>
        <w:rPr>
          <w:rFonts w:hint="eastAsia" w:ascii="宋体" w:hAnsi="宋体" w:cs="宋体"/>
          <w:color w:val="auto"/>
        </w:rPr>
        <w:t>26.3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62E9CEA7">
      <w:pPr>
        <w:spacing w:line="360" w:lineRule="auto"/>
        <w:ind w:firstLine="420" w:firstLineChars="200"/>
        <w:rPr>
          <w:rFonts w:ascii="宋体" w:hAnsi="宋体" w:cs="宋体"/>
          <w:color w:val="auto"/>
        </w:rPr>
      </w:pPr>
      <w:r>
        <w:rPr>
          <w:rFonts w:hint="eastAsia" w:ascii="宋体" w:hAnsi="宋体" w:cs="宋体"/>
          <w:color w:val="auto"/>
        </w:rPr>
        <w:t>26.4电子交易活动的中止。采购过程中出现以下情形，导致电子交易平台无法正常运行，或者无法保证电子交易的公平、公正和安全时，采购机构可中止电子交易活动：</w:t>
      </w:r>
    </w:p>
    <w:p w14:paraId="5C95C10C">
      <w:pPr>
        <w:spacing w:line="360" w:lineRule="auto"/>
        <w:ind w:firstLine="420" w:firstLineChars="200"/>
        <w:rPr>
          <w:rFonts w:ascii="宋体" w:hAnsi="宋体" w:cs="宋体"/>
          <w:color w:val="auto"/>
        </w:rPr>
      </w:pPr>
      <w:r>
        <w:rPr>
          <w:rFonts w:hint="eastAsia" w:ascii="宋体" w:hAnsi="宋体" w:cs="宋体"/>
          <w:color w:val="auto"/>
        </w:rPr>
        <w:t xml:space="preserve">（1）电子交易平台发生故障而无法登录访问的； </w:t>
      </w:r>
    </w:p>
    <w:p w14:paraId="667E9452">
      <w:pPr>
        <w:spacing w:line="360" w:lineRule="auto"/>
        <w:ind w:firstLine="420" w:firstLineChars="200"/>
        <w:rPr>
          <w:rFonts w:ascii="宋体" w:hAnsi="宋体" w:cs="宋体"/>
          <w:color w:val="auto"/>
        </w:rPr>
      </w:pPr>
      <w:r>
        <w:rPr>
          <w:rFonts w:hint="eastAsia" w:ascii="宋体" w:hAnsi="宋体" w:cs="宋体"/>
          <w:color w:val="auto"/>
        </w:rPr>
        <w:t>（2）电子交易平台应用或数据库出现错误，不能进行正常操作的；</w:t>
      </w:r>
    </w:p>
    <w:p w14:paraId="5575DD0C">
      <w:pPr>
        <w:spacing w:line="360" w:lineRule="auto"/>
        <w:ind w:firstLine="420" w:firstLineChars="200"/>
        <w:rPr>
          <w:rFonts w:ascii="宋体" w:hAnsi="宋体" w:cs="宋体"/>
          <w:color w:val="auto"/>
        </w:rPr>
      </w:pPr>
      <w:r>
        <w:rPr>
          <w:rFonts w:hint="eastAsia" w:ascii="宋体" w:hAnsi="宋体" w:cs="宋体"/>
          <w:color w:val="auto"/>
        </w:rPr>
        <w:t>（3）电子交易平台发现严重安全漏洞，有潜在泄密危险的；</w:t>
      </w:r>
    </w:p>
    <w:p w14:paraId="50EADDC2">
      <w:pPr>
        <w:spacing w:line="360" w:lineRule="auto"/>
        <w:ind w:firstLine="420" w:firstLineChars="200"/>
        <w:rPr>
          <w:rFonts w:ascii="宋体" w:hAnsi="宋体" w:cs="宋体"/>
          <w:color w:val="auto"/>
        </w:rPr>
      </w:pPr>
      <w:r>
        <w:rPr>
          <w:rFonts w:hint="eastAsia" w:ascii="宋体" w:hAnsi="宋体" w:cs="宋体"/>
          <w:color w:val="auto"/>
        </w:rPr>
        <w:t xml:space="preserve">（4）病毒发作导致不能进行正常操作的； </w:t>
      </w:r>
    </w:p>
    <w:p w14:paraId="7B8EAEAB">
      <w:pPr>
        <w:spacing w:line="360" w:lineRule="auto"/>
        <w:ind w:firstLine="420" w:firstLineChars="200"/>
        <w:rPr>
          <w:rFonts w:ascii="宋体" w:hAnsi="宋体" w:cs="宋体"/>
          <w:color w:val="auto"/>
        </w:rPr>
      </w:pPr>
      <w:r>
        <w:rPr>
          <w:rFonts w:hint="eastAsia" w:ascii="宋体" w:hAnsi="宋体" w:cs="宋体"/>
          <w:color w:val="auto"/>
        </w:rPr>
        <w:t>（5）其他无法保证电子交易的公平、公正和安全的情况。</w:t>
      </w:r>
    </w:p>
    <w:p w14:paraId="721867CF">
      <w:pPr>
        <w:spacing w:line="360" w:lineRule="auto"/>
        <w:ind w:firstLine="420" w:firstLineChars="200"/>
        <w:rPr>
          <w:rFonts w:ascii="宋体" w:hAnsi="宋体" w:cs="宋体"/>
          <w:color w:val="auto"/>
        </w:rPr>
      </w:pPr>
      <w:r>
        <w:rPr>
          <w:rFonts w:hint="eastAsia" w:ascii="宋体" w:hAnsi="宋体" w:cs="宋体"/>
          <w:color w:val="auto"/>
        </w:rPr>
        <w:t>26.5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69331686">
      <w:pPr>
        <w:spacing w:line="360" w:lineRule="auto"/>
        <w:ind w:firstLine="482" w:firstLineChars="200"/>
        <w:rPr>
          <w:rFonts w:ascii="宋体" w:hAnsi="宋体" w:cs="宋体"/>
          <w:b/>
          <w:bCs/>
          <w:color w:val="auto"/>
          <w:sz w:val="24"/>
        </w:rPr>
      </w:pPr>
      <w:r>
        <w:rPr>
          <w:rFonts w:hint="eastAsia" w:ascii="宋体" w:hAnsi="宋体" w:cs="宋体"/>
          <w:b/>
          <w:bCs/>
          <w:color w:val="auto"/>
          <w:sz w:val="24"/>
        </w:rPr>
        <w:t>27.确定成交供应商及结果公告</w:t>
      </w:r>
    </w:p>
    <w:p w14:paraId="19C3D8CC">
      <w:pPr>
        <w:spacing w:line="360" w:lineRule="auto"/>
        <w:ind w:firstLine="420" w:firstLineChars="200"/>
        <w:rPr>
          <w:rFonts w:ascii="宋体" w:hAnsi="宋体" w:cs="宋体"/>
          <w:color w:val="auto"/>
          <w:szCs w:val="21"/>
        </w:rPr>
      </w:pPr>
      <w:r>
        <w:rPr>
          <w:rFonts w:hint="eastAsia" w:ascii="宋体" w:hAnsi="宋体" w:cs="宋体"/>
          <w:color w:val="auto"/>
          <w:szCs w:val="21"/>
        </w:rPr>
        <w:t>27.1</w:t>
      </w:r>
      <w:r>
        <w:rPr>
          <w:rFonts w:hint="eastAsia" w:ascii="宋体" w:hAnsi="宋体" w:cs="宋体"/>
          <w:color w:val="auto"/>
          <w:kern w:val="0"/>
          <w:szCs w:val="21"/>
        </w:rPr>
        <w:t xml:space="preserve"> 采购</w:t>
      </w:r>
      <w:r>
        <w:rPr>
          <w:rFonts w:hint="eastAsia" w:ascii="宋体" w:hAnsi="宋体" w:cs="宋体"/>
          <w:color w:val="auto"/>
          <w:szCs w:val="21"/>
        </w:rPr>
        <w:t>代理</w:t>
      </w:r>
      <w:r>
        <w:rPr>
          <w:rFonts w:hint="eastAsia" w:ascii="宋体" w:hAnsi="宋体" w:cs="宋体"/>
          <w:color w:val="auto"/>
          <w:kern w:val="0"/>
          <w:szCs w:val="21"/>
        </w:rPr>
        <w:t>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0AEB3BEC">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Pr>
          <w:rFonts w:hint="eastAsia" w:ascii="宋体" w:hAnsi="宋体" w:cs="宋体"/>
          <w:color w:val="auto"/>
          <w:szCs w:val="21"/>
        </w:rPr>
        <w:t>成交供应商享受《政府采购促进中小企业发展管理办法》（财库〔2020〕46号）规定的中小企业扶持政策的，采购人、采购代理机构应当随成交结果公开成交供应商的《中小企业声明函》。</w:t>
      </w:r>
    </w:p>
    <w:p w14:paraId="154EE808">
      <w:pPr>
        <w:spacing w:line="360" w:lineRule="auto"/>
        <w:ind w:firstLine="420" w:firstLineChars="200"/>
        <w:jc w:val="left"/>
        <w:rPr>
          <w:rFonts w:ascii="宋体" w:hAnsi="宋体" w:cs="宋体"/>
          <w:bCs/>
          <w:color w:val="auto"/>
          <w:szCs w:val="21"/>
        </w:rPr>
      </w:pPr>
      <w:r>
        <w:rPr>
          <w:rFonts w:hint="eastAsia" w:ascii="宋体" w:hAnsi="宋体" w:cs="宋体"/>
          <w:bCs/>
          <w:color w:val="auto"/>
          <w:szCs w:val="21"/>
        </w:rPr>
        <w:t>27.3出现下列情形之一的，采购人或者采购代理机构应当终止竞争性谈判采购活动，发布项目终止公告并说明原因，重新开展采购活动：</w:t>
      </w:r>
    </w:p>
    <w:p w14:paraId="7F68366B">
      <w:pPr>
        <w:spacing w:line="360" w:lineRule="auto"/>
        <w:ind w:firstLine="420" w:firstLineChars="200"/>
        <w:jc w:val="left"/>
        <w:rPr>
          <w:rFonts w:ascii="宋体" w:hAnsi="宋体" w:cs="宋体"/>
          <w:bCs/>
          <w:color w:val="auto"/>
          <w:szCs w:val="21"/>
        </w:rPr>
      </w:pPr>
      <w:r>
        <w:rPr>
          <w:rFonts w:hint="eastAsia" w:ascii="宋体" w:hAnsi="宋体" w:cs="宋体"/>
          <w:bCs/>
          <w:color w:val="auto"/>
          <w:szCs w:val="21"/>
        </w:rPr>
        <w:t>（1）因情况变化，不再符合规定的竞争性谈判采购方式适用情形的；</w:t>
      </w:r>
    </w:p>
    <w:p w14:paraId="4F0D6DFC">
      <w:pPr>
        <w:spacing w:line="360" w:lineRule="auto"/>
        <w:ind w:firstLine="420" w:firstLineChars="200"/>
        <w:jc w:val="left"/>
        <w:rPr>
          <w:rFonts w:ascii="宋体" w:hAnsi="宋体" w:cs="宋体"/>
          <w:bCs/>
          <w:color w:val="auto"/>
          <w:szCs w:val="21"/>
        </w:rPr>
      </w:pPr>
      <w:r>
        <w:rPr>
          <w:rFonts w:hint="eastAsia" w:ascii="宋体" w:hAnsi="宋体" w:cs="宋体"/>
          <w:bCs/>
          <w:color w:val="auto"/>
          <w:szCs w:val="21"/>
        </w:rPr>
        <w:t>（2）出现影响采购公正的违法、违规行为的；</w:t>
      </w:r>
    </w:p>
    <w:p w14:paraId="308D902E">
      <w:pPr>
        <w:spacing w:line="360" w:lineRule="auto"/>
        <w:ind w:firstLine="420" w:firstLineChars="200"/>
        <w:jc w:val="left"/>
        <w:rPr>
          <w:rFonts w:ascii="宋体" w:hAnsi="宋体" w:cs="宋体"/>
          <w:bCs/>
          <w:color w:val="auto"/>
          <w:szCs w:val="21"/>
        </w:rPr>
      </w:pPr>
      <w:r>
        <w:rPr>
          <w:rFonts w:hint="eastAsia" w:ascii="宋体" w:hAnsi="宋体" w:cs="宋体"/>
          <w:bCs/>
          <w:color w:val="auto"/>
          <w:szCs w:val="21"/>
        </w:rPr>
        <w:t>（3）在采购过程中符合竞争要求的供应商或者报价未超过采购预算的供应商不足3家的，但“第四章 评审程序和评定成交的标准”第3.7条规定的情形除外。</w:t>
      </w:r>
    </w:p>
    <w:p w14:paraId="5B168F8D">
      <w:pPr>
        <w:spacing w:line="360" w:lineRule="auto"/>
        <w:ind w:firstLine="420" w:firstLineChars="200"/>
        <w:jc w:val="left"/>
        <w:rPr>
          <w:rFonts w:ascii="宋体" w:hAnsi="宋体" w:cs="宋体"/>
          <w:bCs/>
          <w:color w:val="auto"/>
          <w:szCs w:val="21"/>
        </w:rPr>
      </w:pPr>
      <w:r>
        <w:rPr>
          <w:rFonts w:hint="eastAsia" w:ascii="宋体" w:hAnsi="宋体" w:cs="宋体"/>
          <w:bCs/>
          <w:color w:val="auto"/>
          <w:szCs w:val="21"/>
        </w:rPr>
        <w:t>27.4在采购活动中因重大变故，采购任务取消的，采购人或者采购代理机构应当终止采购活动，通知所有参加采购活动的供应商，并将项目实施情况和采购任务取消原因报送本级财政部门。</w:t>
      </w:r>
    </w:p>
    <w:p w14:paraId="6B459672">
      <w:pPr>
        <w:spacing w:line="360" w:lineRule="auto"/>
        <w:ind w:firstLine="482" w:firstLineChars="200"/>
        <w:rPr>
          <w:rFonts w:ascii="宋体" w:hAnsi="宋体" w:cs="宋体"/>
          <w:b/>
          <w:bCs/>
          <w:color w:val="auto"/>
          <w:sz w:val="24"/>
        </w:rPr>
      </w:pPr>
      <w:r>
        <w:rPr>
          <w:rFonts w:hint="eastAsia" w:ascii="宋体" w:hAnsi="宋体" w:cs="宋体"/>
          <w:b/>
          <w:bCs/>
          <w:color w:val="auto"/>
          <w:sz w:val="24"/>
        </w:rPr>
        <w:t>28.履约保证金</w:t>
      </w:r>
    </w:p>
    <w:p w14:paraId="3A7B108C">
      <w:pPr>
        <w:spacing w:line="360" w:lineRule="auto"/>
        <w:ind w:firstLine="420" w:firstLineChars="200"/>
        <w:jc w:val="left"/>
        <w:rPr>
          <w:rFonts w:ascii="宋体" w:hAnsi="宋体" w:cs="宋体"/>
          <w:color w:val="auto"/>
        </w:rPr>
      </w:pPr>
      <w:r>
        <w:rPr>
          <w:rFonts w:hint="eastAsia" w:ascii="宋体" w:hAnsi="宋体" w:cs="宋体"/>
          <w:color w:val="auto"/>
          <w:szCs w:val="21"/>
        </w:rPr>
        <w:t>28.1履约保证金的金额、提交方式、退付的时间和条件详见 “供应商须知前附表”。成交供应商未按规定提交履约保证金的，视为拒绝</w:t>
      </w:r>
      <w:r>
        <w:rPr>
          <w:rFonts w:hint="eastAsia" w:ascii="宋体" w:hAnsi="宋体" w:cs="宋体"/>
          <w:color w:val="auto"/>
        </w:rPr>
        <w:t>与采购人</w:t>
      </w:r>
      <w:r>
        <w:rPr>
          <w:rFonts w:hint="eastAsia" w:ascii="宋体" w:hAnsi="宋体" w:cs="宋体"/>
          <w:color w:val="auto"/>
          <w:szCs w:val="21"/>
        </w:rPr>
        <w:t>签订合同。</w:t>
      </w:r>
    </w:p>
    <w:p w14:paraId="1BF7BF19">
      <w:pPr>
        <w:spacing w:line="360" w:lineRule="auto"/>
        <w:ind w:firstLine="424" w:firstLineChars="202"/>
        <w:rPr>
          <w:rFonts w:ascii="宋体" w:hAnsi="宋体" w:cs="宋体"/>
          <w:color w:val="auto"/>
          <w:szCs w:val="21"/>
        </w:rPr>
      </w:pPr>
      <w:r>
        <w:rPr>
          <w:rFonts w:hint="eastAsia" w:ascii="宋体" w:hAnsi="宋体" w:cs="宋体"/>
          <w:color w:val="auto"/>
          <w:szCs w:val="21"/>
        </w:rPr>
        <w:t>28.2在履约保证金退还日期前，若成交供应商的开户名称、开户银行、帐号有变动的，请以书面形式通知履约保证金收取单位，否则由此产生的后果由成交供应商自负。</w:t>
      </w:r>
    </w:p>
    <w:p w14:paraId="375E9CA7">
      <w:pPr>
        <w:spacing w:line="360" w:lineRule="auto"/>
        <w:ind w:firstLine="482" w:firstLineChars="200"/>
        <w:rPr>
          <w:rFonts w:ascii="宋体" w:hAnsi="宋体" w:cs="宋体"/>
          <w:b/>
          <w:bCs/>
          <w:color w:val="auto"/>
          <w:sz w:val="24"/>
        </w:rPr>
      </w:pPr>
      <w:r>
        <w:rPr>
          <w:rFonts w:hint="eastAsia" w:ascii="宋体" w:hAnsi="宋体" w:cs="宋体"/>
          <w:b/>
          <w:bCs/>
          <w:color w:val="auto"/>
          <w:sz w:val="24"/>
        </w:rPr>
        <w:t>29.签订合同</w:t>
      </w:r>
    </w:p>
    <w:p w14:paraId="2001A35C">
      <w:pPr>
        <w:spacing w:line="360" w:lineRule="auto"/>
        <w:ind w:firstLine="424" w:firstLineChars="202"/>
        <w:rPr>
          <w:rFonts w:ascii="宋体" w:hAnsi="宋体" w:cs="宋体"/>
          <w:color w:val="auto"/>
          <w:szCs w:val="21"/>
        </w:rPr>
      </w:pPr>
      <w:r>
        <w:rPr>
          <w:rFonts w:hint="eastAsia" w:ascii="宋体" w:hAnsi="宋体" w:cs="宋体"/>
          <w:color w:val="auto"/>
          <w:szCs w:val="21"/>
        </w:rPr>
        <w:t>29.1签订电子采购合同：成交供应商领取电子成交通知书后，在</w:t>
      </w:r>
      <w:r>
        <w:rPr>
          <w:rFonts w:hint="eastAsia" w:ascii="宋体" w:hAnsi="宋体" w:cs="宋体"/>
          <w:color w:val="auto"/>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302D04D2">
      <w:pPr>
        <w:spacing w:line="360" w:lineRule="auto"/>
        <w:ind w:firstLine="424" w:firstLineChars="202"/>
        <w:rPr>
          <w:rFonts w:ascii="宋体" w:hAnsi="宋体" w:cs="宋体"/>
          <w:color w:val="auto"/>
          <w:szCs w:val="21"/>
        </w:rPr>
      </w:pPr>
      <w:r>
        <w:rPr>
          <w:rFonts w:hint="eastAsia" w:ascii="宋体" w:hAnsi="宋体" w:cs="宋体"/>
          <w:color w:val="auto"/>
          <w:szCs w:val="21"/>
        </w:rPr>
        <w:t>线下签订纸质合同：供应商领取成交通知书后，按“供应商须知前附表”规定向采购人出示相关证明材料，经采购人核验合格后方可签订合同。</w:t>
      </w:r>
    </w:p>
    <w:p w14:paraId="3D7F6931">
      <w:pPr>
        <w:spacing w:line="360" w:lineRule="auto"/>
        <w:ind w:firstLine="424" w:firstLineChars="202"/>
        <w:rPr>
          <w:rFonts w:ascii="宋体" w:hAnsi="宋体" w:cs="宋体"/>
          <w:color w:val="auto"/>
          <w:szCs w:val="21"/>
        </w:rPr>
      </w:pPr>
      <w:r>
        <w:rPr>
          <w:rFonts w:hint="eastAsia" w:ascii="宋体" w:hAnsi="宋体" w:cs="宋体"/>
          <w:color w:val="auto"/>
          <w:szCs w:val="21"/>
        </w:rPr>
        <w:t>29.2签订合同时间：按成交通知书规定的时间与采购人签订合同。</w:t>
      </w:r>
    </w:p>
    <w:p w14:paraId="4584847F">
      <w:pPr>
        <w:spacing w:line="360" w:lineRule="auto"/>
        <w:ind w:firstLine="424" w:firstLineChars="202"/>
        <w:rPr>
          <w:rFonts w:ascii="宋体" w:hAnsi="宋体" w:cs="宋体"/>
          <w:color w:val="auto"/>
          <w:szCs w:val="21"/>
        </w:rPr>
      </w:pPr>
      <w:r>
        <w:rPr>
          <w:rFonts w:hint="eastAsia" w:ascii="宋体" w:hAnsi="宋体" w:cs="宋体"/>
          <w:color w:val="auto"/>
          <w:szCs w:val="21"/>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4018616E">
      <w:pPr>
        <w:spacing w:line="360" w:lineRule="auto"/>
        <w:ind w:firstLine="424" w:firstLineChars="202"/>
        <w:rPr>
          <w:rFonts w:ascii="宋体" w:hAnsi="宋体" w:cs="宋体"/>
          <w:color w:val="auto"/>
          <w:szCs w:val="21"/>
        </w:rPr>
      </w:pPr>
      <w:r>
        <w:rPr>
          <w:rFonts w:hint="eastAsia" w:ascii="宋体" w:hAnsi="宋体" w:cs="宋体"/>
          <w:color w:val="auto"/>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2081ED6">
      <w:pPr>
        <w:spacing w:line="360" w:lineRule="auto"/>
        <w:ind w:firstLine="424" w:firstLineChars="202"/>
        <w:rPr>
          <w:rFonts w:ascii="宋体" w:hAnsi="宋体" w:cs="宋体"/>
          <w:color w:val="auto"/>
          <w:szCs w:val="21"/>
        </w:rPr>
      </w:pPr>
      <w:r>
        <w:rPr>
          <w:rFonts w:hint="eastAsia" w:ascii="宋体" w:hAnsi="宋体" w:cs="宋体"/>
          <w:color w:val="auto"/>
          <w:szCs w:val="21"/>
        </w:rPr>
        <w:t>29.5采购人或成交供应商不得单方面向合同另一方提出任何谈判文件没有约定的条件或不合理的要求，作为签订合同的条件；也不得协商另行订立背离谈判文件和合同实质性内容的协议。</w:t>
      </w:r>
    </w:p>
    <w:p w14:paraId="123EFE78">
      <w:pPr>
        <w:spacing w:line="360" w:lineRule="auto"/>
        <w:ind w:firstLine="424" w:firstLineChars="202"/>
        <w:rPr>
          <w:rFonts w:ascii="宋体" w:hAnsi="宋体" w:cs="宋体"/>
          <w:color w:val="auto"/>
          <w:szCs w:val="21"/>
        </w:rPr>
      </w:pPr>
      <w:r>
        <w:rPr>
          <w:rFonts w:hint="eastAsia" w:ascii="宋体" w:hAnsi="宋体" w:cs="宋体"/>
          <w:color w:val="auto"/>
          <w:szCs w:val="21"/>
        </w:rPr>
        <w:t>29.6如签订合同并生效后，供应商无故拒绝或延期，除按照合同条款处理外，将承担相应的法律责任。</w:t>
      </w:r>
    </w:p>
    <w:p w14:paraId="79C01FA4">
      <w:pPr>
        <w:spacing w:line="360" w:lineRule="auto"/>
        <w:ind w:firstLine="424" w:firstLineChars="202"/>
        <w:rPr>
          <w:rFonts w:ascii="宋体" w:hAnsi="宋体" w:cs="宋体"/>
          <w:color w:val="auto"/>
          <w:szCs w:val="21"/>
        </w:rPr>
      </w:pPr>
      <w:r>
        <w:rPr>
          <w:rFonts w:hint="eastAsia" w:ascii="宋体" w:hAnsi="宋体" w:cs="宋体"/>
          <w:color w:val="auto"/>
          <w:szCs w:val="21"/>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BBA5DEF">
      <w:pPr>
        <w:spacing w:line="360" w:lineRule="auto"/>
        <w:ind w:firstLine="482" w:firstLineChars="200"/>
        <w:rPr>
          <w:rFonts w:ascii="宋体" w:hAnsi="宋体" w:cs="宋体"/>
          <w:b/>
          <w:bCs/>
          <w:color w:val="auto"/>
          <w:sz w:val="24"/>
        </w:rPr>
      </w:pPr>
      <w:r>
        <w:rPr>
          <w:rFonts w:hint="eastAsia" w:ascii="宋体" w:hAnsi="宋体" w:cs="宋体"/>
          <w:b/>
          <w:bCs/>
          <w:color w:val="auto"/>
          <w:sz w:val="24"/>
        </w:rPr>
        <w:t>30.政府采购合同公告</w:t>
      </w:r>
    </w:p>
    <w:p w14:paraId="59412BC9">
      <w:pPr>
        <w:spacing w:line="360" w:lineRule="auto"/>
        <w:ind w:firstLine="420" w:firstLineChars="200"/>
        <w:rPr>
          <w:rFonts w:ascii="宋体" w:hAnsi="宋体" w:cs="宋体"/>
          <w:color w:val="auto"/>
          <w:szCs w:val="21"/>
        </w:rPr>
      </w:pPr>
      <w:r>
        <w:rPr>
          <w:rFonts w:hint="eastAsia" w:ascii="宋体" w:hAnsi="宋体" w:cs="宋体"/>
          <w:color w:val="auto"/>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5774E5F2">
      <w:pPr>
        <w:spacing w:line="360" w:lineRule="auto"/>
        <w:ind w:firstLine="482" w:firstLineChars="200"/>
        <w:rPr>
          <w:rFonts w:ascii="宋体" w:hAnsi="宋体" w:cs="宋体"/>
          <w:b/>
          <w:bCs/>
          <w:color w:val="auto"/>
          <w:sz w:val="24"/>
        </w:rPr>
      </w:pPr>
      <w:r>
        <w:rPr>
          <w:rFonts w:hint="eastAsia" w:ascii="宋体" w:hAnsi="宋体" w:cs="宋体"/>
          <w:b/>
          <w:bCs/>
          <w:color w:val="auto"/>
          <w:sz w:val="24"/>
        </w:rPr>
        <w:t>31. 询问、质疑和投诉</w:t>
      </w:r>
    </w:p>
    <w:p w14:paraId="455ED11A">
      <w:pPr>
        <w:spacing w:line="360" w:lineRule="auto"/>
        <w:ind w:firstLine="420"/>
        <w:rPr>
          <w:rFonts w:ascii="宋体" w:hAnsi="宋体" w:cs="宋体"/>
          <w:color w:val="auto"/>
          <w:szCs w:val="21"/>
        </w:rPr>
      </w:pPr>
      <w:r>
        <w:rPr>
          <w:rFonts w:hint="eastAsia" w:ascii="宋体" w:hAnsi="宋体" w:cs="宋体"/>
          <w:color w:val="auto"/>
          <w:szCs w:val="20"/>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auto"/>
          <w:szCs w:val="21"/>
        </w:rPr>
        <w:t>但答复的内容不得涉及商业秘密。</w:t>
      </w:r>
    </w:p>
    <w:p w14:paraId="538A523F">
      <w:pPr>
        <w:spacing w:line="360" w:lineRule="auto"/>
        <w:ind w:firstLine="420" w:firstLineChars="200"/>
        <w:rPr>
          <w:rFonts w:ascii="宋体" w:hAnsi="宋体" w:cs="宋体"/>
          <w:color w:val="auto"/>
        </w:rPr>
      </w:pPr>
      <w:r>
        <w:rPr>
          <w:rFonts w:hint="eastAsia" w:ascii="宋体" w:hAnsi="宋体" w:cs="宋体"/>
          <w:color w:val="auto"/>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shd w:val="clear" w:color="auto" w:fill="FFFFFF"/>
        </w:rPr>
        <w:t>接收质疑函的方式、联系部门、联系电话和通讯地址等信息</w:t>
      </w:r>
      <w:r>
        <w:rPr>
          <w:rFonts w:hint="eastAsia" w:ascii="宋体" w:hAnsi="宋体" w:cs="宋体"/>
          <w:color w:val="auto"/>
          <w:szCs w:val="21"/>
        </w:rPr>
        <w:t>详见“供应商须知前附表”</w:t>
      </w:r>
      <w:r>
        <w:rPr>
          <w:rFonts w:hint="eastAsia" w:ascii="宋体" w:hAnsi="宋体" w:cs="宋体"/>
          <w:color w:val="auto"/>
        </w:rPr>
        <w:t>。具体质疑起算时间如下：</w:t>
      </w:r>
    </w:p>
    <w:p w14:paraId="35E2E21D">
      <w:pPr>
        <w:spacing w:line="360" w:lineRule="auto"/>
        <w:ind w:firstLine="420" w:firstLineChars="200"/>
        <w:rPr>
          <w:rFonts w:ascii="宋体" w:hAnsi="宋体" w:cs="宋体"/>
          <w:color w:val="auto"/>
        </w:rPr>
      </w:pPr>
      <w:r>
        <w:rPr>
          <w:rFonts w:hint="eastAsia" w:ascii="宋体" w:hAnsi="宋体" w:cs="宋体"/>
          <w:color w:val="auto"/>
        </w:rPr>
        <w:t>（1）对可以质疑的谈判文件提出质疑的，为获取谈判文件之日；</w:t>
      </w:r>
    </w:p>
    <w:p w14:paraId="73F26EC3">
      <w:pPr>
        <w:spacing w:line="360" w:lineRule="auto"/>
        <w:ind w:firstLine="420" w:firstLineChars="200"/>
        <w:rPr>
          <w:rFonts w:ascii="宋体" w:hAnsi="宋体" w:cs="宋体"/>
          <w:color w:val="auto"/>
        </w:rPr>
      </w:pPr>
      <w:r>
        <w:rPr>
          <w:rFonts w:hint="eastAsia" w:ascii="宋体" w:hAnsi="宋体" w:cs="宋体"/>
          <w:color w:val="auto"/>
        </w:rPr>
        <w:t>（2）对采购过程提出质疑的，为各采购程序环节结束之日；</w:t>
      </w:r>
    </w:p>
    <w:p w14:paraId="7E587FD3">
      <w:pPr>
        <w:spacing w:line="360" w:lineRule="auto"/>
        <w:ind w:firstLine="420" w:firstLineChars="200"/>
        <w:rPr>
          <w:rFonts w:ascii="宋体" w:hAnsi="宋体" w:cs="宋体"/>
          <w:color w:val="auto"/>
        </w:rPr>
      </w:pPr>
      <w:r>
        <w:rPr>
          <w:rFonts w:hint="eastAsia" w:ascii="宋体" w:hAnsi="宋体" w:cs="宋体"/>
          <w:color w:val="auto"/>
        </w:rPr>
        <w:t>（3）对成交结果提出质疑的，为成交结果公告期限届满之日。</w:t>
      </w:r>
    </w:p>
    <w:p w14:paraId="561BB9A2">
      <w:pPr>
        <w:spacing w:line="360" w:lineRule="auto"/>
        <w:ind w:firstLine="420" w:firstLineChars="200"/>
        <w:rPr>
          <w:rFonts w:ascii="宋体" w:hAnsi="宋体" w:cs="宋体"/>
          <w:color w:val="auto"/>
        </w:rPr>
      </w:pPr>
      <w:r>
        <w:rPr>
          <w:rFonts w:hint="eastAsia" w:ascii="宋体" w:hAnsi="宋体" w:cs="宋体"/>
          <w:color w:val="auto"/>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53F0E7D">
      <w:pPr>
        <w:spacing w:line="360" w:lineRule="auto"/>
        <w:ind w:firstLine="420" w:firstLineChars="200"/>
        <w:rPr>
          <w:rFonts w:ascii="宋体" w:hAnsi="宋体" w:cs="宋体"/>
          <w:color w:val="auto"/>
        </w:rPr>
      </w:pPr>
      <w:r>
        <w:rPr>
          <w:rFonts w:hint="eastAsia" w:ascii="宋体" w:hAnsi="宋体" w:cs="宋体"/>
          <w:color w:val="auto"/>
        </w:rPr>
        <w:t>31.4供应商提出质疑应当提交质疑函和必要的证明材料，针对同一采购程序环节的质疑必须在法定质疑期内一次性提出。质疑函应当包括下列内容</w:t>
      </w:r>
      <w:r>
        <w:rPr>
          <w:rFonts w:hint="eastAsia" w:ascii="宋体" w:hAnsi="宋体" w:cs="宋体"/>
          <w:bCs/>
          <w:color w:val="auto"/>
        </w:rPr>
        <w:t>（质疑函格式后附）</w:t>
      </w:r>
      <w:r>
        <w:rPr>
          <w:rFonts w:hint="eastAsia" w:ascii="宋体" w:hAnsi="宋体" w:cs="宋体"/>
          <w:color w:val="auto"/>
        </w:rPr>
        <w:t>：</w:t>
      </w:r>
    </w:p>
    <w:p w14:paraId="67EABA66">
      <w:pPr>
        <w:spacing w:line="360" w:lineRule="auto"/>
        <w:ind w:firstLine="420" w:firstLineChars="200"/>
        <w:rPr>
          <w:rFonts w:ascii="宋体" w:hAnsi="宋体" w:cs="宋体"/>
          <w:color w:val="auto"/>
        </w:rPr>
      </w:pPr>
      <w:r>
        <w:rPr>
          <w:rFonts w:hint="eastAsia" w:ascii="宋体" w:hAnsi="宋体" w:cs="宋体"/>
          <w:color w:val="auto"/>
        </w:rPr>
        <w:t>（1）供应商的姓名或者名称、地址、邮编、联系人及联系电话；</w:t>
      </w:r>
    </w:p>
    <w:p w14:paraId="5EEE6BEA">
      <w:pPr>
        <w:spacing w:line="360" w:lineRule="auto"/>
        <w:ind w:firstLine="420" w:firstLineChars="200"/>
        <w:rPr>
          <w:rFonts w:ascii="宋体" w:hAnsi="宋体" w:cs="宋体"/>
          <w:color w:val="auto"/>
        </w:rPr>
      </w:pPr>
      <w:r>
        <w:rPr>
          <w:rFonts w:hint="eastAsia" w:ascii="宋体" w:hAnsi="宋体" w:cs="宋体"/>
          <w:color w:val="auto"/>
        </w:rPr>
        <w:t>（2）质疑项目的名称、编号；</w:t>
      </w:r>
    </w:p>
    <w:p w14:paraId="6B9F27C1">
      <w:pPr>
        <w:spacing w:line="360" w:lineRule="auto"/>
        <w:ind w:firstLine="420" w:firstLineChars="200"/>
        <w:rPr>
          <w:rFonts w:ascii="宋体" w:hAnsi="宋体" w:cs="宋体"/>
          <w:color w:val="auto"/>
        </w:rPr>
      </w:pPr>
      <w:r>
        <w:rPr>
          <w:rFonts w:hint="eastAsia" w:ascii="宋体" w:hAnsi="宋体" w:cs="宋体"/>
          <w:color w:val="auto"/>
        </w:rPr>
        <w:t>（3）具体、明确的质疑事项和与质疑事项相关的请求；</w:t>
      </w:r>
    </w:p>
    <w:p w14:paraId="42407ACE">
      <w:pPr>
        <w:spacing w:line="360" w:lineRule="auto"/>
        <w:ind w:firstLine="420" w:firstLineChars="200"/>
        <w:rPr>
          <w:rFonts w:ascii="宋体" w:hAnsi="宋体" w:cs="宋体"/>
          <w:color w:val="auto"/>
        </w:rPr>
      </w:pPr>
      <w:r>
        <w:rPr>
          <w:rFonts w:hint="eastAsia" w:ascii="宋体" w:hAnsi="宋体" w:cs="宋体"/>
          <w:color w:val="auto"/>
        </w:rPr>
        <w:t>（4）事实依据；</w:t>
      </w:r>
    </w:p>
    <w:p w14:paraId="1F1566B3">
      <w:pPr>
        <w:spacing w:line="360" w:lineRule="auto"/>
        <w:ind w:firstLine="420" w:firstLineChars="200"/>
        <w:rPr>
          <w:rFonts w:ascii="宋体" w:hAnsi="宋体" w:cs="宋体"/>
          <w:color w:val="auto"/>
        </w:rPr>
      </w:pPr>
      <w:r>
        <w:rPr>
          <w:rFonts w:hint="eastAsia" w:ascii="宋体" w:hAnsi="宋体" w:cs="宋体"/>
          <w:color w:val="auto"/>
        </w:rPr>
        <w:t>（5）必要的法律依据；</w:t>
      </w:r>
    </w:p>
    <w:p w14:paraId="0318B0D7">
      <w:pPr>
        <w:spacing w:line="360" w:lineRule="auto"/>
        <w:ind w:firstLine="420" w:firstLineChars="200"/>
        <w:rPr>
          <w:rFonts w:ascii="宋体" w:hAnsi="宋体" w:cs="宋体"/>
          <w:color w:val="auto"/>
        </w:rPr>
      </w:pPr>
      <w:r>
        <w:rPr>
          <w:rFonts w:hint="eastAsia" w:ascii="宋体" w:hAnsi="宋体" w:cs="宋体"/>
          <w:color w:val="auto"/>
        </w:rPr>
        <w:t>（6）提出质疑的日期。</w:t>
      </w:r>
    </w:p>
    <w:p w14:paraId="3DE9A1EC">
      <w:pPr>
        <w:spacing w:line="360" w:lineRule="auto"/>
        <w:ind w:firstLine="420" w:firstLineChars="200"/>
        <w:rPr>
          <w:rFonts w:ascii="宋体" w:hAns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19F1D439">
      <w:pPr>
        <w:spacing w:line="360" w:lineRule="auto"/>
        <w:ind w:firstLine="420" w:firstLineChars="200"/>
        <w:rPr>
          <w:rFonts w:ascii="宋体" w:hAnsi="宋体" w:cs="宋体"/>
          <w:color w:val="auto"/>
        </w:rPr>
      </w:pPr>
      <w:r>
        <w:rPr>
          <w:rFonts w:hint="eastAsia" w:ascii="宋体" w:hAnsi="宋体" w:cs="宋体"/>
          <w:color w:val="auto"/>
        </w:rPr>
        <w:t>31.5采购人、采购代理机构认为供应商质疑不成立，或者成立但未对成交结果构成影响的，继续开展采购活动；认为供应商质疑成立且影响或者可能影响成交结果的，按照下列情况处理：</w:t>
      </w:r>
    </w:p>
    <w:p w14:paraId="097407C2">
      <w:pPr>
        <w:spacing w:line="360" w:lineRule="auto"/>
        <w:ind w:firstLine="420" w:firstLineChars="200"/>
        <w:rPr>
          <w:rFonts w:ascii="宋体" w:hAnsi="宋体" w:cs="宋体"/>
          <w:color w:val="auto"/>
        </w:rPr>
      </w:pPr>
      <w:r>
        <w:rPr>
          <w:rFonts w:hint="eastAsia" w:ascii="宋体" w:hAnsi="宋体" w:cs="宋体"/>
          <w:color w:val="auto"/>
        </w:rPr>
        <w:t>（一）对采购文件提出的质疑，依法通过澄清或者修改可以继续开展采购活动的，澄清或者修改采购文件后继续开展采购活动；否则应当修改采购文件后重新开展采购活动。</w:t>
      </w:r>
    </w:p>
    <w:p w14:paraId="130FD358">
      <w:pPr>
        <w:spacing w:line="360" w:lineRule="auto"/>
        <w:ind w:firstLine="420" w:firstLineChars="200"/>
        <w:rPr>
          <w:rFonts w:ascii="宋体" w:hAnsi="宋体" w:cs="宋体"/>
          <w:color w:val="auto"/>
        </w:rPr>
      </w:pPr>
      <w:r>
        <w:rPr>
          <w:rFonts w:hint="eastAsia" w:ascii="宋体" w:hAnsi="宋体" w:cs="宋体"/>
          <w:color w:val="auto"/>
        </w:rPr>
        <w:t>（二）对采购过程或者成交结果提出的质疑，合格供应商符合法定数量时，可以从合格的成交候选人中另行确定成交供应商的，应当依法另行确定成交供应商；否则应当重新开展采购活动。</w:t>
      </w:r>
    </w:p>
    <w:p w14:paraId="72E8B160">
      <w:pPr>
        <w:spacing w:line="360" w:lineRule="auto"/>
        <w:ind w:firstLine="420" w:firstLineChars="200"/>
        <w:rPr>
          <w:rFonts w:ascii="宋体" w:hAnsi="宋体" w:cs="宋体"/>
          <w:color w:val="auto"/>
        </w:rPr>
      </w:pPr>
      <w:r>
        <w:rPr>
          <w:rFonts w:hint="eastAsia" w:ascii="宋体" w:hAnsi="宋体" w:cs="宋体"/>
          <w:color w:val="auto"/>
        </w:rPr>
        <w:t>质疑答复导致成交结果改变的，采购人或者采购代理机构应当将有关情况书面报告本级财政部门。</w:t>
      </w:r>
    </w:p>
    <w:p w14:paraId="4A18A56D">
      <w:pPr>
        <w:spacing w:line="360" w:lineRule="auto"/>
        <w:ind w:firstLine="420" w:firstLineChars="200"/>
        <w:rPr>
          <w:rFonts w:ascii="宋体" w:hAnsi="宋体" w:cs="宋体"/>
          <w:b/>
          <w:bCs/>
          <w:color w:val="auto"/>
          <w:szCs w:val="21"/>
        </w:rPr>
      </w:pPr>
      <w:r>
        <w:rPr>
          <w:rFonts w:hint="eastAsia" w:ascii="宋体" w:hAnsi="宋体" w:cs="宋体"/>
          <w:color w:val="auto"/>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8E071A7">
      <w:pPr>
        <w:spacing w:line="360" w:lineRule="auto"/>
        <w:ind w:firstLine="482" w:firstLineChars="200"/>
        <w:rPr>
          <w:rFonts w:ascii="宋体" w:hAnsi="宋体" w:cs="宋体"/>
          <w:b/>
          <w:bCs/>
          <w:color w:val="auto"/>
          <w:sz w:val="24"/>
        </w:rPr>
      </w:pPr>
    </w:p>
    <w:p w14:paraId="6FCF8CCA">
      <w:pPr>
        <w:spacing w:line="360" w:lineRule="auto"/>
        <w:ind w:firstLine="482" w:firstLineChars="200"/>
        <w:rPr>
          <w:rFonts w:ascii="宋体" w:hAnsi="宋体" w:cs="宋体"/>
          <w:b/>
          <w:bCs/>
          <w:color w:val="auto"/>
          <w:sz w:val="24"/>
        </w:rPr>
      </w:pPr>
      <w:r>
        <w:rPr>
          <w:rFonts w:hint="eastAsia" w:ascii="宋体" w:hAnsi="宋体" w:cs="宋体"/>
          <w:b/>
          <w:bCs/>
          <w:color w:val="auto"/>
          <w:sz w:val="24"/>
        </w:rPr>
        <w:t>32.其他内容</w:t>
      </w:r>
    </w:p>
    <w:p w14:paraId="089153B5">
      <w:pPr>
        <w:tabs>
          <w:tab w:val="left" w:pos="2835"/>
        </w:tabs>
        <w:spacing w:line="360" w:lineRule="auto"/>
        <w:ind w:firstLine="420" w:firstLineChars="200"/>
        <w:rPr>
          <w:rFonts w:ascii="宋体" w:hAnsi="宋体" w:cs="宋体"/>
          <w:color w:val="auto"/>
          <w:szCs w:val="21"/>
        </w:rPr>
      </w:pPr>
      <w:r>
        <w:rPr>
          <w:rFonts w:hint="eastAsia" w:ascii="宋体" w:hAnsi="宋体" w:cs="宋体"/>
          <w:color w:val="auto"/>
          <w:szCs w:val="21"/>
        </w:rPr>
        <w:t>32.1代理服务收取标准详见“供应商须知前附表”，供应商为联合体的，可以由联合体中的一方或者多方共同交纳代理服务费：</w:t>
      </w:r>
    </w:p>
    <w:tbl>
      <w:tblPr>
        <w:tblStyle w:val="26"/>
        <w:tblW w:w="8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1900"/>
        <w:gridCol w:w="2038"/>
        <w:gridCol w:w="2130"/>
      </w:tblGrid>
      <w:tr w14:paraId="1E8C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490" w:type="dxa"/>
            <w:tcBorders>
              <w:tl2br w:val="single" w:color="auto" w:sz="4" w:space="0"/>
            </w:tcBorders>
          </w:tcPr>
          <w:p w14:paraId="6D873CDE">
            <w:pPr>
              <w:spacing w:before="165" w:line="360" w:lineRule="auto"/>
              <w:ind w:firstLine="420"/>
              <w:rPr>
                <w:rFonts w:ascii="宋体" w:hAnsi="宋体" w:cs="宋体"/>
                <w:color w:val="auto"/>
                <w:szCs w:val="21"/>
              </w:rPr>
            </w:pPr>
            <w:r>
              <w:rPr>
                <w:rFonts w:hint="eastAsia" w:ascii="宋体" w:hAnsi="宋体" w:cs="宋体"/>
                <w:color w:val="auto"/>
                <w:szCs w:val="21"/>
              </w:rPr>
              <w:t xml:space="preserve">           费率</w:t>
            </w:r>
          </w:p>
          <w:p w14:paraId="65A2E768">
            <w:pPr>
              <w:spacing w:before="165" w:line="360" w:lineRule="auto"/>
              <w:ind w:firstLine="420"/>
              <w:rPr>
                <w:rFonts w:ascii="宋体" w:hAnsi="宋体" w:cs="宋体"/>
                <w:color w:val="auto"/>
                <w:szCs w:val="21"/>
              </w:rPr>
            </w:pPr>
            <w:r>
              <w:rPr>
                <w:rFonts w:hint="eastAsia" w:ascii="宋体" w:hAnsi="宋体" w:cs="宋体"/>
                <w:color w:val="auto"/>
                <w:szCs w:val="21"/>
              </w:rPr>
              <w:t>金额</w:t>
            </w:r>
          </w:p>
        </w:tc>
        <w:tc>
          <w:tcPr>
            <w:tcW w:w="1900" w:type="dxa"/>
            <w:vAlign w:val="center"/>
          </w:tcPr>
          <w:p w14:paraId="7EB866D3">
            <w:pPr>
              <w:spacing w:before="165" w:line="360" w:lineRule="auto"/>
              <w:ind w:firstLine="105" w:firstLineChars="50"/>
              <w:jc w:val="center"/>
              <w:rPr>
                <w:rFonts w:ascii="宋体" w:hAnsi="宋体" w:cs="宋体"/>
                <w:color w:val="auto"/>
                <w:szCs w:val="21"/>
              </w:rPr>
            </w:pPr>
            <w:r>
              <w:rPr>
                <w:rFonts w:hint="eastAsia" w:ascii="宋体" w:hAnsi="宋体" w:cs="宋体"/>
                <w:color w:val="auto"/>
                <w:szCs w:val="21"/>
              </w:rPr>
              <w:t>货物类</w:t>
            </w:r>
          </w:p>
        </w:tc>
        <w:tc>
          <w:tcPr>
            <w:tcW w:w="2038" w:type="dxa"/>
            <w:vAlign w:val="center"/>
          </w:tcPr>
          <w:p w14:paraId="7921831F">
            <w:pPr>
              <w:spacing w:before="165" w:line="360" w:lineRule="auto"/>
              <w:ind w:firstLine="420"/>
              <w:jc w:val="center"/>
              <w:rPr>
                <w:rFonts w:ascii="宋体" w:hAnsi="宋体" w:cs="宋体"/>
                <w:color w:val="auto"/>
                <w:szCs w:val="21"/>
              </w:rPr>
            </w:pPr>
            <w:r>
              <w:rPr>
                <w:rFonts w:hint="eastAsia" w:ascii="宋体" w:hAnsi="宋体" w:cs="宋体"/>
                <w:color w:val="auto"/>
                <w:szCs w:val="21"/>
              </w:rPr>
              <w:t>服务类</w:t>
            </w:r>
          </w:p>
        </w:tc>
        <w:tc>
          <w:tcPr>
            <w:tcW w:w="2130" w:type="dxa"/>
            <w:vAlign w:val="center"/>
          </w:tcPr>
          <w:p w14:paraId="6E6CEED5">
            <w:pPr>
              <w:spacing w:before="165" w:line="360" w:lineRule="auto"/>
              <w:ind w:firstLine="420"/>
              <w:jc w:val="center"/>
              <w:rPr>
                <w:rFonts w:ascii="宋体" w:hAnsi="宋体" w:cs="宋体"/>
                <w:color w:val="auto"/>
                <w:szCs w:val="21"/>
              </w:rPr>
            </w:pPr>
            <w:r>
              <w:rPr>
                <w:rFonts w:hint="eastAsia" w:ascii="宋体" w:hAnsi="宋体" w:cs="宋体"/>
                <w:color w:val="auto"/>
                <w:szCs w:val="21"/>
              </w:rPr>
              <w:t>工程类</w:t>
            </w:r>
          </w:p>
        </w:tc>
      </w:tr>
      <w:tr w14:paraId="06EF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7D971C47">
            <w:pPr>
              <w:spacing w:before="165"/>
              <w:ind w:firstLine="420"/>
              <w:jc w:val="center"/>
              <w:rPr>
                <w:rFonts w:ascii="宋体" w:hAnsi="宋体" w:cs="宋体"/>
                <w:color w:val="auto"/>
                <w:szCs w:val="21"/>
              </w:rPr>
            </w:pPr>
            <w:r>
              <w:rPr>
                <w:rFonts w:hint="eastAsia" w:ascii="宋体" w:hAnsi="宋体" w:cs="宋体"/>
                <w:color w:val="auto"/>
                <w:szCs w:val="21"/>
              </w:rPr>
              <w:t>100万元以下</w:t>
            </w:r>
          </w:p>
        </w:tc>
        <w:tc>
          <w:tcPr>
            <w:tcW w:w="1900" w:type="dxa"/>
          </w:tcPr>
          <w:p w14:paraId="29436F3A">
            <w:pPr>
              <w:spacing w:before="165"/>
              <w:ind w:firstLine="420"/>
              <w:jc w:val="center"/>
              <w:rPr>
                <w:rFonts w:ascii="宋体" w:hAnsi="宋体" w:cs="宋体"/>
                <w:color w:val="auto"/>
                <w:szCs w:val="21"/>
              </w:rPr>
            </w:pPr>
            <w:r>
              <w:rPr>
                <w:rFonts w:hint="eastAsia" w:ascii="宋体" w:hAnsi="宋体" w:cs="宋体"/>
                <w:color w:val="auto"/>
                <w:kern w:val="0"/>
                <w:szCs w:val="21"/>
              </w:rPr>
              <w:t>1.5%</w:t>
            </w:r>
          </w:p>
        </w:tc>
        <w:tc>
          <w:tcPr>
            <w:tcW w:w="2038" w:type="dxa"/>
          </w:tcPr>
          <w:p w14:paraId="2ABE610F">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1.5%</w:t>
            </w:r>
          </w:p>
        </w:tc>
        <w:tc>
          <w:tcPr>
            <w:tcW w:w="2130" w:type="dxa"/>
          </w:tcPr>
          <w:p w14:paraId="11A77C93">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1.0%</w:t>
            </w:r>
          </w:p>
        </w:tc>
      </w:tr>
      <w:tr w14:paraId="785D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48B4F4D8">
            <w:pPr>
              <w:spacing w:before="165"/>
              <w:ind w:firstLine="420"/>
              <w:jc w:val="center"/>
              <w:rPr>
                <w:rFonts w:ascii="宋体" w:hAnsi="宋体" w:cs="宋体"/>
                <w:color w:val="auto"/>
                <w:szCs w:val="21"/>
              </w:rPr>
            </w:pPr>
            <w:r>
              <w:rPr>
                <w:rFonts w:hint="eastAsia" w:ascii="宋体" w:hAnsi="宋体" w:cs="宋体"/>
                <w:color w:val="auto"/>
                <w:szCs w:val="21"/>
              </w:rPr>
              <w:t>100～500万元</w:t>
            </w:r>
          </w:p>
        </w:tc>
        <w:tc>
          <w:tcPr>
            <w:tcW w:w="1900" w:type="dxa"/>
          </w:tcPr>
          <w:p w14:paraId="2AD3FA19">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1.1%</w:t>
            </w:r>
          </w:p>
        </w:tc>
        <w:tc>
          <w:tcPr>
            <w:tcW w:w="2038" w:type="dxa"/>
          </w:tcPr>
          <w:p w14:paraId="46F2A237">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0.8%</w:t>
            </w:r>
          </w:p>
        </w:tc>
        <w:tc>
          <w:tcPr>
            <w:tcW w:w="2130" w:type="dxa"/>
          </w:tcPr>
          <w:p w14:paraId="2A96A850">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0.7%</w:t>
            </w:r>
          </w:p>
        </w:tc>
      </w:tr>
      <w:tr w14:paraId="7011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4AD5FB05">
            <w:pPr>
              <w:spacing w:before="165"/>
              <w:ind w:firstLine="420"/>
              <w:jc w:val="center"/>
              <w:rPr>
                <w:rFonts w:ascii="宋体" w:hAnsi="宋体" w:cs="宋体"/>
                <w:color w:val="auto"/>
                <w:szCs w:val="21"/>
              </w:rPr>
            </w:pPr>
            <w:r>
              <w:rPr>
                <w:rFonts w:hint="eastAsia" w:ascii="宋体" w:hAnsi="宋体" w:cs="宋体"/>
                <w:color w:val="auto"/>
                <w:szCs w:val="21"/>
              </w:rPr>
              <w:t>500～1000万元</w:t>
            </w:r>
          </w:p>
        </w:tc>
        <w:tc>
          <w:tcPr>
            <w:tcW w:w="1900" w:type="dxa"/>
          </w:tcPr>
          <w:p w14:paraId="23317666">
            <w:pPr>
              <w:spacing w:before="165"/>
              <w:ind w:firstLine="420"/>
              <w:jc w:val="center"/>
              <w:rPr>
                <w:rFonts w:ascii="宋体" w:hAnsi="宋体" w:cs="宋体"/>
                <w:color w:val="auto"/>
                <w:szCs w:val="21"/>
              </w:rPr>
            </w:pPr>
            <w:r>
              <w:rPr>
                <w:rFonts w:hint="eastAsia" w:ascii="宋体" w:hAnsi="宋体" w:cs="宋体"/>
                <w:color w:val="auto"/>
                <w:kern w:val="0"/>
                <w:szCs w:val="21"/>
              </w:rPr>
              <w:t>0.8%</w:t>
            </w:r>
          </w:p>
        </w:tc>
        <w:tc>
          <w:tcPr>
            <w:tcW w:w="2038" w:type="dxa"/>
          </w:tcPr>
          <w:p w14:paraId="46FD16B0">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0.45%</w:t>
            </w:r>
          </w:p>
        </w:tc>
        <w:tc>
          <w:tcPr>
            <w:tcW w:w="2130" w:type="dxa"/>
          </w:tcPr>
          <w:p w14:paraId="3EC80557">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0.55%</w:t>
            </w:r>
          </w:p>
        </w:tc>
      </w:tr>
      <w:tr w14:paraId="5CB9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1AC62D31">
            <w:pPr>
              <w:spacing w:before="165"/>
              <w:ind w:firstLine="420"/>
              <w:jc w:val="center"/>
              <w:rPr>
                <w:rFonts w:ascii="宋体" w:hAnsi="宋体" w:cs="宋体"/>
                <w:color w:val="auto"/>
                <w:szCs w:val="21"/>
              </w:rPr>
            </w:pPr>
            <w:r>
              <w:rPr>
                <w:rFonts w:hint="eastAsia" w:ascii="宋体" w:hAnsi="宋体" w:cs="宋体"/>
                <w:color w:val="auto"/>
                <w:szCs w:val="21"/>
              </w:rPr>
              <w:t>1000～5000万元</w:t>
            </w:r>
          </w:p>
        </w:tc>
        <w:tc>
          <w:tcPr>
            <w:tcW w:w="1900" w:type="dxa"/>
          </w:tcPr>
          <w:p w14:paraId="4E1ABABE">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0.5%</w:t>
            </w:r>
          </w:p>
        </w:tc>
        <w:tc>
          <w:tcPr>
            <w:tcW w:w="2038" w:type="dxa"/>
          </w:tcPr>
          <w:p w14:paraId="31CFB119">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0.25%</w:t>
            </w:r>
          </w:p>
        </w:tc>
        <w:tc>
          <w:tcPr>
            <w:tcW w:w="2130" w:type="dxa"/>
          </w:tcPr>
          <w:p w14:paraId="40A59E1F">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0.35%</w:t>
            </w:r>
          </w:p>
        </w:tc>
      </w:tr>
      <w:tr w14:paraId="5983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2B353854">
            <w:pPr>
              <w:spacing w:before="165"/>
              <w:ind w:firstLine="420"/>
              <w:jc w:val="center"/>
              <w:rPr>
                <w:rFonts w:ascii="宋体" w:hAnsi="宋体" w:cs="宋体"/>
                <w:color w:val="auto"/>
                <w:szCs w:val="21"/>
              </w:rPr>
            </w:pPr>
            <w:r>
              <w:rPr>
                <w:rFonts w:hint="eastAsia" w:ascii="宋体" w:hAnsi="宋体" w:cs="宋体"/>
                <w:color w:val="auto"/>
                <w:szCs w:val="21"/>
              </w:rPr>
              <w:t>5000万元～1亿元</w:t>
            </w:r>
          </w:p>
        </w:tc>
        <w:tc>
          <w:tcPr>
            <w:tcW w:w="1900" w:type="dxa"/>
          </w:tcPr>
          <w:p w14:paraId="24A22C75">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0.25%</w:t>
            </w:r>
          </w:p>
        </w:tc>
        <w:tc>
          <w:tcPr>
            <w:tcW w:w="2038" w:type="dxa"/>
          </w:tcPr>
          <w:p w14:paraId="3AF5E14E">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0.1%</w:t>
            </w:r>
          </w:p>
        </w:tc>
        <w:tc>
          <w:tcPr>
            <w:tcW w:w="2130" w:type="dxa"/>
          </w:tcPr>
          <w:p w14:paraId="2B27F16A">
            <w:pPr>
              <w:spacing w:before="165"/>
              <w:ind w:firstLine="210" w:firstLineChars="100"/>
              <w:jc w:val="center"/>
              <w:rPr>
                <w:rFonts w:ascii="宋体" w:hAnsi="宋体" w:cs="宋体"/>
                <w:color w:val="auto"/>
                <w:szCs w:val="21"/>
              </w:rPr>
            </w:pPr>
            <w:r>
              <w:rPr>
                <w:rFonts w:hint="eastAsia" w:ascii="宋体" w:hAnsi="宋体" w:cs="宋体"/>
                <w:color w:val="auto"/>
                <w:kern w:val="0"/>
                <w:szCs w:val="21"/>
              </w:rPr>
              <w:t>0.2%</w:t>
            </w:r>
          </w:p>
        </w:tc>
      </w:tr>
      <w:tr w14:paraId="309F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12B95610">
            <w:pPr>
              <w:spacing w:before="165"/>
              <w:ind w:firstLine="420"/>
              <w:jc w:val="center"/>
              <w:rPr>
                <w:rFonts w:ascii="宋体" w:hAnsi="宋体" w:cs="宋体"/>
                <w:color w:val="auto"/>
                <w:szCs w:val="21"/>
              </w:rPr>
            </w:pPr>
            <w:r>
              <w:rPr>
                <w:rFonts w:hint="eastAsia" w:ascii="宋体" w:hAnsi="宋体" w:cs="宋体"/>
                <w:color w:val="auto"/>
                <w:szCs w:val="21"/>
              </w:rPr>
              <w:t>1～5亿元</w:t>
            </w:r>
          </w:p>
        </w:tc>
        <w:tc>
          <w:tcPr>
            <w:tcW w:w="1900" w:type="dxa"/>
          </w:tcPr>
          <w:p w14:paraId="57859485">
            <w:pPr>
              <w:spacing w:before="165"/>
              <w:ind w:firstLine="210" w:firstLineChars="100"/>
              <w:jc w:val="center"/>
              <w:rPr>
                <w:rFonts w:ascii="宋体" w:hAnsi="宋体" w:cs="宋体"/>
                <w:color w:val="auto"/>
                <w:szCs w:val="21"/>
              </w:rPr>
            </w:pPr>
            <w:r>
              <w:rPr>
                <w:rFonts w:hint="eastAsia" w:ascii="宋体" w:hAnsi="宋体" w:cs="宋体"/>
                <w:color w:val="auto"/>
                <w:szCs w:val="21"/>
              </w:rPr>
              <w:t>0.05%</w:t>
            </w:r>
          </w:p>
        </w:tc>
        <w:tc>
          <w:tcPr>
            <w:tcW w:w="2038" w:type="dxa"/>
          </w:tcPr>
          <w:p w14:paraId="5994CE9E">
            <w:pPr>
              <w:spacing w:before="165"/>
              <w:ind w:firstLine="420"/>
              <w:jc w:val="center"/>
              <w:rPr>
                <w:rFonts w:ascii="宋体" w:hAnsi="宋体" w:cs="宋体"/>
                <w:color w:val="auto"/>
                <w:szCs w:val="21"/>
              </w:rPr>
            </w:pPr>
            <w:r>
              <w:rPr>
                <w:rFonts w:hint="eastAsia" w:ascii="宋体" w:hAnsi="宋体" w:cs="宋体"/>
                <w:color w:val="auto"/>
                <w:szCs w:val="21"/>
              </w:rPr>
              <w:t>0.05%</w:t>
            </w:r>
          </w:p>
        </w:tc>
        <w:tc>
          <w:tcPr>
            <w:tcW w:w="2130" w:type="dxa"/>
          </w:tcPr>
          <w:p w14:paraId="7DCCA631">
            <w:pPr>
              <w:spacing w:before="165"/>
              <w:ind w:firstLine="420"/>
              <w:jc w:val="center"/>
              <w:rPr>
                <w:rFonts w:ascii="宋体" w:hAnsi="宋体" w:cs="宋体"/>
                <w:color w:val="auto"/>
                <w:szCs w:val="21"/>
              </w:rPr>
            </w:pPr>
            <w:r>
              <w:rPr>
                <w:rFonts w:hint="eastAsia" w:ascii="宋体" w:hAnsi="宋体" w:cs="宋体"/>
                <w:color w:val="auto"/>
                <w:szCs w:val="21"/>
              </w:rPr>
              <w:t>0.05%</w:t>
            </w:r>
          </w:p>
        </w:tc>
      </w:tr>
      <w:tr w14:paraId="2EBF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6421DFCA">
            <w:pPr>
              <w:spacing w:before="165"/>
              <w:ind w:firstLine="420"/>
              <w:jc w:val="center"/>
              <w:rPr>
                <w:rFonts w:ascii="宋体" w:hAnsi="宋体" w:cs="宋体"/>
                <w:color w:val="auto"/>
                <w:szCs w:val="21"/>
              </w:rPr>
            </w:pPr>
            <w:r>
              <w:rPr>
                <w:rFonts w:hint="eastAsia" w:ascii="宋体" w:hAnsi="宋体" w:cs="宋体"/>
                <w:color w:val="auto"/>
                <w:szCs w:val="21"/>
              </w:rPr>
              <w:t>5～10亿元</w:t>
            </w:r>
          </w:p>
        </w:tc>
        <w:tc>
          <w:tcPr>
            <w:tcW w:w="1900" w:type="dxa"/>
          </w:tcPr>
          <w:p w14:paraId="7C17A43F">
            <w:pPr>
              <w:spacing w:before="165"/>
              <w:ind w:firstLine="105" w:firstLineChars="50"/>
              <w:jc w:val="center"/>
              <w:rPr>
                <w:rFonts w:ascii="宋体" w:hAnsi="宋体" w:cs="宋体"/>
                <w:color w:val="auto"/>
                <w:szCs w:val="21"/>
              </w:rPr>
            </w:pPr>
            <w:r>
              <w:rPr>
                <w:rFonts w:hint="eastAsia" w:ascii="宋体" w:hAnsi="宋体" w:cs="宋体"/>
                <w:color w:val="auto"/>
                <w:szCs w:val="21"/>
              </w:rPr>
              <w:t>0.035%</w:t>
            </w:r>
          </w:p>
        </w:tc>
        <w:tc>
          <w:tcPr>
            <w:tcW w:w="2038" w:type="dxa"/>
          </w:tcPr>
          <w:p w14:paraId="536CFB69">
            <w:pPr>
              <w:spacing w:before="165"/>
              <w:ind w:firstLine="420"/>
              <w:jc w:val="center"/>
              <w:rPr>
                <w:rFonts w:ascii="宋体" w:hAnsi="宋体" w:cs="宋体"/>
                <w:color w:val="auto"/>
                <w:szCs w:val="21"/>
              </w:rPr>
            </w:pPr>
            <w:r>
              <w:rPr>
                <w:rFonts w:hint="eastAsia" w:ascii="宋体" w:hAnsi="宋体" w:cs="宋体"/>
                <w:color w:val="auto"/>
                <w:szCs w:val="21"/>
              </w:rPr>
              <w:t>0.035%</w:t>
            </w:r>
          </w:p>
        </w:tc>
        <w:tc>
          <w:tcPr>
            <w:tcW w:w="2130" w:type="dxa"/>
          </w:tcPr>
          <w:p w14:paraId="240C1675">
            <w:pPr>
              <w:spacing w:before="165"/>
              <w:ind w:firstLine="105" w:firstLineChars="50"/>
              <w:jc w:val="center"/>
              <w:rPr>
                <w:rFonts w:ascii="宋体" w:hAnsi="宋体" w:cs="宋体"/>
                <w:color w:val="auto"/>
                <w:szCs w:val="21"/>
              </w:rPr>
            </w:pPr>
            <w:r>
              <w:rPr>
                <w:rFonts w:hint="eastAsia" w:ascii="宋体" w:hAnsi="宋体" w:cs="宋体"/>
                <w:color w:val="auto"/>
                <w:szCs w:val="21"/>
              </w:rPr>
              <w:t>0.035%</w:t>
            </w:r>
          </w:p>
        </w:tc>
      </w:tr>
      <w:tr w14:paraId="5A43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02ACC9E4">
            <w:pPr>
              <w:spacing w:before="165"/>
              <w:ind w:firstLine="420"/>
              <w:jc w:val="center"/>
              <w:rPr>
                <w:rFonts w:ascii="宋体" w:hAnsi="宋体" w:cs="宋体"/>
                <w:color w:val="auto"/>
                <w:szCs w:val="21"/>
              </w:rPr>
            </w:pPr>
            <w:r>
              <w:rPr>
                <w:rFonts w:hint="eastAsia" w:ascii="宋体" w:hAnsi="宋体" w:cs="宋体"/>
                <w:color w:val="auto"/>
                <w:szCs w:val="21"/>
              </w:rPr>
              <w:t>10～50亿元</w:t>
            </w:r>
          </w:p>
        </w:tc>
        <w:tc>
          <w:tcPr>
            <w:tcW w:w="1900" w:type="dxa"/>
          </w:tcPr>
          <w:p w14:paraId="476E4BB9">
            <w:pPr>
              <w:spacing w:before="165"/>
              <w:ind w:firstLine="105" w:firstLineChars="50"/>
              <w:jc w:val="center"/>
              <w:rPr>
                <w:rFonts w:ascii="宋体" w:hAnsi="宋体" w:cs="宋体"/>
                <w:color w:val="auto"/>
                <w:szCs w:val="21"/>
              </w:rPr>
            </w:pPr>
            <w:r>
              <w:rPr>
                <w:rFonts w:hint="eastAsia" w:ascii="宋体" w:hAnsi="宋体" w:cs="宋体"/>
                <w:color w:val="auto"/>
                <w:szCs w:val="21"/>
              </w:rPr>
              <w:t>0.008%</w:t>
            </w:r>
          </w:p>
        </w:tc>
        <w:tc>
          <w:tcPr>
            <w:tcW w:w="2038" w:type="dxa"/>
          </w:tcPr>
          <w:p w14:paraId="70D80270">
            <w:pPr>
              <w:spacing w:before="165"/>
              <w:ind w:firstLine="210" w:firstLineChars="100"/>
              <w:jc w:val="center"/>
              <w:rPr>
                <w:rFonts w:ascii="宋体" w:hAnsi="宋体" w:cs="宋体"/>
                <w:color w:val="auto"/>
                <w:szCs w:val="21"/>
              </w:rPr>
            </w:pPr>
            <w:r>
              <w:rPr>
                <w:rFonts w:hint="eastAsia" w:ascii="宋体" w:hAnsi="宋体" w:cs="宋体"/>
                <w:color w:val="auto"/>
                <w:szCs w:val="21"/>
              </w:rPr>
              <w:t>0.008%</w:t>
            </w:r>
          </w:p>
        </w:tc>
        <w:tc>
          <w:tcPr>
            <w:tcW w:w="2130" w:type="dxa"/>
          </w:tcPr>
          <w:p w14:paraId="3DB2A749">
            <w:pPr>
              <w:spacing w:before="165"/>
              <w:ind w:firstLine="105" w:firstLineChars="50"/>
              <w:jc w:val="center"/>
              <w:rPr>
                <w:rFonts w:ascii="宋体" w:hAnsi="宋体" w:cs="宋体"/>
                <w:color w:val="auto"/>
                <w:szCs w:val="21"/>
              </w:rPr>
            </w:pPr>
            <w:r>
              <w:rPr>
                <w:rFonts w:hint="eastAsia" w:ascii="宋体" w:hAnsi="宋体" w:cs="宋体"/>
                <w:color w:val="auto"/>
                <w:szCs w:val="21"/>
              </w:rPr>
              <w:t>0.008%</w:t>
            </w:r>
          </w:p>
        </w:tc>
      </w:tr>
      <w:tr w14:paraId="0802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490" w:type="dxa"/>
          </w:tcPr>
          <w:p w14:paraId="459D8E40">
            <w:pPr>
              <w:spacing w:before="165"/>
              <w:ind w:firstLine="420"/>
              <w:jc w:val="center"/>
              <w:rPr>
                <w:rFonts w:ascii="宋体" w:hAnsi="宋体" w:cs="宋体"/>
                <w:color w:val="auto"/>
                <w:szCs w:val="21"/>
              </w:rPr>
            </w:pPr>
            <w:r>
              <w:rPr>
                <w:rFonts w:hint="eastAsia" w:ascii="宋体" w:hAnsi="宋体" w:cs="宋体"/>
                <w:color w:val="auto"/>
                <w:szCs w:val="21"/>
              </w:rPr>
              <w:t>50～100亿元</w:t>
            </w:r>
          </w:p>
        </w:tc>
        <w:tc>
          <w:tcPr>
            <w:tcW w:w="1900" w:type="dxa"/>
          </w:tcPr>
          <w:p w14:paraId="159E9D02">
            <w:pPr>
              <w:spacing w:before="165"/>
              <w:ind w:firstLine="420"/>
              <w:jc w:val="center"/>
              <w:rPr>
                <w:rFonts w:ascii="宋体" w:hAnsi="宋体" w:cs="宋体"/>
                <w:color w:val="auto"/>
                <w:szCs w:val="21"/>
              </w:rPr>
            </w:pPr>
            <w:r>
              <w:rPr>
                <w:rFonts w:hint="eastAsia" w:ascii="宋体" w:hAnsi="宋体" w:cs="宋体"/>
                <w:color w:val="auto"/>
                <w:szCs w:val="21"/>
              </w:rPr>
              <w:t>0.006%</w:t>
            </w:r>
          </w:p>
        </w:tc>
        <w:tc>
          <w:tcPr>
            <w:tcW w:w="2038" w:type="dxa"/>
          </w:tcPr>
          <w:p w14:paraId="263952CD">
            <w:pPr>
              <w:spacing w:before="165"/>
              <w:ind w:firstLine="210" w:firstLineChars="100"/>
              <w:jc w:val="center"/>
              <w:rPr>
                <w:rFonts w:ascii="宋体" w:hAnsi="宋体" w:cs="宋体"/>
                <w:color w:val="auto"/>
                <w:szCs w:val="21"/>
              </w:rPr>
            </w:pPr>
            <w:r>
              <w:rPr>
                <w:rFonts w:hint="eastAsia" w:ascii="宋体" w:hAnsi="宋体" w:cs="宋体"/>
                <w:color w:val="auto"/>
                <w:szCs w:val="21"/>
              </w:rPr>
              <w:t>0.006%</w:t>
            </w:r>
          </w:p>
        </w:tc>
        <w:tc>
          <w:tcPr>
            <w:tcW w:w="2130" w:type="dxa"/>
          </w:tcPr>
          <w:p w14:paraId="0F164AE3">
            <w:pPr>
              <w:spacing w:before="165"/>
              <w:ind w:firstLine="105" w:firstLineChars="50"/>
              <w:jc w:val="center"/>
              <w:rPr>
                <w:rFonts w:ascii="宋体" w:hAnsi="宋体" w:cs="宋体"/>
                <w:color w:val="auto"/>
                <w:szCs w:val="21"/>
              </w:rPr>
            </w:pPr>
            <w:r>
              <w:rPr>
                <w:rFonts w:hint="eastAsia" w:ascii="宋体" w:hAnsi="宋体" w:cs="宋体"/>
                <w:color w:val="auto"/>
                <w:szCs w:val="21"/>
              </w:rPr>
              <w:t>0.006%</w:t>
            </w:r>
          </w:p>
        </w:tc>
      </w:tr>
      <w:tr w14:paraId="7C9B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90" w:type="dxa"/>
          </w:tcPr>
          <w:p w14:paraId="12F0436D">
            <w:pPr>
              <w:spacing w:before="165"/>
              <w:ind w:firstLine="420"/>
              <w:jc w:val="center"/>
              <w:rPr>
                <w:rFonts w:ascii="宋体" w:hAnsi="宋体" w:cs="宋体"/>
                <w:color w:val="auto"/>
                <w:szCs w:val="21"/>
              </w:rPr>
            </w:pPr>
            <w:r>
              <w:rPr>
                <w:rFonts w:hint="eastAsia" w:ascii="宋体" w:hAnsi="宋体" w:cs="宋体"/>
                <w:color w:val="auto"/>
                <w:szCs w:val="21"/>
              </w:rPr>
              <w:t>100亿以上</w:t>
            </w:r>
          </w:p>
        </w:tc>
        <w:tc>
          <w:tcPr>
            <w:tcW w:w="1900" w:type="dxa"/>
          </w:tcPr>
          <w:p w14:paraId="5FE4472B">
            <w:pPr>
              <w:spacing w:before="165"/>
              <w:ind w:firstLine="420"/>
              <w:jc w:val="center"/>
              <w:rPr>
                <w:rFonts w:ascii="宋体" w:hAnsi="宋体" w:cs="宋体"/>
                <w:color w:val="auto"/>
                <w:szCs w:val="21"/>
              </w:rPr>
            </w:pPr>
            <w:r>
              <w:rPr>
                <w:rFonts w:hint="eastAsia" w:ascii="宋体" w:hAnsi="宋体" w:cs="宋体"/>
                <w:color w:val="auto"/>
                <w:szCs w:val="21"/>
              </w:rPr>
              <w:t>0.004%</w:t>
            </w:r>
          </w:p>
        </w:tc>
        <w:tc>
          <w:tcPr>
            <w:tcW w:w="2038" w:type="dxa"/>
          </w:tcPr>
          <w:p w14:paraId="2048575B">
            <w:pPr>
              <w:spacing w:before="165"/>
              <w:ind w:firstLine="210" w:firstLineChars="100"/>
              <w:jc w:val="center"/>
              <w:rPr>
                <w:rFonts w:ascii="宋体" w:hAnsi="宋体" w:cs="宋体"/>
                <w:color w:val="auto"/>
                <w:szCs w:val="21"/>
              </w:rPr>
            </w:pPr>
            <w:r>
              <w:rPr>
                <w:rFonts w:hint="eastAsia" w:ascii="宋体" w:hAnsi="宋体" w:cs="宋体"/>
                <w:color w:val="auto"/>
                <w:szCs w:val="21"/>
              </w:rPr>
              <w:t>0.004%</w:t>
            </w:r>
          </w:p>
        </w:tc>
        <w:tc>
          <w:tcPr>
            <w:tcW w:w="2130" w:type="dxa"/>
          </w:tcPr>
          <w:p w14:paraId="093EF713">
            <w:pPr>
              <w:spacing w:before="165"/>
              <w:ind w:firstLine="105" w:firstLineChars="50"/>
              <w:jc w:val="center"/>
              <w:rPr>
                <w:rFonts w:ascii="宋体" w:hAnsi="宋体" w:cs="宋体"/>
                <w:color w:val="auto"/>
                <w:szCs w:val="21"/>
              </w:rPr>
            </w:pPr>
            <w:r>
              <w:rPr>
                <w:rFonts w:hint="eastAsia" w:ascii="宋体" w:hAnsi="宋体" w:cs="宋体"/>
                <w:color w:val="auto"/>
                <w:szCs w:val="21"/>
              </w:rPr>
              <w:t>0.004%</w:t>
            </w:r>
          </w:p>
        </w:tc>
      </w:tr>
    </w:tbl>
    <w:p w14:paraId="3D7F8195">
      <w:pPr>
        <w:spacing w:line="360" w:lineRule="auto"/>
        <w:ind w:firstLine="420" w:firstLineChars="200"/>
        <w:contextualSpacing/>
        <w:rPr>
          <w:rFonts w:ascii="宋体" w:hAnsi="宋体" w:cs="宋体"/>
          <w:color w:val="auto"/>
        </w:rPr>
      </w:pPr>
      <w:r>
        <w:rPr>
          <w:rFonts w:hint="eastAsia" w:ascii="宋体" w:hAnsi="宋体" w:cs="宋体"/>
          <w:color w:val="auto"/>
        </w:rPr>
        <w:t xml:space="preserve">注： </w:t>
      </w:r>
    </w:p>
    <w:p w14:paraId="005BC891">
      <w:pPr>
        <w:spacing w:line="360" w:lineRule="auto"/>
        <w:ind w:firstLine="420" w:firstLineChars="200"/>
        <w:contextualSpacing/>
        <w:rPr>
          <w:rFonts w:ascii="宋体" w:hAnsi="宋体" w:cs="宋体"/>
          <w:color w:val="auto"/>
        </w:rPr>
      </w:pPr>
      <w:r>
        <w:rPr>
          <w:rFonts w:hint="eastAsia" w:ascii="宋体" w:hAnsi="宋体" w:cs="宋体"/>
          <w:color w:val="auto"/>
        </w:rPr>
        <w:t>（1）按本表费率计算的收费为采购代理的收费基准价格；</w:t>
      </w:r>
    </w:p>
    <w:p w14:paraId="709259BA">
      <w:pPr>
        <w:spacing w:line="360" w:lineRule="auto"/>
        <w:ind w:firstLine="420" w:firstLineChars="200"/>
        <w:contextualSpacing/>
        <w:rPr>
          <w:rFonts w:ascii="宋体" w:hAnsi="宋体" w:cs="宋体"/>
          <w:color w:val="auto"/>
        </w:rPr>
      </w:pPr>
      <w:r>
        <w:rPr>
          <w:rFonts w:hint="eastAsia" w:ascii="宋体" w:hAnsi="宋体" w:cs="宋体"/>
          <w:color w:val="auto"/>
        </w:rPr>
        <w:t>（2）采购代理收费按差额定率累进法计算。</w:t>
      </w:r>
    </w:p>
    <w:p w14:paraId="3485112C">
      <w:pPr>
        <w:spacing w:line="360" w:lineRule="auto"/>
        <w:ind w:firstLine="420" w:firstLineChars="200"/>
        <w:contextualSpacing/>
        <w:rPr>
          <w:rFonts w:ascii="宋体" w:hAnsi="宋体" w:cs="宋体"/>
          <w:color w:val="auto"/>
        </w:rPr>
      </w:pPr>
      <w:r>
        <w:rPr>
          <w:rFonts w:hint="eastAsia" w:ascii="宋体" w:hAnsi="宋体" w:cs="宋体"/>
          <w:color w:val="auto"/>
        </w:rPr>
        <w:t>例如：某货物采购代理业务成交金额或者暂定价为150万元，计算采购代理收费额如下：</w:t>
      </w:r>
    </w:p>
    <w:p w14:paraId="44904FF9">
      <w:pPr>
        <w:spacing w:line="360" w:lineRule="auto"/>
        <w:ind w:firstLine="420" w:firstLineChars="200"/>
        <w:contextualSpacing/>
        <w:rPr>
          <w:rFonts w:ascii="宋体" w:hAnsi="宋体" w:cs="宋体"/>
          <w:color w:val="auto"/>
        </w:rPr>
      </w:pPr>
      <w:r>
        <w:rPr>
          <w:rFonts w:hint="eastAsia" w:ascii="宋体" w:hAnsi="宋体" w:cs="宋体"/>
          <w:color w:val="auto"/>
        </w:rPr>
        <w:t>100 万元 ×l.5 %＝ 1.5 万元</w:t>
      </w:r>
    </w:p>
    <w:p w14:paraId="17F772B4">
      <w:pPr>
        <w:spacing w:line="360" w:lineRule="auto"/>
        <w:ind w:firstLine="420" w:firstLineChars="200"/>
        <w:contextualSpacing/>
        <w:rPr>
          <w:rFonts w:ascii="宋体" w:hAnsi="宋体" w:cs="宋体"/>
          <w:color w:val="auto"/>
        </w:rPr>
      </w:pPr>
      <w:r>
        <w:rPr>
          <w:rFonts w:hint="eastAsia" w:ascii="宋体" w:hAnsi="宋体" w:cs="宋体"/>
          <w:color w:val="auto"/>
        </w:rPr>
        <w:t>（ 150 － 100 ）万元 ×1.1%＝ 0.55 万元</w:t>
      </w:r>
    </w:p>
    <w:p w14:paraId="12FC652C">
      <w:pPr>
        <w:spacing w:line="360" w:lineRule="auto"/>
        <w:ind w:firstLine="420" w:firstLineChars="200"/>
        <w:contextualSpacing/>
        <w:rPr>
          <w:rFonts w:ascii="宋体" w:hAnsi="宋体" w:cs="宋体"/>
          <w:color w:val="auto"/>
        </w:rPr>
      </w:pPr>
      <w:r>
        <w:rPr>
          <w:rFonts w:hint="eastAsia" w:ascii="宋体" w:hAnsi="宋体" w:cs="宋体"/>
          <w:color w:val="auto"/>
        </w:rPr>
        <w:t>合计收费＝ 1.5 ＋ 0.55＝ 2.05 （万元）</w:t>
      </w:r>
    </w:p>
    <w:p w14:paraId="7CE90948">
      <w:pPr>
        <w:spacing w:line="360" w:lineRule="auto"/>
        <w:ind w:firstLine="482" w:firstLineChars="200"/>
        <w:contextualSpacing/>
        <w:rPr>
          <w:rFonts w:ascii="宋体" w:hAnsi="宋体" w:cs="宋体"/>
          <w:b/>
          <w:bCs/>
          <w:color w:val="auto"/>
          <w:sz w:val="24"/>
        </w:rPr>
      </w:pPr>
      <w:r>
        <w:rPr>
          <w:rFonts w:hint="eastAsia" w:ascii="宋体" w:hAnsi="宋体" w:cs="宋体"/>
          <w:b/>
          <w:bCs/>
          <w:color w:val="auto"/>
          <w:sz w:val="24"/>
        </w:rPr>
        <w:t>33. 需要补充的其他内容</w:t>
      </w:r>
    </w:p>
    <w:p w14:paraId="29D50893">
      <w:pPr>
        <w:spacing w:line="360" w:lineRule="auto"/>
        <w:ind w:firstLine="420" w:firstLineChars="200"/>
        <w:contextualSpacing/>
        <w:rPr>
          <w:rFonts w:ascii="宋体" w:hAnsi="宋体" w:cs="宋体"/>
          <w:color w:val="auto"/>
          <w:kern w:val="0"/>
          <w:szCs w:val="21"/>
        </w:rPr>
      </w:pPr>
      <w:r>
        <w:rPr>
          <w:rFonts w:hint="eastAsia" w:ascii="宋体" w:hAnsi="宋体" w:cs="宋体"/>
          <w:color w:val="auto"/>
          <w:kern w:val="0"/>
          <w:szCs w:val="21"/>
        </w:rPr>
        <w:t>33.1本谈判文件解释规则详见“供应商须知前附表”。</w:t>
      </w:r>
    </w:p>
    <w:p w14:paraId="7AF2602C">
      <w:pPr>
        <w:spacing w:line="360" w:lineRule="auto"/>
        <w:ind w:firstLine="420" w:firstLineChars="200"/>
        <w:contextualSpacing/>
        <w:rPr>
          <w:rFonts w:ascii="宋体" w:hAnsi="宋体" w:cs="宋体"/>
          <w:color w:val="auto"/>
        </w:rPr>
      </w:pPr>
      <w:r>
        <w:rPr>
          <w:rFonts w:hint="eastAsia" w:ascii="宋体" w:hAnsi="宋体" w:cs="宋体"/>
          <w:color w:val="auto"/>
          <w:kern w:val="0"/>
          <w:szCs w:val="21"/>
        </w:rPr>
        <w:t>33.2 其他事</w:t>
      </w:r>
      <w:r>
        <w:rPr>
          <w:rFonts w:hint="eastAsia" w:ascii="宋体" w:hAnsi="宋体" w:cs="宋体"/>
          <w:color w:val="auto"/>
        </w:rPr>
        <w:t>项详见“供应商须知前附表”。</w:t>
      </w:r>
    </w:p>
    <w:p w14:paraId="7138D957">
      <w:pPr>
        <w:spacing w:line="360" w:lineRule="auto"/>
        <w:ind w:firstLine="400" w:firstLineChars="200"/>
        <w:contextualSpacing/>
        <w:rPr>
          <w:rFonts w:ascii="宋体" w:hAnsi="宋体" w:cs="宋体"/>
          <w:color w:val="auto"/>
          <w:kern w:val="0"/>
          <w:szCs w:val="21"/>
        </w:rPr>
      </w:pPr>
      <w:r>
        <w:rPr>
          <w:rFonts w:hint="eastAsia" w:ascii="宋体" w:hAnsi="宋体" w:cs="宋体"/>
          <w:color w:val="auto"/>
          <w:kern w:val="0"/>
          <w:sz w:val="20"/>
          <w:szCs w:val="21"/>
        </w:rPr>
        <w:t>33.3</w:t>
      </w:r>
      <w:bookmarkStart w:id="68" w:name="_Hlk65857140"/>
      <w:r>
        <w:rPr>
          <w:rFonts w:hint="eastAsia" w:ascii="宋体" w:hAnsi="宋体" w:cs="宋体"/>
          <w:color w:val="auto"/>
          <w:kern w:val="0"/>
          <w:szCs w:val="21"/>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13F853C7">
      <w:pPr>
        <w:spacing w:line="360" w:lineRule="auto"/>
        <w:ind w:firstLine="420" w:firstLineChars="200"/>
        <w:contextualSpacing/>
        <w:rPr>
          <w:rFonts w:ascii="宋体" w:hAnsi="宋体" w:cs="宋体"/>
          <w:color w:val="auto"/>
          <w:kern w:val="0"/>
          <w:szCs w:val="21"/>
        </w:rPr>
      </w:pPr>
      <w:r>
        <w:rPr>
          <w:rFonts w:hint="eastAsia" w:ascii="宋体" w:hAnsi="宋体" w:cs="宋体"/>
          <w:color w:val="auto"/>
          <w:kern w:val="0"/>
          <w:szCs w:val="21"/>
        </w:rPr>
        <w:t>（1）在货物采购项目中，货物由中小企业制造，即货物由中小企业生产且使用该中小企业商号或者注册商标，不对其中涉及的工程承建商和服务的承接商作出要求；</w:t>
      </w:r>
    </w:p>
    <w:p w14:paraId="43612F03">
      <w:pPr>
        <w:spacing w:line="400" w:lineRule="exact"/>
        <w:ind w:firstLine="420" w:firstLineChars="200"/>
        <w:contextualSpacing/>
        <w:rPr>
          <w:rFonts w:ascii="宋体" w:hAnsi="宋体" w:cs="宋体"/>
          <w:color w:val="auto"/>
          <w:kern w:val="0"/>
          <w:szCs w:val="21"/>
        </w:rPr>
      </w:pPr>
      <w:r>
        <w:rPr>
          <w:rFonts w:hint="eastAsia" w:ascii="宋体" w:hAnsi="宋体" w:cs="宋体"/>
          <w:color w:val="auto"/>
          <w:kern w:val="0"/>
          <w:szCs w:val="21"/>
        </w:rPr>
        <w:t>（2）在工程采购项目中，工程由中小企业承建，即工程施工单位为中小企业，不对其中涉及的货物的制造商和服务的承接商作出要求；</w:t>
      </w:r>
    </w:p>
    <w:p w14:paraId="220781BC">
      <w:pPr>
        <w:spacing w:line="400" w:lineRule="exact"/>
        <w:ind w:firstLine="420" w:firstLineChars="200"/>
        <w:contextualSpacing/>
        <w:rPr>
          <w:rFonts w:ascii="宋体" w:hAnsi="宋体" w:cs="宋体"/>
          <w:color w:val="auto"/>
          <w:kern w:val="0"/>
          <w:szCs w:val="21"/>
        </w:rPr>
      </w:pPr>
      <w:r>
        <w:rPr>
          <w:rFonts w:hint="eastAsia" w:ascii="宋体" w:hAnsi="宋体" w:cs="宋体"/>
          <w:color w:val="auto"/>
          <w:kern w:val="0"/>
          <w:szCs w:val="21"/>
        </w:rPr>
        <w:t>（3）在服务采购项目中，服务由中小企业承接，即提供服务的人员为中小企业依照《中华人民共和国劳动合同法》订立劳动合同的从业人员，不对其中涉及的货物的制造商和工程承建商作出要求。</w:t>
      </w:r>
    </w:p>
    <w:p w14:paraId="459340FB">
      <w:pPr>
        <w:spacing w:line="400" w:lineRule="exact"/>
        <w:ind w:firstLine="420" w:firstLineChars="200"/>
        <w:contextualSpacing/>
        <w:rPr>
          <w:rFonts w:ascii="宋体" w:hAnsi="宋体" w:cs="宋体"/>
          <w:color w:val="auto"/>
          <w:kern w:val="0"/>
          <w:szCs w:val="21"/>
        </w:rPr>
      </w:pPr>
      <w:r>
        <w:rPr>
          <w:rFonts w:hint="eastAsia" w:ascii="宋体" w:hAnsi="宋体" w:cs="宋体"/>
          <w:color w:val="auto"/>
          <w:kern w:val="0"/>
          <w:szCs w:val="21"/>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6230336A">
      <w:pPr>
        <w:spacing w:line="400" w:lineRule="exact"/>
        <w:ind w:firstLine="420" w:firstLineChars="200"/>
        <w:contextualSpacing/>
        <w:rPr>
          <w:rFonts w:ascii="宋体" w:hAnsi="宋体" w:cs="宋体"/>
          <w:color w:val="auto"/>
        </w:rPr>
        <w:sectPr>
          <w:pgSz w:w="11906" w:h="16838"/>
          <w:pgMar w:top="1440" w:right="1803" w:bottom="1440" w:left="1803" w:header="720" w:footer="720" w:gutter="0"/>
          <w:cols w:space="720" w:num="1"/>
          <w:docGrid w:type="lines" w:linePitch="331" w:charSpace="0"/>
        </w:sectPr>
      </w:pPr>
      <w:r>
        <w:rPr>
          <w:rFonts w:hint="eastAsia" w:ascii="宋体" w:hAnsi="宋体" w:cs="宋体"/>
          <w:color w:val="auto"/>
        </w:rPr>
        <w:t>依据本谈判文件规定享受扶持政策获得政府采购合同的，小微企业不得将合同分包给大中型企业，中型企业不得将合同分包给大型企业。</w:t>
      </w:r>
      <w:bookmarkEnd w:id="68"/>
    </w:p>
    <w:p w14:paraId="0F2FBA36">
      <w:pPr>
        <w:snapToGrid w:val="0"/>
        <w:spacing w:before="165"/>
        <w:ind w:firstLine="560"/>
        <w:rPr>
          <w:rFonts w:ascii="宋体" w:hAnsi="宋体" w:cs="宋体"/>
          <w:color w:val="auto"/>
          <w:kern w:val="0"/>
          <w:sz w:val="28"/>
          <w:szCs w:val="28"/>
        </w:rPr>
      </w:pPr>
      <w:r>
        <w:rPr>
          <w:rFonts w:hint="eastAsia" w:ascii="宋体" w:hAnsi="宋体" w:cs="宋体"/>
          <w:color w:val="auto"/>
          <w:kern w:val="0"/>
          <w:sz w:val="28"/>
          <w:szCs w:val="28"/>
        </w:rPr>
        <w:t>附件1：</w:t>
      </w:r>
    </w:p>
    <w:p w14:paraId="5B53C2B2">
      <w:pPr>
        <w:widowControl/>
        <w:shd w:val="clear" w:color="auto" w:fill="FFFFFF"/>
        <w:spacing w:before="165" w:line="480" w:lineRule="atLeast"/>
        <w:ind w:firstLine="562"/>
        <w:jc w:val="center"/>
        <w:rPr>
          <w:rFonts w:ascii="宋体" w:hAnsi="宋体" w:cs="宋体"/>
          <w:b/>
          <w:bCs/>
          <w:color w:val="auto"/>
          <w:kern w:val="0"/>
          <w:sz w:val="28"/>
          <w:szCs w:val="28"/>
        </w:rPr>
      </w:pPr>
      <w:r>
        <w:rPr>
          <w:rFonts w:hint="eastAsia" w:ascii="宋体" w:hAnsi="宋体" w:cs="宋体"/>
          <w:b/>
          <w:bCs/>
          <w:color w:val="auto"/>
          <w:kern w:val="0"/>
          <w:sz w:val="28"/>
          <w:szCs w:val="28"/>
        </w:rPr>
        <w:t>采购项目合同验收书（格式）</w:t>
      </w:r>
    </w:p>
    <w:p w14:paraId="37BC9417">
      <w:pPr>
        <w:widowControl/>
        <w:shd w:val="clear" w:color="auto" w:fill="FFFFFF"/>
        <w:snapToGrid w:val="0"/>
        <w:spacing w:before="165" w:line="320" w:lineRule="atLeast"/>
        <w:ind w:firstLine="420"/>
        <w:jc w:val="left"/>
        <w:rPr>
          <w:rFonts w:ascii="宋体" w:hAnsi="宋体" w:cs="宋体"/>
          <w:color w:val="auto"/>
          <w:kern w:val="0"/>
          <w:szCs w:val="21"/>
        </w:rPr>
      </w:pPr>
      <w:r>
        <w:rPr>
          <w:rFonts w:hint="eastAsia" w:ascii="宋体" w:hAnsi="宋体" w:cs="宋体"/>
          <w:color w:val="auto"/>
          <w:kern w:val="0"/>
          <w:szCs w:val="21"/>
        </w:rPr>
        <w:t>根据采购项目（</w:t>
      </w:r>
      <w:r>
        <w:rPr>
          <w:rFonts w:hint="eastAsia" w:ascii="宋体" w:hAnsi="宋体" w:cs="宋体"/>
          <w:color w:val="auto"/>
          <w:kern w:val="0"/>
          <w:szCs w:val="21"/>
          <w:u w:val="single"/>
        </w:rPr>
        <w:t>采购合同编号：</w:t>
      </w:r>
      <w:r>
        <w:rPr>
          <w:rFonts w:hint="eastAsia" w:ascii="宋体" w:hAnsi="宋体" w:cs="宋体"/>
          <w:color w:val="auto"/>
          <w:kern w:val="0"/>
          <w:szCs w:val="21"/>
          <w:u w:val="single"/>
        </w:rPr>
        <w:softHyphen/>
      </w:r>
      <w:r>
        <w:rPr>
          <w:rFonts w:hint="eastAsia" w:ascii="宋体" w:hAnsi="宋体" w:cs="宋体"/>
          <w:color w:val="auto"/>
          <w:kern w:val="0"/>
          <w:szCs w:val="21"/>
          <w:u w:val="single"/>
        </w:rPr>
        <w:t>   </w:t>
      </w:r>
      <w:r>
        <w:rPr>
          <w:rFonts w:hint="eastAsia" w:ascii="宋体" w:hAnsi="宋体" w:cs="宋体"/>
          <w:color w:val="auto"/>
          <w:kern w:val="0"/>
          <w:szCs w:val="21"/>
        </w:rPr>
        <w:t>）的约定，我单位对（</w:t>
      </w:r>
      <w:r>
        <w:rPr>
          <w:rFonts w:hint="eastAsia" w:ascii="宋体" w:hAnsi="宋体" w:cs="宋体"/>
          <w:color w:val="auto"/>
          <w:kern w:val="0"/>
          <w:szCs w:val="21"/>
          <w:u w:val="single"/>
        </w:rPr>
        <w:t xml:space="preserve"> 项目名称   </w:t>
      </w:r>
      <w:r>
        <w:rPr>
          <w:rFonts w:hint="eastAsia" w:ascii="宋体" w:hAnsi="宋体" w:cs="宋体"/>
          <w:color w:val="auto"/>
          <w:kern w:val="0"/>
          <w:szCs w:val="21"/>
        </w:rPr>
        <w:t>）采购项目中标（或成交）供应商（</w:t>
      </w:r>
      <w:r>
        <w:rPr>
          <w:rFonts w:hint="eastAsia" w:ascii="宋体" w:hAnsi="宋体" w:cs="宋体"/>
          <w:color w:val="auto"/>
          <w:kern w:val="0"/>
          <w:szCs w:val="21"/>
          <w:u w:val="single"/>
        </w:rPr>
        <w:t xml:space="preserve">            公司名称              </w:t>
      </w:r>
      <w:r>
        <w:rPr>
          <w:rFonts w:hint="eastAsia" w:ascii="宋体" w:hAnsi="宋体" w:cs="宋体"/>
          <w:color w:val="auto"/>
          <w:kern w:val="0"/>
          <w:szCs w:val="21"/>
        </w:rPr>
        <w:t>）提供的货物（或工程、服务）进行了验收，验收情况如下：</w:t>
      </w:r>
    </w:p>
    <w:tbl>
      <w:tblPr>
        <w:tblStyle w:val="26"/>
        <w:tblW w:w="9079" w:type="dxa"/>
        <w:jc w:val="center"/>
        <w:tblLayout w:type="fixed"/>
        <w:tblCellMar>
          <w:top w:w="0" w:type="dxa"/>
          <w:left w:w="0" w:type="dxa"/>
          <w:bottom w:w="0" w:type="dxa"/>
          <w:right w:w="0" w:type="dxa"/>
        </w:tblCellMar>
      </w:tblPr>
      <w:tblGrid>
        <w:gridCol w:w="1578"/>
        <w:gridCol w:w="1681"/>
        <w:gridCol w:w="664"/>
        <w:gridCol w:w="2017"/>
        <w:gridCol w:w="186"/>
        <w:gridCol w:w="720"/>
        <w:gridCol w:w="2233"/>
      </w:tblGrid>
      <w:tr w14:paraId="68C1E487">
        <w:tblPrEx>
          <w:tblCellMar>
            <w:top w:w="0" w:type="dxa"/>
            <w:left w:w="0" w:type="dxa"/>
            <w:bottom w:w="0" w:type="dxa"/>
            <w:right w:w="0" w:type="dxa"/>
          </w:tblCellMar>
        </w:tblPrEx>
        <w:trPr>
          <w:trHeight w:val="497" w:hRule="atLeast"/>
          <w:jc w:val="center"/>
        </w:trPr>
        <w:tc>
          <w:tcPr>
            <w:tcW w:w="3259" w:type="dxa"/>
            <w:gridSpan w:val="2"/>
            <w:tcBorders>
              <w:top w:val="single" w:color="auto" w:sz="8" w:space="0"/>
              <w:left w:val="single" w:color="auto" w:sz="8" w:space="0"/>
              <w:bottom w:val="single" w:color="auto" w:sz="8" w:space="0"/>
              <w:right w:val="single" w:color="auto" w:sz="8" w:space="0"/>
            </w:tcBorders>
            <w:vAlign w:val="center"/>
          </w:tcPr>
          <w:p w14:paraId="293B0F8F">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验收方式：</w:t>
            </w:r>
          </w:p>
        </w:tc>
        <w:tc>
          <w:tcPr>
            <w:tcW w:w="5820" w:type="dxa"/>
            <w:gridSpan w:val="5"/>
            <w:tcBorders>
              <w:top w:val="single" w:color="auto" w:sz="8" w:space="0"/>
              <w:left w:val="nil"/>
              <w:bottom w:val="single" w:color="auto" w:sz="8" w:space="0"/>
              <w:right w:val="single" w:color="auto" w:sz="8" w:space="0"/>
            </w:tcBorders>
            <w:vAlign w:val="center"/>
          </w:tcPr>
          <w:p w14:paraId="756ABFA2">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□自行验收        □委托验收</w:t>
            </w:r>
          </w:p>
        </w:tc>
      </w:tr>
      <w:tr w14:paraId="75BFFA7E">
        <w:tblPrEx>
          <w:tblCellMar>
            <w:top w:w="0" w:type="dxa"/>
            <w:left w:w="0" w:type="dxa"/>
            <w:bottom w:w="0" w:type="dxa"/>
            <w:right w:w="0" w:type="dxa"/>
          </w:tblCellMar>
        </w:tblPrEx>
        <w:trPr>
          <w:trHeight w:val="622" w:hRule="atLeast"/>
          <w:jc w:val="center"/>
        </w:trPr>
        <w:tc>
          <w:tcPr>
            <w:tcW w:w="1578" w:type="dxa"/>
            <w:tcBorders>
              <w:top w:val="nil"/>
              <w:left w:val="single" w:color="auto" w:sz="8" w:space="0"/>
              <w:bottom w:val="single" w:color="auto" w:sz="8" w:space="0"/>
              <w:right w:val="single" w:color="auto" w:sz="8" w:space="0"/>
            </w:tcBorders>
            <w:vAlign w:val="center"/>
          </w:tcPr>
          <w:p w14:paraId="78B07837">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序号</w:t>
            </w:r>
          </w:p>
        </w:tc>
        <w:tc>
          <w:tcPr>
            <w:tcW w:w="1681" w:type="dxa"/>
            <w:tcBorders>
              <w:top w:val="nil"/>
              <w:left w:val="nil"/>
              <w:bottom w:val="single" w:color="auto" w:sz="8" w:space="0"/>
              <w:right w:val="single" w:color="auto" w:sz="8" w:space="0"/>
            </w:tcBorders>
            <w:vAlign w:val="center"/>
          </w:tcPr>
          <w:p w14:paraId="34EED4D5">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名 称</w:t>
            </w:r>
          </w:p>
        </w:tc>
        <w:tc>
          <w:tcPr>
            <w:tcW w:w="2681" w:type="dxa"/>
            <w:gridSpan w:val="2"/>
            <w:tcBorders>
              <w:top w:val="nil"/>
              <w:left w:val="nil"/>
              <w:bottom w:val="single" w:color="auto" w:sz="8" w:space="0"/>
              <w:right w:val="single" w:color="auto" w:sz="8" w:space="0"/>
            </w:tcBorders>
            <w:vAlign w:val="center"/>
          </w:tcPr>
          <w:p w14:paraId="01287323">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货物型号规格、标准及配置等（或服务内容、标准）</w:t>
            </w:r>
          </w:p>
        </w:tc>
        <w:tc>
          <w:tcPr>
            <w:tcW w:w="906" w:type="dxa"/>
            <w:gridSpan w:val="2"/>
            <w:tcBorders>
              <w:top w:val="nil"/>
              <w:left w:val="nil"/>
              <w:bottom w:val="single" w:color="auto" w:sz="8" w:space="0"/>
              <w:right w:val="single" w:color="auto" w:sz="8" w:space="0"/>
            </w:tcBorders>
            <w:vAlign w:val="center"/>
          </w:tcPr>
          <w:p w14:paraId="76275BE8">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数量</w:t>
            </w:r>
          </w:p>
        </w:tc>
        <w:tc>
          <w:tcPr>
            <w:tcW w:w="2233" w:type="dxa"/>
            <w:tcBorders>
              <w:top w:val="nil"/>
              <w:left w:val="nil"/>
              <w:bottom w:val="single" w:color="auto" w:sz="8" w:space="0"/>
              <w:right w:val="single" w:color="auto" w:sz="8" w:space="0"/>
            </w:tcBorders>
            <w:vAlign w:val="center"/>
          </w:tcPr>
          <w:p w14:paraId="25360CBE">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金 额</w:t>
            </w:r>
          </w:p>
        </w:tc>
      </w:tr>
      <w:tr w14:paraId="046DEF00">
        <w:tblPrEx>
          <w:tblCellMar>
            <w:top w:w="0" w:type="dxa"/>
            <w:left w:w="0" w:type="dxa"/>
            <w:bottom w:w="0" w:type="dxa"/>
            <w:right w:w="0" w:type="dxa"/>
          </w:tblCellMar>
        </w:tblPrEx>
        <w:trPr>
          <w:trHeight w:val="487" w:hRule="atLeast"/>
          <w:jc w:val="center"/>
        </w:trPr>
        <w:tc>
          <w:tcPr>
            <w:tcW w:w="1578" w:type="dxa"/>
            <w:tcBorders>
              <w:top w:val="nil"/>
              <w:left w:val="single" w:color="auto" w:sz="8" w:space="0"/>
              <w:bottom w:val="single" w:color="auto" w:sz="8" w:space="0"/>
              <w:right w:val="single" w:color="auto" w:sz="8" w:space="0"/>
            </w:tcBorders>
            <w:vAlign w:val="center"/>
          </w:tcPr>
          <w:p w14:paraId="0E97DC45">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1681" w:type="dxa"/>
            <w:tcBorders>
              <w:top w:val="nil"/>
              <w:left w:val="nil"/>
              <w:bottom w:val="single" w:color="auto" w:sz="8" w:space="0"/>
              <w:right w:val="single" w:color="auto" w:sz="8" w:space="0"/>
            </w:tcBorders>
            <w:vAlign w:val="center"/>
          </w:tcPr>
          <w:p w14:paraId="59325AB1">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681" w:type="dxa"/>
            <w:gridSpan w:val="2"/>
            <w:tcBorders>
              <w:top w:val="nil"/>
              <w:left w:val="nil"/>
              <w:bottom w:val="single" w:color="auto" w:sz="8" w:space="0"/>
              <w:right w:val="single" w:color="auto" w:sz="8" w:space="0"/>
            </w:tcBorders>
            <w:vAlign w:val="center"/>
          </w:tcPr>
          <w:p w14:paraId="0A23746B">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906" w:type="dxa"/>
            <w:gridSpan w:val="2"/>
            <w:tcBorders>
              <w:top w:val="nil"/>
              <w:left w:val="nil"/>
              <w:bottom w:val="single" w:color="auto" w:sz="8" w:space="0"/>
              <w:right w:val="single" w:color="auto" w:sz="8" w:space="0"/>
            </w:tcBorders>
            <w:vAlign w:val="center"/>
          </w:tcPr>
          <w:p w14:paraId="658F01F0">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233" w:type="dxa"/>
            <w:tcBorders>
              <w:top w:val="nil"/>
              <w:left w:val="nil"/>
              <w:bottom w:val="single" w:color="auto" w:sz="8" w:space="0"/>
              <w:right w:val="single" w:color="auto" w:sz="8" w:space="0"/>
            </w:tcBorders>
            <w:vAlign w:val="center"/>
          </w:tcPr>
          <w:p w14:paraId="6F7996A1">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r>
      <w:tr w14:paraId="03B2356B">
        <w:tblPrEx>
          <w:tblCellMar>
            <w:top w:w="0" w:type="dxa"/>
            <w:left w:w="0" w:type="dxa"/>
            <w:bottom w:w="0" w:type="dxa"/>
            <w:right w:w="0" w:type="dxa"/>
          </w:tblCellMar>
        </w:tblPrEx>
        <w:trPr>
          <w:trHeight w:val="487" w:hRule="atLeast"/>
          <w:jc w:val="center"/>
        </w:trPr>
        <w:tc>
          <w:tcPr>
            <w:tcW w:w="1578" w:type="dxa"/>
            <w:tcBorders>
              <w:top w:val="nil"/>
              <w:left w:val="single" w:color="auto" w:sz="8" w:space="0"/>
              <w:bottom w:val="single" w:color="auto" w:sz="8" w:space="0"/>
              <w:right w:val="single" w:color="auto" w:sz="8" w:space="0"/>
            </w:tcBorders>
            <w:vAlign w:val="center"/>
          </w:tcPr>
          <w:p w14:paraId="2DC60456">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1681" w:type="dxa"/>
            <w:tcBorders>
              <w:top w:val="nil"/>
              <w:left w:val="nil"/>
              <w:bottom w:val="single" w:color="auto" w:sz="8" w:space="0"/>
              <w:right w:val="single" w:color="auto" w:sz="8" w:space="0"/>
            </w:tcBorders>
            <w:vAlign w:val="center"/>
          </w:tcPr>
          <w:p w14:paraId="071DC844">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681" w:type="dxa"/>
            <w:gridSpan w:val="2"/>
            <w:tcBorders>
              <w:top w:val="nil"/>
              <w:left w:val="nil"/>
              <w:bottom w:val="single" w:color="auto" w:sz="8" w:space="0"/>
              <w:right w:val="single" w:color="auto" w:sz="8" w:space="0"/>
            </w:tcBorders>
            <w:vAlign w:val="center"/>
          </w:tcPr>
          <w:p w14:paraId="29E60E9C">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906" w:type="dxa"/>
            <w:gridSpan w:val="2"/>
            <w:tcBorders>
              <w:top w:val="nil"/>
              <w:left w:val="nil"/>
              <w:bottom w:val="single" w:color="auto" w:sz="8" w:space="0"/>
              <w:right w:val="single" w:color="auto" w:sz="8" w:space="0"/>
            </w:tcBorders>
            <w:vAlign w:val="center"/>
          </w:tcPr>
          <w:p w14:paraId="07A67324">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233" w:type="dxa"/>
            <w:tcBorders>
              <w:top w:val="nil"/>
              <w:left w:val="nil"/>
              <w:bottom w:val="single" w:color="auto" w:sz="8" w:space="0"/>
              <w:right w:val="single" w:color="auto" w:sz="8" w:space="0"/>
            </w:tcBorders>
            <w:vAlign w:val="center"/>
          </w:tcPr>
          <w:p w14:paraId="070D2D8F">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r>
      <w:tr w14:paraId="66B52F2F">
        <w:tblPrEx>
          <w:tblCellMar>
            <w:top w:w="0" w:type="dxa"/>
            <w:left w:w="0" w:type="dxa"/>
            <w:bottom w:w="0" w:type="dxa"/>
            <w:right w:w="0" w:type="dxa"/>
          </w:tblCellMar>
        </w:tblPrEx>
        <w:trPr>
          <w:trHeight w:val="487" w:hRule="atLeast"/>
          <w:jc w:val="center"/>
        </w:trPr>
        <w:tc>
          <w:tcPr>
            <w:tcW w:w="5940" w:type="dxa"/>
            <w:gridSpan w:val="4"/>
            <w:tcBorders>
              <w:top w:val="nil"/>
              <w:left w:val="single" w:color="auto" w:sz="8" w:space="0"/>
              <w:bottom w:val="single" w:color="auto" w:sz="8" w:space="0"/>
              <w:right w:val="single" w:color="auto" w:sz="8" w:space="0"/>
            </w:tcBorders>
            <w:vAlign w:val="center"/>
          </w:tcPr>
          <w:p w14:paraId="1337A90B">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合       计</w:t>
            </w:r>
          </w:p>
        </w:tc>
        <w:tc>
          <w:tcPr>
            <w:tcW w:w="906" w:type="dxa"/>
            <w:gridSpan w:val="2"/>
            <w:tcBorders>
              <w:top w:val="nil"/>
              <w:left w:val="nil"/>
              <w:bottom w:val="single" w:color="auto" w:sz="8" w:space="0"/>
              <w:right w:val="single" w:color="auto" w:sz="8" w:space="0"/>
            </w:tcBorders>
            <w:vAlign w:val="center"/>
          </w:tcPr>
          <w:p w14:paraId="172C7213">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233" w:type="dxa"/>
            <w:tcBorders>
              <w:top w:val="nil"/>
              <w:left w:val="nil"/>
              <w:bottom w:val="single" w:color="auto" w:sz="8" w:space="0"/>
              <w:right w:val="single" w:color="auto" w:sz="8" w:space="0"/>
            </w:tcBorders>
            <w:vAlign w:val="center"/>
          </w:tcPr>
          <w:p w14:paraId="21C72417">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r>
      <w:tr w14:paraId="397EA54D">
        <w:tblPrEx>
          <w:tblCellMar>
            <w:top w:w="0" w:type="dxa"/>
            <w:left w:w="0" w:type="dxa"/>
            <w:bottom w:w="0" w:type="dxa"/>
            <w:right w:w="0" w:type="dxa"/>
          </w:tblCellMar>
        </w:tblPrEx>
        <w:trPr>
          <w:trHeight w:val="641" w:hRule="atLeast"/>
          <w:jc w:val="center"/>
        </w:trPr>
        <w:tc>
          <w:tcPr>
            <w:tcW w:w="9079" w:type="dxa"/>
            <w:gridSpan w:val="7"/>
            <w:tcBorders>
              <w:top w:val="nil"/>
              <w:left w:val="single" w:color="auto" w:sz="8" w:space="0"/>
              <w:bottom w:val="single" w:color="auto" w:sz="8" w:space="0"/>
              <w:right w:val="single" w:color="auto" w:sz="8" w:space="0"/>
            </w:tcBorders>
            <w:vAlign w:val="center"/>
          </w:tcPr>
          <w:p w14:paraId="07811167">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合计大写金额：  仟   佰   拾   万   仟   佰   拾   元</w:t>
            </w:r>
          </w:p>
        </w:tc>
      </w:tr>
      <w:tr w14:paraId="4655F37F">
        <w:tblPrEx>
          <w:tblCellMar>
            <w:top w:w="0" w:type="dxa"/>
            <w:left w:w="0" w:type="dxa"/>
            <w:bottom w:w="0" w:type="dxa"/>
            <w:right w:w="0" w:type="dxa"/>
          </w:tblCellMar>
        </w:tblPrEx>
        <w:trPr>
          <w:trHeight w:val="641" w:hRule="atLeast"/>
          <w:jc w:val="center"/>
        </w:trPr>
        <w:tc>
          <w:tcPr>
            <w:tcW w:w="1578" w:type="dxa"/>
            <w:tcBorders>
              <w:top w:val="nil"/>
              <w:left w:val="single" w:color="auto" w:sz="8" w:space="0"/>
              <w:bottom w:val="single" w:color="auto" w:sz="8" w:space="0"/>
              <w:right w:val="single" w:color="auto" w:sz="8" w:space="0"/>
            </w:tcBorders>
            <w:vAlign w:val="center"/>
          </w:tcPr>
          <w:p w14:paraId="774CC404">
            <w:pPr>
              <w:widowControl/>
              <w:snapToGrid w:val="0"/>
              <w:spacing w:before="165"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实际供货日期</w:t>
            </w:r>
          </w:p>
        </w:tc>
        <w:tc>
          <w:tcPr>
            <w:tcW w:w="2345" w:type="dxa"/>
            <w:gridSpan w:val="2"/>
            <w:tcBorders>
              <w:top w:val="nil"/>
              <w:left w:val="nil"/>
              <w:bottom w:val="single" w:color="auto" w:sz="8" w:space="0"/>
              <w:right w:val="single" w:color="auto" w:sz="8" w:space="0"/>
            </w:tcBorders>
            <w:vAlign w:val="center"/>
          </w:tcPr>
          <w:p w14:paraId="3C97ECF0">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203" w:type="dxa"/>
            <w:gridSpan w:val="2"/>
            <w:tcBorders>
              <w:top w:val="nil"/>
              <w:left w:val="nil"/>
              <w:bottom w:val="single" w:color="auto" w:sz="8" w:space="0"/>
              <w:right w:val="single" w:color="auto" w:sz="8" w:space="0"/>
            </w:tcBorders>
            <w:vAlign w:val="center"/>
          </w:tcPr>
          <w:p w14:paraId="21ABCFDF">
            <w:pPr>
              <w:widowControl/>
              <w:snapToGrid w:val="0"/>
              <w:spacing w:before="165" w:beforeAutospacing="1" w:after="100" w:afterAutospacing="1" w:line="320" w:lineRule="atLeast"/>
              <w:ind w:firstLine="420"/>
              <w:jc w:val="center"/>
              <w:rPr>
                <w:rFonts w:ascii="宋体" w:hAnsi="宋体" w:cs="宋体"/>
                <w:color w:val="auto"/>
                <w:kern w:val="0"/>
                <w:szCs w:val="21"/>
              </w:rPr>
            </w:pPr>
            <w:r>
              <w:rPr>
                <w:rFonts w:hint="eastAsia" w:ascii="宋体" w:hAnsi="宋体" w:cs="宋体"/>
                <w:color w:val="auto"/>
                <w:kern w:val="0"/>
                <w:szCs w:val="21"/>
              </w:rPr>
              <w:t>合同交货验收日期</w:t>
            </w:r>
          </w:p>
        </w:tc>
        <w:tc>
          <w:tcPr>
            <w:tcW w:w="2953" w:type="dxa"/>
            <w:gridSpan w:val="2"/>
            <w:tcBorders>
              <w:top w:val="nil"/>
              <w:left w:val="nil"/>
              <w:bottom w:val="single" w:color="auto" w:sz="8" w:space="0"/>
              <w:right w:val="single" w:color="auto" w:sz="8" w:space="0"/>
            </w:tcBorders>
            <w:vAlign w:val="center"/>
          </w:tcPr>
          <w:p w14:paraId="655B13E6">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r>
      <w:tr w14:paraId="0B24D516">
        <w:tblPrEx>
          <w:tblCellMar>
            <w:top w:w="0" w:type="dxa"/>
            <w:left w:w="0" w:type="dxa"/>
            <w:bottom w:w="0" w:type="dxa"/>
            <w:right w:w="0" w:type="dxa"/>
          </w:tblCellMar>
        </w:tblPrEx>
        <w:trPr>
          <w:trHeight w:val="394" w:hRule="atLeast"/>
          <w:jc w:val="center"/>
        </w:trPr>
        <w:tc>
          <w:tcPr>
            <w:tcW w:w="1578" w:type="dxa"/>
            <w:tcBorders>
              <w:top w:val="nil"/>
              <w:left w:val="single" w:color="auto" w:sz="8" w:space="0"/>
              <w:bottom w:val="single" w:color="auto" w:sz="8" w:space="0"/>
              <w:right w:val="single" w:color="auto" w:sz="8" w:space="0"/>
            </w:tcBorders>
            <w:vAlign w:val="center"/>
          </w:tcPr>
          <w:p w14:paraId="0377F31E">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345" w:type="dxa"/>
            <w:gridSpan w:val="2"/>
            <w:tcBorders>
              <w:top w:val="nil"/>
              <w:left w:val="nil"/>
              <w:bottom w:val="single" w:color="auto" w:sz="8" w:space="0"/>
              <w:right w:val="single" w:color="auto" w:sz="8" w:space="0"/>
            </w:tcBorders>
            <w:vAlign w:val="center"/>
          </w:tcPr>
          <w:p w14:paraId="58CCFE49">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203" w:type="dxa"/>
            <w:gridSpan w:val="2"/>
            <w:tcBorders>
              <w:top w:val="nil"/>
              <w:left w:val="nil"/>
              <w:bottom w:val="single" w:color="auto" w:sz="8" w:space="0"/>
              <w:right w:val="single" w:color="auto" w:sz="8" w:space="0"/>
            </w:tcBorders>
            <w:vAlign w:val="center"/>
          </w:tcPr>
          <w:p w14:paraId="2F8483F2">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c>
          <w:tcPr>
            <w:tcW w:w="2953" w:type="dxa"/>
            <w:gridSpan w:val="2"/>
            <w:tcBorders>
              <w:top w:val="nil"/>
              <w:left w:val="nil"/>
              <w:bottom w:val="single" w:color="auto" w:sz="8" w:space="0"/>
              <w:right w:val="single" w:color="auto" w:sz="8" w:space="0"/>
            </w:tcBorders>
            <w:vAlign w:val="center"/>
          </w:tcPr>
          <w:p w14:paraId="1F7136E4">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r>
      <w:tr w14:paraId="72842A02">
        <w:tblPrEx>
          <w:tblCellMar>
            <w:top w:w="0" w:type="dxa"/>
            <w:left w:w="0" w:type="dxa"/>
            <w:bottom w:w="0" w:type="dxa"/>
            <w:right w:w="0" w:type="dxa"/>
          </w:tblCellMar>
        </w:tblPrEx>
        <w:trPr>
          <w:trHeight w:val="693" w:hRule="atLeast"/>
          <w:jc w:val="center"/>
        </w:trPr>
        <w:tc>
          <w:tcPr>
            <w:tcW w:w="157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E76E181">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验收具体内容</w:t>
            </w:r>
          </w:p>
        </w:tc>
        <w:tc>
          <w:tcPr>
            <w:tcW w:w="7501"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14:paraId="6CAAD9A6">
            <w:pPr>
              <w:widowControl/>
              <w:snapToGrid w:val="0"/>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应按采购合同、采购文件、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743DDF72">
        <w:tblPrEx>
          <w:tblCellMar>
            <w:top w:w="0" w:type="dxa"/>
            <w:left w:w="0" w:type="dxa"/>
            <w:bottom w:w="0" w:type="dxa"/>
            <w:right w:w="0" w:type="dxa"/>
          </w:tblCellMar>
        </w:tblPrEx>
        <w:trPr>
          <w:trHeight w:val="1281" w:hRule="atLeast"/>
          <w:jc w:val="center"/>
        </w:trPr>
        <w:tc>
          <w:tcPr>
            <w:tcW w:w="1578"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026642A">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验收小组意见</w:t>
            </w:r>
          </w:p>
        </w:tc>
        <w:tc>
          <w:tcPr>
            <w:tcW w:w="7501" w:type="dxa"/>
            <w:gridSpan w:val="6"/>
            <w:tcBorders>
              <w:top w:val="nil"/>
              <w:left w:val="nil"/>
              <w:bottom w:val="single" w:color="auto" w:sz="8" w:space="0"/>
              <w:right w:val="single" w:color="auto" w:sz="8" w:space="0"/>
            </w:tcBorders>
            <w:vAlign w:val="center"/>
          </w:tcPr>
          <w:p w14:paraId="54829455">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验收结论性意见：</w:t>
            </w:r>
          </w:p>
          <w:p w14:paraId="1105B8F9">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w:t>
            </w:r>
          </w:p>
        </w:tc>
      </w:tr>
      <w:tr w14:paraId="50EAC1B8">
        <w:tblPrEx>
          <w:tblCellMar>
            <w:top w:w="0" w:type="dxa"/>
            <w:left w:w="0" w:type="dxa"/>
            <w:bottom w:w="0" w:type="dxa"/>
            <w:right w:w="0" w:type="dxa"/>
          </w:tblCellMar>
        </w:tblPrEx>
        <w:trPr>
          <w:trHeight w:val="607" w:hRule="atLeast"/>
          <w:jc w:val="center"/>
        </w:trPr>
        <w:tc>
          <w:tcPr>
            <w:tcW w:w="1578" w:type="dxa"/>
            <w:vMerge w:val="continue"/>
            <w:tcBorders>
              <w:top w:val="nil"/>
              <w:left w:val="single" w:color="auto" w:sz="8" w:space="0"/>
              <w:bottom w:val="single" w:color="auto" w:sz="8" w:space="0"/>
              <w:right w:val="single" w:color="auto" w:sz="8" w:space="0"/>
            </w:tcBorders>
            <w:vAlign w:val="center"/>
          </w:tcPr>
          <w:p w14:paraId="0634B1A6">
            <w:pPr>
              <w:widowControl/>
              <w:spacing w:before="165"/>
              <w:ind w:firstLine="420"/>
              <w:jc w:val="left"/>
              <w:rPr>
                <w:rFonts w:ascii="宋体" w:hAnsi="宋体" w:cs="宋体"/>
                <w:color w:val="auto"/>
                <w:kern w:val="0"/>
                <w:szCs w:val="21"/>
              </w:rPr>
            </w:pPr>
          </w:p>
        </w:tc>
        <w:tc>
          <w:tcPr>
            <w:tcW w:w="7501" w:type="dxa"/>
            <w:gridSpan w:val="6"/>
            <w:tcBorders>
              <w:top w:val="nil"/>
              <w:left w:val="nil"/>
              <w:bottom w:val="single" w:color="auto" w:sz="8" w:space="0"/>
              <w:right w:val="single" w:color="auto" w:sz="8" w:space="0"/>
            </w:tcBorders>
            <w:vAlign w:val="center"/>
          </w:tcPr>
          <w:p w14:paraId="08C23AC8">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有异议的意见和说明理由：</w:t>
            </w:r>
          </w:p>
          <w:p w14:paraId="70002551">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签字：</w:t>
            </w:r>
          </w:p>
        </w:tc>
      </w:tr>
      <w:tr w14:paraId="08F96FD4">
        <w:tblPrEx>
          <w:tblCellMar>
            <w:top w:w="0" w:type="dxa"/>
            <w:left w:w="0" w:type="dxa"/>
            <w:bottom w:w="0" w:type="dxa"/>
            <w:right w:w="0" w:type="dxa"/>
          </w:tblCellMar>
        </w:tblPrEx>
        <w:trPr>
          <w:trHeight w:val="507" w:hRule="atLeast"/>
          <w:jc w:val="center"/>
        </w:trPr>
        <w:tc>
          <w:tcPr>
            <w:tcW w:w="9079"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7FCD880">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验收小组成员签字：</w:t>
            </w:r>
          </w:p>
        </w:tc>
      </w:tr>
      <w:tr w14:paraId="0CEADD1B">
        <w:tblPrEx>
          <w:tblCellMar>
            <w:top w:w="0" w:type="dxa"/>
            <w:left w:w="0" w:type="dxa"/>
            <w:bottom w:w="0" w:type="dxa"/>
            <w:right w:w="0" w:type="dxa"/>
          </w:tblCellMar>
        </w:tblPrEx>
        <w:trPr>
          <w:trHeight w:val="736" w:hRule="atLeast"/>
          <w:jc w:val="center"/>
        </w:trPr>
        <w:tc>
          <w:tcPr>
            <w:tcW w:w="9079"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8957ECF">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监督人员或其他相关人员签字：</w:t>
            </w:r>
          </w:p>
          <w:p w14:paraId="244F36CF">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或受邀机构的意见（盖章）：</w:t>
            </w:r>
          </w:p>
        </w:tc>
      </w:tr>
      <w:tr w14:paraId="25355EC6">
        <w:tblPrEx>
          <w:tblCellMar>
            <w:top w:w="0" w:type="dxa"/>
            <w:left w:w="0" w:type="dxa"/>
            <w:bottom w:w="0" w:type="dxa"/>
            <w:right w:w="0" w:type="dxa"/>
          </w:tblCellMar>
        </w:tblPrEx>
        <w:trPr>
          <w:trHeight w:val="758" w:hRule="atLeast"/>
          <w:jc w:val="center"/>
        </w:trPr>
        <w:tc>
          <w:tcPr>
            <w:tcW w:w="3923" w:type="dxa"/>
            <w:gridSpan w:val="3"/>
            <w:tcBorders>
              <w:top w:val="nil"/>
              <w:left w:val="single" w:color="auto" w:sz="8" w:space="0"/>
              <w:bottom w:val="single" w:color="auto" w:sz="8" w:space="0"/>
              <w:right w:val="nil"/>
            </w:tcBorders>
            <w:tcMar>
              <w:top w:w="0" w:type="dxa"/>
              <w:left w:w="108" w:type="dxa"/>
              <w:bottom w:w="0" w:type="dxa"/>
              <w:right w:w="108" w:type="dxa"/>
            </w:tcMar>
            <w:vAlign w:val="center"/>
          </w:tcPr>
          <w:p w14:paraId="22937B39">
            <w:pPr>
              <w:widowControl/>
              <w:spacing w:before="165" w:beforeAutospacing="1" w:after="100" w:afterAutospacing="1" w:line="320" w:lineRule="atLeast"/>
              <w:ind w:right="-223" w:rightChars="-106" w:firstLine="420"/>
              <w:jc w:val="left"/>
              <w:rPr>
                <w:rFonts w:ascii="宋体" w:hAnsi="宋体" w:cs="宋体"/>
                <w:color w:val="auto"/>
                <w:kern w:val="0"/>
                <w:szCs w:val="21"/>
              </w:rPr>
            </w:pPr>
            <w:r>
              <w:rPr>
                <w:rFonts w:hint="eastAsia" w:ascii="宋体" w:hAnsi="宋体" w:cs="宋体"/>
                <w:color w:val="auto"/>
                <w:kern w:val="0"/>
                <w:szCs w:val="21"/>
              </w:rPr>
              <w:t>中标或者成交供应商负责人签字或盖章：</w:t>
            </w:r>
          </w:p>
          <w:p w14:paraId="6EC5173A">
            <w:pPr>
              <w:widowControl/>
              <w:spacing w:before="165" w:beforeAutospacing="1" w:after="100" w:afterAutospacing="1" w:line="320" w:lineRule="atLeast"/>
              <w:jc w:val="left"/>
              <w:rPr>
                <w:rFonts w:ascii="宋体" w:hAnsi="宋体" w:cs="宋体"/>
                <w:color w:val="auto"/>
                <w:kern w:val="0"/>
                <w:szCs w:val="21"/>
              </w:rPr>
            </w:pPr>
            <w:r>
              <w:rPr>
                <w:rFonts w:hint="eastAsia" w:ascii="宋体" w:hAnsi="宋体" w:cs="宋体"/>
                <w:color w:val="auto"/>
                <w:kern w:val="0"/>
                <w:szCs w:val="21"/>
              </w:rPr>
              <w:t>联系电话：        年 月 日</w:t>
            </w:r>
          </w:p>
        </w:tc>
        <w:tc>
          <w:tcPr>
            <w:tcW w:w="5156" w:type="dxa"/>
            <w:gridSpan w:val="4"/>
            <w:tcBorders>
              <w:top w:val="nil"/>
              <w:left w:val="nil"/>
              <w:bottom w:val="single" w:color="auto" w:sz="8" w:space="0"/>
              <w:right w:val="single" w:color="auto" w:sz="8" w:space="0"/>
            </w:tcBorders>
            <w:vAlign w:val="center"/>
          </w:tcPr>
          <w:p w14:paraId="316E250F">
            <w:pPr>
              <w:widowControl/>
              <w:spacing w:before="165" w:beforeAutospacing="1" w:after="100" w:afterAutospacing="1" w:line="320" w:lineRule="atLeast"/>
              <w:ind w:firstLine="420"/>
              <w:jc w:val="left"/>
              <w:rPr>
                <w:rFonts w:ascii="宋体" w:hAnsi="宋体" w:cs="宋体"/>
                <w:color w:val="auto"/>
                <w:kern w:val="0"/>
                <w:szCs w:val="21"/>
              </w:rPr>
            </w:pPr>
            <w:r>
              <w:rPr>
                <w:rFonts w:hint="eastAsia" w:ascii="宋体" w:hAnsi="宋体" w:cs="宋体"/>
                <w:color w:val="auto"/>
                <w:kern w:val="0"/>
                <w:szCs w:val="21"/>
              </w:rPr>
              <w:t> 采购人或受托机构的意见（盖章）：</w:t>
            </w:r>
          </w:p>
          <w:p w14:paraId="63E2768A">
            <w:pPr>
              <w:widowControl/>
              <w:spacing w:before="165" w:beforeAutospacing="1" w:after="100" w:afterAutospacing="1" w:line="320" w:lineRule="atLeast"/>
              <w:ind w:left="399" w:leftChars="190" w:firstLine="420"/>
              <w:jc w:val="left"/>
              <w:rPr>
                <w:rFonts w:ascii="宋体" w:hAnsi="宋体" w:cs="宋体"/>
                <w:color w:val="auto"/>
                <w:kern w:val="0"/>
                <w:szCs w:val="21"/>
              </w:rPr>
            </w:pPr>
            <w:r>
              <w:rPr>
                <w:rFonts w:hint="eastAsia" w:ascii="宋体" w:hAnsi="宋体" w:cs="宋体"/>
                <w:color w:val="auto"/>
                <w:kern w:val="0"/>
                <w:szCs w:val="21"/>
              </w:rPr>
              <w:t>联系电话：        年  月  日</w:t>
            </w:r>
          </w:p>
        </w:tc>
      </w:tr>
    </w:tbl>
    <w:p w14:paraId="7078D0F4">
      <w:pPr>
        <w:snapToGrid w:val="0"/>
        <w:spacing w:before="165"/>
        <w:ind w:firstLine="560"/>
        <w:rPr>
          <w:rFonts w:ascii="宋体" w:hAnsi="宋体" w:cs="宋体"/>
          <w:color w:val="auto"/>
          <w:kern w:val="0"/>
          <w:sz w:val="28"/>
          <w:szCs w:val="28"/>
        </w:rPr>
      </w:pPr>
      <w:r>
        <w:rPr>
          <w:rFonts w:hint="eastAsia" w:ascii="宋体" w:hAnsi="宋体" w:cs="宋体"/>
          <w:color w:val="auto"/>
          <w:kern w:val="0"/>
          <w:sz w:val="28"/>
          <w:szCs w:val="28"/>
        </w:rPr>
        <w:t>附件2：</w:t>
      </w:r>
    </w:p>
    <w:p w14:paraId="2A09A2BC">
      <w:pPr>
        <w:spacing w:before="165"/>
        <w:ind w:firstLine="643"/>
        <w:jc w:val="center"/>
        <w:rPr>
          <w:rFonts w:ascii="宋体" w:hAnsi="宋体" w:cs="宋体"/>
          <w:b/>
          <w:bCs/>
          <w:color w:val="auto"/>
          <w:sz w:val="32"/>
          <w:szCs w:val="32"/>
        </w:rPr>
      </w:pPr>
      <w:r>
        <w:rPr>
          <w:rFonts w:hint="eastAsia" w:ascii="宋体" w:hAnsi="宋体" w:cs="宋体"/>
          <w:b/>
          <w:bCs/>
          <w:color w:val="auto"/>
          <w:sz w:val="32"/>
          <w:szCs w:val="32"/>
        </w:rPr>
        <w:t>采购项目履约保证金退付意见书</w:t>
      </w:r>
    </w:p>
    <w:tbl>
      <w:tblPr>
        <w:tblStyle w:val="26"/>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1EB3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vAlign w:val="center"/>
          </w:tcPr>
          <w:p w14:paraId="10FEFC42">
            <w:pPr>
              <w:spacing w:before="165"/>
              <w:ind w:firstLine="420"/>
              <w:jc w:val="center"/>
              <w:rPr>
                <w:rFonts w:ascii="宋体" w:hAnsi="宋体" w:cs="宋体"/>
                <w:color w:val="auto"/>
                <w:szCs w:val="21"/>
              </w:rPr>
            </w:pPr>
            <w:r>
              <w:rPr>
                <w:rFonts w:hint="eastAsia" w:ascii="宋体" w:hAnsi="宋体" w:cs="宋体"/>
                <w:color w:val="auto"/>
                <w:szCs w:val="21"/>
              </w:rPr>
              <w:t>供</w:t>
            </w:r>
          </w:p>
          <w:p w14:paraId="030A6BDF">
            <w:pPr>
              <w:spacing w:before="165"/>
              <w:ind w:firstLine="420"/>
              <w:jc w:val="center"/>
              <w:rPr>
                <w:rFonts w:ascii="宋体" w:hAnsi="宋体" w:cs="宋体"/>
                <w:color w:val="auto"/>
                <w:szCs w:val="21"/>
              </w:rPr>
            </w:pPr>
            <w:r>
              <w:rPr>
                <w:rFonts w:hint="eastAsia" w:ascii="宋体" w:hAnsi="宋体" w:cs="宋体"/>
                <w:color w:val="auto"/>
                <w:szCs w:val="21"/>
              </w:rPr>
              <w:t>应</w:t>
            </w:r>
          </w:p>
          <w:p w14:paraId="40E4C5F3">
            <w:pPr>
              <w:spacing w:before="165"/>
              <w:ind w:firstLine="420"/>
              <w:jc w:val="center"/>
              <w:rPr>
                <w:rFonts w:ascii="宋体" w:hAnsi="宋体" w:cs="宋体"/>
                <w:color w:val="auto"/>
                <w:szCs w:val="21"/>
              </w:rPr>
            </w:pPr>
            <w:r>
              <w:rPr>
                <w:rFonts w:hint="eastAsia" w:ascii="宋体" w:hAnsi="宋体" w:cs="宋体"/>
                <w:color w:val="auto"/>
                <w:szCs w:val="21"/>
              </w:rPr>
              <w:t>商</w:t>
            </w:r>
          </w:p>
          <w:p w14:paraId="4ECE3CAF">
            <w:pPr>
              <w:spacing w:before="165"/>
              <w:ind w:firstLine="420"/>
              <w:jc w:val="center"/>
              <w:rPr>
                <w:rFonts w:ascii="宋体" w:hAnsi="宋体" w:cs="宋体"/>
                <w:color w:val="auto"/>
                <w:szCs w:val="21"/>
              </w:rPr>
            </w:pPr>
            <w:r>
              <w:rPr>
                <w:rFonts w:hint="eastAsia" w:ascii="宋体" w:hAnsi="宋体" w:cs="宋体"/>
                <w:color w:val="auto"/>
                <w:szCs w:val="21"/>
              </w:rPr>
              <w:t>申</w:t>
            </w:r>
          </w:p>
          <w:p w14:paraId="4CFA6B7B">
            <w:pPr>
              <w:spacing w:before="165"/>
              <w:ind w:firstLine="420"/>
              <w:jc w:val="center"/>
              <w:rPr>
                <w:rFonts w:ascii="宋体" w:hAnsi="宋体" w:cs="宋体"/>
                <w:color w:val="auto"/>
                <w:szCs w:val="21"/>
              </w:rPr>
            </w:pPr>
            <w:r>
              <w:rPr>
                <w:rFonts w:hint="eastAsia" w:ascii="宋体" w:hAnsi="宋体" w:cs="宋体"/>
                <w:color w:val="auto"/>
                <w:szCs w:val="21"/>
              </w:rPr>
              <w:t>请</w:t>
            </w:r>
          </w:p>
        </w:tc>
        <w:tc>
          <w:tcPr>
            <w:tcW w:w="8009" w:type="dxa"/>
            <w:vAlign w:val="center"/>
          </w:tcPr>
          <w:p w14:paraId="41C8079D">
            <w:pPr>
              <w:spacing w:before="165"/>
              <w:ind w:firstLine="420"/>
              <w:rPr>
                <w:rFonts w:ascii="宋体" w:hAnsi="宋体" w:cs="宋体"/>
                <w:color w:val="auto"/>
                <w:szCs w:val="21"/>
              </w:rPr>
            </w:pPr>
            <w:r>
              <w:rPr>
                <w:rFonts w:hint="eastAsia" w:ascii="宋体" w:hAnsi="宋体" w:cs="宋体"/>
                <w:color w:val="auto"/>
                <w:szCs w:val="21"/>
              </w:rPr>
              <w:t>项目编号：</w:t>
            </w:r>
          </w:p>
        </w:tc>
      </w:tr>
      <w:tr w14:paraId="4848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vAlign w:val="center"/>
          </w:tcPr>
          <w:p w14:paraId="1C8D08B9">
            <w:pPr>
              <w:spacing w:before="165"/>
              <w:ind w:firstLine="420"/>
              <w:rPr>
                <w:rFonts w:ascii="宋体" w:hAnsi="宋体" w:cs="宋体"/>
                <w:color w:val="auto"/>
                <w:szCs w:val="21"/>
              </w:rPr>
            </w:pPr>
          </w:p>
        </w:tc>
        <w:tc>
          <w:tcPr>
            <w:tcW w:w="8009" w:type="dxa"/>
            <w:vAlign w:val="center"/>
          </w:tcPr>
          <w:p w14:paraId="71144B0B">
            <w:pPr>
              <w:spacing w:before="165"/>
              <w:ind w:firstLine="420"/>
              <w:rPr>
                <w:rFonts w:ascii="宋体" w:hAnsi="宋体" w:cs="宋体"/>
                <w:color w:val="auto"/>
                <w:szCs w:val="21"/>
              </w:rPr>
            </w:pPr>
            <w:r>
              <w:rPr>
                <w:rFonts w:hint="eastAsia" w:ascii="宋体" w:hAnsi="宋体" w:cs="宋体"/>
                <w:color w:val="auto"/>
                <w:szCs w:val="21"/>
              </w:rPr>
              <w:t>项目名称：</w:t>
            </w:r>
          </w:p>
        </w:tc>
      </w:tr>
      <w:tr w14:paraId="5A0F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Pr>
          <w:p w14:paraId="5B5C477A">
            <w:pPr>
              <w:spacing w:before="165"/>
              <w:ind w:firstLine="420"/>
              <w:rPr>
                <w:rFonts w:ascii="宋体" w:hAnsi="宋体" w:cs="宋体"/>
                <w:color w:val="auto"/>
                <w:szCs w:val="21"/>
              </w:rPr>
            </w:pPr>
          </w:p>
        </w:tc>
        <w:tc>
          <w:tcPr>
            <w:tcW w:w="8009" w:type="dxa"/>
          </w:tcPr>
          <w:p w14:paraId="533233C6">
            <w:pPr>
              <w:spacing w:before="165"/>
              <w:ind w:firstLine="420"/>
              <w:rPr>
                <w:rFonts w:ascii="宋体" w:hAnsi="宋体" w:cs="宋体"/>
                <w:color w:val="auto"/>
                <w:szCs w:val="21"/>
              </w:rPr>
            </w:pPr>
            <w:r>
              <w:rPr>
                <w:rFonts w:hint="eastAsia" w:ascii="宋体" w:hAnsi="宋体" w:cs="宋体"/>
                <w:color w:val="auto"/>
                <w:szCs w:val="21"/>
              </w:rPr>
              <w:t xml:space="preserve">  </w:t>
            </w:r>
          </w:p>
          <w:p w14:paraId="6F5EEFA9">
            <w:pPr>
              <w:spacing w:before="165"/>
              <w:ind w:firstLine="420" w:firstLineChars="200"/>
              <w:rPr>
                <w:rFonts w:ascii="宋体" w:hAnsi="宋体" w:cs="宋体"/>
                <w:color w:val="auto"/>
                <w:szCs w:val="21"/>
              </w:rPr>
            </w:pPr>
            <w:r>
              <w:rPr>
                <w:rFonts w:hint="eastAsia" w:ascii="宋体" w:hAnsi="宋体" w:cs="宋体"/>
                <w:color w:val="auto"/>
                <w:szCs w:val="21"/>
              </w:rPr>
              <w:t>该项目已于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日验收并交付使用。根据合同规定，该项目的履约保证金期限于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日已满，请将履约保证金</w:t>
            </w:r>
          </w:p>
          <w:p w14:paraId="1A6BB05E">
            <w:pPr>
              <w:spacing w:before="165"/>
              <w:ind w:firstLine="420"/>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（大写）¥</w:t>
            </w:r>
            <w:r>
              <w:rPr>
                <w:rFonts w:hint="eastAsia" w:ascii="宋体" w:hAnsi="宋体" w:cs="宋体"/>
                <w:color w:val="auto"/>
                <w:szCs w:val="21"/>
                <w:u w:val="single"/>
              </w:rPr>
              <w:t xml:space="preserve">          </w:t>
            </w:r>
            <w:r>
              <w:rPr>
                <w:rFonts w:hint="eastAsia" w:ascii="宋体" w:hAnsi="宋体" w:cs="宋体"/>
                <w:color w:val="auto"/>
                <w:szCs w:val="21"/>
              </w:rPr>
              <w:t>（小写）退付到达以下帐户。</w:t>
            </w:r>
          </w:p>
          <w:p w14:paraId="13CA71F1">
            <w:pPr>
              <w:spacing w:before="165"/>
              <w:ind w:firstLine="420"/>
              <w:rPr>
                <w:rFonts w:ascii="宋体" w:hAnsi="宋体" w:cs="宋体"/>
                <w:color w:val="auto"/>
                <w:szCs w:val="21"/>
              </w:rPr>
            </w:pPr>
            <w:r>
              <w:rPr>
                <w:rFonts w:hint="eastAsia" w:ascii="宋体" w:hAnsi="宋体" w:cs="宋体"/>
                <w:color w:val="auto"/>
                <w:szCs w:val="21"/>
              </w:rPr>
              <w:t>单位名称：</w:t>
            </w:r>
          </w:p>
          <w:p w14:paraId="7B524005">
            <w:pPr>
              <w:spacing w:before="165"/>
              <w:ind w:firstLine="420"/>
              <w:rPr>
                <w:rFonts w:ascii="宋体" w:hAnsi="宋体" w:cs="宋体"/>
                <w:color w:val="auto"/>
                <w:szCs w:val="21"/>
              </w:rPr>
            </w:pPr>
            <w:r>
              <w:rPr>
                <w:rFonts w:hint="eastAsia" w:ascii="宋体" w:hAnsi="宋体" w:cs="宋体"/>
                <w:color w:val="auto"/>
                <w:szCs w:val="21"/>
              </w:rPr>
              <w:t>开户银行：</w:t>
            </w:r>
          </w:p>
          <w:p w14:paraId="4CA7D9A0">
            <w:pPr>
              <w:spacing w:before="165"/>
              <w:ind w:firstLine="420"/>
              <w:rPr>
                <w:rFonts w:ascii="宋体" w:hAnsi="宋体" w:cs="宋体"/>
                <w:color w:val="auto"/>
                <w:szCs w:val="21"/>
              </w:rPr>
            </w:pPr>
            <w:r>
              <w:rPr>
                <w:rFonts w:hint="eastAsia" w:ascii="宋体" w:hAnsi="宋体" w:cs="宋体"/>
                <w:color w:val="auto"/>
                <w:szCs w:val="21"/>
              </w:rPr>
              <w:t>帐    号：</w:t>
            </w:r>
          </w:p>
          <w:p w14:paraId="4B8330BE">
            <w:pPr>
              <w:spacing w:before="165"/>
              <w:ind w:firstLine="420"/>
              <w:rPr>
                <w:rFonts w:ascii="宋体" w:hAnsi="宋体" w:cs="宋体"/>
                <w:color w:val="auto"/>
                <w:szCs w:val="21"/>
              </w:rPr>
            </w:pPr>
            <w:r>
              <w:rPr>
                <w:rFonts w:hint="eastAsia" w:ascii="宋体" w:hAnsi="宋体" w:cs="宋体"/>
                <w:color w:val="auto"/>
                <w:szCs w:val="21"/>
              </w:rPr>
              <w:t>联系人及电话：</w:t>
            </w:r>
          </w:p>
          <w:p w14:paraId="3F288002">
            <w:pPr>
              <w:spacing w:before="165"/>
              <w:ind w:firstLine="420"/>
              <w:jc w:val="center"/>
              <w:rPr>
                <w:rFonts w:ascii="宋体" w:hAnsi="宋体" w:cs="宋体"/>
                <w:color w:val="auto"/>
                <w:szCs w:val="21"/>
              </w:rPr>
            </w:pPr>
            <w:r>
              <w:rPr>
                <w:rFonts w:hint="eastAsia" w:ascii="宋体" w:hAnsi="宋体" w:cs="宋体"/>
                <w:color w:val="auto"/>
                <w:szCs w:val="21"/>
              </w:rPr>
              <w:t xml:space="preserve">                           供应商签章：</w:t>
            </w:r>
          </w:p>
          <w:p w14:paraId="7929A332">
            <w:pPr>
              <w:spacing w:before="165"/>
              <w:ind w:firstLine="420"/>
              <w:jc w:val="center"/>
              <w:rPr>
                <w:rFonts w:ascii="宋体" w:hAnsi="宋体" w:cs="宋体"/>
                <w:color w:val="auto"/>
                <w:szCs w:val="21"/>
              </w:rPr>
            </w:pPr>
            <w:r>
              <w:rPr>
                <w:rFonts w:hint="eastAsia" w:ascii="宋体" w:hAnsi="宋体" w:cs="宋体"/>
                <w:color w:val="auto"/>
                <w:szCs w:val="21"/>
              </w:rPr>
              <w:t xml:space="preserve">                                                年    月    日</w:t>
            </w:r>
          </w:p>
        </w:tc>
      </w:tr>
      <w:tr w14:paraId="1976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vAlign w:val="center"/>
          </w:tcPr>
          <w:p w14:paraId="635444CB">
            <w:pPr>
              <w:spacing w:before="165"/>
              <w:ind w:firstLine="420"/>
              <w:jc w:val="center"/>
              <w:rPr>
                <w:rFonts w:ascii="宋体" w:hAnsi="宋体" w:cs="宋体"/>
                <w:color w:val="auto"/>
                <w:szCs w:val="21"/>
              </w:rPr>
            </w:pPr>
            <w:r>
              <w:rPr>
                <w:rFonts w:hint="eastAsia" w:ascii="宋体" w:hAnsi="宋体" w:cs="宋体"/>
                <w:color w:val="auto"/>
                <w:szCs w:val="21"/>
              </w:rPr>
              <w:t>采</w:t>
            </w:r>
          </w:p>
          <w:p w14:paraId="247A1C53">
            <w:pPr>
              <w:spacing w:before="165"/>
              <w:ind w:firstLine="420"/>
              <w:jc w:val="center"/>
              <w:rPr>
                <w:rFonts w:ascii="宋体" w:hAnsi="宋体" w:cs="宋体"/>
                <w:color w:val="auto"/>
                <w:szCs w:val="21"/>
              </w:rPr>
            </w:pPr>
            <w:r>
              <w:rPr>
                <w:rFonts w:hint="eastAsia" w:ascii="宋体" w:hAnsi="宋体" w:cs="宋体"/>
                <w:color w:val="auto"/>
                <w:szCs w:val="21"/>
              </w:rPr>
              <w:t>购</w:t>
            </w:r>
          </w:p>
          <w:p w14:paraId="35FCCA6E">
            <w:pPr>
              <w:spacing w:before="165"/>
              <w:ind w:firstLine="420"/>
              <w:jc w:val="center"/>
              <w:rPr>
                <w:rFonts w:ascii="宋体" w:hAnsi="宋体" w:cs="宋体"/>
                <w:color w:val="auto"/>
                <w:szCs w:val="21"/>
              </w:rPr>
            </w:pPr>
            <w:r>
              <w:rPr>
                <w:rFonts w:hint="eastAsia" w:ascii="宋体" w:hAnsi="宋体" w:cs="宋体"/>
                <w:color w:val="auto"/>
                <w:szCs w:val="21"/>
              </w:rPr>
              <w:t>单</w:t>
            </w:r>
          </w:p>
          <w:p w14:paraId="12FA6B05">
            <w:pPr>
              <w:spacing w:before="165"/>
              <w:ind w:firstLine="420"/>
              <w:jc w:val="center"/>
              <w:rPr>
                <w:rFonts w:ascii="宋体" w:hAnsi="宋体" w:cs="宋体"/>
                <w:color w:val="auto"/>
                <w:szCs w:val="21"/>
              </w:rPr>
            </w:pPr>
            <w:r>
              <w:rPr>
                <w:rFonts w:hint="eastAsia" w:ascii="宋体" w:hAnsi="宋体" w:cs="宋体"/>
                <w:color w:val="auto"/>
                <w:szCs w:val="21"/>
              </w:rPr>
              <w:t>位</w:t>
            </w:r>
          </w:p>
          <w:p w14:paraId="6BAEA872">
            <w:pPr>
              <w:spacing w:before="165"/>
              <w:ind w:firstLine="420"/>
              <w:jc w:val="center"/>
              <w:rPr>
                <w:rFonts w:ascii="宋体" w:hAnsi="宋体" w:cs="宋体"/>
                <w:color w:val="auto"/>
                <w:szCs w:val="21"/>
              </w:rPr>
            </w:pPr>
            <w:r>
              <w:rPr>
                <w:rFonts w:hint="eastAsia" w:ascii="宋体" w:hAnsi="宋体" w:cs="宋体"/>
                <w:color w:val="auto"/>
                <w:szCs w:val="21"/>
              </w:rPr>
              <w:t>意</w:t>
            </w:r>
          </w:p>
          <w:p w14:paraId="1EA695AB">
            <w:pPr>
              <w:spacing w:before="165"/>
              <w:ind w:firstLine="420"/>
              <w:jc w:val="center"/>
              <w:rPr>
                <w:rFonts w:ascii="宋体" w:hAnsi="宋体" w:cs="宋体"/>
                <w:color w:val="auto"/>
                <w:szCs w:val="21"/>
              </w:rPr>
            </w:pPr>
            <w:r>
              <w:rPr>
                <w:rFonts w:hint="eastAsia" w:ascii="宋体" w:hAnsi="宋体" w:cs="宋体"/>
                <w:color w:val="auto"/>
                <w:szCs w:val="21"/>
              </w:rPr>
              <w:t>见</w:t>
            </w:r>
          </w:p>
        </w:tc>
        <w:tc>
          <w:tcPr>
            <w:tcW w:w="8009" w:type="dxa"/>
          </w:tcPr>
          <w:p w14:paraId="245B8A48">
            <w:pPr>
              <w:spacing w:before="165"/>
              <w:ind w:firstLine="420"/>
              <w:rPr>
                <w:rFonts w:ascii="宋体" w:hAnsi="宋体" w:cs="宋体"/>
                <w:color w:val="auto"/>
                <w:szCs w:val="21"/>
              </w:rPr>
            </w:pPr>
          </w:p>
          <w:p w14:paraId="5CA1BB69">
            <w:pPr>
              <w:spacing w:before="165"/>
              <w:ind w:firstLine="420"/>
              <w:rPr>
                <w:rFonts w:ascii="宋体" w:hAnsi="宋体" w:cs="宋体"/>
                <w:color w:val="auto"/>
                <w:szCs w:val="21"/>
              </w:rPr>
            </w:pPr>
            <w:r>
              <w:rPr>
                <w:rFonts w:hint="eastAsia" w:ascii="宋体" w:hAnsi="宋体" w:cs="宋体"/>
                <w:color w:val="auto"/>
                <w:szCs w:val="21"/>
              </w:rPr>
              <w:t>退付意见：是否同意退付履约保证金及退付金额：</w:t>
            </w:r>
          </w:p>
          <w:p w14:paraId="5721AE63">
            <w:pPr>
              <w:spacing w:before="165"/>
              <w:ind w:firstLine="420"/>
              <w:rPr>
                <w:rFonts w:ascii="宋体" w:hAnsi="宋体" w:cs="宋体"/>
                <w:color w:val="auto"/>
                <w:szCs w:val="21"/>
              </w:rPr>
            </w:pPr>
          </w:p>
          <w:p w14:paraId="51B20713">
            <w:pPr>
              <w:spacing w:before="165"/>
              <w:ind w:firstLine="420"/>
              <w:rPr>
                <w:rFonts w:ascii="宋体" w:hAnsi="宋体" w:cs="宋体"/>
                <w:color w:val="auto"/>
                <w:szCs w:val="21"/>
              </w:rPr>
            </w:pPr>
            <w:r>
              <w:rPr>
                <w:rFonts w:hint="eastAsia" w:ascii="宋体" w:hAnsi="宋体" w:cs="宋体"/>
                <w:color w:val="auto"/>
                <w:szCs w:val="21"/>
              </w:rPr>
              <w:t xml:space="preserve">联系人及电话：                                </w:t>
            </w:r>
          </w:p>
          <w:p w14:paraId="4CCF55FD">
            <w:pPr>
              <w:spacing w:before="165"/>
              <w:ind w:firstLine="420"/>
              <w:rPr>
                <w:rFonts w:ascii="宋体" w:hAnsi="宋体" w:cs="宋体"/>
                <w:color w:val="auto"/>
                <w:szCs w:val="21"/>
              </w:rPr>
            </w:pPr>
          </w:p>
          <w:p w14:paraId="76F848F9">
            <w:pPr>
              <w:spacing w:before="165"/>
              <w:ind w:firstLine="3990" w:firstLineChars="1900"/>
              <w:rPr>
                <w:rFonts w:ascii="宋体" w:hAnsi="宋体" w:cs="宋体"/>
                <w:color w:val="auto"/>
                <w:szCs w:val="21"/>
              </w:rPr>
            </w:pPr>
            <w:r>
              <w:rPr>
                <w:rFonts w:hint="eastAsia" w:ascii="宋体" w:hAnsi="宋体" w:cs="宋体"/>
                <w:color w:val="auto"/>
                <w:szCs w:val="21"/>
              </w:rPr>
              <w:t xml:space="preserve"> 采购人签章：</w:t>
            </w:r>
          </w:p>
          <w:p w14:paraId="58756CA4">
            <w:pPr>
              <w:spacing w:before="165"/>
              <w:ind w:firstLine="420"/>
              <w:jc w:val="center"/>
              <w:rPr>
                <w:rFonts w:ascii="宋体" w:hAnsi="宋体" w:cs="宋体"/>
                <w:color w:val="auto"/>
                <w:szCs w:val="21"/>
              </w:rPr>
            </w:pPr>
            <w:r>
              <w:rPr>
                <w:rFonts w:hint="eastAsia" w:ascii="宋体" w:hAnsi="宋体" w:cs="宋体"/>
                <w:color w:val="auto"/>
                <w:szCs w:val="21"/>
              </w:rPr>
              <w:t xml:space="preserve">                                                年    月    日</w:t>
            </w:r>
          </w:p>
        </w:tc>
      </w:tr>
      <w:tr w14:paraId="42F1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817" w:type="dxa"/>
            <w:vAlign w:val="center"/>
          </w:tcPr>
          <w:p w14:paraId="1E093393">
            <w:pPr>
              <w:spacing w:before="165"/>
              <w:rPr>
                <w:rFonts w:ascii="宋体" w:hAnsi="宋体" w:cs="宋体"/>
                <w:color w:val="auto"/>
                <w:szCs w:val="21"/>
              </w:rPr>
            </w:pPr>
            <w:r>
              <w:rPr>
                <w:rFonts w:hint="eastAsia" w:ascii="宋体" w:hAnsi="宋体" w:cs="宋体"/>
                <w:color w:val="auto"/>
                <w:szCs w:val="21"/>
              </w:rPr>
              <w:t>备注</w:t>
            </w:r>
          </w:p>
        </w:tc>
        <w:tc>
          <w:tcPr>
            <w:tcW w:w="8009" w:type="dxa"/>
          </w:tcPr>
          <w:p w14:paraId="5131C3D3">
            <w:pPr>
              <w:spacing w:before="165"/>
              <w:ind w:firstLine="420"/>
              <w:rPr>
                <w:rFonts w:ascii="宋体" w:hAnsi="宋体" w:cs="宋体"/>
                <w:color w:val="auto"/>
                <w:szCs w:val="21"/>
              </w:rPr>
            </w:pPr>
          </w:p>
        </w:tc>
      </w:tr>
    </w:tbl>
    <w:p w14:paraId="7F0C1D0E">
      <w:pPr>
        <w:spacing w:before="165" w:after="120"/>
        <w:ind w:left="1" w:firstLine="2" w:firstLineChars="1"/>
        <w:rPr>
          <w:rFonts w:ascii="宋体"/>
          <w:b/>
          <w:bCs/>
          <w:color w:val="auto"/>
          <w:sz w:val="18"/>
          <w:szCs w:val="18"/>
        </w:rPr>
      </w:pPr>
      <w:r>
        <w:rPr>
          <w:rFonts w:hint="eastAsia" w:ascii="宋体"/>
          <w:b/>
          <w:bCs/>
          <w:color w:val="auto"/>
          <w:sz w:val="18"/>
          <w:szCs w:val="18"/>
        </w:rPr>
        <w:t>注：供应商凭经采购人审批的退付意见书到履约保证金收取单位财务部门办理履约保证金退付事宜。</w:t>
      </w:r>
    </w:p>
    <w:p w14:paraId="6B672437">
      <w:pPr>
        <w:spacing w:before="165" w:line="400" w:lineRule="exact"/>
        <w:ind w:firstLine="640"/>
        <w:jc w:val="center"/>
        <w:rPr>
          <w:rFonts w:ascii="黑体" w:hAnsi="黑体" w:eastAsia="黑体" w:cs="黑体"/>
          <w:bCs/>
          <w:color w:val="auto"/>
          <w:sz w:val="32"/>
          <w:szCs w:val="32"/>
        </w:rPr>
      </w:pPr>
      <w:r>
        <w:rPr>
          <w:rFonts w:ascii="黑体" w:hAnsi="黑体" w:eastAsia="黑体" w:cs="黑体"/>
          <w:bCs/>
          <w:color w:val="auto"/>
          <w:sz w:val="32"/>
          <w:szCs w:val="32"/>
        </w:rPr>
        <w:t xml:space="preserve"> </w:t>
      </w:r>
    </w:p>
    <w:p w14:paraId="04CEB528">
      <w:pPr>
        <w:spacing w:before="165" w:line="360" w:lineRule="auto"/>
        <w:ind w:firstLine="640" w:firstLineChars="200"/>
        <w:contextualSpacing/>
        <w:rPr>
          <w:rFonts w:ascii="宋体"/>
          <w:b/>
          <w:bCs/>
          <w:color w:val="auto"/>
          <w:sz w:val="18"/>
          <w:szCs w:val="18"/>
        </w:rPr>
      </w:pPr>
      <w:r>
        <w:rPr>
          <w:rFonts w:ascii="黑体" w:hAnsi="黑体" w:eastAsia="黑体" w:cs="黑体"/>
          <w:bCs/>
          <w:color w:val="auto"/>
          <w:sz w:val="32"/>
          <w:szCs w:val="32"/>
        </w:rPr>
        <w:br w:type="page"/>
      </w:r>
    </w:p>
    <w:p w14:paraId="0D9E017E">
      <w:pPr>
        <w:pStyle w:val="2"/>
        <w:spacing w:before="165"/>
        <w:ind w:firstLine="883"/>
        <w:jc w:val="center"/>
        <w:rPr>
          <w:color w:val="auto"/>
        </w:rPr>
      </w:pPr>
      <w:bookmarkStart w:id="69" w:name="_Toc129703550"/>
      <w:r>
        <w:rPr>
          <w:rFonts w:hint="eastAsia"/>
          <w:color w:val="auto"/>
        </w:rPr>
        <w:t>第三章 采购需求</w:t>
      </w:r>
      <w:bookmarkEnd w:id="69"/>
    </w:p>
    <w:p w14:paraId="7A4ACD06">
      <w:pPr>
        <w:spacing w:line="320" w:lineRule="exact"/>
        <w:ind w:firstLine="420"/>
        <w:jc w:val="left"/>
        <w:rPr>
          <w:rFonts w:ascii="宋体" w:hAnsi="宋体" w:cs="宋体"/>
          <w:color w:val="auto"/>
        </w:rPr>
      </w:pPr>
      <w:r>
        <w:rPr>
          <w:rFonts w:hint="eastAsia" w:ascii="宋体" w:hAnsi="宋体" w:cs="宋体"/>
          <w:color w:val="auto"/>
        </w:rPr>
        <w:t>说明：</w:t>
      </w:r>
    </w:p>
    <w:p w14:paraId="39597BC6">
      <w:pPr>
        <w:spacing w:line="320" w:lineRule="exact"/>
        <w:ind w:firstLine="420" w:firstLineChars="200"/>
        <w:jc w:val="left"/>
        <w:rPr>
          <w:rFonts w:ascii="宋体" w:hAnsi="宋体" w:cs="宋体"/>
          <w:color w:val="auto"/>
        </w:rPr>
      </w:pPr>
      <w:r>
        <w:rPr>
          <w:rFonts w:hint="eastAsia"/>
          <w:color w:val="auto"/>
        </w:rPr>
        <w:t>1. 为落实政府采购政策需满足的要求（根据项目实际情况填写内容）</w:t>
      </w:r>
    </w:p>
    <w:p w14:paraId="369CF14E">
      <w:pPr>
        <w:spacing w:line="320" w:lineRule="exact"/>
        <w:ind w:firstLine="420" w:firstLineChars="200"/>
        <w:jc w:val="left"/>
        <w:rPr>
          <w:rFonts w:ascii="宋体" w:hAnsi="宋体" w:cs="宋体"/>
          <w:color w:val="auto"/>
        </w:rPr>
      </w:pPr>
      <w:r>
        <w:rPr>
          <w:rFonts w:hint="eastAsia" w:ascii="宋体" w:hAnsi="宋体" w:cs="宋体"/>
          <w:color w:val="auto"/>
        </w:rPr>
        <w:t>（1）本竞争性谈判采购文件所称中小企业必须符合《政府采购促进中小企业发展管理办法》（财库〔2020〕46号）的规定。</w:t>
      </w:r>
    </w:p>
    <w:p w14:paraId="367B02F4">
      <w:pPr>
        <w:spacing w:line="320" w:lineRule="exact"/>
        <w:ind w:firstLine="420" w:firstLineChars="200"/>
        <w:jc w:val="left"/>
        <w:rPr>
          <w:rFonts w:ascii="宋体" w:hAnsi="宋体" w:cs="宋体"/>
          <w:color w:val="auto"/>
        </w:rPr>
      </w:pPr>
      <w:r>
        <w:rPr>
          <w:rFonts w:hint="eastAsia" w:ascii="宋体" w:hAnsi="宋体" w:cs="宋体"/>
          <w:color w:val="auto"/>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15F9DD8A">
      <w:pPr>
        <w:spacing w:line="320" w:lineRule="exact"/>
        <w:ind w:firstLine="420" w:firstLineChars="200"/>
        <w:jc w:val="left"/>
        <w:rPr>
          <w:rFonts w:ascii="宋体" w:hAnsi="宋体" w:cs="宋体"/>
          <w:bCs/>
          <w:color w:val="auto"/>
        </w:rPr>
      </w:pPr>
      <w:r>
        <w:rPr>
          <w:rFonts w:hint="eastAsia" w:ascii="宋体" w:hAnsi="宋体" w:cs="宋体"/>
          <w:bCs/>
          <w:color w:val="auto"/>
        </w:rPr>
        <w:t>（3）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竞标产品，并在响应文件（商务及技术文件）中提供由中国网信网（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按无效响应处理。如属于《网络关键设备和网络安全专用产品目录》中“二、网络安全专用产品”内“产品类别”中的所描述的产品，但不属于所列“产品描述”情形的，应提供相应的说明及证明材料。</w:t>
      </w:r>
    </w:p>
    <w:p w14:paraId="365F947E">
      <w:pPr>
        <w:spacing w:line="320" w:lineRule="exact"/>
        <w:ind w:firstLine="426" w:firstLineChars="202"/>
        <w:jc w:val="left"/>
        <w:rPr>
          <w:rFonts w:ascii="宋体" w:hAnsi="宋体" w:cs="宋体"/>
          <w:b/>
          <w:bCs/>
          <w:color w:val="auto"/>
        </w:rPr>
      </w:pPr>
      <w:r>
        <w:rPr>
          <w:rFonts w:hint="eastAsia" w:ascii="宋体" w:hAnsi="宋体" w:cs="宋体"/>
          <w:b/>
          <w:color w:val="auto"/>
        </w:rPr>
        <w:t>2.</w:t>
      </w:r>
      <w:r>
        <w:rPr>
          <w:rFonts w:hint="eastAsia" w:ascii="宋体" w:hAnsi="宋体" w:cs="宋体"/>
          <w:b/>
          <w:bCs/>
          <w:color w:val="auto"/>
        </w:rPr>
        <w:t>“实质性要求”是指采购需求中带“▲”的条款或者不能负偏离的条款或者已经指明不满足按响应文件作无效处理的条款。</w:t>
      </w:r>
    </w:p>
    <w:p w14:paraId="0746B221">
      <w:pPr>
        <w:spacing w:line="320" w:lineRule="exact"/>
        <w:ind w:firstLine="426" w:firstLineChars="202"/>
        <w:jc w:val="left"/>
        <w:rPr>
          <w:rFonts w:ascii="宋体" w:hAnsi="宋体" w:cs="宋体"/>
          <w:b/>
          <w:bCs/>
          <w:color w:val="auto"/>
          <w:szCs w:val="21"/>
        </w:rPr>
      </w:pPr>
      <w:r>
        <w:rPr>
          <w:rFonts w:hint="eastAsia" w:ascii="宋体" w:hAnsi="宋体" w:cs="宋体"/>
          <w:b/>
          <w:bCs/>
          <w:color w:val="auto"/>
        </w:rPr>
        <w:t>3.</w:t>
      </w:r>
      <w:r>
        <w:rPr>
          <w:rFonts w:hint="eastAsia" w:ascii="宋体" w:hAnsi="宋体" w:cs="宋体"/>
          <w:b/>
          <w:bCs/>
          <w:color w:val="auto"/>
          <w:szCs w:val="21"/>
        </w:rPr>
        <w:t>“技术需求”中未标注“</w:t>
      </w:r>
      <w:bookmarkStart w:id="70" w:name="OLE_LINK13"/>
      <w:r>
        <w:rPr>
          <w:rFonts w:hint="eastAsia" w:ascii="宋体" w:hAnsi="宋体" w:cs="宋体"/>
          <w:b/>
          <w:bCs/>
          <w:color w:val="auto"/>
          <w:szCs w:val="21"/>
        </w:rPr>
        <w:t>▲</w:t>
      </w:r>
      <w:bookmarkEnd w:id="70"/>
      <w:r>
        <w:rPr>
          <w:rFonts w:hint="eastAsia" w:ascii="宋体" w:hAnsi="宋体" w:cs="宋体"/>
          <w:b/>
          <w:bCs/>
          <w:color w:val="auto"/>
          <w:szCs w:val="21"/>
        </w:rPr>
        <w:t>”的条款或技术要求有负偏离（或未作响应）</w:t>
      </w:r>
      <w:r>
        <w:rPr>
          <w:rFonts w:hint="eastAsia" w:ascii="宋体" w:hAnsi="宋体" w:cs="宋体"/>
          <w:b/>
          <w:bCs/>
          <w:color w:val="auto"/>
          <w:szCs w:val="21"/>
          <w:u w:val="single"/>
        </w:rPr>
        <w:t>达1项（含）以上的</w:t>
      </w:r>
      <w:r>
        <w:rPr>
          <w:rFonts w:hint="eastAsia" w:ascii="宋体" w:hAnsi="宋体" w:cs="宋体"/>
          <w:b/>
          <w:bCs/>
          <w:color w:val="auto"/>
          <w:szCs w:val="21"/>
          <w:u w:val="single"/>
          <w:lang w:eastAsia="zh-CN"/>
        </w:rPr>
        <w:t>响应无效</w:t>
      </w:r>
      <w:r>
        <w:rPr>
          <w:rFonts w:hint="eastAsia" w:ascii="宋体" w:hAnsi="宋体" w:cs="宋体"/>
          <w:b/>
          <w:bCs/>
          <w:color w:val="auto"/>
          <w:szCs w:val="21"/>
        </w:rPr>
        <w:t>。</w:t>
      </w:r>
    </w:p>
    <w:p w14:paraId="39174D51">
      <w:pPr>
        <w:spacing w:line="320" w:lineRule="exact"/>
        <w:ind w:firstLine="426" w:firstLineChars="202"/>
        <w:jc w:val="left"/>
        <w:rPr>
          <w:rFonts w:ascii="宋体" w:hAnsi="宋体" w:cs="宋体"/>
          <w:b/>
          <w:bCs/>
          <w:color w:val="auto"/>
        </w:rPr>
      </w:pPr>
      <w:r>
        <w:rPr>
          <w:rFonts w:hint="eastAsia" w:ascii="宋体" w:hAnsi="宋体" w:cs="宋体"/>
          <w:b/>
          <w:color w:val="auto"/>
        </w:rPr>
        <w:t>4.</w:t>
      </w:r>
      <w:r>
        <w:rPr>
          <w:rFonts w:hint="eastAsia" w:ascii="宋体" w:hAnsi="宋体" w:cs="宋体"/>
          <w:b/>
          <w:bCs/>
          <w:color w:val="auto"/>
        </w:rPr>
        <w:t>供应商应根据自身实际情况如实响应竞争性谈判文件，否则将作无效响应处理。对于重要技术条款或技术参数应当在响应文件中提供技术支持资料，技术支持资料以竞争性谈判文件中规定的形式为准，否则将视为无效技术支持资料。</w:t>
      </w:r>
    </w:p>
    <w:p w14:paraId="7D59C0AB">
      <w:pPr>
        <w:spacing w:line="320" w:lineRule="exact"/>
        <w:ind w:firstLine="424" w:firstLineChars="202"/>
        <w:rPr>
          <w:rFonts w:ascii="宋体" w:hAnsi="宋体" w:cs="宋体"/>
          <w:color w:val="auto"/>
        </w:rPr>
      </w:pPr>
      <w:r>
        <w:rPr>
          <w:rFonts w:hint="eastAsia" w:ascii="宋体" w:hAnsi="宋体" w:cs="宋体"/>
          <w:color w:val="auto"/>
        </w:rPr>
        <w:t>5. 供应商必须自行为其应标产品侵犯他人的知识产权或者专利成果的行为承担相应法律责任。</w:t>
      </w:r>
    </w:p>
    <w:p w14:paraId="18A3CF07">
      <w:pPr>
        <w:spacing w:line="320" w:lineRule="exact"/>
        <w:ind w:firstLine="424" w:firstLineChars="202"/>
        <w:rPr>
          <w:rFonts w:ascii="宋体" w:hAnsi="宋体" w:cs="宋体"/>
          <w:color w:val="auto"/>
          <w:szCs w:val="21"/>
        </w:rPr>
      </w:pPr>
      <w:r>
        <w:rPr>
          <w:rFonts w:hint="eastAsia" w:ascii="宋体" w:hAnsi="宋体" w:cs="宋体"/>
          <w:color w:val="auto"/>
        </w:rPr>
        <w:t>6. 所属行业：</w:t>
      </w:r>
      <w:r>
        <w:rPr>
          <w:rFonts w:hint="eastAsia" w:ascii="宋体" w:hAnsi="宋体" w:cs="宋体"/>
          <w:color w:val="auto"/>
          <w:szCs w:val="21"/>
        </w:rPr>
        <w:t>工业。</w:t>
      </w:r>
    </w:p>
    <w:tbl>
      <w:tblPr>
        <w:tblStyle w:val="26"/>
        <w:tblW w:w="88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696"/>
        <w:gridCol w:w="666"/>
        <w:gridCol w:w="460"/>
        <w:gridCol w:w="675"/>
        <w:gridCol w:w="700"/>
        <w:gridCol w:w="5608"/>
      </w:tblGrid>
      <w:tr w14:paraId="0C29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788F62C5">
            <w:pPr>
              <w:widowControl/>
              <w:spacing w:line="40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126" w:type="dxa"/>
            <w:gridSpan w:val="2"/>
            <w:shd w:val="clear" w:color="auto" w:fill="FFFFFF"/>
            <w:vAlign w:val="center"/>
          </w:tcPr>
          <w:p w14:paraId="6269F13F">
            <w:pPr>
              <w:spacing w:line="400" w:lineRule="exact"/>
              <w:rPr>
                <w:rFonts w:ascii="宋体" w:hAnsi="宋体" w:cs="宋体"/>
                <w:b/>
                <w:bCs/>
                <w:color w:val="auto"/>
                <w:szCs w:val="21"/>
                <w:highlight w:val="none"/>
              </w:rPr>
            </w:pPr>
            <w:r>
              <w:rPr>
                <w:rFonts w:hint="eastAsia" w:ascii="宋体" w:hAnsi="宋体" w:cs="宋体"/>
                <w:b/>
                <w:bCs/>
                <w:color w:val="auto"/>
                <w:szCs w:val="21"/>
                <w:highlight w:val="none"/>
              </w:rPr>
              <w:t>货物名称</w:t>
            </w:r>
          </w:p>
        </w:tc>
        <w:tc>
          <w:tcPr>
            <w:tcW w:w="675" w:type="dxa"/>
            <w:shd w:val="clear" w:color="auto" w:fill="FFFFFF"/>
            <w:vAlign w:val="center"/>
          </w:tcPr>
          <w:p w14:paraId="2F3148E5">
            <w:pPr>
              <w:spacing w:line="400" w:lineRule="exact"/>
              <w:jc w:val="center"/>
              <w:rPr>
                <w:rFonts w:ascii="宋体" w:hAnsi="宋体" w:cs="宋体"/>
                <w:b/>
                <w:bCs/>
                <w:color w:val="auto"/>
                <w:szCs w:val="21"/>
                <w:highlight w:val="none"/>
              </w:rPr>
            </w:pPr>
            <w:r>
              <w:rPr>
                <w:rFonts w:hint="eastAsia" w:ascii="宋体" w:hAnsi="宋体" w:cs="宋体"/>
                <w:b/>
                <w:bCs/>
                <w:color w:val="auto"/>
                <w:szCs w:val="21"/>
                <w:highlight w:val="none"/>
              </w:rPr>
              <w:t>数量</w:t>
            </w:r>
          </w:p>
        </w:tc>
        <w:tc>
          <w:tcPr>
            <w:tcW w:w="700" w:type="dxa"/>
            <w:shd w:val="clear" w:color="auto" w:fill="FFFFFF"/>
            <w:vAlign w:val="center"/>
          </w:tcPr>
          <w:p w14:paraId="19A4A4A5">
            <w:pPr>
              <w:spacing w:line="400" w:lineRule="exact"/>
              <w:jc w:val="center"/>
              <w:rPr>
                <w:rFonts w:ascii="宋体" w:hAnsi="宋体" w:cs="宋体"/>
                <w:b/>
                <w:bCs/>
                <w:color w:val="auto"/>
                <w:szCs w:val="21"/>
                <w:highlight w:val="none"/>
              </w:rPr>
            </w:pPr>
            <w:r>
              <w:rPr>
                <w:rFonts w:hint="eastAsia" w:ascii="宋体" w:hAnsi="宋体" w:cs="宋体"/>
                <w:b/>
                <w:bCs/>
                <w:color w:val="auto"/>
                <w:szCs w:val="21"/>
                <w:highlight w:val="none"/>
              </w:rPr>
              <w:t>单位</w:t>
            </w:r>
          </w:p>
        </w:tc>
        <w:tc>
          <w:tcPr>
            <w:tcW w:w="5608" w:type="dxa"/>
            <w:shd w:val="clear" w:color="auto" w:fill="FFFFFF"/>
            <w:vAlign w:val="center"/>
          </w:tcPr>
          <w:p w14:paraId="2BD634FE">
            <w:pPr>
              <w:spacing w:line="400" w:lineRule="exact"/>
              <w:jc w:val="center"/>
              <w:rPr>
                <w:rFonts w:ascii="宋体" w:hAnsi="宋体" w:cs="宋体"/>
                <w:b/>
                <w:bCs/>
                <w:color w:val="auto"/>
                <w:szCs w:val="21"/>
                <w:highlight w:val="none"/>
              </w:rPr>
            </w:pPr>
            <w:r>
              <w:rPr>
                <w:rFonts w:hint="eastAsia" w:ascii="宋体" w:hAnsi="宋体" w:cs="宋体"/>
                <w:b/>
                <w:bCs/>
                <w:color w:val="auto"/>
                <w:szCs w:val="21"/>
                <w:highlight w:val="none"/>
              </w:rPr>
              <w:t>技术参数及性能（配置）要求</w:t>
            </w:r>
          </w:p>
        </w:tc>
      </w:tr>
      <w:tr w14:paraId="6D6E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7E912206">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126" w:type="dxa"/>
            <w:gridSpan w:val="2"/>
            <w:shd w:val="clear" w:color="auto" w:fill="FFFFFF"/>
            <w:vAlign w:val="center"/>
          </w:tcPr>
          <w:p w14:paraId="7C6DD541">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合议系统一体机</w:t>
            </w:r>
          </w:p>
        </w:tc>
        <w:tc>
          <w:tcPr>
            <w:tcW w:w="675" w:type="dxa"/>
            <w:shd w:val="clear" w:color="auto" w:fill="FFFFFF"/>
            <w:vAlign w:val="center"/>
          </w:tcPr>
          <w:p w14:paraId="684E8D0E">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4B809C56">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套</w:t>
            </w:r>
          </w:p>
        </w:tc>
        <w:tc>
          <w:tcPr>
            <w:tcW w:w="5608" w:type="dxa"/>
            <w:shd w:val="clear" w:color="auto" w:fill="FFFFFF"/>
            <w:vAlign w:val="center"/>
          </w:tcPr>
          <w:p w14:paraId="0631319D">
            <w:pPr>
              <w:widowControl/>
              <w:spacing w:line="400" w:lineRule="exact"/>
              <w:jc w:val="left"/>
              <w:rPr>
                <w:rStyle w:val="74"/>
                <w:rFonts w:hint="default"/>
                <w:color w:val="auto"/>
                <w:sz w:val="21"/>
                <w:szCs w:val="21"/>
                <w:highlight w:val="none"/>
                <w:lang w:bidi="ar"/>
              </w:rPr>
            </w:pPr>
            <w:r>
              <w:rPr>
                <w:rStyle w:val="71"/>
                <w:rFonts w:hint="default"/>
                <w:color w:val="auto"/>
                <w:sz w:val="21"/>
                <w:szCs w:val="21"/>
                <w:highlight w:val="none"/>
                <w:lang w:bidi="ar"/>
              </w:rPr>
              <w:t>▲一、适配并调用自治区高院语音引擎平台进行语音转写；具备多角色语音区分识别转文字、合议笔录智能修正等功能，支持扩展不少于12路的语音信号输入及角色定位。</w:t>
            </w:r>
            <w:r>
              <w:rPr>
                <w:rStyle w:val="74"/>
                <w:rFonts w:hint="default"/>
                <w:color w:val="auto"/>
                <w:sz w:val="21"/>
                <w:szCs w:val="21"/>
                <w:highlight w:val="none"/>
                <w:lang w:bidi="ar"/>
              </w:rPr>
              <w:br w:type="textWrapping"/>
            </w:r>
            <w:r>
              <w:rPr>
                <w:rStyle w:val="74"/>
                <w:rFonts w:hint="default"/>
                <w:b/>
                <w:bCs/>
                <w:color w:val="auto"/>
                <w:sz w:val="21"/>
                <w:szCs w:val="21"/>
                <w:highlight w:val="none"/>
                <w:lang w:bidi="ar"/>
              </w:rPr>
              <w:t>二、主要功能：</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1、支持合议前导入（doc、docx等格式）笔录模板，减少合议过程中的人工记录量，辅助生成完整笔录。</w:t>
            </w:r>
            <w:r>
              <w:rPr>
                <w:rStyle w:val="74"/>
                <w:rFonts w:hint="default"/>
                <w:color w:val="auto"/>
                <w:sz w:val="21"/>
                <w:szCs w:val="21"/>
                <w:highlight w:val="none"/>
                <w:lang w:bidi="ar"/>
              </w:rPr>
              <w:br w:type="textWrapping"/>
            </w:r>
            <w:r>
              <w:rPr>
                <w:rStyle w:val="74"/>
                <w:rFonts w:hint="default"/>
                <w:color w:val="auto"/>
                <w:sz w:val="21"/>
                <w:szCs w:val="21"/>
                <w:highlight w:val="none"/>
                <w:lang w:bidi="ar"/>
              </w:rPr>
              <w:t>2、系统支持句式转写和实时流式转写，可自主选择，实时生效。</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3、支持合议人员与麦克风进行绑定，实现合议过程中笔录角色自动区分并记录每个人的发言内容。</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4、支持合议主持人根据合议现场实际需要，进行发言人麦克风“发言”或“禁言”转写状态，实现对话筒发言权的精准控制。</w:t>
            </w:r>
            <w:r>
              <w:rPr>
                <w:rStyle w:val="74"/>
                <w:rFonts w:hint="default"/>
                <w:color w:val="auto"/>
                <w:sz w:val="21"/>
                <w:szCs w:val="21"/>
                <w:highlight w:val="none"/>
                <w:lang w:bidi="ar"/>
              </w:rPr>
              <w:br w:type="textWrapping"/>
            </w:r>
            <w:r>
              <w:rPr>
                <w:rStyle w:val="74"/>
                <w:rFonts w:hint="default"/>
                <w:color w:val="auto"/>
                <w:sz w:val="21"/>
                <w:szCs w:val="21"/>
                <w:highlight w:val="none"/>
                <w:lang w:bidi="ar"/>
              </w:rPr>
              <w:t>5、在语音识别过程中，系统可根据上下文的意思进行错误纠正并自动学习，进一步提升识别准确率。</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6、支持针对关键词，如：人名、地名、公司名等，添加个性化热词学习，针对性地提升识别准确率。</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7、支持提供段落删除、复制粘贴、操作撤销等通用文档编辑功能，方便书记员快速修订语音识别的错误结果。</w:t>
            </w:r>
            <w:r>
              <w:rPr>
                <w:rStyle w:val="74"/>
                <w:rFonts w:hint="default"/>
                <w:color w:val="auto"/>
                <w:sz w:val="21"/>
                <w:szCs w:val="21"/>
                <w:highlight w:val="none"/>
                <w:lang w:bidi="ar"/>
              </w:rPr>
              <w:br w:type="textWrapping"/>
            </w:r>
            <w:r>
              <w:rPr>
                <w:rStyle w:val="71"/>
                <w:rFonts w:hint="default"/>
                <w:color w:val="auto"/>
                <w:sz w:val="21"/>
                <w:szCs w:val="21"/>
                <w:highlight w:val="none"/>
                <w:lang w:bidi="ar"/>
              </w:rPr>
              <w:t>▲8、支持合议过程中需要多人同时针对同一份合议笔录进行修改时，可由主录人员自定义添加本院其他成员协助记录，同时在编辑修改时，可实时显示当前编辑的人员姓名和编辑状态，添加避免其他人同时编辑。</w:t>
            </w:r>
            <w:r>
              <w:rPr>
                <w:rStyle w:val="74"/>
                <w:rFonts w:hint="default"/>
                <w:color w:val="auto"/>
                <w:sz w:val="21"/>
                <w:szCs w:val="21"/>
                <w:highlight w:val="none"/>
                <w:lang w:bidi="ar"/>
              </w:rPr>
              <w:br w:type="textWrapping"/>
            </w:r>
            <w:r>
              <w:rPr>
                <w:rStyle w:val="74"/>
                <w:rFonts w:hint="default"/>
                <w:color w:val="auto"/>
                <w:sz w:val="21"/>
                <w:szCs w:val="21"/>
                <w:highlight w:val="none"/>
                <w:lang w:bidi="ar"/>
              </w:rPr>
              <w:t>9、在识别过程中，支持对说话人说出的无效语气词如：“啊、呀、呢”等进行过滤，不在合议笔录中显示出来，保证笔录严谨性。</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10、支持敏感及不雅词语过滤或脱敏处理，语音识别会以“*”号的方式显示。</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11、支持在闭会后可按句回听合议音频并辅助修正笔录内容。</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12、支持对文档的页面、边距、字体、字号等格式进行智能排版，提供不少于2种模式的排版方式（标准式、悬挂式）。</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13、合议结束后，语音合议系统支持将合议生成的笔录导出为.docx/.doc/.txt等格式文本文件，支持预览及打印操作。</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14、支持语音合议系统窗口自定义显示或隐藏，以及重设大小和拖动，满足用户多样化需求。</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▲15、支持对接广西法院统一电子签名系统，实现多种签名方式。</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16、系统支持适配国产化信创硬件使用。</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▲17、支持合议笔录自动入卷。</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18、合议笔录关联创建信息自动生成笔录头。</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▲19、需支持接入全国法院办案办公平台，实现统一入口登录。</w:t>
            </w:r>
            <w:r>
              <w:rPr>
                <w:rStyle w:val="74"/>
                <w:rFonts w:hint="default"/>
                <w:color w:val="auto"/>
                <w:sz w:val="21"/>
                <w:szCs w:val="21"/>
                <w:highlight w:val="none"/>
                <w:lang w:bidi="ar"/>
              </w:rPr>
              <w:br w:type="textWrapping"/>
            </w:r>
            <w:r>
              <w:rPr>
                <w:rStyle w:val="74"/>
                <w:rFonts w:hint="default"/>
                <w:b/>
                <w:bCs/>
                <w:color w:val="auto"/>
                <w:sz w:val="21"/>
                <w:szCs w:val="21"/>
                <w:highlight w:val="none"/>
                <w:lang w:bidi="ar"/>
              </w:rPr>
              <w:t>三、设备性能：</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1、提供不少于12路卡农口独立音频输入、不少于12路6.5mm独立音频输出、1路6.5mm独立混音输出、RJ45、COM1和COM2等多种输入输出接口；</w:t>
            </w:r>
            <w:r>
              <w:rPr>
                <w:rStyle w:val="74"/>
                <w:rFonts w:hint="default"/>
                <w:color w:val="auto"/>
                <w:sz w:val="21"/>
                <w:szCs w:val="21"/>
                <w:highlight w:val="none"/>
                <w:lang w:bidi="ar"/>
              </w:rPr>
              <w:br w:type="textWrapping"/>
            </w:r>
            <w:r>
              <w:rPr>
                <w:rStyle w:val="74"/>
                <w:rFonts w:hint="default"/>
                <w:color w:val="auto"/>
                <w:sz w:val="21"/>
                <w:szCs w:val="21"/>
                <w:highlight w:val="none"/>
                <w:lang w:bidi="ar"/>
              </w:rPr>
              <w:t>2、提供不少于12路独立48V供电开关、独立电位器旋钮和双位指示灯；</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3、CPU不少于四核 ,工作频率达1.2GHz</w:t>
            </w:r>
            <w:r>
              <w:rPr>
                <w:rFonts w:hint="eastAsia"/>
                <w:color w:val="auto"/>
                <w:highlight w:val="none"/>
              </w:rPr>
              <w:t>及以上</w:t>
            </w:r>
            <w:r>
              <w:rPr>
                <w:rStyle w:val="74"/>
                <w:rFonts w:hint="default"/>
                <w:color w:val="auto"/>
                <w:sz w:val="21"/>
                <w:szCs w:val="21"/>
                <w:highlight w:val="none"/>
                <w:lang w:bidi="ar"/>
              </w:rPr>
              <w:t>；</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4、USB音频板传入ARM核心板数据规格：16K 16Bit；</w:t>
            </w:r>
            <w:r>
              <w:rPr>
                <w:rStyle w:val="74"/>
                <w:rFonts w:hint="default"/>
                <w:color w:val="auto"/>
                <w:sz w:val="21"/>
                <w:szCs w:val="21"/>
                <w:highlight w:val="none"/>
                <w:lang w:bidi="ar"/>
              </w:rPr>
              <w:br w:type="textWrapping"/>
            </w:r>
            <w:r>
              <w:rPr>
                <w:rStyle w:val="74"/>
                <w:rFonts w:hint="default"/>
                <w:color w:val="auto"/>
                <w:sz w:val="21"/>
                <w:szCs w:val="21"/>
                <w:highlight w:val="none"/>
                <w:lang w:bidi="ar"/>
              </w:rPr>
              <w:t>5、板载 ≥1GB DDR3 高速内存，板载4GB iNAND flash 海量存储；</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6、内置百兆以太网卡，网络适应性强；</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7、网口：至少有一个带屏蔽层百兆网口，用于网络传输；</w:t>
            </w:r>
            <w:r>
              <w:rPr>
                <w:rStyle w:val="74"/>
                <w:rFonts w:hint="default"/>
                <w:color w:val="auto"/>
                <w:sz w:val="21"/>
                <w:szCs w:val="21"/>
                <w:highlight w:val="none"/>
                <w:lang w:bidi="ar"/>
              </w:rPr>
              <w:br w:type="textWrapping"/>
            </w:r>
            <w:r>
              <w:rPr>
                <w:rStyle w:val="74"/>
                <w:rFonts w:hint="default"/>
                <w:color w:val="auto"/>
                <w:sz w:val="21"/>
                <w:szCs w:val="21"/>
                <w:highlight w:val="none"/>
                <w:lang w:bidi="ar"/>
              </w:rPr>
              <w:t>8、串口：至少有一个支持对系统内部软件进行控制的调试接口；</w:t>
            </w:r>
            <w:r>
              <w:rPr>
                <w:rStyle w:val="74"/>
                <w:rFonts w:hint="default"/>
                <w:color w:val="auto"/>
                <w:sz w:val="21"/>
                <w:szCs w:val="21"/>
                <w:highlight w:val="none"/>
                <w:lang w:bidi="ar"/>
              </w:rPr>
              <w:br w:type="textWrapping"/>
            </w:r>
            <w:r>
              <w:rPr>
                <w:rStyle w:val="74"/>
                <w:rFonts w:hint="default"/>
                <w:color w:val="auto"/>
                <w:sz w:val="21"/>
                <w:szCs w:val="21"/>
                <w:highlight w:val="none"/>
                <w:lang w:bidi="ar"/>
              </w:rPr>
              <w:t>9、采用开放式 linux 等主流智能操作系统；</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10、具备防串音功能。</w:t>
            </w:r>
          </w:p>
        </w:tc>
      </w:tr>
      <w:tr w14:paraId="63D1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16DECBDF">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126" w:type="dxa"/>
            <w:gridSpan w:val="2"/>
            <w:shd w:val="clear" w:color="auto" w:fill="FFFFFF"/>
            <w:vAlign w:val="center"/>
          </w:tcPr>
          <w:p w14:paraId="613B9BAD">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话筒主机</w:t>
            </w:r>
          </w:p>
        </w:tc>
        <w:tc>
          <w:tcPr>
            <w:tcW w:w="675" w:type="dxa"/>
            <w:shd w:val="clear" w:color="auto" w:fill="FFFFFF"/>
            <w:vAlign w:val="center"/>
          </w:tcPr>
          <w:p w14:paraId="5D372A24">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505712F4">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5E6AF296">
            <w:pPr>
              <w:widowControl/>
              <w:spacing w:line="400" w:lineRule="exact"/>
              <w:jc w:val="left"/>
              <w:rPr>
                <w:rStyle w:val="71"/>
                <w:rFonts w:hint="default"/>
                <w:color w:val="auto"/>
                <w:sz w:val="21"/>
                <w:szCs w:val="21"/>
                <w:highlight w:val="none"/>
                <w:lang w:bidi="ar"/>
              </w:rPr>
            </w:pPr>
            <w:r>
              <w:rPr>
                <w:rStyle w:val="74"/>
                <w:rFonts w:hint="default"/>
                <w:color w:val="auto"/>
                <w:sz w:val="21"/>
                <w:szCs w:val="21"/>
                <w:highlight w:val="none"/>
                <w:lang w:bidi="ar"/>
              </w:rPr>
              <w:t>1、主机兼容同时连接有线与无线会议单元，二者可并行使用；采用跨域音频同步技术，有线与无线会议单元音频的音频无缝混音输出。</w:t>
            </w:r>
            <w:r>
              <w:rPr>
                <w:rStyle w:val="74"/>
                <w:rFonts w:hint="default"/>
                <w:color w:val="auto"/>
                <w:sz w:val="21"/>
                <w:szCs w:val="21"/>
                <w:highlight w:val="none"/>
                <w:lang w:bidi="ar"/>
              </w:rPr>
              <w:br w:type="textWrapping"/>
            </w:r>
            <w:r>
              <w:rPr>
                <w:rStyle w:val="74"/>
                <w:rFonts w:hint="default"/>
                <w:color w:val="auto"/>
                <w:sz w:val="21"/>
                <w:szCs w:val="21"/>
                <w:highlight w:val="none"/>
                <w:lang w:bidi="ar"/>
              </w:rPr>
              <w:t>2、设备采用分段压缩混音处理技术和时钟同步传输技术，会议单元拾音到主机输出延时≤5ms。</w:t>
            </w:r>
            <w:r>
              <w:rPr>
                <w:rStyle w:val="74"/>
                <w:rFonts w:hint="default"/>
                <w:color w:val="auto"/>
                <w:sz w:val="21"/>
                <w:szCs w:val="21"/>
                <w:highlight w:val="none"/>
                <w:lang w:bidi="ar"/>
              </w:rPr>
              <w:br w:type="textWrapping"/>
            </w:r>
            <w:r>
              <w:rPr>
                <w:rStyle w:val="71"/>
                <w:rFonts w:hint="default"/>
                <w:color w:val="auto"/>
                <w:sz w:val="21"/>
                <w:szCs w:val="21"/>
                <w:highlight w:val="none"/>
                <w:lang w:bidi="ar"/>
              </w:rPr>
              <w:t>▲3、客户端、WEB端软件可运行于国产操作系统。</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支持搭配会议话筒处理器使用，主机与话筒处理器之间通过网线连接方式传输音频，可以同时传输≥16路有线会议单元和≥8路无线会议单元发言的音频信号，并提供反馈抑制、智能混音以及自动增益音频调节处理功能。</w:t>
            </w:r>
            <w:r>
              <w:rPr>
                <w:rStyle w:val="74"/>
                <w:rFonts w:hint="default"/>
                <w:color w:val="auto"/>
                <w:sz w:val="21"/>
                <w:szCs w:val="21"/>
                <w:highlight w:val="none"/>
                <w:lang w:bidi="ar"/>
              </w:rPr>
              <w:br w:type="textWrapping"/>
            </w:r>
            <w:r>
              <w:rPr>
                <w:rStyle w:val="74"/>
                <w:rFonts w:hint="default"/>
                <w:color w:val="auto"/>
                <w:sz w:val="21"/>
                <w:szCs w:val="21"/>
                <w:highlight w:val="none"/>
                <w:lang w:bidi="ar"/>
              </w:rPr>
              <w:t>5、支持主机U盘和客户端软件两种录音方式；搭配会议话筒和录音盒可以录制单个会议单元发言音频和录制所有会议单元混音发言音频。</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6、采用会议系统多环路检测及网络补给技术，实现会议单元手拉手链路出现故障时快速恢复，环路恢复时间≤5ms。</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7、支持≥4096台有线话筒和≥300台话筒同时接入管理使用。</w:t>
            </w:r>
            <w:r>
              <w:rPr>
                <w:rStyle w:val="74"/>
                <w:rFonts w:hint="default"/>
                <w:color w:val="auto"/>
                <w:sz w:val="21"/>
                <w:szCs w:val="21"/>
                <w:highlight w:val="none"/>
                <w:lang w:bidi="ar"/>
              </w:rPr>
              <w:br w:type="textWrapping"/>
            </w:r>
            <w:r>
              <w:rPr>
                <w:rStyle w:val="74"/>
                <w:rFonts w:hint="default"/>
                <w:color w:val="auto"/>
                <w:sz w:val="21"/>
                <w:szCs w:val="21"/>
                <w:highlight w:val="none"/>
                <w:lang w:bidi="ar"/>
              </w:rPr>
              <w:t>8、支持≥24台会议话筒同时发言，其中支持≥16台有线会议话筒和≥8台无线会议话筒同时发言；具有自定义会议话筒发言人数功能，有线会议话筒发言人数范围可设置为等同或优于1至16之间的任意数量；无线会议话筒发言人数范围可设置为等同或优于1至8之间的任意数量。</w:t>
            </w:r>
            <w:r>
              <w:rPr>
                <w:rStyle w:val="74"/>
                <w:rFonts w:hint="default"/>
                <w:color w:val="auto"/>
                <w:sz w:val="21"/>
                <w:szCs w:val="21"/>
                <w:highlight w:val="none"/>
                <w:lang w:bidi="ar"/>
              </w:rPr>
              <w:br w:type="textWrapping"/>
            </w:r>
            <w:r>
              <w:rPr>
                <w:rStyle w:val="74"/>
                <w:rFonts w:hint="default"/>
                <w:color w:val="auto"/>
                <w:sz w:val="21"/>
                <w:szCs w:val="21"/>
                <w:highlight w:val="none"/>
                <w:lang w:bidi="ar"/>
              </w:rPr>
              <w:t>9、前面板可显示会议话筒使用状态；接上无线收发器正常使用进入闪烁状态；未接入设备时不亮，可快速检测链路使用状态。</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10、设备具有≥1个USB接口；后面板具有≥2路RS-232接口、≥1路RS-485接口、≥4路RJ45通讯接口；具有≥1路RCA输入、≥1路卡侬输入、≥2路凤凰端子输入接口；≥1路RCA输出、≥1路卡侬输出、≥16路凤凰端子输出接口；≥1个拨码开关、≥1个接地柱。</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11、具有≥16路音频输出通道，通过扩展可实现≥272个音频输出通道，音频输出通道可配置为有线角色分离输出模式、无线角色分离输出模式、同传输出模式；每个音频输出通道都能独立调节音频参数，包括≥30级音量调节、≥10段均衡器调节、≥100级延时器调节功能。</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12、具有C/S、B/S管控架构，包括客户端、WEB端、本机全彩触摸屏、安卓手机/平板控制方式；通过客户端、WEB端可调节音频矩阵参数（包括EQ、音量、延时器、会议单元灵敏度）、≥16通道输出模式切换、开关会议单元、中英俄法四种语言切换、控制角色分离主机功能；使用本机全彩触摸屏可调节会议模式、无线会议单元开麦数量、编ID、主机/从机设置、显示亮度/输出音量调节；使用安卓手机/平板可控制会议单元开关、开启签到、投票、表决、接收会议服务信息、一键关闭无线会议单元功能。</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13、主机软件融入音频综合管理平台实现音频设备统一管理，平台可扫描数字会议主机、音频处理器、混音器、抑制器、功放类产品在线情况，并显示设备硬件名称、硬件IP地址、在线、离线状态信息；具备一键保存本地进行备份功能和一键还原配置信息功能。</w:t>
            </w:r>
          </w:p>
          <w:p w14:paraId="1A44F52A">
            <w:pPr>
              <w:widowControl/>
              <w:spacing w:line="400" w:lineRule="exact"/>
              <w:jc w:val="left"/>
              <w:rPr>
                <w:rStyle w:val="71"/>
                <w:rFonts w:hint="default"/>
                <w:color w:val="auto"/>
                <w:sz w:val="21"/>
                <w:szCs w:val="21"/>
                <w:highlight w:val="none"/>
                <w:lang w:bidi="ar"/>
              </w:rPr>
            </w:pPr>
            <w:r>
              <w:rPr>
                <w:rStyle w:val="71"/>
                <w:rFonts w:hint="default"/>
                <w:b/>
                <w:bCs/>
                <w:color w:val="auto"/>
                <w:sz w:val="21"/>
                <w:szCs w:val="21"/>
                <w:highlight w:val="none"/>
                <w:lang w:bidi="ar"/>
              </w:rPr>
              <w:t>（</w:t>
            </w:r>
            <w:r>
              <w:rPr>
                <w:rStyle w:val="71"/>
                <w:b/>
                <w:bCs/>
                <w:color w:val="auto"/>
                <w:sz w:val="21"/>
                <w:szCs w:val="21"/>
                <w:highlight w:val="none"/>
                <w:lang w:bidi="ar"/>
              </w:rPr>
              <w:t>上述标识▲的参数</w:t>
            </w:r>
            <w:r>
              <w:rPr>
                <w:rStyle w:val="71"/>
                <w:b/>
                <w:bCs/>
                <w:color w:val="auto"/>
                <w:sz w:val="21"/>
                <w:szCs w:val="21"/>
                <w:highlight w:val="none"/>
                <w:lang w:eastAsia="zh-CN" w:bidi="ar"/>
              </w:rPr>
              <w:t>须在</w:t>
            </w:r>
            <w:r>
              <w:rPr>
                <w:rStyle w:val="71"/>
                <w:rFonts w:hint="default"/>
                <w:b/>
                <w:bCs/>
                <w:color w:val="auto"/>
                <w:sz w:val="21"/>
                <w:szCs w:val="21"/>
                <w:highlight w:val="none"/>
                <w:lang w:bidi="ar"/>
              </w:rPr>
              <w:t>响应文件中提供具有CMA或CNAS标识的检测机构出具的检测报告或有效软件界面截图作为该设备技术参数证明材料</w:t>
            </w:r>
            <w:r>
              <w:rPr>
                <w:rStyle w:val="71"/>
                <w:rFonts w:hint="eastAsia"/>
                <w:b/>
                <w:bCs/>
                <w:color w:val="auto"/>
                <w:sz w:val="21"/>
                <w:szCs w:val="21"/>
                <w:highlight w:val="none"/>
                <w:lang w:eastAsia="zh-CN" w:bidi="ar"/>
              </w:rPr>
              <w:t>，否则视为无效响应。</w:t>
            </w:r>
            <w:r>
              <w:rPr>
                <w:rStyle w:val="71"/>
                <w:rFonts w:hint="default"/>
                <w:b/>
                <w:bCs/>
                <w:color w:val="auto"/>
                <w:sz w:val="21"/>
                <w:szCs w:val="21"/>
                <w:highlight w:val="none"/>
                <w:lang w:bidi="ar"/>
              </w:rPr>
              <w:t>）</w:t>
            </w:r>
          </w:p>
        </w:tc>
      </w:tr>
      <w:tr w14:paraId="201A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076D89BE">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126" w:type="dxa"/>
            <w:gridSpan w:val="2"/>
            <w:shd w:val="clear" w:color="auto" w:fill="FFFFFF"/>
            <w:vAlign w:val="center"/>
          </w:tcPr>
          <w:p w14:paraId="05A505A3">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反馈抑制器</w:t>
            </w:r>
          </w:p>
        </w:tc>
        <w:tc>
          <w:tcPr>
            <w:tcW w:w="675" w:type="dxa"/>
            <w:shd w:val="clear" w:color="auto" w:fill="FFFFFF"/>
            <w:vAlign w:val="center"/>
          </w:tcPr>
          <w:p w14:paraId="359B43AF">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41AD987E">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7780D0E6">
            <w:pPr>
              <w:widowControl/>
              <w:spacing w:line="400" w:lineRule="exact"/>
              <w:jc w:val="left"/>
              <w:rPr>
                <w:rStyle w:val="71"/>
                <w:rFonts w:hint="default"/>
                <w:color w:val="auto"/>
                <w:sz w:val="21"/>
                <w:szCs w:val="21"/>
                <w:highlight w:val="none"/>
                <w:lang w:bidi="ar"/>
              </w:rPr>
            </w:pPr>
            <w:r>
              <w:rPr>
                <w:rStyle w:val="74"/>
                <w:rFonts w:hint="default"/>
                <w:color w:val="auto"/>
                <w:sz w:val="21"/>
                <w:szCs w:val="21"/>
                <w:highlight w:val="none"/>
                <w:lang w:bidi="ar"/>
              </w:rPr>
              <w:t>1、具有智能混音、语音检测功能，可以实现≥16个有线会议话筒+≥8个无线会议话筒同时开启并实时检测会议话筒dB值；当发言人讲话时，话筒自动调整为发言状态；当发言人停止讲话时，话筒自动调整为静音状态。</w:t>
            </w:r>
            <w:r>
              <w:rPr>
                <w:rStyle w:val="74"/>
                <w:rFonts w:hint="default"/>
                <w:color w:val="auto"/>
                <w:sz w:val="21"/>
                <w:szCs w:val="21"/>
                <w:highlight w:val="none"/>
                <w:lang w:bidi="ar"/>
              </w:rPr>
              <w:br w:type="textWrapping"/>
            </w:r>
            <w:r>
              <w:rPr>
                <w:rStyle w:val="71"/>
                <w:rFonts w:hint="default"/>
                <w:color w:val="auto"/>
                <w:sz w:val="21"/>
                <w:szCs w:val="21"/>
                <w:highlight w:val="none"/>
                <w:lang w:bidi="ar"/>
              </w:rPr>
              <w:t>▲2、与话筒主机通过网络传输链路传输会议话筒音频信号，通过网线接收会议话筒音频信号，并提供自动增益、自动混音、AFC反馈抑制（≥24个可编程陷波点）、EQ调节（31段图示均衡器调节）音频处理功能。</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3、采用啸叫检测门限更新法，移频+陷波组合反馈抑制方式，具有≥24个可编程陷波点，可自由分配动态/静态点，自动/手动切换。</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4、具有≥1个RS485、≥1个RS232接口。</w:t>
            </w:r>
            <w:r>
              <w:rPr>
                <w:rStyle w:val="74"/>
                <w:rFonts w:hint="default"/>
                <w:color w:val="auto"/>
                <w:sz w:val="21"/>
                <w:szCs w:val="21"/>
                <w:highlight w:val="none"/>
                <w:lang w:bidi="ar"/>
              </w:rPr>
              <w:br w:type="textWrapping"/>
            </w:r>
            <w:r>
              <w:rPr>
                <w:rStyle w:val="74"/>
                <w:rFonts w:hint="default"/>
                <w:color w:val="auto"/>
                <w:sz w:val="21"/>
                <w:szCs w:val="21"/>
                <w:highlight w:val="none"/>
                <w:lang w:bidi="ar"/>
              </w:rPr>
              <w:t>5、面板具有AFC触摸按键和功能工作指示灯。</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6、具有自动混音功能，包括增益共享型自动混音以及门限型自动混音。</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7、具有自动增益功能，能够有效将话筒音量保持在一定动态范围。</w:t>
            </w:r>
            <w:r>
              <w:rPr>
                <w:rStyle w:val="74"/>
                <w:rFonts w:hint="default"/>
                <w:color w:val="auto"/>
                <w:sz w:val="21"/>
                <w:szCs w:val="21"/>
                <w:highlight w:val="none"/>
                <w:lang w:bidi="ar"/>
              </w:rPr>
              <w:br w:type="textWrapping"/>
            </w:r>
            <w:r>
              <w:rPr>
                <w:rStyle w:val="74"/>
                <w:rFonts w:hint="default"/>
                <w:color w:val="auto"/>
                <w:sz w:val="21"/>
                <w:szCs w:val="21"/>
                <w:highlight w:val="none"/>
                <w:lang w:bidi="ar"/>
              </w:rPr>
              <w:t>8、具有话筒语音激励功能，可设置跟踪阈值，当话筒发言达阈值时可实现联动摄像跟踪功能。</w:t>
            </w:r>
            <w:r>
              <w:rPr>
                <w:rStyle w:val="74"/>
                <w:rFonts w:hint="default"/>
                <w:color w:val="auto"/>
                <w:sz w:val="21"/>
                <w:szCs w:val="21"/>
                <w:highlight w:val="none"/>
                <w:lang w:bidi="ar"/>
              </w:rPr>
              <w:br w:type="textWrapping"/>
            </w:r>
            <w:r>
              <w:rPr>
                <w:rStyle w:val="74"/>
                <w:rFonts w:hint="default"/>
                <w:color w:val="auto"/>
                <w:sz w:val="21"/>
                <w:szCs w:val="21"/>
                <w:highlight w:val="none"/>
                <w:lang w:bidi="ar"/>
              </w:rPr>
              <w:t>9、具有EQ调节功能，输出具有31段图示均衡器调节。</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10、后面板具有≥1个船形开关、≥4个RJ45、≥1个RS485、≥2个RS232、≥1个TYPE-C接口、≥1个拨码开关、≥1路卡侬输出接口和≥2路RCA输出接口、前面板具有≥1个AFC电容触摸开关；≥4个状态指示灯（包括、≥1个AFC功能状态指示灯、≥1个音频信号灯、≥1个处理器工作状态指示灯、≥1个工作电源指示灯）。</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11、具有≥1路卡侬平衡输出，≥1路莲花非平衡输出。</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12、具有≥1路EXTENSION接口，可用于连接数字会议主机扩展口。</w:t>
            </w:r>
            <w:r>
              <w:rPr>
                <w:rStyle w:val="74"/>
                <w:rFonts w:hint="default"/>
                <w:color w:val="auto"/>
                <w:sz w:val="21"/>
                <w:szCs w:val="21"/>
                <w:highlight w:val="none"/>
                <w:lang w:bidi="ar"/>
              </w:rPr>
              <w:br w:type="textWrapping"/>
            </w:r>
            <w:r>
              <w:rPr>
                <w:rStyle w:val="71"/>
                <w:rFonts w:hint="default"/>
                <w:color w:val="auto"/>
                <w:sz w:val="21"/>
                <w:szCs w:val="21"/>
                <w:highlight w:val="none"/>
                <w:lang w:bidi="ar"/>
              </w:rPr>
              <w:t>▲13、支持搭配音频综合管理平台集中管控各种音频设备，包含数字会议系统软件模块、电子桌牌软件模块、反馈抑制器软件模块、智能混音器软件模块、数字音频处理器软件模块、智控数字专业功放软件模块，各模块打开呈现在状态栏窗口，可快速管理和调用。</w:t>
            </w:r>
          </w:p>
          <w:p w14:paraId="39DD4716">
            <w:pPr>
              <w:widowControl/>
              <w:spacing w:line="400" w:lineRule="exact"/>
              <w:jc w:val="left"/>
              <w:rPr>
                <w:rStyle w:val="71"/>
                <w:rFonts w:hint="default"/>
                <w:color w:val="auto"/>
                <w:sz w:val="21"/>
                <w:szCs w:val="21"/>
                <w:highlight w:val="none"/>
                <w:lang w:bidi="ar"/>
              </w:rPr>
            </w:pPr>
            <w:r>
              <w:rPr>
                <w:rFonts w:hint="eastAsia" w:ascii="宋体" w:hAnsi="宋体" w:cs="宋体"/>
                <w:b/>
                <w:bCs/>
                <w:color w:val="auto"/>
                <w:szCs w:val="21"/>
                <w:highlight w:val="none"/>
                <w:lang w:bidi="ar"/>
              </w:rPr>
              <w:t>（</w:t>
            </w:r>
            <w:r>
              <w:rPr>
                <w:rStyle w:val="71"/>
                <w:b/>
                <w:bCs/>
                <w:color w:val="auto"/>
                <w:sz w:val="21"/>
                <w:szCs w:val="21"/>
                <w:highlight w:val="none"/>
                <w:lang w:bidi="ar"/>
              </w:rPr>
              <w:t>上述标识▲的参数</w:t>
            </w:r>
            <w:r>
              <w:rPr>
                <w:rStyle w:val="71"/>
                <w:b/>
                <w:bCs/>
                <w:color w:val="auto"/>
                <w:sz w:val="21"/>
                <w:szCs w:val="21"/>
                <w:highlight w:val="none"/>
                <w:lang w:eastAsia="zh-CN" w:bidi="ar"/>
              </w:rPr>
              <w:t>须在</w:t>
            </w:r>
            <w:r>
              <w:rPr>
                <w:rStyle w:val="71"/>
                <w:rFonts w:hint="default"/>
                <w:b/>
                <w:bCs/>
                <w:color w:val="auto"/>
                <w:sz w:val="21"/>
                <w:szCs w:val="21"/>
                <w:highlight w:val="none"/>
                <w:lang w:bidi="ar"/>
              </w:rPr>
              <w:t>响应文件中提供具有CMA或CNAS标识的检测机构出具的检测报告或有效软件界面截图作为该设备技术参数证明材料</w:t>
            </w:r>
            <w:r>
              <w:rPr>
                <w:rStyle w:val="71"/>
                <w:rFonts w:hint="eastAsia"/>
                <w:b/>
                <w:bCs/>
                <w:color w:val="auto"/>
                <w:sz w:val="21"/>
                <w:szCs w:val="21"/>
                <w:highlight w:val="none"/>
                <w:lang w:eastAsia="zh-CN" w:bidi="ar"/>
              </w:rPr>
              <w:t>，否则视为无效响应。</w:t>
            </w:r>
            <w:r>
              <w:rPr>
                <w:rFonts w:hint="eastAsia" w:ascii="宋体" w:hAnsi="宋体" w:cs="宋体"/>
                <w:b/>
                <w:bCs/>
                <w:color w:val="auto"/>
                <w:szCs w:val="21"/>
                <w:highlight w:val="none"/>
                <w:lang w:bidi="ar"/>
              </w:rPr>
              <w:t>）</w:t>
            </w:r>
          </w:p>
        </w:tc>
      </w:tr>
      <w:tr w14:paraId="71E8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327ACAEA">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1126" w:type="dxa"/>
            <w:gridSpan w:val="2"/>
            <w:shd w:val="clear" w:color="auto" w:fill="FFFFFF"/>
            <w:vAlign w:val="center"/>
          </w:tcPr>
          <w:p w14:paraId="51C4BC40">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桌面无线话筒</w:t>
            </w:r>
          </w:p>
        </w:tc>
        <w:tc>
          <w:tcPr>
            <w:tcW w:w="675" w:type="dxa"/>
            <w:shd w:val="clear" w:color="auto" w:fill="FFFFFF"/>
            <w:vAlign w:val="center"/>
          </w:tcPr>
          <w:p w14:paraId="4B2038BB">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112</w:t>
            </w:r>
          </w:p>
        </w:tc>
        <w:tc>
          <w:tcPr>
            <w:tcW w:w="700" w:type="dxa"/>
            <w:shd w:val="clear" w:color="auto" w:fill="FFFFFF"/>
            <w:vAlign w:val="center"/>
          </w:tcPr>
          <w:p w14:paraId="162603DD">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5608" w:type="dxa"/>
            <w:shd w:val="clear" w:color="auto" w:fill="FFFFFF"/>
            <w:vAlign w:val="center"/>
          </w:tcPr>
          <w:p w14:paraId="3F35BCF0">
            <w:pPr>
              <w:widowControl/>
              <w:spacing w:line="400" w:lineRule="exact"/>
              <w:jc w:val="left"/>
              <w:rPr>
                <w:rStyle w:val="74"/>
                <w:rFonts w:hint="default"/>
                <w:color w:val="auto"/>
                <w:sz w:val="21"/>
                <w:szCs w:val="21"/>
                <w:highlight w:val="none"/>
                <w:lang w:bidi="ar"/>
              </w:rPr>
            </w:pPr>
            <w:r>
              <w:rPr>
                <w:rStyle w:val="74"/>
                <w:rFonts w:hint="default"/>
                <w:color w:val="auto"/>
                <w:sz w:val="21"/>
                <w:szCs w:val="21"/>
                <w:highlight w:val="none"/>
                <w:lang w:bidi="ar"/>
              </w:rPr>
              <w:t>1、话筒内置DSP音频处理功能，采用48KHz采样率，确保声音采集无失真，无“噗噗”等相关低频脉冲噪声。</w:t>
            </w:r>
            <w:r>
              <w:rPr>
                <w:rStyle w:val="74"/>
                <w:rFonts w:hint="default"/>
                <w:color w:val="auto"/>
                <w:sz w:val="21"/>
                <w:szCs w:val="21"/>
                <w:highlight w:val="none"/>
                <w:lang w:bidi="ar"/>
              </w:rPr>
              <w:br w:type="textWrapping"/>
            </w:r>
            <w:r>
              <w:rPr>
                <w:rStyle w:val="74"/>
                <w:rFonts w:hint="default"/>
                <w:color w:val="auto"/>
                <w:sz w:val="21"/>
                <w:szCs w:val="21"/>
                <w:highlight w:val="none"/>
                <w:lang w:bidi="ar"/>
              </w:rPr>
              <w:t>2、采用先进处理芯片架构，及独特的处理算法，话筒开机连接时间</w:t>
            </w:r>
            <w:r>
              <w:rPr>
                <w:rFonts w:hint="eastAsia" w:ascii="宋体" w:hAnsi="宋体" w:cs="宋体"/>
                <w:color w:val="auto"/>
                <w:szCs w:val="21"/>
                <w:highlight w:val="none"/>
              </w:rPr>
              <w:t>≤</w:t>
            </w:r>
            <w:r>
              <w:rPr>
                <w:rStyle w:val="74"/>
                <w:rFonts w:hint="default"/>
                <w:color w:val="auto"/>
                <w:sz w:val="21"/>
                <w:szCs w:val="21"/>
                <w:highlight w:val="none"/>
                <w:lang w:bidi="ar"/>
              </w:rPr>
              <w:t>5秒。</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3、具有智能检测故障功能，提示用户AP故障、主机通信故障、信号强度过低等情况。</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4、具有TYPE-C设置SSID、密码功能，保证扩展系统时不会连接错误的AP。</w:t>
            </w:r>
            <w:r>
              <w:rPr>
                <w:rStyle w:val="74"/>
                <w:rFonts w:hint="default"/>
                <w:color w:val="auto"/>
                <w:sz w:val="21"/>
                <w:szCs w:val="21"/>
                <w:highlight w:val="none"/>
                <w:lang w:bidi="ar"/>
              </w:rPr>
              <w:br w:type="textWrapping"/>
            </w:r>
            <w:r>
              <w:rPr>
                <w:rStyle w:val="74"/>
                <w:rFonts w:hint="default"/>
                <w:color w:val="auto"/>
                <w:sz w:val="21"/>
                <w:szCs w:val="21"/>
                <w:highlight w:val="none"/>
                <w:lang w:bidi="ar"/>
              </w:rPr>
              <w:t>5、具有发言计时和定时发言功能。</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6、具有声控功能，可智能打开话筒。通过PC软件调节声控灵敏度及设置关闭时间。</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7、具有5段EQ调节功能（PC软件可调），可整体调节所有话筒不同的音效，直至达到完美的效果。</w:t>
            </w:r>
            <w:r>
              <w:rPr>
                <w:rStyle w:val="74"/>
                <w:rFonts w:hint="default"/>
                <w:color w:val="auto"/>
                <w:sz w:val="21"/>
                <w:szCs w:val="21"/>
                <w:highlight w:val="none"/>
                <w:lang w:bidi="ar"/>
              </w:rPr>
              <w:br w:type="textWrapping"/>
            </w:r>
            <w:r>
              <w:rPr>
                <w:rStyle w:val="74"/>
                <w:rFonts w:hint="default"/>
                <w:color w:val="auto"/>
                <w:sz w:val="21"/>
                <w:szCs w:val="21"/>
                <w:highlight w:val="none"/>
                <w:lang w:bidi="ar"/>
              </w:rPr>
              <w:t>8、支持签到功能，通过PC软件设置并发起签到。</w:t>
            </w:r>
            <w:r>
              <w:rPr>
                <w:rStyle w:val="74"/>
                <w:rFonts w:hint="default"/>
                <w:color w:val="auto"/>
                <w:sz w:val="21"/>
                <w:szCs w:val="21"/>
                <w:highlight w:val="none"/>
                <w:lang w:bidi="ar"/>
              </w:rPr>
              <w:br w:type="textWrapping"/>
            </w:r>
            <w:r>
              <w:rPr>
                <w:rStyle w:val="71"/>
                <w:rFonts w:hint="default"/>
                <w:color w:val="auto"/>
                <w:sz w:val="21"/>
                <w:szCs w:val="21"/>
                <w:highlight w:val="none"/>
                <w:lang w:bidi="ar"/>
              </w:rPr>
              <w:t>▲9、采用≥128位AES加密技术，支持WPA/WPA2无线安全技术。</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10、采用无线传输技术，只需要极少会场布置时间，即可开展会场活动。</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11、内置天线，提升WiFi网络传输效率。</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12、具备TYPE-C口，可进行升级程序和在线充电，内置容量锂电池，电池容量≥5100 mAh，可持续≥15小时发言。</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13、咪杆长度：≤380mm（黑色）。</w:t>
            </w:r>
          </w:p>
          <w:p w14:paraId="76DDD470">
            <w:pPr>
              <w:widowControl/>
              <w:spacing w:line="400" w:lineRule="exact"/>
              <w:jc w:val="left"/>
              <w:rPr>
                <w:rStyle w:val="74"/>
                <w:rFonts w:hint="default"/>
                <w:color w:val="auto"/>
                <w:sz w:val="21"/>
                <w:szCs w:val="21"/>
                <w:highlight w:val="none"/>
                <w:lang w:bidi="ar"/>
              </w:rPr>
            </w:pPr>
            <w:r>
              <w:rPr>
                <w:rFonts w:hint="eastAsia" w:ascii="宋体" w:hAnsi="宋体" w:cs="宋体"/>
                <w:b/>
                <w:bCs/>
                <w:color w:val="auto"/>
                <w:szCs w:val="21"/>
                <w:highlight w:val="none"/>
                <w:lang w:bidi="ar"/>
              </w:rPr>
              <w:t>（</w:t>
            </w:r>
            <w:r>
              <w:rPr>
                <w:rStyle w:val="71"/>
                <w:b/>
                <w:bCs/>
                <w:color w:val="auto"/>
                <w:sz w:val="21"/>
                <w:szCs w:val="21"/>
                <w:highlight w:val="none"/>
                <w:lang w:bidi="ar"/>
              </w:rPr>
              <w:t>上述标识▲的参数</w:t>
            </w:r>
            <w:r>
              <w:rPr>
                <w:rStyle w:val="71"/>
                <w:b/>
                <w:bCs/>
                <w:color w:val="auto"/>
                <w:sz w:val="21"/>
                <w:szCs w:val="21"/>
                <w:highlight w:val="none"/>
                <w:lang w:eastAsia="zh-CN" w:bidi="ar"/>
              </w:rPr>
              <w:t>须在</w:t>
            </w:r>
            <w:r>
              <w:rPr>
                <w:rStyle w:val="71"/>
                <w:rFonts w:hint="default"/>
                <w:b/>
                <w:bCs/>
                <w:color w:val="auto"/>
                <w:sz w:val="21"/>
                <w:szCs w:val="21"/>
                <w:highlight w:val="none"/>
                <w:lang w:bidi="ar"/>
              </w:rPr>
              <w:t>响应文件中提供具有CMA或CNAS标识的检测机构出具的检测报告或有效软件界面截图作为该设备技术参数证明材料</w:t>
            </w:r>
            <w:r>
              <w:rPr>
                <w:rStyle w:val="71"/>
                <w:rFonts w:hint="eastAsia"/>
                <w:b/>
                <w:bCs/>
                <w:color w:val="auto"/>
                <w:sz w:val="21"/>
                <w:szCs w:val="21"/>
                <w:highlight w:val="none"/>
                <w:lang w:eastAsia="zh-CN" w:bidi="ar"/>
              </w:rPr>
              <w:t>，否则视为无效响应。</w:t>
            </w:r>
            <w:r>
              <w:rPr>
                <w:rFonts w:hint="eastAsia" w:ascii="宋体" w:hAnsi="宋体" w:cs="宋体"/>
                <w:b/>
                <w:bCs/>
                <w:color w:val="auto"/>
                <w:szCs w:val="21"/>
                <w:highlight w:val="none"/>
                <w:lang w:bidi="ar"/>
              </w:rPr>
              <w:t>）</w:t>
            </w:r>
          </w:p>
        </w:tc>
      </w:tr>
      <w:tr w14:paraId="1259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207E9293">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1126" w:type="dxa"/>
            <w:gridSpan w:val="2"/>
            <w:shd w:val="clear" w:color="auto" w:fill="FFFFFF"/>
            <w:vAlign w:val="center"/>
          </w:tcPr>
          <w:p w14:paraId="231CF175">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话筒充电箱</w:t>
            </w:r>
          </w:p>
        </w:tc>
        <w:tc>
          <w:tcPr>
            <w:tcW w:w="675" w:type="dxa"/>
            <w:shd w:val="clear" w:color="auto" w:fill="FFFFFF"/>
            <w:vAlign w:val="center"/>
          </w:tcPr>
          <w:p w14:paraId="6A103D7C">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18</w:t>
            </w:r>
          </w:p>
        </w:tc>
        <w:tc>
          <w:tcPr>
            <w:tcW w:w="700" w:type="dxa"/>
            <w:shd w:val="clear" w:color="auto" w:fill="FFFFFF"/>
            <w:vAlign w:val="center"/>
          </w:tcPr>
          <w:p w14:paraId="5EE6340E">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0C7627FD">
            <w:pPr>
              <w:widowControl/>
              <w:spacing w:line="400" w:lineRule="exact"/>
              <w:jc w:val="left"/>
              <w:rPr>
                <w:rFonts w:ascii="宋体" w:hAnsi="宋体" w:cs="宋体"/>
                <w:color w:val="auto"/>
                <w:szCs w:val="21"/>
                <w:highlight w:val="none"/>
              </w:rPr>
            </w:pPr>
            <w:r>
              <w:rPr>
                <w:rStyle w:val="74"/>
                <w:rFonts w:hint="default"/>
                <w:color w:val="auto"/>
                <w:sz w:val="21"/>
                <w:szCs w:val="21"/>
                <w:highlight w:val="none"/>
                <w:lang w:bidi="ar"/>
              </w:rPr>
              <w:t>1、充电器可同时插满所有USB接口，供设备批量充电。</w:t>
            </w:r>
            <w:r>
              <w:rPr>
                <w:rStyle w:val="74"/>
                <w:rFonts w:hint="default"/>
                <w:color w:val="auto"/>
                <w:sz w:val="21"/>
                <w:szCs w:val="21"/>
                <w:highlight w:val="none"/>
                <w:lang w:bidi="ar"/>
              </w:rPr>
              <w:br w:type="textWrapping"/>
            </w:r>
            <w:r>
              <w:rPr>
                <w:rStyle w:val="71"/>
                <w:rFonts w:hint="default"/>
                <w:color w:val="auto"/>
                <w:sz w:val="21"/>
                <w:szCs w:val="21"/>
                <w:highlight w:val="none"/>
                <w:lang w:bidi="ar"/>
              </w:rPr>
              <w:t>2、使用USB线充电，一端连接充电器一端连接会议话筒，支持≥18W快充。</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3、根据设备的耐受电流大小充电器会自动匹配合适的电流大小给设备充电，同时有过流保护功能，保证被充电单元的安全。</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4、智能自动电路保护，所有USB插口均具有短路保护功能和自恢复功能。</w:t>
            </w:r>
          </w:p>
        </w:tc>
      </w:tr>
      <w:tr w14:paraId="6036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7FB9FAD1">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1126" w:type="dxa"/>
            <w:gridSpan w:val="2"/>
            <w:shd w:val="clear" w:color="auto" w:fill="FFFFFF"/>
            <w:vAlign w:val="center"/>
          </w:tcPr>
          <w:p w14:paraId="45F0F349">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话筒信号收发器</w:t>
            </w:r>
          </w:p>
        </w:tc>
        <w:tc>
          <w:tcPr>
            <w:tcW w:w="675" w:type="dxa"/>
            <w:shd w:val="clear" w:color="auto" w:fill="FFFFFF"/>
            <w:vAlign w:val="center"/>
          </w:tcPr>
          <w:p w14:paraId="4EE9569D">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4D72A57D">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19739648">
            <w:pPr>
              <w:widowControl/>
              <w:spacing w:line="400" w:lineRule="exact"/>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1、遵从Wi-Fi 6协议标准（IEEE 802.11ax），向下兼容802.11a/b/g/n/ac/Wave2，支持MU-MIMO，允许AP同时接收多个终端发送数据，整机最大传输速率可达1.601Gbps，可以有效地从覆盖范围、接入密度、流量吞吐等方面提供更高性能的无线接入服务。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2、支持OFDMA空间复用技术和1024QAM调制解调算法，可提供更快的无线上网和更大的无线覆盖范围，能够轻松满足各种无线业务的承载使用，如语音、文字等多媒体业务。</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3、上行链路采用千兆以太网端口，突破了传统百兆速率的限制，使有线口不再成为无线接入的速率瓶颈。</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4、通过虚拟无线接入技术，最多可提供32个SSID，不同SSID之间互相隔离的，可以对使用相同SSID的子网或同一个VLAN下进行终端二层隔离，保证用户数据安全。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5、支持中文SSID，可指定最长包含31个字符的SSID，也可以使用中英文混合的SSID。</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6、采用</w:t>
            </w:r>
            <w:r>
              <w:rPr>
                <w:rFonts w:hint="eastAsia"/>
                <w:color w:val="auto"/>
                <w:highlight w:val="none"/>
              </w:rPr>
              <w:t>≥</w:t>
            </w:r>
            <w:r>
              <w:rPr>
                <w:rFonts w:hint="eastAsia" w:ascii="宋体" w:hAnsi="宋体" w:cs="宋体"/>
                <w:color w:val="auto"/>
                <w:kern w:val="0"/>
                <w:szCs w:val="21"/>
                <w:highlight w:val="none"/>
                <w:lang w:bidi="ar"/>
              </w:rPr>
              <w:t>128位AES加密技术，支持WPA/WPA2无线安全技术，防止窃听和非授权访问。</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7、支持80/160MHz的高带宽频段，能减少传输信道拥堵，降低传输时延。</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8、支持本地供电与PoE远程供电，可根据现场供电环境进行灵活选择。</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9、适用于吸顶、壁挂以及桌面放装。</w:t>
            </w:r>
          </w:p>
        </w:tc>
      </w:tr>
      <w:tr w14:paraId="2D59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579573B6">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7</w:t>
            </w:r>
          </w:p>
        </w:tc>
        <w:tc>
          <w:tcPr>
            <w:tcW w:w="1126" w:type="dxa"/>
            <w:gridSpan w:val="2"/>
            <w:shd w:val="clear" w:color="auto" w:fill="FFFFFF"/>
            <w:vAlign w:val="center"/>
          </w:tcPr>
          <w:p w14:paraId="43D2D409">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音箱</w:t>
            </w:r>
          </w:p>
        </w:tc>
        <w:tc>
          <w:tcPr>
            <w:tcW w:w="675" w:type="dxa"/>
            <w:shd w:val="clear" w:color="auto" w:fill="FFFFFF"/>
            <w:vAlign w:val="center"/>
          </w:tcPr>
          <w:p w14:paraId="069EB191">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18</w:t>
            </w:r>
          </w:p>
        </w:tc>
        <w:tc>
          <w:tcPr>
            <w:tcW w:w="700" w:type="dxa"/>
            <w:shd w:val="clear" w:color="auto" w:fill="FFFFFF"/>
            <w:vAlign w:val="center"/>
          </w:tcPr>
          <w:p w14:paraId="50E94C4F">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只</w:t>
            </w:r>
          </w:p>
        </w:tc>
        <w:tc>
          <w:tcPr>
            <w:tcW w:w="5608" w:type="dxa"/>
            <w:shd w:val="clear" w:color="auto" w:fill="FFFFFF"/>
            <w:vAlign w:val="center"/>
          </w:tcPr>
          <w:p w14:paraId="332E06DC">
            <w:pPr>
              <w:widowControl/>
              <w:spacing w:line="400" w:lineRule="exact"/>
              <w:jc w:val="left"/>
              <w:rPr>
                <w:rFonts w:ascii="宋体" w:hAnsi="宋体" w:cs="宋体"/>
                <w:color w:val="auto"/>
                <w:szCs w:val="21"/>
                <w:highlight w:val="none"/>
              </w:rPr>
            </w:pPr>
            <w:r>
              <w:rPr>
                <w:rStyle w:val="71"/>
                <w:rFonts w:hint="default"/>
                <w:color w:val="auto"/>
                <w:sz w:val="21"/>
                <w:szCs w:val="21"/>
                <w:highlight w:val="none"/>
                <w:lang w:bidi="ar"/>
              </w:rPr>
              <w:t>1、采用≥1只6.5寸中低音喇叭单元和≥2只3寸锥形高音单元。</w:t>
            </w:r>
            <w:r>
              <w:rPr>
                <w:rStyle w:val="71"/>
                <w:rFonts w:hint="default"/>
                <w:color w:val="auto"/>
                <w:sz w:val="21"/>
                <w:szCs w:val="21"/>
                <w:highlight w:val="none"/>
                <w:lang w:bidi="ar"/>
              </w:rPr>
              <w:br w:type="textWrapping"/>
            </w:r>
            <w:r>
              <w:rPr>
                <w:rStyle w:val="71"/>
                <w:rFonts w:hint="default"/>
                <w:color w:val="auto"/>
                <w:sz w:val="21"/>
                <w:szCs w:val="21"/>
                <w:highlight w:val="none"/>
                <w:lang w:bidi="ar"/>
              </w:rPr>
              <w:t>2、箱体采用≥12mm夹板制作，质量轻，耐磨喷漆处理，外贴防尘网布。</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3、分频器</w:t>
            </w:r>
            <w:r>
              <w:rPr>
                <w:rFonts w:hint="eastAsia"/>
                <w:color w:val="auto"/>
                <w:highlight w:val="none"/>
              </w:rPr>
              <w:t>可以</w:t>
            </w:r>
            <w:r>
              <w:rPr>
                <w:rStyle w:val="74"/>
                <w:rFonts w:hint="default"/>
                <w:color w:val="auto"/>
                <w:sz w:val="21"/>
                <w:szCs w:val="21"/>
                <w:highlight w:val="none"/>
                <w:lang w:bidi="ar"/>
              </w:rPr>
              <w:t>优化人声部分的中频表现力。</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4、阻抗≤8Ω</w:t>
            </w:r>
            <w:r>
              <w:rPr>
                <w:rStyle w:val="74"/>
                <w:rFonts w:hint="default"/>
                <w:color w:val="auto"/>
                <w:sz w:val="21"/>
                <w:szCs w:val="21"/>
                <w:highlight w:val="none"/>
                <w:lang w:bidi="ar"/>
              </w:rPr>
              <w:br w:type="textWrapping"/>
            </w:r>
            <w:r>
              <w:rPr>
                <w:rStyle w:val="74"/>
                <w:rFonts w:hint="default"/>
                <w:color w:val="auto"/>
                <w:sz w:val="21"/>
                <w:szCs w:val="21"/>
                <w:highlight w:val="none"/>
                <w:lang w:bidi="ar"/>
              </w:rPr>
              <w:t>5、频响等同或优于70Hz~20KHz</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6、额定功率≥120W</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7、灵敏度≥95dB/W/M</w:t>
            </w:r>
            <w:r>
              <w:rPr>
                <w:rStyle w:val="74"/>
                <w:rFonts w:hint="default"/>
                <w:color w:val="auto"/>
                <w:sz w:val="21"/>
                <w:szCs w:val="21"/>
                <w:highlight w:val="none"/>
                <w:lang w:bidi="ar"/>
              </w:rPr>
              <w:br w:type="textWrapping"/>
            </w:r>
            <w:r>
              <w:rPr>
                <w:rStyle w:val="74"/>
                <w:rFonts w:hint="default"/>
                <w:color w:val="auto"/>
                <w:sz w:val="21"/>
                <w:szCs w:val="21"/>
                <w:highlight w:val="none"/>
                <w:lang w:bidi="ar"/>
              </w:rPr>
              <w:t>8、水平覆盖角≥120°，垂直覆盖角≥60°</w:t>
            </w:r>
            <w:r>
              <w:rPr>
                <w:rStyle w:val="74"/>
                <w:rFonts w:hint="default"/>
                <w:color w:val="auto"/>
                <w:sz w:val="21"/>
                <w:szCs w:val="21"/>
                <w:highlight w:val="none"/>
                <w:lang w:bidi="ar"/>
              </w:rPr>
              <w:br w:type="textWrapping"/>
            </w:r>
            <w:r>
              <w:rPr>
                <w:rStyle w:val="74"/>
                <w:rFonts w:hint="default"/>
                <w:color w:val="auto"/>
                <w:sz w:val="21"/>
                <w:szCs w:val="21"/>
                <w:highlight w:val="none"/>
                <w:lang w:bidi="ar"/>
              </w:rPr>
              <w:t>9、高音：≥3"锥形高音单元×2</w:t>
            </w:r>
            <w:r>
              <w:rPr>
                <w:rStyle w:val="74"/>
                <w:rFonts w:hint="default"/>
                <w:color w:val="auto"/>
                <w:sz w:val="21"/>
                <w:szCs w:val="21"/>
                <w:highlight w:val="none"/>
                <w:lang w:bidi="ar"/>
              </w:rPr>
              <w:br w:type="textWrapping"/>
            </w:r>
            <w:r>
              <w:rPr>
                <w:rStyle w:val="74"/>
                <w:rFonts w:hint="default"/>
                <w:color w:val="auto"/>
                <w:sz w:val="21"/>
                <w:szCs w:val="21"/>
                <w:highlight w:val="none"/>
                <w:lang w:bidi="ar"/>
              </w:rPr>
              <w:t>10、低音：≥6.5"低音×1</w:t>
            </w:r>
          </w:p>
        </w:tc>
      </w:tr>
      <w:tr w14:paraId="7992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0EC6DF9F">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8</w:t>
            </w:r>
          </w:p>
        </w:tc>
        <w:tc>
          <w:tcPr>
            <w:tcW w:w="1126" w:type="dxa"/>
            <w:gridSpan w:val="2"/>
            <w:shd w:val="clear" w:color="auto" w:fill="FFFFFF"/>
            <w:vAlign w:val="center"/>
          </w:tcPr>
          <w:p w14:paraId="4C2E44F2">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专业功率放大器</w:t>
            </w:r>
          </w:p>
        </w:tc>
        <w:tc>
          <w:tcPr>
            <w:tcW w:w="675" w:type="dxa"/>
            <w:shd w:val="clear" w:color="auto" w:fill="FFFFFF"/>
            <w:vAlign w:val="center"/>
          </w:tcPr>
          <w:p w14:paraId="5A7200B5">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18BB6437">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6D15F531">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1、电源采用开关电源技术，效率高，有效的抑制电源谐波。</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 xml:space="preserve">2、内置智能削峰限幅器，支持开机软启动，防止开机时向电网吸收大电流，干扰其它用电设备。 </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3、具有：过压保护，欠压保护，过流保护，直流保护，输出短路保护，温控风扇等功能。</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4、标准XLR输入接口，和LINK输出口。</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5、标准≤1U机箱设计，采用D类数字功放设计方案。</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6、输出功率：立体声@8Ω：≥200W×2；立体声@4Ω：≥400W×2。</w:t>
            </w:r>
          </w:p>
        </w:tc>
      </w:tr>
      <w:tr w14:paraId="306A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2077C3B7">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9</w:t>
            </w:r>
          </w:p>
        </w:tc>
        <w:tc>
          <w:tcPr>
            <w:tcW w:w="1126" w:type="dxa"/>
            <w:gridSpan w:val="2"/>
            <w:shd w:val="clear" w:color="auto" w:fill="FFFFFF"/>
            <w:vAlign w:val="center"/>
          </w:tcPr>
          <w:p w14:paraId="5F84A667">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时序电源</w:t>
            </w:r>
          </w:p>
        </w:tc>
        <w:tc>
          <w:tcPr>
            <w:tcW w:w="675" w:type="dxa"/>
            <w:shd w:val="clear" w:color="auto" w:fill="FFFFFF"/>
            <w:vAlign w:val="center"/>
          </w:tcPr>
          <w:p w14:paraId="4CDA3048">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55E20F8C">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4E2A9FDA">
            <w:pPr>
              <w:widowControl/>
              <w:spacing w:line="400" w:lineRule="exact"/>
              <w:jc w:val="left"/>
              <w:rPr>
                <w:rFonts w:ascii="宋体" w:hAnsi="宋体" w:cs="宋体"/>
                <w:color w:val="auto"/>
                <w:szCs w:val="21"/>
                <w:highlight w:val="none"/>
              </w:rPr>
            </w:pPr>
            <w:r>
              <w:rPr>
                <w:rStyle w:val="71"/>
                <w:rFonts w:hint="default"/>
                <w:color w:val="auto"/>
                <w:sz w:val="21"/>
                <w:szCs w:val="21"/>
                <w:highlight w:val="none"/>
                <w:lang w:bidi="ar"/>
              </w:rPr>
              <w:t>1、设备采用标准≤1U机箱设计</w:t>
            </w:r>
            <w:r>
              <w:rPr>
                <w:rStyle w:val="74"/>
                <w:rFonts w:hint="default"/>
                <w:color w:val="auto"/>
                <w:sz w:val="21"/>
                <w:szCs w:val="21"/>
                <w:highlight w:val="none"/>
                <w:lang w:bidi="ar"/>
              </w:rPr>
              <w:t>。</w:t>
            </w:r>
            <w:r>
              <w:rPr>
                <w:rStyle w:val="74"/>
                <w:rFonts w:hint="default"/>
                <w:color w:val="auto"/>
                <w:sz w:val="21"/>
                <w:szCs w:val="21"/>
                <w:highlight w:val="none"/>
                <w:lang w:bidi="ar"/>
              </w:rPr>
              <w:br w:type="textWrapping"/>
            </w:r>
            <w:r>
              <w:rPr>
                <w:rStyle w:val="71"/>
                <w:rFonts w:hint="default"/>
                <w:color w:val="auto"/>
                <w:sz w:val="21"/>
                <w:szCs w:val="21"/>
                <w:highlight w:val="none"/>
                <w:lang w:bidi="ar"/>
              </w:rPr>
              <w:t>2、≥8通道电源时序打开/关闭。</w:t>
            </w:r>
            <w:r>
              <w:rPr>
                <w:rStyle w:val="74"/>
                <w:rFonts w:hint="default"/>
                <w:color w:val="auto"/>
                <w:sz w:val="21"/>
                <w:szCs w:val="21"/>
                <w:highlight w:val="none"/>
                <w:lang w:bidi="ar"/>
              </w:rPr>
              <w:br w:type="textWrapping"/>
            </w:r>
            <w:r>
              <w:rPr>
                <w:rStyle w:val="74"/>
                <w:rFonts w:hint="default"/>
                <w:color w:val="auto"/>
                <w:sz w:val="21"/>
                <w:szCs w:val="21"/>
                <w:highlight w:val="none"/>
                <w:lang w:bidi="ar"/>
              </w:rPr>
              <w:t>3、远程控制（上电+24V直流信号）≥8通道电源时序打开/关闭—当船型开关处于off位置时有效。支持配置CH1和CH2通道为受控或不受控状态。</w:t>
            </w:r>
            <w:r>
              <w:rPr>
                <w:rStyle w:val="74"/>
                <w:rFonts w:hint="default"/>
                <w:color w:val="auto"/>
                <w:sz w:val="21"/>
                <w:szCs w:val="21"/>
                <w:highlight w:val="none"/>
                <w:lang w:bidi="ar"/>
              </w:rPr>
              <w:br w:type="textWrapping"/>
            </w:r>
            <w:r>
              <w:rPr>
                <w:rStyle w:val="74"/>
                <w:rFonts w:hint="default"/>
                <w:color w:val="auto"/>
                <w:sz w:val="21"/>
                <w:szCs w:val="21"/>
                <w:highlight w:val="none"/>
                <w:lang w:bidi="ar"/>
              </w:rPr>
              <w:t>4、当远程控制有效时同时控制后板ALARM（报警）端口导通以起到级联控制ALARM（报警）功能。</w:t>
            </w:r>
            <w:r>
              <w:rPr>
                <w:rStyle w:val="74"/>
                <w:rFonts w:hint="default"/>
                <w:color w:val="auto"/>
                <w:sz w:val="21"/>
                <w:szCs w:val="21"/>
                <w:highlight w:val="none"/>
                <w:lang w:bidi="ar"/>
              </w:rPr>
              <w:br w:type="textWrapping"/>
            </w:r>
            <w:r>
              <w:rPr>
                <w:rStyle w:val="71"/>
                <w:rFonts w:hint="default"/>
                <w:color w:val="auto"/>
                <w:sz w:val="21"/>
                <w:szCs w:val="21"/>
                <w:highlight w:val="none"/>
                <w:lang w:bidi="ar"/>
              </w:rPr>
              <w:t>5、单个通道最大负载功率2200W，所有通道负载总功率达≥6000W。</w:t>
            </w:r>
            <w:r>
              <w:rPr>
                <w:rStyle w:val="74"/>
                <w:rFonts w:hint="default"/>
                <w:color w:val="auto"/>
                <w:sz w:val="21"/>
                <w:szCs w:val="21"/>
                <w:highlight w:val="none"/>
                <w:lang w:bidi="ar"/>
              </w:rPr>
              <w:br w:type="textWrapping"/>
            </w:r>
            <w:r>
              <w:rPr>
                <w:rStyle w:val="74"/>
                <w:rFonts w:hint="default"/>
                <w:color w:val="auto"/>
                <w:sz w:val="21"/>
                <w:szCs w:val="21"/>
                <w:highlight w:val="none"/>
                <w:lang w:bidi="ar"/>
              </w:rPr>
              <w:t>6、输入连接器：大功率线码式电源连接器。</w:t>
            </w:r>
            <w:r>
              <w:rPr>
                <w:rStyle w:val="74"/>
                <w:rFonts w:hint="default"/>
                <w:color w:val="auto"/>
                <w:sz w:val="21"/>
                <w:szCs w:val="21"/>
                <w:highlight w:val="none"/>
                <w:lang w:bidi="ar"/>
              </w:rPr>
              <w:br w:type="textWrapping"/>
            </w:r>
            <w:r>
              <w:rPr>
                <w:rStyle w:val="74"/>
                <w:rFonts w:hint="default"/>
                <w:color w:val="auto"/>
                <w:sz w:val="21"/>
                <w:szCs w:val="21"/>
                <w:highlight w:val="none"/>
                <w:lang w:bidi="ar"/>
              </w:rPr>
              <w:t>7、输出连接器：多用途电源插座。</w:t>
            </w:r>
            <w:r>
              <w:rPr>
                <w:rStyle w:val="74"/>
                <w:rFonts w:hint="default"/>
                <w:color w:val="auto"/>
                <w:sz w:val="21"/>
                <w:szCs w:val="21"/>
                <w:highlight w:val="none"/>
                <w:lang w:bidi="ar"/>
              </w:rPr>
              <w:br w:type="textWrapping"/>
            </w:r>
            <w:r>
              <w:rPr>
                <w:rStyle w:val="71"/>
                <w:rFonts w:hint="default"/>
                <w:color w:val="auto"/>
                <w:sz w:val="21"/>
                <w:szCs w:val="21"/>
                <w:highlight w:val="none"/>
                <w:lang w:bidi="ar"/>
              </w:rPr>
              <w:t>8、≥1路USB输出接口，可以接LED灯。</w:t>
            </w:r>
          </w:p>
        </w:tc>
      </w:tr>
      <w:tr w14:paraId="6C08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619C95EE">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10</w:t>
            </w:r>
          </w:p>
        </w:tc>
        <w:tc>
          <w:tcPr>
            <w:tcW w:w="1126" w:type="dxa"/>
            <w:gridSpan w:val="2"/>
            <w:shd w:val="clear" w:color="auto" w:fill="FFFFFF"/>
            <w:vAlign w:val="center"/>
          </w:tcPr>
          <w:p w14:paraId="763C72BE">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合议系统数据传输模块</w:t>
            </w:r>
          </w:p>
        </w:tc>
        <w:tc>
          <w:tcPr>
            <w:tcW w:w="675" w:type="dxa"/>
            <w:shd w:val="clear" w:color="auto" w:fill="FFFFFF"/>
            <w:vAlign w:val="center"/>
          </w:tcPr>
          <w:p w14:paraId="29C0AADC">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0EC7950E">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13C607AB">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端口：24个10/100/1000Base-T自适应以太网端口</w:t>
            </w:r>
          </w:p>
        </w:tc>
      </w:tr>
      <w:tr w14:paraId="230A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684ADE60">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11</w:t>
            </w:r>
          </w:p>
        </w:tc>
        <w:tc>
          <w:tcPr>
            <w:tcW w:w="1126" w:type="dxa"/>
            <w:gridSpan w:val="2"/>
            <w:shd w:val="clear" w:color="auto" w:fill="FFFFFF"/>
            <w:vAlign w:val="center"/>
          </w:tcPr>
          <w:p w14:paraId="7AC3FF08">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合议系统数据传输模块</w:t>
            </w:r>
          </w:p>
        </w:tc>
        <w:tc>
          <w:tcPr>
            <w:tcW w:w="675" w:type="dxa"/>
            <w:shd w:val="clear" w:color="auto" w:fill="FFFFFF"/>
            <w:vAlign w:val="center"/>
          </w:tcPr>
          <w:p w14:paraId="4A9090BC">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1CBECBD6">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6CF6DA8C">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端口：8个10/100/1000Base-T自适应以太网端口，支持POE供电</w:t>
            </w:r>
          </w:p>
        </w:tc>
      </w:tr>
      <w:tr w14:paraId="21FC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7A19F3B0">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12</w:t>
            </w:r>
          </w:p>
        </w:tc>
        <w:tc>
          <w:tcPr>
            <w:tcW w:w="1126" w:type="dxa"/>
            <w:gridSpan w:val="2"/>
            <w:shd w:val="clear" w:color="auto" w:fill="FFFFFF"/>
            <w:vAlign w:val="center"/>
          </w:tcPr>
          <w:p w14:paraId="27C3846F">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小型机柜</w:t>
            </w:r>
          </w:p>
        </w:tc>
        <w:tc>
          <w:tcPr>
            <w:tcW w:w="675" w:type="dxa"/>
            <w:shd w:val="clear" w:color="auto" w:fill="FFFFFF"/>
            <w:vAlign w:val="center"/>
          </w:tcPr>
          <w:p w14:paraId="06D3BEA0">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054113A7">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台</w:t>
            </w:r>
          </w:p>
        </w:tc>
        <w:tc>
          <w:tcPr>
            <w:tcW w:w="5608" w:type="dxa"/>
            <w:shd w:val="clear" w:color="auto" w:fill="FFFFFF"/>
            <w:vAlign w:val="center"/>
          </w:tcPr>
          <w:p w14:paraId="0D6D672C">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18U机柜</w:t>
            </w:r>
            <w:r>
              <w:rPr>
                <w:rFonts w:hint="eastAsia"/>
                <w:color w:val="auto"/>
                <w:highlight w:val="none"/>
              </w:rPr>
              <w:t>；主体材质：采用优质冷轧钢板，框架、安装立柱应 ≥1.2mm，侧门、顶板应≥0.8mm；防尘等级：≥ IP20。</w:t>
            </w:r>
          </w:p>
        </w:tc>
      </w:tr>
      <w:tr w14:paraId="21FE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jc w:val="center"/>
        </w:trPr>
        <w:tc>
          <w:tcPr>
            <w:tcW w:w="696" w:type="dxa"/>
            <w:shd w:val="clear" w:color="auto" w:fill="FFFFFF"/>
            <w:vAlign w:val="center"/>
          </w:tcPr>
          <w:p w14:paraId="5F660876">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13</w:t>
            </w:r>
          </w:p>
        </w:tc>
        <w:tc>
          <w:tcPr>
            <w:tcW w:w="1126" w:type="dxa"/>
            <w:gridSpan w:val="2"/>
            <w:shd w:val="clear" w:color="auto" w:fill="FFFFFF"/>
            <w:vAlign w:val="center"/>
          </w:tcPr>
          <w:p w14:paraId="6D172B8D">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合议室拆除服务</w:t>
            </w:r>
          </w:p>
        </w:tc>
        <w:tc>
          <w:tcPr>
            <w:tcW w:w="675" w:type="dxa"/>
            <w:shd w:val="clear" w:color="auto" w:fill="FFFFFF"/>
            <w:vAlign w:val="center"/>
          </w:tcPr>
          <w:p w14:paraId="4B28F367">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w:t>
            </w:r>
          </w:p>
        </w:tc>
        <w:tc>
          <w:tcPr>
            <w:tcW w:w="700" w:type="dxa"/>
            <w:shd w:val="clear" w:color="auto" w:fill="FFFFFF"/>
            <w:vAlign w:val="center"/>
          </w:tcPr>
          <w:p w14:paraId="4BD545F2">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项</w:t>
            </w:r>
          </w:p>
        </w:tc>
        <w:tc>
          <w:tcPr>
            <w:tcW w:w="5608" w:type="dxa"/>
            <w:shd w:val="clear" w:color="auto" w:fill="FFFFFF"/>
            <w:vAlign w:val="center"/>
          </w:tcPr>
          <w:p w14:paraId="3F7DBAEC">
            <w:pPr>
              <w:widowControl/>
              <w:spacing w:line="400" w:lineRule="exact"/>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1、拆除原有墙面旧装饰物：现场墙面旧装饰物拆除，含垃圾清运至指定位置。</w:t>
            </w:r>
          </w:p>
          <w:p w14:paraId="5BBDE99E">
            <w:pPr>
              <w:widowControl/>
              <w:spacing w:line="400" w:lineRule="exact"/>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2、拆除原吊顶石膏板：原有吊顶拆除含垃圾清运至指定位置。</w:t>
            </w:r>
          </w:p>
          <w:p w14:paraId="0040A15C">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3、原会议室桌椅等搬运：搬运至负一层指定位置。</w:t>
            </w:r>
          </w:p>
        </w:tc>
      </w:tr>
      <w:tr w14:paraId="7E80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703FDE3B">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14</w:t>
            </w:r>
          </w:p>
        </w:tc>
        <w:tc>
          <w:tcPr>
            <w:tcW w:w="1126" w:type="dxa"/>
            <w:gridSpan w:val="2"/>
            <w:shd w:val="clear" w:color="auto" w:fill="FFFFFF"/>
            <w:vAlign w:val="center"/>
          </w:tcPr>
          <w:p w14:paraId="00EBE5E6">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合议室改造服务</w:t>
            </w:r>
          </w:p>
        </w:tc>
        <w:tc>
          <w:tcPr>
            <w:tcW w:w="675" w:type="dxa"/>
            <w:shd w:val="clear" w:color="auto" w:fill="FFFFFF"/>
            <w:vAlign w:val="center"/>
          </w:tcPr>
          <w:p w14:paraId="756A9313">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w:t>
            </w:r>
          </w:p>
        </w:tc>
        <w:tc>
          <w:tcPr>
            <w:tcW w:w="700" w:type="dxa"/>
            <w:shd w:val="clear" w:color="auto" w:fill="FFFFFF"/>
            <w:vAlign w:val="center"/>
          </w:tcPr>
          <w:p w14:paraId="492299AC">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项</w:t>
            </w:r>
          </w:p>
        </w:tc>
        <w:tc>
          <w:tcPr>
            <w:tcW w:w="5608" w:type="dxa"/>
            <w:shd w:val="clear" w:color="auto" w:fill="FFFFFF"/>
            <w:vAlign w:val="center"/>
          </w:tcPr>
          <w:p w14:paraId="6A20198B">
            <w:pPr>
              <w:widowControl/>
              <w:spacing w:line="400" w:lineRule="exact"/>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1、墙面改造服务：</w:t>
            </w:r>
          </w:p>
          <w:p w14:paraId="3C669484">
            <w:pPr>
              <w:widowControl/>
              <w:spacing w:line="400" w:lineRule="exact"/>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（1）合议室护墙板；</w:t>
            </w:r>
          </w:p>
          <w:p w14:paraId="0F4E9356">
            <w:pPr>
              <w:widowControl/>
              <w:spacing w:line="400" w:lineRule="exact"/>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（2）护墙板专用配套踢脚线；</w:t>
            </w:r>
          </w:p>
          <w:p w14:paraId="7A9E34AA">
            <w:pPr>
              <w:widowControl/>
              <w:spacing w:line="400" w:lineRule="exact"/>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（3）按要求增加强弱电接口。</w:t>
            </w:r>
          </w:p>
          <w:p w14:paraId="3743E290">
            <w:pPr>
              <w:widowControl/>
              <w:spacing w:line="400" w:lineRule="exact"/>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2、吊顶改造服务：合议室吊顶刮腻子两遍（一底一面），刷乳胶漆两遍（一底一面），龙骨架+12mm埃特板。</w:t>
            </w:r>
          </w:p>
          <w:p w14:paraId="6D434968">
            <w:pPr>
              <w:widowControl/>
              <w:spacing w:line="400" w:lineRule="exact"/>
              <w:jc w:val="left"/>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3、窗帘改造服务：全遮光亚麻布窗帘，2倍褶皱。</w:t>
            </w:r>
          </w:p>
          <w:p w14:paraId="233F7305">
            <w:pPr>
              <w:widowControl/>
              <w:spacing w:line="400" w:lineRule="exact"/>
              <w:jc w:val="left"/>
              <w:rPr>
                <w:rFonts w:ascii="宋体" w:hAnsi="宋体" w:cs="宋体"/>
                <w:color w:val="auto"/>
                <w:kern w:val="0"/>
                <w:szCs w:val="21"/>
                <w:highlight w:val="none"/>
                <w:lang w:bidi="ar"/>
              </w:rPr>
            </w:pPr>
            <w:r>
              <w:rPr>
                <w:rFonts w:hint="eastAsia" w:ascii="宋体" w:hAnsi="宋体" w:eastAsia="宋体" w:cs="宋体"/>
                <w:color w:val="auto"/>
                <w:kern w:val="0"/>
                <w:szCs w:val="21"/>
                <w:highlight w:val="none"/>
                <w:lang w:bidi="ar"/>
              </w:rPr>
              <w:t>4、合议室清洁及垃圾清运。</w:t>
            </w:r>
          </w:p>
        </w:tc>
      </w:tr>
      <w:tr w14:paraId="2D42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27D27153">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15</w:t>
            </w:r>
          </w:p>
        </w:tc>
        <w:tc>
          <w:tcPr>
            <w:tcW w:w="1126" w:type="dxa"/>
            <w:gridSpan w:val="2"/>
            <w:shd w:val="clear" w:color="auto" w:fill="FFFFFF"/>
            <w:vAlign w:val="center"/>
          </w:tcPr>
          <w:p w14:paraId="111689BA">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定制化合议系统操作台</w:t>
            </w:r>
          </w:p>
        </w:tc>
        <w:tc>
          <w:tcPr>
            <w:tcW w:w="675" w:type="dxa"/>
            <w:shd w:val="clear" w:color="auto" w:fill="FFFFFF"/>
            <w:vAlign w:val="center"/>
          </w:tcPr>
          <w:p w14:paraId="11AA3B0F">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9</w:t>
            </w:r>
          </w:p>
        </w:tc>
        <w:tc>
          <w:tcPr>
            <w:tcW w:w="700" w:type="dxa"/>
            <w:shd w:val="clear" w:color="auto" w:fill="FFFFFF"/>
            <w:vAlign w:val="center"/>
          </w:tcPr>
          <w:p w14:paraId="4D4F3435">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张</w:t>
            </w:r>
          </w:p>
        </w:tc>
        <w:tc>
          <w:tcPr>
            <w:tcW w:w="5608" w:type="dxa"/>
            <w:shd w:val="clear" w:color="auto" w:fill="FFFFFF"/>
            <w:vAlign w:val="center"/>
          </w:tcPr>
          <w:p w14:paraId="4089BA39">
            <w:pPr>
              <w:widowControl/>
              <w:spacing w:line="400" w:lineRule="exact"/>
              <w:jc w:val="left"/>
              <w:rPr>
                <w:rFonts w:ascii="宋体" w:hAnsi="宋体" w:cs="宋体"/>
                <w:color w:val="auto"/>
                <w:szCs w:val="21"/>
                <w:highlight w:val="none"/>
              </w:rPr>
            </w:pPr>
            <w:r>
              <w:rPr>
                <w:rFonts w:hint="eastAsia" w:ascii="宋体" w:hAnsi="宋体" w:eastAsia="宋体" w:cs="宋体"/>
                <w:color w:val="auto"/>
                <w:kern w:val="0"/>
                <w:szCs w:val="21"/>
                <w:highlight w:val="none"/>
                <w:lang w:bidi="ar"/>
              </w:rPr>
              <w:t>1、支持≥12人开会使用；</w:t>
            </w:r>
            <w:r>
              <w:rPr>
                <w:rFonts w:hint="eastAsia" w:ascii="宋体" w:hAnsi="宋体" w:eastAsia="宋体" w:cs="宋体"/>
                <w:color w:val="auto"/>
                <w:kern w:val="0"/>
                <w:szCs w:val="21"/>
                <w:highlight w:val="none"/>
                <w:lang w:bidi="ar"/>
              </w:rPr>
              <w:br w:type="textWrapping"/>
            </w:r>
            <w:r>
              <w:rPr>
                <w:rFonts w:hint="eastAsia" w:ascii="宋体" w:hAnsi="宋体" w:eastAsia="宋体" w:cs="宋体"/>
                <w:color w:val="auto"/>
                <w:kern w:val="0"/>
                <w:szCs w:val="21"/>
                <w:highlight w:val="none"/>
                <w:lang w:bidi="ar"/>
              </w:rPr>
              <w:t>2、规格：3600*1200*760mm；</w:t>
            </w:r>
            <w:r>
              <w:rPr>
                <w:rFonts w:hint="eastAsia" w:ascii="宋体" w:hAnsi="宋体" w:eastAsia="宋体" w:cs="宋体"/>
                <w:color w:val="auto"/>
                <w:kern w:val="0"/>
                <w:szCs w:val="21"/>
                <w:highlight w:val="none"/>
                <w:lang w:bidi="ar"/>
              </w:rPr>
              <w:br w:type="textWrapping"/>
            </w:r>
            <w:r>
              <w:rPr>
                <w:rFonts w:hint="eastAsia" w:ascii="宋体" w:hAnsi="宋体" w:eastAsia="宋体" w:cs="宋体"/>
                <w:color w:val="auto"/>
                <w:kern w:val="0"/>
                <w:szCs w:val="21"/>
                <w:highlight w:val="none"/>
                <w:lang w:bidi="ar"/>
              </w:rPr>
              <w:t>3、基材采用E1级（甲醛释放量≤5mg/100g,相当于E0级)优质环保型中密度纤维板，经过防虫、防腐等化学处理，含水率9％，密度达0.9g/cm³，静曲强度≥23MPa，甲醛释放量≤5mg/100g；符合GB/T 11718-2021《中密度纤维板》和GB 18580-2017《室内装饰装修材料人造板及其制品中甲醛释放限量》标准；</w:t>
            </w:r>
            <w:r>
              <w:rPr>
                <w:rFonts w:hint="eastAsia" w:ascii="宋体" w:hAnsi="宋体" w:eastAsia="宋体" w:cs="宋体"/>
                <w:color w:val="auto"/>
                <w:kern w:val="0"/>
                <w:szCs w:val="21"/>
                <w:highlight w:val="none"/>
                <w:lang w:bidi="ar"/>
              </w:rPr>
              <w:br w:type="textWrapping"/>
            </w:r>
            <w:r>
              <w:rPr>
                <w:rFonts w:hint="eastAsia" w:ascii="宋体" w:hAnsi="宋体" w:eastAsia="宋体" w:cs="宋体"/>
                <w:color w:val="auto"/>
                <w:kern w:val="0"/>
                <w:szCs w:val="21"/>
                <w:highlight w:val="none"/>
                <w:lang w:bidi="ar"/>
              </w:rPr>
              <w:t>4、饰面采用厚度≥0.5mm,台面烤漆，选料是无腐、无裂痕、无虫眼和死节，耐磨性强、不起球、防静电、阻燃、纹理自然，并经过烘干、防虫、防污、防腐处理，甲醛释放量≤0.1mg/L。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5、油漆：采用高级环保型聚脂漆，符合GB 18581-2020《木器涂料中有害物质限量》标准；采用封闭式油漆工艺，表面光亮平整，颜色均匀、硬度高。</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6、配件选用优质五金配件，连接处均紧密拼接，安全、坚固、静音。所有偏心件外露接口处均加装嵌入式孔帽，外表美观，并且有效减少甲醛通过孔眼处释放，环保安全。</w:t>
            </w:r>
          </w:p>
        </w:tc>
      </w:tr>
      <w:tr w14:paraId="5DED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7A686334">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16</w:t>
            </w:r>
          </w:p>
        </w:tc>
        <w:tc>
          <w:tcPr>
            <w:tcW w:w="1126" w:type="dxa"/>
            <w:gridSpan w:val="2"/>
            <w:shd w:val="clear" w:color="auto" w:fill="FFFFFF"/>
            <w:vAlign w:val="center"/>
          </w:tcPr>
          <w:p w14:paraId="7EB9DFAC">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定制化合议系统副操作台</w:t>
            </w:r>
          </w:p>
        </w:tc>
        <w:tc>
          <w:tcPr>
            <w:tcW w:w="675" w:type="dxa"/>
            <w:shd w:val="clear" w:color="auto" w:fill="FFFFFF"/>
            <w:vAlign w:val="center"/>
          </w:tcPr>
          <w:p w14:paraId="533D8065">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12</w:t>
            </w:r>
          </w:p>
        </w:tc>
        <w:tc>
          <w:tcPr>
            <w:tcW w:w="700" w:type="dxa"/>
            <w:shd w:val="clear" w:color="auto" w:fill="FFFFFF"/>
            <w:vAlign w:val="center"/>
          </w:tcPr>
          <w:p w14:paraId="0F0ECB48">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张</w:t>
            </w:r>
          </w:p>
        </w:tc>
        <w:tc>
          <w:tcPr>
            <w:tcW w:w="5608" w:type="dxa"/>
            <w:shd w:val="clear" w:color="auto" w:fill="FFFFFF"/>
            <w:vAlign w:val="center"/>
          </w:tcPr>
          <w:p w14:paraId="16DF8B87">
            <w:pPr>
              <w:pStyle w:val="9"/>
              <w:spacing w:line="400" w:lineRule="exact"/>
              <w:rPr>
                <w:rFonts w:ascii="宋体" w:hAnsi="宋体" w:cs="宋体"/>
                <w:color w:val="auto"/>
                <w:szCs w:val="21"/>
                <w:highlight w:val="none"/>
              </w:rPr>
            </w:pPr>
            <w:r>
              <w:rPr>
                <w:rFonts w:hint="eastAsia" w:ascii="宋体" w:hAnsi="宋体" w:cs="宋体"/>
                <w:color w:val="auto"/>
                <w:kern w:val="0"/>
                <w:szCs w:val="21"/>
                <w:highlight w:val="none"/>
                <w:lang w:bidi="ar"/>
              </w:rPr>
              <w:t>1、支持≥2人开会使用</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2、规格：1800*400*760mm</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3、基材采用E1级（甲醛释放量≤5mg/100g,相当于E0级)优质环保型中密度纤维板，经过防虫、防腐等化学处理，含水率9％，密度达0.9g/cm³，静曲强度≥23MPa，甲醛释放量≤5mg/100g；符合GB/T 11718-2021《中密度纤维板》和GB 18580-2017《室内装饰装修材料人造板及其制品中甲醛释放限量》标准；</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4、饰面采用厚度≥0.5mm,台面烤漆，选料是无腐、无裂痕、无虫眼和死节，耐磨性强、不起球、防静电、阻燃、纹理自然，并经过烘干、防虫、防污、防腐处理，甲醛释放量≤0.1mg/L。</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5、油漆：采用高级环保型聚脂漆，符合GB 18581-2020《木器涂料中有害物质限量》标准；采用封闭式油漆工艺，表面光亮平整，颜色均匀、硬度高。</w:t>
            </w:r>
            <w:r>
              <w:rPr>
                <w:rFonts w:hint="eastAsia" w:ascii="宋体" w:hAnsi="宋体" w:cs="宋体"/>
                <w:color w:val="auto"/>
                <w:kern w:val="0"/>
                <w:szCs w:val="21"/>
                <w:highlight w:val="none"/>
                <w:lang w:bidi="ar"/>
              </w:rPr>
              <w:br w:type="textWrapping"/>
            </w:r>
            <w:r>
              <w:rPr>
                <w:rFonts w:hint="eastAsia" w:ascii="宋体" w:hAnsi="宋体" w:cs="宋体"/>
                <w:color w:val="auto"/>
                <w:kern w:val="0"/>
                <w:szCs w:val="21"/>
                <w:highlight w:val="none"/>
                <w:lang w:bidi="ar"/>
              </w:rPr>
              <w:t>6、配件选用优质五金配件，连接处均紧密拼接，安全、坚固、静音。所有偏心件外露接口处均加装嵌入式孔帽，外表美观，并且有效减少甲醛通过孔眼处释放，环保安全。</w:t>
            </w:r>
          </w:p>
        </w:tc>
      </w:tr>
      <w:tr w14:paraId="7A97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1A5610DB">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17</w:t>
            </w:r>
          </w:p>
        </w:tc>
        <w:tc>
          <w:tcPr>
            <w:tcW w:w="1126" w:type="dxa"/>
            <w:gridSpan w:val="2"/>
            <w:shd w:val="clear" w:color="auto" w:fill="FFFFFF"/>
            <w:vAlign w:val="center"/>
          </w:tcPr>
          <w:p w14:paraId="2A118547">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定制化操作台配套调度椅</w:t>
            </w:r>
          </w:p>
        </w:tc>
        <w:tc>
          <w:tcPr>
            <w:tcW w:w="675" w:type="dxa"/>
            <w:shd w:val="clear" w:color="auto" w:fill="FFFFFF"/>
            <w:vAlign w:val="center"/>
          </w:tcPr>
          <w:p w14:paraId="1C8B9DE5">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166</w:t>
            </w:r>
          </w:p>
        </w:tc>
        <w:tc>
          <w:tcPr>
            <w:tcW w:w="700" w:type="dxa"/>
            <w:shd w:val="clear" w:color="auto" w:fill="FFFFFF"/>
            <w:vAlign w:val="center"/>
          </w:tcPr>
          <w:p w14:paraId="0790226B">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把</w:t>
            </w:r>
          </w:p>
        </w:tc>
        <w:tc>
          <w:tcPr>
            <w:tcW w:w="5608" w:type="dxa"/>
            <w:shd w:val="clear" w:color="auto" w:fill="FFFFFF"/>
            <w:vAlign w:val="center"/>
          </w:tcPr>
          <w:p w14:paraId="4064F785">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不锈钢结构+海绵坐垫+网面靠背</w:t>
            </w:r>
          </w:p>
        </w:tc>
      </w:tr>
      <w:tr w14:paraId="2FD4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00309777">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18</w:t>
            </w:r>
          </w:p>
        </w:tc>
        <w:tc>
          <w:tcPr>
            <w:tcW w:w="1126" w:type="dxa"/>
            <w:gridSpan w:val="2"/>
            <w:shd w:val="clear" w:color="auto" w:fill="FFFFFF"/>
            <w:vAlign w:val="center"/>
          </w:tcPr>
          <w:p w14:paraId="50DC4534">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定制化操作台配套调度椅</w:t>
            </w:r>
          </w:p>
        </w:tc>
        <w:tc>
          <w:tcPr>
            <w:tcW w:w="675" w:type="dxa"/>
            <w:shd w:val="clear" w:color="auto" w:fill="FFFFFF"/>
            <w:vAlign w:val="center"/>
          </w:tcPr>
          <w:p w14:paraId="721EB87F">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12</w:t>
            </w:r>
          </w:p>
        </w:tc>
        <w:tc>
          <w:tcPr>
            <w:tcW w:w="700" w:type="dxa"/>
            <w:shd w:val="clear" w:color="auto" w:fill="FFFFFF"/>
            <w:vAlign w:val="center"/>
          </w:tcPr>
          <w:p w14:paraId="30C5494A">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把</w:t>
            </w:r>
          </w:p>
        </w:tc>
        <w:tc>
          <w:tcPr>
            <w:tcW w:w="5608" w:type="dxa"/>
            <w:shd w:val="clear" w:color="auto" w:fill="FFFFFF"/>
            <w:vAlign w:val="center"/>
          </w:tcPr>
          <w:p w14:paraId="1BB862BE">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不锈钢结构+海绵坐垫+网面靠背+翻转桌板</w:t>
            </w:r>
          </w:p>
        </w:tc>
      </w:tr>
      <w:tr w14:paraId="263A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049ADA98">
            <w:pPr>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19</w:t>
            </w:r>
          </w:p>
        </w:tc>
        <w:tc>
          <w:tcPr>
            <w:tcW w:w="1126" w:type="dxa"/>
            <w:gridSpan w:val="2"/>
            <w:shd w:val="clear" w:color="auto" w:fill="FFFFFF"/>
            <w:vAlign w:val="center"/>
          </w:tcPr>
          <w:p w14:paraId="401082A2">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合议系统配电改造</w:t>
            </w:r>
          </w:p>
        </w:tc>
        <w:tc>
          <w:tcPr>
            <w:tcW w:w="675" w:type="dxa"/>
            <w:shd w:val="clear" w:color="auto" w:fill="FFFFFF"/>
            <w:vAlign w:val="center"/>
          </w:tcPr>
          <w:p w14:paraId="6BF143FE">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w:t>
            </w:r>
          </w:p>
        </w:tc>
        <w:tc>
          <w:tcPr>
            <w:tcW w:w="700" w:type="dxa"/>
            <w:shd w:val="clear" w:color="auto" w:fill="FFFFFF"/>
            <w:vAlign w:val="center"/>
          </w:tcPr>
          <w:p w14:paraId="3F11E5B3">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项</w:t>
            </w:r>
          </w:p>
        </w:tc>
        <w:tc>
          <w:tcPr>
            <w:tcW w:w="5608" w:type="dxa"/>
            <w:shd w:val="clear" w:color="auto" w:fill="FFFFFF"/>
            <w:vAlign w:val="center"/>
          </w:tcPr>
          <w:p w14:paraId="1EBDDC8F">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配电箱、镀锌管、电源线等</w:t>
            </w:r>
          </w:p>
        </w:tc>
      </w:tr>
      <w:tr w14:paraId="4498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696" w:type="dxa"/>
            <w:shd w:val="clear" w:color="auto" w:fill="FFFFFF"/>
            <w:vAlign w:val="center"/>
          </w:tcPr>
          <w:p w14:paraId="35918287">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20</w:t>
            </w:r>
          </w:p>
        </w:tc>
        <w:tc>
          <w:tcPr>
            <w:tcW w:w="1126" w:type="dxa"/>
            <w:gridSpan w:val="2"/>
            <w:shd w:val="clear" w:color="auto" w:fill="FFFFFF"/>
            <w:vAlign w:val="center"/>
          </w:tcPr>
          <w:p w14:paraId="19DBFF37">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辅助材料</w:t>
            </w:r>
          </w:p>
        </w:tc>
        <w:tc>
          <w:tcPr>
            <w:tcW w:w="675" w:type="dxa"/>
            <w:shd w:val="clear" w:color="auto" w:fill="FFFFFF"/>
            <w:vAlign w:val="center"/>
          </w:tcPr>
          <w:p w14:paraId="6D53AF06">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1</w:t>
            </w:r>
          </w:p>
        </w:tc>
        <w:tc>
          <w:tcPr>
            <w:tcW w:w="700" w:type="dxa"/>
            <w:shd w:val="clear" w:color="auto" w:fill="FFFFFF"/>
            <w:vAlign w:val="center"/>
          </w:tcPr>
          <w:p w14:paraId="1A8E25A9">
            <w:pPr>
              <w:widowControl/>
              <w:spacing w:line="400" w:lineRule="exact"/>
              <w:jc w:val="center"/>
              <w:rPr>
                <w:rFonts w:ascii="宋体" w:hAnsi="宋体" w:cs="宋体"/>
                <w:color w:val="auto"/>
                <w:szCs w:val="21"/>
                <w:highlight w:val="none"/>
              </w:rPr>
            </w:pPr>
            <w:r>
              <w:rPr>
                <w:rFonts w:hint="eastAsia" w:ascii="宋体" w:hAnsi="宋体" w:cs="宋体"/>
                <w:color w:val="auto"/>
                <w:kern w:val="0"/>
                <w:szCs w:val="21"/>
                <w:highlight w:val="none"/>
                <w:lang w:bidi="ar"/>
              </w:rPr>
              <w:t>套</w:t>
            </w:r>
          </w:p>
        </w:tc>
        <w:tc>
          <w:tcPr>
            <w:tcW w:w="5608" w:type="dxa"/>
            <w:shd w:val="clear" w:color="auto" w:fill="FFFFFF"/>
            <w:vAlign w:val="center"/>
          </w:tcPr>
          <w:p w14:paraId="190D9AD9">
            <w:pPr>
              <w:widowControl/>
              <w:spacing w:line="400" w:lineRule="exact"/>
              <w:jc w:val="left"/>
              <w:rPr>
                <w:rFonts w:ascii="宋体" w:hAnsi="宋体" w:cs="宋体"/>
                <w:color w:val="auto"/>
                <w:szCs w:val="21"/>
                <w:highlight w:val="none"/>
              </w:rPr>
            </w:pPr>
            <w:r>
              <w:rPr>
                <w:rFonts w:hint="eastAsia" w:ascii="宋体" w:hAnsi="宋体" w:cs="宋体"/>
                <w:color w:val="auto"/>
                <w:kern w:val="0"/>
                <w:szCs w:val="21"/>
                <w:highlight w:val="none"/>
                <w:lang w:bidi="ar"/>
              </w:rPr>
              <w:t>音频线、卡侬头、HDMI视频线、六类网线、水晶头</w:t>
            </w:r>
          </w:p>
        </w:tc>
      </w:tr>
      <w:tr w14:paraId="6ABE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68" w:hRule="atLeast"/>
          <w:jc w:val="center"/>
        </w:trPr>
        <w:tc>
          <w:tcPr>
            <w:tcW w:w="8805" w:type="dxa"/>
            <w:gridSpan w:val="6"/>
            <w:shd w:val="clear" w:color="auto" w:fill="FFFFFF"/>
            <w:vAlign w:val="center"/>
          </w:tcPr>
          <w:p w14:paraId="0409BD64">
            <w:pPr>
              <w:widowControl/>
              <w:spacing w:line="300" w:lineRule="exact"/>
              <w:jc w:val="left"/>
              <w:rPr>
                <w:b/>
                <w:color w:val="auto"/>
                <w:kern w:val="0"/>
                <w:szCs w:val="21"/>
                <w:highlight w:val="none"/>
              </w:rPr>
            </w:pPr>
            <w:r>
              <w:rPr>
                <w:rFonts w:eastAsia="黑体"/>
                <w:b/>
                <w:color w:val="auto"/>
                <w:kern w:val="0"/>
                <w:szCs w:val="21"/>
                <w:highlight w:val="none"/>
              </w:rPr>
              <w:t>商务条款要求</w:t>
            </w:r>
          </w:p>
        </w:tc>
      </w:tr>
      <w:tr w14:paraId="6248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09C4D6D3">
            <w:pPr>
              <w:widowControl/>
              <w:spacing w:line="400" w:lineRule="exact"/>
              <w:jc w:val="center"/>
              <w:rPr>
                <w:rFonts w:ascii="宋体" w:hAnsi="宋体" w:cs="宋体"/>
                <w:b/>
                <w:bCs/>
                <w:color w:val="auto"/>
                <w:szCs w:val="21"/>
                <w:highlight w:val="none"/>
              </w:rPr>
            </w:pPr>
            <w:r>
              <w:rPr>
                <w:rFonts w:hint="eastAsia"/>
                <w:color w:val="auto"/>
                <w:szCs w:val="21"/>
                <w:highlight w:val="none"/>
              </w:rPr>
              <w:t>▲</w:t>
            </w:r>
            <w:r>
              <w:rPr>
                <w:rFonts w:hint="eastAsia" w:ascii="宋体" w:hAnsi="宋体" w:cs="宋体"/>
                <w:b/>
                <w:bCs/>
                <w:color w:val="auto"/>
                <w:szCs w:val="21"/>
                <w:highlight w:val="none"/>
              </w:rPr>
              <w:t>合同签订</w:t>
            </w:r>
          </w:p>
          <w:p w14:paraId="3F23DB61">
            <w:pPr>
              <w:widowControl/>
              <w:spacing w:line="400" w:lineRule="exact"/>
              <w:jc w:val="center"/>
              <w:rPr>
                <w:rFonts w:ascii="宋体" w:hAnsi="宋体" w:cs="宋体"/>
                <w:b/>
                <w:color w:val="auto"/>
                <w:kern w:val="0"/>
                <w:szCs w:val="21"/>
                <w:highlight w:val="none"/>
              </w:rPr>
            </w:pPr>
            <w:r>
              <w:rPr>
                <w:rFonts w:hint="eastAsia" w:ascii="宋体" w:hAnsi="宋体" w:cs="宋体"/>
                <w:b/>
                <w:bCs/>
                <w:color w:val="auto"/>
                <w:szCs w:val="21"/>
                <w:highlight w:val="none"/>
              </w:rPr>
              <w:t>时间</w:t>
            </w:r>
          </w:p>
        </w:tc>
        <w:tc>
          <w:tcPr>
            <w:tcW w:w="7443" w:type="dxa"/>
            <w:gridSpan w:val="4"/>
            <w:shd w:val="clear" w:color="auto" w:fill="FFFFFF"/>
            <w:vAlign w:val="center"/>
          </w:tcPr>
          <w:p w14:paraId="0A28DAF6">
            <w:pPr>
              <w:widowControl/>
              <w:spacing w:line="400" w:lineRule="exact"/>
              <w:rPr>
                <w:rFonts w:ascii="宋体" w:hAnsi="宋体" w:cs="宋体"/>
                <w:b/>
                <w:color w:val="auto"/>
                <w:kern w:val="0"/>
                <w:szCs w:val="21"/>
                <w:highlight w:val="none"/>
              </w:rPr>
            </w:pPr>
            <w:r>
              <w:rPr>
                <w:rFonts w:hint="eastAsia" w:ascii="宋体" w:hAnsi="宋体" w:cs="宋体"/>
                <w:color w:val="auto"/>
                <w:szCs w:val="21"/>
                <w:highlight w:val="none"/>
              </w:rPr>
              <w:t>自成交通知书发出之日起25日内。</w:t>
            </w:r>
          </w:p>
        </w:tc>
      </w:tr>
      <w:tr w14:paraId="5CAB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743422B5">
            <w:pPr>
              <w:spacing w:line="400" w:lineRule="exact"/>
              <w:jc w:val="center"/>
              <w:rPr>
                <w:rFonts w:ascii="宋体" w:hAnsi="宋体" w:cs="宋体"/>
                <w:b/>
                <w:color w:val="auto"/>
                <w:kern w:val="0"/>
                <w:szCs w:val="21"/>
                <w:highlight w:val="none"/>
              </w:rPr>
            </w:pPr>
            <w:r>
              <w:rPr>
                <w:rFonts w:hint="eastAsia"/>
                <w:color w:val="auto"/>
                <w:szCs w:val="21"/>
                <w:highlight w:val="none"/>
              </w:rPr>
              <w:t>▲</w:t>
            </w:r>
            <w:r>
              <w:rPr>
                <w:rFonts w:hint="eastAsia" w:ascii="宋体" w:hAnsi="宋体" w:cs="宋体"/>
                <w:b/>
                <w:color w:val="auto"/>
                <w:szCs w:val="21"/>
                <w:highlight w:val="none"/>
              </w:rPr>
              <w:t>交货时间及地点</w:t>
            </w:r>
          </w:p>
        </w:tc>
        <w:tc>
          <w:tcPr>
            <w:tcW w:w="7443" w:type="dxa"/>
            <w:gridSpan w:val="4"/>
            <w:shd w:val="clear" w:color="auto" w:fill="FFFFFF"/>
            <w:vAlign w:val="center"/>
          </w:tcPr>
          <w:p w14:paraId="1243648B">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交货时间：自签订合同之日起30日内完成供货、安装调试完毕并通过验收。</w:t>
            </w:r>
          </w:p>
          <w:p w14:paraId="4CA380A2">
            <w:pPr>
              <w:tabs>
                <w:tab w:val="left" w:pos="420"/>
              </w:tabs>
              <w:spacing w:line="400" w:lineRule="exact"/>
              <w:rPr>
                <w:rFonts w:ascii="宋体" w:hAnsi="宋体" w:cs="宋体"/>
                <w:bCs/>
                <w:color w:val="auto"/>
                <w:szCs w:val="21"/>
                <w:highlight w:val="none"/>
                <w:u w:val="single"/>
              </w:rPr>
            </w:pPr>
            <w:r>
              <w:rPr>
                <w:rFonts w:hint="eastAsia" w:ascii="宋体" w:hAnsi="宋体" w:cs="宋体"/>
                <w:color w:val="auto"/>
                <w:szCs w:val="21"/>
                <w:highlight w:val="none"/>
              </w:rPr>
              <w:t>交货地点：广西壮族自治区高级人民法院指定地点。</w:t>
            </w:r>
          </w:p>
        </w:tc>
      </w:tr>
      <w:tr w14:paraId="491D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4D046C3D">
            <w:pPr>
              <w:spacing w:line="400" w:lineRule="exact"/>
              <w:jc w:val="center"/>
              <w:rPr>
                <w:rFonts w:ascii="宋体" w:hAnsi="宋体" w:cs="宋体"/>
                <w:color w:val="auto"/>
                <w:szCs w:val="21"/>
                <w:highlight w:val="none"/>
              </w:rPr>
            </w:pPr>
            <w:r>
              <w:rPr>
                <w:rFonts w:hint="eastAsia"/>
                <w:color w:val="auto"/>
                <w:szCs w:val="21"/>
                <w:highlight w:val="none"/>
              </w:rPr>
              <w:t>▲</w:t>
            </w:r>
            <w:r>
              <w:rPr>
                <w:rFonts w:hint="eastAsia" w:ascii="宋体" w:hAnsi="宋体" w:cs="宋体"/>
                <w:b/>
                <w:bCs/>
                <w:color w:val="auto"/>
                <w:szCs w:val="21"/>
                <w:highlight w:val="none"/>
              </w:rPr>
              <w:t>质量保证要求</w:t>
            </w:r>
          </w:p>
        </w:tc>
        <w:tc>
          <w:tcPr>
            <w:tcW w:w="7443" w:type="dxa"/>
            <w:gridSpan w:val="4"/>
            <w:shd w:val="clear" w:color="auto" w:fill="FFFFFF"/>
          </w:tcPr>
          <w:p w14:paraId="314FC967">
            <w:pPr>
              <w:tabs>
                <w:tab w:val="left" w:pos="420"/>
              </w:tabs>
              <w:spacing w:line="400" w:lineRule="exact"/>
              <w:rPr>
                <w:rFonts w:ascii="宋体" w:hAnsi="宋体" w:cs="宋体"/>
                <w:color w:val="auto"/>
                <w:kern w:val="0"/>
                <w:szCs w:val="21"/>
                <w:highlight w:val="none"/>
              </w:rPr>
            </w:pPr>
            <w:r>
              <w:rPr>
                <w:rFonts w:hint="eastAsia" w:ascii="宋体" w:hAnsi="宋体" w:cs="宋体"/>
                <w:color w:val="auto"/>
                <w:szCs w:val="21"/>
                <w:highlight w:val="none"/>
              </w:rPr>
              <w:t>1.按国家有关产品“三包”规定执行“三包”政策，质量保证期不少于1年（分项货物或配置有明确要求的按分项要求；生产厂家承诺的质量保证期更长的按生产厂家的承诺），交货验收合格之日起计。</w:t>
            </w:r>
          </w:p>
          <w:p w14:paraId="4D16A626">
            <w:pPr>
              <w:tabs>
                <w:tab w:val="left" w:pos="420"/>
              </w:tabs>
              <w:spacing w:line="400" w:lineRule="exact"/>
              <w:rPr>
                <w:rFonts w:ascii="宋体" w:hAnsi="宋体" w:cs="宋体"/>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rPr>
              <w:t>.</w:t>
            </w:r>
            <w:r>
              <w:rPr>
                <w:rFonts w:hint="eastAsia" w:ascii="宋体" w:hAnsi="宋体" w:cs="宋体"/>
                <w:color w:val="auto"/>
                <w:kern w:val="0"/>
                <w:szCs w:val="21"/>
                <w:highlight w:val="none"/>
              </w:rPr>
              <w:t>在质量保证期内出现的</w:t>
            </w:r>
            <w:r>
              <w:rPr>
                <w:rFonts w:hint="eastAsia" w:ascii="宋体" w:hAnsi="宋体" w:cs="宋体"/>
                <w:color w:val="auto"/>
                <w:szCs w:val="21"/>
                <w:highlight w:val="none"/>
              </w:rPr>
              <w:t>任何故障及损失，成交供应商负责维修、更换配件，并负责软件更新升级、系统维护和远程服务。</w:t>
            </w:r>
          </w:p>
          <w:p w14:paraId="3C0AE401">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3.质量保证期满后，终身维护，且以市场最优惠价格提供维修和备件更换、软件更新升级，且承诺为用户提供终身技术咨询服务。</w:t>
            </w:r>
          </w:p>
          <w:p w14:paraId="6984D36A">
            <w:pPr>
              <w:pStyle w:val="77"/>
              <w:spacing w:line="400" w:lineRule="exact"/>
              <w:rPr>
                <w:rFonts w:ascii="宋体" w:hAnsi="宋体" w:cs="宋体"/>
                <w:color w:val="auto"/>
                <w:highlight w:val="none"/>
              </w:rPr>
            </w:pPr>
            <w:r>
              <w:rPr>
                <w:rFonts w:hint="eastAsia" w:ascii="宋体" w:hAnsi="宋体" w:cs="宋体"/>
                <w:color w:val="auto"/>
                <w:highlight w:val="none"/>
              </w:rPr>
              <w:t>4.质保期内，供应商需承诺项目中所有软件必须开放接口，本项目软件与其他软件系统对接必须无偿配合，按照要求做好接口研发，不得收取费用。</w:t>
            </w:r>
          </w:p>
          <w:p w14:paraId="60FCC4D6">
            <w:pPr>
              <w:pStyle w:val="77"/>
              <w:spacing w:line="400" w:lineRule="exact"/>
              <w:rPr>
                <w:rFonts w:ascii="宋体" w:hAnsi="宋体" w:cs="宋体"/>
                <w:color w:val="auto"/>
                <w:highlight w:val="none"/>
              </w:rPr>
            </w:pPr>
            <w:r>
              <w:rPr>
                <w:rFonts w:hint="eastAsia" w:ascii="宋体" w:hAnsi="宋体" w:cs="宋体"/>
                <w:color w:val="auto"/>
                <w:highlight w:val="none"/>
              </w:rPr>
              <w:t>5.项目必须配合采购人网络安全等级保护2.0及密码安全应用性测评及整改。</w:t>
            </w:r>
          </w:p>
          <w:p w14:paraId="19DD45FE">
            <w:pPr>
              <w:pStyle w:val="77"/>
              <w:spacing w:line="400" w:lineRule="exact"/>
              <w:rPr>
                <w:rFonts w:ascii="宋体" w:hAnsi="宋体" w:cs="宋体"/>
                <w:color w:val="auto"/>
                <w:highlight w:val="none"/>
              </w:rPr>
            </w:pPr>
            <w:r>
              <w:rPr>
                <w:rFonts w:hint="eastAsia" w:ascii="宋体" w:hAnsi="宋体" w:cs="宋体"/>
                <w:color w:val="auto"/>
                <w:highlight w:val="none"/>
              </w:rPr>
              <w:t>6.供应商须保证采购人对供应商所提供的软硬件和文档资料享有合法的使用权。供应商须保证采购人在使用过程中不受到第三方关于侵犯专利权等知识产权的指控。任何第三方如果提出指控，供应商须与第三方交涉并承担可能发生的一切法律责任和费用。</w:t>
            </w:r>
          </w:p>
          <w:p w14:paraId="69C4933E">
            <w:pPr>
              <w:pStyle w:val="77"/>
              <w:spacing w:line="400" w:lineRule="exact"/>
              <w:rPr>
                <w:color w:val="auto"/>
                <w:highlight w:val="none"/>
              </w:rPr>
            </w:pPr>
            <w:r>
              <w:rPr>
                <w:rFonts w:hint="eastAsia" w:ascii="宋体" w:hAnsi="宋体" w:cs="宋体"/>
                <w:color w:val="auto"/>
                <w:highlight w:val="none"/>
              </w:rPr>
              <w:t>7.项目软硬件系统需满足国家和广西关于信创工作要求。</w:t>
            </w:r>
          </w:p>
        </w:tc>
      </w:tr>
      <w:tr w14:paraId="002F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11820EA0">
            <w:pPr>
              <w:spacing w:line="400" w:lineRule="exact"/>
              <w:jc w:val="center"/>
              <w:rPr>
                <w:rFonts w:ascii="宋体" w:hAnsi="宋体" w:cs="宋体"/>
                <w:b/>
                <w:bCs/>
                <w:color w:val="auto"/>
                <w:szCs w:val="21"/>
                <w:highlight w:val="none"/>
              </w:rPr>
            </w:pPr>
            <w:r>
              <w:rPr>
                <w:rFonts w:hint="eastAsia"/>
                <w:color w:val="auto"/>
                <w:szCs w:val="21"/>
                <w:highlight w:val="none"/>
              </w:rPr>
              <w:t>▲</w:t>
            </w:r>
            <w:r>
              <w:rPr>
                <w:rFonts w:hint="eastAsia" w:ascii="宋体" w:hAnsi="宋体" w:cs="宋体"/>
                <w:b/>
                <w:bCs/>
                <w:color w:val="auto"/>
                <w:szCs w:val="21"/>
                <w:highlight w:val="none"/>
              </w:rPr>
              <w:t>售后服务要求</w:t>
            </w:r>
          </w:p>
        </w:tc>
        <w:tc>
          <w:tcPr>
            <w:tcW w:w="7443" w:type="dxa"/>
            <w:gridSpan w:val="4"/>
            <w:shd w:val="clear" w:color="auto" w:fill="FFFFFF"/>
          </w:tcPr>
          <w:p w14:paraId="245BAEDA">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1.负责送货上门、提供产品原厂工程师现场安装、安装调试服务、技术培训和</w:t>
            </w:r>
            <w:r>
              <w:rPr>
                <w:rFonts w:ascii="宋体" w:hAnsi="宋体" w:cs="宋体"/>
                <w:color w:val="auto"/>
                <w:szCs w:val="21"/>
                <w:highlight w:val="none"/>
              </w:rPr>
              <w:t>12个月远程服务</w:t>
            </w:r>
            <w:r>
              <w:rPr>
                <w:rFonts w:hint="eastAsia" w:ascii="宋体" w:hAnsi="宋体" w:cs="宋体"/>
                <w:color w:val="auto"/>
                <w:szCs w:val="21"/>
                <w:highlight w:val="none"/>
              </w:rPr>
              <w:t>。</w:t>
            </w:r>
          </w:p>
          <w:p w14:paraId="45DDF543">
            <w:pPr>
              <w:tabs>
                <w:tab w:val="left" w:pos="420"/>
              </w:tabs>
              <w:spacing w:line="400" w:lineRule="exact"/>
              <w:rPr>
                <w:rFonts w:ascii="宋体" w:hAnsi="宋体" w:cs="宋体"/>
                <w:color w:val="auto"/>
                <w:szCs w:val="21"/>
                <w:highlight w:val="none"/>
              </w:rPr>
            </w:pPr>
            <w:r>
              <w:rPr>
                <w:rFonts w:ascii="宋体" w:hAnsi="宋体" w:cs="宋体"/>
                <w:color w:val="auto"/>
                <w:szCs w:val="21"/>
                <w:highlight w:val="none"/>
              </w:rPr>
              <w:t>2.维修响应：售后服务要求7天×8小时工作制，</w:t>
            </w:r>
            <w:r>
              <w:rPr>
                <w:rFonts w:hint="eastAsia" w:ascii="宋体" w:hAnsi="宋体" w:cs="宋体"/>
                <w:color w:val="auto"/>
                <w:szCs w:val="21"/>
                <w:highlight w:val="none"/>
              </w:rPr>
              <w:t>成交供应商</w:t>
            </w:r>
            <w:r>
              <w:rPr>
                <w:rFonts w:ascii="宋体" w:hAnsi="宋体" w:cs="宋体"/>
                <w:color w:val="auto"/>
                <w:szCs w:val="21"/>
                <w:highlight w:val="none"/>
              </w:rPr>
              <w:t>在接到用户维修电话后1小时内响应，3小时</w:t>
            </w:r>
            <w:r>
              <w:rPr>
                <w:rFonts w:hint="eastAsia" w:ascii="宋体" w:hAnsi="宋体" w:cs="宋体"/>
                <w:color w:val="auto"/>
                <w:szCs w:val="21"/>
                <w:highlight w:val="none"/>
              </w:rPr>
              <w:t>内到达现场处理，一般情况下</w:t>
            </w:r>
            <w:r>
              <w:rPr>
                <w:rFonts w:ascii="宋体" w:hAnsi="宋体" w:cs="宋体"/>
                <w:color w:val="auto"/>
                <w:szCs w:val="21"/>
                <w:highlight w:val="none"/>
              </w:rPr>
              <w:t>24小时内恢复正常使用</w:t>
            </w:r>
            <w:r>
              <w:rPr>
                <w:rFonts w:hint="eastAsia" w:ascii="宋体" w:hAnsi="宋体" w:cs="宋体"/>
                <w:color w:val="auto"/>
                <w:szCs w:val="21"/>
                <w:highlight w:val="none"/>
              </w:rPr>
              <w:t>。</w:t>
            </w:r>
            <w:r>
              <w:rPr>
                <w:rFonts w:ascii="宋体" w:hAnsi="宋体" w:cs="宋体"/>
                <w:color w:val="auto"/>
                <w:szCs w:val="21"/>
                <w:highlight w:val="none"/>
              </w:rPr>
              <w:t>若不能修复须有合理应对方案。</w:t>
            </w:r>
          </w:p>
          <w:p w14:paraId="1C81DF06">
            <w:pPr>
              <w:pStyle w:val="77"/>
              <w:spacing w:line="400" w:lineRule="exact"/>
              <w:rPr>
                <w:rFonts w:ascii="宋体" w:hAns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w:t>
            </w:r>
            <w:r>
              <w:rPr>
                <w:rFonts w:hint="eastAsia" w:ascii="宋体" w:hAnsi="宋体" w:cs="宋体"/>
                <w:bCs/>
                <w:color w:val="auto"/>
                <w:kern w:val="0"/>
                <w:szCs w:val="21"/>
                <w:highlight w:val="none"/>
              </w:rPr>
              <w:t>质量保证期</w:t>
            </w:r>
            <w:r>
              <w:rPr>
                <w:rFonts w:hint="eastAsia" w:ascii="宋体" w:hAnsi="宋体" w:cs="宋体"/>
                <w:color w:val="auto"/>
                <w:szCs w:val="21"/>
                <w:highlight w:val="none"/>
              </w:rPr>
              <w:t>内因设备性能故障检修三次仍不能正常使用的，更换新设备。在超出</w:t>
            </w:r>
            <w:r>
              <w:rPr>
                <w:rFonts w:hint="eastAsia" w:ascii="宋体" w:hAnsi="宋体" w:cs="宋体"/>
                <w:bCs/>
                <w:color w:val="auto"/>
                <w:kern w:val="0"/>
                <w:szCs w:val="21"/>
                <w:highlight w:val="none"/>
              </w:rPr>
              <w:t>质量保证期</w:t>
            </w:r>
            <w:r>
              <w:rPr>
                <w:rFonts w:hint="eastAsia" w:ascii="宋体" w:hAnsi="宋体" w:cs="宋体"/>
                <w:color w:val="auto"/>
                <w:szCs w:val="21"/>
                <w:highlight w:val="none"/>
              </w:rPr>
              <w:t>后，如产品发生故障，可派技术员上门服务；如需更换配件，配件均按市场最优惠价格供应。</w:t>
            </w:r>
          </w:p>
          <w:p w14:paraId="1B961E61">
            <w:pPr>
              <w:spacing w:line="400" w:lineRule="exact"/>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.终身提供技术协助服务。</w:t>
            </w:r>
          </w:p>
        </w:tc>
      </w:tr>
      <w:tr w14:paraId="2F21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5AC2572F">
            <w:pPr>
              <w:spacing w:line="400" w:lineRule="exact"/>
              <w:jc w:val="center"/>
              <w:rPr>
                <w:rFonts w:ascii="宋体" w:hAnsi="宋体" w:cs="宋体"/>
                <w:b/>
                <w:bCs/>
                <w:color w:val="auto"/>
                <w:szCs w:val="21"/>
                <w:highlight w:val="none"/>
              </w:rPr>
            </w:pPr>
            <w:r>
              <w:rPr>
                <w:rFonts w:hint="eastAsia"/>
                <w:color w:val="auto"/>
                <w:szCs w:val="21"/>
                <w:highlight w:val="none"/>
              </w:rPr>
              <w:t>▲</w:t>
            </w:r>
            <w:r>
              <w:rPr>
                <w:rFonts w:hint="eastAsia" w:ascii="宋体" w:hAnsi="宋体" w:cs="宋体"/>
                <w:b/>
                <w:bCs/>
                <w:color w:val="auto"/>
                <w:szCs w:val="21"/>
                <w:highlight w:val="none"/>
              </w:rPr>
              <w:t>付款方式</w:t>
            </w:r>
          </w:p>
        </w:tc>
        <w:tc>
          <w:tcPr>
            <w:tcW w:w="7443" w:type="dxa"/>
            <w:gridSpan w:val="4"/>
            <w:shd w:val="clear" w:color="auto" w:fill="FFFFFF"/>
            <w:vAlign w:val="center"/>
          </w:tcPr>
          <w:p w14:paraId="0815F6BA">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签订合同后10个工作日内采购人向成交供应商支付合同总金额50%的预付款，其余合同款按项目进度支付相应比例合同金额，货物安装调试完毕、项目验收合格后支付全部合同金额的剩余部分。成交供应商在每次支付前向采购人提供合法有效的发票，采购人核对无误后在约定时间内完成支付。因采购人使用财政资金付款，付款期限应扣除财政部门年度预算暂停支付期间及采购人付款审批流程所需合理期限。</w:t>
            </w:r>
          </w:p>
        </w:tc>
      </w:tr>
      <w:tr w14:paraId="4E8E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279DCDCE">
            <w:pPr>
              <w:spacing w:line="400" w:lineRule="exact"/>
              <w:jc w:val="center"/>
              <w:rPr>
                <w:rFonts w:ascii="宋体" w:hAnsi="宋体" w:cs="宋体"/>
                <w:color w:val="auto"/>
                <w:szCs w:val="21"/>
                <w:highlight w:val="none"/>
              </w:rPr>
            </w:pPr>
            <w:r>
              <w:rPr>
                <w:rFonts w:hint="eastAsia"/>
                <w:color w:val="auto"/>
                <w:szCs w:val="21"/>
                <w:highlight w:val="none"/>
              </w:rPr>
              <w:t>▲</w:t>
            </w:r>
            <w:r>
              <w:rPr>
                <w:rFonts w:hint="eastAsia" w:ascii="宋体" w:hAnsi="宋体" w:cs="宋体"/>
                <w:b/>
                <w:bCs/>
                <w:color w:val="auto"/>
                <w:kern w:val="0"/>
                <w:szCs w:val="21"/>
                <w:highlight w:val="none"/>
              </w:rPr>
              <w:t>验收要求</w:t>
            </w:r>
          </w:p>
        </w:tc>
        <w:tc>
          <w:tcPr>
            <w:tcW w:w="7443" w:type="dxa"/>
            <w:gridSpan w:val="4"/>
            <w:shd w:val="clear" w:color="auto" w:fill="FFFFFF"/>
            <w:vAlign w:val="center"/>
          </w:tcPr>
          <w:p w14:paraId="0BBEBFBA">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1.货物验收时由采购人对照采购文件的《技术参数及性能（配置）要求》进行全面核对检验，对所有要求出具的文件和材料的原件进行核查，如不符合采购文件要求或提供虚假承诺的，采购人有权拒绝验收并做违约处理，供应商承担所有责任和费用，采购人保留进一步追究责任的权利。</w:t>
            </w:r>
          </w:p>
          <w:p w14:paraId="486FC9E8">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2.货物经过双方检验认可后，签署验收报告。由成交供应商提供产品保修文件。</w:t>
            </w:r>
          </w:p>
          <w:p w14:paraId="6F723351">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3.当满足以下条件时，采购人才向成交供应商签发货物验收报告：</w:t>
            </w:r>
          </w:p>
          <w:p w14:paraId="100120F7">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（1）成交供应商已按照合同规定提供了全部产品及完整的技术资料。</w:t>
            </w:r>
          </w:p>
          <w:p w14:paraId="3001C444">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（2）货物各项参数完全符合《技术参数及性能（配置）要求》的要求，性能满足要求。</w:t>
            </w:r>
          </w:p>
          <w:p w14:paraId="64E49661">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）成交供应商需负责安装、调试（测试），并完成采购人的使用操作培训。</w:t>
            </w:r>
          </w:p>
          <w:p w14:paraId="68551054">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4.验收过程中所产生的一切费用均由成交供应商承担，报价时应考虑相关费用。</w:t>
            </w:r>
          </w:p>
          <w:p w14:paraId="0416B370">
            <w:pPr>
              <w:tabs>
                <w:tab w:val="left" w:pos="420"/>
              </w:tabs>
              <w:spacing w:line="400" w:lineRule="exact"/>
              <w:rPr>
                <w:rFonts w:ascii="宋体" w:hAnsi="宋体" w:cs="宋体"/>
                <w:color w:val="auto"/>
                <w:szCs w:val="21"/>
                <w:highlight w:val="none"/>
              </w:rPr>
            </w:pPr>
            <w:r>
              <w:rPr>
                <w:rFonts w:hint="eastAsia" w:ascii="宋体" w:hAnsi="宋体" w:cs="宋体"/>
                <w:color w:val="auto"/>
                <w:szCs w:val="21"/>
                <w:highlight w:val="none"/>
              </w:rPr>
              <w:t>5.成交产品不能涉及任何法律纠纷。</w:t>
            </w:r>
          </w:p>
        </w:tc>
      </w:tr>
      <w:tr w14:paraId="1194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4A15E3DD">
            <w:pPr>
              <w:spacing w:line="400" w:lineRule="exact"/>
              <w:jc w:val="center"/>
              <w:rPr>
                <w:rFonts w:ascii="宋体" w:hAnsi="宋体" w:cs="宋体"/>
                <w:color w:val="auto"/>
                <w:szCs w:val="21"/>
                <w:highlight w:val="none"/>
              </w:rPr>
            </w:pPr>
            <w:r>
              <w:rPr>
                <w:rFonts w:hint="eastAsia"/>
                <w:color w:val="auto"/>
                <w:szCs w:val="21"/>
                <w:highlight w:val="none"/>
              </w:rPr>
              <w:t>▲</w:t>
            </w:r>
            <w:r>
              <w:rPr>
                <w:rFonts w:hint="eastAsia" w:ascii="宋体" w:hAnsi="宋体" w:cs="宋体"/>
                <w:b/>
                <w:bCs/>
                <w:color w:val="auto"/>
                <w:szCs w:val="21"/>
                <w:highlight w:val="none"/>
              </w:rPr>
              <w:t>其他要求</w:t>
            </w:r>
          </w:p>
        </w:tc>
        <w:tc>
          <w:tcPr>
            <w:tcW w:w="7443" w:type="dxa"/>
            <w:gridSpan w:val="4"/>
            <w:shd w:val="clear" w:color="auto" w:fill="FFFFFF"/>
            <w:vAlign w:val="center"/>
          </w:tcPr>
          <w:p w14:paraId="2CC61960">
            <w:pPr>
              <w:spacing w:line="400" w:lineRule="exact"/>
              <w:rPr>
                <w:rFonts w:ascii="宋体" w:hAnsi="宋体" w:cs="宋体"/>
                <w:color w:val="auto"/>
                <w:szCs w:val="21"/>
                <w:highlight w:val="none"/>
              </w:rPr>
            </w:pPr>
            <w:r>
              <w:rPr>
                <w:rFonts w:hint="eastAsia" w:ascii="宋体" w:hAnsi="宋体" w:cs="宋体"/>
                <w:color w:val="auto"/>
                <w:szCs w:val="21"/>
                <w:highlight w:val="none"/>
              </w:rPr>
              <w:t>1.要求供货产品是全新的、未经改装的、合格的、满足本项目技术需求及要求的货物。所有零部件、配件必须是未经使用的全新的并符合国家有关质量安全标准的产品。提供设备使用培训、操作技能训练等；提供相关设备说明书、管理和配置指南手册、使用手册和故障定位/排除指南手册等。</w:t>
            </w:r>
          </w:p>
          <w:p w14:paraId="0D49B140">
            <w:pPr>
              <w:spacing w:line="400" w:lineRule="exact"/>
              <w:rPr>
                <w:rFonts w:ascii="宋体" w:hAnsi="宋体" w:cs="宋体"/>
                <w:color w:val="auto"/>
                <w:szCs w:val="21"/>
                <w:highlight w:val="none"/>
              </w:rPr>
            </w:pPr>
            <w:r>
              <w:rPr>
                <w:rFonts w:hint="eastAsia" w:ascii="宋体" w:hAnsi="宋体" w:cs="宋体"/>
                <w:color w:val="auto"/>
                <w:szCs w:val="21"/>
                <w:highlight w:val="none"/>
              </w:rPr>
              <w:t>2.本项目实行总价包干制，报价包含设备、随配附件、备品备件、辅助材料、工具、运抵指定交货地点、材料运输及人工搬运费、垃圾清理及排放、保险、现场安装、培训、调试及验收的各种费用和质量保证期内服务、售后服务、人工费、税费及其他所有成本费用的总和，成交供应商必须自行考虑项目需要的其他设备和材料，合同履行过程中，采购人不再支付合同以外的其他费用。</w:t>
            </w:r>
          </w:p>
          <w:p w14:paraId="0A715F52">
            <w:pPr>
              <w:spacing w:line="400" w:lineRule="exact"/>
              <w:rPr>
                <w:rFonts w:ascii="宋体" w:hAnsi="宋体" w:cs="宋体"/>
                <w:color w:val="auto"/>
                <w:szCs w:val="21"/>
                <w:highlight w:val="none"/>
              </w:rPr>
            </w:pPr>
            <w:r>
              <w:rPr>
                <w:rFonts w:hint="eastAsia" w:ascii="宋体" w:hAnsi="宋体" w:cs="宋体"/>
                <w:color w:val="auto"/>
                <w:szCs w:val="21"/>
                <w:highlight w:val="none"/>
              </w:rPr>
              <w:t>3.成交供应商承担货物交付验收前的运输、安装等作业工人人身、设备安全责任。验收前，如果设备丢失、因供应商自身原因及第三方原因导致损坏，成交供应商应自行负责并承担不能交付货物的责任。</w:t>
            </w:r>
          </w:p>
          <w:p w14:paraId="05D68408">
            <w:pPr>
              <w:spacing w:line="400" w:lineRule="exact"/>
              <w:rPr>
                <w:rFonts w:ascii="宋体" w:hAnsi="宋体" w:cs="宋体"/>
                <w:color w:val="auto"/>
                <w:szCs w:val="21"/>
                <w:highlight w:val="none"/>
              </w:rPr>
            </w:pPr>
            <w:r>
              <w:rPr>
                <w:rFonts w:hint="eastAsia" w:ascii="宋体" w:hAnsi="宋体" w:cs="宋体"/>
                <w:color w:val="auto"/>
                <w:szCs w:val="21"/>
                <w:highlight w:val="none"/>
              </w:rPr>
              <w:t>4.签订合同后，在供应商履约前，采购人有权要求供应商提供测试样机进行现场测试，如测试样机参数与供应商响应的技术参数不一致，采购人有权要求供应商进行设备更换，由此产生的一切后果由供应商承担。</w:t>
            </w:r>
          </w:p>
          <w:p w14:paraId="6943D8A7">
            <w:pPr>
              <w:spacing w:line="400" w:lineRule="exact"/>
              <w:rPr>
                <w:rFonts w:ascii="宋体" w:hAnsi="宋体" w:cs="宋体"/>
                <w:color w:val="auto"/>
                <w:szCs w:val="21"/>
                <w:highlight w:val="none"/>
              </w:rPr>
            </w:pPr>
            <w:r>
              <w:rPr>
                <w:rFonts w:hint="eastAsia" w:ascii="宋体" w:hAnsi="宋体" w:cs="宋体"/>
                <w:color w:val="auto"/>
                <w:szCs w:val="21"/>
                <w:highlight w:val="none"/>
              </w:rPr>
              <w:t>5.供应商应严格遵守《廉洁告知书》的内容，具体内容详见附件1。</w:t>
            </w:r>
          </w:p>
        </w:tc>
      </w:tr>
      <w:tr w14:paraId="4C82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02A8CD00">
            <w:pPr>
              <w:spacing w:line="400" w:lineRule="exact"/>
              <w:jc w:val="center"/>
              <w:rPr>
                <w:rFonts w:ascii="宋体" w:hAnsi="宋体" w:cs="宋体"/>
                <w:b/>
                <w:bCs/>
                <w:color w:val="auto"/>
                <w:szCs w:val="21"/>
                <w:highlight w:val="none"/>
              </w:rPr>
            </w:pPr>
            <w:r>
              <w:rPr>
                <w:rFonts w:hint="eastAsia" w:ascii="宋体" w:hAnsi="宋体" w:cs="宋体"/>
                <w:b/>
                <w:bCs/>
                <w:color w:val="auto"/>
                <w:szCs w:val="21"/>
                <w:highlight w:val="none"/>
              </w:rPr>
              <w:t>进口产品</w:t>
            </w:r>
          </w:p>
        </w:tc>
        <w:tc>
          <w:tcPr>
            <w:tcW w:w="7443" w:type="dxa"/>
            <w:gridSpan w:val="4"/>
            <w:shd w:val="clear" w:color="auto" w:fill="FFFFFF"/>
            <w:vAlign w:val="center"/>
          </w:tcPr>
          <w:p w14:paraId="1B3463F2">
            <w:pPr>
              <w:spacing w:line="400" w:lineRule="exact"/>
              <w:rPr>
                <w:rFonts w:ascii="宋体" w:hAnsi="宋体" w:cs="宋体"/>
                <w:color w:val="auto"/>
                <w:szCs w:val="21"/>
                <w:highlight w:val="none"/>
              </w:rPr>
            </w:pPr>
            <w:r>
              <w:rPr>
                <w:rFonts w:hint="eastAsia" w:ascii="宋体" w:hAnsi="宋体" w:cs="宋体"/>
                <w:color w:val="auto"/>
                <w:szCs w:val="21"/>
                <w:highlight w:val="none"/>
              </w:rPr>
              <w:t>是否接受进口产品：</w:t>
            </w:r>
            <w:r>
              <w:rPr>
                <w:rFonts w:hint="eastAsia" w:ascii="宋体" w:hAnsi="宋体" w:cs="宋体"/>
                <w:color w:val="auto"/>
                <w:szCs w:val="21"/>
                <w:highlight w:val="none"/>
              </w:rPr>
              <w:sym w:font="Wingdings" w:char="F0FE"/>
            </w:r>
            <w:r>
              <w:rPr>
                <w:rFonts w:hint="eastAsia" w:ascii="宋体" w:hAnsi="宋体" w:cs="宋体"/>
                <w:color w:val="auto"/>
                <w:szCs w:val="21"/>
                <w:highlight w:val="none"/>
              </w:rPr>
              <w:t>否，本项目不接受进口产品（即通过中国海关报关验放进入中国境内且产自关境外的产品）参与竞争性谈判，如有此类产品参与竞争性谈判的按无效响应处理。</w:t>
            </w:r>
          </w:p>
        </w:tc>
      </w:tr>
      <w:tr w14:paraId="26AD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14F3B1DE">
            <w:pPr>
              <w:spacing w:line="400" w:lineRule="exact"/>
              <w:jc w:val="center"/>
              <w:rPr>
                <w:rFonts w:ascii="宋体" w:hAnsi="宋体" w:cs="宋体"/>
                <w:b/>
                <w:bCs/>
                <w:color w:val="auto"/>
                <w:szCs w:val="21"/>
                <w:highlight w:val="none"/>
              </w:rPr>
            </w:pPr>
            <w:r>
              <w:rPr>
                <w:rFonts w:hint="eastAsia" w:ascii="宋体" w:hAnsi="宋体" w:cs="宋体"/>
                <w:b/>
                <w:color w:val="auto"/>
                <w:szCs w:val="21"/>
                <w:highlight w:val="none"/>
              </w:rPr>
              <w:t>核心产品</w:t>
            </w:r>
          </w:p>
        </w:tc>
        <w:tc>
          <w:tcPr>
            <w:tcW w:w="7443" w:type="dxa"/>
            <w:gridSpan w:val="4"/>
            <w:shd w:val="clear" w:color="auto" w:fill="FFFFFF"/>
            <w:vAlign w:val="center"/>
          </w:tcPr>
          <w:p w14:paraId="6F422563">
            <w:pPr>
              <w:spacing w:line="400" w:lineRule="exact"/>
              <w:rPr>
                <w:rFonts w:ascii="宋体" w:hAnsi="宋体" w:cs="宋体"/>
                <w:color w:val="auto"/>
                <w:szCs w:val="21"/>
                <w:highlight w:val="none"/>
              </w:rPr>
            </w:pPr>
            <w:r>
              <w:rPr>
                <w:rFonts w:hint="eastAsia" w:ascii="宋体" w:hAnsi="宋体" w:cs="宋体"/>
                <w:color w:val="auto"/>
                <w:szCs w:val="21"/>
                <w:highlight w:val="none"/>
              </w:rPr>
              <w:t>核心产品：</w:t>
            </w:r>
            <w:r>
              <w:rPr>
                <w:rFonts w:hint="eastAsia" w:ascii="宋体" w:hAnsi="宋体" w:cs="宋体"/>
                <w:b/>
                <w:bCs/>
                <w:color w:val="auto"/>
                <w:szCs w:val="21"/>
                <w:highlight w:val="none"/>
                <w:lang w:eastAsia="zh-CN"/>
              </w:rPr>
              <w:t>本项目</w:t>
            </w:r>
            <w:r>
              <w:rPr>
                <w:rFonts w:hint="eastAsia" w:ascii="宋体" w:hAnsi="宋体" w:cs="宋体"/>
                <w:b/>
                <w:bCs/>
                <w:color w:val="auto"/>
                <w:szCs w:val="21"/>
                <w:highlight w:val="none"/>
              </w:rPr>
              <w:t>第</w:t>
            </w:r>
            <w:r>
              <w:rPr>
                <w:rFonts w:hint="eastAsia" w:ascii="宋体" w:hAnsi="宋体" w:cs="宋体"/>
                <w:b/>
                <w:bCs/>
                <w:color w:val="auto"/>
                <w:szCs w:val="21"/>
                <w:highlight w:val="none"/>
                <w:u w:val="single"/>
                <w:lang w:val="en-US" w:eastAsia="zh-CN"/>
              </w:rPr>
              <w:t>1</w:t>
            </w:r>
            <w:r>
              <w:rPr>
                <w:rFonts w:hint="eastAsia" w:ascii="宋体" w:hAnsi="宋体" w:cs="宋体"/>
                <w:b/>
                <w:bCs/>
                <w:color w:val="auto"/>
                <w:szCs w:val="21"/>
                <w:highlight w:val="none"/>
              </w:rPr>
              <w:t>项货物“合议系统一体机”。</w:t>
            </w:r>
          </w:p>
          <w:p w14:paraId="137C1E96">
            <w:pPr>
              <w:spacing w:line="400" w:lineRule="exact"/>
              <w:rPr>
                <w:rFonts w:ascii="宋体" w:hAnsi="宋体" w:cs="宋体"/>
                <w:color w:val="auto"/>
                <w:szCs w:val="21"/>
                <w:highlight w:val="none"/>
              </w:rPr>
            </w:pPr>
            <w:r>
              <w:rPr>
                <w:rFonts w:hint="eastAsia" w:ascii="宋体" w:hAnsi="宋体" w:cs="宋体"/>
                <w:color w:val="auto"/>
                <w:kern w:val="0"/>
                <w:szCs w:val="21"/>
                <w:highlight w:val="none"/>
              </w:rPr>
              <w:t>提供相同品牌产品且通过资格审查、符合</w:t>
            </w:r>
            <w:r>
              <w:rPr>
                <w:rFonts w:hint="eastAsia" w:ascii="宋体" w:hAnsi="宋体" w:cs="宋体"/>
                <w:color w:val="auto"/>
                <w:szCs w:val="21"/>
                <w:highlight w:val="none"/>
              </w:rPr>
              <w:t>性审查的不同供应商参加同一合同项下投标的，按一家供应商计算，评审后得分最高的同品牌供应商获得成交人推荐资格；评审得分相同的，由采购人或者采购人委托磋商小组按照采购文件规定的方式确定一个供应商获得成交人推荐资格，采购文件未规定的采取随机抽取方式确定，其他同品牌供应商不作为成交候选人。</w:t>
            </w:r>
          </w:p>
        </w:tc>
      </w:tr>
      <w:tr w14:paraId="14E5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362" w:type="dxa"/>
            <w:gridSpan w:val="2"/>
            <w:shd w:val="clear" w:color="auto" w:fill="FFFFFF"/>
            <w:vAlign w:val="center"/>
          </w:tcPr>
          <w:p w14:paraId="7B95E2AA">
            <w:pPr>
              <w:spacing w:line="400" w:lineRule="exact"/>
              <w:jc w:val="center"/>
              <w:rPr>
                <w:rFonts w:ascii="宋体" w:hAnsi="宋体" w:cs="宋体"/>
                <w:b/>
                <w:bCs/>
                <w:color w:val="auto"/>
                <w:szCs w:val="21"/>
                <w:highlight w:val="none"/>
              </w:rPr>
            </w:pPr>
            <w:r>
              <w:rPr>
                <w:rFonts w:hint="eastAsia" w:ascii="宋体" w:hAnsi="宋体" w:cs="仿宋"/>
                <w:b/>
                <w:color w:val="auto"/>
                <w:kern w:val="0"/>
                <w:szCs w:val="21"/>
                <w:highlight w:val="none"/>
                <w:lang w:bidi="ar"/>
              </w:rPr>
              <w:t>现场勘察</w:t>
            </w:r>
          </w:p>
        </w:tc>
        <w:tc>
          <w:tcPr>
            <w:tcW w:w="7443" w:type="dxa"/>
            <w:gridSpan w:val="4"/>
            <w:shd w:val="clear" w:color="auto" w:fill="FFFFFF"/>
            <w:vAlign w:val="center"/>
          </w:tcPr>
          <w:p w14:paraId="0D319D80">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1、鉴于本项目涉及现场的拆装改造服务需要根据项目情况综合评估成本，供应商可在投标截止时间前自行到现场勘察（交通工具、费用由各供应商自行负责），以便供应商了解真实的现场情况和项目实际需求。</w:t>
            </w:r>
          </w:p>
          <w:p w14:paraId="294E4BDE">
            <w:pPr>
              <w:pStyle w:val="11"/>
              <w:spacing w:after="0"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2、现场勘察要求：</w:t>
            </w:r>
          </w:p>
          <w:p w14:paraId="15F79F62">
            <w:pPr>
              <w:pStyle w:val="11"/>
              <w:spacing w:after="0" w:line="400" w:lineRule="exact"/>
              <w:rPr>
                <w:rFonts w:ascii="宋体" w:hAnsi="宋体" w:cs="宋体"/>
                <w:color w:val="auto"/>
                <w:szCs w:val="21"/>
                <w:highlight w:val="none"/>
              </w:rPr>
            </w:pPr>
            <w:r>
              <w:rPr>
                <w:rFonts w:hint="eastAsia" w:ascii="宋体" w:hAnsi="宋体" w:cs="宋体"/>
                <w:color w:val="auto"/>
                <w:szCs w:val="21"/>
                <w:highlight w:val="none"/>
              </w:rPr>
              <w:t>（1）现场勘察须携带的资料：供应商代表持授权委托书原件（加盖供应商公章）、供应商营业执照副本复印件（加盖供应商公章），供应商授权代表个人身份证原件。</w:t>
            </w:r>
          </w:p>
          <w:p w14:paraId="381FEF49">
            <w:pPr>
              <w:pStyle w:val="11"/>
              <w:spacing w:after="0" w:line="400" w:lineRule="exact"/>
              <w:rPr>
                <w:rFonts w:ascii="宋体" w:hAnsi="宋体" w:cs="宋体"/>
                <w:color w:val="auto"/>
                <w:szCs w:val="21"/>
                <w:highlight w:val="none"/>
              </w:rPr>
            </w:pPr>
            <w:r>
              <w:rPr>
                <w:rFonts w:hint="eastAsia" w:ascii="宋体" w:hAnsi="宋体" w:cs="宋体"/>
                <w:color w:val="auto"/>
                <w:szCs w:val="21"/>
                <w:highlight w:val="none"/>
              </w:rPr>
              <w:t>（2）现场勘察时间：2025年</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日至2025年</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日，</w:t>
            </w:r>
            <w:r>
              <w:rPr>
                <w:rFonts w:hint="eastAsia" w:ascii="宋体" w:hAnsi="宋体" w:cs="宋体"/>
                <w:color w:val="auto"/>
                <w:szCs w:val="21"/>
                <w:highlight w:val="none"/>
              </w:rPr>
              <w:t>每天上午8时至12时，下午15时至18时（北京时间，法定节假日除外）。</w:t>
            </w:r>
          </w:p>
          <w:p w14:paraId="0F7E2F5E">
            <w:pPr>
              <w:pStyle w:val="11"/>
              <w:spacing w:after="0" w:line="400" w:lineRule="exact"/>
              <w:rPr>
                <w:rFonts w:ascii="宋体" w:hAnsi="宋体" w:cs="宋体"/>
                <w:color w:val="auto"/>
                <w:szCs w:val="21"/>
                <w:highlight w:val="none"/>
              </w:rPr>
            </w:pPr>
            <w:r>
              <w:rPr>
                <w:rFonts w:hint="eastAsia" w:ascii="宋体" w:hAnsi="宋体" w:cs="宋体"/>
                <w:color w:val="auto"/>
                <w:szCs w:val="21"/>
                <w:highlight w:val="none"/>
              </w:rPr>
              <w:t>（3）现场勘察地点：广西壮族自治区高级人民法院</w:t>
            </w:r>
          </w:p>
          <w:p w14:paraId="05530BB7">
            <w:pPr>
              <w:pStyle w:val="11"/>
              <w:spacing w:after="0" w:line="400" w:lineRule="exact"/>
              <w:rPr>
                <w:rFonts w:ascii="宋体" w:hAnsi="宋体" w:cs="宋体"/>
                <w:color w:val="auto"/>
                <w:szCs w:val="21"/>
                <w:highlight w:val="none"/>
              </w:rPr>
            </w:pPr>
            <w:r>
              <w:rPr>
                <w:rFonts w:hint="eastAsia" w:ascii="宋体" w:hAnsi="宋体" w:cs="宋体"/>
                <w:color w:val="auto"/>
                <w:szCs w:val="21"/>
                <w:highlight w:val="none"/>
              </w:rPr>
              <w:t>（4）现场勘察联系人：</w:t>
            </w:r>
            <w:r>
              <w:rPr>
                <w:rFonts w:hint="eastAsia" w:ascii="宋体" w:hAnsi="宋体" w:cs="宋体"/>
                <w:color w:val="auto"/>
                <w:szCs w:val="21"/>
                <w:highlight w:val="none"/>
                <w:u w:val="single"/>
                <w:lang w:eastAsia="zh-CN"/>
              </w:rPr>
              <w:t>陆工</w:t>
            </w:r>
            <w:r>
              <w:rPr>
                <w:rFonts w:hint="eastAsia" w:ascii="宋体" w:hAnsi="宋体" w:cs="宋体"/>
                <w:color w:val="auto"/>
                <w:szCs w:val="21"/>
                <w:highlight w:val="none"/>
              </w:rPr>
              <w:t>；电话：</w:t>
            </w:r>
            <w:r>
              <w:rPr>
                <w:rFonts w:hint="eastAsia" w:ascii="宋体" w:hAnsi="宋体" w:cs="宋体"/>
                <w:color w:val="auto"/>
                <w:szCs w:val="21"/>
                <w:highlight w:val="none"/>
                <w:u w:val="single"/>
              </w:rPr>
              <w:t>18778005792</w:t>
            </w:r>
            <w:r>
              <w:rPr>
                <w:rFonts w:hint="eastAsia" w:ascii="宋体" w:hAnsi="宋体" w:cs="宋体"/>
                <w:color w:val="auto"/>
                <w:szCs w:val="21"/>
                <w:highlight w:val="none"/>
              </w:rPr>
              <w:t>。</w:t>
            </w:r>
          </w:p>
          <w:p w14:paraId="6A3A1F1E">
            <w:pPr>
              <w:pStyle w:val="11"/>
              <w:spacing w:after="0" w:line="400" w:lineRule="exact"/>
              <w:rPr>
                <w:rFonts w:ascii="宋体" w:hAnsi="宋体" w:cs="宋体"/>
                <w:color w:val="auto"/>
                <w:szCs w:val="21"/>
                <w:highlight w:val="none"/>
              </w:rPr>
            </w:pPr>
            <w:r>
              <w:rPr>
                <w:rFonts w:hint="eastAsia" w:ascii="宋体" w:hAnsi="宋体" w:cs="宋体"/>
                <w:color w:val="auto"/>
                <w:szCs w:val="21"/>
                <w:highlight w:val="none"/>
              </w:rPr>
              <w:t>（5）供应商应自行前往勘察地点进行实地勘察（费用自理），因未作实地勘察而导致竞标方案偏差、成交后不能履约等一切责任由供应商自行承担。</w:t>
            </w:r>
          </w:p>
          <w:p w14:paraId="0D480A1F">
            <w:pPr>
              <w:pStyle w:val="11"/>
              <w:spacing w:after="0" w:line="400" w:lineRule="exact"/>
              <w:rPr>
                <w:rFonts w:ascii="宋体" w:hAnsi="宋体" w:cs="宋体"/>
                <w:color w:val="auto"/>
                <w:szCs w:val="21"/>
                <w:highlight w:val="none"/>
              </w:rPr>
            </w:pPr>
            <w:r>
              <w:rPr>
                <w:rFonts w:hint="eastAsia" w:ascii="宋体" w:hAnsi="宋体" w:cs="宋体"/>
                <w:color w:val="auto"/>
                <w:szCs w:val="21"/>
                <w:highlight w:val="none"/>
              </w:rPr>
              <w:t>（6）采购人向供应商提供的有关现场的数据和资料，是采购人现有的能被供应商利用的资料。采购人对供应商做出的任何推论、理解和结论均不负责任。</w:t>
            </w:r>
          </w:p>
          <w:p w14:paraId="62595A3D">
            <w:pPr>
              <w:spacing w:line="400" w:lineRule="exact"/>
              <w:rPr>
                <w:rFonts w:ascii="宋体" w:hAnsi="宋体" w:cs="宋体"/>
                <w:color w:val="auto"/>
                <w:szCs w:val="21"/>
                <w:highlight w:val="none"/>
              </w:rPr>
            </w:pPr>
            <w:r>
              <w:rPr>
                <w:rFonts w:hint="eastAsia" w:ascii="宋体" w:hAnsi="宋体" w:cs="宋体"/>
                <w:color w:val="auto"/>
                <w:szCs w:val="21"/>
                <w:highlight w:val="none"/>
              </w:rPr>
              <w:t>（7）供应商可为勘察目的进入采购单位的项目现场，但供应商不得因此使采购人承担有关的责任和蒙受损失。供应商自行承担现场勘察的责任和风险。</w:t>
            </w:r>
          </w:p>
        </w:tc>
      </w:tr>
      <w:tr w14:paraId="72C6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00" w:hRule="atLeast"/>
          <w:jc w:val="center"/>
        </w:trPr>
        <w:tc>
          <w:tcPr>
            <w:tcW w:w="1362" w:type="dxa"/>
            <w:gridSpan w:val="2"/>
            <w:shd w:val="clear" w:color="auto" w:fill="FFFFFF"/>
            <w:vAlign w:val="center"/>
          </w:tcPr>
          <w:p w14:paraId="5A3290CD">
            <w:pPr>
              <w:spacing w:line="400" w:lineRule="exact"/>
              <w:jc w:val="center"/>
              <w:rPr>
                <w:rFonts w:ascii="宋体" w:hAnsi="宋体" w:cs="宋体"/>
                <w:b/>
                <w:bCs/>
                <w:color w:val="auto"/>
                <w:szCs w:val="21"/>
                <w:highlight w:val="none"/>
              </w:rPr>
            </w:pPr>
            <w:r>
              <w:rPr>
                <w:rFonts w:hint="eastAsia"/>
                <w:color w:val="auto"/>
                <w:szCs w:val="21"/>
                <w:highlight w:val="none"/>
              </w:rPr>
              <w:t>▲</w:t>
            </w:r>
            <w:r>
              <w:rPr>
                <w:rFonts w:hint="eastAsia" w:ascii="宋体" w:hAnsi="宋体" w:cs="宋体"/>
                <w:b/>
                <w:bCs/>
                <w:color w:val="auto"/>
                <w:szCs w:val="21"/>
                <w:highlight w:val="none"/>
              </w:rPr>
              <w:t>规范标准</w:t>
            </w:r>
          </w:p>
        </w:tc>
        <w:tc>
          <w:tcPr>
            <w:tcW w:w="7443" w:type="dxa"/>
            <w:gridSpan w:val="4"/>
            <w:shd w:val="clear" w:color="auto" w:fill="FFFFFF"/>
            <w:vAlign w:val="center"/>
          </w:tcPr>
          <w:p w14:paraId="0F616CC0">
            <w:pPr>
              <w:spacing w:line="400" w:lineRule="exact"/>
              <w:rPr>
                <w:rFonts w:ascii="宋体" w:hAnsi="宋体" w:cs="宋体"/>
                <w:color w:val="auto"/>
                <w:szCs w:val="21"/>
                <w:highlight w:val="none"/>
              </w:rPr>
            </w:pPr>
            <w:r>
              <w:rPr>
                <w:rFonts w:hint="eastAsia" w:ascii="宋体" w:hAnsi="宋体" w:cs="宋体"/>
                <w:color w:val="auto"/>
                <w:szCs w:val="21"/>
                <w:highlight w:val="none"/>
              </w:rPr>
              <w:t>采购标的需执行的国家标准、行业标准、地方标准或者其他标准、规范。</w:t>
            </w:r>
          </w:p>
        </w:tc>
      </w:tr>
    </w:tbl>
    <w:p w14:paraId="2D1CCC7C">
      <w:pPr>
        <w:pStyle w:val="25"/>
        <w:ind w:firstLine="210"/>
        <w:rPr>
          <w:color w:val="auto"/>
        </w:rPr>
      </w:pPr>
    </w:p>
    <w:p w14:paraId="77AAE51D">
      <w:pPr>
        <w:rPr>
          <w:rFonts w:ascii="宋体"/>
          <w:b/>
          <w:bCs/>
          <w:color w:val="auto"/>
          <w:sz w:val="32"/>
          <w:szCs w:val="32"/>
        </w:rPr>
      </w:pPr>
      <w:r>
        <w:rPr>
          <w:rFonts w:hint="eastAsia" w:ascii="宋体"/>
          <w:b/>
          <w:bCs/>
          <w:color w:val="auto"/>
          <w:sz w:val="32"/>
          <w:szCs w:val="32"/>
        </w:rPr>
        <w:br w:type="page"/>
      </w:r>
    </w:p>
    <w:p w14:paraId="69A6D082">
      <w:pPr>
        <w:jc w:val="left"/>
        <w:rPr>
          <w:rFonts w:ascii="Arial Unicode MS" w:hAnsi="Arial Unicode MS" w:cs="Arial Unicode MS"/>
          <w:b/>
          <w:bCs/>
          <w:color w:val="auto"/>
          <w:sz w:val="32"/>
          <w:szCs w:val="32"/>
        </w:rPr>
      </w:pPr>
      <w:r>
        <w:rPr>
          <w:rFonts w:hint="eastAsia" w:ascii="Arial Unicode MS" w:hAnsi="Arial Unicode MS" w:cs="Arial Unicode MS"/>
          <w:b/>
          <w:bCs/>
          <w:color w:val="auto"/>
          <w:sz w:val="32"/>
          <w:szCs w:val="32"/>
        </w:rPr>
        <w:t>附件1：</w:t>
      </w:r>
    </w:p>
    <w:p w14:paraId="5FC41866">
      <w:pPr>
        <w:jc w:val="center"/>
        <w:rPr>
          <w:rFonts w:ascii="Arial Unicode MS" w:hAnsi="Arial Unicode MS" w:cs="Arial Unicode MS"/>
          <w:b/>
          <w:bCs/>
          <w:color w:val="auto"/>
          <w:sz w:val="32"/>
          <w:szCs w:val="32"/>
        </w:rPr>
      </w:pPr>
      <w:r>
        <w:rPr>
          <w:rFonts w:hint="eastAsia" w:ascii="Arial Unicode MS" w:hAnsi="Arial Unicode MS" w:cs="Arial Unicode MS"/>
          <w:b/>
          <w:bCs/>
          <w:color w:val="auto"/>
          <w:sz w:val="32"/>
          <w:szCs w:val="32"/>
        </w:rPr>
        <w:t>廉洁告知书</w:t>
      </w:r>
    </w:p>
    <w:p w14:paraId="4872EF12">
      <w:pPr>
        <w:rPr>
          <w:rFonts w:ascii="Arial Unicode MS" w:hAnsi="Arial Unicode MS" w:cs="Arial Unicode MS"/>
          <w:color w:val="auto"/>
          <w:sz w:val="32"/>
          <w:szCs w:val="32"/>
        </w:rPr>
      </w:pPr>
    </w:p>
    <w:p w14:paraId="32ACC90D">
      <w:pPr>
        <w:widowControl/>
        <w:spacing w:line="480" w:lineRule="exact"/>
        <w:ind w:firstLine="640"/>
        <w:rPr>
          <w:color w:val="auto"/>
        </w:rPr>
      </w:pPr>
      <w:r>
        <w:rPr>
          <w:rFonts w:hint="eastAsia"/>
          <w:color w:val="auto"/>
        </w:rPr>
        <w:t>为营造“反对贿赂，公平竞争”的政府采购环境，贵公司在广西壮族自治区高级人民法院</w:t>
      </w:r>
      <w:r>
        <w:rPr>
          <w:rFonts w:hint="eastAsia"/>
          <w:color w:val="auto"/>
          <w:u w:val="single"/>
        </w:rPr>
        <w:t>广西高院无纸化合议室设备采购项目</w:t>
      </w:r>
      <w:r>
        <w:rPr>
          <w:rFonts w:hint="eastAsia"/>
          <w:color w:val="auto"/>
        </w:rPr>
        <w:t>的政府采购活动中，要遵守政府采购相关法律法规，做到廉洁自律、诚实守信。现将有关事项告知如下：</w:t>
      </w:r>
    </w:p>
    <w:p w14:paraId="3FB9BAD9">
      <w:pPr>
        <w:widowControl/>
        <w:spacing w:line="480" w:lineRule="exact"/>
        <w:ind w:firstLine="640"/>
        <w:rPr>
          <w:color w:val="auto"/>
        </w:rPr>
      </w:pPr>
      <w:r>
        <w:rPr>
          <w:rFonts w:hint="eastAsia"/>
          <w:color w:val="auto"/>
        </w:rPr>
        <w:t>一、严格遵守《中华人民共和国政府采购法》以及相关法律法规，对可能影响政府采购活动公平、公正的情况应当及时向有关部门反映。</w:t>
      </w:r>
    </w:p>
    <w:p w14:paraId="40DC5F36">
      <w:pPr>
        <w:widowControl/>
        <w:spacing w:line="480" w:lineRule="exact"/>
        <w:ind w:firstLine="640"/>
        <w:rPr>
          <w:color w:val="auto"/>
        </w:rPr>
      </w:pPr>
      <w:r>
        <w:rPr>
          <w:rFonts w:hint="eastAsia"/>
          <w:color w:val="auto"/>
        </w:rPr>
        <w:t>二、不得与项目相关工作人员单独会谈或者见面，不得邀请项目相关工作人员参加私自安排的宴请或活动。</w:t>
      </w:r>
    </w:p>
    <w:p w14:paraId="20B4D88E">
      <w:pPr>
        <w:widowControl/>
        <w:spacing w:line="480" w:lineRule="exact"/>
        <w:ind w:firstLine="640"/>
        <w:rPr>
          <w:color w:val="auto"/>
        </w:rPr>
      </w:pPr>
      <w:r>
        <w:rPr>
          <w:rFonts w:hint="eastAsia"/>
          <w:color w:val="auto"/>
        </w:rPr>
        <w:t>三、不准向项目相关工作人员就项目的投资评审、采购文件等有关问题进行私下商谈或者达成默契。</w:t>
      </w:r>
    </w:p>
    <w:p w14:paraId="1BBBFE3E">
      <w:pPr>
        <w:widowControl/>
        <w:spacing w:line="480" w:lineRule="exact"/>
        <w:ind w:firstLine="640"/>
        <w:rPr>
          <w:color w:val="auto"/>
        </w:rPr>
      </w:pPr>
      <w:r>
        <w:rPr>
          <w:rFonts w:hint="eastAsia"/>
          <w:color w:val="auto"/>
        </w:rPr>
        <w:t>四、不准向项目相关工作人员提供现金、礼券、物品等其他任何好处，不准向项目相关工作人员进行诱贿、威逼利诱、敲诈勒索等行为。</w:t>
      </w:r>
    </w:p>
    <w:p w14:paraId="10AEEA02">
      <w:pPr>
        <w:widowControl/>
        <w:spacing w:line="480" w:lineRule="exact"/>
        <w:ind w:firstLine="640"/>
        <w:rPr>
          <w:color w:val="auto"/>
        </w:rPr>
      </w:pPr>
      <w:r>
        <w:rPr>
          <w:rFonts w:hint="eastAsia"/>
          <w:color w:val="auto"/>
        </w:rPr>
        <w:t>五、在参与政府采购活动过程中，应当遵循自愿、平等、公平、诚信原则，不得与项目相关工作人员，其他供应商或者采购代理机构串通，弄虚作假骗取中标（成交)。</w:t>
      </w:r>
    </w:p>
    <w:p w14:paraId="27C5E536">
      <w:pPr>
        <w:widowControl/>
        <w:spacing w:line="480" w:lineRule="exact"/>
        <w:ind w:firstLine="640"/>
        <w:rPr>
          <w:color w:val="auto"/>
        </w:rPr>
      </w:pPr>
      <w:r>
        <w:rPr>
          <w:rFonts w:hint="eastAsia"/>
          <w:color w:val="auto"/>
        </w:rPr>
        <w:t>六、参与政府采购活动所提供的一切材料真实、准确、完整、合法、有效，并具备独立完成项目的能力，不得以他人名义参与政府采购活动。</w:t>
      </w:r>
    </w:p>
    <w:p w14:paraId="0B67DA3E">
      <w:pPr>
        <w:widowControl/>
        <w:spacing w:line="480" w:lineRule="exact"/>
        <w:ind w:firstLine="640"/>
        <w:rPr>
          <w:color w:val="auto"/>
        </w:rPr>
      </w:pPr>
      <w:r>
        <w:rPr>
          <w:rFonts w:hint="eastAsia"/>
          <w:color w:val="auto"/>
        </w:rPr>
        <w:t>七、严格执行政府采购合同管理规定，不将中标(成交)项目转包分包，从中谋取利益，不得以明示或者暗示的方式承诺给予项目相关工作人员回扣或其他利益。</w:t>
      </w:r>
    </w:p>
    <w:p w14:paraId="532AEC68">
      <w:pPr>
        <w:widowControl/>
        <w:spacing w:line="480" w:lineRule="exact"/>
        <w:ind w:firstLine="640"/>
        <w:rPr>
          <w:color w:val="auto"/>
        </w:rPr>
      </w:pPr>
      <w:r>
        <w:rPr>
          <w:rFonts w:hint="eastAsia"/>
          <w:color w:val="auto"/>
        </w:rPr>
        <w:t>请严格遵守以上告知事项，如在政府采购过程中发现有违反上述情况的行为时，应坚决抵制并如实向监察部门反映情况，坚决同不正之风作斗争。</w:t>
      </w:r>
    </w:p>
    <w:p w14:paraId="681D0434">
      <w:pPr>
        <w:ind w:firstLine="640"/>
        <w:rPr>
          <w:color w:val="auto"/>
        </w:rPr>
      </w:pPr>
    </w:p>
    <w:p w14:paraId="56C379ED">
      <w:pPr>
        <w:ind w:firstLine="640"/>
        <w:jc w:val="left"/>
        <w:rPr>
          <w:rFonts w:ascii="宋体"/>
          <w:b/>
          <w:bCs/>
          <w:color w:val="auto"/>
        </w:rPr>
      </w:pPr>
      <w:r>
        <w:rPr>
          <w:rFonts w:hint="eastAsia" w:ascii="宋体"/>
          <w:b/>
          <w:bCs/>
          <w:color w:val="auto"/>
        </w:rPr>
        <w:t>电话举报：0771-5788824</w:t>
      </w:r>
    </w:p>
    <w:p w14:paraId="7EAC47ED">
      <w:pPr>
        <w:ind w:firstLine="640"/>
        <w:jc w:val="left"/>
        <w:rPr>
          <w:b/>
          <w:bCs/>
          <w:color w:val="auto"/>
        </w:rPr>
        <w:sectPr>
          <w:pgSz w:w="11906" w:h="16838"/>
          <w:pgMar w:top="1417" w:right="1644" w:bottom="1417" w:left="1644" w:header="851" w:footer="992" w:gutter="0"/>
          <w:cols w:space="720" w:num="1"/>
          <w:docGrid w:linePitch="312" w:charSpace="0"/>
        </w:sectPr>
      </w:pPr>
      <w:r>
        <w:rPr>
          <w:rFonts w:hint="eastAsia"/>
          <w:b/>
          <w:bCs/>
          <w:color w:val="auto"/>
        </w:rPr>
        <w:t>网站举报:人民法院工作人员违纪违法举报中心</w:t>
      </w:r>
    </w:p>
    <w:p w14:paraId="2F324A4B">
      <w:pPr>
        <w:tabs>
          <w:tab w:val="left" w:pos="180"/>
          <w:tab w:val="left" w:pos="1620"/>
        </w:tabs>
        <w:spacing w:line="460" w:lineRule="exact"/>
        <w:rPr>
          <w:rFonts w:ascii="宋体" w:hAnsi="宋体"/>
          <w:b/>
          <w:bCs/>
          <w:color w:val="auto"/>
          <w:sz w:val="32"/>
          <w:szCs w:val="32"/>
        </w:rPr>
      </w:pPr>
      <w:r>
        <w:rPr>
          <w:rFonts w:hint="eastAsia" w:ascii="宋体" w:hAnsi="宋体"/>
          <w:b/>
          <w:bCs/>
          <w:color w:val="auto"/>
          <w:sz w:val="32"/>
          <w:szCs w:val="32"/>
        </w:rPr>
        <w:t>附件2：</w:t>
      </w:r>
    </w:p>
    <w:p w14:paraId="56924F48">
      <w:pPr>
        <w:pStyle w:val="11"/>
        <w:spacing w:line="400" w:lineRule="exact"/>
        <w:jc w:val="center"/>
        <w:rPr>
          <w:rFonts w:ascii="宋体" w:hAnsi="宋体" w:cs="宋体"/>
          <w:b/>
          <w:color w:val="auto"/>
          <w:sz w:val="32"/>
          <w:szCs w:val="32"/>
        </w:rPr>
      </w:pPr>
      <w:r>
        <w:rPr>
          <w:rFonts w:hint="eastAsia" w:ascii="宋体" w:hAnsi="宋体" w:cs="宋体"/>
          <w:b/>
          <w:color w:val="auto"/>
          <w:sz w:val="32"/>
          <w:szCs w:val="32"/>
        </w:rPr>
        <w:t>中小企业划型标准规定</w:t>
      </w:r>
    </w:p>
    <w:p w14:paraId="7D55165F">
      <w:pPr>
        <w:pStyle w:val="11"/>
        <w:spacing w:line="400" w:lineRule="exact"/>
        <w:jc w:val="center"/>
        <w:rPr>
          <w:rFonts w:ascii="宋体" w:hAnsi="宋体" w:cs="宋体"/>
          <w:color w:val="auto"/>
          <w:szCs w:val="21"/>
        </w:rPr>
      </w:pPr>
      <w:r>
        <w:rPr>
          <w:rFonts w:hint="eastAsia" w:ascii="宋体" w:hAnsi="宋体" w:cs="宋体"/>
          <w:color w:val="auto"/>
          <w:szCs w:val="21"/>
        </w:rPr>
        <w:t>工信部联企业[2011]300号</w:t>
      </w:r>
    </w:p>
    <w:p w14:paraId="183342CA">
      <w:pPr>
        <w:pStyle w:val="11"/>
        <w:spacing w:line="400" w:lineRule="exact"/>
        <w:rPr>
          <w:rFonts w:ascii="宋体" w:hAnsi="宋体" w:cs="宋体"/>
          <w:color w:val="auto"/>
          <w:szCs w:val="21"/>
        </w:rPr>
      </w:pPr>
    </w:p>
    <w:p w14:paraId="07EE9474">
      <w:pPr>
        <w:pStyle w:val="11"/>
        <w:spacing w:line="400" w:lineRule="exact"/>
        <w:rPr>
          <w:rFonts w:ascii="宋体" w:hAnsi="宋体" w:cs="宋体"/>
          <w:color w:val="auto"/>
          <w:szCs w:val="21"/>
        </w:rPr>
      </w:pPr>
      <w:r>
        <w:rPr>
          <w:rFonts w:hint="eastAsia" w:ascii="宋体" w:hAnsi="宋体" w:cs="宋体"/>
          <w:color w:val="auto"/>
          <w:szCs w:val="21"/>
        </w:rPr>
        <w:t>　　一、根据《中华人民共和国中小企业促进法》和《国务院关于进一步促进中小企业发展的若干意见》(国发[2009]36号)，制定本规定。</w:t>
      </w:r>
    </w:p>
    <w:p w14:paraId="27E95C10">
      <w:pPr>
        <w:pStyle w:val="11"/>
        <w:spacing w:line="400" w:lineRule="exact"/>
        <w:rPr>
          <w:rFonts w:ascii="宋体" w:hAnsi="宋体" w:cs="宋体"/>
          <w:color w:val="auto"/>
          <w:szCs w:val="21"/>
        </w:rPr>
      </w:pPr>
      <w:r>
        <w:rPr>
          <w:rFonts w:hint="eastAsia" w:ascii="宋体" w:hAnsi="宋体" w:cs="宋体"/>
          <w:color w:val="auto"/>
          <w:szCs w:val="21"/>
        </w:rPr>
        <w:t>　　二、中小企业划分为中型、小型、微型三种类型，具体标准根据企业从业人员、营业收入、资产总额等指标，结合行业特点制定。</w:t>
      </w:r>
    </w:p>
    <w:p w14:paraId="0D66EC61">
      <w:pPr>
        <w:pStyle w:val="11"/>
        <w:spacing w:line="400" w:lineRule="exact"/>
        <w:rPr>
          <w:rFonts w:ascii="宋体" w:hAnsi="宋体" w:cs="宋体"/>
          <w:color w:val="auto"/>
          <w:szCs w:val="21"/>
        </w:rPr>
      </w:pPr>
      <w:r>
        <w:rPr>
          <w:rFonts w:hint="eastAsia" w:ascii="宋体" w:hAnsi="宋体" w:cs="宋体"/>
          <w:color w:val="auto"/>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5630FEB">
      <w:pPr>
        <w:pStyle w:val="11"/>
        <w:spacing w:line="400" w:lineRule="exact"/>
        <w:rPr>
          <w:rFonts w:ascii="宋体" w:hAnsi="宋体" w:cs="宋体"/>
          <w:color w:val="auto"/>
          <w:szCs w:val="21"/>
        </w:rPr>
      </w:pPr>
      <w:r>
        <w:rPr>
          <w:rFonts w:hint="eastAsia" w:ascii="宋体" w:hAnsi="宋体" w:cs="宋体"/>
          <w:color w:val="auto"/>
          <w:szCs w:val="21"/>
        </w:rPr>
        <w:t>　　四、各行业划型标准为：</w:t>
      </w:r>
    </w:p>
    <w:p w14:paraId="2ED5FD48">
      <w:pPr>
        <w:pStyle w:val="11"/>
        <w:spacing w:line="400" w:lineRule="exact"/>
        <w:rPr>
          <w:rFonts w:ascii="宋体" w:hAnsi="宋体" w:cs="宋体"/>
          <w:color w:val="auto"/>
          <w:szCs w:val="21"/>
        </w:rPr>
      </w:pPr>
      <w:r>
        <w:rPr>
          <w:rFonts w:hint="eastAsia" w:ascii="宋体" w:hAnsi="宋体" w:cs="宋体"/>
          <w:color w:val="auto"/>
          <w:szCs w:val="21"/>
        </w:rPr>
        <w:t>　　（一）农、林、牧、渔业。营业收入20000万元以下的为中小微型企业。其中，营业收入500万元及以上的为中型企业，营业收入50万元及以上的为小型企业，营业收入50万元以下的为微型企业。</w:t>
      </w:r>
    </w:p>
    <w:p w14:paraId="6B896BD4">
      <w:pPr>
        <w:pStyle w:val="11"/>
        <w:spacing w:line="400" w:lineRule="exact"/>
        <w:rPr>
          <w:rFonts w:ascii="宋体" w:hAnsi="宋体" w:cs="宋体"/>
          <w:color w:val="auto"/>
          <w:szCs w:val="21"/>
        </w:rPr>
      </w:pPr>
      <w:r>
        <w:rPr>
          <w:rFonts w:hint="eastAsia" w:ascii="宋体" w:hAnsi="宋体" w:cs="宋体"/>
          <w:color w:val="auto"/>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906C56E">
      <w:pPr>
        <w:pStyle w:val="11"/>
        <w:spacing w:line="400" w:lineRule="exact"/>
        <w:rPr>
          <w:rFonts w:ascii="宋体" w:hAnsi="宋体" w:cs="宋体"/>
          <w:color w:val="auto"/>
          <w:szCs w:val="21"/>
        </w:rPr>
      </w:pPr>
      <w:r>
        <w:rPr>
          <w:rFonts w:hint="eastAsia" w:ascii="宋体" w:hAnsi="宋体" w:cs="宋体"/>
          <w:color w:val="auto"/>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40CA55">
      <w:pPr>
        <w:pStyle w:val="11"/>
        <w:spacing w:line="400" w:lineRule="exact"/>
        <w:rPr>
          <w:rFonts w:ascii="宋体" w:hAnsi="宋体" w:cs="宋体"/>
          <w:color w:val="auto"/>
          <w:szCs w:val="21"/>
        </w:rPr>
      </w:pPr>
      <w:r>
        <w:rPr>
          <w:rFonts w:hint="eastAsia" w:ascii="宋体" w:hAnsi="宋体" w:cs="宋体"/>
          <w:color w:val="auto"/>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B496297">
      <w:pPr>
        <w:pStyle w:val="11"/>
        <w:spacing w:line="400" w:lineRule="exact"/>
        <w:rPr>
          <w:rFonts w:ascii="宋体" w:hAnsi="宋体" w:cs="宋体"/>
          <w:color w:val="auto"/>
          <w:szCs w:val="21"/>
        </w:rPr>
      </w:pPr>
      <w:r>
        <w:rPr>
          <w:rFonts w:hint="eastAsia" w:ascii="宋体" w:hAnsi="宋体" w:cs="宋体"/>
          <w:color w:val="auto"/>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05EE2F3">
      <w:pPr>
        <w:pStyle w:val="11"/>
        <w:spacing w:line="400" w:lineRule="exact"/>
        <w:rPr>
          <w:rFonts w:ascii="宋体" w:hAnsi="宋体" w:cs="宋体"/>
          <w:color w:val="auto"/>
          <w:szCs w:val="21"/>
        </w:rPr>
      </w:pPr>
      <w:r>
        <w:rPr>
          <w:rFonts w:hint="eastAsia" w:ascii="宋体" w:hAnsi="宋体" w:cs="宋体"/>
          <w:color w:val="auto"/>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B07C388">
      <w:pPr>
        <w:pStyle w:val="11"/>
        <w:spacing w:line="400" w:lineRule="exact"/>
        <w:rPr>
          <w:rFonts w:ascii="宋体" w:hAnsi="宋体" w:cs="宋体"/>
          <w:color w:val="auto"/>
          <w:szCs w:val="21"/>
        </w:rPr>
      </w:pPr>
      <w:r>
        <w:rPr>
          <w:rFonts w:hint="eastAsia" w:ascii="宋体" w:hAnsi="宋体" w:cs="宋体"/>
          <w:color w:val="auto"/>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CE5F766">
      <w:pPr>
        <w:pStyle w:val="11"/>
        <w:spacing w:line="400" w:lineRule="exact"/>
        <w:rPr>
          <w:rFonts w:ascii="宋体" w:hAnsi="宋体" w:cs="宋体"/>
          <w:color w:val="auto"/>
          <w:szCs w:val="21"/>
        </w:rPr>
      </w:pPr>
      <w:r>
        <w:rPr>
          <w:rFonts w:hint="eastAsia" w:ascii="宋体" w:hAnsi="宋体" w:cs="宋体"/>
          <w:color w:val="auto"/>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07B4181">
      <w:pPr>
        <w:pStyle w:val="11"/>
        <w:spacing w:line="400" w:lineRule="exact"/>
        <w:rPr>
          <w:rFonts w:ascii="宋体" w:hAnsi="宋体" w:cs="宋体"/>
          <w:color w:val="auto"/>
          <w:szCs w:val="21"/>
        </w:rPr>
      </w:pPr>
      <w:r>
        <w:rPr>
          <w:rFonts w:hint="eastAsia" w:ascii="宋体" w:hAnsi="宋体" w:cs="宋体"/>
          <w:color w:val="auto"/>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26D7621">
      <w:pPr>
        <w:pStyle w:val="11"/>
        <w:spacing w:line="400" w:lineRule="exact"/>
        <w:rPr>
          <w:rFonts w:ascii="宋体" w:hAnsi="宋体" w:cs="宋体"/>
          <w:color w:val="auto"/>
          <w:szCs w:val="21"/>
        </w:rPr>
      </w:pPr>
      <w:r>
        <w:rPr>
          <w:rFonts w:hint="eastAsia" w:ascii="宋体" w:hAnsi="宋体" w:cs="宋体"/>
          <w:color w:val="auto"/>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7761155">
      <w:pPr>
        <w:pStyle w:val="11"/>
        <w:spacing w:line="400" w:lineRule="exact"/>
        <w:rPr>
          <w:rFonts w:ascii="宋体" w:hAnsi="宋体" w:cs="宋体"/>
          <w:color w:val="auto"/>
          <w:szCs w:val="21"/>
        </w:rPr>
      </w:pPr>
      <w:r>
        <w:rPr>
          <w:rFonts w:hint="eastAsia" w:ascii="宋体" w:hAnsi="宋体" w:cs="宋体"/>
          <w:color w:val="auto"/>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8C2C9D3">
      <w:pPr>
        <w:pStyle w:val="11"/>
        <w:spacing w:line="400" w:lineRule="exact"/>
        <w:rPr>
          <w:rFonts w:ascii="宋体" w:hAnsi="宋体" w:cs="宋体"/>
          <w:color w:val="auto"/>
          <w:szCs w:val="21"/>
        </w:rPr>
      </w:pPr>
      <w:r>
        <w:rPr>
          <w:rFonts w:hint="eastAsia" w:ascii="宋体" w:hAnsi="宋体" w:cs="宋体"/>
          <w:color w:val="auto"/>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F20D3AE">
      <w:pPr>
        <w:pStyle w:val="11"/>
        <w:spacing w:line="400" w:lineRule="exact"/>
        <w:rPr>
          <w:rFonts w:ascii="宋体" w:hAnsi="宋体" w:cs="宋体"/>
          <w:color w:val="auto"/>
          <w:szCs w:val="21"/>
        </w:rPr>
      </w:pPr>
      <w:r>
        <w:rPr>
          <w:rFonts w:hint="eastAsia" w:ascii="宋体" w:hAnsi="宋体" w:cs="宋体"/>
          <w:color w:val="auto"/>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E42905E">
      <w:pPr>
        <w:pStyle w:val="11"/>
        <w:spacing w:line="400" w:lineRule="exact"/>
        <w:rPr>
          <w:rFonts w:ascii="宋体" w:hAnsi="宋体" w:cs="宋体"/>
          <w:color w:val="auto"/>
          <w:szCs w:val="21"/>
        </w:rPr>
      </w:pPr>
      <w:r>
        <w:rPr>
          <w:rFonts w:hint="eastAsia" w:ascii="宋体" w:hAnsi="宋体" w:cs="宋体"/>
          <w:color w:val="auto"/>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EA6C003">
      <w:pPr>
        <w:pStyle w:val="11"/>
        <w:spacing w:line="400" w:lineRule="exact"/>
        <w:rPr>
          <w:rFonts w:ascii="宋体" w:hAnsi="宋体" w:cs="宋体"/>
          <w:color w:val="auto"/>
          <w:szCs w:val="21"/>
        </w:rPr>
      </w:pPr>
      <w:r>
        <w:rPr>
          <w:rFonts w:hint="eastAsia" w:ascii="宋体" w:hAnsi="宋体" w:cs="宋体"/>
          <w:color w:val="auto"/>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E0FB337">
      <w:pPr>
        <w:pStyle w:val="11"/>
        <w:spacing w:line="400" w:lineRule="exact"/>
        <w:rPr>
          <w:rFonts w:ascii="宋体" w:hAnsi="宋体" w:cs="宋体"/>
          <w:color w:val="auto"/>
          <w:szCs w:val="21"/>
        </w:rPr>
      </w:pPr>
      <w:r>
        <w:rPr>
          <w:rFonts w:hint="eastAsia" w:ascii="宋体" w:hAnsi="宋体" w:cs="宋体"/>
          <w:color w:val="auto"/>
          <w:szCs w:val="21"/>
        </w:rPr>
        <w:t>　　（十六）其他未列明行业。从业人员300人以下的为中小微型企业。其中，从业人员100人及以上的为中型企业；从业人员10人及以上的为小型企业；从业人员10人以下的为微型企业。</w:t>
      </w:r>
    </w:p>
    <w:p w14:paraId="0FA31FD5">
      <w:pPr>
        <w:pStyle w:val="11"/>
        <w:spacing w:line="400" w:lineRule="exact"/>
        <w:rPr>
          <w:rFonts w:ascii="宋体" w:hAnsi="宋体" w:cs="宋体"/>
          <w:color w:val="auto"/>
          <w:szCs w:val="21"/>
        </w:rPr>
      </w:pPr>
      <w:r>
        <w:rPr>
          <w:rFonts w:hint="eastAsia" w:ascii="宋体" w:hAnsi="宋体" w:cs="宋体"/>
          <w:color w:val="auto"/>
          <w:szCs w:val="21"/>
        </w:rPr>
        <w:t>　　五、企业类型的划分以统计部门的统计数据为依据。</w:t>
      </w:r>
    </w:p>
    <w:p w14:paraId="232D2F6A">
      <w:pPr>
        <w:pStyle w:val="11"/>
        <w:spacing w:line="400" w:lineRule="exact"/>
        <w:rPr>
          <w:rFonts w:ascii="宋体" w:hAnsi="宋体" w:cs="宋体"/>
          <w:color w:val="auto"/>
          <w:szCs w:val="21"/>
        </w:rPr>
      </w:pPr>
      <w:r>
        <w:rPr>
          <w:rFonts w:hint="eastAsia" w:ascii="宋体" w:hAnsi="宋体" w:cs="宋体"/>
          <w:color w:val="auto"/>
          <w:szCs w:val="21"/>
        </w:rPr>
        <w:t>　　六、本规定适用于在中华人民共和国境内依法设立的各类所有制和各种组织形式的企业。个体工商户和本规定以外的行业，参照本规定进行划型。</w:t>
      </w:r>
    </w:p>
    <w:p w14:paraId="20DAC1E1">
      <w:pPr>
        <w:pStyle w:val="11"/>
        <w:spacing w:line="400" w:lineRule="exact"/>
        <w:rPr>
          <w:rFonts w:ascii="宋体" w:hAnsi="宋体" w:cs="宋体"/>
          <w:color w:val="auto"/>
          <w:szCs w:val="21"/>
        </w:rPr>
      </w:pPr>
      <w:r>
        <w:rPr>
          <w:rFonts w:hint="eastAsia" w:ascii="宋体" w:hAnsi="宋体" w:cs="宋体"/>
          <w:color w:val="auto"/>
          <w:szCs w:val="21"/>
        </w:rPr>
        <w:t>　　七、本规定的中型企业标准上限即为大型企业标准的下限，国家统计部门据此制定大中小微型企业的统计分类。国务院有关部门据此进行相关数据分析，不得制定与本规定不一致的企业划型标准。</w:t>
      </w:r>
    </w:p>
    <w:p w14:paraId="45B4E487">
      <w:pPr>
        <w:pStyle w:val="11"/>
        <w:spacing w:line="400" w:lineRule="exact"/>
        <w:rPr>
          <w:rFonts w:ascii="宋体" w:hAnsi="宋体" w:cs="宋体"/>
          <w:color w:val="auto"/>
          <w:szCs w:val="21"/>
        </w:rPr>
      </w:pPr>
      <w:r>
        <w:rPr>
          <w:rFonts w:hint="eastAsia" w:ascii="宋体" w:hAnsi="宋体" w:cs="宋体"/>
          <w:color w:val="auto"/>
          <w:szCs w:val="21"/>
        </w:rPr>
        <w:t>　　八、本规定由工业和信息化部、国家统计局会同有关部门根据《国民经济行业分类》修订情况和企业发展变化情况适时修订。</w:t>
      </w:r>
    </w:p>
    <w:p w14:paraId="728B2341">
      <w:pPr>
        <w:pStyle w:val="11"/>
        <w:spacing w:line="400" w:lineRule="exact"/>
        <w:rPr>
          <w:rFonts w:ascii="宋体" w:hAnsi="宋体" w:cs="宋体"/>
          <w:color w:val="auto"/>
          <w:szCs w:val="21"/>
        </w:rPr>
      </w:pPr>
      <w:r>
        <w:rPr>
          <w:rFonts w:hint="eastAsia" w:ascii="宋体" w:hAnsi="宋体" w:cs="宋体"/>
          <w:color w:val="auto"/>
          <w:szCs w:val="21"/>
        </w:rPr>
        <w:t>　　九、本规定由工业和信息化部、国家统计局会同有关部门负责解释。</w:t>
      </w:r>
    </w:p>
    <w:p w14:paraId="7209DA93">
      <w:pPr>
        <w:pStyle w:val="11"/>
        <w:spacing w:line="400" w:lineRule="exact"/>
        <w:ind w:firstLine="420"/>
        <w:rPr>
          <w:rFonts w:ascii="宋体" w:hAnsi="宋体" w:cs="宋体"/>
          <w:color w:val="auto"/>
          <w:szCs w:val="21"/>
        </w:rPr>
      </w:pPr>
      <w:r>
        <w:rPr>
          <w:rFonts w:hint="eastAsia" w:ascii="宋体" w:hAnsi="宋体" w:cs="宋体"/>
          <w:color w:val="auto"/>
          <w:szCs w:val="21"/>
        </w:rPr>
        <w:t>十、本规定自发布之日起执行，原国家经贸委、原国家计委、财政部和国家统计局2003年颁布的《中小企业标准暂行规定》同时废止。</w:t>
      </w:r>
    </w:p>
    <w:p w14:paraId="56F1D797">
      <w:pPr>
        <w:pStyle w:val="14"/>
        <w:ind w:firstLine="480"/>
        <w:rPr>
          <w:color w:val="auto"/>
          <w:sz w:val="24"/>
          <w:szCs w:val="24"/>
        </w:rPr>
        <w:sectPr>
          <w:pgSz w:w="11906" w:h="16838"/>
          <w:pgMar w:top="1440" w:right="1803" w:bottom="1440" w:left="1803" w:header="720" w:footer="720" w:gutter="0"/>
          <w:cols w:space="720" w:num="1"/>
          <w:docGrid w:type="lines" w:linePitch="331" w:charSpace="0"/>
        </w:sectPr>
      </w:pPr>
    </w:p>
    <w:p w14:paraId="37F33B4A">
      <w:pPr>
        <w:pStyle w:val="14"/>
        <w:ind w:firstLine="480"/>
        <w:rPr>
          <w:b/>
          <w:bCs/>
          <w:color w:val="auto"/>
          <w:sz w:val="32"/>
          <w:szCs w:val="32"/>
        </w:rPr>
      </w:pPr>
      <w:r>
        <w:rPr>
          <w:rFonts w:hint="eastAsia"/>
          <w:b/>
          <w:bCs/>
          <w:color w:val="auto"/>
          <w:sz w:val="32"/>
          <w:szCs w:val="32"/>
        </w:rPr>
        <w:t>附件3：</w:t>
      </w:r>
    </w:p>
    <w:p w14:paraId="5647F4B5">
      <w:pPr>
        <w:spacing w:line="528" w:lineRule="exact"/>
        <w:ind w:left="220"/>
        <w:jc w:val="center"/>
        <w:rPr>
          <w:rFonts w:ascii="宋体" w:hAnsi="宋体" w:cs="宋体"/>
          <w:b/>
          <w:bCs/>
          <w:color w:val="auto"/>
          <w:sz w:val="36"/>
          <w:szCs w:val="36"/>
        </w:rPr>
      </w:pPr>
      <w:r>
        <w:rPr>
          <w:rFonts w:hint="eastAsia" w:ascii="宋体" w:hAnsi="宋体" w:cs="宋体"/>
          <w:b/>
          <w:bCs/>
          <w:color w:val="auto"/>
          <w:sz w:val="36"/>
          <w:szCs w:val="36"/>
        </w:rPr>
        <w:t>节能产品政府采购品目清单</w:t>
      </w:r>
    </w:p>
    <w:tbl>
      <w:tblPr>
        <w:tblStyle w:val="26"/>
        <w:tblW w:w="8359" w:type="dxa"/>
        <w:tblInd w:w="93" w:type="dxa"/>
        <w:tblLayout w:type="autofit"/>
        <w:tblCellMar>
          <w:top w:w="0" w:type="dxa"/>
          <w:left w:w="108" w:type="dxa"/>
          <w:bottom w:w="0" w:type="dxa"/>
          <w:right w:w="108" w:type="dxa"/>
        </w:tblCellMar>
      </w:tblPr>
      <w:tblGrid>
        <w:gridCol w:w="543"/>
        <w:gridCol w:w="1161"/>
        <w:gridCol w:w="1581"/>
        <w:gridCol w:w="1581"/>
        <w:gridCol w:w="3493"/>
      </w:tblGrid>
      <w:tr w14:paraId="2E777D2D">
        <w:tblPrEx>
          <w:tblCellMar>
            <w:top w:w="0" w:type="dxa"/>
            <w:left w:w="108" w:type="dxa"/>
            <w:bottom w:w="0" w:type="dxa"/>
            <w:right w:w="108" w:type="dxa"/>
          </w:tblCellMar>
        </w:tblPrEx>
        <w:trPr>
          <w:trHeight w:val="1312" w:hRule="atLeast"/>
        </w:trPr>
        <w:tc>
          <w:tcPr>
            <w:tcW w:w="572" w:type="dxa"/>
            <w:tcBorders>
              <w:top w:val="single" w:color="000000" w:sz="8" w:space="0"/>
              <w:left w:val="single" w:color="000000" w:sz="8" w:space="0"/>
              <w:bottom w:val="nil"/>
              <w:right w:val="single" w:color="000000" w:sz="8" w:space="0"/>
            </w:tcBorders>
          </w:tcPr>
          <w:p w14:paraId="65BFE52A">
            <w:pPr>
              <w:widowControl/>
              <w:jc w:val="center"/>
              <w:rPr>
                <w:rFonts w:ascii="宋体" w:hAnsi="宋体" w:cs="宋体"/>
                <w:b/>
                <w:bCs/>
                <w:color w:val="auto"/>
                <w:kern w:val="0"/>
                <w:szCs w:val="21"/>
              </w:rPr>
            </w:pPr>
            <w:r>
              <w:rPr>
                <w:rFonts w:hint="eastAsia" w:ascii="宋体" w:hAnsi="宋体" w:cs="宋体"/>
                <w:b/>
                <w:bCs/>
                <w:color w:val="auto"/>
                <w:kern w:val="0"/>
                <w:szCs w:val="21"/>
              </w:rPr>
              <w:t>品目序号</w:t>
            </w:r>
          </w:p>
        </w:tc>
        <w:tc>
          <w:tcPr>
            <w:tcW w:w="3950" w:type="dxa"/>
            <w:gridSpan w:val="3"/>
            <w:tcBorders>
              <w:top w:val="single" w:color="000000" w:sz="8" w:space="0"/>
              <w:left w:val="nil"/>
              <w:bottom w:val="single" w:color="000000" w:sz="8" w:space="0"/>
              <w:right w:val="single" w:color="000000" w:sz="8" w:space="0"/>
            </w:tcBorders>
            <w:vAlign w:val="center"/>
          </w:tcPr>
          <w:p w14:paraId="145B68D3">
            <w:pPr>
              <w:widowControl/>
              <w:jc w:val="center"/>
              <w:rPr>
                <w:rFonts w:ascii="宋体" w:hAnsi="宋体" w:cs="宋体"/>
                <w:b/>
                <w:bCs/>
                <w:color w:val="auto"/>
                <w:kern w:val="0"/>
                <w:szCs w:val="21"/>
              </w:rPr>
            </w:pPr>
            <w:r>
              <w:rPr>
                <w:rFonts w:hint="eastAsia" w:ascii="宋体" w:hAnsi="宋体" w:cs="宋体"/>
                <w:b/>
                <w:bCs/>
                <w:color w:val="auto"/>
                <w:kern w:val="0"/>
                <w:szCs w:val="21"/>
              </w:rPr>
              <w:t>名称</w:t>
            </w:r>
          </w:p>
        </w:tc>
        <w:tc>
          <w:tcPr>
            <w:tcW w:w="3837" w:type="dxa"/>
            <w:tcBorders>
              <w:top w:val="single" w:color="000000" w:sz="8" w:space="0"/>
              <w:left w:val="nil"/>
              <w:bottom w:val="single" w:color="000000" w:sz="8" w:space="0"/>
              <w:right w:val="single" w:color="000000" w:sz="8" w:space="0"/>
            </w:tcBorders>
            <w:vAlign w:val="center"/>
          </w:tcPr>
          <w:p w14:paraId="4B28B39F">
            <w:pPr>
              <w:widowControl/>
              <w:jc w:val="center"/>
              <w:rPr>
                <w:rFonts w:ascii="宋体" w:hAnsi="宋体" w:cs="宋体"/>
                <w:b/>
                <w:bCs/>
                <w:color w:val="auto"/>
                <w:kern w:val="0"/>
                <w:szCs w:val="21"/>
              </w:rPr>
            </w:pPr>
            <w:r>
              <w:rPr>
                <w:rFonts w:hint="eastAsia" w:ascii="宋体" w:hAnsi="宋体" w:cs="宋体"/>
                <w:b/>
                <w:bCs/>
                <w:color w:val="auto"/>
                <w:kern w:val="0"/>
                <w:szCs w:val="21"/>
              </w:rPr>
              <w:t>依据的标准</w:t>
            </w:r>
          </w:p>
        </w:tc>
      </w:tr>
      <w:tr w14:paraId="07F288DB">
        <w:tblPrEx>
          <w:tblCellMar>
            <w:top w:w="0" w:type="dxa"/>
            <w:left w:w="108" w:type="dxa"/>
            <w:bottom w:w="0" w:type="dxa"/>
            <w:right w:w="108" w:type="dxa"/>
          </w:tblCellMar>
        </w:tblPrEx>
        <w:trPr>
          <w:trHeight w:val="666" w:hRule="atLeast"/>
        </w:trPr>
        <w:tc>
          <w:tcPr>
            <w:tcW w:w="572" w:type="dxa"/>
            <w:vMerge w:val="restart"/>
            <w:tcBorders>
              <w:top w:val="single" w:color="000000" w:sz="8" w:space="0"/>
              <w:left w:val="single" w:color="000000" w:sz="8" w:space="0"/>
              <w:bottom w:val="single" w:color="000000" w:sz="8" w:space="0"/>
              <w:right w:val="single" w:color="000000" w:sz="8" w:space="0"/>
            </w:tcBorders>
            <w:vAlign w:val="center"/>
          </w:tcPr>
          <w:p w14:paraId="6DCE456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w:t>
            </w:r>
          </w:p>
        </w:tc>
        <w:tc>
          <w:tcPr>
            <w:tcW w:w="1052" w:type="dxa"/>
            <w:vMerge w:val="restart"/>
            <w:tcBorders>
              <w:top w:val="nil"/>
              <w:left w:val="single" w:color="000000" w:sz="8" w:space="0"/>
              <w:bottom w:val="single" w:color="000000" w:sz="8" w:space="0"/>
              <w:right w:val="single" w:color="000000" w:sz="8" w:space="0"/>
            </w:tcBorders>
            <w:vAlign w:val="center"/>
          </w:tcPr>
          <w:p w14:paraId="207C848E">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A020101计算机设备</w:t>
            </w:r>
          </w:p>
        </w:tc>
        <w:tc>
          <w:tcPr>
            <w:tcW w:w="1433" w:type="dxa"/>
            <w:tcBorders>
              <w:top w:val="nil"/>
              <w:left w:val="nil"/>
              <w:bottom w:val="single" w:color="000000" w:sz="8" w:space="0"/>
              <w:right w:val="single" w:color="000000" w:sz="8" w:space="0"/>
            </w:tcBorders>
            <w:vAlign w:val="center"/>
          </w:tcPr>
          <w:p w14:paraId="6D74C13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★A02010104台式计算机</w:t>
            </w:r>
          </w:p>
        </w:tc>
        <w:tc>
          <w:tcPr>
            <w:tcW w:w="1465" w:type="dxa"/>
            <w:tcBorders>
              <w:top w:val="nil"/>
              <w:left w:val="nil"/>
              <w:bottom w:val="single" w:color="000000" w:sz="8" w:space="0"/>
              <w:right w:val="single" w:color="000000" w:sz="8" w:space="0"/>
            </w:tcBorders>
            <w:vAlign w:val="center"/>
          </w:tcPr>
          <w:p w14:paraId="3AA9FDB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76626003">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《微型计算机能效限定值及能效等级》（GB28380）</w:t>
            </w:r>
          </w:p>
        </w:tc>
      </w:tr>
      <w:tr w14:paraId="503E61D1">
        <w:tblPrEx>
          <w:tblCellMar>
            <w:top w:w="0" w:type="dxa"/>
            <w:left w:w="108" w:type="dxa"/>
            <w:bottom w:w="0" w:type="dxa"/>
            <w:right w:w="108" w:type="dxa"/>
          </w:tblCellMar>
        </w:tblPrEx>
        <w:trPr>
          <w:trHeight w:val="666"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5AE464F">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71AFBC43">
            <w:pPr>
              <w:widowControl/>
              <w:spacing w:line="280" w:lineRule="exact"/>
              <w:jc w:val="left"/>
              <w:rPr>
                <w:rFonts w:ascii="宋体" w:hAnsi="宋体" w:cs="宋体"/>
                <w:color w:val="auto"/>
                <w:kern w:val="0"/>
                <w:szCs w:val="21"/>
              </w:rPr>
            </w:pPr>
          </w:p>
        </w:tc>
        <w:tc>
          <w:tcPr>
            <w:tcW w:w="1433" w:type="dxa"/>
            <w:tcBorders>
              <w:top w:val="nil"/>
              <w:left w:val="nil"/>
              <w:bottom w:val="single" w:color="000000" w:sz="8" w:space="0"/>
              <w:right w:val="single" w:color="000000" w:sz="8" w:space="0"/>
            </w:tcBorders>
            <w:vAlign w:val="center"/>
          </w:tcPr>
          <w:p w14:paraId="7D544F12">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★A02010105便携式计算机</w:t>
            </w:r>
          </w:p>
        </w:tc>
        <w:tc>
          <w:tcPr>
            <w:tcW w:w="1465" w:type="dxa"/>
            <w:tcBorders>
              <w:top w:val="nil"/>
              <w:left w:val="nil"/>
              <w:bottom w:val="single" w:color="000000" w:sz="8" w:space="0"/>
              <w:right w:val="single" w:color="000000" w:sz="8" w:space="0"/>
            </w:tcBorders>
            <w:vAlign w:val="center"/>
          </w:tcPr>
          <w:p w14:paraId="437BD07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02EA1EE2">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《微型计算机能效限定值及能效等级》（GB28380）</w:t>
            </w:r>
          </w:p>
        </w:tc>
      </w:tr>
      <w:tr w14:paraId="0FA615A6">
        <w:tblPrEx>
          <w:tblCellMar>
            <w:top w:w="0" w:type="dxa"/>
            <w:left w:w="108" w:type="dxa"/>
            <w:bottom w:w="0" w:type="dxa"/>
            <w:right w:w="108" w:type="dxa"/>
          </w:tblCellMar>
        </w:tblPrEx>
        <w:trPr>
          <w:trHeight w:val="989" w:hRule="atLeast"/>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774B8A2C">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72F3A9F1">
            <w:pPr>
              <w:widowControl/>
              <w:spacing w:line="280" w:lineRule="exact"/>
              <w:jc w:val="left"/>
              <w:rPr>
                <w:rFonts w:ascii="宋体" w:hAnsi="宋体" w:cs="宋体"/>
                <w:color w:val="auto"/>
                <w:kern w:val="0"/>
                <w:szCs w:val="21"/>
              </w:rPr>
            </w:pPr>
          </w:p>
        </w:tc>
        <w:tc>
          <w:tcPr>
            <w:tcW w:w="1433" w:type="dxa"/>
            <w:tcBorders>
              <w:top w:val="nil"/>
              <w:left w:val="nil"/>
              <w:bottom w:val="single" w:color="000000" w:sz="8" w:space="0"/>
              <w:right w:val="single" w:color="000000" w:sz="8" w:space="0"/>
            </w:tcBorders>
            <w:vAlign w:val="center"/>
          </w:tcPr>
          <w:p w14:paraId="082E50DA">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★A02010107平板式微型计算机</w:t>
            </w:r>
          </w:p>
        </w:tc>
        <w:tc>
          <w:tcPr>
            <w:tcW w:w="1465" w:type="dxa"/>
            <w:tcBorders>
              <w:top w:val="nil"/>
              <w:left w:val="nil"/>
              <w:bottom w:val="single" w:color="000000" w:sz="8" w:space="0"/>
              <w:right w:val="single" w:color="000000" w:sz="8" w:space="0"/>
            </w:tcBorders>
            <w:vAlign w:val="center"/>
          </w:tcPr>
          <w:p w14:paraId="6467DD3F">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47ED5776">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《微型计算机能效限定值及能效等级》（GB28380）</w:t>
            </w:r>
          </w:p>
        </w:tc>
      </w:tr>
      <w:tr w14:paraId="407DE7D3">
        <w:tblPrEx>
          <w:tblCellMar>
            <w:top w:w="0" w:type="dxa"/>
            <w:left w:w="108" w:type="dxa"/>
            <w:bottom w:w="0" w:type="dxa"/>
            <w:right w:w="108" w:type="dxa"/>
          </w:tblCellMar>
        </w:tblPrEx>
        <w:trPr>
          <w:trHeight w:val="666" w:hRule="atLeast"/>
        </w:trPr>
        <w:tc>
          <w:tcPr>
            <w:tcW w:w="572" w:type="dxa"/>
            <w:vMerge w:val="restart"/>
            <w:tcBorders>
              <w:top w:val="nil"/>
              <w:left w:val="single" w:color="000000" w:sz="8" w:space="0"/>
              <w:bottom w:val="single" w:color="000000" w:sz="8" w:space="0"/>
              <w:right w:val="single" w:color="000000" w:sz="8" w:space="0"/>
            </w:tcBorders>
            <w:vAlign w:val="center"/>
          </w:tcPr>
          <w:p w14:paraId="6AE95D2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2</w:t>
            </w:r>
          </w:p>
        </w:tc>
        <w:tc>
          <w:tcPr>
            <w:tcW w:w="1052" w:type="dxa"/>
            <w:vMerge w:val="restart"/>
            <w:tcBorders>
              <w:top w:val="nil"/>
              <w:left w:val="single" w:color="000000" w:sz="8" w:space="0"/>
              <w:bottom w:val="single" w:color="000000" w:sz="8" w:space="0"/>
              <w:right w:val="single" w:color="000000" w:sz="8" w:space="0"/>
            </w:tcBorders>
            <w:vAlign w:val="center"/>
          </w:tcPr>
          <w:p w14:paraId="68CC1D9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A020106输入输出设备</w:t>
            </w:r>
          </w:p>
        </w:tc>
        <w:tc>
          <w:tcPr>
            <w:tcW w:w="1433" w:type="dxa"/>
            <w:vMerge w:val="restart"/>
            <w:tcBorders>
              <w:top w:val="nil"/>
              <w:left w:val="single" w:color="000000" w:sz="8" w:space="0"/>
              <w:bottom w:val="single" w:color="000000" w:sz="8" w:space="0"/>
              <w:right w:val="single" w:color="000000" w:sz="8" w:space="0"/>
            </w:tcBorders>
            <w:vAlign w:val="center"/>
          </w:tcPr>
          <w:p w14:paraId="6A4815B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A02010601打印设备</w:t>
            </w:r>
          </w:p>
        </w:tc>
        <w:tc>
          <w:tcPr>
            <w:tcW w:w="1465" w:type="dxa"/>
            <w:tcBorders>
              <w:top w:val="nil"/>
              <w:left w:val="nil"/>
              <w:bottom w:val="single" w:color="000000" w:sz="8" w:space="0"/>
              <w:right w:val="single" w:color="000000" w:sz="8" w:space="0"/>
            </w:tcBorders>
            <w:vAlign w:val="center"/>
          </w:tcPr>
          <w:p w14:paraId="35EE119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A0201060101喷墨打印机</w:t>
            </w:r>
          </w:p>
        </w:tc>
        <w:tc>
          <w:tcPr>
            <w:tcW w:w="3837" w:type="dxa"/>
            <w:tcBorders>
              <w:top w:val="nil"/>
              <w:left w:val="nil"/>
              <w:bottom w:val="single" w:color="000000" w:sz="8" w:space="0"/>
              <w:right w:val="single" w:color="000000" w:sz="8" w:space="0"/>
            </w:tcBorders>
            <w:vAlign w:val="center"/>
          </w:tcPr>
          <w:p w14:paraId="443FB94E">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1478F51C">
        <w:tblPrEx>
          <w:tblCellMar>
            <w:top w:w="0" w:type="dxa"/>
            <w:left w:w="108" w:type="dxa"/>
            <w:bottom w:w="0" w:type="dxa"/>
            <w:right w:w="108" w:type="dxa"/>
          </w:tblCellMar>
        </w:tblPrEx>
        <w:trPr>
          <w:trHeight w:val="666" w:hRule="atLeast"/>
        </w:trPr>
        <w:tc>
          <w:tcPr>
            <w:tcW w:w="0" w:type="auto"/>
            <w:vMerge w:val="continue"/>
            <w:tcBorders>
              <w:top w:val="nil"/>
              <w:left w:val="single" w:color="000000" w:sz="8" w:space="0"/>
              <w:bottom w:val="single" w:color="000000" w:sz="8" w:space="0"/>
              <w:right w:val="single" w:color="000000" w:sz="8" w:space="0"/>
            </w:tcBorders>
            <w:vAlign w:val="center"/>
          </w:tcPr>
          <w:p w14:paraId="5283E5CC">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9A37CE3">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69DA4ADA">
            <w:pPr>
              <w:widowControl/>
              <w:spacing w:line="280" w:lineRule="exact"/>
              <w:jc w:val="left"/>
              <w:rPr>
                <w:rFonts w:ascii="宋体" w:hAnsi="宋体" w:cs="宋体"/>
                <w:color w:val="auto"/>
                <w:kern w:val="0"/>
                <w:szCs w:val="21"/>
              </w:rPr>
            </w:pPr>
          </w:p>
        </w:tc>
        <w:tc>
          <w:tcPr>
            <w:tcW w:w="1465" w:type="dxa"/>
            <w:tcBorders>
              <w:top w:val="nil"/>
              <w:left w:val="nil"/>
              <w:bottom w:val="single" w:color="000000" w:sz="8" w:space="0"/>
              <w:right w:val="single" w:color="000000" w:sz="8" w:space="0"/>
            </w:tcBorders>
            <w:vAlign w:val="center"/>
          </w:tcPr>
          <w:p w14:paraId="63B630D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★A0201060102激光打印机</w:t>
            </w:r>
          </w:p>
        </w:tc>
        <w:tc>
          <w:tcPr>
            <w:tcW w:w="3837" w:type="dxa"/>
            <w:tcBorders>
              <w:top w:val="nil"/>
              <w:left w:val="nil"/>
              <w:bottom w:val="single" w:color="000000" w:sz="8" w:space="0"/>
              <w:right w:val="single" w:color="000000" w:sz="8" w:space="0"/>
            </w:tcBorders>
            <w:vAlign w:val="center"/>
          </w:tcPr>
          <w:p w14:paraId="0BCC4591">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5D18EF8C">
        <w:tblPrEx>
          <w:tblCellMar>
            <w:top w:w="0" w:type="dxa"/>
            <w:left w:w="108" w:type="dxa"/>
            <w:bottom w:w="0" w:type="dxa"/>
            <w:right w:w="108" w:type="dxa"/>
          </w:tblCellMar>
        </w:tblPrEx>
        <w:trPr>
          <w:trHeight w:val="666" w:hRule="atLeast"/>
        </w:trPr>
        <w:tc>
          <w:tcPr>
            <w:tcW w:w="0" w:type="auto"/>
            <w:vMerge w:val="continue"/>
            <w:tcBorders>
              <w:top w:val="nil"/>
              <w:left w:val="single" w:color="000000" w:sz="8" w:space="0"/>
              <w:bottom w:val="single" w:color="000000" w:sz="8" w:space="0"/>
              <w:right w:val="single" w:color="000000" w:sz="8" w:space="0"/>
            </w:tcBorders>
            <w:vAlign w:val="center"/>
          </w:tcPr>
          <w:p w14:paraId="5BF9C6C6">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8C63CF2">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4D5E15A9">
            <w:pPr>
              <w:widowControl/>
              <w:spacing w:line="280" w:lineRule="exact"/>
              <w:jc w:val="left"/>
              <w:rPr>
                <w:rFonts w:ascii="宋体" w:hAnsi="宋体" w:cs="宋体"/>
                <w:color w:val="auto"/>
                <w:kern w:val="0"/>
                <w:szCs w:val="21"/>
              </w:rPr>
            </w:pPr>
          </w:p>
        </w:tc>
        <w:tc>
          <w:tcPr>
            <w:tcW w:w="1465" w:type="dxa"/>
            <w:tcBorders>
              <w:top w:val="nil"/>
              <w:left w:val="nil"/>
              <w:bottom w:val="single" w:color="000000" w:sz="8" w:space="0"/>
              <w:right w:val="single" w:color="000000" w:sz="8" w:space="0"/>
            </w:tcBorders>
            <w:vAlign w:val="center"/>
          </w:tcPr>
          <w:p w14:paraId="70EB685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★A0201060104针式打印机</w:t>
            </w:r>
          </w:p>
        </w:tc>
        <w:tc>
          <w:tcPr>
            <w:tcW w:w="3837" w:type="dxa"/>
            <w:tcBorders>
              <w:top w:val="nil"/>
              <w:left w:val="nil"/>
              <w:bottom w:val="single" w:color="000000" w:sz="8" w:space="0"/>
              <w:right w:val="single" w:color="000000" w:sz="8" w:space="0"/>
            </w:tcBorders>
            <w:vAlign w:val="center"/>
          </w:tcPr>
          <w:p w14:paraId="0625CD6D">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73E56502">
        <w:tblPrEx>
          <w:tblCellMar>
            <w:top w:w="0" w:type="dxa"/>
            <w:left w:w="108" w:type="dxa"/>
            <w:bottom w:w="0" w:type="dxa"/>
            <w:right w:w="108" w:type="dxa"/>
          </w:tblCellMar>
        </w:tblPrEx>
        <w:trPr>
          <w:trHeight w:val="666" w:hRule="atLeast"/>
        </w:trPr>
        <w:tc>
          <w:tcPr>
            <w:tcW w:w="0" w:type="auto"/>
            <w:vMerge w:val="continue"/>
            <w:tcBorders>
              <w:top w:val="nil"/>
              <w:left w:val="single" w:color="000000" w:sz="8" w:space="0"/>
              <w:bottom w:val="single" w:color="000000" w:sz="8" w:space="0"/>
              <w:right w:val="single" w:color="000000" w:sz="8" w:space="0"/>
            </w:tcBorders>
            <w:vAlign w:val="center"/>
          </w:tcPr>
          <w:p w14:paraId="3909673E">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2989C455">
            <w:pPr>
              <w:widowControl/>
              <w:spacing w:line="280" w:lineRule="exact"/>
              <w:jc w:val="left"/>
              <w:rPr>
                <w:rFonts w:ascii="宋体" w:hAnsi="宋体" w:cs="宋体"/>
                <w:color w:val="auto"/>
                <w:kern w:val="0"/>
                <w:szCs w:val="21"/>
              </w:rPr>
            </w:pPr>
          </w:p>
        </w:tc>
        <w:tc>
          <w:tcPr>
            <w:tcW w:w="1433" w:type="dxa"/>
            <w:tcBorders>
              <w:top w:val="nil"/>
              <w:left w:val="nil"/>
              <w:bottom w:val="single" w:color="000000" w:sz="8" w:space="0"/>
              <w:right w:val="single" w:color="000000" w:sz="8" w:space="0"/>
            </w:tcBorders>
            <w:vAlign w:val="center"/>
          </w:tcPr>
          <w:p w14:paraId="1B684899">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A02010604显示设备</w:t>
            </w:r>
          </w:p>
        </w:tc>
        <w:tc>
          <w:tcPr>
            <w:tcW w:w="1465" w:type="dxa"/>
            <w:tcBorders>
              <w:top w:val="nil"/>
              <w:left w:val="nil"/>
              <w:bottom w:val="single" w:color="000000" w:sz="8" w:space="0"/>
              <w:right w:val="single" w:color="000000" w:sz="8" w:space="0"/>
            </w:tcBorders>
            <w:vAlign w:val="center"/>
          </w:tcPr>
          <w:p w14:paraId="5D9BEFAD">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★A0201060401液晶显示器</w:t>
            </w:r>
          </w:p>
        </w:tc>
        <w:tc>
          <w:tcPr>
            <w:tcW w:w="3837" w:type="dxa"/>
            <w:tcBorders>
              <w:top w:val="nil"/>
              <w:left w:val="nil"/>
              <w:bottom w:val="single" w:color="000000" w:sz="8" w:space="0"/>
              <w:right w:val="single" w:color="000000" w:sz="8" w:space="0"/>
            </w:tcBorders>
            <w:vAlign w:val="center"/>
          </w:tcPr>
          <w:p w14:paraId="7A5446A1">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《计算机显示器能效限定值及能效等级》（GB21520）</w:t>
            </w:r>
          </w:p>
        </w:tc>
      </w:tr>
      <w:tr w14:paraId="1F249907">
        <w:tblPrEx>
          <w:tblCellMar>
            <w:top w:w="0" w:type="dxa"/>
            <w:left w:w="108" w:type="dxa"/>
            <w:bottom w:w="0" w:type="dxa"/>
            <w:right w:w="108" w:type="dxa"/>
          </w:tblCellMar>
        </w:tblPrEx>
        <w:trPr>
          <w:trHeight w:val="1312" w:hRule="atLeast"/>
        </w:trPr>
        <w:tc>
          <w:tcPr>
            <w:tcW w:w="0" w:type="auto"/>
            <w:vMerge w:val="continue"/>
            <w:tcBorders>
              <w:top w:val="nil"/>
              <w:left w:val="single" w:color="000000" w:sz="8" w:space="0"/>
              <w:bottom w:val="single" w:color="000000" w:sz="8" w:space="0"/>
              <w:right w:val="single" w:color="000000" w:sz="8" w:space="0"/>
            </w:tcBorders>
            <w:vAlign w:val="center"/>
          </w:tcPr>
          <w:p w14:paraId="078611D5">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1E58A3A">
            <w:pPr>
              <w:widowControl/>
              <w:spacing w:line="280" w:lineRule="exact"/>
              <w:jc w:val="left"/>
              <w:rPr>
                <w:rFonts w:ascii="宋体" w:hAnsi="宋体" w:cs="宋体"/>
                <w:color w:val="auto"/>
                <w:kern w:val="0"/>
                <w:szCs w:val="21"/>
              </w:rPr>
            </w:pPr>
          </w:p>
        </w:tc>
        <w:tc>
          <w:tcPr>
            <w:tcW w:w="1433" w:type="dxa"/>
            <w:tcBorders>
              <w:top w:val="nil"/>
              <w:left w:val="nil"/>
              <w:bottom w:val="single" w:color="000000" w:sz="8" w:space="0"/>
              <w:right w:val="single" w:color="000000" w:sz="8" w:space="0"/>
            </w:tcBorders>
            <w:vAlign w:val="center"/>
          </w:tcPr>
          <w:p w14:paraId="30D152D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A02010609图形图像输入设备</w:t>
            </w:r>
          </w:p>
        </w:tc>
        <w:tc>
          <w:tcPr>
            <w:tcW w:w="1465" w:type="dxa"/>
            <w:tcBorders>
              <w:top w:val="nil"/>
              <w:left w:val="nil"/>
              <w:bottom w:val="single" w:color="000000" w:sz="8" w:space="0"/>
              <w:right w:val="single" w:color="000000" w:sz="8" w:space="0"/>
            </w:tcBorders>
            <w:vAlign w:val="center"/>
          </w:tcPr>
          <w:p w14:paraId="19BC812B">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A0201060901扫描仪</w:t>
            </w:r>
          </w:p>
        </w:tc>
        <w:tc>
          <w:tcPr>
            <w:tcW w:w="3837" w:type="dxa"/>
            <w:tcBorders>
              <w:top w:val="nil"/>
              <w:left w:val="nil"/>
              <w:bottom w:val="single" w:color="000000" w:sz="8" w:space="0"/>
              <w:right w:val="single" w:color="000000" w:sz="8" w:space="0"/>
            </w:tcBorders>
            <w:vAlign w:val="center"/>
          </w:tcPr>
          <w:p w14:paraId="02688F4D">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参照《复印机、打印机和传真机能效限定值及能效等级》（GB21521中打印速度为15页/分的针式打印机相关要求中打印速度为15页/分的针式打印机相关要求</w:t>
            </w:r>
          </w:p>
        </w:tc>
      </w:tr>
      <w:tr w14:paraId="27D9DED0">
        <w:tblPrEx>
          <w:tblCellMar>
            <w:top w:w="0" w:type="dxa"/>
            <w:left w:w="108" w:type="dxa"/>
            <w:bottom w:w="0" w:type="dxa"/>
            <w:right w:w="108" w:type="dxa"/>
          </w:tblCellMar>
        </w:tblPrEx>
        <w:trPr>
          <w:trHeight w:val="666" w:hRule="atLeast"/>
        </w:trPr>
        <w:tc>
          <w:tcPr>
            <w:tcW w:w="572" w:type="dxa"/>
            <w:tcBorders>
              <w:top w:val="nil"/>
              <w:left w:val="single" w:color="000000" w:sz="8" w:space="0"/>
              <w:bottom w:val="single" w:color="000000" w:sz="8" w:space="0"/>
              <w:right w:val="single" w:color="000000" w:sz="8" w:space="0"/>
            </w:tcBorders>
            <w:vAlign w:val="center"/>
          </w:tcPr>
          <w:p w14:paraId="1D2BEC9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3</w:t>
            </w:r>
          </w:p>
        </w:tc>
        <w:tc>
          <w:tcPr>
            <w:tcW w:w="1052" w:type="dxa"/>
            <w:tcBorders>
              <w:top w:val="nil"/>
              <w:left w:val="nil"/>
              <w:bottom w:val="single" w:color="000000" w:sz="8" w:space="0"/>
              <w:right w:val="single" w:color="000000" w:sz="8" w:space="0"/>
            </w:tcBorders>
            <w:vAlign w:val="center"/>
          </w:tcPr>
          <w:p w14:paraId="0EC2190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A020202投影仪</w:t>
            </w:r>
          </w:p>
        </w:tc>
        <w:tc>
          <w:tcPr>
            <w:tcW w:w="1433" w:type="dxa"/>
            <w:tcBorders>
              <w:top w:val="nil"/>
              <w:left w:val="nil"/>
              <w:bottom w:val="single" w:color="000000" w:sz="8" w:space="0"/>
              <w:right w:val="single" w:color="000000" w:sz="8" w:space="0"/>
            </w:tcBorders>
            <w:vAlign w:val="center"/>
          </w:tcPr>
          <w:p w14:paraId="23D10C3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1465" w:type="dxa"/>
            <w:tcBorders>
              <w:top w:val="nil"/>
              <w:left w:val="nil"/>
              <w:bottom w:val="single" w:color="000000" w:sz="8" w:space="0"/>
              <w:right w:val="single" w:color="000000" w:sz="8" w:space="0"/>
            </w:tcBorders>
            <w:vAlign w:val="center"/>
          </w:tcPr>
          <w:p w14:paraId="51D668D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59CBE359">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《投影机能效限定值及能效等级》（GB32028）</w:t>
            </w:r>
          </w:p>
        </w:tc>
      </w:tr>
      <w:tr w14:paraId="36D3732E">
        <w:tblPrEx>
          <w:tblCellMar>
            <w:top w:w="0" w:type="dxa"/>
            <w:left w:w="108" w:type="dxa"/>
            <w:bottom w:w="0" w:type="dxa"/>
            <w:right w:w="108" w:type="dxa"/>
          </w:tblCellMar>
        </w:tblPrEx>
        <w:trPr>
          <w:trHeight w:val="989" w:hRule="atLeast"/>
        </w:trPr>
        <w:tc>
          <w:tcPr>
            <w:tcW w:w="572" w:type="dxa"/>
            <w:tcBorders>
              <w:top w:val="nil"/>
              <w:left w:val="single" w:color="000000" w:sz="8" w:space="0"/>
              <w:bottom w:val="single" w:color="000000" w:sz="8" w:space="0"/>
              <w:right w:val="single" w:color="000000" w:sz="8" w:space="0"/>
            </w:tcBorders>
            <w:vAlign w:val="center"/>
          </w:tcPr>
          <w:p w14:paraId="4D4DE46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4</w:t>
            </w:r>
          </w:p>
        </w:tc>
        <w:tc>
          <w:tcPr>
            <w:tcW w:w="1052" w:type="dxa"/>
            <w:tcBorders>
              <w:top w:val="nil"/>
              <w:left w:val="nil"/>
              <w:bottom w:val="single" w:color="000000" w:sz="8" w:space="0"/>
              <w:right w:val="single" w:color="000000" w:sz="8" w:space="0"/>
            </w:tcBorders>
            <w:vAlign w:val="center"/>
          </w:tcPr>
          <w:p w14:paraId="2CCFECA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A020204多功能一体机</w:t>
            </w:r>
          </w:p>
        </w:tc>
        <w:tc>
          <w:tcPr>
            <w:tcW w:w="1433" w:type="dxa"/>
            <w:tcBorders>
              <w:top w:val="nil"/>
              <w:left w:val="nil"/>
              <w:bottom w:val="single" w:color="000000" w:sz="8" w:space="0"/>
              <w:right w:val="single" w:color="000000" w:sz="8" w:space="0"/>
            </w:tcBorders>
            <w:vAlign w:val="center"/>
          </w:tcPr>
          <w:p w14:paraId="46CA111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1465" w:type="dxa"/>
            <w:tcBorders>
              <w:top w:val="nil"/>
              <w:left w:val="nil"/>
              <w:bottom w:val="single" w:color="000000" w:sz="8" w:space="0"/>
              <w:right w:val="single" w:color="000000" w:sz="8" w:space="0"/>
            </w:tcBorders>
            <w:vAlign w:val="center"/>
          </w:tcPr>
          <w:p w14:paraId="4A21CBE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1875DD44">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《复印机、打印机和传真机能效限定值及能效等级》（GB21521）</w:t>
            </w:r>
          </w:p>
        </w:tc>
      </w:tr>
      <w:tr w14:paraId="23870946">
        <w:tblPrEx>
          <w:tblCellMar>
            <w:top w:w="0" w:type="dxa"/>
            <w:left w:w="108" w:type="dxa"/>
            <w:bottom w:w="0" w:type="dxa"/>
            <w:right w:w="108" w:type="dxa"/>
          </w:tblCellMar>
        </w:tblPrEx>
        <w:trPr>
          <w:trHeight w:val="666" w:hRule="atLeast"/>
        </w:trPr>
        <w:tc>
          <w:tcPr>
            <w:tcW w:w="572" w:type="dxa"/>
            <w:tcBorders>
              <w:top w:val="nil"/>
              <w:left w:val="single" w:color="000000" w:sz="8" w:space="0"/>
              <w:bottom w:val="single" w:color="auto" w:sz="4" w:space="0"/>
              <w:right w:val="single" w:color="000000" w:sz="8" w:space="0"/>
            </w:tcBorders>
            <w:vAlign w:val="center"/>
          </w:tcPr>
          <w:p w14:paraId="18AC74B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5</w:t>
            </w:r>
          </w:p>
        </w:tc>
        <w:tc>
          <w:tcPr>
            <w:tcW w:w="1052" w:type="dxa"/>
            <w:tcBorders>
              <w:top w:val="nil"/>
              <w:left w:val="nil"/>
              <w:bottom w:val="single" w:color="auto" w:sz="4" w:space="0"/>
              <w:right w:val="single" w:color="000000" w:sz="8" w:space="0"/>
            </w:tcBorders>
            <w:vAlign w:val="center"/>
          </w:tcPr>
          <w:p w14:paraId="1E74CA61">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A020519泵</w:t>
            </w:r>
          </w:p>
        </w:tc>
        <w:tc>
          <w:tcPr>
            <w:tcW w:w="1433" w:type="dxa"/>
            <w:tcBorders>
              <w:top w:val="nil"/>
              <w:left w:val="nil"/>
              <w:bottom w:val="single" w:color="auto" w:sz="4" w:space="0"/>
              <w:right w:val="single" w:color="000000" w:sz="8" w:space="0"/>
            </w:tcBorders>
            <w:vAlign w:val="center"/>
          </w:tcPr>
          <w:p w14:paraId="75D0BA89">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A02051901离心泵</w:t>
            </w:r>
          </w:p>
        </w:tc>
        <w:tc>
          <w:tcPr>
            <w:tcW w:w="1465" w:type="dxa"/>
            <w:tcBorders>
              <w:top w:val="nil"/>
              <w:left w:val="nil"/>
              <w:bottom w:val="single" w:color="auto" w:sz="4" w:space="0"/>
              <w:right w:val="single" w:color="000000" w:sz="8" w:space="0"/>
            </w:tcBorders>
            <w:vAlign w:val="center"/>
          </w:tcPr>
          <w:p w14:paraId="09C66B7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auto" w:sz="4" w:space="0"/>
              <w:right w:val="single" w:color="000000" w:sz="8" w:space="0"/>
            </w:tcBorders>
            <w:vAlign w:val="center"/>
          </w:tcPr>
          <w:p w14:paraId="1FCBBA3F">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《清水离心泵能效限定值及节能评价值》（GB19762）</w:t>
            </w:r>
          </w:p>
        </w:tc>
      </w:tr>
      <w:tr w14:paraId="2292248F">
        <w:tblPrEx>
          <w:tblCellMar>
            <w:top w:w="0" w:type="dxa"/>
            <w:left w:w="108" w:type="dxa"/>
            <w:bottom w:w="0" w:type="dxa"/>
            <w:right w:w="108" w:type="dxa"/>
          </w:tblCellMar>
        </w:tblPrEx>
        <w:trPr>
          <w:trHeight w:val="979" w:hRule="atLeast"/>
        </w:trPr>
        <w:tc>
          <w:tcPr>
            <w:tcW w:w="572" w:type="dxa"/>
            <w:vMerge w:val="restart"/>
            <w:tcBorders>
              <w:top w:val="single" w:color="auto" w:sz="4" w:space="0"/>
              <w:left w:val="single" w:color="auto" w:sz="4" w:space="0"/>
              <w:bottom w:val="single" w:color="auto" w:sz="4" w:space="0"/>
              <w:right w:val="single" w:color="auto" w:sz="4" w:space="0"/>
            </w:tcBorders>
            <w:vAlign w:val="center"/>
          </w:tcPr>
          <w:p w14:paraId="152B985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6</w:t>
            </w:r>
          </w:p>
        </w:tc>
        <w:tc>
          <w:tcPr>
            <w:tcW w:w="1052" w:type="dxa"/>
            <w:vMerge w:val="restart"/>
            <w:tcBorders>
              <w:top w:val="single" w:color="auto" w:sz="4" w:space="0"/>
              <w:left w:val="single" w:color="auto" w:sz="4" w:space="0"/>
              <w:bottom w:val="single" w:color="auto" w:sz="4" w:space="0"/>
              <w:right w:val="single" w:color="auto" w:sz="4" w:space="0"/>
            </w:tcBorders>
            <w:vAlign w:val="center"/>
          </w:tcPr>
          <w:p w14:paraId="60A3178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A020523制冷空调设备</w:t>
            </w:r>
          </w:p>
        </w:tc>
        <w:tc>
          <w:tcPr>
            <w:tcW w:w="1433" w:type="dxa"/>
            <w:vMerge w:val="restart"/>
            <w:tcBorders>
              <w:top w:val="single" w:color="auto" w:sz="4" w:space="0"/>
              <w:left w:val="single" w:color="auto" w:sz="4" w:space="0"/>
              <w:bottom w:val="single" w:color="auto" w:sz="4" w:space="0"/>
              <w:right w:val="single" w:color="auto" w:sz="4" w:space="0"/>
            </w:tcBorders>
            <w:vAlign w:val="center"/>
          </w:tcPr>
          <w:p w14:paraId="5FAADE9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★A02052301制冷压缩机</w:t>
            </w:r>
          </w:p>
        </w:tc>
        <w:tc>
          <w:tcPr>
            <w:tcW w:w="1465" w:type="dxa"/>
            <w:tcBorders>
              <w:top w:val="single" w:color="auto" w:sz="4" w:space="0"/>
              <w:left w:val="single" w:color="auto" w:sz="4" w:space="0"/>
              <w:bottom w:val="single" w:color="auto" w:sz="4" w:space="0"/>
              <w:right w:val="single" w:color="auto" w:sz="4" w:space="0"/>
            </w:tcBorders>
            <w:vAlign w:val="center"/>
          </w:tcPr>
          <w:p w14:paraId="305CE5F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冷水机组</w:t>
            </w:r>
          </w:p>
        </w:tc>
        <w:tc>
          <w:tcPr>
            <w:tcW w:w="3837" w:type="dxa"/>
            <w:tcBorders>
              <w:top w:val="single" w:color="auto" w:sz="4" w:space="0"/>
              <w:left w:val="single" w:color="auto" w:sz="4" w:space="0"/>
              <w:bottom w:val="single" w:color="auto" w:sz="4" w:space="0"/>
              <w:right w:val="single" w:color="auto" w:sz="4" w:space="0"/>
            </w:tcBorders>
            <w:vAlign w:val="center"/>
          </w:tcPr>
          <w:p w14:paraId="1EC02F64">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《冷水机组能效限定值及能效等级》（GB19577），《低环境温度空气源热泵（冷水）机组能效限定值及能效等级》（GB37480）</w:t>
            </w:r>
          </w:p>
        </w:tc>
      </w:tr>
      <w:tr w14:paraId="396B62FD">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9607E73">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523953E">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A86F7D">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096BA36F">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水源热泵机组</w:t>
            </w:r>
          </w:p>
        </w:tc>
        <w:tc>
          <w:tcPr>
            <w:tcW w:w="3837" w:type="dxa"/>
            <w:tcBorders>
              <w:top w:val="single" w:color="auto" w:sz="4" w:space="0"/>
              <w:left w:val="single" w:color="auto" w:sz="4" w:space="0"/>
              <w:bottom w:val="single" w:color="auto" w:sz="4" w:space="0"/>
              <w:right w:val="single" w:color="auto" w:sz="4" w:space="0"/>
            </w:tcBorders>
            <w:vAlign w:val="center"/>
          </w:tcPr>
          <w:p w14:paraId="5538BC9A">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《水（地）源热泵机组能效限定值及能效等级》（GB30721）</w:t>
            </w:r>
          </w:p>
        </w:tc>
      </w:tr>
      <w:tr w14:paraId="01D8D118">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1730AD5">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CF36DC">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7EBB272">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553A83A1">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溴化锂吸收式冷水机组</w:t>
            </w:r>
          </w:p>
        </w:tc>
        <w:tc>
          <w:tcPr>
            <w:tcW w:w="3837" w:type="dxa"/>
            <w:tcBorders>
              <w:top w:val="single" w:color="auto" w:sz="4" w:space="0"/>
              <w:left w:val="single" w:color="auto" w:sz="4" w:space="0"/>
              <w:bottom w:val="single" w:color="auto" w:sz="4" w:space="0"/>
              <w:right w:val="single" w:color="auto" w:sz="4" w:space="0"/>
            </w:tcBorders>
            <w:vAlign w:val="center"/>
          </w:tcPr>
          <w:p w14:paraId="36548A57">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《溴化锂吸收式冷水机组能效限定值及能效等级》（GB29540）</w:t>
            </w:r>
          </w:p>
        </w:tc>
      </w:tr>
      <w:tr w14:paraId="74CC51D6">
        <w:tblPrEx>
          <w:tblCellMar>
            <w:top w:w="0" w:type="dxa"/>
            <w:left w:w="108" w:type="dxa"/>
            <w:bottom w:w="0" w:type="dxa"/>
            <w:right w:w="108" w:type="dxa"/>
          </w:tblCellMar>
        </w:tblPrEx>
        <w:trPr>
          <w:trHeight w:val="979"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563C30E">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B141DF">
            <w:pPr>
              <w:widowControl/>
              <w:spacing w:line="280" w:lineRule="exact"/>
              <w:jc w:val="left"/>
              <w:rPr>
                <w:rFonts w:ascii="宋体" w:hAnsi="宋体" w:cs="宋体"/>
                <w:color w:val="auto"/>
                <w:kern w:val="0"/>
                <w:szCs w:val="21"/>
              </w:rPr>
            </w:pPr>
          </w:p>
        </w:tc>
        <w:tc>
          <w:tcPr>
            <w:tcW w:w="1433" w:type="dxa"/>
            <w:vMerge w:val="restart"/>
            <w:tcBorders>
              <w:top w:val="single" w:color="auto" w:sz="4" w:space="0"/>
              <w:left w:val="single" w:color="auto" w:sz="4" w:space="0"/>
              <w:bottom w:val="single" w:color="auto" w:sz="4" w:space="0"/>
              <w:right w:val="single" w:color="auto" w:sz="4" w:space="0"/>
            </w:tcBorders>
            <w:vAlign w:val="center"/>
          </w:tcPr>
          <w:p w14:paraId="0D3CDED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★A02052305空调机组</w:t>
            </w:r>
          </w:p>
        </w:tc>
        <w:tc>
          <w:tcPr>
            <w:tcW w:w="1465" w:type="dxa"/>
            <w:tcBorders>
              <w:top w:val="single" w:color="auto" w:sz="4" w:space="0"/>
              <w:left w:val="single" w:color="auto" w:sz="4" w:space="0"/>
              <w:bottom w:val="single" w:color="auto" w:sz="4" w:space="0"/>
              <w:right w:val="single" w:color="auto" w:sz="4" w:space="0"/>
            </w:tcBorders>
            <w:vAlign w:val="center"/>
          </w:tcPr>
          <w:p w14:paraId="2740D30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多联式空调（热泵）机组(制冷量&gt;14000W)</w:t>
            </w:r>
          </w:p>
        </w:tc>
        <w:tc>
          <w:tcPr>
            <w:tcW w:w="3837" w:type="dxa"/>
            <w:tcBorders>
              <w:top w:val="single" w:color="auto" w:sz="4" w:space="0"/>
              <w:left w:val="single" w:color="auto" w:sz="4" w:space="0"/>
              <w:bottom w:val="single" w:color="auto" w:sz="4" w:space="0"/>
              <w:right w:val="single" w:color="auto" w:sz="4" w:space="0"/>
            </w:tcBorders>
            <w:vAlign w:val="center"/>
          </w:tcPr>
          <w:p w14:paraId="591F5EEA">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《多联式空调（热泵）机组能效限定值及能源效率等级》（GB21454）</w:t>
            </w:r>
          </w:p>
        </w:tc>
      </w:tr>
      <w:tr w14:paraId="3DAD2A94">
        <w:tblPrEx>
          <w:tblCellMar>
            <w:top w:w="0" w:type="dxa"/>
            <w:left w:w="108" w:type="dxa"/>
            <w:bottom w:w="0" w:type="dxa"/>
            <w:right w:w="108" w:type="dxa"/>
          </w:tblCellMar>
        </w:tblPrEx>
        <w:trPr>
          <w:trHeight w:val="979"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DFF6E9A">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ABF69A">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1AD14B">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1D1DBA8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单元式空气调节机(制冷量&gt;14000W</w:t>
            </w:r>
          </w:p>
        </w:tc>
        <w:tc>
          <w:tcPr>
            <w:tcW w:w="3837" w:type="dxa"/>
            <w:tcBorders>
              <w:top w:val="single" w:color="auto" w:sz="4" w:space="0"/>
              <w:left w:val="single" w:color="auto" w:sz="4" w:space="0"/>
              <w:bottom w:val="single" w:color="auto" w:sz="4" w:space="0"/>
              <w:right w:val="single" w:color="auto" w:sz="4" w:space="0"/>
            </w:tcBorders>
            <w:vAlign w:val="center"/>
          </w:tcPr>
          <w:p w14:paraId="0DBB4933">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《单元式空气调节机能效限定值及能效等级》（GB19576）《风管送风式空调机组能效限定值及能效等级》（GB37479）</w:t>
            </w:r>
          </w:p>
        </w:tc>
      </w:tr>
      <w:tr w14:paraId="76E3E82E">
        <w:tblPrEx>
          <w:tblCellMar>
            <w:top w:w="0" w:type="dxa"/>
            <w:left w:w="108" w:type="dxa"/>
            <w:bottom w:w="0" w:type="dxa"/>
            <w:right w:w="108" w:type="dxa"/>
          </w:tblCellMar>
        </w:tblPrEx>
        <w:trPr>
          <w:trHeight w:val="979" w:hRule="atLeast"/>
        </w:trPr>
        <w:tc>
          <w:tcPr>
            <w:tcW w:w="0" w:type="auto"/>
            <w:vMerge w:val="continue"/>
            <w:tcBorders>
              <w:top w:val="single" w:color="auto" w:sz="4" w:space="0"/>
              <w:left w:val="single" w:color="auto" w:sz="4" w:space="0"/>
              <w:bottom w:val="single" w:color="000000" w:sz="8" w:space="0"/>
              <w:right w:val="single" w:color="000000" w:sz="8" w:space="0"/>
            </w:tcBorders>
            <w:vAlign w:val="center"/>
          </w:tcPr>
          <w:p w14:paraId="5E3DB033">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000000" w:sz="8" w:space="0"/>
              <w:bottom w:val="single" w:color="000000" w:sz="8" w:space="0"/>
              <w:right w:val="single" w:color="000000" w:sz="8" w:space="0"/>
            </w:tcBorders>
            <w:vAlign w:val="center"/>
          </w:tcPr>
          <w:p w14:paraId="6E156E03">
            <w:pPr>
              <w:widowControl/>
              <w:spacing w:line="280" w:lineRule="exact"/>
              <w:jc w:val="left"/>
              <w:rPr>
                <w:rFonts w:ascii="宋体" w:hAnsi="宋体" w:cs="宋体"/>
                <w:color w:val="auto"/>
                <w:kern w:val="0"/>
                <w:szCs w:val="21"/>
              </w:rPr>
            </w:pPr>
          </w:p>
        </w:tc>
        <w:tc>
          <w:tcPr>
            <w:tcW w:w="1433" w:type="dxa"/>
            <w:tcBorders>
              <w:top w:val="single" w:color="auto" w:sz="4" w:space="0"/>
              <w:left w:val="nil"/>
              <w:bottom w:val="single" w:color="000000" w:sz="8" w:space="0"/>
              <w:right w:val="single" w:color="000000" w:sz="8" w:space="0"/>
            </w:tcBorders>
            <w:vAlign w:val="center"/>
          </w:tcPr>
          <w:p w14:paraId="6B09DC82">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★A02052309专用制冷、空调设备</w:t>
            </w:r>
          </w:p>
        </w:tc>
        <w:tc>
          <w:tcPr>
            <w:tcW w:w="1465" w:type="dxa"/>
            <w:tcBorders>
              <w:top w:val="single" w:color="auto" w:sz="4" w:space="0"/>
              <w:left w:val="nil"/>
              <w:bottom w:val="single" w:color="000000" w:sz="8" w:space="0"/>
              <w:right w:val="single" w:color="000000" w:sz="8" w:space="0"/>
            </w:tcBorders>
            <w:vAlign w:val="center"/>
          </w:tcPr>
          <w:p w14:paraId="0DB8CC5E">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机房空调</w:t>
            </w:r>
          </w:p>
        </w:tc>
        <w:tc>
          <w:tcPr>
            <w:tcW w:w="3837" w:type="dxa"/>
            <w:tcBorders>
              <w:top w:val="single" w:color="auto" w:sz="4" w:space="0"/>
              <w:left w:val="nil"/>
              <w:bottom w:val="single" w:color="000000" w:sz="8" w:space="0"/>
              <w:right w:val="single" w:color="000000" w:sz="8" w:space="0"/>
            </w:tcBorders>
            <w:vAlign w:val="center"/>
          </w:tcPr>
          <w:p w14:paraId="4D073D03">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《单元式空气调节机能效限定值及能效等级》（GB19576）</w:t>
            </w:r>
          </w:p>
        </w:tc>
      </w:tr>
      <w:tr w14:paraId="63C5BFD9">
        <w:tblPrEx>
          <w:tblCellMar>
            <w:top w:w="0" w:type="dxa"/>
            <w:left w:w="108" w:type="dxa"/>
            <w:bottom w:w="0" w:type="dxa"/>
            <w:right w:w="108" w:type="dxa"/>
          </w:tblCellMar>
        </w:tblPrEx>
        <w:trPr>
          <w:trHeight w:val="989" w:hRule="atLeast"/>
        </w:trPr>
        <w:tc>
          <w:tcPr>
            <w:tcW w:w="0" w:type="auto"/>
            <w:vMerge w:val="continue"/>
            <w:tcBorders>
              <w:top w:val="nil"/>
              <w:left w:val="single" w:color="auto" w:sz="4" w:space="0"/>
              <w:bottom w:val="single" w:color="000000" w:sz="8" w:space="0"/>
              <w:right w:val="single" w:color="000000" w:sz="8" w:space="0"/>
            </w:tcBorders>
            <w:vAlign w:val="center"/>
          </w:tcPr>
          <w:p w14:paraId="37338CAE">
            <w:pPr>
              <w:widowControl/>
              <w:spacing w:line="280" w:lineRule="exact"/>
              <w:jc w:val="left"/>
              <w:rPr>
                <w:rFonts w:ascii="宋体" w:hAnsi="宋体" w:cs="宋体"/>
                <w:color w:val="auto"/>
                <w:kern w:val="0"/>
                <w:szCs w:val="21"/>
              </w:rPr>
            </w:pPr>
          </w:p>
        </w:tc>
        <w:tc>
          <w:tcPr>
            <w:tcW w:w="0" w:type="auto"/>
            <w:vMerge w:val="continue"/>
            <w:tcBorders>
              <w:top w:val="nil"/>
              <w:left w:val="single" w:color="000000" w:sz="8" w:space="0"/>
              <w:bottom w:val="single" w:color="000000" w:sz="8" w:space="0"/>
              <w:right w:val="single" w:color="000000" w:sz="8" w:space="0"/>
            </w:tcBorders>
            <w:vAlign w:val="center"/>
          </w:tcPr>
          <w:p w14:paraId="06958229">
            <w:pPr>
              <w:widowControl/>
              <w:spacing w:line="280" w:lineRule="exact"/>
              <w:jc w:val="left"/>
              <w:rPr>
                <w:rFonts w:ascii="宋体" w:hAnsi="宋体" w:cs="宋体"/>
                <w:color w:val="auto"/>
                <w:kern w:val="0"/>
                <w:szCs w:val="21"/>
              </w:rPr>
            </w:pPr>
          </w:p>
        </w:tc>
        <w:tc>
          <w:tcPr>
            <w:tcW w:w="1433" w:type="dxa"/>
            <w:tcBorders>
              <w:top w:val="nil"/>
              <w:left w:val="nil"/>
              <w:bottom w:val="single" w:color="000000" w:sz="8" w:space="0"/>
              <w:right w:val="single" w:color="000000" w:sz="8" w:space="0"/>
            </w:tcBorders>
            <w:vAlign w:val="center"/>
          </w:tcPr>
          <w:p w14:paraId="118185E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A02052399其他制冷空调设备</w:t>
            </w:r>
          </w:p>
        </w:tc>
        <w:tc>
          <w:tcPr>
            <w:tcW w:w="1465" w:type="dxa"/>
            <w:tcBorders>
              <w:top w:val="nil"/>
              <w:left w:val="nil"/>
              <w:bottom w:val="single" w:color="000000" w:sz="8" w:space="0"/>
              <w:right w:val="single" w:color="000000" w:sz="8" w:space="0"/>
            </w:tcBorders>
            <w:vAlign w:val="center"/>
          </w:tcPr>
          <w:p w14:paraId="4D6AC10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冷却塔</w:t>
            </w:r>
          </w:p>
        </w:tc>
        <w:tc>
          <w:tcPr>
            <w:tcW w:w="3837" w:type="dxa"/>
            <w:tcBorders>
              <w:top w:val="nil"/>
              <w:left w:val="nil"/>
              <w:bottom w:val="single" w:color="000000" w:sz="8" w:space="0"/>
              <w:right w:val="single" w:color="000000" w:sz="8" w:space="0"/>
            </w:tcBorders>
            <w:vAlign w:val="center"/>
          </w:tcPr>
          <w:p w14:paraId="270FCAAE">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《机械通风冷却塔第1部分：中小型开式冷却塔》（GB/T7190.1）；《机械通风冷却塔第2部分：大型开式冷却塔》（GB/T7190.2）</w:t>
            </w:r>
          </w:p>
        </w:tc>
      </w:tr>
      <w:tr w14:paraId="7F5C5277">
        <w:tblPrEx>
          <w:tblCellMar>
            <w:top w:w="0" w:type="dxa"/>
            <w:left w:w="108" w:type="dxa"/>
            <w:bottom w:w="0" w:type="dxa"/>
            <w:right w:w="108" w:type="dxa"/>
          </w:tblCellMar>
        </w:tblPrEx>
        <w:trPr>
          <w:trHeight w:val="666" w:hRule="atLeast"/>
        </w:trPr>
        <w:tc>
          <w:tcPr>
            <w:tcW w:w="572" w:type="dxa"/>
            <w:tcBorders>
              <w:top w:val="nil"/>
              <w:left w:val="single" w:color="000000" w:sz="8" w:space="0"/>
              <w:bottom w:val="single" w:color="000000" w:sz="8" w:space="0"/>
              <w:right w:val="single" w:color="000000" w:sz="8" w:space="0"/>
            </w:tcBorders>
            <w:vAlign w:val="center"/>
          </w:tcPr>
          <w:p w14:paraId="2C2F0E8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7</w:t>
            </w:r>
          </w:p>
        </w:tc>
        <w:tc>
          <w:tcPr>
            <w:tcW w:w="1052" w:type="dxa"/>
            <w:tcBorders>
              <w:top w:val="nil"/>
              <w:left w:val="nil"/>
              <w:bottom w:val="single" w:color="000000" w:sz="8" w:space="0"/>
              <w:right w:val="single" w:color="000000" w:sz="8" w:space="0"/>
            </w:tcBorders>
            <w:vAlign w:val="center"/>
          </w:tcPr>
          <w:p w14:paraId="4CD7DFC1">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A020601电机</w:t>
            </w:r>
          </w:p>
        </w:tc>
        <w:tc>
          <w:tcPr>
            <w:tcW w:w="1433" w:type="dxa"/>
            <w:tcBorders>
              <w:top w:val="nil"/>
              <w:left w:val="nil"/>
              <w:bottom w:val="single" w:color="000000" w:sz="8" w:space="0"/>
              <w:right w:val="single" w:color="000000" w:sz="8" w:space="0"/>
            </w:tcBorders>
            <w:vAlign w:val="center"/>
          </w:tcPr>
          <w:p w14:paraId="6B2A27F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1465" w:type="dxa"/>
            <w:tcBorders>
              <w:top w:val="nil"/>
              <w:left w:val="nil"/>
              <w:bottom w:val="single" w:color="000000" w:sz="8" w:space="0"/>
              <w:right w:val="single" w:color="000000" w:sz="8" w:space="0"/>
            </w:tcBorders>
            <w:vAlign w:val="center"/>
          </w:tcPr>
          <w:p w14:paraId="608A138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6975E9EF">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《中小型三相异步电动机能效限定值及能效等级》（GB18613）</w:t>
            </w:r>
          </w:p>
        </w:tc>
      </w:tr>
      <w:tr w14:paraId="1116F4C2">
        <w:tblPrEx>
          <w:tblCellMar>
            <w:top w:w="0" w:type="dxa"/>
            <w:left w:w="108" w:type="dxa"/>
            <w:bottom w:w="0" w:type="dxa"/>
            <w:right w:w="108" w:type="dxa"/>
          </w:tblCellMar>
        </w:tblPrEx>
        <w:trPr>
          <w:trHeight w:val="666" w:hRule="atLeast"/>
        </w:trPr>
        <w:tc>
          <w:tcPr>
            <w:tcW w:w="572" w:type="dxa"/>
            <w:tcBorders>
              <w:top w:val="nil"/>
              <w:left w:val="single" w:color="000000" w:sz="8" w:space="0"/>
              <w:bottom w:val="single" w:color="000000" w:sz="8" w:space="0"/>
              <w:right w:val="single" w:color="000000" w:sz="8" w:space="0"/>
            </w:tcBorders>
            <w:vAlign w:val="center"/>
          </w:tcPr>
          <w:p w14:paraId="4DA70E6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8</w:t>
            </w:r>
          </w:p>
        </w:tc>
        <w:tc>
          <w:tcPr>
            <w:tcW w:w="1052" w:type="dxa"/>
            <w:tcBorders>
              <w:top w:val="nil"/>
              <w:left w:val="nil"/>
              <w:bottom w:val="single" w:color="000000" w:sz="8" w:space="0"/>
              <w:right w:val="single" w:color="000000" w:sz="8" w:space="0"/>
            </w:tcBorders>
            <w:vAlign w:val="center"/>
          </w:tcPr>
          <w:p w14:paraId="1040EFD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A020602变压器</w:t>
            </w:r>
          </w:p>
        </w:tc>
        <w:tc>
          <w:tcPr>
            <w:tcW w:w="1433" w:type="dxa"/>
            <w:tcBorders>
              <w:top w:val="nil"/>
              <w:left w:val="nil"/>
              <w:bottom w:val="single" w:color="000000" w:sz="8" w:space="0"/>
              <w:right w:val="single" w:color="000000" w:sz="8" w:space="0"/>
            </w:tcBorders>
            <w:vAlign w:val="center"/>
          </w:tcPr>
          <w:p w14:paraId="01250F7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配电变压器</w:t>
            </w:r>
          </w:p>
        </w:tc>
        <w:tc>
          <w:tcPr>
            <w:tcW w:w="1465" w:type="dxa"/>
            <w:tcBorders>
              <w:top w:val="nil"/>
              <w:left w:val="nil"/>
              <w:bottom w:val="single" w:color="000000" w:sz="8" w:space="0"/>
              <w:right w:val="single" w:color="000000" w:sz="8" w:space="0"/>
            </w:tcBorders>
            <w:vAlign w:val="center"/>
          </w:tcPr>
          <w:p w14:paraId="0BF9B3A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5499C208">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《三相配电变压器能效限定值及能效等级》（GB20052）</w:t>
            </w:r>
          </w:p>
        </w:tc>
      </w:tr>
      <w:tr w14:paraId="76287C5D">
        <w:tblPrEx>
          <w:tblCellMar>
            <w:top w:w="0" w:type="dxa"/>
            <w:left w:w="108" w:type="dxa"/>
            <w:bottom w:w="0" w:type="dxa"/>
            <w:right w:w="108" w:type="dxa"/>
          </w:tblCellMar>
        </w:tblPrEx>
        <w:trPr>
          <w:trHeight w:val="666" w:hRule="atLeast"/>
        </w:trPr>
        <w:tc>
          <w:tcPr>
            <w:tcW w:w="572" w:type="dxa"/>
            <w:tcBorders>
              <w:top w:val="nil"/>
              <w:left w:val="single" w:color="000000" w:sz="8" w:space="0"/>
              <w:bottom w:val="single" w:color="auto" w:sz="4" w:space="0"/>
              <w:right w:val="single" w:color="000000" w:sz="8" w:space="0"/>
            </w:tcBorders>
            <w:vAlign w:val="center"/>
          </w:tcPr>
          <w:p w14:paraId="216DD9C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9</w:t>
            </w:r>
          </w:p>
        </w:tc>
        <w:tc>
          <w:tcPr>
            <w:tcW w:w="1052" w:type="dxa"/>
            <w:tcBorders>
              <w:top w:val="nil"/>
              <w:left w:val="nil"/>
              <w:bottom w:val="single" w:color="auto" w:sz="4" w:space="0"/>
              <w:right w:val="single" w:color="000000" w:sz="8" w:space="0"/>
            </w:tcBorders>
            <w:vAlign w:val="center"/>
          </w:tcPr>
          <w:p w14:paraId="0F3AF4EB">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★A020609镇流器</w:t>
            </w:r>
          </w:p>
        </w:tc>
        <w:tc>
          <w:tcPr>
            <w:tcW w:w="1433" w:type="dxa"/>
            <w:tcBorders>
              <w:top w:val="nil"/>
              <w:left w:val="nil"/>
              <w:bottom w:val="single" w:color="auto" w:sz="4" w:space="0"/>
              <w:right w:val="single" w:color="000000" w:sz="8" w:space="0"/>
            </w:tcBorders>
            <w:vAlign w:val="center"/>
          </w:tcPr>
          <w:p w14:paraId="4630AEED">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管型荧光灯镇流器</w:t>
            </w:r>
          </w:p>
        </w:tc>
        <w:tc>
          <w:tcPr>
            <w:tcW w:w="1465" w:type="dxa"/>
            <w:tcBorders>
              <w:top w:val="nil"/>
              <w:left w:val="nil"/>
              <w:bottom w:val="single" w:color="auto" w:sz="4" w:space="0"/>
              <w:right w:val="single" w:color="000000" w:sz="8" w:space="0"/>
            </w:tcBorders>
            <w:vAlign w:val="center"/>
          </w:tcPr>
          <w:p w14:paraId="53FE24E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auto" w:sz="4" w:space="0"/>
              <w:right w:val="single" w:color="000000" w:sz="8" w:space="0"/>
            </w:tcBorders>
            <w:vAlign w:val="center"/>
          </w:tcPr>
          <w:p w14:paraId="54E3A16F">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《管形荧光灯镇流器能效限定值及能效等级》（GB17896）</w:t>
            </w:r>
          </w:p>
        </w:tc>
      </w:tr>
      <w:tr w14:paraId="08A2DF34">
        <w:tblPrEx>
          <w:tblCellMar>
            <w:top w:w="0" w:type="dxa"/>
            <w:left w:w="108" w:type="dxa"/>
            <w:bottom w:w="0" w:type="dxa"/>
            <w:right w:w="108" w:type="dxa"/>
          </w:tblCellMar>
        </w:tblPrEx>
        <w:trPr>
          <w:trHeight w:val="656" w:hRule="atLeast"/>
        </w:trPr>
        <w:tc>
          <w:tcPr>
            <w:tcW w:w="572" w:type="dxa"/>
            <w:vMerge w:val="restart"/>
            <w:tcBorders>
              <w:top w:val="single" w:color="auto" w:sz="4" w:space="0"/>
              <w:left w:val="single" w:color="auto" w:sz="4" w:space="0"/>
              <w:bottom w:val="single" w:color="auto" w:sz="4" w:space="0"/>
              <w:right w:val="single" w:color="auto" w:sz="4" w:space="0"/>
            </w:tcBorders>
            <w:vAlign w:val="center"/>
          </w:tcPr>
          <w:p w14:paraId="211611E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10</w:t>
            </w:r>
          </w:p>
        </w:tc>
        <w:tc>
          <w:tcPr>
            <w:tcW w:w="1052" w:type="dxa"/>
            <w:vMerge w:val="restart"/>
            <w:tcBorders>
              <w:top w:val="single" w:color="auto" w:sz="4" w:space="0"/>
              <w:left w:val="single" w:color="auto" w:sz="4" w:space="0"/>
              <w:bottom w:val="single" w:color="auto" w:sz="4" w:space="0"/>
              <w:right w:val="single" w:color="auto" w:sz="4" w:space="0"/>
            </w:tcBorders>
            <w:vAlign w:val="center"/>
          </w:tcPr>
          <w:p w14:paraId="460405B1">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A020618生活用电器</w:t>
            </w:r>
          </w:p>
        </w:tc>
        <w:tc>
          <w:tcPr>
            <w:tcW w:w="1433" w:type="dxa"/>
            <w:tcBorders>
              <w:top w:val="single" w:color="auto" w:sz="4" w:space="0"/>
              <w:left w:val="single" w:color="auto" w:sz="4" w:space="0"/>
              <w:bottom w:val="single" w:color="auto" w:sz="4" w:space="0"/>
              <w:right w:val="single" w:color="auto" w:sz="4" w:space="0"/>
            </w:tcBorders>
            <w:vAlign w:val="center"/>
          </w:tcPr>
          <w:p w14:paraId="4812589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A0206180101电冰箱</w:t>
            </w:r>
          </w:p>
        </w:tc>
        <w:tc>
          <w:tcPr>
            <w:tcW w:w="1465" w:type="dxa"/>
            <w:tcBorders>
              <w:top w:val="single" w:color="auto" w:sz="4" w:space="0"/>
              <w:left w:val="single" w:color="auto" w:sz="4" w:space="0"/>
              <w:bottom w:val="single" w:color="auto" w:sz="4" w:space="0"/>
              <w:right w:val="single" w:color="auto" w:sz="4" w:space="0"/>
            </w:tcBorders>
            <w:vAlign w:val="center"/>
          </w:tcPr>
          <w:p w14:paraId="2AAFF14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1CF02717">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《家用电冰箱耗电量限定值及能效等级》（GB 12021.2）</w:t>
            </w:r>
          </w:p>
        </w:tc>
      </w:tr>
      <w:tr w14:paraId="3F4135B1">
        <w:tblPrEx>
          <w:tblCellMar>
            <w:top w:w="0" w:type="dxa"/>
            <w:left w:w="108" w:type="dxa"/>
            <w:bottom w:w="0" w:type="dxa"/>
            <w:right w:w="108" w:type="dxa"/>
          </w:tblCellMar>
        </w:tblPrEx>
        <w:trPr>
          <w:trHeight w:val="13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DC438CD">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885D3A">
            <w:pPr>
              <w:widowControl/>
              <w:spacing w:line="280" w:lineRule="exact"/>
              <w:jc w:val="left"/>
              <w:rPr>
                <w:rFonts w:ascii="宋体" w:hAnsi="宋体" w:cs="宋体"/>
                <w:color w:val="auto"/>
                <w:kern w:val="0"/>
                <w:szCs w:val="21"/>
              </w:rPr>
            </w:pPr>
          </w:p>
        </w:tc>
        <w:tc>
          <w:tcPr>
            <w:tcW w:w="1433" w:type="dxa"/>
            <w:vMerge w:val="restart"/>
            <w:tcBorders>
              <w:top w:val="single" w:color="auto" w:sz="4" w:space="0"/>
              <w:left w:val="single" w:color="auto" w:sz="4" w:space="0"/>
              <w:bottom w:val="single" w:color="auto" w:sz="4" w:space="0"/>
              <w:right w:val="single" w:color="auto" w:sz="4" w:space="0"/>
            </w:tcBorders>
            <w:vAlign w:val="center"/>
          </w:tcPr>
          <w:p w14:paraId="25B8AA3E">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★A0206180203空调机</w:t>
            </w:r>
          </w:p>
        </w:tc>
        <w:tc>
          <w:tcPr>
            <w:tcW w:w="1465" w:type="dxa"/>
            <w:tcBorders>
              <w:top w:val="single" w:color="auto" w:sz="4" w:space="0"/>
              <w:left w:val="single" w:color="auto" w:sz="4" w:space="0"/>
              <w:bottom w:val="single" w:color="auto" w:sz="4" w:space="0"/>
              <w:right w:val="single" w:color="auto" w:sz="4" w:space="0"/>
            </w:tcBorders>
            <w:vAlign w:val="center"/>
          </w:tcPr>
          <w:p w14:paraId="0464900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房间空气调节器</w:t>
            </w:r>
          </w:p>
        </w:tc>
        <w:tc>
          <w:tcPr>
            <w:tcW w:w="3837" w:type="dxa"/>
            <w:tcBorders>
              <w:top w:val="single" w:color="auto" w:sz="4" w:space="0"/>
              <w:left w:val="single" w:color="auto" w:sz="4" w:space="0"/>
              <w:bottom w:val="single" w:color="auto" w:sz="4" w:space="0"/>
              <w:right w:val="single" w:color="auto" w:sz="4" w:space="0"/>
            </w:tcBorders>
            <w:vAlign w:val="center"/>
          </w:tcPr>
          <w:p w14:paraId="660A81E8">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《转速可控型房间空气调节器能效限定值及能效等级》（GB21455-2013），待2019年修订发布后，按《房间空气调节器能效限定值及能效等级》（GB21455-2019实施。</w:t>
            </w:r>
          </w:p>
        </w:tc>
      </w:tr>
      <w:tr w14:paraId="77D66EC0">
        <w:tblPrEx>
          <w:tblCellMar>
            <w:top w:w="0" w:type="dxa"/>
            <w:left w:w="108" w:type="dxa"/>
            <w:bottom w:w="0" w:type="dxa"/>
            <w:right w:w="108" w:type="dxa"/>
          </w:tblCellMar>
        </w:tblPrEx>
        <w:trPr>
          <w:trHeight w:val="979"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3DDB2B6">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D221D7">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A973B09">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5768650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多联式空调（热泵）机组（制冷量≤ 14000W）</w:t>
            </w:r>
          </w:p>
        </w:tc>
        <w:tc>
          <w:tcPr>
            <w:tcW w:w="3837" w:type="dxa"/>
            <w:tcBorders>
              <w:top w:val="single" w:color="auto" w:sz="4" w:space="0"/>
              <w:left w:val="single" w:color="auto" w:sz="4" w:space="0"/>
              <w:bottom w:val="single" w:color="auto" w:sz="4" w:space="0"/>
              <w:right w:val="single" w:color="auto" w:sz="4" w:space="0"/>
            </w:tcBorders>
            <w:vAlign w:val="center"/>
          </w:tcPr>
          <w:p w14:paraId="44E9B569">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《多联式空调（热泵）机组能效限定值及能源效率等级》（GB21454）</w:t>
            </w:r>
          </w:p>
        </w:tc>
      </w:tr>
      <w:tr w14:paraId="62F89C62">
        <w:tblPrEx>
          <w:tblCellMar>
            <w:top w:w="0" w:type="dxa"/>
            <w:left w:w="108" w:type="dxa"/>
            <w:bottom w:w="0" w:type="dxa"/>
            <w:right w:w="108" w:type="dxa"/>
          </w:tblCellMar>
        </w:tblPrEx>
        <w:trPr>
          <w:trHeight w:val="979"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1D51D72">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17243C">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1B98D6">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2FB6780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单元式空气调节机(制冷量≤14000W)</w:t>
            </w:r>
          </w:p>
        </w:tc>
        <w:tc>
          <w:tcPr>
            <w:tcW w:w="3837" w:type="dxa"/>
            <w:tcBorders>
              <w:top w:val="single" w:color="auto" w:sz="4" w:space="0"/>
              <w:left w:val="single" w:color="auto" w:sz="4" w:space="0"/>
              <w:bottom w:val="single" w:color="auto" w:sz="4" w:space="0"/>
              <w:right w:val="single" w:color="auto" w:sz="4" w:space="0"/>
            </w:tcBorders>
            <w:vAlign w:val="center"/>
          </w:tcPr>
          <w:p w14:paraId="16DBC9DB">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《单元式空气调节机能效限定值及能源效率等级》（GB19576）《风管送风式空调机组能效限定值及能效等级》（GB37479）</w:t>
            </w:r>
          </w:p>
        </w:tc>
      </w:tr>
      <w:tr w14:paraId="060FEDE7">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A2D4C0F">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CDA7F0E">
            <w:pPr>
              <w:widowControl/>
              <w:spacing w:line="280" w:lineRule="exact"/>
              <w:jc w:val="left"/>
              <w:rPr>
                <w:rFonts w:ascii="宋体" w:hAnsi="宋体" w:cs="宋体"/>
                <w:color w:val="auto"/>
                <w:kern w:val="0"/>
                <w:szCs w:val="21"/>
              </w:rPr>
            </w:pPr>
          </w:p>
        </w:tc>
        <w:tc>
          <w:tcPr>
            <w:tcW w:w="1433" w:type="dxa"/>
            <w:tcBorders>
              <w:top w:val="single" w:color="auto" w:sz="4" w:space="0"/>
              <w:left w:val="single" w:color="auto" w:sz="4" w:space="0"/>
              <w:bottom w:val="single" w:color="auto" w:sz="4" w:space="0"/>
              <w:right w:val="single" w:color="auto" w:sz="4" w:space="0"/>
            </w:tcBorders>
            <w:vAlign w:val="center"/>
          </w:tcPr>
          <w:p w14:paraId="32BE3A2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A0206180301洗衣机</w:t>
            </w:r>
          </w:p>
        </w:tc>
        <w:tc>
          <w:tcPr>
            <w:tcW w:w="1465" w:type="dxa"/>
            <w:tcBorders>
              <w:top w:val="single" w:color="auto" w:sz="4" w:space="0"/>
              <w:left w:val="single" w:color="auto" w:sz="4" w:space="0"/>
              <w:bottom w:val="single" w:color="auto" w:sz="4" w:space="0"/>
              <w:right w:val="single" w:color="auto" w:sz="4" w:space="0"/>
            </w:tcBorders>
            <w:vAlign w:val="center"/>
          </w:tcPr>
          <w:p w14:paraId="02088F2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4ED937E4">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《电动洗衣机能效水效限定值及等级》（GB12021.4）</w:t>
            </w:r>
          </w:p>
        </w:tc>
      </w:tr>
      <w:tr w14:paraId="4FA72624">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9827CF0">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29BF49">
            <w:pPr>
              <w:widowControl/>
              <w:spacing w:line="280" w:lineRule="exact"/>
              <w:jc w:val="left"/>
              <w:rPr>
                <w:rFonts w:ascii="宋体" w:hAnsi="宋体" w:cs="宋体"/>
                <w:color w:val="auto"/>
                <w:kern w:val="0"/>
                <w:szCs w:val="21"/>
              </w:rPr>
            </w:pPr>
          </w:p>
        </w:tc>
        <w:tc>
          <w:tcPr>
            <w:tcW w:w="1433" w:type="dxa"/>
            <w:vMerge w:val="restart"/>
            <w:tcBorders>
              <w:top w:val="single" w:color="auto" w:sz="4" w:space="0"/>
              <w:left w:val="single" w:color="auto" w:sz="4" w:space="0"/>
              <w:bottom w:val="single" w:color="auto" w:sz="4" w:space="0"/>
              <w:right w:val="single" w:color="auto" w:sz="4" w:space="0"/>
            </w:tcBorders>
            <w:vAlign w:val="center"/>
          </w:tcPr>
          <w:p w14:paraId="653A0C5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A02061808热水器</w:t>
            </w:r>
          </w:p>
        </w:tc>
        <w:tc>
          <w:tcPr>
            <w:tcW w:w="1465" w:type="dxa"/>
            <w:tcBorders>
              <w:top w:val="single" w:color="auto" w:sz="4" w:space="0"/>
              <w:left w:val="single" w:color="auto" w:sz="4" w:space="0"/>
              <w:bottom w:val="single" w:color="auto" w:sz="4" w:space="0"/>
              <w:right w:val="single" w:color="auto" w:sz="4" w:space="0"/>
            </w:tcBorders>
            <w:vAlign w:val="center"/>
          </w:tcPr>
          <w:p w14:paraId="6DF36CBE">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★电热水器</w:t>
            </w:r>
          </w:p>
        </w:tc>
        <w:tc>
          <w:tcPr>
            <w:tcW w:w="3837" w:type="dxa"/>
            <w:tcBorders>
              <w:top w:val="single" w:color="auto" w:sz="4" w:space="0"/>
              <w:left w:val="single" w:color="auto" w:sz="4" w:space="0"/>
              <w:bottom w:val="single" w:color="auto" w:sz="4" w:space="0"/>
              <w:right w:val="single" w:color="auto" w:sz="4" w:space="0"/>
            </w:tcBorders>
            <w:vAlign w:val="center"/>
          </w:tcPr>
          <w:p w14:paraId="49C8EECA">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《储水式电热水器能效限定值及能效等级》（GB21519）</w:t>
            </w:r>
          </w:p>
        </w:tc>
      </w:tr>
      <w:tr w14:paraId="6AC1F63A">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47B746">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4D0B0D">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96525E">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0728912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燃气热水器</w:t>
            </w:r>
          </w:p>
        </w:tc>
        <w:tc>
          <w:tcPr>
            <w:tcW w:w="3837" w:type="dxa"/>
            <w:tcBorders>
              <w:top w:val="single" w:color="auto" w:sz="4" w:space="0"/>
              <w:left w:val="single" w:color="auto" w:sz="4" w:space="0"/>
              <w:bottom w:val="single" w:color="auto" w:sz="4" w:space="0"/>
              <w:right w:val="single" w:color="auto" w:sz="4" w:space="0"/>
            </w:tcBorders>
            <w:vAlign w:val="center"/>
          </w:tcPr>
          <w:p w14:paraId="1EE9C82C">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《家用燃气快速热水器和燃气采暖热水炉能效限定值及能效等级》（GB20665）</w:t>
            </w:r>
          </w:p>
        </w:tc>
      </w:tr>
      <w:tr w14:paraId="6E41DF2F">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0244BAA">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6A42BA5">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171CB1">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511B05F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热泵热水器</w:t>
            </w:r>
          </w:p>
        </w:tc>
        <w:tc>
          <w:tcPr>
            <w:tcW w:w="3837" w:type="dxa"/>
            <w:tcBorders>
              <w:top w:val="single" w:color="auto" w:sz="4" w:space="0"/>
              <w:left w:val="single" w:color="auto" w:sz="4" w:space="0"/>
              <w:bottom w:val="single" w:color="auto" w:sz="4" w:space="0"/>
              <w:right w:val="single" w:color="auto" w:sz="4" w:space="0"/>
            </w:tcBorders>
            <w:vAlign w:val="center"/>
          </w:tcPr>
          <w:p w14:paraId="64BE4247">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《热泵热水机（器）能效限定值及能效等级》（GB29541）</w:t>
            </w:r>
          </w:p>
        </w:tc>
      </w:tr>
      <w:tr w14:paraId="23EF9F70">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1CAD167">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14F33E">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20B4E9B">
            <w:pPr>
              <w:widowControl/>
              <w:spacing w:line="280" w:lineRule="exact"/>
              <w:jc w:val="left"/>
              <w:rPr>
                <w:rFonts w:ascii="宋体" w:hAnsi="宋体" w:cs="宋体"/>
                <w:color w:val="auto"/>
                <w:kern w:val="0"/>
                <w:szCs w:val="21"/>
              </w:rPr>
            </w:pPr>
          </w:p>
        </w:tc>
        <w:tc>
          <w:tcPr>
            <w:tcW w:w="1465" w:type="dxa"/>
            <w:tcBorders>
              <w:top w:val="single" w:color="auto" w:sz="4" w:space="0"/>
              <w:left w:val="single" w:color="auto" w:sz="4" w:space="0"/>
              <w:bottom w:val="single" w:color="auto" w:sz="4" w:space="0"/>
              <w:right w:val="single" w:color="auto" w:sz="4" w:space="0"/>
            </w:tcBorders>
            <w:vAlign w:val="center"/>
          </w:tcPr>
          <w:p w14:paraId="08A7BE2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太阳能热水系统</w:t>
            </w:r>
          </w:p>
        </w:tc>
        <w:tc>
          <w:tcPr>
            <w:tcW w:w="3837" w:type="dxa"/>
            <w:tcBorders>
              <w:top w:val="single" w:color="auto" w:sz="4" w:space="0"/>
              <w:left w:val="single" w:color="auto" w:sz="4" w:space="0"/>
              <w:bottom w:val="single" w:color="auto" w:sz="4" w:space="0"/>
              <w:right w:val="single" w:color="auto" w:sz="4" w:space="0"/>
            </w:tcBorders>
            <w:vAlign w:val="center"/>
          </w:tcPr>
          <w:p w14:paraId="52965F33">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《家用太阳能热水系统能效限定值及能效等级》（GB26969）</w:t>
            </w:r>
          </w:p>
        </w:tc>
      </w:tr>
      <w:tr w14:paraId="01BC5E0F">
        <w:tblPrEx>
          <w:tblCellMar>
            <w:top w:w="0" w:type="dxa"/>
            <w:left w:w="108" w:type="dxa"/>
            <w:bottom w:w="0" w:type="dxa"/>
            <w:right w:w="108" w:type="dxa"/>
          </w:tblCellMar>
        </w:tblPrEx>
        <w:trPr>
          <w:trHeight w:val="656" w:hRule="atLeast"/>
        </w:trPr>
        <w:tc>
          <w:tcPr>
            <w:tcW w:w="572" w:type="dxa"/>
            <w:vMerge w:val="restart"/>
            <w:tcBorders>
              <w:top w:val="single" w:color="auto" w:sz="4" w:space="0"/>
              <w:left w:val="single" w:color="auto" w:sz="4" w:space="0"/>
              <w:bottom w:val="single" w:color="auto" w:sz="4" w:space="0"/>
              <w:right w:val="single" w:color="auto" w:sz="4" w:space="0"/>
            </w:tcBorders>
            <w:vAlign w:val="center"/>
          </w:tcPr>
          <w:p w14:paraId="1F4116CB">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11</w:t>
            </w:r>
          </w:p>
        </w:tc>
        <w:tc>
          <w:tcPr>
            <w:tcW w:w="1052" w:type="dxa"/>
            <w:vMerge w:val="restart"/>
            <w:tcBorders>
              <w:top w:val="single" w:color="auto" w:sz="4" w:space="0"/>
              <w:left w:val="single" w:color="auto" w:sz="4" w:space="0"/>
              <w:bottom w:val="single" w:color="auto" w:sz="4" w:space="0"/>
              <w:right w:val="single" w:color="auto" w:sz="4" w:space="0"/>
            </w:tcBorders>
            <w:vAlign w:val="center"/>
          </w:tcPr>
          <w:p w14:paraId="5ECE124A">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A020619照明设备</w:t>
            </w:r>
          </w:p>
        </w:tc>
        <w:tc>
          <w:tcPr>
            <w:tcW w:w="1433" w:type="dxa"/>
            <w:tcBorders>
              <w:top w:val="single" w:color="auto" w:sz="4" w:space="0"/>
              <w:left w:val="single" w:color="auto" w:sz="4" w:space="0"/>
              <w:bottom w:val="single" w:color="auto" w:sz="4" w:space="0"/>
              <w:right w:val="single" w:color="auto" w:sz="4" w:space="0"/>
            </w:tcBorders>
            <w:vAlign w:val="center"/>
          </w:tcPr>
          <w:p w14:paraId="29BA45D3">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★普通照明用双端荧光灯</w:t>
            </w:r>
          </w:p>
        </w:tc>
        <w:tc>
          <w:tcPr>
            <w:tcW w:w="1465" w:type="dxa"/>
            <w:tcBorders>
              <w:top w:val="single" w:color="auto" w:sz="4" w:space="0"/>
              <w:left w:val="single" w:color="auto" w:sz="4" w:space="0"/>
              <w:bottom w:val="single" w:color="auto" w:sz="4" w:space="0"/>
              <w:right w:val="single" w:color="auto" w:sz="4" w:space="0"/>
            </w:tcBorders>
            <w:vAlign w:val="center"/>
          </w:tcPr>
          <w:p w14:paraId="25A04A59">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1CF4D72E">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《普通照明用双端荧光灯能效限定值及能效等级》（GB19043）</w:t>
            </w:r>
          </w:p>
        </w:tc>
      </w:tr>
      <w:tr w14:paraId="10AD1CAC">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28B7F65">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21016F">
            <w:pPr>
              <w:widowControl/>
              <w:spacing w:line="280" w:lineRule="exact"/>
              <w:jc w:val="left"/>
              <w:rPr>
                <w:rFonts w:ascii="宋体" w:hAnsi="宋体" w:cs="宋体"/>
                <w:color w:val="auto"/>
                <w:kern w:val="0"/>
                <w:szCs w:val="21"/>
              </w:rPr>
            </w:pPr>
          </w:p>
        </w:tc>
        <w:tc>
          <w:tcPr>
            <w:tcW w:w="1433" w:type="dxa"/>
            <w:tcBorders>
              <w:top w:val="single" w:color="auto" w:sz="4" w:space="0"/>
              <w:left w:val="single" w:color="auto" w:sz="4" w:space="0"/>
              <w:bottom w:val="single" w:color="auto" w:sz="4" w:space="0"/>
              <w:right w:val="single" w:color="auto" w:sz="4" w:space="0"/>
            </w:tcBorders>
            <w:vAlign w:val="center"/>
          </w:tcPr>
          <w:p w14:paraId="4557716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LED道路/隧道照明产品</w:t>
            </w:r>
          </w:p>
        </w:tc>
        <w:tc>
          <w:tcPr>
            <w:tcW w:w="1465" w:type="dxa"/>
            <w:tcBorders>
              <w:top w:val="single" w:color="auto" w:sz="4" w:space="0"/>
              <w:left w:val="single" w:color="auto" w:sz="4" w:space="0"/>
              <w:bottom w:val="single" w:color="auto" w:sz="4" w:space="0"/>
              <w:right w:val="single" w:color="auto" w:sz="4" w:space="0"/>
            </w:tcBorders>
            <w:vAlign w:val="center"/>
          </w:tcPr>
          <w:p w14:paraId="349630D2">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249BE99A">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《道路和隧道照明用LED灯具能效限定值及能效等级》（GB37478）</w:t>
            </w:r>
          </w:p>
        </w:tc>
      </w:tr>
      <w:tr w14:paraId="5459E3DF">
        <w:tblPrEx>
          <w:tblCellMar>
            <w:top w:w="0" w:type="dxa"/>
            <w:left w:w="108" w:type="dxa"/>
            <w:bottom w:w="0" w:type="dxa"/>
            <w:right w:w="108" w:type="dxa"/>
          </w:tblCellMar>
        </w:tblPrEx>
        <w:trPr>
          <w:trHeight w:val="6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7ECD69">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2F40CA">
            <w:pPr>
              <w:widowControl/>
              <w:spacing w:line="280" w:lineRule="exact"/>
              <w:jc w:val="left"/>
              <w:rPr>
                <w:rFonts w:ascii="宋体" w:hAnsi="宋体" w:cs="宋体"/>
                <w:color w:val="auto"/>
                <w:kern w:val="0"/>
                <w:szCs w:val="21"/>
              </w:rPr>
            </w:pPr>
          </w:p>
        </w:tc>
        <w:tc>
          <w:tcPr>
            <w:tcW w:w="1433" w:type="dxa"/>
            <w:tcBorders>
              <w:top w:val="single" w:color="auto" w:sz="4" w:space="0"/>
              <w:left w:val="single" w:color="auto" w:sz="4" w:space="0"/>
              <w:bottom w:val="single" w:color="auto" w:sz="4" w:space="0"/>
              <w:right w:val="single" w:color="auto" w:sz="4" w:space="0"/>
            </w:tcBorders>
            <w:vAlign w:val="center"/>
          </w:tcPr>
          <w:p w14:paraId="6E64FF9E">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LED筒灯</w:t>
            </w:r>
          </w:p>
        </w:tc>
        <w:tc>
          <w:tcPr>
            <w:tcW w:w="1465" w:type="dxa"/>
            <w:tcBorders>
              <w:top w:val="single" w:color="auto" w:sz="4" w:space="0"/>
              <w:left w:val="single" w:color="auto" w:sz="4" w:space="0"/>
              <w:bottom w:val="single" w:color="auto" w:sz="4" w:space="0"/>
              <w:right w:val="single" w:color="auto" w:sz="4" w:space="0"/>
            </w:tcBorders>
            <w:vAlign w:val="center"/>
          </w:tcPr>
          <w:p w14:paraId="154F789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2942BF98">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《室内照明用LED产品能效限定值及能效等级》（GB30255）</w:t>
            </w:r>
          </w:p>
        </w:tc>
      </w:tr>
      <w:tr w14:paraId="1FE572E9">
        <w:tblPrEx>
          <w:tblCellMar>
            <w:top w:w="0" w:type="dxa"/>
            <w:left w:w="108" w:type="dxa"/>
            <w:bottom w:w="0" w:type="dxa"/>
            <w:right w:w="108" w:type="dxa"/>
          </w:tblCellMar>
        </w:tblPrEx>
        <w:trPr>
          <w:trHeight w:val="979"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8078F96">
            <w:pPr>
              <w:widowControl/>
              <w:spacing w:line="280" w:lineRule="exact"/>
              <w:jc w:val="left"/>
              <w:rPr>
                <w:rFonts w:ascii="宋体" w:hAnsi="宋体" w:cs="宋体"/>
                <w:color w:val="auto"/>
                <w:kern w:val="0"/>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14D1A8">
            <w:pPr>
              <w:widowControl/>
              <w:spacing w:line="280" w:lineRule="exact"/>
              <w:jc w:val="left"/>
              <w:rPr>
                <w:rFonts w:ascii="宋体" w:hAnsi="宋体" w:cs="宋体"/>
                <w:color w:val="auto"/>
                <w:kern w:val="0"/>
                <w:szCs w:val="21"/>
              </w:rPr>
            </w:pPr>
          </w:p>
        </w:tc>
        <w:tc>
          <w:tcPr>
            <w:tcW w:w="1433" w:type="dxa"/>
            <w:tcBorders>
              <w:top w:val="single" w:color="auto" w:sz="4" w:space="0"/>
              <w:left w:val="single" w:color="auto" w:sz="4" w:space="0"/>
              <w:bottom w:val="single" w:color="auto" w:sz="4" w:space="0"/>
              <w:right w:val="single" w:color="auto" w:sz="4" w:space="0"/>
            </w:tcBorders>
            <w:vAlign w:val="center"/>
          </w:tcPr>
          <w:p w14:paraId="7DB4D47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普通照明用非定向自镇流LED灯</w:t>
            </w:r>
          </w:p>
        </w:tc>
        <w:tc>
          <w:tcPr>
            <w:tcW w:w="1465" w:type="dxa"/>
            <w:tcBorders>
              <w:top w:val="single" w:color="auto" w:sz="4" w:space="0"/>
              <w:left w:val="single" w:color="auto" w:sz="4" w:space="0"/>
              <w:bottom w:val="single" w:color="auto" w:sz="4" w:space="0"/>
              <w:right w:val="single" w:color="auto" w:sz="4" w:space="0"/>
            </w:tcBorders>
            <w:vAlign w:val="center"/>
          </w:tcPr>
          <w:p w14:paraId="77BE526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11C67113">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《室内照明用LED产品能效限定值及能效等级》（GB30255）</w:t>
            </w:r>
          </w:p>
        </w:tc>
      </w:tr>
      <w:tr w14:paraId="283C5980">
        <w:tblPrEx>
          <w:tblCellMar>
            <w:top w:w="0" w:type="dxa"/>
            <w:left w:w="108" w:type="dxa"/>
            <w:bottom w:w="0" w:type="dxa"/>
            <w:right w:w="108" w:type="dxa"/>
          </w:tblCellMar>
        </w:tblPrEx>
        <w:trPr>
          <w:trHeight w:val="979" w:hRule="atLeast"/>
        </w:trPr>
        <w:tc>
          <w:tcPr>
            <w:tcW w:w="572" w:type="dxa"/>
            <w:tcBorders>
              <w:top w:val="single" w:color="auto" w:sz="4" w:space="0"/>
              <w:left w:val="single" w:color="auto" w:sz="4" w:space="0"/>
              <w:bottom w:val="single" w:color="auto" w:sz="4" w:space="0"/>
              <w:right w:val="single" w:color="auto" w:sz="4" w:space="0"/>
            </w:tcBorders>
            <w:vAlign w:val="center"/>
          </w:tcPr>
          <w:p w14:paraId="14AC45CD">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12</w:t>
            </w:r>
          </w:p>
        </w:tc>
        <w:tc>
          <w:tcPr>
            <w:tcW w:w="1052" w:type="dxa"/>
            <w:tcBorders>
              <w:top w:val="single" w:color="auto" w:sz="4" w:space="0"/>
              <w:left w:val="single" w:color="auto" w:sz="4" w:space="0"/>
              <w:bottom w:val="single" w:color="auto" w:sz="4" w:space="0"/>
              <w:right w:val="single" w:color="auto" w:sz="4" w:space="0"/>
            </w:tcBorders>
            <w:vAlign w:val="center"/>
          </w:tcPr>
          <w:p w14:paraId="53D85228">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★A020910电视设备</w:t>
            </w:r>
          </w:p>
        </w:tc>
        <w:tc>
          <w:tcPr>
            <w:tcW w:w="1433" w:type="dxa"/>
            <w:tcBorders>
              <w:top w:val="single" w:color="auto" w:sz="4" w:space="0"/>
              <w:left w:val="single" w:color="auto" w:sz="4" w:space="0"/>
              <w:bottom w:val="single" w:color="auto" w:sz="4" w:space="0"/>
              <w:right w:val="single" w:color="auto" w:sz="4" w:space="0"/>
            </w:tcBorders>
            <w:vAlign w:val="center"/>
          </w:tcPr>
          <w:p w14:paraId="1B627A4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A02091001普通电视设备（电视机）</w:t>
            </w:r>
          </w:p>
        </w:tc>
        <w:tc>
          <w:tcPr>
            <w:tcW w:w="1465" w:type="dxa"/>
            <w:tcBorders>
              <w:top w:val="single" w:color="auto" w:sz="4" w:space="0"/>
              <w:left w:val="single" w:color="auto" w:sz="4" w:space="0"/>
              <w:bottom w:val="single" w:color="auto" w:sz="4" w:space="0"/>
              <w:right w:val="single" w:color="auto" w:sz="4" w:space="0"/>
            </w:tcBorders>
            <w:vAlign w:val="center"/>
          </w:tcPr>
          <w:p w14:paraId="5100807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single" w:color="auto" w:sz="4" w:space="0"/>
              <w:bottom w:val="single" w:color="auto" w:sz="4" w:space="0"/>
              <w:right w:val="single" w:color="auto" w:sz="4" w:space="0"/>
            </w:tcBorders>
            <w:vAlign w:val="center"/>
          </w:tcPr>
          <w:p w14:paraId="09D45C48">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《平板电视能效限定值及能效等级》（GB24850）</w:t>
            </w:r>
          </w:p>
        </w:tc>
      </w:tr>
      <w:tr w14:paraId="45220EDD">
        <w:tblPrEx>
          <w:tblCellMar>
            <w:top w:w="0" w:type="dxa"/>
            <w:left w:w="108" w:type="dxa"/>
            <w:bottom w:w="0" w:type="dxa"/>
            <w:right w:w="108" w:type="dxa"/>
          </w:tblCellMar>
        </w:tblPrEx>
        <w:trPr>
          <w:trHeight w:val="1625" w:hRule="atLeast"/>
        </w:trPr>
        <w:tc>
          <w:tcPr>
            <w:tcW w:w="572" w:type="dxa"/>
            <w:tcBorders>
              <w:top w:val="single" w:color="auto" w:sz="4" w:space="0"/>
              <w:left w:val="single" w:color="auto" w:sz="4" w:space="0"/>
              <w:bottom w:val="single" w:color="auto" w:sz="4" w:space="0"/>
              <w:right w:val="single" w:color="auto" w:sz="4" w:space="0"/>
            </w:tcBorders>
            <w:vAlign w:val="center"/>
          </w:tcPr>
          <w:p w14:paraId="5969D6AD">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13</w:t>
            </w:r>
          </w:p>
        </w:tc>
        <w:tc>
          <w:tcPr>
            <w:tcW w:w="1052" w:type="dxa"/>
            <w:tcBorders>
              <w:top w:val="single" w:color="auto" w:sz="4" w:space="0"/>
              <w:left w:val="single" w:color="auto" w:sz="4" w:space="0"/>
              <w:bottom w:val="single" w:color="auto" w:sz="4" w:space="0"/>
              <w:right w:val="single" w:color="auto" w:sz="4" w:space="0"/>
            </w:tcBorders>
            <w:vAlign w:val="center"/>
          </w:tcPr>
          <w:p w14:paraId="24AEF83B">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★A020911视频设备</w:t>
            </w:r>
          </w:p>
        </w:tc>
        <w:tc>
          <w:tcPr>
            <w:tcW w:w="1433" w:type="dxa"/>
            <w:tcBorders>
              <w:top w:val="single" w:color="auto" w:sz="4" w:space="0"/>
              <w:left w:val="single" w:color="auto" w:sz="4" w:space="0"/>
              <w:bottom w:val="single" w:color="auto" w:sz="4" w:space="0"/>
              <w:right w:val="single" w:color="auto" w:sz="4" w:space="0"/>
            </w:tcBorders>
            <w:vAlign w:val="center"/>
          </w:tcPr>
          <w:p w14:paraId="4DB04BC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A02091107视频监控设备</w:t>
            </w:r>
          </w:p>
        </w:tc>
        <w:tc>
          <w:tcPr>
            <w:tcW w:w="1465" w:type="dxa"/>
            <w:tcBorders>
              <w:top w:val="single" w:color="auto" w:sz="4" w:space="0"/>
              <w:left w:val="single" w:color="auto" w:sz="4" w:space="0"/>
              <w:bottom w:val="single" w:color="auto" w:sz="4" w:space="0"/>
              <w:right w:val="single" w:color="auto" w:sz="4" w:space="0"/>
            </w:tcBorders>
            <w:vAlign w:val="center"/>
          </w:tcPr>
          <w:p w14:paraId="0EE666D2">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监视器</w:t>
            </w:r>
          </w:p>
        </w:tc>
        <w:tc>
          <w:tcPr>
            <w:tcW w:w="3837" w:type="dxa"/>
            <w:tcBorders>
              <w:top w:val="single" w:color="auto" w:sz="4" w:space="0"/>
              <w:left w:val="single" w:color="auto" w:sz="4" w:space="0"/>
              <w:bottom w:val="single" w:color="auto" w:sz="4" w:space="0"/>
              <w:right w:val="single" w:color="auto" w:sz="4" w:space="0"/>
            </w:tcBorders>
            <w:vAlign w:val="center"/>
          </w:tcPr>
          <w:p w14:paraId="2CE26EBC">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以射频信号为主要信号输入的监视器应符合《平板电视能效限定值及能效等级》（GB24850），以数字信号为主要信号输入的监视器应符合《计算机显示器能效限定值及能效等级》（GB21520）</w:t>
            </w:r>
          </w:p>
        </w:tc>
      </w:tr>
      <w:tr w14:paraId="4DE51B51">
        <w:tblPrEx>
          <w:tblCellMar>
            <w:top w:w="0" w:type="dxa"/>
            <w:left w:w="108" w:type="dxa"/>
            <w:bottom w:w="0" w:type="dxa"/>
            <w:right w:w="108" w:type="dxa"/>
          </w:tblCellMar>
        </w:tblPrEx>
        <w:trPr>
          <w:trHeight w:val="979" w:hRule="atLeast"/>
        </w:trPr>
        <w:tc>
          <w:tcPr>
            <w:tcW w:w="572" w:type="dxa"/>
            <w:tcBorders>
              <w:top w:val="single" w:color="auto" w:sz="4" w:space="0"/>
              <w:left w:val="single" w:color="auto" w:sz="8" w:space="0"/>
              <w:bottom w:val="single" w:color="auto" w:sz="8" w:space="0"/>
              <w:right w:val="single" w:color="auto" w:sz="8" w:space="0"/>
            </w:tcBorders>
            <w:vAlign w:val="center"/>
          </w:tcPr>
          <w:p w14:paraId="1439FB3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14</w:t>
            </w:r>
          </w:p>
        </w:tc>
        <w:tc>
          <w:tcPr>
            <w:tcW w:w="1052" w:type="dxa"/>
            <w:tcBorders>
              <w:top w:val="single" w:color="auto" w:sz="4" w:space="0"/>
              <w:left w:val="nil"/>
              <w:bottom w:val="single" w:color="auto" w:sz="8" w:space="0"/>
              <w:right w:val="single" w:color="auto" w:sz="8" w:space="0"/>
            </w:tcBorders>
            <w:vAlign w:val="center"/>
          </w:tcPr>
          <w:p w14:paraId="7281B41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A031210饮食炊事机械</w:t>
            </w:r>
          </w:p>
        </w:tc>
        <w:tc>
          <w:tcPr>
            <w:tcW w:w="1433" w:type="dxa"/>
            <w:tcBorders>
              <w:top w:val="single" w:color="auto" w:sz="4" w:space="0"/>
              <w:left w:val="nil"/>
              <w:bottom w:val="single" w:color="auto" w:sz="8" w:space="0"/>
              <w:right w:val="single" w:color="auto" w:sz="8" w:space="0"/>
            </w:tcBorders>
            <w:vAlign w:val="center"/>
          </w:tcPr>
          <w:p w14:paraId="2855DF50">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商用燃气灶具</w:t>
            </w:r>
          </w:p>
        </w:tc>
        <w:tc>
          <w:tcPr>
            <w:tcW w:w="1465" w:type="dxa"/>
            <w:tcBorders>
              <w:top w:val="single" w:color="auto" w:sz="4" w:space="0"/>
              <w:left w:val="nil"/>
              <w:bottom w:val="single" w:color="auto" w:sz="8" w:space="0"/>
              <w:right w:val="single" w:color="auto" w:sz="8" w:space="0"/>
            </w:tcBorders>
            <w:vAlign w:val="center"/>
          </w:tcPr>
          <w:p w14:paraId="02C7B6FB">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single" w:color="auto" w:sz="4" w:space="0"/>
              <w:left w:val="nil"/>
              <w:bottom w:val="single" w:color="auto" w:sz="8" w:space="0"/>
              <w:right w:val="single" w:color="auto" w:sz="8" w:space="0"/>
            </w:tcBorders>
            <w:vAlign w:val="center"/>
          </w:tcPr>
          <w:p w14:paraId="3A654099">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《商用燃气灶具能效限定值及能效等级》（GB30531）</w:t>
            </w:r>
          </w:p>
        </w:tc>
      </w:tr>
      <w:tr w14:paraId="09D64C0B">
        <w:tblPrEx>
          <w:tblCellMar>
            <w:top w:w="0" w:type="dxa"/>
            <w:left w:w="108" w:type="dxa"/>
            <w:bottom w:w="0" w:type="dxa"/>
            <w:right w:w="108" w:type="dxa"/>
          </w:tblCellMar>
        </w:tblPrEx>
        <w:trPr>
          <w:trHeight w:val="343" w:hRule="atLeast"/>
        </w:trPr>
        <w:tc>
          <w:tcPr>
            <w:tcW w:w="572" w:type="dxa"/>
            <w:vMerge w:val="restart"/>
            <w:tcBorders>
              <w:top w:val="nil"/>
              <w:left w:val="single" w:color="auto" w:sz="8" w:space="0"/>
              <w:bottom w:val="single" w:color="auto" w:sz="8" w:space="0"/>
              <w:right w:val="single" w:color="auto" w:sz="8" w:space="0"/>
            </w:tcBorders>
            <w:vAlign w:val="center"/>
          </w:tcPr>
          <w:p w14:paraId="142ECCB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15</w:t>
            </w:r>
          </w:p>
        </w:tc>
        <w:tc>
          <w:tcPr>
            <w:tcW w:w="1052" w:type="dxa"/>
            <w:vMerge w:val="restart"/>
            <w:tcBorders>
              <w:top w:val="nil"/>
              <w:left w:val="single" w:color="auto" w:sz="8" w:space="0"/>
              <w:bottom w:val="single" w:color="000000" w:sz="8" w:space="0"/>
              <w:right w:val="single" w:color="auto" w:sz="8" w:space="0"/>
            </w:tcBorders>
            <w:vAlign w:val="center"/>
          </w:tcPr>
          <w:p w14:paraId="427D40CF">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★A060805便器</w:t>
            </w:r>
          </w:p>
        </w:tc>
        <w:tc>
          <w:tcPr>
            <w:tcW w:w="1433" w:type="dxa"/>
            <w:tcBorders>
              <w:top w:val="nil"/>
              <w:left w:val="nil"/>
              <w:bottom w:val="single" w:color="auto" w:sz="8" w:space="0"/>
              <w:right w:val="single" w:color="auto" w:sz="8" w:space="0"/>
            </w:tcBorders>
            <w:vAlign w:val="center"/>
          </w:tcPr>
          <w:p w14:paraId="23606722">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坐便器</w:t>
            </w:r>
          </w:p>
        </w:tc>
        <w:tc>
          <w:tcPr>
            <w:tcW w:w="1465" w:type="dxa"/>
            <w:tcBorders>
              <w:top w:val="nil"/>
              <w:left w:val="nil"/>
              <w:bottom w:val="single" w:color="auto" w:sz="8" w:space="0"/>
              <w:right w:val="single" w:color="auto" w:sz="8" w:space="0"/>
            </w:tcBorders>
            <w:vAlign w:val="center"/>
          </w:tcPr>
          <w:p w14:paraId="235F5FB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auto" w:sz="8" w:space="0"/>
              <w:right w:val="single" w:color="auto" w:sz="8" w:space="0"/>
            </w:tcBorders>
            <w:vAlign w:val="center"/>
          </w:tcPr>
          <w:p w14:paraId="72323908">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《坐便器水效限定值及水效等级》（GB25502）</w:t>
            </w:r>
          </w:p>
        </w:tc>
      </w:tr>
      <w:tr w14:paraId="61BDA175">
        <w:tblPrEx>
          <w:tblCellMar>
            <w:top w:w="0" w:type="dxa"/>
            <w:left w:w="108" w:type="dxa"/>
            <w:bottom w:w="0" w:type="dxa"/>
            <w:right w:w="108" w:type="dxa"/>
          </w:tblCellMar>
        </w:tblPrEx>
        <w:trPr>
          <w:trHeight w:val="666" w:hRule="atLeast"/>
        </w:trPr>
        <w:tc>
          <w:tcPr>
            <w:tcW w:w="0" w:type="auto"/>
            <w:vMerge w:val="continue"/>
            <w:tcBorders>
              <w:top w:val="nil"/>
              <w:left w:val="single" w:color="auto" w:sz="8" w:space="0"/>
              <w:bottom w:val="single" w:color="auto" w:sz="8" w:space="0"/>
              <w:right w:val="single" w:color="auto" w:sz="8" w:space="0"/>
            </w:tcBorders>
            <w:vAlign w:val="center"/>
          </w:tcPr>
          <w:p w14:paraId="38DEDF01">
            <w:pPr>
              <w:widowControl/>
              <w:spacing w:line="280" w:lineRule="exact"/>
              <w:jc w:val="left"/>
              <w:rPr>
                <w:rFonts w:ascii="宋体" w:hAnsi="宋体" w:cs="宋体"/>
                <w:color w:val="auto"/>
                <w:kern w:val="0"/>
                <w:szCs w:val="21"/>
              </w:rPr>
            </w:pPr>
          </w:p>
        </w:tc>
        <w:tc>
          <w:tcPr>
            <w:tcW w:w="0" w:type="auto"/>
            <w:vMerge w:val="continue"/>
            <w:tcBorders>
              <w:top w:val="nil"/>
              <w:left w:val="single" w:color="auto" w:sz="8" w:space="0"/>
              <w:bottom w:val="single" w:color="000000" w:sz="8" w:space="0"/>
              <w:right w:val="single" w:color="auto" w:sz="8" w:space="0"/>
            </w:tcBorders>
            <w:vAlign w:val="center"/>
          </w:tcPr>
          <w:p w14:paraId="2A198108">
            <w:pPr>
              <w:widowControl/>
              <w:spacing w:line="280" w:lineRule="exact"/>
              <w:jc w:val="left"/>
              <w:rPr>
                <w:rFonts w:ascii="宋体" w:hAnsi="宋体" w:cs="宋体"/>
                <w:color w:val="auto"/>
                <w:kern w:val="0"/>
                <w:szCs w:val="21"/>
              </w:rPr>
            </w:pPr>
          </w:p>
        </w:tc>
        <w:tc>
          <w:tcPr>
            <w:tcW w:w="1433" w:type="dxa"/>
            <w:tcBorders>
              <w:top w:val="nil"/>
              <w:left w:val="nil"/>
              <w:bottom w:val="single" w:color="auto" w:sz="8" w:space="0"/>
              <w:right w:val="single" w:color="auto" w:sz="8" w:space="0"/>
            </w:tcBorders>
            <w:vAlign w:val="center"/>
          </w:tcPr>
          <w:p w14:paraId="0CF80DF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蹲便器</w:t>
            </w:r>
          </w:p>
        </w:tc>
        <w:tc>
          <w:tcPr>
            <w:tcW w:w="1465" w:type="dxa"/>
            <w:tcBorders>
              <w:top w:val="nil"/>
              <w:left w:val="nil"/>
              <w:bottom w:val="single" w:color="auto" w:sz="8" w:space="0"/>
              <w:right w:val="single" w:color="auto" w:sz="8" w:space="0"/>
            </w:tcBorders>
            <w:vAlign w:val="center"/>
          </w:tcPr>
          <w:p w14:paraId="5220F30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auto" w:sz="8" w:space="0"/>
              <w:right w:val="single" w:color="auto" w:sz="8" w:space="0"/>
            </w:tcBorders>
            <w:vAlign w:val="center"/>
          </w:tcPr>
          <w:p w14:paraId="4AF963ED">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《蹲便器用水效率限定值及用水效率等级》（GB30717）</w:t>
            </w:r>
          </w:p>
        </w:tc>
      </w:tr>
      <w:tr w14:paraId="4FC8B611">
        <w:tblPrEx>
          <w:tblCellMar>
            <w:top w:w="0" w:type="dxa"/>
            <w:left w:w="108" w:type="dxa"/>
            <w:bottom w:w="0" w:type="dxa"/>
            <w:right w:w="108" w:type="dxa"/>
          </w:tblCellMar>
        </w:tblPrEx>
        <w:trPr>
          <w:trHeight w:val="666" w:hRule="atLeast"/>
        </w:trPr>
        <w:tc>
          <w:tcPr>
            <w:tcW w:w="0" w:type="auto"/>
            <w:vMerge w:val="continue"/>
            <w:tcBorders>
              <w:top w:val="nil"/>
              <w:left w:val="single" w:color="auto" w:sz="8" w:space="0"/>
              <w:bottom w:val="single" w:color="auto" w:sz="8" w:space="0"/>
              <w:right w:val="single" w:color="auto" w:sz="8" w:space="0"/>
            </w:tcBorders>
            <w:vAlign w:val="center"/>
          </w:tcPr>
          <w:p w14:paraId="35EBBACA">
            <w:pPr>
              <w:widowControl/>
              <w:spacing w:line="280" w:lineRule="exact"/>
              <w:jc w:val="left"/>
              <w:rPr>
                <w:rFonts w:ascii="宋体" w:hAnsi="宋体" w:cs="宋体"/>
                <w:color w:val="auto"/>
                <w:kern w:val="0"/>
                <w:szCs w:val="21"/>
              </w:rPr>
            </w:pPr>
          </w:p>
        </w:tc>
        <w:tc>
          <w:tcPr>
            <w:tcW w:w="0" w:type="auto"/>
            <w:vMerge w:val="continue"/>
            <w:tcBorders>
              <w:top w:val="nil"/>
              <w:left w:val="single" w:color="auto" w:sz="8" w:space="0"/>
              <w:bottom w:val="single" w:color="000000" w:sz="8" w:space="0"/>
              <w:right w:val="single" w:color="auto" w:sz="8" w:space="0"/>
            </w:tcBorders>
            <w:vAlign w:val="center"/>
          </w:tcPr>
          <w:p w14:paraId="5FB15046">
            <w:pPr>
              <w:widowControl/>
              <w:spacing w:line="280" w:lineRule="exact"/>
              <w:jc w:val="left"/>
              <w:rPr>
                <w:rFonts w:ascii="宋体" w:hAnsi="宋体" w:cs="宋体"/>
                <w:color w:val="auto"/>
                <w:kern w:val="0"/>
                <w:szCs w:val="21"/>
              </w:rPr>
            </w:pPr>
          </w:p>
        </w:tc>
        <w:tc>
          <w:tcPr>
            <w:tcW w:w="1433" w:type="dxa"/>
            <w:tcBorders>
              <w:top w:val="nil"/>
              <w:left w:val="nil"/>
              <w:bottom w:val="single" w:color="auto" w:sz="8" w:space="0"/>
              <w:right w:val="single" w:color="auto" w:sz="8" w:space="0"/>
            </w:tcBorders>
            <w:vAlign w:val="center"/>
          </w:tcPr>
          <w:p w14:paraId="4A69B30D">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小便器</w:t>
            </w:r>
          </w:p>
        </w:tc>
        <w:tc>
          <w:tcPr>
            <w:tcW w:w="1465" w:type="dxa"/>
            <w:tcBorders>
              <w:top w:val="nil"/>
              <w:left w:val="nil"/>
              <w:bottom w:val="single" w:color="auto" w:sz="8" w:space="0"/>
              <w:right w:val="single" w:color="auto" w:sz="8" w:space="0"/>
            </w:tcBorders>
            <w:vAlign w:val="center"/>
          </w:tcPr>
          <w:p w14:paraId="66AB6EA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auto" w:sz="8" w:space="0"/>
              <w:right w:val="single" w:color="auto" w:sz="8" w:space="0"/>
            </w:tcBorders>
            <w:vAlign w:val="center"/>
          </w:tcPr>
          <w:p w14:paraId="40AA579E">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《小便器用水效率限定值及用水效率等级》（GB28377）</w:t>
            </w:r>
          </w:p>
        </w:tc>
      </w:tr>
      <w:tr w14:paraId="720182A5">
        <w:tblPrEx>
          <w:tblCellMar>
            <w:top w:w="0" w:type="dxa"/>
            <w:left w:w="108" w:type="dxa"/>
            <w:bottom w:w="0" w:type="dxa"/>
            <w:right w:w="108" w:type="dxa"/>
          </w:tblCellMar>
        </w:tblPrEx>
        <w:trPr>
          <w:trHeight w:val="666" w:hRule="atLeast"/>
        </w:trPr>
        <w:tc>
          <w:tcPr>
            <w:tcW w:w="572" w:type="dxa"/>
            <w:tcBorders>
              <w:top w:val="nil"/>
              <w:left w:val="single" w:color="000000" w:sz="8" w:space="0"/>
              <w:bottom w:val="single" w:color="000000" w:sz="8" w:space="0"/>
              <w:right w:val="single" w:color="000000" w:sz="8" w:space="0"/>
            </w:tcBorders>
            <w:vAlign w:val="center"/>
          </w:tcPr>
          <w:p w14:paraId="72CE8839">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16</w:t>
            </w:r>
          </w:p>
        </w:tc>
        <w:tc>
          <w:tcPr>
            <w:tcW w:w="1052" w:type="dxa"/>
            <w:tcBorders>
              <w:top w:val="nil"/>
              <w:left w:val="nil"/>
              <w:bottom w:val="single" w:color="000000" w:sz="8" w:space="0"/>
              <w:right w:val="single" w:color="000000" w:sz="8" w:space="0"/>
            </w:tcBorders>
            <w:vAlign w:val="center"/>
          </w:tcPr>
          <w:p w14:paraId="781A0C6C">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★A060806水嘴</w:t>
            </w:r>
          </w:p>
        </w:tc>
        <w:tc>
          <w:tcPr>
            <w:tcW w:w="1433" w:type="dxa"/>
            <w:tcBorders>
              <w:top w:val="nil"/>
              <w:left w:val="nil"/>
              <w:bottom w:val="single" w:color="000000" w:sz="8" w:space="0"/>
              <w:right w:val="single" w:color="000000" w:sz="8" w:space="0"/>
            </w:tcBorders>
            <w:vAlign w:val="center"/>
          </w:tcPr>
          <w:p w14:paraId="7E3A4C82">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1465" w:type="dxa"/>
            <w:tcBorders>
              <w:top w:val="nil"/>
              <w:left w:val="nil"/>
              <w:bottom w:val="single" w:color="000000" w:sz="8" w:space="0"/>
              <w:right w:val="single" w:color="000000" w:sz="8" w:space="0"/>
            </w:tcBorders>
            <w:vAlign w:val="center"/>
          </w:tcPr>
          <w:p w14:paraId="5A32ED59">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627CF09C">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《水嘴用水效率限定值及用水效率等级》（GB 25501）</w:t>
            </w:r>
          </w:p>
        </w:tc>
      </w:tr>
      <w:tr w14:paraId="537896A0">
        <w:tblPrEx>
          <w:tblCellMar>
            <w:top w:w="0" w:type="dxa"/>
            <w:left w:w="108" w:type="dxa"/>
            <w:bottom w:w="0" w:type="dxa"/>
            <w:right w:w="108" w:type="dxa"/>
          </w:tblCellMar>
        </w:tblPrEx>
        <w:trPr>
          <w:trHeight w:val="989" w:hRule="atLeast"/>
        </w:trPr>
        <w:tc>
          <w:tcPr>
            <w:tcW w:w="572" w:type="dxa"/>
            <w:tcBorders>
              <w:top w:val="nil"/>
              <w:left w:val="single" w:color="000000" w:sz="8" w:space="0"/>
              <w:bottom w:val="single" w:color="000000" w:sz="8" w:space="0"/>
              <w:right w:val="single" w:color="000000" w:sz="8" w:space="0"/>
            </w:tcBorders>
            <w:vAlign w:val="center"/>
          </w:tcPr>
          <w:p w14:paraId="583D3724">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17</w:t>
            </w:r>
          </w:p>
        </w:tc>
        <w:tc>
          <w:tcPr>
            <w:tcW w:w="1052" w:type="dxa"/>
            <w:tcBorders>
              <w:top w:val="nil"/>
              <w:left w:val="nil"/>
              <w:bottom w:val="single" w:color="000000" w:sz="8" w:space="0"/>
              <w:right w:val="single" w:color="000000" w:sz="8" w:space="0"/>
            </w:tcBorders>
            <w:vAlign w:val="center"/>
          </w:tcPr>
          <w:p w14:paraId="7AAA1B57">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A060807便器冲洗阀</w:t>
            </w:r>
          </w:p>
        </w:tc>
        <w:tc>
          <w:tcPr>
            <w:tcW w:w="1433" w:type="dxa"/>
            <w:tcBorders>
              <w:top w:val="nil"/>
              <w:left w:val="nil"/>
              <w:bottom w:val="single" w:color="000000" w:sz="8" w:space="0"/>
              <w:right w:val="single" w:color="000000" w:sz="8" w:space="0"/>
            </w:tcBorders>
            <w:vAlign w:val="center"/>
          </w:tcPr>
          <w:p w14:paraId="4C201BE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1465" w:type="dxa"/>
            <w:tcBorders>
              <w:top w:val="nil"/>
              <w:left w:val="nil"/>
              <w:bottom w:val="single" w:color="000000" w:sz="8" w:space="0"/>
              <w:right w:val="single" w:color="000000" w:sz="8" w:space="0"/>
            </w:tcBorders>
            <w:vAlign w:val="center"/>
          </w:tcPr>
          <w:p w14:paraId="543B46A5">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7A7C018F">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《便器冲洗阀用水效率限定值及用水效率等级》（GB28379）</w:t>
            </w:r>
          </w:p>
        </w:tc>
      </w:tr>
      <w:tr w14:paraId="50C6FB57">
        <w:tblPrEx>
          <w:tblCellMar>
            <w:top w:w="0" w:type="dxa"/>
            <w:left w:w="108" w:type="dxa"/>
            <w:bottom w:w="0" w:type="dxa"/>
            <w:right w:w="108" w:type="dxa"/>
          </w:tblCellMar>
        </w:tblPrEx>
        <w:trPr>
          <w:trHeight w:val="685" w:hRule="atLeast"/>
        </w:trPr>
        <w:tc>
          <w:tcPr>
            <w:tcW w:w="572" w:type="dxa"/>
            <w:tcBorders>
              <w:top w:val="nil"/>
              <w:left w:val="single" w:color="000000" w:sz="8" w:space="0"/>
              <w:bottom w:val="single" w:color="000000" w:sz="8" w:space="0"/>
              <w:right w:val="single" w:color="000000" w:sz="8" w:space="0"/>
            </w:tcBorders>
            <w:vAlign w:val="center"/>
          </w:tcPr>
          <w:p w14:paraId="2D92A419">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18</w:t>
            </w:r>
          </w:p>
        </w:tc>
        <w:tc>
          <w:tcPr>
            <w:tcW w:w="1052" w:type="dxa"/>
            <w:tcBorders>
              <w:top w:val="nil"/>
              <w:left w:val="nil"/>
              <w:bottom w:val="single" w:color="000000" w:sz="8" w:space="0"/>
              <w:right w:val="single" w:color="000000" w:sz="8" w:space="0"/>
            </w:tcBorders>
            <w:vAlign w:val="center"/>
          </w:tcPr>
          <w:p w14:paraId="36C140F1">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A060810淋浴器</w:t>
            </w:r>
          </w:p>
        </w:tc>
        <w:tc>
          <w:tcPr>
            <w:tcW w:w="1433" w:type="dxa"/>
            <w:tcBorders>
              <w:top w:val="nil"/>
              <w:left w:val="nil"/>
              <w:bottom w:val="single" w:color="000000" w:sz="8" w:space="0"/>
              <w:right w:val="single" w:color="000000" w:sz="8" w:space="0"/>
            </w:tcBorders>
            <w:vAlign w:val="center"/>
          </w:tcPr>
          <w:p w14:paraId="7B53BECD">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1465" w:type="dxa"/>
            <w:tcBorders>
              <w:top w:val="nil"/>
              <w:left w:val="nil"/>
              <w:bottom w:val="single" w:color="000000" w:sz="8" w:space="0"/>
              <w:right w:val="single" w:color="000000" w:sz="8" w:space="0"/>
            </w:tcBorders>
            <w:vAlign w:val="center"/>
          </w:tcPr>
          <w:p w14:paraId="1F3D0EA6">
            <w:pPr>
              <w:widowControl/>
              <w:spacing w:line="280" w:lineRule="exact"/>
              <w:jc w:val="center"/>
              <w:rPr>
                <w:rFonts w:ascii="宋体" w:hAnsi="宋体" w:cs="宋体"/>
                <w:color w:val="auto"/>
                <w:kern w:val="0"/>
                <w:szCs w:val="21"/>
              </w:rPr>
            </w:pPr>
            <w:r>
              <w:rPr>
                <w:rFonts w:hint="eastAsia" w:ascii="宋体" w:hAnsi="宋体" w:cs="宋体"/>
                <w:color w:val="auto"/>
                <w:kern w:val="0"/>
                <w:szCs w:val="21"/>
              </w:rPr>
              <w:t>　</w:t>
            </w:r>
          </w:p>
        </w:tc>
        <w:tc>
          <w:tcPr>
            <w:tcW w:w="3837" w:type="dxa"/>
            <w:tcBorders>
              <w:top w:val="nil"/>
              <w:left w:val="nil"/>
              <w:bottom w:val="single" w:color="000000" w:sz="8" w:space="0"/>
              <w:right w:val="single" w:color="000000" w:sz="8" w:space="0"/>
            </w:tcBorders>
            <w:vAlign w:val="center"/>
          </w:tcPr>
          <w:p w14:paraId="48110D11">
            <w:pPr>
              <w:widowControl/>
              <w:spacing w:line="280" w:lineRule="exact"/>
              <w:jc w:val="left"/>
              <w:rPr>
                <w:rFonts w:ascii="宋体" w:hAnsi="宋体" w:cs="宋体"/>
                <w:color w:val="auto"/>
                <w:kern w:val="0"/>
                <w:szCs w:val="21"/>
              </w:rPr>
            </w:pPr>
            <w:r>
              <w:rPr>
                <w:rFonts w:hint="eastAsia" w:ascii="宋体" w:hAnsi="宋体" w:cs="宋体"/>
                <w:color w:val="auto"/>
                <w:kern w:val="0"/>
                <w:szCs w:val="21"/>
              </w:rPr>
              <w:t>《淋浴器用水效率限定值及用水效率等级》（GB28378）</w:t>
            </w:r>
          </w:p>
        </w:tc>
      </w:tr>
    </w:tbl>
    <w:p w14:paraId="2F2B878E">
      <w:pPr>
        <w:pStyle w:val="11"/>
        <w:spacing w:after="0" w:line="360" w:lineRule="auto"/>
        <w:rPr>
          <w:rFonts w:ascii="宋体" w:hAnsi="宋体" w:cs="宋体"/>
          <w:b/>
          <w:color w:val="auto"/>
          <w:spacing w:val="-3"/>
        </w:rPr>
      </w:pPr>
      <w:r>
        <w:rPr>
          <w:rFonts w:hint="eastAsia" w:ascii="宋体" w:hAnsi="宋体" w:cs="宋体"/>
          <w:b/>
          <w:color w:val="auto"/>
          <w:spacing w:val="-3"/>
        </w:rPr>
        <w:t>注：</w:t>
      </w:r>
    </w:p>
    <w:p w14:paraId="757A3126">
      <w:pPr>
        <w:pStyle w:val="11"/>
        <w:spacing w:after="0" w:line="360" w:lineRule="auto"/>
        <w:ind w:firstLine="408" w:firstLineChars="200"/>
        <w:rPr>
          <w:rFonts w:ascii="宋体" w:hAnsi="宋体" w:cs="宋体"/>
          <w:color w:val="auto"/>
        </w:rPr>
      </w:pPr>
      <w:r>
        <w:rPr>
          <w:rFonts w:hint="eastAsia" w:ascii="宋体" w:hAnsi="宋体" w:cs="宋体"/>
          <w:color w:val="auto"/>
          <w:spacing w:val="-3"/>
        </w:rPr>
        <w:t>1.节能产品认证应依据相关国家标准的最新版本，依据国家标准中二级能效（水效）</w:t>
      </w:r>
      <w:r>
        <w:rPr>
          <w:rFonts w:hint="eastAsia" w:ascii="宋体" w:hAnsi="宋体" w:cs="宋体"/>
          <w:color w:val="auto"/>
        </w:rPr>
        <w:t>指标。</w:t>
      </w:r>
    </w:p>
    <w:p w14:paraId="06A559ED">
      <w:pPr>
        <w:pStyle w:val="11"/>
        <w:spacing w:after="0" w:line="360" w:lineRule="auto"/>
        <w:ind w:firstLine="420" w:firstLineChars="200"/>
        <w:rPr>
          <w:rFonts w:ascii="宋体" w:hAnsi="宋体" w:cs="宋体"/>
          <w:b/>
          <w:bCs/>
          <w:color w:val="auto"/>
        </w:rPr>
      </w:pPr>
      <w:r>
        <w:rPr>
          <w:rFonts w:hint="eastAsia" w:ascii="宋体" w:hAnsi="宋体" w:cs="宋体"/>
          <w:color w:val="auto"/>
        </w:rPr>
        <w:t>2</w:t>
      </w:r>
      <w:r>
        <w:rPr>
          <w:rFonts w:hint="eastAsia" w:ascii="宋体" w:hAnsi="宋体" w:cs="宋体"/>
          <w:b/>
          <w:bCs/>
          <w:color w:val="auto"/>
        </w:rPr>
        <w:t>.以“★”标注的为政府强制采购产品。</w:t>
      </w:r>
    </w:p>
    <w:p w14:paraId="4376D6D5">
      <w:pPr>
        <w:pStyle w:val="14"/>
        <w:ind w:firstLine="1040"/>
        <w:rPr>
          <w:color w:val="auto"/>
        </w:rPr>
        <w:sectPr>
          <w:pgSz w:w="11906" w:h="16838"/>
          <w:pgMar w:top="1440" w:right="1803" w:bottom="1440" w:left="1803" w:header="720" w:footer="720" w:gutter="0"/>
          <w:cols w:space="720" w:num="1"/>
          <w:docGrid w:type="lines" w:linePitch="331" w:charSpace="0"/>
        </w:sectPr>
      </w:pPr>
    </w:p>
    <w:p w14:paraId="7B3FF56D">
      <w:pPr>
        <w:pStyle w:val="2"/>
        <w:spacing w:before="120" w:after="0" w:line="240" w:lineRule="auto"/>
        <w:jc w:val="center"/>
        <w:rPr>
          <w:rFonts w:ascii="宋体" w:hAnsi="宋体" w:cs="宋体"/>
          <w:color w:val="auto"/>
        </w:rPr>
      </w:pPr>
      <w:bookmarkStart w:id="71" w:name="_Toc24264"/>
      <w:bookmarkStart w:id="72" w:name="_Toc129703551"/>
      <w:r>
        <w:rPr>
          <w:rFonts w:hint="eastAsia" w:ascii="宋体" w:hAnsi="宋体" w:cs="宋体"/>
          <w:color w:val="auto"/>
        </w:rPr>
        <w:t xml:space="preserve">第四章  </w:t>
      </w:r>
      <w:bookmarkStart w:id="73" w:name="_Hlk68601507"/>
      <w:r>
        <w:rPr>
          <w:rFonts w:hint="eastAsia" w:ascii="宋体" w:hAnsi="宋体" w:cs="宋体"/>
          <w:color w:val="auto"/>
        </w:rPr>
        <w:t>评审程序和评定成交的标准</w:t>
      </w:r>
      <w:bookmarkEnd w:id="71"/>
      <w:bookmarkEnd w:id="72"/>
      <w:bookmarkEnd w:id="73"/>
    </w:p>
    <w:p w14:paraId="16C840F8">
      <w:pPr>
        <w:spacing w:before="120"/>
        <w:ind w:firstLine="643"/>
        <w:jc w:val="center"/>
        <w:rPr>
          <w:rFonts w:ascii="宋体" w:hAnsi="宋体" w:cs="宋体"/>
          <w:b/>
          <w:color w:val="auto"/>
          <w:sz w:val="32"/>
          <w:szCs w:val="32"/>
        </w:rPr>
      </w:pPr>
    </w:p>
    <w:p w14:paraId="7AD7457A">
      <w:pPr>
        <w:spacing w:line="440" w:lineRule="exact"/>
        <w:jc w:val="center"/>
        <w:rPr>
          <w:rFonts w:ascii="宋体" w:hAnsi="宋体" w:cs="宋体"/>
          <w:b/>
          <w:color w:val="auto"/>
          <w:sz w:val="32"/>
          <w:szCs w:val="32"/>
        </w:rPr>
      </w:pPr>
      <w:r>
        <w:rPr>
          <w:rFonts w:hint="eastAsia" w:ascii="宋体" w:hAnsi="宋体" w:cs="宋体"/>
          <w:b/>
          <w:color w:val="auto"/>
          <w:sz w:val="32"/>
          <w:szCs w:val="32"/>
        </w:rPr>
        <w:t>一、评审程序</w:t>
      </w:r>
    </w:p>
    <w:p w14:paraId="56CED2E6">
      <w:pPr>
        <w:spacing w:line="440" w:lineRule="exact"/>
        <w:ind w:firstLine="482" w:firstLineChars="200"/>
        <w:rPr>
          <w:rFonts w:ascii="宋体" w:hAnsi="宋体" w:cs="宋体"/>
          <w:b/>
          <w:bCs/>
          <w:color w:val="auto"/>
          <w:sz w:val="24"/>
        </w:rPr>
      </w:pPr>
      <w:r>
        <w:rPr>
          <w:rFonts w:hint="eastAsia" w:ascii="宋体" w:hAnsi="宋体" w:cs="宋体"/>
          <w:b/>
          <w:bCs/>
          <w:color w:val="auto"/>
          <w:sz w:val="24"/>
        </w:rPr>
        <w:t>1.确认谈判文件</w:t>
      </w:r>
    </w:p>
    <w:p w14:paraId="14D51390">
      <w:pPr>
        <w:spacing w:line="440" w:lineRule="exact"/>
        <w:ind w:firstLine="420" w:firstLineChars="200"/>
        <w:rPr>
          <w:rFonts w:ascii="宋体" w:hAnsi="宋体" w:cs="宋体"/>
          <w:color w:val="auto"/>
          <w:szCs w:val="21"/>
        </w:rPr>
      </w:pPr>
      <w:r>
        <w:rPr>
          <w:rFonts w:hint="eastAsia" w:ascii="宋体" w:hAnsi="宋体" w:cs="宋体"/>
          <w:color w:val="auto"/>
          <w:szCs w:val="21"/>
        </w:rPr>
        <w:t>由谈判小组确认谈判文件。</w:t>
      </w:r>
    </w:p>
    <w:p w14:paraId="53456902">
      <w:pPr>
        <w:spacing w:line="440" w:lineRule="exact"/>
        <w:ind w:firstLine="482" w:firstLineChars="200"/>
        <w:rPr>
          <w:rFonts w:ascii="宋体" w:hAnsi="宋体" w:cs="宋体"/>
          <w:b/>
          <w:bCs/>
          <w:color w:val="auto"/>
          <w:sz w:val="24"/>
        </w:rPr>
      </w:pPr>
      <w:r>
        <w:rPr>
          <w:rFonts w:hint="eastAsia" w:ascii="宋体" w:hAnsi="宋体" w:cs="宋体"/>
          <w:b/>
          <w:bCs/>
          <w:color w:val="auto"/>
          <w:sz w:val="24"/>
        </w:rPr>
        <w:t>2.资格审查</w:t>
      </w:r>
    </w:p>
    <w:p w14:paraId="3195ED67">
      <w:pPr>
        <w:spacing w:line="440" w:lineRule="exact"/>
        <w:ind w:firstLine="420" w:firstLineChars="200"/>
        <w:rPr>
          <w:rFonts w:ascii="宋体" w:hAnsi="宋体" w:cs="宋体"/>
          <w:color w:val="auto"/>
          <w:szCs w:val="21"/>
        </w:rPr>
      </w:pPr>
      <w:r>
        <w:rPr>
          <w:rFonts w:hint="eastAsia" w:ascii="宋体" w:hAnsi="宋体" w:cs="宋体"/>
          <w:color w:val="auto"/>
          <w:szCs w:val="21"/>
        </w:rPr>
        <w:t>2.1响应文件开启后，谈判小组依法对供应商的资格证明文件进行审查。</w:t>
      </w:r>
    </w:p>
    <w:p w14:paraId="5D54B129">
      <w:pPr>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注：</w:t>
      </w:r>
      <w:r>
        <w:rPr>
          <w:rFonts w:hint="eastAsia" w:ascii="宋体" w:hAnsi="宋体" w:cs="宋体"/>
          <w:color w:val="auto"/>
        </w:rPr>
        <w:t>谈判小组</w:t>
      </w:r>
      <w:r>
        <w:rPr>
          <w:rFonts w:hint="eastAsia" w:ascii="宋体" w:hAnsi="宋体" w:cs="宋体"/>
          <w:color w:val="auto"/>
          <w:szCs w:val="21"/>
        </w:rPr>
        <w:t>在资格审查结束前，对供应商进行信用查询。</w:t>
      </w:r>
    </w:p>
    <w:p w14:paraId="2D8EFE29">
      <w:pPr>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（1）查询渠道：广西政府采购云平台“信用中国”网站(www.creditchina.gov.cn)、中国政府采购网(www.ccgp.gov.cn)链接入口。</w:t>
      </w:r>
    </w:p>
    <w:p w14:paraId="5F832C96">
      <w:pPr>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（2）信用查询截止时点：资格审查结束前。</w:t>
      </w:r>
    </w:p>
    <w:p w14:paraId="68DFCF2C">
      <w:pPr>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（3）查询记录和证据留存方式：在查询网站中直接查询，截图另存为电子文档作为评审资料保存。</w:t>
      </w:r>
    </w:p>
    <w:p w14:paraId="0381AE82">
      <w:pPr>
        <w:spacing w:line="440" w:lineRule="exact"/>
        <w:ind w:firstLine="420" w:firstLineChars="200"/>
        <w:rPr>
          <w:rFonts w:ascii="宋体" w:hAnsi="宋体" w:cs="宋体"/>
          <w:color w:val="auto"/>
          <w:szCs w:val="21"/>
        </w:rPr>
      </w:pPr>
      <w:r>
        <w:rPr>
          <w:rFonts w:hint="eastAsia" w:ascii="宋体" w:hAnsi="宋体" w:cs="宋体"/>
          <w:color w:val="auto"/>
          <w:szCs w:val="21"/>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案件当事人名单、政府采购严重违法失信行为记录名单及其他不符合《中华人民共和国政府采购法》第二十二条规定条件的供应商）的，视同联合体存在不良信用记录。</w:t>
      </w:r>
    </w:p>
    <w:p w14:paraId="1D25BE93">
      <w:pPr>
        <w:spacing w:line="440" w:lineRule="exact"/>
        <w:ind w:firstLine="420" w:firstLineChars="200"/>
        <w:rPr>
          <w:rFonts w:ascii="宋体" w:hAnsi="宋体" w:cs="宋体"/>
          <w:color w:val="auto"/>
          <w:szCs w:val="21"/>
        </w:rPr>
      </w:pPr>
      <w:r>
        <w:rPr>
          <w:rFonts w:hint="eastAsia" w:ascii="宋体" w:hAnsi="宋体" w:cs="宋体"/>
          <w:color w:val="auto"/>
          <w:szCs w:val="21"/>
        </w:rPr>
        <w:t>2.2资格审查标准为本谈判文件中载明对供应商资格要求的条件。本项目资格审查采用合格制，凡符合谈判文件规定的供应商资格要求的供应商均通过资格审查。</w:t>
      </w:r>
    </w:p>
    <w:p w14:paraId="7BF67AC9">
      <w:pPr>
        <w:spacing w:line="440" w:lineRule="exact"/>
        <w:ind w:firstLine="420" w:firstLineChars="200"/>
        <w:rPr>
          <w:rFonts w:ascii="宋体" w:hAnsi="宋体" w:cs="宋体"/>
          <w:color w:val="auto"/>
          <w:szCs w:val="21"/>
        </w:rPr>
      </w:pPr>
      <w:r>
        <w:rPr>
          <w:rFonts w:hint="eastAsia" w:ascii="宋体" w:hAnsi="宋体" w:cs="宋体"/>
          <w:color w:val="auto"/>
          <w:szCs w:val="21"/>
        </w:rPr>
        <w:t>2.3 供应商有下列情形之一的，资格审查不通过，其响应文件按无效处理：</w:t>
      </w:r>
    </w:p>
    <w:p w14:paraId="16A5D864">
      <w:pPr>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（1）不具备谈判文件中规定的资格要求的；</w:t>
      </w:r>
    </w:p>
    <w:p w14:paraId="21AD9213">
      <w:pPr>
        <w:spacing w:line="440" w:lineRule="exact"/>
        <w:ind w:firstLine="420" w:firstLineChars="200"/>
        <w:rPr>
          <w:rFonts w:ascii="宋体" w:hAnsi="宋体" w:cs="宋体"/>
          <w:color w:val="auto"/>
          <w:szCs w:val="21"/>
        </w:rPr>
      </w:pPr>
      <w:r>
        <w:rPr>
          <w:rFonts w:hint="eastAsia" w:ascii="宋体" w:hAnsi="宋体" w:cs="宋体"/>
          <w:color w:val="auto"/>
          <w:szCs w:val="21"/>
        </w:rPr>
        <w:t>（2）未按谈判文件规定的方式获取本谈判文件的供应商；</w:t>
      </w:r>
    </w:p>
    <w:p w14:paraId="35940DB4">
      <w:pPr>
        <w:spacing w:line="440" w:lineRule="exact"/>
        <w:ind w:firstLine="420" w:firstLineChars="200"/>
        <w:rPr>
          <w:rFonts w:ascii="宋体" w:hAnsi="宋体" w:cs="宋体"/>
          <w:color w:val="auto"/>
          <w:szCs w:val="21"/>
        </w:rPr>
      </w:pPr>
      <w:r>
        <w:rPr>
          <w:rFonts w:hint="eastAsia" w:ascii="宋体" w:hAnsi="宋体" w:cs="宋体"/>
          <w:color w:val="auto"/>
          <w:szCs w:val="21"/>
        </w:rPr>
        <w:t>（3）响应文件中的资格证明文件缺少任一项“供应商须知前附表”资格证明文件规定的“必须提供”的文件资料的；</w:t>
      </w:r>
    </w:p>
    <w:p w14:paraId="11189E4B">
      <w:pPr>
        <w:spacing w:line="440" w:lineRule="exact"/>
        <w:ind w:firstLine="420" w:firstLineChars="200"/>
        <w:rPr>
          <w:rFonts w:ascii="宋体" w:hAnsi="宋体" w:cs="宋体"/>
          <w:color w:val="auto"/>
          <w:szCs w:val="21"/>
        </w:rPr>
      </w:pPr>
      <w:r>
        <w:rPr>
          <w:rFonts w:hint="eastAsia" w:ascii="宋体" w:hAnsi="宋体" w:cs="宋体"/>
          <w:color w:val="auto"/>
          <w:szCs w:val="21"/>
        </w:rPr>
        <w:t>（4）响应文件中的资格证明文件出现任一项不符合“供应商须知前附表”资格证明文件规定的“必须提供”的文件资料要求或者无效的；</w:t>
      </w:r>
    </w:p>
    <w:p w14:paraId="50286E01">
      <w:pPr>
        <w:spacing w:line="440" w:lineRule="exact"/>
        <w:ind w:firstLine="420" w:firstLineChars="200"/>
        <w:rPr>
          <w:rFonts w:ascii="宋体" w:hAnsi="宋体" w:cs="宋体"/>
          <w:color w:val="auto"/>
          <w:szCs w:val="21"/>
        </w:rPr>
      </w:pPr>
      <w:r>
        <w:rPr>
          <w:rFonts w:hint="eastAsia" w:ascii="宋体" w:hAnsi="宋体" w:cs="宋体"/>
          <w:color w:val="auto"/>
          <w:szCs w:val="21"/>
        </w:rPr>
        <w:t>（5）同一合同项下的不同供应商，单位负责人为同一人或者存在直接控股、管理关系的；为本项目提供过整体设计、规范编制或者项目管理、监理、检测等服务的供应商，再参加该采购项目的其他采购活动的。</w:t>
      </w:r>
    </w:p>
    <w:p w14:paraId="26C9792B">
      <w:pPr>
        <w:spacing w:line="440" w:lineRule="exact"/>
        <w:ind w:firstLine="420" w:firstLineChars="200"/>
        <w:rPr>
          <w:rFonts w:ascii="宋体" w:hAnsi="宋体" w:cs="宋体"/>
          <w:color w:val="auto"/>
          <w:szCs w:val="21"/>
        </w:rPr>
      </w:pPr>
      <w:r>
        <w:rPr>
          <w:rFonts w:hint="eastAsia" w:ascii="宋体" w:hAnsi="宋体" w:cs="宋体"/>
          <w:color w:val="auto"/>
          <w:szCs w:val="21"/>
        </w:rPr>
        <w:t>2.4通过资格审查的合格供应商不足3家（本章3.7条规定除外）的，不得进入符合性审查环节，应当重新开展采购活动。</w:t>
      </w:r>
    </w:p>
    <w:p w14:paraId="719C831A">
      <w:pPr>
        <w:spacing w:line="440" w:lineRule="exact"/>
        <w:ind w:firstLine="482" w:firstLineChars="200"/>
        <w:rPr>
          <w:rFonts w:ascii="宋体" w:hAnsi="宋体" w:cs="宋体"/>
          <w:b/>
          <w:bCs/>
          <w:color w:val="auto"/>
          <w:sz w:val="24"/>
        </w:rPr>
      </w:pPr>
      <w:r>
        <w:rPr>
          <w:rFonts w:hint="eastAsia" w:ascii="宋体" w:hAnsi="宋体" w:cs="宋体"/>
          <w:b/>
          <w:bCs/>
          <w:color w:val="auto"/>
          <w:sz w:val="24"/>
        </w:rPr>
        <w:t>3.符合性审查</w:t>
      </w:r>
    </w:p>
    <w:p w14:paraId="0493EDAD">
      <w:pPr>
        <w:spacing w:line="440" w:lineRule="exact"/>
        <w:ind w:firstLine="420" w:firstLineChars="200"/>
        <w:rPr>
          <w:rFonts w:ascii="宋体" w:hAnsi="宋体" w:cs="宋体"/>
          <w:color w:val="auto"/>
          <w:szCs w:val="21"/>
        </w:rPr>
      </w:pPr>
      <w:r>
        <w:rPr>
          <w:rFonts w:hint="eastAsia" w:ascii="宋体" w:hAnsi="宋体" w:cs="宋体"/>
          <w:color w:val="auto"/>
          <w:szCs w:val="21"/>
        </w:rPr>
        <w:t>3.1谈判小组应当对符合资格的供应商的响应文件进行竞标报价、商务、技术等实质性要求符合性审查，以确定其是否满足谈判文件的实质性要求。</w:t>
      </w:r>
    </w:p>
    <w:p w14:paraId="10672C12">
      <w:pPr>
        <w:spacing w:line="440" w:lineRule="exact"/>
        <w:ind w:firstLine="420" w:firstLineChars="200"/>
        <w:rPr>
          <w:rFonts w:ascii="宋体" w:hAnsi="宋体" w:cs="宋体"/>
          <w:color w:val="auto"/>
          <w:szCs w:val="21"/>
        </w:rPr>
      </w:pPr>
      <w:r>
        <w:rPr>
          <w:rFonts w:hint="eastAsia" w:ascii="宋体" w:hAnsi="宋体" w:cs="宋体"/>
          <w:color w:val="auto"/>
          <w:szCs w:val="21"/>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5CC89C7">
      <w:pPr>
        <w:spacing w:line="440" w:lineRule="exact"/>
        <w:ind w:firstLine="420" w:firstLineChars="200"/>
        <w:rPr>
          <w:rFonts w:ascii="宋体" w:hAnsi="宋体" w:cs="宋体"/>
          <w:color w:val="auto"/>
          <w:spacing w:val="-6"/>
          <w:szCs w:val="21"/>
        </w:rPr>
      </w:pPr>
      <w:r>
        <w:rPr>
          <w:rFonts w:hint="eastAsia" w:ascii="宋体" w:hAnsi="宋体" w:cs="宋体"/>
          <w:color w:val="auto"/>
          <w:szCs w:val="21"/>
        </w:rPr>
        <w:t>3.3谈判小组要求供应商澄清、说明或者更正响应文件应当以电子澄清函形式作出。供应商的澄清、说明或者更正应当已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w:t>
      </w:r>
      <w:r>
        <w:rPr>
          <w:rFonts w:hint="eastAsia" w:ascii="宋体" w:hAnsi="宋体" w:cs="宋体"/>
          <w:color w:val="auto"/>
        </w:rPr>
        <w:t>签章</w:t>
      </w:r>
      <w:r>
        <w:rPr>
          <w:rFonts w:hint="eastAsia" w:ascii="宋体" w:hAnsi="宋体" w:cs="宋体"/>
          <w:color w:val="auto"/>
          <w:spacing w:val="-6"/>
          <w:szCs w:val="21"/>
        </w:rPr>
        <w:t>。</w:t>
      </w:r>
    </w:p>
    <w:p w14:paraId="07BE203D">
      <w:pPr>
        <w:spacing w:line="440" w:lineRule="exact"/>
        <w:ind w:firstLine="420" w:firstLineChars="200"/>
        <w:rPr>
          <w:rFonts w:ascii="宋体" w:hAnsi="宋体" w:cs="宋体"/>
          <w:color w:val="auto"/>
          <w:szCs w:val="21"/>
        </w:rPr>
      </w:pPr>
      <w:r>
        <w:rPr>
          <w:rFonts w:hint="eastAsia" w:ascii="宋体" w:hAnsi="宋体" w:cs="宋体"/>
          <w:color w:val="auto"/>
          <w:szCs w:val="21"/>
        </w:rPr>
        <w:t>异常情况处理：如遇无法正常使用线上发送澄清函的情况，将启动书面形式办理。启动书面形式办理的情况下，谈判小组以书面形式要求供应商在规定时间内作出必要的澄清、说明或者补正。供应商的澄清、说明或者补正必须采用书面形式，并加盖公章，或者由法定代表人或者其授权的代表签字。</w:t>
      </w:r>
    </w:p>
    <w:p w14:paraId="4FAF6288">
      <w:pPr>
        <w:spacing w:line="440" w:lineRule="exact"/>
        <w:ind w:firstLine="396" w:firstLineChars="200"/>
        <w:rPr>
          <w:rFonts w:ascii="宋体" w:hAnsi="宋体" w:cs="宋体"/>
          <w:color w:val="auto"/>
          <w:szCs w:val="21"/>
        </w:rPr>
      </w:pPr>
      <w:r>
        <w:rPr>
          <w:rFonts w:hint="eastAsia" w:ascii="宋体" w:hAnsi="宋体" w:cs="宋体"/>
          <w:color w:val="auto"/>
          <w:spacing w:val="-6"/>
          <w:szCs w:val="21"/>
        </w:rPr>
        <w:t>3.4</w:t>
      </w:r>
      <w:r>
        <w:rPr>
          <w:rFonts w:hint="eastAsia" w:ascii="宋体" w:hAnsi="宋体" w:cs="宋体"/>
          <w:color w:val="auto"/>
          <w:szCs w:val="21"/>
        </w:rPr>
        <w:t xml:space="preserve">首次响应文件报价出现前后不一致的，按照下列规定修正： </w:t>
      </w:r>
    </w:p>
    <w:p w14:paraId="7A80400D">
      <w:pPr>
        <w:spacing w:line="440" w:lineRule="exact"/>
        <w:ind w:firstLine="420" w:firstLineChars="200"/>
        <w:rPr>
          <w:rFonts w:ascii="宋体" w:hAnsi="宋体" w:cs="宋体"/>
          <w:color w:val="auto"/>
          <w:szCs w:val="21"/>
        </w:rPr>
      </w:pPr>
      <w:r>
        <w:rPr>
          <w:rFonts w:hint="eastAsia" w:ascii="宋体" w:hAnsi="宋体" w:cs="宋体"/>
          <w:color w:val="auto"/>
          <w:szCs w:val="21"/>
        </w:rPr>
        <w:t>（1）响应文件中报价表内容与响应文件中相应内容不一致的，以报价表为准；</w:t>
      </w:r>
    </w:p>
    <w:p w14:paraId="1E3EA50F">
      <w:pPr>
        <w:spacing w:line="440" w:lineRule="exact"/>
        <w:ind w:firstLine="420" w:firstLineChars="200"/>
        <w:rPr>
          <w:rFonts w:ascii="宋体" w:hAnsi="宋体" w:cs="宋体"/>
          <w:color w:val="auto"/>
          <w:szCs w:val="21"/>
        </w:rPr>
      </w:pPr>
      <w:r>
        <w:rPr>
          <w:rFonts w:hint="eastAsia" w:ascii="宋体" w:hAnsi="宋体" w:cs="宋体"/>
          <w:color w:val="auto"/>
          <w:szCs w:val="21"/>
        </w:rPr>
        <w:t>（2）大写金额和小写金额不一致的，以大写金额为准；</w:t>
      </w:r>
    </w:p>
    <w:p w14:paraId="5BAE156E">
      <w:pPr>
        <w:spacing w:line="440" w:lineRule="exact"/>
        <w:ind w:firstLine="420" w:firstLineChars="200"/>
        <w:rPr>
          <w:rFonts w:ascii="宋体" w:hAnsi="宋体" w:cs="宋体"/>
          <w:color w:val="auto"/>
          <w:szCs w:val="21"/>
        </w:rPr>
      </w:pPr>
      <w:r>
        <w:rPr>
          <w:rFonts w:hint="eastAsia" w:ascii="宋体" w:hAnsi="宋体" w:cs="宋体"/>
          <w:color w:val="auto"/>
          <w:szCs w:val="21"/>
        </w:rPr>
        <w:t>（3）单价金额小数点或者百分比有明显错位的，以报价表的总价为准，并修改单价；</w:t>
      </w:r>
    </w:p>
    <w:p w14:paraId="5BB10AF0">
      <w:pPr>
        <w:spacing w:line="440" w:lineRule="exact"/>
        <w:ind w:firstLine="420" w:firstLineChars="200"/>
        <w:rPr>
          <w:rFonts w:ascii="宋体" w:hAnsi="宋体" w:cs="宋体"/>
          <w:color w:val="auto"/>
          <w:szCs w:val="21"/>
        </w:rPr>
      </w:pPr>
      <w:r>
        <w:rPr>
          <w:rFonts w:hint="eastAsia" w:ascii="宋体" w:hAnsi="宋体" w:cs="宋体"/>
          <w:color w:val="auto"/>
          <w:szCs w:val="21"/>
        </w:rPr>
        <w:t>（4）总价金额与按单价汇总金额不一致的，以单价金额计算结果为准。</w:t>
      </w:r>
    </w:p>
    <w:p w14:paraId="60AECB23">
      <w:pPr>
        <w:spacing w:line="440" w:lineRule="exact"/>
        <w:ind w:firstLine="420" w:firstLineChars="200"/>
        <w:rPr>
          <w:rFonts w:ascii="宋体" w:hAnsi="宋体" w:cs="宋体"/>
          <w:color w:val="auto"/>
          <w:szCs w:val="21"/>
        </w:rPr>
      </w:pPr>
      <w:r>
        <w:rPr>
          <w:rFonts w:hint="eastAsia" w:ascii="宋体" w:hAnsi="宋体" w:cs="宋体"/>
          <w:color w:val="auto"/>
          <w:szCs w:val="21"/>
        </w:rPr>
        <w:t>同时出现两种以上不一致的，按照以上（1）-（4）规定的顺序逐条进行修正。修正后的报价经供应商确认后产生约束力，供应商不确认的，其响应文件按无效响应处理。</w:t>
      </w:r>
    </w:p>
    <w:p w14:paraId="710E8713">
      <w:pPr>
        <w:spacing w:line="440" w:lineRule="exact"/>
        <w:ind w:firstLine="420" w:firstLineChars="200"/>
        <w:rPr>
          <w:rFonts w:ascii="宋体" w:hAnsi="宋体" w:cs="宋体"/>
          <w:color w:val="auto"/>
          <w:szCs w:val="21"/>
        </w:rPr>
      </w:pPr>
      <w:r>
        <w:rPr>
          <w:rFonts w:hint="eastAsia" w:ascii="宋体" w:hAnsi="宋体" w:cs="宋体"/>
          <w:color w:val="auto"/>
          <w:szCs w:val="21"/>
        </w:rPr>
        <w:t>3.5商务技术报价评审</w:t>
      </w:r>
    </w:p>
    <w:p w14:paraId="1F182BD6">
      <w:pPr>
        <w:spacing w:line="440" w:lineRule="exact"/>
        <w:ind w:firstLine="420" w:firstLineChars="200"/>
        <w:rPr>
          <w:rFonts w:ascii="宋体" w:hAnsi="宋体" w:cs="宋体"/>
          <w:color w:val="auto"/>
          <w:szCs w:val="21"/>
        </w:rPr>
      </w:pPr>
      <w:r>
        <w:rPr>
          <w:rFonts w:hint="eastAsia" w:ascii="宋体" w:hAnsi="宋体" w:cs="宋体"/>
          <w:color w:val="auto"/>
          <w:szCs w:val="21"/>
        </w:rPr>
        <w:t>在评审时，如发现下列情形之一的，将被视为响应文件无效处理：</w:t>
      </w:r>
    </w:p>
    <w:p w14:paraId="37257E5F">
      <w:pPr>
        <w:spacing w:line="440" w:lineRule="exact"/>
        <w:ind w:firstLine="420" w:firstLineChars="200"/>
        <w:rPr>
          <w:rFonts w:ascii="宋体" w:hAnsi="宋体" w:cs="宋体"/>
          <w:color w:val="auto"/>
          <w:szCs w:val="21"/>
        </w:rPr>
      </w:pPr>
      <w:r>
        <w:rPr>
          <w:rFonts w:hint="eastAsia" w:ascii="宋体" w:hAnsi="宋体" w:cs="宋体"/>
          <w:color w:val="auto"/>
          <w:szCs w:val="21"/>
        </w:rPr>
        <w:t>（1）商务技术评审</w:t>
      </w:r>
    </w:p>
    <w:p w14:paraId="3B2EEDDA">
      <w:pPr>
        <w:spacing w:line="440" w:lineRule="exact"/>
        <w:ind w:firstLine="420" w:firstLineChars="200"/>
        <w:rPr>
          <w:rFonts w:ascii="宋体" w:hAnsi="宋体" w:cs="宋体"/>
          <w:color w:val="auto"/>
          <w:szCs w:val="21"/>
        </w:rPr>
      </w:pPr>
      <w:r>
        <w:rPr>
          <w:rFonts w:hint="eastAsia" w:ascii="宋体" w:hAnsi="宋体" w:cs="宋体"/>
          <w:color w:val="auto"/>
          <w:szCs w:val="21"/>
        </w:rPr>
        <w:t>1）响应文件未按谈判文件要求签署、盖章的；</w:t>
      </w:r>
    </w:p>
    <w:p w14:paraId="044B70DC">
      <w:pPr>
        <w:spacing w:line="440" w:lineRule="exact"/>
        <w:ind w:firstLine="420" w:firstLineChars="200"/>
        <w:rPr>
          <w:rFonts w:ascii="宋体" w:hAnsi="宋体" w:cs="宋体"/>
          <w:color w:val="auto"/>
          <w:szCs w:val="21"/>
        </w:rPr>
      </w:pPr>
      <w:r>
        <w:rPr>
          <w:rFonts w:hint="eastAsia" w:ascii="宋体" w:hAnsi="宋体" w:cs="宋体"/>
          <w:color w:val="auto"/>
          <w:szCs w:val="21"/>
        </w:rPr>
        <w:t xml:space="preserve">2）委托代理人未能出具有效身份证或者出具的身份证与授权委托书中的信息不符的； </w:t>
      </w:r>
    </w:p>
    <w:p w14:paraId="6F876452">
      <w:pPr>
        <w:spacing w:line="440" w:lineRule="exact"/>
        <w:ind w:firstLine="420" w:firstLineChars="200"/>
        <w:rPr>
          <w:rFonts w:ascii="宋体" w:hAnsi="宋体" w:cs="宋体"/>
          <w:color w:val="auto"/>
          <w:szCs w:val="21"/>
        </w:rPr>
      </w:pPr>
      <w:r>
        <w:rPr>
          <w:rFonts w:hint="eastAsia" w:ascii="宋体" w:hAnsi="宋体" w:cs="宋体"/>
          <w:color w:val="auto"/>
          <w:szCs w:val="21"/>
        </w:rPr>
        <w:t>3）提交的竞标保证金无效的或者未按照谈判文件的规定提交竞标保证金；</w:t>
      </w:r>
    </w:p>
    <w:p w14:paraId="52B69C57">
      <w:pPr>
        <w:spacing w:line="440" w:lineRule="exact"/>
        <w:ind w:firstLine="420" w:firstLineChars="200"/>
        <w:rPr>
          <w:rFonts w:ascii="宋体" w:hAnsi="宋体" w:cs="宋体"/>
          <w:color w:val="auto"/>
          <w:szCs w:val="21"/>
        </w:rPr>
      </w:pPr>
      <w:r>
        <w:rPr>
          <w:rFonts w:hint="eastAsia" w:ascii="宋体" w:hAnsi="宋体" w:cs="宋体"/>
          <w:color w:val="auto"/>
          <w:szCs w:val="21"/>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7E4D8F3C">
      <w:pPr>
        <w:spacing w:line="440" w:lineRule="exact"/>
        <w:ind w:firstLine="420" w:firstLineChars="200"/>
        <w:rPr>
          <w:rFonts w:ascii="宋体" w:hAnsi="宋体" w:cs="宋体"/>
          <w:color w:val="auto"/>
          <w:szCs w:val="21"/>
        </w:rPr>
      </w:pPr>
      <w:r>
        <w:rPr>
          <w:rFonts w:hint="eastAsia" w:ascii="宋体" w:hAnsi="宋体" w:cs="宋体"/>
          <w:color w:val="auto"/>
          <w:szCs w:val="21"/>
        </w:rPr>
        <w:t>5）商务要求允许负偏离的条款数超过“供应商须知前附表”规定项数的；</w:t>
      </w:r>
    </w:p>
    <w:p w14:paraId="10947B0B">
      <w:pPr>
        <w:spacing w:line="440" w:lineRule="exact"/>
        <w:ind w:firstLine="420" w:firstLineChars="200"/>
        <w:rPr>
          <w:rFonts w:ascii="宋体" w:hAnsi="宋体" w:cs="宋体"/>
          <w:color w:val="auto"/>
          <w:szCs w:val="21"/>
        </w:rPr>
      </w:pPr>
      <w:r>
        <w:rPr>
          <w:rFonts w:hint="eastAsia" w:ascii="宋体" w:hAnsi="宋体" w:cs="宋体"/>
          <w:color w:val="auto"/>
          <w:szCs w:val="21"/>
        </w:rPr>
        <w:t>6）未对竞标有效期作出响应或者响应文件承诺的竞标有效期不满足谈判文件要求；</w:t>
      </w:r>
    </w:p>
    <w:p w14:paraId="619D00F5">
      <w:pPr>
        <w:spacing w:line="440" w:lineRule="exact"/>
        <w:ind w:firstLine="420" w:firstLineChars="200"/>
        <w:rPr>
          <w:rFonts w:ascii="宋体" w:hAnsi="宋体" w:cs="宋体"/>
          <w:color w:val="auto"/>
          <w:szCs w:val="21"/>
        </w:rPr>
      </w:pPr>
      <w:r>
        <w:rPr>
          <w:rFonts w:hint="eastAsia" w:ascii="宋体" w:hAnsi="宋体" w:cs="宋体"/>
          <w:color w:val="auto"/>
          <w:szCs w:val="21"/>
        </w:rPr>
        <w:t>7）响应文件的实质性内容未使用中文表述、使用计量单位不符合谈判文件要求的；</w:t>
      </w:r>
    </w:p>
    <w:p w14:paraId="59B5F3A4">
      <w:pPr>
        <w:spacing w:line="440" w:lineRule="exact"/>
        <w:ind w:firstLine="420" w:firstLineChars="200"/>
        <w:rPr>
          <w:rFonts w:ascii="宋体" w:hAnsi="宋体" w:cs="宋体"/>
          <w:color w:val="auto"/>
          <w:szCs w:val="21"/>
        </w:rPr>
      </w:pPr>
      <w:r>
        <w:rPr>
          <w:rFonts w:hint="eastAsia" w:ascii="宋体" w:hAnsi="宋体" w:cs="宋体"/>
          <w:color w:val="auto"/>
          <w:szCs w:val="21"/>
        </w:rPr>
        <w:t>8）响应文件中的文件资料因填写不齐全或者内容虚假或者出现其他情形而导致被谈判小组认定无效的；</w:t>
      </w:r>
    </w:p>
    <w:p w14:paraId="55278A4C">
      <w:pPr>
        <w:spacing w:line="440" w:lineRule="exact"/>
        <w:ind w:firstLine="420" w:firstLineChars="200"/>
        <w:rPr>
          <w:rFonts w:ascii="宋体" w:hAnsi="宋体" w:cs="宋体"/>
          <w:color w:val="auto"/>
          <w:szCs w:val="21"/>
        </w:rPr>
      </w:pPr>
      <w:r>
        <w:rPr>
          <w:rFonts w:hint="eastAsia" w:ascii="宋体" w:hAnsi="宋体" w:cs="宋体"/>
          <w:color w:val="auto"/>
          <w:szCs w:val="21"/>
        </w:rPr>
        <w:t>9）响应文件含有采购人不能接受的附加条件的；</w:t>
      </w:r>
    </w:p>
    <w:p w14:paraId="1A7AB909">
      <w:pPr>
        <w:spacing w:line="440" w:lineRule="exact"/>
        <w:ind w:firstLine="420" w:firstLineChars="200"/>
        <w:rPr>
          <w:rFonts w:ascii="宋体" w:hAnsi="宋体" w:cs="宋体"/>
          <w:color w:val="auto"/>
          <w:szCs w:val="21"/>
        </w:rPr>
      </w:pPr>
      <w:r>
        <w:rPr>
          <w:rFonts w:hint="eastAsia" w:ascii="宋体" w:hAnsi="宋体" w:cs="宋体"/>
          <w:color w:val="auto"/>
          <w:szCs w:val="21"/>
        </w:rPr>
        <w:t>10）属于“供应商须知正文”第7.5条的情形的；</w:t>
      </w:r>
    </w:p>
    <w:p w14:paraId="109EDF14">
      <w:pPr>
        <w:spacing w:line="440" w:lineRule="exact"/>
        <w:ind w:firstLine="420" w:firstLineChars="200"/>
        <w:rPr>
          <w:rFonts w:ascii="宋体" w:hAnsi="宋体" w:cs="宋体"/>
          <w:color w:val="auto"/>
          <w:szCs w:val="21"/>
        </w:rPr>
      </w:pPr>
      <w:r>
        <w:rPr>
          <w:rFonts w:hint="eastAsia" w:ascii="宋体" w:hAnsi="宋体" w:cs="宋体"/>
          <w:color w:val="auto"/>
          <w:szCs w:val="21"/>
        </w:rPr>
        <w:t>11）技术评审允许负偏离的条款数超过“供应商须知前附表”规定项数的；</w:t>
      </w:r>
    </w:p>
    <w:p w14:paraId="28CFC76D">
      <w:pPr>
        <w:spacing w:line="440" w:lineRule="exact"/>
        <w:ind w:firstLine="420" w:firstLineChars="200"/>
        <w:rPr>
          <w:rFonts w:ascii="宋体" w:hAnsi="宋体" w:cs="宋体"/>
          <w:color w:val="auto"/>
          <w:szCs w:val="21"/>
        </w:rPr>
      </w:pPr>
      <w:r>
        <w:rPr>
          <w:rFonts w:hint="eastAsia" w:ascii="宋体" w:hAnsi="宋体" w:cs="宋体"/>
          <w:color w:val="auto"/>
          <w:szCs w:val="21"/>
        </w:rPr>
        <w:t>12）虚假竞标，或者出现其他情形而导致被谈判小组认定无效的；</w:t>
      </w:r>
    </w:p>
    <w:p w14:paraId="3249A02F">
      <w:pPr>
        <w:spacing w:line="440" w:lineRule="exact"/>
        <w:ind w:firstLine="420" w:firstLineChars="200"/>
        <w:rPr>
          <w:rFonts w:ascii="宋体" w:hAnsi="宋体" w:cs="宋体"/>
          <w:color w:val="auto"/>
          <w:szCs w:val="21"/>
        </w:rPr>
      </w:pPr>
      <w:r>
        <w:rPr>
          <w:rFonts w:hint="eastAsia" w:ascii="宋体" w:hAnsi="宋体" w:cs="宋体"/>
          <w:color w:val="auto"/>
          <w:szCs w:val="21"/>
        </w:rPr>
        <w:t>13）</w:t>
      </w:r>
      <w:bookmarkStart w:id="74" w:name="_Hlk71704147"/>
      <w:r>
        <w:rPr>
          <w:rFonts w:hint="eastAsia" w:ascii="宋体" w:hAnsi="宋体" w:cs="宋体"/>
          <w:color w:val="auto"/>
          <w:szCs w:val="21"/>
        </w:rPr>
        <w:t>谈判文件未载明允许提供备选（替代）竞标方案或明确不允许提供备选（替代）竞标方案时，供应商提供了备选（替代）竞标方案的；</w:t>
      </w:r>
      <w:bookmarkEnd w:id="74"/>
    </w:p>
    <w:p w14:paraId="4838098B">
      <w:pPr>
        <w:spacing w:line="440" w:lineRule="exact"/>
        <w:ind w:firstLine="420" w:firstLineChars="200"/>
        <w:rPr>
          <w:rFonts w:ascii="宋体" w:hAnsi="宋体" w:cs="宋体"/>
          <w:color w:val="auto"/>
          <w:szCs w:val="21"/>
        </w:rPr>
      </w:pPr>
      <w:r>
        <w:rPr>
          <w:rFonts w:hint="eastAsia" w:ascii="宋体" w:hAnsi="宋体" w:cs="宋体"/>
          <w:color w:val="auto"/>
          <w:szCs w:val="21"/>
        </w:rPr>
        <w:t>14）响应文件标注的项目名称或者项目编号与谈判文件标注的项目名称或者项目编号不一致的；</w:t>
      </w:r>
    </w:p>
    <w:p w14:paraId="0DF73647">
      <w:pPr>
        <w:spacing w:line="440" w:lineRule="exact"/>
        <w:ind w:firstLine="420" w:firstLineChars="200"/>
        <w:rPr>
          <w:rFonts w:ascii="宋体" w:hAnsi="宋体" w:cs="宋体"/>
          <w:color w:val="auto"/>
          <w:szCs w:val="21"/>
        </w:rPr>
      </w:pPr>
      <w:r>
        <w:rPr>
          <w:rFonts w:hint="eastAsia" w:ascii="宋体" w:hAnsi="宋体" w:cs="宋体"/>
          <w:color w:val="auto"/>
          <w:szCs w:val="21"/>
        </w:rPr>
        <w:t>15）谈判文件明确不允许分包，响应文件拟分包的；</w:t>
      </w:r>
    </w:p>
    <w:p w14:paraId="33BEE84A">
      <w:pPr>
        <w:spacing w:line="440" w:lineRule="exact"/>
        <w:ind w:firstLine="420" w:firstLineChars="200"/>
        <w:rPr>
          <w:rFonts w:ascii="宋体" w:hAnsi="宋体" w:cs="宋体"/>
          <w:color w:val="auto"/>
          <w:szCs w:val="21"/>
        </w:rPr>
      </w:pPr>
      <w:r>
        <w:rPr>
          <w:rFonts w:hint="eastAsia" w:ascii="宋体" w:hAnsi="宋体" w:cs="宋体"/>
          <w:color w:val="auto"/>
          <w:szCs w:val="21"/>
        </w:rPr>
        <w:t>16）未响应谈判文件实质性要求；</w:t>
      </w:r>
    </w:p>
    <w:p w14:paraId="6D668313">
      <w:pPr>
        <w:spacing w:line="440" w:lineRule="exact"/>
        <w:ind w:firstLine="420" w:firstLineChars="200"/>
        <w:rPr>
          <w:rFonts w:ascii="宋体" w:hAnsi="宋体" w:cs="宋体"/>
          <w:color w:val="auto"/>
          <w:szCs w:val="21"/>
        </w:rPr>
      </w:pPr>
      <w:r>
        <w:rPr>
          <w:rFonts w:hint="eastAsia" w:ascii="宋体" w:hAnsi="宋体" w:cs="宋体"/>
          <w:color w:val="auto"/>
          <w:szCs w:val="21"/>
        </w:rPr>
        <w:t>17）法律、法规和谈判文件规定的其他无效情形。</w:t>
      </w:r>
    </w:p>
    <w:p w14:paraId="506F2968">
      <w:pPr>
        <w:spacing w:line="440" w:lineRule="exact"/>
        <w:ind w:firstLine="420" w:firstLineChars="200"/>
        <w:rPr>
          <w:rFonts w:ascii="宋体" w:hAnsi="宋体" w:cs="宋体"/>
          <w:color w:val="auto"/>
          <w:szCs w:val="21"/>
        </w:rPr>
      </w:pPr>
      <w:r>
        <w:rPr>
          <w:rFonts w:hint="eastAsia" w:ascii="宋体" w:hAnsi="宋体" w:cs="宋体"/>
          <w:color w:val="auto"/>
          <w:szCs w:val="21"/>
        </w:rPr>
        <w:t>（2）报价评审</w:t>
      </w:r>
    </w:p>
    <w:p w14:paraId="32996206">
      <w:pPr>
        <w:spacing w:line="440" w:lineRule="exact"/>
        <w:ind w:firstLine="420" w:firstLineChars="200"/>
        <w:rPr>
          <w:rFonts w:ascii="宋体" w:hAnsi="宋体" w:cs="宋体"/>
          <w:color w:val="auto"/>
          <w:szCs w:val="21"/>
        </w:rPr>
      </w:pPr>
      <w:r>
        <w:rPr>
          <w:rFonts w:hint="eastAsia" w:ascii="宋体" w:hAnsi="宋体" w:cs="宋体"/>
          <w:color w:val="auto"/>
          <w:szCs w:val="21"/>
        </w:rPr>
        <w:t>1）响应文件未提供“供应商须知前附表”报价文件中规定的“竞标报价表”的；</w:t>
      </w:r>
    </w:p>
    <w:p w14:paraId="5423B2DC">
      <w:pPr>
        <w:spacing w:line="440" w:lineRule="exact"/>
        <w:ind w:firstLine="420" w:firstLineChars="200"/>
        <w:rPr>
          <w:rFonts w:ascii="宋体" w:hAnsi="宋体" w:cs="宋体"/>
          <w:color w:val="auto"/>
          <w:szCs w:val="21"/>
        </w:rPr>
      </w:pPr>
      <w:r>
        <w:rPr>
          <w:rFonts w:hint="eastAsia" w:ascii="宋体" w:hAnsi="宋体" w:cs="宋体"/>
          <w:color w:val="auto"/>
          <w:szCs w:val="21"/>
        </w:rPr>
        <w:t>2）未采用人民币报价或者未按照谈判文件标明的币种报价的；</w:t>
      </w:r>
    </w:p>
    <w:p w14:paraId="00E31992">
      <w:pPr>
        <w:spacing w:line="440" w:lineRule="exact"/>
        <w:ind w:firstLine="420" w:firstLineChars="200"/>
        <w:rPr>
          <w:rFonts w:ascii="宋体" w:hAnsi="宋体" w:cs="宋体"/>
          <w:color w:val="auto"/>
          <w:szCs w:val="21"/>
        </w:rPr>
      </w:pPr>
      <w:r>
        <w:rPr>
          <w:rFonts w:hint="eastAsia" w:ascii="宋体" w:hAnsi="宋体" w:cs="宋体"/>
          <w:color w:val="auto"/>
          <w:szCs w:val="21"/>
        </w:rPr>
        <w:t>3）供应商未就所竞标分标进行报价或者存在漏项报价；供应商未就所竞标分标的单项内容作唯一报价；供应商未就所竞标分标的全部内容作完整唯一总价报价；供应商响应文件中存在有选择、有条件报价的（谈判文件允许有备选方案或者其他约定的除外）；</w:t>
      </w:r>
    </w:p>
    <w:p w14:paraId="04B4E3ED">
      <w:pPr>
        <w:spacing w:line="440" w:lineRule="exact"/>
        <w:ind w:firstLine="420" w:firstLineChars="200"/>
        <w:rPr>
          <w:rFonts w:ascii="宋体" w:hAnsi="宋体" w:cs="宋体"/>
          <w:color w:val="auto"/>
          <w:szCs w:val="21"/>
        </w:rPr>
      </w:pPr>
      <w:r>
        <w:rPr>
          <w:rFonts w:hint="eastAsia" w:ascii="宋体" w:hAnsi="宋体" w:cs="宋体"/>
          <w:color w:val="auto"/>
          <w:szCs w:val="21"/>
        </w:rPr>
        <w:t>4）竞标报价（包含首次报价、最后报价）超过所竞标分标规定的采购预算金额或者最高限价的（如本项目公布了最高限价）；竞标报价（包含首次报价、最后报价）超过谈判文件分项采购预算金额或者最高限价的（如本项目公布了最高限价）；</w:t>
      </w:r>
    </w:p>
    <w:p w14:paraId="213FC81D">
      <w:pPr>
        <w:spacing w:line="440" w:lineRule="exact"/>
        <w:ind w:firstLine="420" w:firstLineChars="200"/>
        <w:rPr>
          <w:rFonts w:ascii="宋体" w:hAnsi="宋体" w:cs="宋体"/>
          <w:color w:val="auto"/>
          <w:szCs w:val="21"/>
        </w:rPr>
      </w:pPr>
      <w:r>
        <w:rPr>
          <w:rFonts w:hint="eastAsia" w:ascii="宋体" w:hAnsi="宋体" w:cs="宋体"/>
          <w:color w:val="auto"/>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谈判文件分项采购预算金额或者最高限价的（如本项目公布了最高限价）。</w:t>
      </w:r>
    </w:p>
    <w:p w14:paraId="297B82DD">
      <w:pPr>
        <w:spacing w:line="440" w:lineRule="exact"/>
        <w:ind w:firstLine="420" w:firstLineChars="200"/>
        <w:rPr>
          <w:rFonts w:ascii="宋体" w:hAnsi="宋体" w:cs="宋体"/>
          <w:color w:val="auto"/>
          <w:szCs w:val="21"/>
        </w:rPr>
      </w:pPr>
      <w:r>
        <w:rPr>
          <w:rFonts w:hint="eastAsia" w:ascii="宋体" w:hAnsi="宋体" w:cs="宋体"/>
          <w:color w:val="auto"/>
          <w:szCs w:val="21"/>
        </w:rPr>
        <w:t>6）响应文件响应的标的数量及单位与竞争性谈判采购文件要求实质性不一致的。</w:t>
      </w:r>
    </w:p>
    <w:p w14:paraId="1B5E0430">
      <w:pPr>
        <w:spacing w:line="440" w:lineRule="exact"/>
        <w:ind w:firstLine="420" w:firstLineChars="200"/>
        <w:rPr>
          <w:rFonts w:ascii="宋体" w:hAnsi="宋体" w:cs="宋体"/>
          <w:color w:val="auto"/>
          <w:szCs w:val="21"/>
        </w:rPr>
      </w:pPr>
      <w:r>
        <w:rPr>
          <w:rFonts w:hint="eastAsia" w:ascii="宋体" w:hAnsi="宋体" w:cs="宋体"/>
          <w:color w:val="auto"/>
          <w:szCs w:val="21"/>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3A9D98C7">
      <w:pPr>
        <w:spacing w:line="440" w:lineRule="exact"/>
        <w:ind w:firstLine="420" w:firstLineChars="200"/>
        <w:rPr>
          <w:rFonts w:ascii="宋体" w:hAnsi="宋体" w:cs="宋体"/>
          <w:color w:val="auto"/>
          <w:szCs w:val="21"/>
        </w:rPr>
      </w:pPr>
      <w:r>
        <w:rPr>
          <w:rFonts w:hint="eastAsia" w:ascii="宋体" w:hAnsi="宋体" w:cs="宋体"/>
          <w:color w:val="auto"/>
          <w:szCs w:val="21"/>
        </w:rPr>
        <w:t>3.7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1E4BDF2E">
      <w:pPr>
        <w:spacing w:line="440" w:lineRule="exact"/>
        <w:ind w:firstLine="420" w:firstLineChars="200"/>
        <w:rPr>
          <w:rFonts w:ascii="宋体" w:hAnsi="宋体" w:cs="宋体"/>
          <w:color w:val="auto"/>
          <w:szCs w:val="21"/>
        </w:rPr>
      </w:pPr>
      <w:r>
        <w:rPr>
          <w:rFonts w:hint="eastAsia" w:ascii="宋体" w:hAnsi="宋体" w:cs="宋体"/>
          <w:color w:val="auto"/>
          <w:szCs w:val="21"/>
        </w:rPr>
        <w:t>3.8除本章3.7条规定的情形外，通过符合性审查的合格供应商不足3家的，不得进入谈判环节，应当重新开展采购活动。</w:t>
      </w:r>
    </w:p>
    <w:p w14:paraId="174D5A28">
      <w:pPr>
        <w:spacing w:line="440" w:lineRule="exact"/>
        <w:ind w:firstLine="482" w:firstLineChars="200"/>
        <w:rPr>
          <w:rFonts w:ascii="宋体" w:hAnsi="宋体" w:cs="宋体"/>
          <w:b/>
          <w:bCs/>
          <w:color w:val="auto"/>
          <w:sz w:val="24"/>
        </w:rPr>
      </w:pPr>
      <w:r>
        <w:rPr>
          <w:rFonts w:hint="eastAsia" w:ascii="宋体" w:hAnsi="宋体" w:cs="宋体"/>
          <w:b/>
          <w:bCs/>
          <w:color w:val="auto"/>
          <w:sz w:val="24"/>
        </w:rPr>
        <w:t>4.谈判程序</w:t>
      </w:r>
    </w:p>
    <w:p w14:paraId="64BF9A22">
      <w:pPr>
        <w:spacing w:line="440" w:lineRule="exact"/>
        <w:ind w:firstLine="420" w:firstLineChars="200"/>
        <w:rPr>
          <w:rFonts w:ascii="宋体" w:hAnsi="宋体" w:cs="宋体"/>
          <w:color w:val="auto"/>
          <w:kern w:val="0"/>
          <w:szCs w:val="21"/>
        </w:rPr>
      </w:pPr>
      <w:r>
        <w:rPr>
          <w:rFonts w:hint="eastAsia" w:ascii="宋体" w:hAnsi="宋体" w:cs="宋体"/>
          <w:color w:val="auto"/>
          <w:kern w:val="0"/>
          <w:szCs w:val="21"/>
        </w:rPr>
        <w:t>4.1谈判小组</w:t>
      </w:r>
      <w:r>
        <w:rPr>
          <w:rFonts w:hint="eastAsia" w:ascii="宋体" w:hAnsi="宋体" w:cs="宋体"/>
          <w:color w:val="auto"/>
          <w:szCs w:val="21"/>
        </w:rPr>
        <w:t>集中与单一供应商分别进行谈判，并给予所有参加谈判的供应商平等的谈判机会。符合谈判资格的供应商必须在接到谈判通知后规定时间内参加谈判，未在规定时间内参加谈判的，视同放弃参加谈判权利，其响应文件按无效处理。</w:t>
      </w:r>
    </w:p>
    <w:p w14:paraId="53C7356F">
      <w:pPr>
        <w:spacing w:line="440" w:lineRule="exact"/>
        <w:ind w:firstLine="420" w:firstLineChars="200"/>
        <w:rPr>
          <w:rFonts w:ascii="宋体" w:hAnsi="宋体" w:cs="宋体"/>
          <w:color w:val="auto"/>
          <w:szCs w:val="21"/>
        </w:rPr>
      </w:pPr>
      <w:r>
        <w:rPr>
          <w:rFonts w:hint="eastAsia" w:ascii="宋体" w:hAnsi="宋体" w:cs="宋体"/>
          <w:color w:val="auto"/>
          <w:szCs w:val="21"/>
        </w:rPr>
        <w:t>4.2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0F7FFC39">
      <w:pPr>
        <w:spacing w:line="440" w:lineRule="exact"/>
        <w:ind w:firstLine="420" w:firstLineChars="200"/>
        <w:rPr>
          <w:rFonts w:ascii="宋体" w:hAnsi="宋体" w:cs="宋体"/>
          <w:color w:val="auto"/>
          <w:szCs w:val="21"/>
        </w:rPr>
      </w:pPr>
      <w:r>
        <w:rPr>
          <w:rFonts w:hint="eastAsia" w:ascii="宋体" w:hAnsi="宋体" w:cs="宋体"/>
          <w:color w:val="auto"/>
          <w:szCs w:val="21"/>
        </w:rPr>
        <w:t>4.3对谈判文件作出的实质性变动是谈判文件的有效组成部分，由谈判小组及时以电子澄清函形式同时通知所有参加谈判的供应商。</w:t>
      </w:r>
    </w:p>
    <w:p w14:paraId="473E1755">
      <w:pPr>
        <w:spacing w:line="440" w:lineRule="exact"/>
        <w:ind w:firstLine="420" w:firstLineChars="200"/>
        <w:rPr>
          <w:rFonts w:ascii="宋体" w:hAnsi="宋体" w:cs="宋体"/>
          <w:color w:val="auto"/>
          <w:szCs w:val="21"/>
        </w:rPr>
      </w:pPr>
      <w:r>
        <w:rPr>
          <w:rFonts w:hint="eastAsia" w:ascii="宋体" w:hAnsi="宋体" w:cs="宋体"/>
          <w:color w:val="auto"/>
          <w:szCs w:val="21"/>
        </w:rPr>
        <w:t>4.4供应商必须按照谈判文件的变动情况和谈判小组的要求以回函的形式重新提交响应文件，并加盖电子签章。参加谈判的供应商未在规定时间内重新提交响应文件的，视同退出谈判，其响应文件按无效处理。</w:t>
      </w:r>
    </w:p>
    <w:p w14:paraId="1355C93B">
      <w:pPr>
        <w:spacing w:line="440" w:lineRule="exact"/>
        <w:ind w:firstLine="420" w:firstLineChars="200"/>
        <w:rPr>
          <w:rFonts w:ascii="宋体" w:hAnsi="宋体" w:cs="宋体"/>
          <w:color w:val="auto"/>
          <w:szCs w:val="21"/>
        </w:rPr>
      </w:pPr>
      <w:r>
        <w:rPr>
          <w:rFonts w:hint="eastAsia" w:ascii="宋体" w:hAnsi="宋体" w:cs="宋体"/>
          <w:color w:val="auto"/>
          <w:szCs w:val="21"/>
        </w:rPr>
        <w:t>4.5谈判中，谈判的任何一方不得透露与谈判有关的其他供应商的技术资料、价格和其他信息。</w:t>
      </w:r>
    </w:p>
    <w:p w14:paraId="6C77EA8E">
      <w:pPr>
        <w:widowControl/>
        <w:tabs>
          <w:tab w:val="left" w:pos="540"/>
        </w:tabs>
        <w:spacing w:line="440" w:lineRule="exact"/>
        <w:ind w:firstLine="420" w:firstLineChars="200"/>
        <w:jc w:val="left"/>
        <w:rPr>
          <w:rFonts w:ascii="宋体" w:hAnsi="宋体" w:cs="宋体"/>
          <w:color w:val="auto"/>
          <w:szCs w:val="21"/>
        </w:rPr>
      </w:pPr>
      <w:r>
        <w:rPr>
          <w:rFonts w:hint="eastAsia" w:ascii="宋体" w:hAnsi="宋体" w:cs="宋体"/>
          <w:color w:val="auto"/>
          <w:szCs w:val="21"/>
        </w:rPr>
        <w:t>4.6谈判小组应对谈判过程和重要谈判内容进行记录。</w:t>
      </w:r>
    </w:p>
    <w:p w14:paraId="7D0ED3FE">
      <w:pPr>
        <w:tabs>
          <w:tab w:val="left" w:pos="2835"/>
        </w:tabs>
        <w:spacing w:line="440" w:lineRule="exact"/>
        <w:ind w:firstLine="420" w:firstLineChars="200"/>
        <w:rPr>
          <w:rFonts w:ascii="宋体" w:hAnsi="宋体" w:cs="宋体"/>
          <w:color w:val="auto"/>
          <w:szCs w:val="21"/>
        </w:rPr>
      </w:pPr>
      <w:r>
        <w:rPr>
          <w:rFonts w:hint="eastAsia" w:ascii="宋体" w:hAnsi="宋体" w:cs="宋体"/>
          <w:color w:val="auto"/>
          <w:szCs w:val="21"/>
        </w:rPr>
        <w:t>4.7除本章第3.7条外，对谈判过程提交的响应文件进行有效性、完整性和响应程度审查，通过审查的合格供应商不足3家的，采购人或者采购代理机构应当重新开展采购活动。</w:t>
      </w:r>
    </w:p>
    <w:p w14:paraId="158432A1">
      <w:pPr>
        <w:spacing w:line="440" w:lineRule="exact"/>
        <w:ind w:firstLine="482" w:firstLineChars="200"/>
        <w:rPr>
          <w:rFonts w:ascii="宋体" w:hAnsi="宋体" w:cs="宋体"/>
          <w:b/>
          <w:bCs/>
          <w:color w:val="auto"/>
          <w:sz w:val="24"/>
        </w:rPr>
      </w:pPr>
      <w:r>
        <w:rPr>
          <w:rFonts w:hint="eastAsia" w:ascii="宋体" w:hAnsi="宋体" w:cs="宋体"/>
          <w:b/>
          <w:bCs/>
          <w:color w:val="auto"/>
          <w:sz w:val="24"/>
        </w:rPr>
        <w:t>5. 最后报价</w:t>
      </w:r>
    </w:p>
    <w:p w14:paraId="0E8DD90E">
      <w:pPr>
        <w:spacing w:line="440" w:lineRule="exact"/>
        <w:ind w:firstLine="420" w:firstLineChars="200"/>
        <w:rPr>
          <w:rFonts w:ascii="宋体" w:hAnsi="宋体" w:cs="宋体"/>
          <w:color w:val="auto"/>
          <w:szCs w:val="21"/>
        </w:rPr>
      </w:pPr>
      <w:r>
        <w:rPr>
          <w:rFonts w:hint="eastAsia" w:ascii="宋体" w:hAnsi="宋体" w:cs="宋体"/>
          <w:color w:val="auto"/>
          <w:szCs w:val="21"/>
        </w:rPr>
        <w:t>5.1谈判文件能够详细列明采购标的的技术、服务要求的，谈判结束后，谈判小组应当要求所有继续参加谈判的供应商在规定时间内在广西政府采购云平台开标大厅提交最后报价，除本章第3.7条外，提交最后报价的供应商不得少于3家，否则应当重新采购。</w:t>
      </w:r>
    </w:p>
    <w:p w14:paraId="22C6810F">
      <w:pPr>
        <w:spacing w:line="440" w:lineRule="exact"/>
        <w:ind w:firstLine="420" w:firstLineChars="200"/>
        <w:rPr>
          <w:rFonts w:ascii="宋体" w:hAnsi="宋体" w:cs="宋体"/>
          <w:color w:val="auto"/>
          <w:szCs w:val="21"/>
        </w:rPr>
      </w:pPr>
      <w:r>
        <w:rPr>
          <w:rFonts w:hint="eastAsia" w:ascii="宋体" w:hAnsi="宋体" w:cs="宋体"/>
          <w:color w:val="auto"/>
          <w:szCs w:val="21"/>
        </w:rPr>
        <w:t>5.2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在广西政府采购云平台开标大厅提交最后报价。</w:t>
      </w:r>
    </w:p>
    <w:p w14:paraId="0F860DF5">
      <w:pPr>
        <w:spacing w:line="440" w:lineRule="exact"/>
        <w:ind w:firstLine="420" w:firstLineChars="200"/>
        <w:rPr>
          <w:rFonts w:ascii="宋体" w:hAnsi="宋体" w:cs="宋体"/>
          <w:color w:val="auto"/>
          <w:szCs w:val="21"/>
        </w:rPr>
      </w:pPr>
      <w:r>
        <w:rPr>
          <w:rFonts w:hint="eastAsia" w:ascii="宋体" w:hAnsi="宋体" w:cs="宋体"/>
          <w:color w:val="auto"/>
          <w:szCs w:val="21"/>
        </w:rPr>
        <w:t>5.3最后报价是供应商响应文件的有效组成部分。</w:t>
      </w:r>
    </w:p>
    <w:p w14:paraId="49BE73E6">
      <w:pPr>
        <w:spacing w:line="440" w:lineRule="exact"/>
        <w:ind w:firstLine="420" w:firstLineChars="200"/>
        <w:rPr>
          <w:rFonts w:ascii="宋体" w:hAnsi="宋体" w:cs="宋体"/>
          <w:color w:val="auto"/>
          <w:szCs w:val="21"/>
        </w:rPr>
      </w:pPr>
      <w:r>
        <w:rPr>
          <w:rFonts w:hint="eastAsia" w:ascii="宋体" w:hAnsi="宋体" w:cs="宋体"/>
          <w:color w:val="auto"/>
          <w:szCs w:val="21"/>
        </w:rPr>
        <w:t>5.4已经提交响应文件的供应商，在提交最后报价之前，可以根据谈判情况退出谈判，退出谈判的供应商的响应文件按无效响应处理。采购人、采购代理机构将退还退出谈判的供应商的保证金。</w:t>
      </w:r>
    </w:p>
    <w:p w14:paraId="4ECDA2AA">
      <w:pPr>
        <w:spacing w:line="440" w:lineRule="exact"/>
        <w:ind w:firstLine="420" w:firstLineChars="200"/>
        <w:rPr>
          <w:rFonts w:ascii="宋体" w:hAnsi="宋体" w:cs="宋体"/>
          <w:color w:val="auto"/>
          <w:szCs w:val="21"/>
        </w:rPr>
      </w:pPr>
      <w:r>
        <w:rPr>
          <w:rFonts w:hint="eastAsia" w:ascii="宋体" w:hAnsi="宋体" w:cs="宋体"/>
          <w:color w:val="auto"/>
          <w:szCs w:val="21"/>
        </w:rPr>
        <w:t>5.5供应商未在规定时间内提交最后报价的，视为退出谈判，其响应文件按无效处理。</w:t>
      </w:r>
    </w:p>
    <w:p w14:paraId="4A2D4909">
      <w:pPr>
        <w:spacing w:line="440" w:lineRule="exact"/>
        <w:ind w:firstLine="420" w:firstLineChars="200"/>
        <w:rPr>
          <w:rFonts w:ascii="宋体" w:hAnsi="宋体" w:cs="宋体"/>
          <w:color w:val="auto"/>
          <w:szCs w:val="21"/>
        </w:rPr>
      </w:pPr>
      <w:r>
        <w:rPr>
          <w:rFonts w:hint="eastAsia" w:ascii="宋体" w:hAnsi="宋体" w:cs="宋体"/>
          <w:color w:val="auto"/>
          <w:szCs w:val="21"/>
        </w:rPr>
        <w:t>5.6最后报价统一开启后，谈判小组对最后报价进行有效性、完整性和响应程度的审查。</w:t>
      </w:r>
    </w:p>
    <w:p w14:paraId="69634D86">
      <w:pPr>
        <w:spacing w:line="440" w:lineRule="exact"/>
        <w:ind w:firstLine="420" w:firstLineChars="200"/>
        <w:rPr>
          <w:rFonts w:ascii="宋体" w:hAnsi="宋体" w:cs="宋体"/>
          <w:color w:val="auto"/>
          <w:szCs w:val="21"/>
        </w:rPr>
      </w:pPr>
      <w:r>
        <w:rPr>
          <w:rFonts w:hint="eastAsia" w:ascii="宋体" w:hAnsi="宋体" w:cs="宋体"/>
          <w:color w:val="auto"/>
          <w:szCs w:val="21"/>
        </w:rPr>
        <w:t xml:space="preserve">5.7最后报价出现前后不一致的，按照本章第3.4条的规定修正。 </w:t>
      </w:r>
    </w:p>
    <w:p w14:paraId="45C1B040">
      <w:pPr>
        <w:spacing w:line="440" w:lineRule="exact"/>
        <w:ind w:firstLine="420" w:firstLineChars="200"/>
        <w:rPr>
          <w:rFonts w:ascii="宋体" w:hAnsi="宋体" w:cs="宋体"/>
          <w:color w:val="auto"/>
          <w:szCs w:val="21"/>
        </w:rPr>
      </w:pPr>
      <w:r>
        <w:rPr>
          <w:rFonts w:hint="eastAsia" w:ascii="宋体" w:hAnsi="宋体" w:cs="宋体"/>
          <w:color w:val="auto"/>
          <w:szCs w:val="21"/>
        </w:rPr>
        <w:t>5.8修正后的报价出现下列情形的，按无效响应处理：</w:t>
      </w:r>
    </w:p>
    <w:p w14:paraId="041CD097">
      <w:pPr>
        <w:spacing w:line="440" w:lineRule="exact"/>
        <w:ind w:firstLine="420" w:firstLineChars="200"/>
        <w:rPr>
          <w:rFonts w:ascii="宋体" w:hAnsi="宋体" w:cs="宋体"/>
          <w:color w:val="auto"/>
          <w:szCs w:val="21"/>
        </w:rPr>
      </w:pPr>
      <w:r>
        <w:rPr>
          <w:rFonts w:hint="eastAsia" w:ascii="宋体" w:hAnsi="宋体" w:cs="宋体"/>
          <w:color w:val="auto"/>
          <w:szCs w:val="21"/>
        </w:rPr>
        <w:t>（1）供应商不确认的（全流程电子化评标采取在线确认）；</w:t>
      </w:r>
    </w:p>
    <w:p w14:paraId="5C6A2B9A">
      <w:pPr>
        <w:spacing w:line="440" w:lineRule="exact"/>
        <w:ind w:firstLine="420" w:firstLineChars="200"/>
        <w:rPr>
          <w:rFonts w:ascii="宋体" w:hAnsi="宋体" w:cs="宋体"/>
          <w:color w:val="auto"/>
          <w:szCs w:val="21"/>
        </w:rPr>
      </w:pPr>
      <w:r>
        <w:rPr>
          <w:rFonts w:hint="eastAsia" w:ascii="宋体" w:hAnsi="宋体" w:cs="宋体"/>
          <w:color w:val="auto"/>
          <w:szCs w:val="21"/>
        </w:rPr>
        <w:t>（2）经供应商确认修正后的竞标报价（包含首次报价、最后报价）超过所竞标分标规定的采购预算金额或者最高限价的（如本项目公布了最高限价）；</w:t>
      </w:r>
    </w:p>
    <w:p w14:paraId="24ABB552">
      <w:pPr>
        <w:spacing w:line="440" w:lineRule="exact"/>
        <w:ind w:firstLine="420" w:firstLineChars="200"/>
        <w:rPr>
          <w:rFonts w:ascii="宋体" w:hAnsi="宋体" w:cs="宋体"/>
          <w:color w:val="auto"/>
          <w:szCs w:val="21"/>
        </w:rPr>
      </w:pPr>
      <w:r>
        <w:rPr>
          <w:rFonts w:hint="eastAsia" w:ascii="宋体" w:hAnsi="宋体" w:cs="宋体"/>
          <w:color w:val="auto"/>
          <w:szCs w:val="21"/>
        </w:rPr>
        <w:t>（3）经供应商确认修正后的竞标报价（包含首次报价、最后报价）超过分项采购预算金额或者最高限价的（如本项目公布了最高限价）。</w:t>
      </w:r>
    </w:p>
    <w:p w14:paraId="0B28AACD">
      <w:pPr>
        <w:spacing w:line="440" w:lineRule="exact"/>
        <w:ind w:firstLine="420" w:firstLineChars="200"/>
        <w:rPr>
          <w:rFonts w:ascii="宋体" w:hAnsi="宋体" w:cs="宋体"/>
          <w:color w:val="auto"/>
          <w:szCs w:val="21"/>
        </w:rPr>
      </w:pPr>
      <w:r>
        <w:rPr>
          <w:rFonts w:hint="eastAsia" w:ascii="宋体" w:hAnsi="宋体" w:cs="宋体"/>
          <w:color w:val="auto"/>
          <w:szCs w:val="21"/>
        </w:rPr>
        <w:t>5.9经供应商确认修正后的最后报价作为评审及签订合同的依据。</w:t>
      </w:r>
    </w:p>
    <w:p w14:paraId="6BA0956A">
      <w:pPr>
        <w:spacing w:line="440" w:lineRule="exact"/>
        <w:ind w:firstLine="420" w:firstLineChars="200"/>
        <w:rPr>
          <w:rFonts w:ascii="宋体" w:hAnsi="宋体" w:cs="宋体"/>
          <w:color w:val="auto"/>
          <w:szCs w:val="21"/>
        </w:rPr>
      </w:pPr>
      <w:r>
        <w:rPr>
          <w:rFonts w:hint="eastAsia" w:ascii="宋体" w:hAnsi="宋体" w:cs="宋体"/>
          <w:color w:val="auto"/>
          <w:szCs w:val="21"/>
        </w:rPr>
        <w:t>5.10供应商出现最后报价按无效响应处理或者响应文件按无效处理时</w:t>
      </w:r>
      <w:r>
        <w:rPr>
          <w:rFonts w:hint="eastAsia" w:ascii="宋体" w:hAnsi="宋体" w:cs="宋体"/>
          <w:color w:val="auto"/>
          <w:sz w:val="22"/>
          <w:szCs w:val="22"/>
        </w:rPr>
        <w:t>，谈判小组应当告知有关供应商</w:t>
      </w:r>
      <w:r>
        <w:rPr>
          <w:rFonts w:hint="eastAsia" w:ascii="宋体" w:hAnsi="宋体" w:cs="宋体"/>
          <w:color w:val="auto"/>
          <w:szCs w:val="21"/>
        </w:rPr>
        <w:t>。</w:t>
      </w:r>
    </w:p>
    <w:p w14:paraId="29332187">
      <w:pPr>
        <w:spacing w:line="440" w:lineRule="exact"/>
        <w:ind w:firstLine="420" w:firstLineChars="200"/>
        <w:rPr>
          <w:rFonts w:ascii="宋体" w:hAnsi="宋体" w:cs="宋体"/>
          <w:color w:val="auto"/>
          <w:szCs w:val="21"/>
        </w:rPr>
      </w:pPr>
      <w:r>
        <w:rPr>
          <w:rFonts w:hint="eastAsia" w:ascii="宋体" w:hAnsi="宋体" w:cs="宋体"/>
          <w:color w:val="auto"/>
          <w:szCs w:val="21"/>
        </w:rPr>
        <w:t>5.11最后报价结束后，谈判小组不得再与供应商进行任何形式的商谈。</w:t>
      </w:r>
    </w:p>
    <w:p w14:paraId="4DC02050">
      <w:pPr>
        <w:spacing w:line="440" w:lineRule="exact"/>
        <w:ind w:firstLine="472" w:firstLineChars="196"/>
        <w:rPr>
          <w:rFonts w:ascii="宋体" w:hAnsi="宋体" w:cs="宋体"/>
          <w:b/>
          <w:bCs/>
          <w:color w:val="auto"/>
          <w:sz w:val="24"/>
        </w:rPr>
      </w:pPr>
      <w:r>
        <w:rPr>
          <w:rFonts w:hint="eastAsia" w:ascii="宋体" w:hAnsi="宋体" w:cs="宋体"/>
          <w:b/>
          <w:bCs/>
          <w:color w:val="auto"/>
          <w:sz w:val="24"/>
        </w:rPr>
        <w:t>6. 最后报价评审</w:t>
      </w:r>
    </w:p>
    <w:p w14:paraId="726C7651">
      <w:pPr>
        <w:spacing w:line="440" w:lineRule="exact"/>
        <w:ind w:firstLine="420" w:firstLineChars="200"/>
        <w:rPr>
          <w:rFonts w:ascii="宋体" w:hAnsi="宋体" w:cs="宋体"/>
          <w:color w:val="auto"/>
          <w:szCs w:val="21"/>
        </w:rPr>
      </w:pPr>
      <w:r>
        <w:rPr>
          <w:rFonts w:hint="eastAsia" w:ascii="宋体" w:hAnsi="宋体" w:cs="宋体"/>
          <w:color w:val="auto"/>
          <w:szCs w:val="21"/>
        </w:rPr>
        <w:t>6.1评审价为供应商的最后报价进行政策性扣除后的价格，评审价只是作为评审时使用。最终成交供应商的成交金额等于最后报价（如有修正，以确认修正后的最后报价为准）。</w:t>
      </w:r>
    </w:p>
    <w:p w14:paraId="61B96BE3">
      <w:pPr>
        <w:spacing w:line="440" w:lineRule="exact"/>
        <w:ind w:firstLine="420" w:firstLineChars="200"/>
        <w:rPr>
          <w:rFonts w:ascii="宋体" w:hAnsi="宋体" w:cs="宋体"/>
          <w:color w:val="auto"/>
        </w:rPr>
      </w:pPr>
      <w:r>
        <w:rPr>
          <w:rFonts w:ascii="宋体" w:hAnsi="宋体" w:cs="宋体"/>
          <w:color w:val="auto"/>
          <w:szCs w:val="21"/>
        </w:rPr>
        <w:t>6.2</w:t>
      </w:r>
      <w:r>
        <w:rPr>
          <w:rFonts w:hint="eastAsia" w:ascii="宋体" w:hAnsi="宋体" w:cs="宋体"/>
          <w:color w:val="auto"/>
        </w:rPr>
        <w:t>政策性扣除计算方法。</w:t>
      </w:r>
    </w:p>
    <w:p w14:paraId="210A8F00">
      <w:pPr>
        <w:spacing w:line="440" w:lineRule="exact"/>
        <w:ind w:firstLine="369" w:firstLineChars="176"/>
        <w:rPr>
          <w:rFonts w:ascii="宋体" w:hAnsi="宋体" w:cs="宋体"/>
          <w:color w:val="auto"/>
        </w:rPr>
      </w:pPr>
      <w:r>
        <w:rPr>
          <w:rFonts w:hint="eastAsia" w:ascii="宋体" w:hAnsi="宋体" w:cs="宋体"/>
          <w:color w:val="auto"/>
          <w:szCs w:val="21"/>
        </w:rPr>
        <w:t>根据《政府采购促进中小企业发展管理办法》（财库〔2020〕46号）</w:t>
      </w:r>
      <w:r>
        <w:rPr>
          <w:rFonts w:hint="eastAsia" w:ascii="宋体" w:hAnsi="宋体" w:cs="宋体"/>
          <w:bCs/>
          <w:color w:val="auto"/>
          <w:kern w:val="0"/>
          <w:szCs w:val="21"/>
        </w:rPr>
        <w:t>、</w:t>
      </w:r>
      <w:r>
        <w:rPr>
          <w:rFonts w:hint="eastAsia"/>
          <w:color w:val="auto"/>
        </w:rPr>
        <w:t>《广西壮族自治区财政厅关于持续优化政府采购营商环境推动高质量发展的通知》（桂财采〔2024〕55号）的规定</w:t>
      </w:r>
      <w:r>
        <w:rPr>
          <w:rFonts w:hint="eastAsia" w:ascii="宋体" w:hAnsi="宋体" w:cs="宋体"/>
          <w:color w:val="auto"/>
          <w:szCs w:val="21"/>
        </w:rPr>
        <w:t>，供应商在其响应文件中提供《中小企业声明函》，</w:t>
      </w:r>
      <w:r>
        <w:rPr>
          <w:rFonts w:hint="eastAsia" w:ascii="宋体" w:hAnsi="宋体"/>
          <w:bCs/>
          <w:color w:val="auto"/>
          <w:szCs w:val="21"/>
        </w:rPr>
        <w:t>且其竞标全部货物由小微企业制造的</w:t>
      </w:r>
      <w:r>
        <w:rPr>
          <w:rFonts w:hint="eastAsia" w:ascii="宋体" w:hAnsi="宋体" w:cs="宋体"/>
          <w:color w:val="auto"/>
          <w:szCs w:val="21"/>
        </w:rPr>
        <w:t>，</w:t>
      </w:r>
      <w:r>
        <w:rPr>
          <w:rFonts w:hint="eastAsia" w:ascii="宋体" w:hAnsi="宋体"/>
          <w:bCs/>
          <w:color w:val="auto"/>
          <w:szCs w:val="21"/>
        </w:rPr>
        <w:t>对供应商的竞标报价给予10%的扣除，扣除后的价格为评审价，即评审价=竞标报价×（1-1</w:t>
      </w:r>
      <w:r>
        <w:rPr>
          <w:rFonts w:ascii="宋体" w:hAnsi="宋体"/>
          <w:bCs/>
          <w:color w:val="auto"/>
          <w:szCs w:val="21"/>
        </w:rPr>
        <w:t>0</w:t>
      </w:r>
      <w:r>
        <w:rPr>
          <w:rFonts w:hint="eastAsia" w:ascii="宋体" w:hAnsi="宋体"/>
          <w:bCs/>
          <w:color w:val="auto"/>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宋体" w:hAnsi="宋体"/>
          <w:bCs/>
          <w:color w:val="auto"/>
          <w:szCs w:val="21"/>
          <w:u w:val="single"/>
        </w:rPr>
        <w:t>6%</w:t>
      </w:r>
      <w:r>
        <w:rPr>
          <w:rFonts w:hint="eastAsia" w:ascii="宋体" w:hAnsi="宋体"/>
          <w:bCs/>
          <w:color w:val="auto"/>
          <w:szCs w:val="21"/>
        </w:rPr>
        <w:t>的扣除，用扣除后的价格参加评审，扣除后的价格为评审价，即评审价=竞标报价×（1-</w:t>
      </w:r>
      <w:r>
        <w:rPr>
          <w:rFonts w:hint="eastAsia" w:ascii="宋体" w:hAnsi="宋体"/>
          <w:bCs/>
          <w:color w:val="auto"/>
          <w:szCs w:val="21"/>
          <w:u w:val="single"/>
        </w:rPr>
        <w:t>6</w:t>
      </w:r>
      <w:r>
        <w:rPr>
          <w:rFonts w:hint="eastAsia" w:ascii="宋体" w:hAnsi="宋体"/>
          <w:bCs/>
          <w:color w:val="auto"/>
          <w:szCs w:val="21"/>
        </w:rPr>
        <w:t>%）。</w:t>
      </w:r>
    </w:p>
    <w:p w14:paraId="4EE24AC8">
      <w:pPr>
        <w:spacing w:line="440" w:lineRule="exact"/>
        <w:ind w:firstLine="420" w:firstLineChars="200"/>
        <w:rPr>
          <w:rFonts w:ascii="宋体" w:hAnsi="宋体" w:cs="宋体"/>
          <w:color w:val="auto"/>
          <w:szCs w:val="21"/>
        </w:rPr>
      </w:pPr>
      <w:r>
        <w:rPr>
          <w:rFonts w:ascii="宋体" w:hAnsi="宋体" w:cs="宋体"/>
          <w:color w:val="auto"/>
          <w:szCs w:val="21"/>
        </w:rPr>
        <w:t>6.3</w:t>
      </w:r>
      <w:r>
        <w:rPr>
          <w:rFonts w:hint="eastAsia" w:ascii="宋体" w:hAnsi="宋体" w:cs="宋体"/>
          <w:color w:val="auto"/>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AF3955A">
      <w:pPr>
        <w:spacing w:line="440" w:lineRule="exact"/>
        <w:ind w:firstLine="420" w:firstLineChars="200"/>
        <w:rPr>
          <w:rFonts w:ascii="宋体" w:hAnsi="宋体" w:cs="宋体"/>
          <w:color w:val="auto"/>
        </w:rPr>
      </w:pPr>
      <w:r>
        <w:rPr>
          <w:rFonts w:ascii="宋体" w:hAnsi="宋体" w:cs="宋体"/>
          <w:color w:val="auto"/>
          <w:szCs w:val="21"/>
        </w:rPr>
        <w:t>6.4</w:t>
      </w:r>
      <w:r>
        <w:rPr>
          <w:rFonts w:hint="eastAsia" w:ascii="宋体" w:hAnsi="宋体" w:cs="宋体"/>
          <w:color w:val="auto"/>
          <w:szCs w:val="21"/>
        </w:rPr>
        <w:t>按照《关于促进残疾人就业政府采购政策的通知》（财库〔2017〕141号）的规定，残疾人福利性单位视同小型、微型企业，享受预留份额、评审中价格扣除等</w:t>
      </w:r>
      <w:r>
        <w:rPr>
          <w:rFonts w:hint="eastAsia" w:ascii="宋体" w:hAnsi="宋体" w:cs="宋体"/>
          <w:color w:val="auto"/>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1D79076">
      <w:pPr>
        <w:spacing w:line="440" w:lineRule="exact"/>
        <w:ind w:firstLine="420" w:firstLineChars="200"/>
        <w:rPr>
          <w:rFonts w:ascii="宋体" w:hAnsi="宋体" w:cs="宋体"/>
          <w:color w:val="auto"/>
        </w:rPr>
      </w:pPr>
      <w:r>
        <w:rPr>
          <w:rFonts w:ascii="宋体" w:hAnsi="宋体" w:cs="宋体"/>
          <w:color w:val="auto"/>
        </w:rPr>
        <w:t>6.5</w:t>
      </w:r>
      <w:r>
        <w:rPr>
          <w:rFonts w:hint="eastAsia" w:ascii="宋体" w:hAnsi="宋体" w:cs="宋体"/>
          <w:color w:val="auto"/>
        </w:rPr>
        <w:t>除上述情况外，评审价＝最后报价。</w:t>
      </w:r>
    </w:p>
    <w:p w14:paraId="00366093">
      <w:pPr>
        <w:spacing w:line="440" w:lineRule="exact"/>
        <w:ind w:firstLine="643"/>
        <w:jc w:val="center"/>
        <w:rPr>
          <w:rFonts w:ascii="宋体" w:hAnsi="宋体" w:cs="宋体"/>
          <w:b/>
          <w:color w:val="auto"/>
          <w:sz w:val="32"/>
          <w:szCs w:val="32"/>
        </w:rPr>
      </w:pPr>
    </w:p>
    <w:p w14:paraId="570D57B0">
      <w:pPr>
        <w:spacing w:line="440" w:lineRule="exact"/>
        <w:ind w:firstLine="643"/>
        <w:jc w:val="center"/>
        <w:rPr>
          <w:rFonts w:ascii="宋体" w:hAnsi="宋体" w:cs="宋体"/>
          <w:b/>
          <w:color w:val="auto"/>
          <w:sz w:val="32"/>
          <w:szCs w:val="32"/>
        </w:rPr>
      </w:pPr>
      <w:r>
        <w:rPr>
          <w:rFonts w:hint="eastAsia" w:ascii="宋体" w:hAnsi="宋体" w:cs="宋体"/>
          <w:b/>
          <w:color w:val="auto"/>
          <w:sz w:val="32"/>
          <w:szCs w:val="32"/>
        </w:rPr>
        <w:t>二、评定成交的标准</w:t>
      </w:r>
    </w:p>
    <w:p w14:paraId="374249A8">
      <w:pPr>
        <w:spacing w:line="440" w:lineRule="exact"/>
        <w:ind w:firstLine="482" w:firstLineChars="200"/>
        <w:rPr>
          <w:rFonts w:ascii="宋体" w:hAnsi="宋体" w:cs="宋体"/>
          <w:b/>
          <w:bCs/>
          <w:color w:val="auto"/>
          <w:sz w:val="24"/>
        </w:rPr>
      </w:pPr>
      <w:r>
        <w:rPr>
          <w:rFonts w:hint="eastAsia" w:ascii="宋体" w:hAnsi="宋体" w:cs="宋体"/>
          <w:b/>
          <w:bCs/>
          <w:color w:val="auto"/>
          <w:sz w:val="24"/>
        </w:rPr>
        <w:t>7. 成交候选人推荐</w:t>
      </w:r>
    </w:p>
    <w:p w14:paraId="676360CA">
      <w:pPr>
        <w:spacing w:line="440" w:lineRule="exact"/>
        <w:ind w:firstLine="420" w:firstLineChars="200"/>
        <w:rPr>
          <w:rFonts w:ascii="宋体" w:hAnsi="宋体" w:cs="宋体"/>
          <w:color w:val="auto"/>
        </w:rPr>
      </w:pPr>
      <w:r>
        <w:rPr>
          <w:rFonts w:hint="eastAsia" w:ascii="宋体" w:hAnsi="宋体" w:cs="宋体"/>
          <w:color w:val="auto"/>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26条规定的顺序推荐），并编写评审报告，评审报告通过电子交易平台向采购人、采购代理机构提交。</w:t>
      </w:r>
    </w:p>
    <w:p w14:paraId="41B11613">
      <w:pPr>
        <w:widowControl/>
        <w:spacing w:before="120" w:line="440" w:lineRule="exact"/>
        <w:jc w:val="left"/>
        <w:rPr>
          <w:b/>
          <w:bCs/>
          <w:color w:val="auto"/>
          <w:spacing w:val="10"/>
          <w:kern w:val="0"/>
          <w:sz w:val="24"/>
        </w:rPr>
      </w:pPr>
      <w:r>
        <w:rPr>
          <w:rFonts w:hint="eastAsia" w:ascii="宋体" w:hAnsi="宋体" w:cs="宋体"/>
          <w:b/>
          <w:color w:val="auto"/>
        </w:rPr>
        <w:t xml:space="preserve"> </w:t>
      </w:r>
    </w:p>
    <w:p w14:paraId="3D29C3C1">
      <w:pPr>
        <w:pStyle w:val="68"/>
        <w:spacing w:before="120"/>
        <w:ind w:firstLine="520"/>
        <w:jc w:val="left"/>
        <w:rPr>
          <w:color w:val="auto"/>
        </w:rPr>
        <w:sectPr>
          <w:pgSz w:w="11910" w:h="16840"/>
          <w:pgMar w:top="1440" w:right="1803" w:bottom="1440" w:left="1803" w:header="720" w:footer="720" w:gutter="0"/>
          <w:cols w:space="720" w:num="1"/>
        </w:sectPr>
      </w:pPr>
    </w:p>
    <w:p w14:paraId="24717E84">
      <w:pPr>
        <w:pStyle w:val="68"/>
        <w:spacing w:before="120"/>
        <w:ind w:firstLine="520"/>
        <w:jc w:val="left"/>
        <w:rPr>
          <w:color w:val="auto"/>
        </w:rPr>
      </w:pPr>
      <w:r>
        <w:rPr>
          <w:rFonts w:hint="eastAsia"/>
          <w:color w:val="auto"/>
        </w:rPr>
        <w:t>附件：最后报价表格式</w:t>
      </w:r>
    </w:p>
    <w:p w14:paraId="496B85B6">
      <w:pPr>
        <w:pStyle w:val="68"/>
        <w:spacing w:before="120"/>
        <w:ind w:firstLine="520"/>
        <w:rPr>
          <w:color w:val="auto"/>
        </w:rPr>
      </w:pPr>
    </w:p>
    <w:p w14:paraId="1EAD6F83">
      <w:pPr>
        <w:pStyle w:val="68"/>
        <w:spacing w:before="120"/>
        <w:ind w:firstLine="520"/>
        <w:rPr>
          <w:color w:val="auto"/>
        </w:rPr>
      </w:pPr>
      <w:r>
        <w:rPr>
          <w:rFonts w:hint="eastAsia"/>
          <w:color w:val="auto"/>
        </w:rPr>
        <w:t>最后报价表</w:t>
      </w:r>
    </w:p>
    <w:p w14:paraId="3847B07D">
      <w:pPr>
        <w:pStyle w:val="68"/>
        <w:spacing w:before="120"/>
        <w:ind w:firstLine="520"/>
        <w:jc w:val="both"/>
        <w:rPr>
          <w:color w:val="auto"/>
        </w:rPr>
      </w:pPr>
      <w:r>
        <w:rPr>
          <w:rFonts w:hint="eastAsia"/>
          <w:color w:val="auto"/>
        </w:rPr>
        <w:t>项目名称：</w:t>
      </w:r>
    </w:p>
    <w:p w14:paraId="2386777C">
      <w:pPr>
        <w:pStyle w:val="68"/>
        <w:spacing w:before="120"/>
        <w:ind w:firstLine="520"/>
        <w:jc w:val="both"/>
        <w:rPr>
          <w:color w:val="auto"/>
        </w:rPr>
      </w:pPr>
      <w:r>
        <w:rPr>
          <w:rFonts w:hint="eastAsia"/>
          <w:color w:val="auto"/>
        </w:rPr>
        <w:t xml:space="preserve">项目编号：                             </w:t>
      </w:r>
      <w:r>
        <w:rPr>
          <w:rFonts w:hint="eastAsia"/>
          <w:color w:val="auto"/>
          <w:u w:val="single"/>
        </w:rPr>
        <w:t xml:space="preserve">     </w:t>
      </w:r>
      <w:r>
        <w:rPr>
          <w:rFonts w:hint="eastAsia"/>
          <w:color w:val="auto"/>
        </w:rPr>
        <w:t>分标</w:t>
      </w:r>
    </w:p>
    <w:tbl>
      <w:tblPr>
        <w:tblStyle w:val="27"/>
        <w:tblW w:w="81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84"/>
        <w:gridCol w:w="1111"/>
        <w:gridCol w:w="933"/>
        <w:gridCol w:w="892"/>
        <w:gridCol w:w="915"/>
        <w:gridCol w:w="1337"/>
        <w:gridCol w:w="1030"/>
      </w:tblGrid>
      <w:tr w14:paraId="29A3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75" w:type="dxa"/>
            <w:tcBorders>
              <w:top w:val="single" w:color="auto" w:sz="4" w:space="0"/>
              <w:left w:val="single" w:color="auto" w:sz="4" w:space="0"/>
              <w:bottom w:val="single" w:color="auto" w:sz="4" w:space="0"/>
              <w:right w:val="single" w:color="auto" w:sz="4" w:space="0"/>
            </w:tcBorders>
            <w:vAlign w:val="center"/>
          </w:tcPr>
          <w:p w14:paraId="2C32B874">
            <w:pPr>
              <w:pStyle w:val="68"/>
              <w:spacing w:before="120"/>
              <w:jc w:val="both"/>
              <w:rPr>
                <w:color w:val="auto"/>
              </w:rPr>
            </w:pPr>
            <w:r>
              <w:rPr>
                <w:rFonts w:hint="eastAsia"/>
                <w:color w:val="auto"/>
              </w:rPr>
              <w:t>序号</w:t>
            </w:r>
          </w:p>
        </w:tc>
        <w:tc>
          <w:tcPr>
            <w:tcW w:w="1284" w:type="dxa"/>
            <w:tcBorders>
              <w:top w:val="single" w:color="auto" w:sz="4" w:space="0"/>
              <w:left w:val="single" w:color="auto" w:sz="4" w:space="0"/>
              <w:bottom w:val="single" w:color="auto" w:sz="4" w:space="0"/>
              <w:right w:val="single" w:color="auto" w:sz="4" w:space="0"/>
            </w:tcBorders>
            <w:vAlign w:val="center"/>
          </w:tcPr>
          <w:p w14:paraId="3CA25611">
            <w:pPr>
              <w:pStyle w:val="68"/>
              <w:spacing w:before="120"/>
              <w:jc w:val="both"/>
              <w:rPr>
                <w:color w:val="auto"/>
              </w:rPr>
            </w:pPr>
            <w:r>
              <w:rPr>
                <w:rFonts w:hint="eastAsia"/>
                <w:color w:val="auto"/>
              </w:rPr>
              <w:t>标的名称</w:t>
            </w:r>
          </w:p>
        </w:tc>
        <w:tc>
          <w:tcPr>
            <w:tcW w:w="1111" w:type="dxa"/>
            <w:tcBorders>
              <w:top w:val="single" w:color="auto" w:sz="4" w:space="0"/>
              <w:left w:val="single" w:color="auto" w:sz="4" w:space="0"/>
              <w:bottom w:val="single" w:color="auto" w:sz="4" w:space="0"/>
              <w:right w:val="single" w:color="auto" w:sz="4" w:space="0"/>
            </w:tcBorders>
            <w:vAlign w:val="center"/>
          </w:tcPr>
          <w:p w14:paraId="570441DC">
            <w:pPr>
              <w:pStyle w:val="68"/>
              <w:spacing w:before="120"/>
              <w:jc w:val="both"/>
              <w:rPr>
                <w:color w:val="auto"/>
              </w:rPr>
            </w:pPr>
            <w:r>
              <w:rPr>
                <w:rFonts w:hint="eastAsia"/>
                <w:color w:val="auto"/>
              </w:rPr>
              <w:t>品牌</w:t>
            </w:r>
          </w:p>
        </w:tc>
        <w:tc>
          <w:tcPr>
            <w:tcW w:w="933" w:type="dxa"/>
            <w:tcBorders>
              <w:top w:val="single" w:color="auto" w:sz="4" w:space="0"/>
              <w:left w:val="single" w:color="auto" w:sz="4" w:space="0"/>
              <w:bottom w:val="single" w:color="auto" w:sz="4" w:space="0"/>
              <w:right w:val="single" w:color="auto" w:sz="4" w:space="0"/>
            </w:tcBorders>
            <w:vAlign w:val="center"/>
          </w:tcPr>
          <w:p w14:paraId="49EDB892">
            <w:pPr>
              <w:pStyle w:val="68"/>
              <w:spacing w:before="120"/>
              <w:jc w:val="both"/>
              <w:rPr>
                <w:color w:val="auto"/>
              </w:rPr>
            </w:pPr>
            <w:r>
              <w:rPr>
                <w:rFonts w:hint="eastAsia"/>
                <w:color w:val="auto"/>
              </w:rPr>
              <w:t>型号</w:t>
            </w:r>
          </w:p>
        </w:tc>
        <w:tc>
          <w:tcPr>
            <w:tcW w:w="892" w:type="dxa"/>
            <w:tcBorders>
              <w:top w:val="single" w:color="auto" w:sz="4" w:space="0"/>
              <w:left w:val="single" w:color="auto" w:sz="4" w:space="0"/>
              <w:bottom w:val="single" w:color="auto" w:sz="4" w:space="0"/>
              <w:right w:val="single" w:color="auto" w:sz="4" w:space="0"/>
            </w:tcBorders>
            <w:vAlign w:val="center"/>
          </w:tcPr>
          <w:p w14:paraId="7D7339EE">
            <w:pPr>
              <w:pStyle w:val="68"/>
              <w:spacing w:before="120"/>
              <w:jc w:val="both"/>
              <w:rPr>
                <w:color w:val="auto"/>
              </w:rPr>
            </w:pPr>
            <w:r>
              <w:rPr>
                <w:rFonts w:hint="eastAsia"/>
                <w:color w:val="auto"/>
              </w:rPr>
              <w:t>数量</w:t>
            </w:r>
          </w:p>
        </w:tc>
        <w:tc>
          <w:tcPr>
            <w:tcW w:w="915" w:type="dxa"/>
            <w:tcBorders>
              <w:top w:val="single" w:color="auto" w:sz="4" w:space="0"/>
              <w:left w:val="single" w:color="auto" w:sz="4" w:space="0"/>
              <w:bottom w:val="single" w:color="auto" w:sz="4" w:space="0"/>
              <w:right w:val="single" w:color="auto" w:sz="4" w:space="0"/>
            </w:tcBorders>
            <w:vAlign w:val="center"/>
          </w:tcPr>
          <w:p w14:paraId="09C0A667">
            <w:pPr>
              <w:pStyle w:val="68"/>
              <w:spacing w:before="120"/>
              <w:jc w:val="both"/>
              <w:rPr>
                <w:color w:val="auto"/>
              </w:rPr>
            </w:pPr>
            <w:r>
              <w:rPr>
                <w:rFonts w:hint="eastAsia"/>
                <w:color w:val="auto"/>
              </w:rPr>
              <w:t>单位</w:t>
            </w:r>
          </w:p>
        </w:tc>
        <w:tc>
          <w:tcPr>
            <w:tcW w:w="1337" w:type="dxa"/>
            <w:tcBorders>
              <w:top w:val="single" w:color="auto" w:sz="4" w:space="0"/>
              <w:left w:val="single" w:color="auto" w:sz="4" w:space="0"/>
              <w:bottom w:val="single" w:color="auto" w:sz="4" w:space="0"/>
              <w:right w:val="single" w:color="auto" w:sz="4" w:space="0"/>
            </w:tcBorders>
            <w:vAlign w:val="center"/>
          </w:tcPr>
          <w:p w14:paraId="062F5CA1">
            <w:pPr>
              <w:pStyle w:val="68"/>
              <w:spacing w:before="120"/>
              <w:jc w:val="both"/>
              <w:rPr>
                <w:color w:val="auto"/>
              </w:rPr>
            </w:pPr>
            <w:r>
              <w:rPr>
                <w:rFonts w:hint="eastAsia"/>
                <w:color w:val="auto"/>
              </w:rPr>
              <w:t>单价</w:t>
            </w:r>
          </w:p>
        </w:tc>
        <w:tc>
          <w:tcPr>
            <w:tcW w:w="1030" w:type="dxa"/>
            <w:tcBorders>
              <w:top w:val="single" w:color="auto" w:sz="4" w:space="0"/>
              <w:left w:val="single" w:color="auto" w:sz="4" w:space="0"/>
              <w:bottom w:val="single" w:color="auto" w:sz="4" w:space="0"/>
              <w:right w:val="single" w:color="auto" w:sz="4" w:space="0"/>
            </w:tcBorders>
            <w:vAlign w:val="center"/>
          </w:tcPr>
          <w:p w14:paraId="7EDAA2D9">
            <w:pPr>
              <w:pStyle w:val="68"/>
              <w:spacing w:before="120"/>
              <w:jc w:val="both"/>
              <w:rPr>
                <w:color w:val="auto"/>
              </w:rPr>
            </w:pPr>
            <w:r>
              <w:rPr>
                <w:rFonts w:hint="eastAsia"/>
                <w:color w:val="auto"/>
              </w:rPr>
              <w:t>合价</w:t>
            </w:r>
          </w:p>
        </w:tc>
      </w:tr>
      <w:tr w14:paraId="716F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75" w:type="dxa"/>
            <w:tcBorders>
              <w:top w:val="single" w:color="auto" w:sz="4" w:space="0"/>
              <w:left w:val="single" w:color="auto" w:sz="4" w:space="0"/>
              <w:bottom w:val="single" w:color="auto" w:sz="4" w:space="0"/>
              <w:right w:val="single" w:color="auto" w:sz="4" w:space="0"/>
            </w:tcBorders>
            <w:vAlign w:val="center"/>
          </w:tcPr>
          <w:p w14:paraId="26446B71">
            <w:pPr>
              <w:pStyle w:val="68"/>
              <w:spacing w:before="120"/>
              <w:jc w:val="left"/>
              <w:rPr>
                <w:color w:val="auto"/>
              </w:rPr>
            </w:pPr>
            <w:r>
              <w:rPr>
                <w:rFonts w:hint="eastAsia"/>
                <w:color w:val="auto"/>
              </w:rPr>
              <w:t>1</w:t>
            </w:r>
          </w:p>
        </w:tc>
        <w:tc>
          <w:tcPr>
            <w:tcW w:w="1284" w:type="dxa"/>
            <w:tcBorders>
              <w:top w:val="single" w:color="auto" w:sz="4" w:space="0"/>
              <w:left w:val="single" w:color="auto" w:sz="4" w:space="0"/>
              <w:bottom w:val="single" w:color="auto" w:sz="4" w:space="0"/>
              <w:right w:val="single" w:color="auto" w:sz="4" w:space="0"/>
            </w:tcBorders>
            <w:vAlign w:val="center"/>
          </w:tcPr>
          <w:p w14:paraId="391F58EE">
            <w:pPr>
              <w:pStyle w:val="68"/>
              <w:spacing w:before="120"/>
              <w:ind w:firstLine="520"/>
              <w:rPr>
                <w:color w:val="auto"/>
              </w:rPr>
            </w:pPr>
          </w:p>
        </w:tc>
        <w:tc>
          <w:tcPr>
            <w:tcW w:w="1111" w:type="dxa"/>
            <w:tcBorders>
              <w:top w:val="single" w:color="auto" w:sz="4" w:space="0"/>
              <w:left w:val="single" w:color="auto" w:sz="4" w:space="0"/>
              <w:bottom w:val="single" w:color="auto" w:sz="4" w:space="0"/>
              <w:right w:val="single" w:color="auto" w:sz="4" w:space="0"/>
            </w:tcBorders>
            <w:vAlign w:val="center"/>
          </w:tcPr>
          <w:p w14:paraId="0A0F41C4">
            <w:pPr>
              <w:pStyle w:val="68"/>
              <w:spacing w:before="120"/>
              <w:ind w:firstLine="520"/>
              <w:rPr>
                <w:color w:val="auto"/>
              </w:rPr>
            </w:pPr>
          </w:p>
        </w:tc>
        <w:tc>
          <w:tcPr>
            <w:tcW w:w="933" w:type="dxa"/>
            <w:tcBorders>
              <w:top w:val="single" w:color="auto" w:sz="4" w:space="0"/>
              <w:left w:val="single" w:color="auto" w:sz="4" w:space="0"/>
              <w:bottom w:val="single" w:color="auto" w:sz="4" w:space="0"/>
              <w:right w:val="single" w:color="auto" w:sz="4" w:space="0"/>
            </w:tcBorders>
            <w:vAlign w:val="center"/>
          </w:tcPr>
          <w:p w14:paraId="68FFD15C">
            <w:pPr>
              <w:pStyle w:val="68"/>
              <w:spacing w:before="120"/>
              <w:ind w:firstLine="520"/>
              <w:rPr>
                <w:color w:val="auto"/>
              </w:rPr>
            </w:pPr>
          </w:p>
        </w:tc>
        <w:tc>
          <w:tcPr>
            <w:tcW w:w="892" w:type="dxa"/>
            <w:tcBorders>
              <w:top w:val="single" w:color="auto" w:sz="4" w:space="0"/>
              <w:left w:val="single" w:color="auto" w:sz="4" w:space="0"/>
              <w:bottom w:val="single" w:color="auto" w:sz="4" w:space="0"/>
              <w:right w:val="single" w:color="auto" w:sz="4" w:space="0"/>
            </w:tcBorders>
            <w:vAlign w:val="center"/>
          </w:tcPr>
          <w:p w14:paraId="0231850F">
            <w:pPr>
              <w:pStyle w:val="68"/>
              <w:spacing w:before="120"/>
              <w:ind w:firstLine="520"/>
              <w:rPr>
                <w:color w:val="auto"/>
              </w:rPr>
            </w:pPr>
          </w:p>
        </w:tc>
        <w:tc>
          <w:tcPr>
            <w:tcW w:w="915" w:type="dxa"/>
            <w:tcBorders>
              <w:top w:val="single" w:color="auto" w:sz="4" w:space="0"/>
              <w:left w:val="single" w:color="auto" w:sz="4" w:space="0"/>
              <w:bottom w:val="single" w:color="auto" w:sz="4" w:space="0"/>
              <w:right w:val="single" w:color="auto" w:sz="4" w:space="0"/>
            </w:tcBorders>
            <w:vAlign w:val="center"/>
          </w:tcPr>
          <w:p w14:paraId="03CFB7A8">
            <w:pPr>
              <w:pStyle w:val="68"/>
              <w:spacing w:before="120"/>
              <w:ind w:firstLine="520"/>
              <w:rPr>
                <w:color w:val="auto"/>
              </w:rPr>
            </w:pPr>
          </w:p>
        </w:tc>
        <w:tc>
          <w:tcPr>
            <w:tcW w:w="1337" w:type="dxa"/>
            <w:tcBorders>
              <w:top w:val="single" w:color="auto" w:sz="4" w:space="0"/>
              <w:left w:val="single" w:color="auto" w:sz="4" w:space="0"/>
              <w:bottom w:val="single" w:color="auto" w:sz="4" w:space="0"/>
              <w:right w:val="single" w:color="auto" w:sz="4" w:space="0"/>
            </w:tcBorders>
            <w:vAlign w:val="center"/>
          </w:tcPr>
          <w:p w14:paraId="29AFA4B3">
            <w:pPr>
              <w:pStyle w:val="68"/>
              <w:spacing w:before="120"/>
              <w:ind w:firstLine="520"/>
              <w:rPr>
                <w:color w:val="auto"/>
              </w:rPr>
            </w:pPr>
          </w:p>
        </w:tc>
        <w:tc>
          <w:tcPr>
            <w:tcW w:w="1030" w:type="dxa"/>
            <w:tcBorders>
              <w:top w:val="single" w:color="auto" w:sz="4" w:space="0"/>
              <w:left w:val="single" w:color="auto" w:sz="4" w:space="0"/>
              <w:bottom w:val="single" w:color="auto" w:sz="4" w:space="0"/>
              <w:right w:val="single" w:color="auto" w:sz="4" w:space="0"/>
            </w:tcBorders>
            <w:vAlign w:val="center"/>
          </w:tcPr>
          <w:p w14:paraId="1E6452BB">
            <w:pPr>
              <w:pStyle w:val="68"/>
              <w:spacing w:before="120"/>
              <w:ind w:firstLine="520"/>
              <w:rPr>
                <w:color w:val="auto"/>
              </w:rPr>
            </w:pPr>
          </w:p>
        </w:tc>
      </w:tr>
      <w:tr w14:paraId="2682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75" w:type="dxa"/>
            <w:tcBorders>
              <w:top w:val="single" w:color="auto" w:sz="4" w:space="0"/>
              <w:left w:val="single" w:color="auto" w:sz="4" w:space="0"/>
              <w:bottom w:val="single" w:color="auto" w:sz="4" w:space="0"/>
              <w:right w:val="single" w:color="auto" w:sz="4" w:space="0"/>
            </w:tcBorders>
            <w:vAlign w:val="center"/>
          </w:tcPr>
          <w:p w14:paraId="21030CA1">
            <w:pPr>
              <w:pStyle w:val="68"/>
              <w:spacing w:before="120"/>
              <w:jc w:val="left"/>
              <w:rPr>
                <w:color w:val="auto"/>
              </w:rPr>
            </w:pPr>
            <w:r>
              <w:rPr>
                <w:rFonts w:hint="eastAsia"/>
                <w:color w:val="auto"/>
              </w:rPr>
              <w:t>2</w:t>
            </w:r>
          </w:p>
        </w:tc>
        <w:tc>
          <w:tcPr>
            <w:tcW w:w="1284" w:type="dxa"/>
            <w:tcBorders>
              <w:top w:val="single" w:color="auto" w:sz="4" w:space="0"/>
              <w:left w:val="single" w:color="auto" w:sz="4" w:space="0"/>
              <w:bottom w:val="single" w:color="auto" w:sz="4" w:space="0"/>
              <w:right w:val="single" w:color="auto" w:sz="4" w:space="0"/>
            </w:tcBorders>
            <w:vAlign w:val="center"/>
          </w:tcPr>
          <w:p w14:paraId="264E0EFB">
            <w:pPr>
              <w:pStyle w:val="68"/>
              <w:spacing w:before="120"/>
              <w:ind w:firstLine="520"/>
              <w:rPr>
                <w:color w:val="auto"/>
              </w:rPr>
            </w:pPr>
          </w:p>
        </w:tc>
        <w:tc>
          <w:tcPr>
            <w:tcW w:w="1111" w:type="dxa"/>
            <w:tcBorders>
              <w:top w:val="single" w:color="auto" w:sz="4" w:space="0"/>
              <w:left w:val="single" w:color="auto" w:sz="4" w:space="0"/>
              <w:bottom w:val="single" w:color="auto" w:sz="4" w:space="0"/>
              <w:right w:val="single" w:color="auto" w:sz="4" w:space="0"/>
            </w:tcBorders>
            <w:vAlign w:val="center"/>
          </w:tcPr>
          <w:p w14:paraId="2EB86A02">
            <w:pPr>
              <w:pStyle w:val="68"/>
              <w:spacing w:before="120"/>
              <w:ind w:firstLine="520"/>
              <w:rPr>
                <w:color w:val="auto"/>
              </w:rPr>
            </w:pPr>
          </w:p>
        </w:tc>
        <w:tc>
          <w:tcPr>
            <w:tcW w:w="933" w:type="dxa"/>
            <w:tcBorders>
              <w:top w:val="single" w:color="auto" w:sz="4" w:space="0"/>
              <w:left w:val="single" w:color="auto" w:sz="4" w:space="0"/>
              <w:bottom w:val="single" w:color="auto" w:sz="4" w:space="0"/>
              <w:right w:val="single" w:color="auto" w:sz="4" w:space="0"/>
            </w:tcBorders>
            <w:vAlign w:val="center"/>
          </w:tcPr>
          <w:p w14:paraId="0A8CC4F1">
            <w:pPr>
              <w:pStyle w:val="68"/>
              <w:spacing w:before="120"/>
              <w:ind w:firstLine="520"/>
              <w:rPr>
                <w:color w:val="auto"/>
              </w:rPr>
            </w:pPr>
          </w:p>
        </w:tc>
        <w:tc>
          <w:tcPr>
            <w:tcW w:w="892" w:type="dxa"/>
            <w:tcBorders>
              <w:top w:val="single" w:color="auto" w:sz="4" w:space="0"/>
              <w:left w:val="single" w:color="auto" w:sz="4" w:space="0"/>
              <w:bottom w:val="single" w:color="auto" w:sz="4" w:space="0"/>
              <w:right w:val="single" w:color="auto" w:sz="4" w:space="0"/>
            </w:tcBorders>
            <w:vAlign w:val="center"/>
          </w:tcPr>
          <w:p w14:paraId="3189214B">
            <w:pPr>
              <w:pStyle w:val="68"/>
              <w:spacing w:before="120"/>
              <w:ind w:firstLine="520"/>
              <w:rPr>
                <w:color w:val="auto"/>
              </w:rPr>
            </w:pPr>
          </w:p>
        </w:tc>
        <w:tc>
          <w:tcPr>
            <w:tcW w:w="915" w:type="dxa"/>
            <w:tcBorders>
              <w:top w:val="single" w:color="auto" w:sz="4" w:space="0"/>
              <w:left w:val="single" w:color="auto" w:sz="4" w:space="0"/>
              <w:bottom w:val="single" w:color="auto" w:sz="4" w:space="0"/>
              <w:right w:val="single" w:color="auto" w:sz="4" w:space="0"/>
            </w:tcBorders>
            <w:vAlign w:val="center"/>
          </w:tcPr>
          <w:p w14:paraId="03B13FCD">
            <w:pPr>
              <w:pStyle w:val="68"/>
              <w:spacing w:before="120"/>
              <w:ind w:firstLine="520"/>
              <w:rPr>
                <w:color w:val="auto"/>
              </w:rPr>
            </w:pPr>
          </w:p>
        </w:tc>
        <w:tc>
          <w:tcPr>
            <w:tcW w:w="1337" w:type="dxa"/>
            <w:tcBorders>
              <w:top w:val="single" w:color="auto" w:sz="4" w:space="0"/>
              <w:left w:val="single" w:color="auto" w:sz="4" w:space="0"/>
              <w:bottom w:val="single" w:color="auto" w:sz="4" w:space="0"/>
              <w:right w:val="single" w:color="auto" w:sz="4" w:space="0"/>
            </w:tcBorders>
            <w:vAlign w:val="center"/>
          </w:tcPr>
          <w:p w14:paraId="11CE2F5B">
            <w:pPr>
              <w:pStyle w:val="68"/>
              <w:spacing w:before="120"/>
              <w:ind w:firstLine="520"/>
              <w:rPr>
                <w:color w:val="auto"/>
              </w:rPr>
            </w:pPr>
          </w:p>
        </w:tc>
        <w:tc>
          <w:tcPr>
            <w:tcW w:w="1030" w:type="dxa"/>
            <w:tcBorders>
              <w:top w:val="single" w:color="auto" w:sz="4" w:space="0"/>
              <w:left w:val="single" w:color="auto" w:sz="4" w:space="0"/>
              <w:bottom w:val="single" w:color="auto" w:sz="4" w:space="0"/>
              <w:right w:val="single" w:color="auto" w:sz="4" w:space="0"/>
            </w:tcBorders>
            <w:vAlign w:val="center"/>
          </w:tcPr>
          <w:p w14:paraId="5C13BA60">
            <w:pPr>
              <w:pStyle w:val="68"/>
              <w:spacing w:before="120"/>
              <w:ind w:firstLine="520"/>
              <w:rPr>
                <w:color w:val="auto"/>
              </w:rPr>
            </w:pPr>
          </w:p>
        </w:tc>
      </w:tr>
      <w:tr w14:paraId="1B5D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75" w:type="dxa"/>
            <w:tcBorders>
              <w:top w:val="single" w:color="auto" w:sz="4" w:space="0"/>
              <w:left w:val="single" w:color="auto" w:sz="4" w:space="0"/>
              <w:bottom w:val="single" w:color="auto" w:sz="4" w:space="0"/>
              <w:right w:val="single" w:color="auto" w:sz="4" w:space="0"/>
            </w:tcBorders>
            <w:vAlign w:val="center"/>
          </w:tcPr>
          <w:p w14:paraId="726FE615">
            <w:pPr>
              <w:pStyle w:val="68"/>
              <w:spacing w:before="120"/>
              <w:jc w:val="left"/>
              <w:rPr>
                <w:color w:val="auto"/>
              </w:rPr>
            </w:pPr>
            <w:r>
              <w:rPr>
                <w:rFonts w:hint="eastAsia"/>
                <w:color w:val="auto"/>
              </w:rPr>
              <w:t>3</w:t>
            </w:r>
          </w:p>
        </w:tc>
        <w:tc>
          <w:tcPr>
            <w:tcW w:w="1284" w:type="dxa"/>
            <w:tcBorders>
              <w:top w:val="single" w:color="auto" w:sz="4" w:space="0"/>
              <w:left w:val="single" w:color="auto" w:sz="4" w:space="0"/>
              <w:bottom w:val="single" w:color="auto" w:sz="4" w:space="0"/>
              <w:right w:val="single" w:color="auto" w:sz="4" w:space="0"/>
            </w:tcBorders>
            <w:vAlign w:val="center"/>
          </w:tcPr>
          <w:p w14:paraId="65F8FF64">
            <w:pPr>
              <w:pStyle w:val="68"/>
              <w:spacing w:before="120"/>
              <w:ind w:firstLine="520"/>
              <w:rPr>
                <w:color w:val="auto"/>
              </w:rPr>
            </w:pPr>
          </w:p>
        </w:tc>
        <w:tc>
          <w:tcPr>
            <w:tcW w:w="1111" w:type="dxa"/>
            <w:tcBorders>
              <w:top w:val="single" w:color="auto" w:sz="4" w:space="0"/>
              <w:left w:val="single" w:color="auto" w:sz="4" w:space="0"/>
              <w:bottom w:val="single" w:color="auto" w:sz="4" w:space="0"/>
              <w:right w:val="single" w:color="auto" w:sz="4" w:space="0"/>
            </w:tcBorders>
            <w:vAlign w:val="center"/>
          </w:tcPr>
          <w:p w14:paraId="1462D07C">
            <w:pPr>
              <w:pStyle w:val="68"/>
              <w:spacing w:before="120"/>
              <w:ind w:firstLine="520"/>
              <w:rPr>
                <w:color w:val="auto"/>
              </w:rPr>
            </w:pPr>
          </w:p>
        </w:tc>
        <w:tc>
          <w:tcPr>
            <w:tcW w:w="933" w:type="dxa"/>
            <w:tcBorders>
              <w:top w:val="single" w:color="auto" w:sz="4" w:space="0"/>
              <w:left w:val="single" w:color="auto" w:sz="4" w:space="0"/>
              <w:bottom w:val="single" w:color="auto" w:sz="4" w:space="0"/>
              <w:right w:val="single" w:color="auto" w:sz="4" w:space="0"/>
            </w:tcBorders>
            <w:vAlign w:val="center"/>
          </w:tcPr>
          <w:p w14:paraId="7EF1F19D">
            <w:pPr>
              <w:pStyle w:val="68"/>
              <w:spacing w:before="120"/>
              <w:ind w:firstLine="520"/>
              <w:rPr>
                <w:color w:val="auto"/>
              </w:rPr>
            </w:pPr>
          </w:p>
        </w:tc>
        <w:tc>
          <w:tcPr>
            <w:tcW w:w="892" w:type="dxa"/>
            <w:tcBorders>
              <w:top w:val="single" w:color="auto" w:sz="4" w:space="0"/>
              <w:left w:val="single" w:color="auto" w:sz="4" w:space="0"/>
              <w:bottom w:val="single" w:color="auto" w:sz="4" w:space="0"/>
              <w:right w:val="single" w:color="auto" w:sz="4" w:space="0"/>
            </w:tcBorders>
            <w:vAlign w:val="center"/>
          </w:tcPr>
          <w:p w14:paraId="6E9BC71E">
            <w:pPr>
              <w:pStyle w:val="68"/>
              <w:spacing w:before="120"/>
              <w:ind w:firstLine="520"/>
              <w:rPr>
                <w:color w:val="auto"/>
              </w:rPr>
            </w:pPr>
          </w:p>
        </w:tc>
        <w:tc>
          <w:tcPr>
            <w:tcW w:w="915" w:type="dxa"/>
            <w:tcBorders>
              <w:top w:val="single" w:color="auto" w:sz="4" w:space="0"/>
              <w:left w:val="single" w:color="auto" w:sz="4" w:space="0"/>
              <w:bottom w:val="single" w:color="auto" w:sz="4" w:space="0"/>
              <w:right w:val="single" w:color="auto" w:sz="4" w:space="0"/>
            </w:tcBorders>
            <w:vAlign w:val="center"/>
          </w:tcPr>
          <w:p w14:paraId="1329E335">
            <w:pPr>
              <w:pStyle w:val="68"/>
              <w:spacing w:before="120"/>
              <w:ind w:firstLine="520"/>
              <w:rPr>
                <w:color w:val="auto"/>
              </w:rPr>
            </w:pPr>
          </w:p>
        </w:tc>
        <w:tc>
          <w:tcPr>
            <w:tcW w:w="1337" w:type="dxa"/>
            <w:tcBorders>
              <w:top w:val="single" w:color="auto" w:sz="4" w:space="0"/>
              <w:left w:val="single" w:color="auto" w:sz="4" w:space="0"/>
              <w:bottom w:val="single" w:color="auto" w:sz="4" w:space="0"/>
              <w:right w:val="single" w:color="auto" w:sz="4" w:space="0"/>
            </w:tcBorders>
            <w:vAlign w:val="center"/>
          </w:tcPr>
          <w:p w14:paraId="5B90FA5B">
            <w:pPr>
              <w:pStyle w:val="68"/>
              <w:spacing w:before="120"/>
              <w:ind w:firstLine="520"/>
              <w:rPr>
                <w:color w:val="auto"/>
              </w:rPr>
            </w:pPr>
          </w:p>
        </w:tc>
        <w:tc>
          <w:tcPr>
            <w:tcW w:w="1030" w:type="dxa"/>
            <w:tcBorders>
              <w:top w:val="single" w:color="auto" w:sz="4" w:space="0"/>
              <w:left w:val="single" w:color="auto" w:sz="4" w:space="0"/>
              <w:bottom w:val="single" w:color="auto" w:sz="4" w:space="0"/>
              <w:right w:val="single" w:color="auto" w:sz="4" w:space="0"/>
            </w:tcBorders>
            <w:vAlign w:val="center"/>
          </w:tcPr>
          <w:p w14:paraId="2D19AF3C">
            <w:pPr>
              <w:pStyle w:val="68"/>
              <w:spacing w:before="120"/>
              <w:ind w:firstLine="520"/>
              <w:rPr>
                <w:color w:val="auto"/>
              </w:rPr>
            </w:pPr>
          </w:p>
        </w:tc>
      </w:tr>
      <w:tr w14:paraId="50E8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675" w:type="dxa"/>
            <w:tcBorders>
              <w:top w:val="single" w:color="auto" w:sz="4" w:space="0"/>
              <w:left w:val="single" w:color="auto" w:sz="4" w:space="0"/>
              <w:bottom w:val="single" w:color="auto" w:sz="4" w:space="0"/>
              <w:right w:val="single" w:color="auto" w:sz="4" w:space="0"/>
            </w:tcBorders>
            <w:vAlign w:val="center"/>
          </w:tcPr>
          <w:p w14:paraId="1F74537C">
            <w:pPr>
              <w:pStyle w:val="68"/>
              <w:spacing w:before="120"/>
              <w:jc w:val="left"/>
              <w:rPr>
                <w:color w:val="auto"/>
              </w:rPr>
            </w:pPr>
            <w:r>
              <w:rPr>
                <w:rFonts w:hint="eastAsia"/>
                <w:color w:val="auto"/>
              </w:rPr>
              <w:t>4</w:t>
            </w:r>
          </w:p>
        </w:tc>
        <w:tc>
          <w:tcPr>
            <w:tcW w:w="1284" w:type="dxa"/>
            <w:tcBorders>
              <w:top w:val="single" w:color="auto" w:sz="4" w:space="0"/>
              <w:left w:val="single" w:color="auto" w:sz="4" w:space="0"/>
              <w:bottom w:val="single" w:color="auto" w:sz="4" w:space="0"/>
              <w:right w:val="single" w:color="auto" w:sz="4" w:space="0"/>
            </w:tcBorders>
            <w:vAlign w:val="center"/>
          </w:tcPr>
          <w:p w14:paraId="27043A74">
            <w:pPr>
              <w:pStyle w:val="68"/>
              <w:spacing w:before="120"/>
              <w:ind w:firstLine="520"/>
              <w:rPr>
                <w:color w:val="auto"/>
              </w:rPr>
            </w:pPr>
          </w:p>
        </w:tc>
        <w:tc>
          <w:tcPr>
            <w:tcW w:w="1111" w:type="dxa"/>
            <w:tcBorders>
              <w:top w:val="single" w:color="auto" w:sz="4" w:space="0"/>
              <w:left w:val="single" w:color="auto" w:sz="4" w:space="0"/>
              <w:bottom w:val="single" w:color="auto" w:sz="4" w:space="0"/>
              <w:right w:val="single" w:color="auto" w:sz="4" w:space="0"/>
            </w:tcBorders>
            <w:vAlign w:val="center"/>
          </w:tcPr>
          <w:p w14:paraId="15CB66D0">
            <w:pPr>
              <w:pStyle w:val="68"/>
              <w:spacing w:before="120"/>
              <w:ind w:firstLine="520"/>
              <w:rPr>
                <w:color w:val="auto"/>
              </w:rPr>
            </w:pPr>
          </w:p>
        </w:tc>
        <w:tc>
          <w:tcPr>
            <w:tcW w:w="933" w:type="dxa"/>
            <w:tcBorders>
              <w:top w:val="single" w:color="auto" w:sz="4" w:space="0"/>
              <w:left w:val="single" w:color="auto" w:sz="4" w:space="0"/>
              <w:bottom w:val="single" w:color="auto" w:sz="4" w:space="0"/>
              <w:right w:val="single" w:color="auto" w:sz="4" w:space="0"/>
            </w:tcBorders>
            <w:vAlign w:val="center"/>
          </w:tcPr>
          <w:p w14:paraId="0367E997">
            <w:pPr>
              <w:pStyle w:val="68"/>
              <w:spacing w:before="120"/>
              <w:ind w:firstLine="520"/>
              <w:rPr>
                <w:color w:val="auto"/>
              </w:rPr>
            </w:pPr>
          </w:p>
        </w:tc>
        <w:tc>
          <w:tcPr>
            <w:tcW w:w="892" w:type="dxa"/>
            <w:tcBorders>
              <w:top w:val="single" w:color="auto" w:sz="4" w:space="0"/>
              <w:left w:val="single" w:color="auto" w:sz="4" w:space="0"/>
              <w:bottom w:val="single" w:color="auto" w:sz="4" w:space="0"/>
              <w:right w:val="single" w:color="auto" w:sz="4" w:space="0"/>
            </w:tcBorders>
            <w:vAlign w:val="center"/>
          </w:tcPr>
          <w:p w14:paraId="409FCCCA">
            <w:pPr>
              <w:pStyle w:val="68"/>
              <w:spacing w:before="120"/>
              <w:ind w:firstLine="520"/>
              <w:rPr>
                <w:color w:val="auto"/>
              </w:rPr>
            </w:pPr>
          </w:p>
        </w:tc>
        <w:tc>
          <w:tcPr>
            <w:tcW w:w="915" w:type="dxa"/>
            <w:tcBorders>
              <w:top w:val="single" w:color="auto" w:sz="4" w:space="0"/>
              <w:left w:val="single" w:color="auto" w:sz="4" w:space="0"/>
              <w:bottom w:val="single" w:color="auto" w:sz="4" w:space="0"/>
              <w:right w:val="single" w:color="auto" w:sz="4" w:space="0"/>
            </w:tcBorders>
            <w:vAlign w:val="center"/>
          </w:tcPr>
          <w:p w14:paraId="066620A2">
            <w:pPr>
              <w:pStyle w:val="68"/>
              <w:spacing w:before="120"/>
              <w:ind w:firstLine="520"/>
              <w:rPr>
                <w:color w:val="auto"/>
              </w:rPr>
            </w:pPr>
          </w:p>
        </w:tc>
        <w:tc>
          <w:tcPr>
            <w:tcW w:w="1337" w:type="dxa"/>
            <w:tcBorders>
              <w:top w:val="single" w:color="auto" w:sz="4" w:space="0"/>
              <w:left w:val="single" w:color="auto" w:sz="4" w:space="0"/>
              <w:bottom w:val="single" w:color="auto" w:sz="4" w:space="0"/>
              <w:right w:val="single" w:color="auto" w:sz="4" w:space="0"/>
            </w:tcBorders>
            <w:vAlign w:val="center"/>
          </w:tcPr>
          <w:p w14:paraId="5CB55492">
            <w:pPr>
              <w:pStyle w:val="68"/>
              <w:spacing w:before="120"/>
              <w:ind w:firstLine="520"/>
              <w:rPr>
                <w:color w:val="auto"/>
              </w:rPr>
            </w:pPr>
          </w:p>
        </w:tc>
        <w:tc>
          <w:tcPr>
            <w:tcW w:w="1030" w:type="dxa"/>
            <w:tcBorders>
              <w:top w:val="single" w:color="auto" w:sz="4" w:space="0"/>
              <w:left w:val="single" w:color="auto" w:sz="4" w:space="0"/>
              <w:bottom w:val="single" w:color="auto" w:sz="4" w:space="0"/>
              <w:right w:val="single" w:color="auto" w:sz="4" w:space="0"/>
            </w:tcBorders>
            <w:vAlign w:val="center"/>
          </w:tcPr>
          <w:p w14:paraId="27325F1C">
            <w:pPr>
              <w:pStyle w:val="68"/>
              <w:spacing w:before="120"/>
              <w:ind w:firstLine="520"/>
              <w:rPr>
                <w:color w:val="auto"/>
              </w:rPr>
            </w:pPr>
          </w:p>
        </w:tc>
      </w:tr>
      <w:tr w14:paraId="33B9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75" w:type="dxa"/>
            <w:tcBorders>
              <w:top w:val="single" w:color="auto" w:sz="4" w:space="0"/>
              <w:left w:val="single" w:color="auto" w:sz="4" w:space="0"/>
              <w:bottom w:val="single" w:color="auto" w:sz="4" w:space="0"/>
              <w:right w:val="single" w:color="auto" w:sz="4" w:space="0"/>
            </w:tcBorders>
            <w:vAlign w:val="center"/>
          </w:tcPr>
          <w:p w14:paraId="017ECBE0">
            <w:pPr>
              <w:pStyle w:val="68"/>
              <w:spacing w:before="120"/>
              <w:jc w:val="left"/>
              <w:rPr>
                <w:color w:val="auto"/>
              </w:rPr>
            </w:pPr>
            <w:r>
              <w:rPr>
                <w:rFonts w:hint="eastAsia"/>
                <w:color w:val="auto"/>
              </w:rPr>
              <w:t>……</w:t>
            </w:r>
          </w:p>
        </w:tc>
        <w:tc>
          <w:tcPr>
            <w:tcW w:w="1284" w:type="dxa"/>
            <w:tcBorders>
              <w:top w:val="single" w:color="auto" w:sz="4" w:space="0"/>
              <w:left w:val="single" w:color="auto" w:sz="4" w:space="0"/>
              <w:bottom w:val="single" w:color="auto" w:sz="4" w:space="0"/>
              <w:right w:val="single" w:color="auto" w:sz="4" w:space="0"/>
            </w:tcBorders>
            <w:vAlign w:val="center"/>
          </w:tcPr>
          <w:p w14:paraId="12D9A910">
            <w:pPr>
              <w:pStyle w:val="68"/>
              <w:spacing w:before="120"/>
              <w:ind w:firstLine="520"/>
              <w:rPr>
                <w:color w:val="auto"/>
              </w:rPr>
            </w:pPr>
          </w:p>
        </w:tc>
        <w:tc>
          <w:tcPr>
            <w:tcW w:w="1111" w:type="dxa"/>
            <w:tcBorders>
              <w:top w:val="single" w:color="auto" w:sz="4" w:space="0"/>
              <w:left w:val="single" w:color="auto" w:sz="4" w:space="0"/>
              <w:bottom w:val="single" w:color="auto" w:sz="4" w:space="0"/>
              <w:right w:val="single" w:color="auto" w:sz="4" w:space="0"/>
            </w:tcBorders>
            <w:vAlign w:val="center"/>
          </w:tcPr>
          <w:p w14:paraId="7E093744">
            <w:pPr>
              <w:pStyle w:val="68"/>
              <w:spacing w:before="120"/>
              <w:ind w:firstLine="520"/>
              <w:rPr>
                <w:color w:val="auto"/>
              </w:rPr>
            </w:pPr>
          </w:p>
        </w:tc>
        <w:tc>
          <w:tcPr>
            <w:tcW w:w="933" w:type="dxa"/>
            <w:tcBorders>
              <w:top w:val="single" w:color="auto" w:sz="4" w:space="0"/>
              <w:left w:val="single" w:color="auto" w:sz="4" w:space="0"/>
              <w:bottom w:val="single" w:color="auto" w:sz="4" w:space="0"/>
              <w:right w:val="single" w:color="auto" w:sz="4" w:space="0"/>
            </w:tcBorders>
            <w:vAlign w:val="center"/>
          </w:tcPr>
          <w:p w14:paraId="23DB150B">
            <w:pPr>
              <w:pStyle w:val="68"/>
              <w:spacing w:before="120"/>
              <w:ind w:firstLine="520"/>
              <w:rPr>
                <w:color w:val="auto"/>
              </w:rPr>
            </w:pPr>
          </w:p>
        </w:tc>
        <w:tc>
          <w:tcPr>
            <w:tcW w:w="892" w:type="dxa"/>
            <w:tcBorders>
              <w:top w:val="single" w:color="auto" w:sz="4" w:space="0"/>
              <w:left w:val="single" w:color="auto" w:sz="4" w:space="0"/>
              <w:bottom w:val="single" w:color="auto" w:sz="4" w:space="0"/>
              <w:right w:val="single" w:color="auto" w:sz="4" w:space="0"/>
            </w:tcBorders>
            <w:vAlign w:val="center"/>
          </w:tcPr>
          <w:p w14:paraId="1F20A7DF">
            <w:pPr>
              <w:pStyle w:val="68"/>
              <w:spacing w:before="120"/>
              <w:ind w:firstLine="520"/>
              <w:rPr>
                <w:color w:val="auto"/>
              </w:rPr>
            </w:pPr>
          </w:p>
        </w:tc>
        <w:tc>
          <w:tcPr>
            <w:tcW w:w="915" w:type="dxa"/>
            <w:tcBorders>
              <w:top w:val="single" w:color="auto" w:sz="4" w:space="0"/>
              <w:left w:val="single" w:color="auto" w:sz="4" w:space="0"/>
              <w:bottom w:val="single" w:color="auto" w:sz="4" w:space="0"/>
              <w:right w:val="single" w:color="auto" w:sz="4" w:space="0"/>
            </w:tcBorders>
            <w:vAlign w:val="center"/>
          </w:tcPr>
          <w:p w14:paraId="49814131">
            <w:pPr>
              <w:pStyle w:val="68"/>
              <w:spacing w:before="120"/>
              <w:ind w:firstLine="520"/>
              <w:rPr>
                <w:color w:val="auto"/>
              </w:rPr>
            </w:pPr>
          </w:p>
        </w:tc>
        <w:tc>
          <w:tcPr>
            <w:tcW w:w="1337" w:type="dxa"/>
            <w:tcBorders>
              <w:top w:val="single" w:color="auto" w:sz="4" w:space="0"/>
              <w:left w:val="single" w:color="auto" w:sz="4" w:space="0"/>
              <w:bottom w:val="single" w:color="auto" w:sz="4" w:space="0"/>
              <w:right w:val="single" w:color="auto" w:sz="4" w:space="0"/>
            </w:tcBorders>
            <w:vAlign w:val="center"/>
          </w:tcPr>
          <w:p w14:paraId="52F82690">
            <w:pPr>
              <w:pStyle w:val="68"/>
              <w:spacing w:before="120"/>
              <w:ind w:firstLine="520"/>
              <w:rPr>
                <w:color w:val="auto"/>
              </w:rPr>
            </w:pPr>
          </w:p>
        </w:tc>
        <w:tc>
          <w:tcPr>
            <w:tcW w:w="1030" w:type="dxa"/>
            <w:tcBorders>
              <w:top w:val="single" w:color="auto" w:sz="4" w:space="0"/>
              <w:left w:val="single" w:color="auto" w:sz="4" w:space="0"/>
              <w:bottom w:val="single" w:color="auto" w:sz="4" w:space="0"/>
              <w:right w:val="single" w:color="auto" w:sz="4" w:space="0"/>
            </w:tcBorders>
            <w:vAlign w:val="center"/>
          </w:tcPr>
          <w:p w14:paraId="6823240F">
            <w:pPr>
              <w:pStyle w:val="68"/>
              <w:spacing w:before="120"/>
              <w:ind w:firstLine="520"/>
              <w:rPr>
                <w:color w:val="auto"/>
              </w:rPr>
            </w:pPr>
          </w:p>
        </w:tc>
      </w:tr>
      <w:tr w14:paraId="4C03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177" w:type="dxa"/>
            <w:gridSpan w:val="8"/>
            <w:tcBorders>
              <w:top w:val="single" w:color="auto" w:sz="4" w:space="0"/>
              <w:left w:val="single" w:color="auto" w:sz="4" w:space="0"/>
              <w:bottom w:val="single" w:color="auto" w:sz="4" w:space="0"/>
              <w:right w:val="single" w:color="auto" w:sz="4" w:space="0"/>
            </w:tcBorders>
          </w:tcPr>
          <w:p w14:paraId="403EA0EA">
            <w:pPr>
              <w:pStyle w:val="68"/>
              <w:spacing w:before="120"/>
              <w:jc w:val="both"/>
              <w:rPr>
                <w:color w:val="auto"/>
              </w:rPr>
            </w:pPr>
            <w:r>
              <w:rPr>
                <w:rFonts w:hint="eastAsia"/>
                <w:color w:val="auto"/>
              </w:rPr>
              <w:t>总报价：人民币（大写）                    （￥           ）</w:t>
            </w:r>
          </w:p>
        </w:tc>
      </w:tr>
    </w:tbl>
    <w:p w14:paraId="219F79FF">
      <w:pPr>
        <w:pStyle w:val="68"/>
        <w:spacing w:before="120"/>
        <w:ind w:firstLine="520"/>
        <w:rPr>
          <w:color w:val="auto"/>
        </w:rPr>
      </w:pPr>
    </w:p>
    <w:p w14:paraId="237678AC">
      <w:pPr>
        <w:pStyle w:val="68"/>
        <w:spacing w:before="120"/>
        <w:ind w:firstLine="520"/>
        <w:rPr>
          <w:color w:val="auto"/>
        </w:rPr>
      </w:pPr>
    </w:p>
    <w:p w14:paraId="33CDAB7E">
      <w:pPr>
        <w:pStyle w:val="68"/>
        <w:spacing w:before="120"/>
        <w:ind w:firstLine="520"/>
        <w:rPr>
          <w:color w:val="auto"/>
        </w:rPr>
      </w:pPr>
    </w:p>
    <w:p w14:paraId="2C863F59">
      <w:pPr>
        <w:pStyle w:val="68"/>
        <w:spacing w:before="120"/>
        <w:ind w:firstLine="520"/>
        <w:rPr>
          <w:color w:val="auto"/>
        </w:rPr>
      </w:pPr>
    </w:p>
    <w:p w14:paraId="37C8878F">
      <w:pPr>
        <w:spacing w:before="120" w:line="360" w:lineRule="auto"/>
        <w:ind w:right="480" w:firstLine="3045" w:firstLineChars="1450"/>
        <w:contextualSpacing/>
        <w:rPr>
          <w:rFonts w:ascii="宋体" w:hAnsi="宋体" w:cs="宋体"/>
          <w:color w:val="auto"/>
          <w:szCs w:val="21"/>
          <w:u w:val="single"/>
        </w:rPr>
      </w:pPr>
      <w:r>
        <w:rPr>
          <w:rFonts w:hint="eastAsia" w:ascii="宋体" w:hAnsi="宋体" w:cs="宋体"/>
          <w:color w:val="auto"/>
          <w:szCs w:val="21"/>
        </w:rPr>
        <w:t xml:space="preserve">供应商（电子签章）： </w:t>
      </w:r>
      <w:r>
        <w:rPr>
          <w:rFonts w:hint="eastAsia" w:ascii="宋体" w:hAnsi="宋体" w:cs="宋体"/>
          <w:color w:val="auto"/>
          <w:szCs w:val="21"/>
          <w:u w:val="single"/>
        </w:rPr>
        <w:t xml:space="preserve">                              </w:t>
      </w:r>
    </w:p>
    <w:p w14:paraId="459FF5FA">
      <w:pPr>
        <w:spacing w:before="120" w:line="360" w:lineRule="auto"/>
        <w:ind w:right="480" w:firstLine="5250" w:firstLineChars="2500"/>
        <w:contextualSpacing/>
        <w:rPr>
          <w:rFonts w:ascii="宋体" w:hAnsi="宋体" w:cs="宋体"/>
          <w:color w:val="auto"/>
          <w:szCs w:val="21"/>
        </w:rPr>
      </w:pPr>
      <w:r>
        <w:rPr>
          <w:rFonts w:hint="eastAsia" w:ascii="宋体" w:hAnsi="宋体" w:cs="宋体"/>
          <w:color w:val="auto"/>
          <w:szCs w:val="21"/>
        </w:rPr>
        <w:t>年    月    日</w:t>
      </w:r>
    </w:p>
    <w:p w14:paraId="4212C639">
      <w:pPr>
        <w:pStyle w:val="68"/>
        <w:spacing w:before="120"/>
        <w:ind w:firstLine="520"/>
        <w:rPr>
          <w:color w:val="auto"/>
        </w:rPr>
      </w:pPr>
    </w:p>
    <w:p w14:paraId="3FA5C662">
      <w:pPr>
        <w:pStyle w:val="68"/>
        <w:spacing w:before="120"/>
        <w:ind w:firstLine="520"/>
        <w:rPr>
          <w:color w:val="auto"/>
        </w:rPr>
      </w:pPr>
    </w:p>
    <w:p w14:paraId="4A34E734">
      <w:pPr>
        <w:pStyle w:val="68"/>
        <w:spacing w:before="120"/>
        <w:ind w:firstLine="520"/>
        <w:rPr>
          <w:color w:val="auto"/>
        </w:rPr>
      </w:pPr>
    </w:p>
    <w:p w14:paraId="77473BAE">
      <w:pPr>
        <w:pStyle w:val="68"/>
        <w:spacing w:before="120"/>
        <w:ind w:firstLine="520"/>
        <w:rPr>
          <w:color w:val="auto"/>
        </w:rPr>
      </w:pPr>
    </w:p>
    <w:p w14:paraId="0D933E60">
      <w:pPr>
        <w:pStyle w:val="68"/>
        <w:spacing w:before="120"/>
        <w:ind w:firstLine="520"/>
        <w:rPr>
          <w:color w:val="auto"/>
        </w:rPr>
      </w:pPr>
    </w:p>
    <w:p w14:paraId="1FF95F76">
      <w:pPr>
        <w:pStyle w:val="68"/>
        <w:spacing w:before="120"/>
        <w:ind w:firstLine="520"/>
        <w:rPr>
          <w:color w:val="auto"/>
        </w:rPr>
      </w:pPr>
    </w:p>
    <w:p w14:paraId="69A9BA44">
      <w:pPr>
        <w:pStyle w:val="68"/>
        <w:spacing w:before="120"/>
        <w:ind w:firstLine="520"/>
        <w:rPr>
          <w:color w:val="auto"/>
        </w:rPr>
      </w:pPr>
    </w:p>
    <w:p w14:paraId="1BA5EF09">
      <w:pPr>
        <w:pStyle w:val="68"/>
        <w:spacing w:before="120"/>
        <w:ind w:firstLine="520"/>
        <w:rPr>
          <w:color w:val="auto"/>
        </w:rPr>
      </w:pPr>
    </w:p>
    <w:p w14:paraId="0BB0E6DD">
      <w:pPr>
        <w:pStyle w:val="68"/>
        <w:spacing w:before="120"/>
        <w:ind w:firstLine="520"/>
        <w:rPr>
          <w:color w:val="auto"/>
        </w:rPr>
      </w:pPr>
    </w:p>
    <w:p w14:paraId="43154409">
      <w:pPr>
        <w:pStyle w:val="68"/>
        <w:spacing w:before="120"/>
        <w:ind w:firstLine="520"/>
        <w:rPr>
          <w:color w:val="auto"/>
        </w:rPr>
      </w:pPr>
    </w:p>
    <w:p w14:paraId="06FAB697">
      <w:pPr>
        <w:pStyle w:val="2"/>
        <w:spacing w:before="120"/>
        <w:jc w:val="center"/>
        <w:rPr>
          <w:rFonts w:ascii="宋体" w:hAnsi="宋体" w:cs="宋体"/>
          <w:color w:val="auto"/>
        </w:rPr>
      </w:pPr>
      <w:bookmarkStart w:id="75" w:name="_Toc27681"/>
      <w:bookmarkStart w:id="76" w:name="_Toc129703552"/>
      <w:r>
        <w:rPr>
          <w:rFonts w:hint="eastAsia" w:ascii="宋体" w:hAnsi="宋体" w:cs="宋体"/>
          <w:color w:val="auto"/>
        </w:rPr>
        <w:t>第五章 响应文件格式</w:t>
      </w:r>
      <w:bookmarkEnd w:id="75"/>
      <w:bookmarkEnd w:id="76"/>
    </w:p>
    <w:p w14:paraId="205D21F6">
      <w:pPr>
        <w:widowControl/>
        <w:spacing w:before="120"/>
        <w:ind w:firstLine="643"/>
        <w:jc w:val="left"/>
        <w:rPr>
          <w:rFonts w:ascii="宋体" w:hAnsi="宋体" w:cs="宋体"/>
          <w:b/>
          <w:color w:val="auto"/>
          <w:sz w:val="32"/>
          <w:szCs w:val="32"/>
        </w:rPr>
      </w:pPr>
      <w:r>
        <w:rPr>
          <w:rFonts w:ascii="宋体" w:hAnsi="宋体" w:cs="宋体"/>
          <w:b/>
          <w:color w:val="auto"/>
          <w:sz w:val="32"/>
          <w:szCs w:val="32"/>
        </w:rPr>
        <w:br w:type="page"/>
      </w:r>
    </w:p>
    <w:p w14:paraId="30171C02">
      <w:pPr>
        <w:spacing w:before="120"/>
        <w:ind w:firstLine="420"/>
        <w:rPr>
          <w:color w:val="auto"/>
        </w:rPr>
      </w:pPr>
    </w:p>
    <w:p w14:paraId="4AECD02A">
      <w:pPr>
        <w:spacing w:before="120"/>
        <w:ind w:firstLine="643"/>
        <w:rPr>
          <w:rFonts w:ascii="宋体" w:hAnsi="宋体" w:cs="宋体"/>
          <w:b/>
          <w:color w:val="auto"/>
          <w:sz w:val="32"/>
          <w:szCs w:val="32"/>
        </w:rPr>
      </w:pPr>
      <w:bookmarkStart w:id="77" w:name="_Toc71366060"/>
      <w:bookmarkStart w:id="78" w:name="_Toc71365382"/>
      <w:r>
        <w:rPr>
          <w:rFonts w:hint="eastAsia" w:ascii="宋体" w:hAnsi="宋体" w:cs="宋体"/>
          <w:b/>
          <w:color w:val="auto"/>
          <w:sz w:val="32"/>
          <w:szCs w:val="32"/>
        </w:rPr>
        <w:t>一、资格证明文件格式</w:t>
      </w:r>
      <w:bookmarkEnd w:id="77"/>
      <w:bookmarkEnd w:id="78"/>
    </w:p>
    <w:p w14:paraId="067C9A10">
      <w:pPr>
        <w:snapToGrid w:val="0"/>
        <w:spacing w:before="120" w:beforeLines="50" w:after="50" w:line="360" w:lineRule="auto"/>
        <w:ind w:firstLine="643"/>
        <w:jc w:val="left"/>
        <w:rPr>
          <w:rFonts w:ascii="宋体" w:hAnsi="宋体" w:cs="宋体"/>
          <w:b/>
          <w:color w:val="auto"/>
          <w:sz w:val="24"/>
        </w:rPr>
      </w:pPr>
      <w:r>
        <w:rPr>
          <w:rFonts w:hint="eastAsia" w:ascii="宋体" w:hAnsi="宋体" w:cs="宋体"/>
          <w:b/>
          <w:color w:val="auto"/>
          <w:sz w:val="32"/>
          <w:szCs w:val="32"/>
        </w:rPr>
        <w:t>1.资格证明文件封面格式：</w:t>
      </w:r>
      <w:r>
        <w:rPr>
          <w:rFonts w:hint="eastAsia" w:ascii="宋体" w:hAnsi="宋体" w:cs="宋体"/>
          <w:b/>
          <w:color w:val="auto"/>
          <w:sz w:val="24"/>
        </w:rPr>
        <w:t xml:space="preserve"> </w:t>
      </w:r>
    </w:p>
    <w:p w14:paraId="7D657E86">
      <w:pPr>
        <w:snapToGrid w:val="0"/>
        <w:spacing w:before="120" w:beforeLines="50" w:after="50"/>
        <w:ind w:firstLine="480"/>
        <w:rPr>
          <w:rFonts w:ascii="宋体" w:hAnsi="宋体" w:cs="宋体"/>
          <w:bCs/>
          <w:color w:val="auto"/>
          <w:sz w:val="32"/>
          <w:szCs w:val="20"/>
        </w:rPr>
      </w:pPr>
      <w:r>
        <w:rPr>
          <w:rFonts w:hint="eastAsia" w:ascii="宋体" w:hAnsi="宋体" w:cs="宋体"/>
          <w:color w:val="auto"/>
          <w:sz w:val="24"/>
        </w:rPr>
        <w:t xml:space="preserve">                                                    </w:t>
      </w:r>
    </w:p>
    <w:p w14:paraId="200109F7">
      <w:pPr>
        <w:snapToGrid w:val="0"/>
        <w:spacing w:before="120" w:beforeLines="50" w:after="50"/>
        <w:jc w:val="center"/>
        <w:rPr>
          <w:rFonts w:ascii="宋体" w:hAnsi="宋体" w:cs="宋体"/>
          <w:color w:val="auto"/>
          <w:sz w:val="44"/>
          <w:szCs w:val="44"/>
        </w:rPr>
      </w:pPr>
      <w:r>
        <w:rPr>
          <w:rFonts w:hint="eastAsia" w:ascii="宋体" w:hAnsi="宋体" w:cs="宋体"/>
          <w:color w:val="auto"/>
          <w:sz w:val="44"/>
          <w:szCs w:val="44"/>
        </w:rPr>
        <w:t>电 子 响 应 文 件</w:t>
      </w:r>
    </w:p>
    <w:p w14:paraId="01F2F55E">
      <w:pPr>
        <w:snapToGrid w:val="0"/>
        <w:spacing w:before="120" w:beforeLines="50" w:after="50"/>
        <w:ind w:firstLine="480"/>
        <w:rPr>
          <w:rFonts w:ascii="宋体" w:hAnsi="宋体" w:cs="宋体"/>
          <w:color w:val="auto"/>
          <w:sz w:val="24"/>
          <w:szCs w:val="20"/>
        </w:rPr>
      </w:pPr>
    </w:p>
    <w:p w14:paraId="2B5DA0FC">
      <w:pPr>
        <w:snapToGrid w:val="0"/>
        <w:spacing w:before="120" w:beforeLines="50" w:after="50"/>
        <w:jc w:val="center"/>
        <w:rPr>
          <w:rFonts w:ascii="宋体" w:hAnsi="宋体" w:cs="宋体"/>
          <w:bCs/>
          <w:color w:val="auto"/>
          <w:sz w:val="44"/>
          <w:szCs w:val="44"/>
        </w:rPr>
      </w:pPr>
      <w:r>
        <w:rPr>
          <w:rFonts w:hint="eastAsia" w:ascii="宋体" w:hAnsi="宋体" w:cs="宋体"/>
          <w:bCs/>
          <w:color w:val="auto"/>
          <w:sz w:val="44"/>
          <w:szCs w:val="44"/>
        </w:rPr>
        <w:t>资  格  证  明  文  件</w:t>
      </w:r>
    </w:p>
    <w:p w14:paraId="6B5DC6FB">
      <w:pPr>
        <w:snapToGrid w:val="0"/>
        <w:spacing w:before="120" w:beforeLines="50" w:after="50"/>
        <w:ind w:firstLine="480"/>
        <w:rPr>
          <w:rFonts w:ascii="宋体" w:hAnsi="宋体" w:cs="宋体"/>
          <w:bCs/>
          <w:color w:val="auto"/>
          <w:sz w:val="24"/>
          <w:szCs w:val="20"/>
        </w:rPr>
      </w:pPr>
    </w:p>
    <w:p w14:paraId="72A9BA56">
      <w:pPr>
        <w:snapToGrid w:val="0"/>
        <w:spacing w:before="120" w:beforeLines="50" w:after="50"/>
        <w:ind w:firstLine="480"/>
        <w:rPr>
          <w:rFonts w:ascii="宋体" w:hAnsi="宋体" w:cs="宋体"/>
          <w:bCs/>
          <w:color w:val="auto"/>
          <w:sz w:val="24"/>
          <w:szCs w:val="20"/>
        </w:rPr>
      </w:pPr>
    </w:p>
    <w:p w14:paraId="06D27762">
      <w:pPr>
        <w:snapToGrid w:val="0"/>
        <w:spacing w:before="120" w:beforeLines="50" w:after="50"/>
        <w:ind w:firstLine="480"/>
        <w:rPr>
          <w:rFonts w:ascii="宋体" w:hAnsi="宋体" w:cs="宋体"/>
          <w:bCs/>
          <w:color w:val="auto"/>
          <w:sz w:val="24"/>
          <w:szCs w:val="20"/>
        </w:rPr>
      </w:pPr>
    </w:p>
    <w:p w14:paraId="586C5D53">
      <w:pPr>
        <w:snapToGrid w:val="0"/>
        <w:spacing w:before="120" w:beforeLines="50" w:after="50"/>
        <w:ind w:firstLine="480"/>
        <w:rPr>
          <w:rFonts w:ascii="宋体" w:hAnsi="宋体" w:cs="宋体"/>
          <w:bCs/>
          <w:color w:val="auto"/>
          <w:sz w:val="24"/>
          <w:szCs w:val="20"/>
        </w:rPr>
      </w:pPr>
    </w:p>
    <w:p w14:paraId="2954F5AA">
      <w:pPr>
        <w:snapToGrid w:val="0"/>
        <w:spacing w:before="120" w:beforeLines="50" w:after="50"/>
        <w:ind w:firstLine="480"/>
        <w:rPr>
          <w:rFonts w:ascii="宋体" w:hAnsi="宋体" w:cs="宋体"/>
          <w:bCs/>
          <w:color w:val="auto"/>
          <w:sz w:val="24"/>
          <w:szCs w:val="20"/>
        </w:rPr>
      </w:pPr>
    </w:p>
    <w:p w14:paraId="0E5617A3">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5BC9EAD5">
      <w:pPr>
        <w:snapToGrid w:val="0"/>
        <w:spacing w:before="120" w:beforeLines="50" w:after="50"/>
        <w:ind w:firstLine="720" w:firstLineChars="225"/>
        <w:rPr>
          <w:rFonts w:ascii="宋体" w:hAnsi="宋体" w:cs="宋体"/>
          <w:bCs/>
          <w:color w:val="auto"/>
          <w:sz w:val="32"/>
          <w:szCs w:val="32"/>
        </w:rPr>
      </w:pPr>
    </w:p>
    <w:p w14:paraId="52F64B5B">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7851B7CD">
      <w:pPr>
        <w:snapToGrid w:val="0"/>
        <w:spacing w:before="120" w:beforeLines="50" w:after="50"/>
        <w:ind w:firstLine="720" w:firstLineChars="225"/>
        <w:rPr>
          <w:rFonts w:ascii="宋体" w:hAnsi="宋体" w:cs="宋体"/>
          <w:bCs/>
          <w:color w:val="auto"/>
          <w:sz w:val="32"/>
          <w:szCs w:val="32"/>
        </w:rPr>
      </w:pPr>
      <w:r>
        <w:rPr>
          <w:rFonts w:hint="eastAsia" w:ascii="宋体" w:hAnsi="宋体" w:cs="宋体"/>
          <w:bCs/>
          <w:color w:val="auto"/>
          <w:sz w:val="32"/>
          <w:szCs w:val="32"/>
        </w:rPr>
        <w:t xml:space="preserve"> </w:t>
      </w:r>
    </w:p>
    <w:p w14:paraId="43C866EE">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50C57720">
      <w:pPr>
        <w:snapToGrid w:val="0"/>
        <w:spacing w:before="120" w:beforeLines="50" w:after="50"/>
        <w:ind w:firstLine="720" w:firstLineChars="225"/>
        <w:rPr>
          <w:rFonts w:ascii="宋体" w:hAnsi="宋体" w:cs="宋体"/>
          <w:bCs/>
          <w:color w:val="auto"/>
          <w:sz w:val="32"/>
          <w:szCs w:val="32"/>
        </w:rPr>
      </w:pPr>
    </w:p>
    <w:p w14:paraId="11003EB4">
      <w:pPr>
        <w:pStyle w:val="7"/>
        <w:snapToGrid w:val="0"/>
        <w:spacing w:before="12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0D331E82">
      <w:pPr>
        <w:snapToGrid w:val="0"/>
        <w:spacing w:before="120" w:beforeLines="50" w:after="50"/>
        <w:ind w:firstLine="640" w:firstLineChars="200"/>
        <w:rPr>
          <w:rFonts w:ascii="宋体" w:hAnsi="宋体" w:cs="宋体"/>
          <w:bCs/>
          <w:color w:val="auto"/>
          <w:sz w:val="32"/>
          <w:szCs w:val="32"/>
        </w:rPr>
      </w:pPr>
    </w:p>
    <w:p w14:paraId="008C29C5">
      <w:pPr>
        <w:pStyle w:val="7"/>
        <w:snapToGrid w:val="0"/>
        <w:spacing w:before="120" w:after="50"/>
        <w:ind w:firstLine="720" w:firstLineChars="225"/>
        <w:rPr>
          <w:rFonts w:ascii="宋体" w:hAnsi="宋体" w:cs="宋体"/>
          <w:bCs/>
          <w:color w:val="auto"/>
          <w:sz w:val="32"/>
          <w:szCs w:val="32"/>
        </w:rPr>
      </w:pPr>
    </w:p>
    <w:p w14:paraId="741D1033">
      <w:pPr>
        <w:pStyle w:val="7"/>
        <w:snapToGrid w:val="0"/>
        <w:spacing w:before="120" w:after="50"/>
        <w:ind w:firstLine="720" w:firstLineChars="225"/>
        <w:rPr>
          <w:rFonts w:ascii="宋体" w:hAnsi="宋体" w:cs="宋体"/>
          <w:bCs/>
          <w:color w:val="auto"/>
          <w:sz w:val="32"/>
          <w:szCs w:val="32"/>
        </w:rPr>
      </w:pPr>
    </w:p>
    <w:p w14:paraId="6A97017B">
      <w:pPr>
        <w:pStyle w:val="7"/>
        <w:snapToGrid w:val="0"/>
        <w:spacing w:before="120" w:after="50"/>
        <w:ind w:firstLine="1280" w:firstLineChars="400"/>
        <w:rPr>
          <w:rFonts w:ascii="宋体" w:hAnsi="宋体" w:cs="宋体"/>
          <w:bCs/>
          <w:color w:val="auto"/>
          <w:sz w:val="32"/>
          <w:szCs w:val="32"/>
        </w:rPr>
      </w:pPr>
    </w:p>
    <w:p w14:paraId="63F41F1E">
      <w:pPr>
        <w:snapToGrid w:val="0"/>
        <w:spacing w:before="120" w:beforeLines="50" w:after="50"/>
        <w:ind w:firstLine="640"/>
        <w:jc w:val="center"/>
        <w:rPr>
          <w:rFonts w:ascii="宋体" w:hAnsi="宋体" w:cs="宋体"/>
          <w:color w:val="auto"/>
          <w:sz w:val="32"/>
          <w:szCs w:val="32"/>
        </w:rPr>
      </w:pPr>
      <w:r>
        <w:rPr>
          <w:rFonts w:hint="eastAsia" w:ascii="宋体" w:hAnsi="宋体" w:cs="宋体"/>
          <w:color w:val="auto"/>
          <w:sz w:val="32"/>
          <w:szCs w:val="32"/>
        </w:rPr>
        <w:t>年    月    日</w:t>
      </w:r>
    </w:p>
    <w:p w14:paraId="129842BB">
      <w:pPr>
        <w:snapToGrid w:val="0"/>
        <w:spacing w:before="120" w:beforeLines="50" w:after="50" w:line="360" w:lineRule="auto"/>
        <w:ind w:left="142" w:firstLine="480"/>
        <w:jc w:val="left"/>
        <w:rPr>
          <w:rFonts w:ascii="宋体" w:hAnsi="宋体" w:cs="宋体"/>
          <w:b/>
          <w:bCs/>
          <w:color w:val="auto"/>
          <w:sz w:val="32"/>
          <w:szCs w:val="32"/>
        </w:rPr>
      </w:pPr>
      <w:r>
        <w:rPr>
          <w:rFonts w:hint="eastAsia" w:ascii="宋体" w:hAnsi="宋体" w:cs="宋体"/>
          <w:color w:val="auto"/>
          <w:sz w:val="24"/>
        </w:rPr>
        <w:br w:type="page"/>
      </w:r>
      <w:r>
        <w:rPr>
          <w:rFonts w:hint="eastAsia" w:ascii="宋体" w:hAnsi="宋体" w:cs="宋体"/>
          <w:b/>
          <w:bCs/>
          <w:color w:val="auto"/>
          <w:sz w:val="32"/>
          <w:szCs w:val="32"/>
        </w:rPr>
        <w:t>2.资格证明文件目录</w:t>
      </w:r>
    </w:p>
    <w:p w14:paraId="14F022AC">
      <w:pPr>
        <w:snapToGrid w:val="0"/>
        <w:spacing w:before="120" w:beforeLines="50" w:after="50" w:line="360" w:lineRule="auto"/>
        <w:ind w:firstLine="640"/>
        <w:rPr>
          <w:rFonts w:ascii="宋体" w:hAnsi="宋体" w:cs="宋体"/>
          <w:color w:val="auto"/>
          <w:szCs w:val="21"/>
        </w:rPr>
      </w:pPr>
      <w:r>
        <w:rPr>
          <w:rFonts w:hint="eastAsia" w:ascii="宋体" w:hAnsi="宋体" w:cs="宋体"/>
          <w:color w:val="auto"/>
          <w:szCs w:val="21"/>
        </w:rPr>
        <w:t>根据谈判文件规定及供应商提供的材料自行编写目录（部分格式后附）。</w:t>
      </w:r>
    </w:p>
    <w:p w14:paraId="53C7A394">
      <w:pPr>
        <w:snapToGrid w:val="0"/>
        <w:spacing w:before="120" w:beforeLines="50" w:after="50" w:line="360" w:lineRule="auto"/>
        <w:ind w:firstLine="480"/>
        <w:rPr>
          <w:rFonts w:ascii="宋体" w:hAnsi="宋体" w:cs="宋体"/>
          <w:color w:val="auto"/>
          <w:sz w:val="24"/>
          <w:szCs w:val="20"/>
        </w:rPr>
      </w:pPr>
      <w:r>
        <w:rPr>
          <w:rFonts w:hint="eastAsia" w:ascii="宋体" w:hAnsi="宋体" w:cs="宋体"/>
          <w:color w:val="auto"/>
          <w:sz w:val="24"/>
          <w:szCs w:val="20"/>
        </w:rPr>
        <w:t xml:space="preserve"> </w:t>
      </w:r>
    </w:p>
    <w:p w14:paraId="3F5F7F74">
      <w:pPr>
        <w:spacing w:before="120" w:line="360" w:lineRule="auto"/>
        <w:ind w:firstLine="420"/>
        <w:rPr>
          <w:rFonts w:ascii="宋体" w:hAnsi="宋体" w:cs="宋体"/>
          <w:color w:val="auto"/>
          <w:szCs w:val="21"/>
        </w:rPr>
      </w:pPr>
    </w:p>
    <w:p w14:paraId="1EC0A1F3">
      <w:pPr>
        <w:spacing w:before="120" w:line="360" w:lineRule="auto"/>
        <w:ind w:firstLine="420"/>
        <w:rPr>
          <w:rFonts w:ascii="宋体" w:hAnsi="宋体" w:cs="宋体"/>
          <w:color w:val="auto"/>
          <w:szCs w:val="21"/>
        </w:rPr>
      </w:pPr>
    </w:p>
    <w:p w14:paraId="66A8B2D8">
      <w:pPr>
        <w:spacing w:before="120" w:line="360" w:lineRule="auto"/>
        <w:ind w:firstLine="420"/>
        <w:rPr>
          <w:rFonts w:ascii="宋体" w:hAnsi="宋体" w:cs="宋体"/>
          <w:color w:val="auto"/>
          <w:szCs w:val="21"/>
        </w:rPr>
      </w:pPr>
    </w:p>
    <w:p w14:paraId="366B5894">
      <w:pPr>
        <w:spacing w:before="120" w:line="360" w:lineRule="auto"/>
        <w:ind w:firstLine="420"/>
        <w:rPr>
          <w:rFonts w:ascii="宋体" w:hAnsi="宋体" w:cs="宋体"/>
          <w:color w:val="auto"/>
          <w:szCs w:val="21"/>
        </w:rPr>
      </w:pPr>
    </w:p>
    <w:p w14:paraId="74766CA3">
      <w:pPr>
        <w:spacing w:before="120" w:line="300" w:lineRule="auto"/>
        <w:ind w:firstLine="420"/>
        <w:rPr>
          <w:rFonts w:ascii="宋体" w:hAnsi="宋体" w:cs="宋体"/>
          <w:color w:val="auto"/>
          <w:szCs w:val="21"/>
        </w:rPr>
      </w:pPr>
    </w:p>
    <w:p w14:paraId="2FE48CFD">
      <w:pPr>
        <w:spacing w:before="120" w:line="300" w:lineRule="auto"/>
        <w:ind w:firstLine="420"/>
        <w:rPr>
          <w:rFonts w:ascii="宋体" w:hAnsi="宋体" w:cs="宋体"/>
          <w:color w:val="auto"/>
          <w:szCs w:val="21"/>
        </w:rPr>
      </w:pPr>
    </w:p>
    <w:p w14:paraId="35CAB711">
      <w:pPr>
        <w:spacing w:before="120" w:line="300" w:lineRule="auto"/>
        <w:ind w:firstLine="420"/>
        <w:rPr>
          <w:rFonts w:ascii="宋体" w:hAnsi="宋体" w:cs="宋体"/>
          <w:color w:val="auto"/>
          <w:szCs w:val="21"/>
        </w:rPr>
      </w:pPr>
    </w:p>
    <w:p w14:paraId="2A8F4744">
      <w:pPr>
        <w:spacing w:before="120" w:line="300" w:lineRule="auto"/>
        <w:ind w:firstLine="420"/>
        <w:rPr>
          <w:rFonts w:ascii="宋体" w:hAnsi="宋体" w:cs="宋体"/>
          <w:color w:val="auto"/>
          <w:szCs w:val="21"/>
        </w:rPr>
      </w:pPr>
    </w:p>
    <w:p w14:paraId="54CBC664">
      <w:pPr>
        <w:spacing w:before="120" w:line="300" w:lineRule="auto"/>
        <w:ind w:firstLine="420"/>
        <w:rPr>
          <w:rFonts w:ascii="宋体" w:hAnsi="宋体" w:cs="宋体"/>
          <w:color w:val="auto"/>
          <w:szCs w:val="21"/>
        </w:rPr>
      </w:pPr>
    </w:p>
    <w:p w14:paraId="26D150DD">
      <w:pPr>
        <w:spacing w:before="120" w:line="300" w:lineRule="auto"/>
        <w:ind w:firstLine="420"/>
        <w:rPr>
          <w:rFonts w:ascii="宋体" w:hAnsi="宋体" w:cs="宋体"/>
          <w:color w:val="auto"/>
          <w:szCs w:val="21"/>
        </w:rPr>
      </w:pPr>
    </w:p>
    <w:p w14:paraId="4C486486">
      <w:pPr>
        <w:spacing w:before="120" w:line="300" w:lineRule="auto"/>
        <w:ind w:firstLine="420"/>
        <w:rPr>
          <w:rFonts w:ascii="宋体" w:hAnsi="宋体" w:cs="宋体"/>
          <w:color w:val="auto"/>
          <w:szCs w:val="21"/>
        </w:rPr>
      </w:pPr>
    </w:p>
    <w:p w14:paraId="5CE578B9">
      <w:pPr>
        <w:spacing w:before="120" w:line="300" w:lineRule="auto"/>
        <w:ind w:firstLine="420"/>
        <w:rPr>
          <w:rFonts w:ascii="宋体" w:hAnsi="宋体" w:cs="宋体"/>
          <w:color w:val="auto"/>
          <w:szCs w:val="21"/>
        </w:rPr>
      </w:pPr>
    </w:p>
    <w:p w14:paraId="0815467D">
      <w:pPr>
        <w:spacing w:before="120" w:line="300" w:lineRule="auto"/>
        <w:ind w:firstLine="420"/>
        <w:rPr>
          <w:rFonts w:ascii="宋体" w:hAnsi="宋体" w:cs="宋体"/>
          <w:color w:val="auto"/>
          <w:szCs w:val="21"/>
        </w:rPr>
      </w:pPr>
    </w:p>
    <w:p w14:paraId="0A5F483A">
      <w:pPr>
        <w:spacing w:before="120" w:line="300" w:lineRule="auto"/>
        <w:ind w:firstLine="420"/>
        <w:rPr>
          <w:rFonts w:ascii="宋体" w:hAnsi="宋体" w:cs="宋体"/>
          <w:color w:val="auto"/>
          <w:szCs w:val="21"/>
        </w:rPr>
      </w:pPr>
    </w:p>
    <w:p w14:paraId="3A8847F9">
      <w:pPr>
        <w:spacing w:before="120" w:line="300" w:lineRule="auto"/>
        <w:ind w:firstLine="420"/>
        <w:rPr>
          <w:rFonts w:ascii="宋体" w:hAnsi="宋体" w:cs="宋体"/>
          <w:color w:val="auto"/>
          <w:szCs w:val="21"/>
        </w:rPr>
      </w:pPr>
    </w:p>
    <w:p w14:paraId="578F542F">
      <w:pPr>
        <w:spacing w:before="120" w:line="320" w:lineRule="exact"/>
        <w:ind w:firstLine="420"/>
        <w:jc w:val="left"/>
        <w:rPr>
          <w:rFonts w:ascii="宋体" w:hAnsi="宋体" w:cs="宋体"/>
          <w:color w:val="auto"/>
          <w:szCs w:val="21"/>
        </w:rPr>
      </w:pPr>
    </w:p>
    <w:p w14:paraId="6B828BCD">
      <w:pPr>
        <w:snapToGrid w:val="0"/>
        <w:spacing w:before="120" w:beforeLines="50" w:after="50"/>
        <w:ind w:firstLine="643"/>
        <w:jc w:val="center"/>
        <w:rPr>
          <w:rFonts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供应商直接控股、管理关系信息表</w:t>
      </w:r>
    </w:p>
    <w:p w14:paraId="24D2D281">
      <w:pPr>
        <w:snapToGrid w:val="0"/>
        <w:spacing w:before="120" w:beforeLines="50" w:after="50"/>
        <w:ind w:firstLine="643"/>
        <w:jc w:val="center"/>
        <w:rPr>
          <w:rFonts w:ascii="宋体" w:hAnsi="宋体" w:cs="宋体"/>
          <w:b/>
          <w:color w:val="auto"/>
          <w:sz w:val="32"/>
          <w:szCs w:val="32"/>
        </w:rPr>
      </w:pPr>
    </w:p>
    <w:p w14:paraId="5186EAB9">
      <w:pPr>
        <w:snapToGrid w:val="0"/>
        <w:spacing w:before="120" w:beforeLines="50" w:after="50"/>
        <w:ind w:firstLine="422"/>
        <w:jc w:val="center"/>
        <w:rPr>
          <w:rFonts w:ascii="宋体" w:hAnsi="宋体" w:cs="宋体"/>
          <w:b/>
          <w:color w:val="auto"/>
          <w:szCs w:val="21"/>
        </w:rPr>
      </w:pPr>
      <w:r>
        <w:rPr>
          <w:rFonts w:hint="eastAsia" w:ascii="宋体" w:hAnsi="宋体" w:cs="宋体"/>
          <w:b/>
          <w:color w:val="auto"/>
          <w:szCs w:val="21"/>
        </w:rPr>
        <w:t>供应商直接控股股东信息表</w:t>
      </w:r>
    </w:p>
    <w:p w14:paraId="615B55E3">
      <w:pPr>
        <w:snapToGrid w:val="0"/>
        <w:spacing w:before="120" w:after="120" w:afterLines="50"/>
        <w:ind w:firstLine="422"/>
        <w:jc w:val="center"/>
        <w:rPr>
          <w:rFonts w:ascii="宋体" w:hAnsi="宋体" w:cs="宋体"/>
          <w:b/>
          <w:color w:val="auto"/>
          <w:szCs w:val="21"/>
        </w:rPr>
      </w:pPr>
    </w:p>
    <w:tbl>
      <w:tblPr>
        <w:tblStyle w:val="26"/>
        <w:tblW w:w="8578" w:type="dxa"/>
        <w:jc w:val="center"/>
        <w:shd w:val="clear" w:color="auto" w:fill="FBFBFB"/>
        <w:tblLayout w:type="fixed"/>
        <w:tblCellMar>
          <w:top w:w="0" w:type="dxa"/>
          <w:left w:w="0" w:type="dxa"/>
          <w:bottom w:w="0" w:type="dxa"/>
          <w:right w:w="0" w:type="dxa"/>
        </w:tblCellMar>
      </w:tblPr>
      <w:tblGrid>
        <w:gridCol w:w="934"/>
        <w:gridCol w:w="2170"/>
        <w:gridCol w:w="1130"/>
        <w:gridCol w:w="3550"/>
        <w:gridCol w:w="794"/>
      </w:tblGrid>
      <w:tr w14:paraId="2B2ACFFD">
        <w:tblPrEx>
          <w:shd w:val="clear" w:color="auto" w:fill="FBFBFB"/>
          <w:tblCellMar>
            <w:top w:w="0" w:type="dxa"/>
            <w:left w:w="0" w:type="dxa"/>
            <w:bottom w:w="0" w:type="dxa"/>
            <w:right w:w="0" w:type="dxa"/>
          </w:tblCellMar>
        </w:tblPrEx>
        <w:trPr>
          <w:trHeight w:val="674" w:hRule="atLeast"/>
          <w:tblHeader/>
          <w:jc w:val="center"/>
        </w:trPr>
        <w:tc>
          <w:tcPr>
            <w:tcW w:w="93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FE38768">
            <w:pPr>
              <w:widowControl/>
              <w:spacing w:before="120" w:line="360" w:lineRule="auto"/>
              <w:rPr>
                <w:rFonts w:ascii="宋体" w:hAnsi="宋体" w:cs="宋体"/>
                <w:b/>
                <w:bCs/>
                <w:color w:val="auto"/>
                <w:kern w:val="0"/>
                <w:szCs w:val="21"/>
              </w:rPr>
            </w:pPr>
            <w:r>
              <w:rPr>
                <w:rFonts w:hint="eastAsia" w:ascii="宋体" w:hAnsi="宋体" w:cs="宋体"/>
                <w:b/>
                <w:bCs/>
                <w:color w:val="auto"/>
                <w:kern w:val="0"/>
                <w:szCs w:val="21"/>
              </w:rPr>
              <w:t>序号</w:t>
            </w:r>
          </w:p>
        </w:tc>
        <w:tc>
          <w:tcPr>
            <w:tcW w:w="217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0CDB3CB">
            <w:pPr>
              <w:widowControl/>
              <w:spacing w:before="120" w:line="360" w:lineRule="auto"/>
              <w:rPr>
                <w:rFonts w:ascii="宋体" w:hAnsi="宋体" w:cs="宋体"/>
                <w:b/>
                <w:bCs/>
                <w:color w:val="auto"/>
                <w:kern w:val="0"/>
                <w:szCs w:val="21"/>
              </w:rPr>
            </w:pPr>
            <w:r>
              <w:rPr>
                <w:rFonts w:hint="eastAsia" w:ascii="宋体" w:hAnsi="宋体" w:cs="宋体"/>
                <w:b/>
                <w:bCs/>
                <w:color w:val="auto"/>
                <w:kern w:val="0"/>
                <w:szCs w:val="21"/>
              </w:rPr>
              <w:t>直接控股股东名称</w:t>
            </w:r>
          </w:p>
        </w:tc>
        <w:tc>
          <w:tcPr>
            <w:tcW w:w="113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52A84B1">
            <w:pPr>
              <w:widowControl/>
              <w:spacing w:before="120" w:line="360" w:lineRule="auto"/>
              <w:rPr>
                <w:rFonts w:ascii="宋体" w:hAnsi="宋体" w:cs="宋体"/>
                <w:b/>
                <w:bCs/>
                <w:color w:val="auto"/>
                <w:kern w:val="0"/>
                <w:szCs w:val="21"/>
              </w:rPr>
            </w:pPr>
            <w:r>
              <w:rPr>
                <w:rFonts w:hint="eastAsia" w:ascii="宋体" w:hAnsi="宋体" w:cs="宋体"/>
                <w:b/>
                <w:bCs/>
                <w:color w:val="auto"/>
                <w:kern w:val="0"/>
                <w:szCs w:val="21"/>
              </w:rPr>
              <w:t>出资比例</w:t>
            </w:r>
          </w:p>
        </w:tc>
        <w:tc>
          <w:tcPr>
            <w:tcW w:w="355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2DF9AE6">
            <w:pPr>
              <w:widowControl/>
              <w:spacing w:before="120" w:line="360" w:lineRule="auto"/>
              <w:rPr>
                <w:rFonts w:ascii="宋体" w:hAnsi="宋体" w:cs="宋体"/>
                <w:b/>
                <w:bCs/>
                <w:color w:val="auto"/>
                <w:kern w:val="0"/>
                <w:szCs w:val="21"/>
              </w:rPr>
            </w:pPr>
            <w:r>
              <w:rPr>
                <w:rFonts w:hint="eastAsia" w:ascii="宋体" w:hAnsi="宋体" w:cs="宋体"/>
                <w:b/>
                <w:bCs/>
                <w:color w:val="auto"/>
                <w:kern w:val="0"/>
                <w:szCs w:val="21"/>
              </w:rPr>
              <w:t>身份证号码或者统一社会信用代码</w:t>
            </w:r>
          </w:p>
        </w:tc>
        <w:tc>
          <w:tcPr>
            <w:tcW w:w="79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25A5C5B">
            <w:pPr>
              <w:widowControl/>
              <w:spacing w:before="120" w:line="360" w:lineRule="auto"/>
              <w:rPr>
                <w:rFonts w:ascii="宋体" w:hAnsi="宋体" w:cs="宋体"/>
                <w:b/>
                <w:bCs/>
                <w:color w:val="auto"/>
                <w:kern w:val="0"/>
                <w:szCs w:val="21"/>
              </w:rPr>
            </w:pPr>
            <w:r>
              <w:rPr>
                <w:rFonts w:hint="eastAsia" w:ascii="宋体" w:hAnsi="宋体" w:cs="宋体"/>
                <w:b/>
                <w:bCs/>
                <w:color w:val="auto"/>
                <w:kern w:val="0"/>
                <w:szCs w:val="21"/>
              </w:rPr>
              <w:t>备注</w:t>
            </w:r>
          </w:p>
        </w:tc>
      </w:tr>
      <w:tr w14:paraId="08ED3347">
        <w:tblPrEx>
          <w:shd w:val="clear" w:color="auto" w:fill="FBFBFB"/>
          <w:tblCellMar>
            <w:top w:w="0" w:type="dxa"/>
            <w:left w:w="0" w:type="dxa"/>
            <w:bottom w:w="0" w:type="dxa"/>
            <w:right w:w="0" w:type="dxa"/>
          </w:tblCellMar>
        </w:tblPrEx>
        <w:trPr>
          <w:trHeight w:val="674"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2687C6">
            <w:pPr>
              <w:widowControl/>
              <w:spacing w:before="120" w:line="360" w:lineRule="auto"/>
              <w:rPr>
                <w:rFonts w:ascii="宋体" w:hAnsi="宋体" w:cs="宋体"/>
                <w:color w:val="auto"/>
                <w:kern w:val="0"/>
                <w:szCs w:val="21"/>
              </w:rPr>
            </w:pPr>
            <w:r>
              <w:rPr>
                <w:rFonts w:hint="eastAsia" w:ascii="宋体" w:hAnsi="宋体" w:cs="宋体"/>
                <w:color w:val="auto"/>
                <w:kern w:val="0"/>
                <w:szCs w:val="21"/>
              </w:rPr>
              <w:t>1</w:t>
            </w:r>
          </w:p>
        </w:tc>
        <w:tc>
          <w:tcPr>
            <w:tcW w:w="21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806148">
            <w:pPr>
              <w:widowControl/>
              <w:spacing w:before="120" w:line="360" w:lineRule="auto"/>
              <w:ind w:firstLine="420"/>
              <w:jc w:val="center"/>
              <w:rPr>
                <w:rFonts w:ascii="宋体" w:hAnsi="宋体" w:cs="宋体"/>
                <w:color w:val="auto"/>
                <w:kern w:val="0"/>
                <w:szCs w:val="21"/>
              </w:rPr>
            </w:pPr>
          </w:p>
        </w:tc>
        <w:tc>
          <w:tcPr>
            <w:tcW w:w="113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1A43D7">
            <w:pPr>
              <w:widowControl/>
              <w:spacing w:before="120" w:line="360" w:lineRule="auto"/>
              <w:ind w:firstLine="420"/>
              <w:jc w:val="center"/>
              <w:rPr>
                <w:rFonts w:ascii="宋体" w:hAnsi="宋体" w:cs="宋体"/>
                <w:color w:val="auto"/>
                <w:kern w:val="0"/>
                <w:szCs w:val="21"/>
              </w:rPr>
            </w:pPr>
          </w:p>
        </w:tc>
        <w:tc>
          <w:tcPr>
            <w:tcW w:w="35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705BCC">
            <w:pPr>
              <w:widowControl/>
              <w:spacing w:before="120" w:line="360" w:lineRule="auto"/>
              <w:ind w:firstLine="420"/>
              <w:jc w:val="center"/>
              <w:rPr>
                <w:rFonts w:ascii="宋体" w:hAnsi="宋体" w:cs="宋体"/>
                <w:color w:val="auto"/>
                <w:kern w:val="0"/>
                <w:szCs w:val="21"/>
              </w:rPr>
            </w:pPr>
          </w:p>
        </w:tc>
        <w:tc>
          <w:tcPr>
            <w:tcW w:w="7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FE853EB">
            <w:pPr>
              <w:widowControl/>
              <w:spacing w:before="120" w:line="360" w:lineRule="auto"/>
              <w:ind w:firstLine="420"/>
              <w:jc w:val="center"/>
              <w:rPr>
                <w:rFonts w:ascii="宋体" w:hAnsi="宋体" w:cs="宋体"/>
                <w:color w:val="auto"/>
                <w:kern w:val="0"/>
                <w:szCs w:val="21"/>
              </w:rPr>
            </w:pPr>
          </w:p>
        </w:tc>
      </w:tr>
      <w:tr w14:paraId="34AF2F82">
        <w:tblPrEx>
          <w:shd w:val="clear" w:color="auto" w:fill="FBFBFB"/>
          <w:tblCellMar>
            <w:top w:w="0" w:type="dxa"/>
            <w:left w:w="0" w:type="dxa"/>
            <w:bottom w:w="0" w:type="dxa"/>
            <w:right w:w="0" w:type="dxa"/>
          </w:tblCellMar>
        </w:tblPrEx>
        <w:trPr>
          <w:trHeight w:val="674"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E24964">
            <w:pPr>
              <w:widowControl/>
              <w:spacing w:before="120" w:line="360" w:lineRule="auto"/>
              <w:rPr>
                <w:rFonts w:ascii="宋体" w:hAnsi="宋体" w:cs="宋体"/>
                <w:color w:val="auto"/>
                <w:kern w:val="0"/>
                <w:szCs w:val="21"/>
              </w:rPr>
            </w:pPr>
            <w:r>
              <w:rPr>
                <w:rFonts w:hint="eastAsia" w:ascii="宋体" w:hAnsi="宋体" w:cs="宋体"/>
                <w:color w:val="auto"/>
                <w:kern w:val="0"/>
                <w:szCs w:val="21"/>
              </w:rPr>
              <w:t>2</w:t>
            </w:r>
          </w:p>
        </w:tc>
        <w:tc>
          <w:tcPr>
            <w:tcW w:w="21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0F23AEE">
            <w:pPr>
              <w:widowControl/>
              <w:spacing w:before="120" w:line="360" w:lineRule="auto"/>
              <w:ind w:firstLine="420"/>
              <w:jc w:val="center"/>
              <w:rPr>
                <w:rFonts w:ascii="宋体" w:hAnsi="宋体" w:cs="宋体"/>
                <w:color w:val="auto"/>
                <w:kern w:val="0"/>
                <w:szCs w:val="21"/>
              </w:rPr>
            </w:pPr>
          </w:p>
        </w:tc>
        <w:tc>
          <w:tcPr>
            <w:tcW w:w="113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0C36AD">
            <w:pPr>
              <w:widowControl/>
              <w:spacing w:before="120" w:line="360" w:lineRule="auto"/>
              <w:ind w:firstLine="420"/>
              <w:jc w:val="center"/>
              <w:rPr>
                <w:rFonts w:ascii="宋体" w:hAnsi="宋体" w:cs="宋体"/>
                <w:color w:val="auto"/>
                <w:kern w:val="0"/>
                <w:szCs w:val="21"/>
              </w:rPr>
            </w:pPr>
          </w:p>
        </w:tc>
        <w:tc>
          <w:tcPr>
            <w:tcW w:w="35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911C6D">
            <w:pPr>
              <w:widowControl/>
              <w:spacing w:before="120" w:line="360" w:lineRule="auto"/>
              <w:ind w:firstLine="420"/>
              <w:jc w:val="center"/>
              <w:rPr>
                <w:rFonts w:ascii="宋体" w:hAnsi="宋体" w:cs="宋体"/>
                <w:color w:val="auto"/>
                <w:kern w:val="0"/>
                <w:szCs w:val="21"/>
              </w:rPr>
            </w:pPr>
          </w:p>
        </w:tc>
        <w:tc>
          <w:tcPr>
            <w:tcW w:w="7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7D2065">
            <w:pPr>
              <w:widowControl/>
              <w:spacing w:before="120" w:line="360" w:lineRule="auto"/>
              <w:ind w:firstLine="420"/>
              <w:jc w:val="center"/>
              <w:rPr>
                <w:rFonts w:ascii="宋体" w:hAnsi="宋体" w:cs="宋体"/>
                <w:color w:val="auto"/>
                <w:kern w:val="0"/>
                <w:szCs w:val="21"/>
              </w:rPr>
            </w:pPr>
          </w:p>
        </w:tc>
      </w:tr>
      <w:tr w14:paraId="5835C14D">
        <w:tblPrEx>
          <w:shd w:val="clear" w:color="auto" w:fill="FBFBFB"/>
          <w:tblCellMar>
            <w:top w:w="0" w:type="dxa"/>
            <w:left w:w="0" w:type="dxa"/>
            <w:bottom w:w="0" w:type="dxa"/>
            <w:right w:w="0" w:type="dxa"/>
          </w:tblCellMar>
        </w:tblPrEx>
        <w:trPr>
          <w:trHeight w:val="674"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CBA821">
            <w:pPr>
              <w:widowControl/>
              <w:spacing w:before="120" w:line="360" w:lineRule="auto"/>
              <w:rPr>
                <w:rFonts w:ascii="宋体" w:hAnsi="宋体" w:cs="宋体"/>
                <w:color w:val="auto"/>
                <w:kern w:val="0"/>
                <w:szCs w:val="21"/>
              </w:rPr>
            </w:pPr>
            <w:r>
              <w:rPr>
                <w:rFonts w:hint="eastAsia" w:ascii="宋体" w:hAnsi="宋体" w:cs="宋体"/>
                <w:color w:val="auto"/>
                <w:kern w:val="0"/>
                <w:szCs w:val="21"/>
              </w:rPr>
              <w:t>3</w:t>
            </w:r>
          </w:p>
        </w:tc>
        <w:tc>
          <w:tcPr>
            <w:tcW w:w="21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964970">
            <w:pPr>
              <w:widowControl/>
              <w:spacing w:before="120" w:line="360" w:lineRule="auto"/>
              <w:ind w:firstLine="420"/>
              <w:jc w:val="center"/>
              <w:rPr>
                <w:rFonts w:ascii="宋体" w:hAnsi="宋体" w:cs="宋体"/>
                <w:color w:val="auto"/>
                <w:kern w:val="0"/>
                <w:szCs w:val="21"/>
              </w:rPr>
            </w:pPr>
          </w:p>
        </w:tc>
        <w:tc>
          <w:tcPr>
            <w:tcW w:w="113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D88592">
            <w:pPr>
              <w:widowControl/>
              <w:spacing w:before="120" w:line="360" w:lineRule="auto"/>
              <w:ind w:firstLine="420"/>
              <w:jc w:val="center"/>
              <w:rPr>
                <w:rFonts w:ascii="宋体" w:hAnsi="宋体" w:cs="宋体"/>
                <w:color w:val="auto"/>
                <w:kern w:val="0"/>
                <w:szCs w:val="21"/>
              </w:rPr>
            </w:pPr>
          </w:p>
        </w:tc>
        <w:tc>
          <w:tcPr>
            <w:tcW w:w="35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4263F9">
            <w:pPr>
              <w:widowControl/>
              <w:spacing w:before="120" w:line="360" w:lineRule="auto"/>
              <w:ind w:firstLine="420"/>
              <w:jc w:val="center"/>
              <w:rPr>
                <w:rFonts w:ascii="宋体" w:hAnsi="宋体" w:cs="宋体"/>
                <w:color w:val="auto"/>
                <w:kern w:val="0"/>
                <w:szCs w:val="21"/>
              </w:rPr>
            </w:pPr>
          </w:p>
        </w:tc>
        <w:tc>
          <w:tcPr>
            <w:tcW w:w="7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F4B0A8">
            <w:pPr>
              <w:widowControl/>
              <w:spacing w:before="120" w:line="360" w:lineRule="auto"/>
              <w:ind w:firstLine="420"/>
              <w:jc w:val="center"/>
              <w:rPr>
                <w:rFonts w:ascii="宋体" w:hAnsi="宋体" w:cs="宋体"/>
                <w:color w:val="auto"/>
                <w:kern w:val="0"/>
                <w:szCs w:val="21"/>
              </w:rPr>
            </w:pPr>
          </w:p>
        </w:tc>
      </w:tr>
      <w:tr w14:paraId="2EF3AD04">
        <w:tblPrEx>
          <w:shd w:val="clear" w:color="auto" w:fill="FBFBFB"/>
          <w:tblCellMar>
            <w:top w:w="0" w:type="dxa"/>
            <w:left w:w="0" w:type="dxa"/>
            <w:bottom w:w="0" w:type="dxa"/>
            <w:right w:w="0" w:type="dxa"/>
          </w:tblCellMar>
        </w:tblPrEx>
        <w:trPr>
          <w:trHeight w:val="682"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F522CC">
            <w:pPr>
              <w:widowControl/>
              <w:spacing w:before="120" w:line="360" w:lineRule="auto"/>
              <w:rPr>
                <w:rFonts w:ascii="宋体" w:hAnsi="宋体" w:cs="宋体"/>
                <w:color w:val="auto"/>
                <w:kern w:val="0"/>
                <w:szCs w:val="21"/>
              </w:rPr>
            </w:pPr>
            <w:r>
              <w:rPr>
                <w:rFonts w:hint="eastAsia" w:ascii="宋体" w:hAnsi="宋体" w:cs="宋体"/>
                <w:color w:val="auto"/>
                <w:kern w:val="0"/>
                <w:szCs w:val="21"/>
              </w:rPr>
              <w:t>……</w:t>
            </w:r>
          </w:p>
        </w:tc>
        <w:tc>
          <w:tcPr>
            <w:tcW w:w="217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4F9A0DD">
            <w:pPr>
              <w:widowControl/>
              <w:spacing w:before="120" w:line="360" w:lineRule="auto"/>
              <w:ind w:firstLine="420"/>
              <w:jc w:val="center"/>
              <w:rPr>
                <w:rFonts w:ascii="宋体" w:hAnsi="宋体" w:cs="宋体"/>
                <w:color w:val="auto"/>
                <w:kern w:val="0"/>
                <w:szCs w:val="21"/>
              </w:rPr>
            </w:pPr>
          </w:p>
        </w:tc>
        <w:tc>
          <w:tcPr>
            <w:tcW w:w="113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6E627F">
            <w:pPr>
              <w:widowControl/>
              <w:spacing w:before="120" w:line="360" w:lineRule="auto"/>
              <w:ind w:firstLine="420"/>
              <w:jc w:val="center"/>
              <w:rPr>
                <w:rFonts w:ascii="宋体" w:hAnsi="宋体" w:cs="宋体"/>
                <w:color w:val="auto"/>
                <w:kern w:val="0"/>
                <w:szCs w:val="21"/>
              </w:rPr>
            </w:pPr>
          </w:p>
        </w:tc>
        <w:tc>
          <w:tcPr>
            <w:tcW w:w="35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09CCC9">
            <w:pPr>
              <w:widowControl/>
              <w:spacing w:before="120" w:line="360" w:lineRule="auto"/>
              <w:ind w:firstLine="420"/>
              <w:jc w:val="center"/>
              <w:rPr>
                <w:rFonts w:ascii="宋体" w:hAnsi="宋体" w:cs="宋体"/>
                <w:color w:val="auto"/>
                <w:kern w:val="0"/>
                <w:szCs w:val="21"/>
              </w:rPr>
            </w:pPr>
          </w:p>
        </w:tc>
        <w:tc>
          <w:tcPr>
            <w:tcW w:w="7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E10CB3">
            <w:pPr>
              <w:widowControl/>
              <w:spacing w:before="120" w:line="360" w:lineRule="auto"/>
              <w:ind w:firstLine="420"/>
              <w:jc w:val="center"/>
              <w:rPr>
                <w:rFonts w:ascii="宋体" w:hAnsi="宋体" w:cs="宋体"/>
                <w:color w:val="auto"/>
                <w:kern w:val="0"/>
                <w:szCs w:val="21"/>
              </w:rPr>
            </w:pPr>
          </w:p>
        </w:tc>
      </w:tr>
    </w:tbl>
    <w:p w14:paraId="26F64E5E">
      <w:pPr>
        <w:spacing w:before="120" w:line="360" w:lineRule="auto"/>
        <w:ind w:firstLine="420"/>
        <w:jc w:val="left"/>
        <w:rPr>
          <w:rFonts w:ascii="宋体" w:hAnsi="宋体" w:cs="宋体"/>
          <w:color w:val="auto"/>
          <w:szCs w:val="21"/>
        </w:rPr>
      </w:pPr>
      <w:r>
        <w:rPr>
          <w:rFonts w:hint="eastAsia" w:ascii="宋体" w:hAnsi="宋体" w:cs="宋体"/>
          <w:color w:val="auto"/>
          <w:szCs w:val="21"/>
        </w:rPr>
        <w:t>注：</w:t>
      </w:r>
    </w:p>
    <w:p w14:paraId="7C2E4752">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140FC0F">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2.本表所指的控股关系仅限于直接控股关系，不包括间接的控股关系。公司实际控制人与公司之间的关系不属于本表所指的直接控股关系。</w:t>
      </w:r>
    </w:p>
    <w:p w14:paraId="10F70346">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3.供应商不存在直接控股股东的，则在“直接控股股东名称”填“无”。</w:t>
      </w:r>
    </w:p>
    <w:p w14:paraId="18141BA8">
      <w:pPr>
        <w:spacing w:before="120" w:line="360" w:lineRule="auto"/>
        <w:ind w:firstLine="420" w:firstLineChars="200"/>
        <w:jc w:val="left"/>
        <w:rPr>
          <w:rFonts w:ascii="宋体" w:hAnsi="宋体" w:cs="宋体"/>
          <w:color w:val="auto"/>
          <w:szCs w:val="21"/>
        </w:rPr>
      </w:pPr>
    </w:p>
    <w:p w14:paraId="06E95487">
      <w:pPr>
        <w:spacing w:before="120" w:line="360" w:lineRule="auto"/>
        <w:ind w:firstLine="420" w:firstLineChars="200"/>
        <w:jc w:val="left"/>
        <w:rPr>
          <w:rFonts w:ascii="宋体" w:hAnsi="宋体" w:cs="宋体"/>
          <w:color w:val="auto"/>
          <w:szCs w:val="21"/>
        </w:rPr>
      </w:pPr>
    </w:p>
    <w:p w14:paraId="10CF1E43">
      <w:pPr>
        <w:spacing w:before="120" w:line="360" w:lineRule="auto"/>
        <w:ind w:right="480" w:firstLine="420"/>
        <w:contextualSpacing/>
        <w:jc w:val="center"/>
        <w:rPr>
          <w:rFonts w:ascii="宋体" w:hAnsi="宋体" w:cs="宋体"/>
          <w:color w:val="auto"/>
          <w:szCs w:val="21"/>
          <w:u w:val="single"/>
        </w:rPr>
      </w:pPr>
      <w:r>
        <w:rPr>
          <w:rFonts w:hint="eastAsia" w:ascii="宋体" w:hAnsi="宋体" w:cs="宋体"/>
          <w:color w:val="auto"/>
          <w:szCs w:val="21"/>
        </w:rPr>
        <w:t xml:space="preserve">        法定代表人或者委托代理人（签字或者电子签名）：</w:t>
      </w:r>
      <w:r>
        <w:rPr>
          <w:rFonts w:hint="eastAsia" w:ascii="宋体" w:hAnsi="宋体" w:cs="宋体"/>
          <w:color w:val="auto"/>
          <w:szCs w:val="21"/>
          <w:u w:val="single"/>
        </w:rPr>
        <w:t xml:space="preserve">                    </w:t>
      </w:r>
    </w:p>
    <w:p w14:paraId="66672D3F">
      <w:pPr>
        <w:spacing w:before="120" w:line="360" w:lineRule="auto"/>
        <w:ind w:right="480" w:firstLine="2625" w:firstLineChars="1250"/>
        <w:contextualSpacing/>
        <w:rPr>
          <w:rFonts w:ascii="宋体" w:hAnsi="宋体" w:cs="宋体"/>
          <w:color w:val="auto"/>
          <w:szCs w:val="21"/>
          <w:u w:val="single"/>
        </w:rPr>
      </w:pPr>
      <w:r>
        <w:rPr>
          <w:rFonts w:hint="eastAsia" w:ascii="宋体" w:hAnsi="宋体" w:cs="宋体"/>
          <w:color w:val="auto"/>
          <w:szCs w:val="21"/>
        </w:rPr>
        <w:t xml:space="preserve">供应商（电子签章）： </w:t>
      </w:r>
      <w:r>
        <w:rPr>
          <w:rFonts w:hint="eastAsia" w:ascii="宋体" w:hAnsi="宋体" w:cs="宋体"/>
          <w:color w:val="auto"/>
          <w:szCs w:val="21"/>
          <w:u w:val="single"/>
        </w:rPr>
        <w:t xml:space="preserve">                              </w:t>
      </w:r>
    </w:p>
    <w:p w14:paraId="4BE1E86E">
      <w:pPr>
        <w:spacing w:before="120" w:line="360" w:lineRule="auto"/>
        <w:ind w:right="480" w:firstLine="4620" w:firstLineChars="2200"/>
        <w:contextualSpacing/>
        <w:rPr>
          <w:rFonts w:ascii="宋体" w:hAnsi="宋体" w:cs="宋体"/>
          <w:color w:val="auto"/>
          <w:szCs w:val="21"/>
        </w:rPr>
      </w:pPr>
      <w:r>
        <w:rPr>
          <w:rFonts w:hint="eastAsia" w:ascii="宋体" w:hAnsi="宋体" w:cs="宋体"/>
          <w:color w:val="auto"/>
          <w:szCs w:val="21"/>
        </w:rPr>
        <w:t>年    月    日</w:t>
      </w:r>
    </w:p>
    <w:p w14:paraId="702B784C">
      <w:pPr>
        <w:snapToGrid w:val="0"/>
        <w:spacing w:before="120"/>
        <w:ind w:firstLine="562"/>
        <w:jc w:val="center"/>
        <w:rPr>
          <w:rFonts w:ascii="宋体" w:hAnsi="宋体" w:cs="宋体"/>
          <w:b/>
          <w:color w:val="auto"/>
          <w:sz w:val="28"/>
          <w:szCs w:val="28"/>
        </w:rPr>
      </w:pPr>
      <w:r>
        <w:rPr>
          <w:rFonts w:hint="eastAsia" w:ascii="宋体" w:hAnsi="宋体" w:cs="宋体"/>
          <w:b/>
          <w:color w:val="auto"/>
          <w:sz w:val="28"/>
          <w:szCs w:val="28"/>
        </w:rPr>
        <w:br w:type="page"/>
      </w:r>
    </w:p>
    <w:p w14:paraId="64B10E0F">
      <w:pPr>
        <w:snapToGrid w:val="0"/>
        <w:spacing w:before="120"/>
        <w:ind w:firstLine="643"/>
        <w:jc w:val="center"/>
        <w:rPr>
          <w:rFonts w:ascii="宋体" w:hAnsi="宋体" w:cs="宋体"/>
          <w:b/>
          <w:color w:val="auto"/>
          <w:sz w:val="32"/>
          <w:szCs w:val="32"/>
        </w:rPr>
      </w:pPr>
      <w:r>
        <w:rPr>
          <w:rFonts w:hint="eastAsia" w:ascii="宋体" w:hAnsi="宋体" w:cs="宋体"/>
          <w:b/>
          <w:color w:val="auto"/>
          <w:sz w:val="32"/>
          <w:szCs w:val="32"/>
        </w:rPr>
        <w:t>供应商直接管理关系信息表</w:t>
      </w:r>
    </w:p>
    <w:p w14:paraId="4055DACF">
      <w:pPr>
        <w:snapToGrid w:val="0"/>
        <w:spacing w:before="120"/>
        <w:ind w:firstLine="643"/>
        <w:jc w:val="center"/>
        <w:rPr>
          <w:rFonts w:ascii="宋体" w:hAnsi="宋体" w:cs="宋体"/>
          <w:b/>
          <w:color w:val="auto"/>
          <w:sz w:val="32"/>
          <w:szCs w:val="32"/>
        </w:rPr>
      </w:pPr>
    </w:p>
    <w:tbl>
      <w:tblPr>
        <w:tblStyle w:val="26"/>
        <w:tblW w:w="8426" w:type="dxa"/>
        <w:jc w:val="center"/>
        <w:shd w:val="clear" w:color="auto" w:fill="FBFBFB"/>
        <w:tblLayout w:type="fixed"/>
        <w:tblCellMar>
          <w:top w:w="0" w:type="dxa"/>
          <w:left w:w="0" w:type="dxa"/>
          <w:bottom w:w="0" w:type="dxa"/>
          <w:right w:w="0" w:type="dxa"/>
        </w:tblCellMar>
      </w:tblPr>
      <w:tblGrid>
        <w:gridCol w:w="749"/>
        <w:gridCol w:w="3333"/>
        <w:gridCol w:w="2876"/>
        <w:gridCol w:w="1468"/>
      </w:tblGrid>
      <w:tr w14:paraId="57078C2D">
        <w:tblPrEx>
          <w:shd w:val="clear" w:color="auto" w:fill="FBFBFB"/>
          <w:tblCellMar>
            <w:top w:w="0" w:type="dxa"/>
            <w:left w:w="0" w:type="dxa"/>
            <w:bottom w:w="0" w:type="dxa"/>
            <w:right w:w="0" w:type="dxa"/>
          </w:tblCellMar>
        </w:tblPrEx>
        <w:trPr>
          <w:trHeight w:val="578" w:hRule="atLeast"/>
          <w:tblHeader/>
          <w:jc w:val="center"/>
        </w:trPr>
        <w:tc>
          <w:tcPr>
            <w:tcW w:w="74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86D80D">
            <w:pPr>
              <w:widowControl/>
              <w:spacing w:before="120"/>
              <w:rPr>
                <w:rFonts w:ascii="宋体" w:hAnsi="宋体" w:cs="宋体"/>
                <w:b/>
                <w:bCs/>
                <w:color w:val="auto"/>
                <w:kern w:val="0"/>
                <w:szCs w:val="21"/>
              </w:rPr>
            </w:pPr>
            <w:r>
              <w:rPr>
                <w:rFonts w:hint="eastAsia" w:ascii="宋体" w:hAnsi="宋体" w:cs="宋体"/>
                <w:b/>
                <w:bCs/>
                <w:color w:val="auto"/>
                <w:kern w:val="0"/>
                <w:szCs w:val="21"/>
              </w:rPr>
              <w:t>序号</w:t>
            </w:r>
          </w:p>
        </w:tc>
        <w:tc>
          <w:tcPr>
            <w:tcW w:w="3333"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54CA4FD">
            <w:pPr>
              <w:widowControl/>
              <w:spacing w:before="120"/>
              <w:ind w:firstLine="422"/>
              <w:rPr>
                <w:rFonts w:ascii="宋体" w:hAnsi="宋体" w:cs="宋体"/>
                <w:b/>
                <w:bCs/>
                <w:color w:val="auto"/>
                <w:kern w:val="0"/>
                <w:szCs w:val="21"/>
              </w:rPr>
            </w:pPr>
            <w:r>
              <w:rPr>
                <w:rFonts w:hint="eastAsia" w:ascii="宋体" w:hAnsi="宋体" w:cs="宋体"/>
                <w:b/>
                <w:bCs/>
                <w:color w:val="auto"/>
                <w:kern w:val="0"/>
                <w:szCs w:val="21"/>
              </w:rPr>
              <w:t>直接管理关系单位名称</w:t>
            </w:r>
          </w:p>
        </w:tc>
        <w:tc>
          <w:tcPr>
            <w:tcW w:w="2876"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2D9E485">
            <w:pPr>
              <w:widowControl/>
              <w:spacing w:before="120"/>
              <w:ind w:firstLine="422"/>
              <w:rPr>
                <w:rFonts w:ascii="宋体" w:hAnsi="宋体" w:cs="宋体"/>
                <w:b/>
                <w:bCs/>
                <w:color w:val="auto"/>
                <w:kern w:val="0"/>
                <w:szCs w:val="21"/>
              </w:rPr>
            </w:pPr>
            <w:r>
              <w:rPr>
                <w:rFonts w:hint="eastAsia" w:ascii="宋体" w:hAnsi="宋体" w:cs="宋体"/>
                <w:b/>
                <w:bCs/>
                <w:color w:val="auto"/>
                <w:kern w:val="0"/>
                <w:szCs w:val="21"/>
              </w:rPr>
              <w:t>统一社会信用代码</w:t>
            </w:r>
          </w:p>
        </w:tc>
        <w:tc>
          <w:tcPr>
            <w:tcW w:w="146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7BBD67C">
            <w:pPr>
              <w:widowControl/>
              <w:spacing w:before="120"/>
              <w:ind w:firstLine="422"/>
              <w:rPr>
                <w:rFonts w:ascii="宋体" w:hAnsi="宋体" w:cs="宋体"/>
                <w:b/>
                <w:bCs/>
                <w:color w:val="auto"/>
                <w:kern w:val="0"/>
                <w:szCs w:val="21"/>
              </w:rPr>
            </w:pPr>
            <w:r>
              <w:rPr>
                <w:rFonts w:hint="eastAsia" w:ascii="宋体" w:hAnsi="宋体" w:cs="宋体"/>
                <w:b/>
                <w:bCs/>
                <w:color w:val="auto"/>
                <w:kern w:val="0"/>
                <w:szCs w:val="21"/>
              </w:rPr>
              <w:t>备注</w:t>
            </w:r>
          </w:p>
        </w:tc>
      </w:tr>
      <w:tr w14:paraId="79416764">
        <w:tblPrEx>
          <w:shd w:val="clear" w:color="auto" w:fill="FBFBFB"/>
          <w:tblCellMar>
            <w:top w:w="0" w:type="dxa"/>
            <w:left w:w="0" w:type="dxa"/>
            <w:bottom w:w="0" w:type="dxa"/>
            <w:right w:w="0" w:type="dxa"/>
          </w:tblCellMar>
        </w:tblPrEx>
        <w:trPr>
          <w:trHeight w:val="578" w:hRule="atLeast"/>
          <w:jc w:val="center"/>
        </w:trPr>
        <w:tc>
          <w:tcPr>
            <w:tcW w:w="74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F8DF28">
            <w:pPr>
              <w:widowControl/>
              <w:wordWrap w:val="0"/>
              <w:spacing w:before="120" w:line="200" w:lineRule="atLeast"/>
              <w:rPr>
                <w:rFonts w:ascii="宋体" w:hAnsi="宋体" w:cs="宋体"/>
                <w:color w:val="auto"/>
                <w:kern w:val="0"/>
                <w:szCs w:val="21"/>
              </w:rPr>
            </w:pPr>
            <w:r>
              <w:rPr>
                <w:rFonts w:hint="eastAsia" w:ascii="宋体" w:hAnsi="宋体" w:cs="宋体"/>
                <w:color w:val="auto"/>
                <w:kern w:val="0"/>
                <w:szCs w:val="21"/>
              </w:rPr>
              <w:t>1</w:t>
            </w:r>
          </w:p>
        </w:tc>
        <w:tc>
          <w:tcPr>
            <w:tcW w:w="333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355B9A">
            <w:pPr>
              <w:widowControl/>
              <w:wordWrap w:val="0"/>
              <w:spacing w:before="120" w:line="200" w:lineRule="atLeast"/>
              <w:ind w:firstLine="420"/>
              <w:jc w:val="center"/>
              <w:rPr>
                <w:rFonts w:ascii="宋体" w:hAnsi="宋体" w:cs="宋体"/>
                <w:color w:val="auto"/>
                <w:kern w:val="0"/>
                <w:szCs w:val="21"/>
              </w:rPr>
            </w:pPr>
          </w:p>
        </w:tc>
        <w:tc>
          <w:tcPr>
            <w:tcW w:w="287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E8753B">
            <w:pPr>
              <w:widowControl/>
              <w:wordWrap w:val="0"/>
              <w:spacing w:before="120" w:line="200" w:lineRule="atLeast"/>
              <w:ind w:firstLine="420"/>
              <w:jc w:val="center"/>
              <w:rPr>
                <w:rFonts w:ascii="宋体" w:hAnsi="宋体" w:cs="宋体"/>
                <w:color w:val="auto"/>
                <w:kern w:val="0"/>
                <w:szCs w:val="21"/>
              </w:rPr>
            </w:pPr>
          </w:p>
        </w:tc>
        <w:tc>
          <w:tcPr>
            <w:tcW w:w="14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3ACD3A">
            <w:pPr>
              <w:widowControl/>
              <w:wordWrap w:val="0"/>
              <w:spacing w:before="120" w:line="200" w:lineRule="atLeast"/>
              <w:ind w:firstLine="420"/>
              <w:jc w:val="center"/>
              <w:rPr>
                <w:rFonts w:ascii="宋体" w:hAnsi="宋体" w:cs="宋体"/>
                <w:color w:val="auto"/>
                <w:kern w:val="0"/>
                <w:szCs w:val="21"/>
              </w:rPr>
            </w:pPr>
          </w:p>
        </w:tc>
      </w:tr>
      <w:tr w14:paraId="3064A4FB">
        <w:tblPrEx>
          <w:shd w:val="clear" w:color="auto" w:fill="FBFBFB"/>
          <w:tblCellMar>
            <w:top w:w="0" w:type="dxa"/>
            <w:left w:w="0" w:type="dxa"/>
            <w:bottom w:w="0" w:type="dxa"/>
            <w:right w:w="0" w:type="dxa"/>
          </w:tblCellMar>
        </w:tblPrEx>
        <w:trPr>
          <w:trHeight w:val="578" w:hRule="atLeast"/>
          <w:jc w:val="center"/>
        </w:trPr>
        <w:tc>
          <w:tcPr>
            <w:tcW w:w="74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B4940D">
            <w:pPr>
              <w:widowControl/>
              <w:wordWrap w:val="0"/>
              <w:spacing w:before="120" w:line="200" w:lineRule="atLeast"/>
              <w:rPr>
                <w:rFonts w:ascii="宋体" w:hAnsi="宋体" w:cs="宋体"/>
                <w:color w:val="auto"/>
                <w:kern w:val="0"/>
                <w:szCs w:val="21"/>
              </w:rPr>
            </w:pPr>
            <w:r>
              <w:rPr>
                <w:rFonts w:hint="eastAsia" w:ascii="宋体" w:hAnsi="宋体" w:cs="宋体"/>
                <w:color w:val="auto"/>
                <w:kern w:val="0"/>
                <w:szCs w:val="21"/>
              </w:rPr>
              <w:t>2</w:t>
            </w:r>
          </w:p>
        </w:tc>
        <w:tc>
          <w:tcPr>
            <w:tcW w:w="333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1046D4">
            <w:pPr>
              <w:widowControl/>
              <w:wordWrap w:val="0"/>
              <w:spacing w:before="120" w:line="200" w:lineRule="atLeast"/>
              <w:ind w:firstLine="420"/>
              <w:jc w:val="center"/>
              <w:rPr>
                <w:rFonts w:ascii="宋体" w:hAnsi="宋体" w:cs="宋体"/>
                <w:color w:val="auto"/>
                <w:kern w:val="0"/>
                <w:szCs w:val="21"/>
              </w:rPr>
            </w:pPr>
          </w:p>
        </w:tc>
        <w:tc>
          <w:tcPr>
            <w:tcW w:w="287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342236">
            <w:pPr>
              <w:widowControl/>
              <w:wordWrap w:val="0"/>
              <w:spacing w:before="120" w:line="200" w:lineRule="atLeast"/>
              <w:ind w:firstLine="420"/>
              <w:jc w:val="center"/>
              <w:rPr>
                <w:rFonts w:ascii="宋体" w:hAnsi="宋体" w:cs="宋体"/>
                <w:color w:val="auto"/>
                <w:kern w:val="0"/>
                <w:szCs w:val="21"/>
              </w:rPr>
            </w:pPr>
          </w:p>
        </w:tc>
        <w:tc>
          <w:tcPr>
            <w:tcW w:w="14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74827F">
            <w:pPr>
              <w:widowControl/>
              <w:wordWrap w:val="0"/>
              <w:spacing w:before="120" w:line="200" w:lineRule="atLeast"/>
              <w:ind w:firstLine="420"/>
              <w:jc w:val="center"/>
              <w:rPr>
                <w:rFonts w:ascii="宋体" w:hAnsi="宋体" w:cs="宋体"/>
                <w:color w:val="auto"/>
                <w:kern w:val="0"/>
                <w:szCs w:val="21"/>
              </w:rPr>
            </w:pPr>
          </w:p>
        </w:tc>
      </w:tr>
      <w:tr w14:paraId="66AEC344">
        <w:tblPrEx>
          <w:shd w:val="clear" w:color="auto" w:fill="FBFBFB"/>
          <w:tblCellMar>
            <w:top w:w="0" w:type="dxa"/>
            <w:left w:w="0" w:type="dxa"/>
            <w:bottom w:w="0" w:type="dxa"/>
            <w:right w:w="0" w:type="dxa"/>
          </w:tblCellMar>
        </w:tblPrEx>
        <w:trPr>
          <w:trHeight w:val="578" w:hRule="atLeast"/>
          <w:jc w:val="center"/>
        </w:trPr>
        <w:tc>
          <w:tcPr>
            <w:tcW w:w="74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F3204D">
            <w:pPr>
              <w:widowControl/>
              <w:wordWrap w:val="0"/>
              <w:spacing w:before="120" w:line="200" w:lineRule="atLeast"/>
              <w:rPr>
                <w:rFonts w:ascii="宋体" w:hAnsi="宋体" w:cs="宋体"/>
                <w:color w:val="auto"/>
                <w:kern w:val="0"/>
                <w:szCs w:val="21"/>
              </w:rPr>
            </w:pPr>
            <w:r>
              <w:rPr>
                <w:rFonts w:hint="eastAsia" w:ascii="宋体" w:hAnsi="宋体" w:cs="宋体"/>
                <w:color w:val="auto"/>
                <w:kern w:val="0"/>
                <w:szCs w:val="21"/>
              </w:rPr>
              <w:t>3</w:t>
            </w:r>
          </w:p>
        </w:tc>
        <w:tc>
          <w:tcPr>
            <w:tcW w:w="333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43E54C">
            <w:pPr>
              <w:widowControl/>
              <w:wordWrap w:val="0"/>
              <w:spacing w:before="120" w:line="200" w:lineRule="atLeast"/>
              <w:ind w:firstLine="420"/>
              <w:jc w:val="center"/>
              <w:rPr>
                <w:rFonts w:ascii="宋体" w:hAnsi="宋体" w:cs="宋体"/>
                <w:color w:val="auto"/>
                <w:kern w:val="0"/>
                <w:szCs w:val="21"/>
              </w:rPr>
            </w:pPr>
          </w:p>
        </w:tc>
        <w:tc>
          <w:tcPr>
            <w:tcW w:w="287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5B11D7">
            <w:pPr>
              <w:widowControl/>
              <w:wordWrap w:val="0"/>
              <w:spacing w:before="120" w:line="200" w:lineRule="atLeast"/>
              <w:ind w:firstLine="420"/>
              <w:jc w:val="center"/>
              <w:rPr>
                <w:rFonts w:ascii="宋体" w:hAnsi="宋体" w:cs="宋体"/>
                <w:color w:val="auto"/>
                <w:kern w:val="0"/>
                <w:szCs w:val="21"/>
              </w:rPr>
            </w:pPr>
          </w:p>
        </w:tc>
        <w:tc>
          <w:tcPr>
            <w:tcW w:w="14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366500">
            <w:pPr>
              <w:widowControl/>
              <w:wordWrap w:val="0"/>
              <w:spacing w:before="120" w:line="200" w:lineRule="atLeast"/>
              <w:ind w:firstLine="420"/>
              <w:jc w:val="center"/>
              <w:rPr>
                <w:rFonts w:ascii="宋体" w:hAnsi="宋体" w:cs="宋体"/>
                <w:color w:val="auto"/>
                <w:kern w:val="0"/>
                <w:szCs w:val="21"/>
              </w:rPr>
            </w:pPr>
          </w:p>
        </w:tc>
      </w:tr>
      <w:tr w14:paraId="0990CCE4">
        <w:tblPrEx>
          <w:shd w:val="clear" w:color="auto" w:fill="FBFBFB"/>
          <w:tblCellMar>
            <w:top w:w="0" w:type="dxa"/>
            <w:left w:w="0" w:type="dxa"/>
            <w:bottom w:w="0" w:type="dxa"/>
            <w:right w:w="0" w:type="dxa"/>
          </w:tblCellMar>
        </w:tblPrEx>
        <w:trPr>
          <w:trHeight w:val="587" w:hRule="atLeast"/>
          <w:jc w:val="center"/>
        </w:trPr>
        <w:tc>
          <w:tcPr>
            <w:tcW w:w="74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A4D6A38">
            <w:pPr>
              <w:widowControl/>
              <w:wordWrap w:val="0"/>
              <w:spacing w:before="120" w:line="200" w:lineRule="atLeast"/>
              <w:rPr>
                <w:rFonts w:ascii="宋体" w:hAnsi="宋体" w:cs="宋体"/>
                <w:color w:val="auto"/>
                <w:kern w:val="0"/>
                <w:szCs w:val="21"/>
              </w:rPr>
            </w:pPr>
            <w:r>
              <w:rPr>
                <w:rFonts w:hint="eastAsia" w:ascii="宋体" w:hAnsi="宋体" w:cs="宋体"/>
                <w:color w:val="auto"/>
                <w:kern w:val="0"/>
                <w:szCs w:val="21"/>
              </w:rPr>
              <w:t>……</w:t>
            </w:r>
          </w:p>
        </w:tc>
        <w:tc>
          <w:tcPr>
            <w:tcW w:w="333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7C1D27">
            <w:pPr>
              <w:widowControl/>
              <w:wordWrap w:val="0"/>
              <w:spacing w:before="120" w:line="200" w:lineRule="atLeast"/>
              <w:ind w:firstLine="420"/>
              <w:jc w:val="center"/>
              <w:rPr>
                <w:rFonts w:ascii="宋体" w:hAnsi="宋体" w:cs="宋体"/>
                <w:color w:val="auto"/>
                <w:kern w:val="0"/>
                <w:szCs w:val="21"/>
              </w:rPr>
            </w:pPr>
          </w:p>
        </w:tc>
        <w:tc>
          <w:tcPr>
            <w:tcW w:w="287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176F79">
            <w:pPr>
              <w:widowControl/>
              <w:wordWrap w:val="0"/>
              <w:spacing w:before="120" w:line="200" w:lineRule="atLeast"/>
              <w:ind w:firstLine="420"/>
              <w:jc w:val="center"/>
              <w:rPr>
                <w:rFonts w:ascii="宋体" w:hAnsi="宋体" w:cs="宋体"/>
                <w:color w:val="auto"/>
                <w:kern w:val="0"/>
                <w:szCs w:val="21"/>
              </w:rPr>
            </w:pPr>
          </w:p>
        </w:tc>
        <w:tc>
          <w:tcPr>
            <w:tcW w:w="146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4C104B">
            <w:pPr>
              <w:widowControl/>
              <w:wordWrap w:val="0"/>
              <w:spacing w:before="120" w:line="200" w:lineRule="atLeast"/>
              <w:ind w:firstLine="420"/>
              <w:jc w:val="center"/>
              <w:rPr>
                <w:rFonts w:ascii="宋体" w:hAnsi="宋体" w:cs="宋体"/>
                <w:color w:val="auto"/>
                <w:kern w:val="0"/>
                <w:szCs w:val="21"/>
              </w:rPr>
            </w:pPr>
          </w:p>
        </w:tc>
      </w:tr>
    </w:tbl>
    <w:p w14:paraId="5608A934">
      <w:pPr>
        <w:spacing w:before="120" w:line="360" w:lineRule="auto"/>
        <w:ind w:firstLine="420"/>
        <w:jc w:val="left"/>
        <w:rPr>
          <w:rFonts w:ascii="宋体" w:hAnsi="宋体" w:cs="宋体"/>
          <w:color w:val="auto"/>
          <w:szCs w:val="21"/>
        </w:rPr>
      </w:pPr>
      <w:r>
        <w:rPr>
          <w:rFonts w:hint="eastAsia" w:ascii="宋体" w:hAnsi="宋体" w:cs="宋体"/>
          <w:color w:val="auto"/>
          <w:szCs w:val="21"/>
        </w:rPr>
        <w:t>注：</w:t>
      </w:r>
    </w:p>
    <w:p w14:paraId="2C8E1F48">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1.管理关系：是指不具有出资持股关系的其他单位之间存在的管理与被管理关系，如一些上下级关系的事业单位和团体组织。</w:t>
      </w:r>
    </w:p>
    <w:p w14:paraId="71AA087A">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2.</w:t>
      </w:r>
      <w:r>
        <w:rPr>
          <w:rFonts w:hint="eastAsia" w:ascii="宋体" w:hAnsi="宋体" w:cs="宋体"/>
          <w:color w:val="auto"/>
          <w:spacing w:val="-6"/>
          <w:szCs w:val="21"/>
        </w:rPr>
        <w:t>本表所指的管理关系仅限于直接管理关系，不包括间接的管理关系。</w:t>
      </w:r>
    </w:p>
    <w:p w14:paraId="50B6B52D">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3.供应商不存在直接管理关系的，则在“直接管理关系单位名称”填“无”。</w:t>
      </w:r>
    </w:p>
    <w:p w14:paraId="423852B0">
      <w:pPr>
        <w:spacing w:before="120" w:line="360" w:lineRule="auto"/>
        <w:ind w:firstLine="420"/>
        <w:jc w:val="left"/>
        <w:rPr>
          <w:rFonts w:ascii="宋体" w:hAnsi="宋体" w:cs="宋体"/>
          <w:color w:val="auto"/>
          <w:szCs w:val="21"/>
        </w:rPr>
      </w:pPr>
    </w:p>
    <w:p w14:paraId="30B6743B">
      <w:pPr>
        <w:spacing w:before="120" w:line="360" w:lineRule="auto"/>
        <w:ind w:firstLine="420"/>
        <w:jc w:val="left"/>
        <w:rPr>
          <w:rFonts w:ascii="宋体" w:hAnsi="宋体" w:cs="宋体"/>
          <w:color w:val="auto"/>
          <w:szCs w:val="21"/>
        </w:rPr>
      </w:pPr>
    </w:p>
    <w:p w14:paraId="0A46E5D5">
      <w:pPr>
        <w:spacing w:before="120" w:line="360" w:lineRule="auto"/>
        <w:ind w:firstLine="420"/>
        <w:jc w:val="left"/>
        <w:rPr>
          <w:rFonts w:ascii="宋体" w:hAnsi="宋体" w:cs="宋体"/>
          <w:color w:val="auto"/>
          <w:szCs w:val="21"/>
        </w:rPr>
      </w:pPr>
    </w:p>
    <w:p w14:paraId="4595F2A2">
      <w:pPr>
        <w:spacing w:before="120" w:line="360" w:lineRule="auto"/>
        <w:ind w:firstLine="420"/>
        <w:jc w:val="left"/>
        <w:rPr>
          <w:rFonts w:ascii="宋体" w:hAnsi="宋体" w:cs="宋体"/>
          <w:color w:val="auto"/>
          <w:szCs w:val="21"/>
        </w:rPr>
      </w:pPr>
    </w:p>
    <w:p w14:paraId="3BF7A9D0">
      <w:pPr>
        <w:spacing w:before="120" w:line="360" w:lineRule="auto"/>
        <w:ind w:firstLine="420"/>
        <w:jc w:val="left"/>
        <w:rPr>
          <w:rFonts w:ascii="宋体" w:hAnsi="宋体" w:cs="宋体"/>
          <w:color w:val="auto"/>
          <w:szCs w:val="21"/>
        </w:rPr>
      </w:pPr>
    </w:p>
    <w:p w14:paraId="66DA341A">
      <w:pPr>
        <w:spacing w:before="120" w:line="360" w:lineRule="auto"/>
        <w:ind w:firstLine="420"/>
        <w:jc w:val="left"/>
        <w:rPr>
          <w:rFonts w:ascii="宋体" w:hAnsi="宋体" w:cs="宋体"/>
          <w:color w:val="auto"/>
          <w:szCs w:val="21"/>
        </w:rPr>
      </w:pPr>
    </w:p>
    <w:p w14:paraId="7BB16AFC">
      <w:pPr>
        <w:spacing w:before="120" w:line="360" w:lineRule="auto"/>
        <w:ind w:right="480" w:firstLine="420"/>
        <w:contextualSpacing/>
        <w:jc w:val="center"/>
        <w:rPr>
          <w:rFonts w:ascii="宋体" w:hAnsi="宋体" w:cs="宋体"/>
          <w:color w:val="auto"/>
          <w:szCs w:val="21"/>
          <w:u w:val="single"/>
        </w:rPr>
      </w:pPr>
      <w:r>
        <w:rPr>
          <w:rFonts w:hint="eastAsia" w:ascii="宋体" w:hAnsi="宋体" w:cs="宋体"/>
          <w:color w:val="auto"/>
          <w:szCs w:val="21"/>
        </w:rPr>
        <w:t xml:space="preserve">              </w:t>
      </w:r>
      <w:bookmarkStart w:id="79" w:name="OLE_LINK19"/>
      <w:r>
        <w:rPr>
          <w:rFonts w:hint="eastAsia" w:ascii="宋体" w:hAnsi="宋体" w:cs="宋体"/>
          <w:color w:val="auto"/>
          <w:szCs w:val="21"/>
        </w:rPr>
        <w:t>法定代表人或者委托代理人（签字或者电子签名）</w:t>
      </w:r>
      <w:bookmarkEnd w:id="79"/>
      <w:r>
        <w:rPr>
          <w:rFonts w:hint="eastAsia" w:ascii="宋体" w:hAnsi="宋体" w:cs="宋体"/>
          <w:color w:val="auto"/>
          <w:szCs w:val="21"/>
        </w:rPr>
        <w:t>：</w:t>
      </w:r>
      <w:r>
        <w:rPr>
          <w:rFonts w:hint="eastAsia" w:ascii="宋体" w:hAnsi="宋体" w:cs="宋体"/>
          <w:color w:val="auto"/>
          <w:szCs w:val="21"/>
          <w:u w:val="single"/>
        </w:rPr>
        <w:t xml:space="preserve">                   </w:t>
      </w:r>
    </w:p>
    <w:p w14:paraId="56F79A9A">
      <w:pPr>
        <w:spacing w:before="120" w:line="360" w:lineRule="auto"/>
        <w:ind w:right="480" w:firstLine="2940" w:firstLineChars="1400"/>
        <w:contextualSpacing/>
        <w:rPr>
          <w:rFonts w:ascii="宋体" w:hAnsi="宋体" w:cs="宋体"/>
          <w:color w:val="auto"/>
          <w:szCs w:val="21"/>
        </w:rPr>
      </w:pPr>
      <w:r>
        <w:rPr>
          <w:rFonts w:hint="eastAsia" w:ascii="宋体" w:hAnsi="宋体" w:cs="宋体"/>
          <w:color w:val="auto"/>
          <w:szCs w:val="21"/>
        </w:rPr>
        <w:t>供应商（电子签章）：</w:t>
      </w:r>
      <w:r>
        <w:rPr>
          <w:rFonts w:hint="eastAsia" w:ascii="宋体" w:hAnsi="宋体" w:cs="宋体"/>
          <w:color w:val="auto"/>
          <w:szCs w:val="21"/>
          <w:u w:val="single"/>
        </w:rPr>
        <w:t xml:space="preserve">                </w:t>
      </w:r>
    </w:p>
    <w:p w14:paraId="6143A951">
      <w:pPr>
        <w:spacing w:before="120" w:line="360" w:lineRule="auto"/>
        <w:ind w:right="480" w:firstLine="210" w:firstLineChars="100"/>
        <w:contextualSpacing/>
        <w:jc w:val="center"/>
        <w:rPr>
          <w:rFonts w:ascii="宋体" w:hAnsi="宋体" w:cs="宋体"/>
          <w:color w:val="auto"/>
          <w:szCs w:val="21"/>
        </w:rPr>
      </w:pPr>
      <w:r>
        <w:rPr>
          <w:rFonts w:hint="eastAsia" w:ascii="宋体" w:hAnsi="宋体" w:cs="宋体"/>
          <w:color w:val="auto"/>
          <w:szCs w:val="21"/>
        </w:rPr>
        <w:t xml:space="preserve">                                        年    月    日</w:t>
      </w:r>
    </w:p>
    <w:p w14:paraId="22AC8C8B">
      <w:pPr>
        <w:spacing w:before="120" w:line="500" w:lineRule="exact"/>
        <w:ind w:firstLine="422"/>
        <w:jc w:val="center"/>
        <w:rPr>
          <w:rFonts w:ascii="宋体" w:hAnsi="宋体" w:cs="宋体"/>
          <w:b/>
          <w:color w:val="auto"/>
          <w:sz w:val="32"/>
          <w:szCs w:val="32"/>
        </w:rPr>
      </w:pPr>
      <w:r>
        <w:rPr>
          <w:rFonts w:hint="eastAsia" w:ascii="宋体" w:hAnsi="宋体" w:cs="宋体"/>
          <w:b/>
          <w:color w:val="auto"/>
          <w:szCs w:val="21"/>
        </w:rPr>
        <w:br w:type="page"/>
      </w:r>
      <w:r>
        <w:rPr>
          <w:rFonts w:hint="eastAsia" w:ascii="宋体" w:hAnsi="宋体" w:cs="宋体"/>
          <w:b/>
          <w:color w:val="auto"/>
          <w:sz w:val="32"/>
          <w:szCs w:val="32"/>
        </w:rPr>
        <w:t>竞标声明</w:t>
      </w:r>
    </w:p>
    <w:p w14:paraId="1891EC1D">
      <w:pPr>
        <w:spacing w:before="120" w:line="320" w:lineRule="exact"/>
        <w:ind w:firstLine="480"/>
        <w:jc w:val="center"/>
        <w:rPr>
          <w:rFonts w:ascii="宋体" w:hAnsi="宋体" w:cs="宋体"/>
          <w:color w:val="auto"/>
          <w:sz w:val="24"/>
          <w:szCs w:val="20"/>
        </w:rPr>
      </w:pPr>
    </w:p>
    <w:p w14:paraId="71BDE220">
      <w:pPr>
        <w:spacing w:before="120" w:line="440" w:lineRule="exact"/>
        <w:ind w:firstLine="420"/>
        <w:rPr>
          <w:rFonts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（采购人名称）</w:t>
      </w:r>
      <w:r>
        <w:rPr>
          <w:rFonts w:hint="eastAsia" w:ascii="宋体" w:hAnsi="宋体" w:cs="宋体"/>
          <w:color w:val="auto"/>
          <w:szCs w:val="21"/>
        </w:rPr>
        <w:t>：</w:t>
      </w:r>
    </w:p>
    <w:p w14:paraId="1C77C604">
      <w:pPr>
        <w:wordWrap w:val="0"/>
        <w:spacing w:before="120" w:line="440" w:lineRule="exact"/>
        <w:ind w:firstLine="420" w:firstLineChars="200"/>
        <w:rPr>
          <w:rFonts w:ascii="宋体" w:hAnsi="宋体" w:cs="宋体"/>
          <w:color w:val="auto"/>
          <w:szCs w:val="21"/>
        </w:rPr>
      </w:pPr>
      <w:r>
        <w:rPr>
          <w:rFonts w:hint="eastAsia" w:ascii="宋体" w:hAnsi="宋体" w:cs="宋体"/>
          <w:color w:val="auto"/>
          <w:szCs w:val="21"/>
        </w:rPr>
        <w:t>我方</w:t>
      </w:r>
      <w:r>
        <w:rPr>
          <w:rFonts w:hint="eastAsia" w:ascii="宋体" w:hAnsi="宋体" w:cs="宋体"/>
          <w:color w:val="auto"/>
          <w:szCs w:val="21"/>
          <w:u w:val="single"/>
        </w:rPr>
        <w:t>（供应商名称）</w:t>
      </w:r>
      <w:r>
        <w:rPr>
          <w:rFonts w:hint="eastAsia" w:ascii="宋体" w:hAnsi="宋体" w:cs="宋体"/>
          <w:color w:val="auto"/>
          <w:szCs w:val="21"/>
        </w:rPr>
        <w:t>系中华人民共和国合法供应商，经营地址</w:t>
      </w:r>
      <w:r>
        <w:rPr>
          <w:rFonts w:hint="eastAsia" w:ascii="宋体" w:hAnsi="宋体" w:cs="宋体"/>
          <w:color w:val="auto"/>
          <w:szCs w:val="21"/>
          <w:u w:val="single"/>
        </w:rPr>
        <w:t xml:space="preserve">                      </w:t>
      </w:r>
      <w:r>
        <w:rPr>
          <w:rFonts w:hint="eastAsia" w:ascii="宋体" w:hAnsi="宋体" w:cs="宋体"/>
          <w:color w:val="auto"/>
          <w:szCs w:val="21"/>
        </w:rPr>
        <w:t>。</w:t>
      </w:r>
    </w:p>
    <w:p w14:paraId="6CC37533">
      <w:pPr>
        <w:spacing w:before="120" w:line="440" w:lineRule="exact"/>
        <w:ind w:firstLine="420" w:firstLineChars="200"/>
        <w:rPr>
          <w:rFonts w:ascii="宋体" w:hAnsi="宋体" w:cs="宋体"/>
          <w:color w:val="auto"/>
          <w:szCs w:val="21"/>
        </w:rPr>
      </w:pPr>
      <w:r>
        <w:rPr>
          <w:rFonts w:hint="eastAsia" w:ascii="宋体" w:hAnsi="宋体" w:cs="宋体"/>
          <w:color w:val="auto"/>
          <w:szCs w:val="21"/>
        </w:rPr>
        <w:t>我方愿意参加贵方组织的</w:t>
      </w:r>
      <w:r>
        <w:rPr>
          <w:rFonts w:hint="eastAsia" w:ascii="宋体" w:hAnsi="宋体" w:cs="宋体"/>
          <w:color w:val="auto"/>
          <w:szCs w:val="21"/>
          <w:u w:val="single"/>
        </w:rPr>
        <w:t>（项目名称）</w:t>
      </w:r>
      <w:r>
        <w:rPr>
          <w:rFonts w:hint="eastAsia" w:ascii="宋体" w:hAnsi="宋体" w:cs="宋体"/>
          <w:color w:val="auto"/>
          <w:szCs w:val="21"/>
        </w:rPr>
        <w:t>项目的竞标，为便于贵方公正、择优地确定成交供应商及其竞标产品和服务，我方就本次竞标有关事项郑重声明如下：</w:t>
      </w:r>
    </w:p>
    <w:p w14:paraId="15BFC0D0">
      <w:pPr>
        <w:spacing w:before="120" w:line="440" w:lineRule="exact"/>
        <w:ind w:firstLine="420" w:firstLineChars="200"/>
        <w:rPr>
          <w:rFonts w:ascii="宋体" w:hAnsi="宋体" w:cs="宋体"/>
          <w:color w:val="auto"/>
          <w:szCs w:val="21"/>
        </w:rPr>
      </w:pPr>
      <w:r>
        <w:rPr>
          <w:rFonts w:hint="eastAsia" w:ascii="宋体" w:hAnsi="宋体" w:cs="宋体"/>
          <w:color w:val="auto"/>
          <w:szCs w:val="21"/>
        </w:rPr>
        <w:t>1.我方向贵方提交的所有响应文件、资料都是准确的和真实的。</w:t>
      </w:r>
    </w:p>
    <w:p w14:paraId="7B6B5A73">
      <w:pPr>
        <w:spacing w:before="120" w:line="440" w:lineRule="exact"/>
        <w:ind w:firstLine="420" w:firstLineChars="200"/>
        <w:rPr>
          <w:rFonts w:ascii="宋体" w:hAnsi="宋体" w:cs="宋体"/>
          <w:color w:val="auto"/>
          <w:szCs w:val="21"/>
        </w:rPr>
      </w:pPr>
      <w:r>
        <w:rPr>
          <w:rFonts w:hint="eastAsia" w:ascii="宋体" w:hAnsi="宋体" w:cs="宋体"/>
          <w:color w:val="auto"/>
          <w:szCs w:val="21"/>
        </w:rPr>
        <w:t>2.我方不是为本次采购项目提供整体设计、规范编制或者项目管理、监理、检测等服务的供应商。</w:t>
      </w:r>
    </w:p>
    <w:p w14:paraId="41078104">
      <w:pPr>
        <w:spacing w:before="120" w:line="440" w:lineRule="exact"/>
        <w:ind w:firstLine="420" w:firstLineChars="200"/>
        <w:rPr>
          <w:rFonts w:ascii="宋体" w:hAnsi="宋体" w:cs="宋体"/>
          <w:color w:val="auto"/>
          <w:szCs w:val="21"/>
        </w:rPr>
      </w:pPr>
      <w:r>
        <w:rPr>
          <w:rFonts w:hint="eastAsia" w:ascii="宋体" w:hAnsi="宋体" w:cs="宋体"/>
          <w:color w:val="auto"/>
          <w:szCs w:val="21"/>
        </w:rPr>
        <w:t>3.在此，我方宣布同意如下：</w:t>
      </w:r>
    </w:p>
    <w:p w14:paraId="20D94426">
      <w:pPr>
        <w:spacing w:before="120" w:line="440" w:lineRule="exact"/>
        <w:ind w:firstLine="420" w:firstLineChars="200"/>
        <w:rPr>
          <w:rFonts w:ascii="宋体" w:hAnsi="宋体" w:cs="宋体"/>
          <w:color w:val="auto"/>
          <w:szCs w:val="21"/>
        </w:rPr>
      </w:pPr>
      <w:r>
        <w:rPr>
          <w:rFonts w:hint="eastAsia" w:ascii="宋体" w:hAnsi="宋体" w:cs="宋体"/>
          <w:color w:val="auto"/>
          <w:szCs w:val="21"/>
        </w:rPr>
        <w:t>（1）将按谈判文件的约定履行合同责任和义务；</w:t>
      </w:r>
    </w:p>
    <w:p w14:paraId="7B85864F">
      <w:pPr>
        <w:spacing w:before="120" w:line="440" w:lineRule="exact"/>
        <w:ind w:firstLine="420" w:firstLineChars="200"/>
        <w:rPr>
          <w:rFonts w:ascii="宋体" w:hAnsi="宋体" w:cs="宋体"/>
          <w:color w:val="auto"/>
          <w:szCs w:val="21"/>
        </w:rPr>
      </w:pPr>
      <w:r>
        <w:rPr>
          <w:rFonts w:hint="eastAsia" w:ascii="宋体" w:hAnsi="宋体" w:cs="宋体"/>
          <w:color w:val="auto"/>
          <w:szCs w:val="21"/>
        </w:rPr>
        <w:t>（2）已详细审查全部谈判文件，包括补遗文件（如有）；</w:t>
      </w:r>
    </w:p>
    <w:p w14:paraId="48C71F9F">
      <w:pPr>
        <w:spacing w:before="120" w:line="440" w:lineRule="exact"/>
        <w:ind w:firstLine="420" w:firstLineChars="200"/>
        <w:rPr>
          <w:rFonts w:ascii="宋体" w:hAnsi="宋体" w:cs="宋体"/>
          <w:color w:val="auto"/>
          <w:szCs w:val="21"/>
        </w:rPr>
      </w:pPr>
      <w:r>
        <w:rPr>
          <w:rFonts w:hint="eastAsia" w:ascii="宋体" w:hAnsi="宋体" w:cs="宋体"/>
          <w:color w:val="auto"/>
          <w:szCs w:val="21"/>
        </w:rPr>
        <w:t>（3）同意提供按照贵方可能要求的与谈判有关的一切数据或者资料；</w:t>
      </w:r>
    </w:p>
    <w:p w14:paraId="00D3735E">
      <w:pPr>
        <w:spacing w:before="120" w:line="440" w:lineRule="exact"/>
        <w:ind w:firstLine="420" w:firstLineChars="200"/>
        <w:rPr>
          <w:rFonts w:ascii="宋体" w:hAnsi="宋体" w:cs="宋体"/>
          <w:color w:val="auto"/>
          <w:szCs w:val="21"/>
        </w:rPr>
      </w:pPr>
      <w:r>
        <w:rPr>
          <w:rFonts w:hint="eastAsia" w:ascii="宋体" w:hAnsi="宋体" w:cs="宋体"/>
          <w:color w:val="auto"/>
          <w:szCs w:val="21"/>
        </w:rPr>
        <w:t>（4）响应谈判文件规定的竞标有效期。</w:t>
      </w:r>
    </w:p>
    <w:p w14:paraId="251C498C">
      <w:pPr>
        <w:spacing w:before="120" w:line="440" w:lineRule="exact"/>
        <w:ind w:firstLine="420" w:firstLineChars="200"/>
        <w:rPr>
          <w:rFonts w:ascii="宋体" w:hAnsi="宋体" w:cs="宋体"/>
          <w:color w:val="auto"/>
          <w:szCs w:val="21"/>
        </w:rPr>
      </w:pPr>
      <w:r>
        <w:rPr>
          <w:rFonts w:hint="eastAsia" w:ascii="宋体" w:hAnsi="宋体" w:cs="宋体"/>
          <w:color w:val="auto"/>
          <w:szCs w:val="21"/>
        </w:rPr>
        <w:t>4.我方承诺符合《中华人民共和国政府采购法》第二十二条规定：</w:t>
      </w:r>
    </w:p>
    <w:p w14:paraId="0C15AC03">
      <w:pPr>
        <w:spacing w:before="120" w:line="440" w:lineRule="exact"/>
        <w:ind w:firstLine="420" w:firstLineChars="200"/>
        <w:rPr>
          <w:rFonts w:ascii="宋体" w:hAnsi="宋体" w:cs="宋体"/>
          <w:color w:val="auto"/>
          <w:szCs w:val="21"/>
        </w:rPr>
      </w:pPr>
      <w:r>
        <w:rPr>
          <w:rFonts w:hint="eastAsia" w:ascii="宋体" w:hAnsi="宋体" w:cs="宋体"/>
          <w:color w:val="auto"/>
          <w:szCs w:val="21"/>
        </w:rPr>
        <w:t>（1）具有独立承担民事责任的能力；</w:t>
      </w:r>
    </w:p>
    <w:p w14:paraId="66DD2DF3">
      <w:pPr>
        <w:spacing w:before="120" w:line="440" w:lineRule="exact"/>
        <w:ind w:firstLine="420" w:firstLineChars="200"/>
        <w:rPr>
          <w:rFonts w:ascii="宋体" w:hAnsi="宋体" w:cs="宋体"/>
          <w:color w:val="auto"/>
          <w:szCs w:val="21"/>
        </w:rPr>
      </w:pPr>
      <w:r>
        <w:rPr>
          <w:rFonts w:hint="eastAsia" w:ascii="宋体" w:hAnsi="宋体" w:cs="宋体"/>
          <w:color w:val="auto"/>
          <w:szCs w:val="21"/>
        </w:rPr>
        <w:t>（2）具有良好的商业信誉和健全的财务会计制度；</w:t>
      </w:r>
    </w:p>
    <w:p w14:paraId="1DA5BD2A">
      <w:pPr>
        <w:spacing w:before="120" w:line="440" w:lineRule="exact"/>
        <w:ind w:firstLine="420" w:firstLineChars="200"/>
        <w:rPr>
          <w:rFonts w:ascii="宋体" w:hAnsi="宋体" w:cs="宋体"/>
          <w:color w:val="auto"/>
          <w:szCs w:val="21"/>
        </w:rPr>
      </w:pPr>
      <w:r>
        <w:rPr>
          <w:rFonts w:hint="eastAsia" w:ascii="宋体" w:hAnsi="宋体" w:cs="宋体"/>
          <w:color w:val="auto"/>
          <w:szCs w:val="21"/>
        </w:rPr>
        <w:t>（3）具有履行合同所必需的设备和专业技术能力；</w:t>
      </w:r>
    </w:p>
    <w:p w14:paraId="513235EB">
      <w:pPr>
        <w:spacing w:before="120" w:line="440" w:lineRule="exact"/>
        <w:ind w:firstLine="420" w:firstLineChars="200"/>
        <w:rPr>
          <w:rFonts w:ascii="宋体" w:hAnsi="宋体" w:cs="宋体"/>
          <w:color w:val="auto"/>
          <w:szCs w:val="21"/>
        </w:rPr>
      </w:pPr>
      <w:r>
        <w:rPr>
          <w:rFonts w:hint="eastAsia" w:ascii="宋体" w:hAnsi="宋体" w:cs="宋体"/>
          <w:color w:val="auto"/>
          <w:szCs w:val="21"/>
        </w:rPr>
        <w:t>（4）有依法缴纳税收和社会保障资金的良好记录；</w:t>
      </w:r>
    </w:p>
    <w:p w14:paraId="66CE1B3D">
      <w:pPr>
        <w:spacing w:before="120" w:line="440" w:lineRule="exact"/>
        <w:ind w:firstLine="420" w:firstLineChars="200"/>
        <w:rPr>
          <w:rFonts w:ascii="宋体" w:hAnsi="宋体" w:cs="宋体"/>
          <w:color w:val="auto"/>
          <w:szCs w:val="21"/>
        </w:rPr>
      </w:pPr>
      <w:r>
        <w:rPr>
          <w:rFonts w:hint="eastAsia" w:ascii="宋体" w:hAnsi="宋体" w:cs="宋体"/>
          <w:color w:val="auto"/>
          <w:szCs w:val="21"/>
        </w:rPr>
        <w:t>（5）参加政府采购活动前三年内，在经营活动中没有重大违法记录；</w:t>
      </w:r>
    </w:p>
    <w:p w14:paraId="1B974E84">
      <w:pPr>
        <w:spacing w:before="120" w:line="440" w:lineRule="exact"/>
        <w:ind w:firstLine="420" w:firstLineChars="200"/>
        <w:rPr>
          <w:rFonts w:ascii="宋体" w:hAnsi="宋体" w:cs="宋体"/>
          <w:color w:val="auto"/>
          <w:szCs w:val="21"/>
        </w:rPr>
      </w:pPr>
      <w:r>
        <w:rPr>
          <w:rFonts w:hint="eastAsia" w:ascii="宋体" w:hAnsi="宋体" w:cs="宋体"/>
          <w:color w:val="auto"/>
          <w:szCs w:val="21"/>
        </w:rPr>
        <w:t>（6）法律、行政法规规定的其他条件。</w:t>
      </w:r>
    </w:p>
    <w:p w14:paraId="57B28249">
      <w:pPr>
        <w:spacing w:before="120" w:line="440" w:lineRule="exact"/>
        <w:ind w:firstLine="420" w:firstLineChars="200"/>
        <w:rPr>
          <w:rFonts w:ascii="宋体" w:hAnsi="宋体" w:cs="宋体"/>
          <w:color w:val="auto"/>
          <w:szCs w:val="21"/>
        </w:rPr>
      </w:pPr>
      <w:r>
        <w:rPr>
          <w:rFonts w:hint="eastAsia" w:ascii="宋体" w:hAnsi="宋体" w:cs="宋体"/>
          <w:color w:val="auto"/>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BF56907">
      <w:pPr>
        <w:spacing w:before="120" w:line="440" w:lineRule="exact"/>
        <w:ind w:firstLine="420" w:firstLineChars="200"/>
        <w:rPr>
          <w:rFonts w:ascii="宋体" w:hAnsi="宋体" w:cs="宋体"/>
          <w:color w:val="auto"/>
          <w:szCs w:val="21"/>
        </w:rPr>
      </w:pPr>
      <w:r>
        <w:rPr>
          <w:rFonts w:hint="eastAsia" w:ascii="宋体" w:hAnsi="宋体" w:cs="宋体"/>
          <w:color w:val="auto"/>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4FA52F7">
      <w:pPr>
        <w:spacing w:before="120" w:line="440" w:lineRule="exact"/>
        <w:ind w:firstLine="420" w:firstLineChars="200"/>
        <w:rPr>
          <w:rFonts w:ascii="宋体" w:hAnsi="宋体" w:cs="宋体"/>
          <w:color w:val="auto"/>
          <w:szCs w:val="21"/>
        </w:rPr>
      </w:pPr>
      <w:r>
        <w:rPr>
          <w:rFonts w:hint="eastAsia" w:ascii="宋体" w:hAnsi="宋体" w:cs="宋体"/>
          <w:color w:val="auto"/>
          <w:szCs w:val="21"/>
        </w:rPr>
        <w:t>□我方本次响应文件</w:t>
      </w:r>
      <w:r>
        <w:rPr>
          <w:rFonts w:hint="eastAsia" w:ascii="宋体" w:hAnsi="宋体" w:cs="宋体"/>
          <w:color w:val="auto"/>
          <w:kern w:val="0"/>
          <w:szCs w:val="21"/>
        </w:rPr>
        <w:t>内容中</w:t>
      </w:r>
      <w:r>
        <w:rPr>
          <w:rFonts w:hint="eastAsia" w:ascii="宋体" w:hAnsi="宋体" w:cs="宋体"/>
          <w:color w:val="auto"/>
          <w:szCs w:val="21"/>
        </w:rPr>
        <w:t>未</w:t>
      </w:r>
      <w:r>
        <w:rPr>
          <w:rFonts w:hint="eastAsia" w:ascii="宋体" w:hAnsi="宋体" w:cs="宋体"/>
          <w:color w:val="auto"/>
          <w:kern w:val="0"/>
          <w:szCs w:val="21"/>
        </w:rPr>
        <w:t>涉及商业秘密；</w:t>
      </w:r>
    </w:p>
    <w:p w14:paraId="1118E2A7">
      <w:pPr>
        <w:spacing w:before="120" w:line="440" w:lineRule="exact"/>
        <w:ind w:firstLine="420" w:firstLineChars="200"/>
        <w:rPr>
          <w:rFonts w:ascii="宋体" w:hAnsi="宋体" w:cs="宋体"/>
          <w:color w:val="auto"/>
          <w:szCs w:val="21"/>
        </w:rPr>
      </w:pPr>
      <w:r>
        <w:rPr>
          <w:rFonts w:hint="eastAsia" w:ascii="宋体" w:hAnsi="宋体" w:cs="宋体"/>
          <w:color w:val="auto"/>
          <w:szCs w:val="21"/>
        </w:rPr>
        <w:t>□我方本次响应文件</w:t>
      </w:r>
      <w:r>
        <w:rPr>
          <w:rFonts w:hint="eastAsia" w:ascii="宋体" w:hAnsi="宋体" w:cs="宋体"/>
          <w:color w:val="auto"/>
          <w:kern w:val="0"/>
          <w:szCs w:val="21"/>
        </w:rPr>
        <w:t>涉及商业秘密的内容有：</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1724B301">
      <w:pPr>
        <w:pStyle w:val="14"/>
        <w:ind w:firstLine="420"/>
        <w:rPr>
          <w:rFonts w:hAnsi="宋体" w:cs="宋体"/>
          <w:color w:val="auto"/>
          <w:kern w:val="2"/>
          <w:sz w:val="21"/>
          <w:szCs w:val="21"/>
          <w:u w:val="single"/>
        </w:rPr>
      </w:pPr>
      <w:r>
        <w:rPr>
          <w:rFonts w:hint="eastAsia" w:hAnsi="宋体" w:cs="宋体"/>
          <w:color w:val="auto"/>
          <w:kern w:val="2"/>
          <w:sz w:val="21"/>
          <w:szCs w:val="21"/>
        </w:rPr>
        <w:t>7.与本谈判有关的一切正式往来信函请寄：</w:t>
      </w:r>
      <w:r>
        <w:rPr>
          <w:rFonts w:hint="eastAsia" w:hAnsi="宋体" w:cs="宋体"/>
          <w:color w:val="auto"/>
          <w:kern w:val="2"/>
          <w:sz w:val="21"/>
          <w:szCs w:val="21"/>
          <w:u w:val="single"/>
        </w:rPr>
        <w:t xml:space="preserve">                  </w:t>
      </w:r>
      <w:r>
        <w:rPr>
          <w:rFonts w:hint="eastAsia" w:hAnsi="宋体" w:cs="宋体"/>
          <w:color w:val="auto"/>
          <w:kern w:val="2"/>
          <w:sz w:val="21"/>
          <w:szCs w:val="21"/>
        </w:rPr>
        <w:t>邮政编号：</w:t>
      </w:r>
      <w:r>
        <w:rPr>
          <w:rFonts w:hint="eastAsia" w:hAnsi="宋体" w:cs="宋体"/>
          <w:color w:val="auto"/>
          <w:kern w:val="2"/>
          <w:sz w:val="21"/>
          <w:szCs w:val="21"/>
          <w:u w:val="single"/>
        </w:rPr>
        <w:t xml:space="preserve">    </w:t>
      </w:r>
    </w:p>
    <w:p w14:paraId="72BA3FD3">
      <w:pPr>
        <w:pStyle w:val="14"/>
        <w:ind w:firstLine="420"/>
        <w:rPr>
          <w:color w:val="auto"/>
        </w:rPr>
      </w:pPr>
      <w:r>
        <w:rPr>
          <w:rFonts w:hint="eastAsia" w:hAnsi="宋体" w:cs="宋体"/>
          <w:color w:val="auto"/>
          <w:kern w:val="2"/>
          <w:sz w:val="21"/>
          <w:szCs w:val="21"/>
        </w:rPr>
        <w:t>电话/传真：</w:t>
      </w:r>
      <w:r>
        <w:rPr>
          <w:rFonts w:hint="eastAsia" w:hAnsi="宋体" w:cs="宋体"/>
          <w:color w:val="auto"/>
          <w:kern w:val="2"/>
          <w:sz w:val="21"/>
          <w:szCs w:val="21"/>
          <w:u w:val="single"/>
        </w:rPr>
        <w:t xml:space="preserve">                        </w:t>
      </w:r>
      <w:r>
        <w:rPr>
          <w:rFonts w:hint="eastAsia" w:hAnsi="宋体" w:cs="宋体"/>
          <w:color w:val="auto"/>
          <w:kern w:val="2"/>
          <w:sz w:val="21"/>
          <w:szCs w:val="21"/>
        </w:rPr>
        <w:t xml:space="preserve"> 电子邮箱：</w:t>
      </w:r>
      <w:r>
        <w:rPr>
          <w:rFonts w:hint="eastAsia" w:hAnsi="宋体" w:cs="宋体"/>
          <w:color w:val="auto"/>
          <w:kern w:val="2"/>
          <w:sz w:val="21"/>
          <w:szCs w:val="21"/>
          <w:u w:val="single"/>
        </w:rPr>
        <w:t xml:space="preserve">  </w:t>
      </w:r>
      <w:r>
        <w:rPr>
          <w:rFonts w:hint="eastAsia"/>
          <w:color w:val="auto"/>
          <w:u w:val="single"/>
        </w:rPr>
        <w:t xml:space="preserve">    </w:t>
      </w:r>
      <w:r>
        <w:rPr>
          <w:rFonts w:hint="eastAsia"/>
          <w:color w:val="auto"/>
        </w:rPr>
        <w:t xml:space="preserve">           </w:t>
      </w:r>
    </w:p>
    <w:p w14:paraId="50DDFFF7">
      <w:pPr>
        <w:pStyle w:val="13"/>
        <w:tabs>
          <w:tab w:val="left" w:pos="939"/>
        </w:tabs>
        <w:spacing w:before="120" w:line="440" w:lineRule="exact"/>
        <w:ind w:left="0" w:leftChars="0" w:firstLine="315" w:firstLineChars="150"/>
        <w:rPr>
          <w:rFonts w:ascii="宋体" w:hAnsi="宋体" w:cs="宋体"/>
          <w:color w:val="auto"/>
          <w:szCs w:val="21"/>
        </w:rPr>
      </w:pPr>
      <w:r>
        <w:rPr>
          <w:rFonts w:hint="eastAsia" w:ascii="宋体" w:hAnsi="宋体" w:cs="宋体"/>
          <w:color w:val="auto"/>
          <w:szCs w:val="21"/>
        </w:rPr>
        <w:t>开户银行：</w:t>
      </w:r>
      <w:r>
        <w:rPr>
          <w:rFonts w:hint="eastAsia" w:ascii="宋体" w:hAnsi="宋体" w:cs="宋体"/>
          <w:color w:val="auto"/>
          <w:szCs w:val="21"/>
          <w:u w:val="single"/>
        </w:rPr>
        <w:t xml:space="preserve">                         </w:t>
      </w:r>
      <w:r>
        <w:rPr>
          <w:rFonts w:hint="eastAsia" w:ascii="宋体" w:hAnsi="宋体" w:cs="宋体"/>
          <w:color w:val="auto"/>
          <w:szCs w:val="21"/>
        </w:rPr>
        <w:t xml:space="preserve">  帐号/行号：</w:t>
      </w:r>
      <w:r>
        <w:rPr>
          <w:rFonts w:hint="eastAsia" w:ascii="宋体" w:hAnsi="宋体" w:cs="宋体"/>
          <w:color w:val="auto"/>
          <w:szCs w:val="21"/>
          <w:u w:val="single"/>
        </w:rPr>
        <w:t xml:space="preserve">           </w:t>
      </w:r>
    </w:p>
    <w:p w14:paraId="2EB3F497">
      <w:pPr>
        <w:pStyle w:val="13"/>
        <w:tabs>
          <w:tab w:val="left" w:pos="939"/>
        </w:tabs>
        <w:spacing w:before="120" w:line="440" w:lineRule="exact"/>
        <w:ind w:left="0" w:leftChars="0" w:firstLine="315" w:firstLineChars="150"/>
        <w:rPr>
          <w:rFonts w:ascii="宋体" w:hAnsi="宋体" w:cs="宋体"/>
          <w:color w:val="auto"/>
          <w:szCs w:val="21"/>
        </w:rPr>
      </w:pPr>
      <w:r>
        <w:rPr>
          <w:rFonts w:hint="eastAsia" w:ascii="宋体" w:hAnsi="宋体" w:cs="宋体"/>
          <w:color w:val="auto"/>
          <w:szCs w:val="21"/>
        </w:rPr>
        <w:t>8.以上事项如有虚假或者隐瞒，我方愿意承担一切后果，并不再寻求任何旨在减轻或者免除法律责任的辩解。</w:t>
      </w:r>
    </w:p>
    <w:p w14:paraId="51A93A36">
      <w:pPr>
        <w:pStyle w:val="13"/>
        <w:tabs>
          <w:tab w:val="left" w:pos="939"/>
        </w:tabs>
        <w:spacing w:before="120" w:line="440" w:lineRule="exact"/>
        <w:ind w:left="0" w:leftChars="0" w:firstLine="315" w:firstLineChars="150"/>
        <w:rPr>
          <w:rFonts w:ascii="宋体" w:hAnsi="宋体" w:cs="宋体"/>
          <w:color w:val="auto"/>
          <w:szCs w:val="21"/>
        </w:rPr>
      </w:pPr>
      <w:r>
        <w:rPr>
          <w:rFonts w:hint="eastAsia" w:ascii="宋体" w:hAnsi="宋体" w:cs="宋体"/>
          <w:color w:val="auto"/>
          <w:szCs w:val="21"/>
        </w:rPr>
        <w:t>特此承诺。</w:t>
      </w:r>
    </w:p>
    <w:p w14:paraId="1B6B5E45">
      <w:pPr>
        <w:spacing w:before="120" w:line="440" w:lineRule="exact"/>
        <w:ind w:firstLine="422"/>
        <w:jc w:val="left"/>
        <w:rPr>
          <w:rFonts w:ascii="宋体" w:hAnsi="宋体" w:cs="宋体"/>
          <w:b/>
          <w:color w:val="auto"/>
          <w:szCs w:val="21"/>
        </w:rPr>
      </w:pPr>
      <w:r>
        <w:rPr>
          <w:rFonts w:hint="eastAsia" w:ascii="宋体" w:hAnsi="宋体" w:cs="宋体"/>
          <w:b/>
          <w:color w:val="auto"/>
          <w:szCs w:val="21"/>
        </w:rPr>
        <w:t>注：如为联合体竞标，盖章处须加盖联合体牵头人电子签章并由联合体牵头人法定代表人分别签字或者盖章或者电子签名，否则响应文件按无效处理。</w:t>
      </w:r>
    </w:p>
    <w:p w14:paraId="3D2AC5F8">
      <w:pPr>
        <w:spacing w:before="120" w:line="440" w:lineRule="exact"/>
        <w:ind w:firstLine="420"/>
        <w:jc w:val="left"/>
        <w:rPr>
          <w:rFonts w:ascii="宋体" w:hAnsi="宋体" w:cs="宋体"/>
          <w:color w:val="auto"/>
          <w:szCs w:val="21"/>
        </w:rPr>
      </w:pPr>
    </w:p>
    <w:p w14:paraId="78A3FCEA">
      <w:pPr>
        <w:spacing w:before="120" w:line="440" w:lineRule="exact"/>
        <w:ind w:firstLine="1575" w:firstLineChars="750"/>
        <w:rPr>
          <w:rFonts w:ascii="宋体" w:hAnsi="宋体" w:cs="宋体"/>
          <w:color w:val="auto"/>
          <w:szCs w:val="21"/>
        </w:rPr>
      </w:pPr>
      <w:r>
        <w:rPr>
          <w:rFonts w:hint="eastAsia" w:ascii="宋体" w:hAnsi="宋体" w:cs="宋体"/>
          <w:color w:val="auto"/>
          <w:szCs w:val="21"/>
        </w:rPr>
        <w:t>法定代表人或者委托代理人（签字或者电子签名）：</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1CB89113">
      <w:pPr>
        <w:spacing w:before="120" w:line="440" w:lineRule="exact"/>
        <w:ind w:firstLine="3780" w:firstLineChars="1800"/>
        <w:rPr>
          <w:rFonts w:ascii="宋体" w:hAnsi="宋体" w:cs="宋体"/>
          <w:color w:val="auto"/>
          <w:szCs w:val="21"/>
          <w:u w:val="single"/>
        </w:rPr>
      </w:pPr>
      <w:r>
        <w:rPr>
          <w:rFonts w:hint="eastAsia" w:ascii="宋体" w:hAnsi="宋体" w:cs="宋体"/>
          <w:color w:val="auto"/>
          <w:szCs w:val="21"/>
        </w:rPr>
        <w:t>供应商（电子签章）：</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1C52DD83">
      <w:pPr>
        <w:spacing w:before="120" w:line="440" w:lineRule="exact"/>
        <w:ind w:firstLine="210" w:firstLineChars="100"/>
        <w:contextualSpacing/>
        <w:jc w:val="center"/>
        <w:rPr>
          <w:rFonts w:ascii="宋体" w:hAnsi="宋体" w:cs="宋体"/>
          <w:color w:val="auto"/>
          <w:szCs w:val="21"/>
        </w:rPr>
      </w:pPr>
      <w:r>
        <w:rPr>
          <w:rFonts w:hint="eastAsia" w:ascii="宋体" w:hAnsi="宋体" w:cs="宋体"/>
          <w:color w:val="auto"/>
          <w:szCs w:val="21"/>
        </w:rPr>
        <w:t xml:space="preserve">                                                         年    月    日 </w:t>
      </w:r>
    </w:p>
    <w:p w14:paraId="2332F486">
      <w:pPr>
        <w:pStyle w:val="7"/>
        <w:overflowPunct w:val="0"/>
        <w:spacing w:before="120" w:line="520" w:lineRule="exact"/>
        <w:ind w:firstLine="640"/>
        <w:jc w:val="center"/>
        <w:rPr>
          <w:rFonts w:ascii="宋体" w:hAnsi="宋体" w:cs="宋体"/>
          <w:color w:val="auto"/>
          <w:sz w:val="32"/>
          <w:szCs w:val="32"/>
        </w:rPr>
        <w:sectPr>
          <w:pgSz w:w="11910" w:h="16840"/>
          <w:pgMar w:top="1440" w:right="1803" w:bottom="1440" w:left="1803" w:header="720" w:footer="720" w:gutter="0"/>
          <w:cols w:space="720" w:num="1"/>
        </w:sectPr>
      </w:pPr>
      <w:r>
        <w:rPr>
          <w:rFonts w:hint="eastAsia" w:ascii="宋体" w:hAnsi="宋体" w:cs="宋体"/>
          <w:color w:val="auto"/>
          <w:sz w:val="32"/>
          <w:szCs w:val="32"/>
        </w:rPr>
        <w:br w:type="page"/>
      </w:r>
    </w:p>
    <w:p w14:paraId="09DFFC68">
      <w:pPr>
        <w:pStyle w:val="7"/>
        <w:overflowPunct w:val="0"/>
        <w:spacing w:before="120" w:line="520" w:lineRule="exact"/>
        <w:ind w:firstLine="482"/>
        <w:jc w:val="center"/>
        <w:rPr>
          <w:rFonts w:ascii="宋体" w:hAnsi="宋体" w:cs="宋体"/>
          <w:color w:val="auto"/>
          <w:sz w:val="32"/>
          <w:szCs w:val="32"/>
        </w:rPr>
      </w:pPr>
      <w:r>
        <w:rPr>
          <w:rFonts w:hint="eastAsia" w:ascii="宋体" w:hAnsi="宋体" w:cs="宋体"/>
          <w:b/>
          <w:color w:val="auto"/>
          <w:sz w:val="24"/>
          <w:szCs w:val="24"/>
        </w:rPr>
        <w:t>4.</w:t>
      </w:r>
      <w:r>
        <w:rPr>
          <w:rFonts w:hint="eastAsia" w:ascii="宋体" w:hAnsi="宋体" w:cs="宋体"/>
          <w:color w:val="auto"/>
          <w:sz w:val="32"/>
          <w:szCs w:val="32"/>
        </w:rPr>
        <w:t>联合体竞标协议书（如有）</w:t>
      </w:r>
    </w:p>
    <w:p w14:paraId="570921DE">
      <w:pPr>
        <w:pStyle w:val="7"/>
        <w:overflowPunct w:val="0"/>
        <w:spacing w:before="120" w:line="360" w:lineRule="auto"/>
        <w:ind w:firstLine="480"/>
        <w:rPr>
          <w:rFonts w:ascii="宋体" w:hAnsi="宋体" w:cs="宋体"/>
          <w:color w:val="auto"/>
          <w:sz w:val="24"/>
          <w:szCs w:val="24"/>
        </w:rPr>
      </w:pPr>
    </w:p>
    <w:p w14:paraId="2970DE64">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（所有成员单位名称）自愿组成</w:t>
      </w:r>
      <w:r>
        <w:rPr>
          <w:rFonts w:hint="eastAsia" w:ascii="宋体" w:hAnsi="宋体" w:cs="宋体"/>
          <w:color w:val="auto"/>
          <w:szCs w:val="21"/>
          <w:u w:val="single"/>
        </w:rPr>
        <w:t xml:space="preserve">      </w:t>
      </w:r>
      <w:r>
        <w:rPr>
          <w:rFonts w:hint="eastAsia" w:ascii="宋体" w:hAnsi="宋体" w:cs="宋体"/>
          <w:color w:val="auto"/>
          <w:szCs w:val="21"/>
        </w:rPr>
        <w:t>（联合体名称）联合体，共同参加</w:t>
      </w:r>
      <w:r>
        <w:rPr>
          <w:rFonts w:hint="eastAsia" w:ascii="宋体" w:hAnsi="宋体" w:cs="宋体"/>
          <w:color w:val="auto"/>
          <w:szCs w:val="21"/>
          <w:u w:val="single"/>
        </w:rPr>
        <w:t xml:space="preserve">      </w:t>
      </w:r>
      <w:r>
        <w:rPr>
          <w:rFonts w:hint="eastAsia" w:ascii="宋体" w:hAnsi="宋体" w:cs="宋体"/>
          <w:color w:val="auto"/>
          <w:szCs w:val="21"/>
        </w:rPr>
        <w:t>（项目名称）采购项目竞标。现就联合体竞标事宜订立如下协议。</w:t>
      </w:r>
    </w:p>
    <w:p w14:paraId="3F686F5E">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u w:val="single"/>
        </w:rPr>
        <w:t xml:space="preserve"> </w:t>
      </w:r>
      <w:r>
        <w:rPr>
          <w:rFonts w:hint="eastAsia" w:ascii="宋体" w:hAnsi="宋体" w:cs="宋体"/>
          <w:color w:val="auto"/>
          <w:szCs w:val="21"/>
          <w:u w:val="single"/>
        </w:rPr>
        <w:tab/>
      </w:r>
      <w:r>
        <w:rPr>
          <w:rFonts w:hint="eastAsia" w:ascii="宋体" w:hAnsi="宋体" w:cs="宋体"/>
          <w:color w:val="auto"/>
          <w:szCs w:val="21"/>
          <w:u w:val="single"/>
        </w:rPr>
        <w:t xml:space="preserve">   </w:t>
      </w:r>
      <w:r>
        <w:rPr>
          <w:rFonts w:hint="eastAsia" w:ascii="宋体" w:hAnsi="宋体" w:cs="宋体"/>
          <w:color w:val="auto"/>
          <w:szCs w:val="21"/>
        </w:rPr>
        <w:t>（某成员单位名称）为</w:t>
      </w:r>
      <w:r>
        <w:rPr>
          <w:rFonts w:hint="eastAsia" w:ascii="宋体" w:hAnsi="宋体" w:cs="宋体"/>
          <w:color w:val="auto"/>
          <w:szCs w:val="21"/>
          <w:u w:val="single"/>
        </w:rPr>
        <w:t xml:space="preserve">     </w:t>
      </w:r>
      <w:r>
        <w:rPr>
          <w:rFonts w:hint="eastAsia" w:ascii="宋体" w:hAnsi="宋体" w:cs="宋体"/>
          <w:color w:val="auto"/>
          <w:szCs w:val="21"/>
        </w:rPr>
        <w:t>（联合体名称）牵头人。</w:t>
      </w:r>
    </w:p>
    <w:p w14:paraId="7B88D883">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2.联合体各成员授权牵头人代表联合体参加竞标活动，签署文件及对文件的盖章，提交和接收相关的资料、信息及指示，进行合同谈判活动，负责合同实施阶段的组织和协调工作，以及处理与本竞标项目有关的一切事宜。</w:t>
      </w:r>
    </w:p>
    <w:p w14:paraId="7F8BC98C">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3.联合体牵头人在本项目中签署和盖章的一切文件和处理的一切事宜，联合体各成员均予以承认。联合体各成员将严格按照谈判文件、响应文件和合同的要求全面履行义务，并向采购人承担连带责任。</w:t>
      </w:r>
    </w:p>
    <w:p w14:paraId="442F4045">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4.联合体各成员单位内部的职责分工如下：</w:t>
      </w:r>
      <w:r>
        <w:rPr>
          <w:rFonts w:hint="eastAsia" w:ascii="宋体" w:hAnsi="宋体" w:cs="宋体"/>
          <w:color w:val="auto"/>
          <w:szCs w:val="21"/>
          <w:u w:val="single"/>
        </w:rPr>
        <w:t xml:space="preserve">       </w:t>
      </w:r>
      <w:r>
        <w:rPr>
          <w:rFonts w:hint="eastAsia" w:ascii="宋体" w:hAnsi="宋体" w:cs="宋体"/>
          <w:color w:val="auto"/>
          <w:szCs w:val="21"/>
        </w:rPr>
        <w:t>。</w:t>
      </w:r>
    </w:p>
    <w:p w14:paraId="2BF4689F">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5.本</w:t>
      </w:r>
      <w:r>
        <w:rPr>
          <w:rFonts w:hint="eastAsia" w:ascii="宋体" w:hAnsi="宋体" w:cs="宋体"/>
          <w:color w:val="auto"/>
          <w:spacing w:val="-6"/>
          <w:szCs w:val="21"/>
        </w:rPr>
        <w:t>协议书自所有成员单位法定代表人或者其委托代理人签字或者盖单位章之日起生效，合同履行完毕后自动失效。</w:t>
      </w:r>
    </w:p>
    <w:p w14:paraId="1351583B">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6.本协议书一式</w:t>
      </w:r>
      <w:r>
        <w:rPr>
          <w:rFonts w:hint="eastAsia" w:ascii="宋体" w:hAnsi="宋体" w:cs="宋体"/>
          <w:color w:val="auto"/>
          <w:szCs w:val="21"/>
          <w:u w:val="single"/>
        </w:rPr>
        <w:t xml:space="preserve"> </w:t>
      </w:r>
      <w:r>
        <w:rPr>
          <w:rFonts w:hint="eastAsia" w:ascii="宋体" w:hAnsi="宋体" w:cs="宋体"/>
          <w:color w:val="auto"/>
          <w:szCs w:val="21"/>
          <w:u w:val="single"/>
        </w:rPr>
        <w:tab/>
      </w:r>
      <w:r>
        <w:rPr>
          <w:rFonts w:hint="eastAsia" w:ascii="宋体" w:hAnsi="宋体" w:cs="宋体"/>
          <w:color w:val="auto"/>
          <w:szCs w:val="21"/>
        </w:rPr>
        <w:t>份，联合体成员和采购人各执一份。</w:t>
      </w:r>
    </w:p>
    <w:p w14:paraId="5FCDC9FC">
      <w:pPr>
        <w:pStyle w:val="7"/>
        <w:overflowPunct w:val="0"/>
        <w:spacing w:before="120" w:line="360" w:lineRule="auto"/>
        <w:ind w:firstLineChars="200"/>
        <w:rPr>
          <w:rFonts w:ascii="宋体" w:hAnsi="宋体" w:cs="宋体"/>
          <w:color w:val="auto"/>
          <w:szCs w:val="21"/>
        </w:rPr>
      </w:pPr>
      <w:r>
        <w:rPr>
          <w:rFonts w:hint="eastAsia" w:ascii="宋体" w:hAnsi="宋体" w:cs="宋体"/>
          <w:color w:val="auto"/>
          <w:szCs w:val="21"/>
        </w:rPr>
        <w:t>注：本协议书应附法定代表人身份证明书；有委托代理的，应附权委托书（格式自拟）。</w:t>
      </w:r>
    </w:p>
    <w:p w14:paraId="510E4254">
      <w:pPr>
        <w:pStyle w:val="7"/>
        <w:overflowPunct w:val="0"/>
        <w:spacing w:before="120" w:line="360" w:lineRule="auto"/>
        <w:ind w:firstLine="367" w:firstLineChars="175"/>
        <w:rPr>
          <w:rFonts w:ascii="宋体" w:hAnsi="宋体" w:cs="宋体"/>
          <w:color w:val="auto"/>
          <w:szCs w:val="21"/>
        </w:rPr>
      </w:pPr>
    </w:p>
    <w:p w14:paraId="246E308D">
      <w:pPr>
        <w:pStyle w:val="7"/>
        <w:overflowPunct w:val="0"/>
        <w:spacing w:before="120" w:line="360" w:lineRule="auto"/>
        <w:rPr>
          <w:rFonts w:ascii="宋体" w:hAnsi="宋体" w:cs="宋体"/>
          <w:color w:val="auto"/>
          <w:szCs w:val="21"/>
        </w:rPr>
      </w:pPr>
      <w:r>
        <w:rPr>
          <w:rFonts w:hint="eastAsia" w:ascii="宋体" w:hAnsi="宋体" w:cs="宋体"/>
          <w:color w:val="auto"/>
          <w:szCs w:val="21"/>
        </w:rPr>
        <w:t>联合体牵头人名称（电子签章）：</w:t>
      </w:r>
    </w:p>
    <w:p w14:paraId="6EE4EA3B">
      <w:pPr>
        <w:pStyle w:val="7"/>
        <w:overflowPunct w:val="0"/>
        <w:spacing w:before="120" w:line="360" w:lineRule="auto"/>
        <w:rPr>
          <w:rFonts w:ascii="宋体" w:hAnsi="宋体" w:cs="宋体"/>
          <w:color w:val="auto"/>
          <w:szCs w:val="21"/>
        </w:rPr>
      </w:pPr>
      <w:r>
        <w:rPr>
          <w:rFonts w:hint="eastAsia" w:ascii="宋体" w:hAnsi="宋体" w:cs="宋体"/>
          <w:color w:val="auto"/>
          <w:szCs w:val="21"/>
        </w:rPr>
        <w:t>法定代表人或者其委托代理人（签字或者电子签名）：</w:t>
      </w:r>
    </w:p>
    <w:p w14:paraId="549324B7">
      <w:pPr>
        <w:pStyle w:val="7"/>
        <w:overflowPunct w:val="0"/>
        <w:spacing w:before="120" w:line="360" w:lineRule="auto"/>
        <w:rPr>
          <w:rFonts w:ascii="宋体" w:hAnsi="宋体" w:cs="宋体"/>
          <w:color w:val="auto"/>
          <w:szCs w:val="21"/>
        </w:rPr>
      </w:pPr>
    </w:p>
    <w:p w14:paraId="19741B92">
      <w:pPr>
        <w:pStyle w:val="7"/>
        <w:overflowPunct w:val="0"/>
        <w:spacing w:before="120" w:line="360" w:lineRule="auto"/>
        <w:rPr>
          <w:rFonts w:ascii="宋体" w:hAnsi="宋体" w:cs="宋体"/>
          <w:color w:val="auto"/>
          <w:szCs w:val="21"/>
        </w:rPr>
      </w:pPr>
      <w:r>
        <w:rPr>
          <w:rFonts w:hint="eastAsia" w:ascii="宋体" w:hAnsi="宋体" w:cs="宋体"/>
          <w:color w:val="auto"/>
          <w:szCs w:val="21"/>
        </w:rPr>
        <w:t>联合体成员名称（盖公章或者电子签章）：</w:t>
      </w:r>
    </w:p>
    <w:p w14:paraId="298A8E85">
      <w:pPr>
        <w:pStyle w:val="7"/>
        <w:overflowPunct w:val="0"/>
        <w:spacing w:before="120" w:line="360" w:lineRule="auto"/>
        <w:rPr>
          <w:rFonts w:ascii="宋体" w:hAnsi="宋体" w:cs="宋体"/>
          <w:color w:val="auto"/>
          <w:szCs w:val="21"/>
        </w:rPr>
      </w:pPr>
      <w:r>
        <w:rPr>
          <w:rFonts w:hint="eastAsia" w:ascii="宋体" w:hAnsi="宋体" w:cs="宋体"/>
          <w:color w:val="auto"/>
          <w:szCs w:val="21"/>
        </w:rPr>
        <w:t>法定代表人或者其委托代理人（签字或者电子签名）：</w:t>
      </w:r>
    </w:p>
    <w:p w14:paraId="6E6F89E7">
      <w:pPr>
        <w:pStyle w:val="7"/>
        <w:overflowPunct w:val="0"/>
        <w:spacing w:before="120" w:line="360" w:lineRule="auto"/>
        <w:rPr>
          <w:rFonts w:ascii="宋体" w:hAnsi="宋体" w:cs="宋体"/>
          <w:color w:val="auto"/>
          <w:szCs w:val="21"/>
        </w:rPr>
      </w:pPr>
    </w:p>
    <w:p w14:paraId="078C439F">
      <w:pPr>
        <w:pStyle w:val="7"/>
        <w:overflowPunct w:val="0"/>
        <w:spacing w:before="120" w:line="360" w:lineRule="auto"/>
        <w:rPr>
          <w:rFonts w:ascii="宋体" w:hAnsi="宋体" w:cs="宋体"/>
          <w:color w:val="auto"/>
          <w:szCs w:val="21"/>
        </w:rPr>
      </w:pPr>
      <w:r>
        <w:rPr>
          <w:rFonts w:hint="eastAsia" w:ascii="宋体" w:hAnsi="宋体" w:cs="宋体"/>
          <w:color w:val="auto"/>
          <w:szCs w:val="21"/>
        </w:rPr>
        <w:t>联合体成员名称（盖公章或者电子签章）：</w:t>
      </w:r>
    </w:p>
    <w:p w14:paraId="3CD142BC">
      <w:pPr>
        <w:pStyle w:val="7"/>
        <w:overflowPunct w:val="0"/>
        <w:spacing w:before="120" w:line="360" w:lineRule="auto"/>
        <w:rPr>
          <w:rFonts w:ascii="宋体" w:hAnsi="宋体" w:cs="宋体"/>
          <w:color w:val="auto"/>
          <w:szCs w:val="21"/>
        </w:rPr>
      </w:pPr>
      <w:r>
        <w:rPr>
          <w:rFonts w:hint="eastAsia" w:ascii="宋体" w:hAnsi="宋体" w:cs="宋体"/>
          <w:color w:val="auto"/>
          <w:szCs w:val="21"/>
        </w:rPr>
        <w:t>法定代表人或者其委托代理人（签字或者电子签名）：</w:t>
      </w:r>
    </w:p>
    <w:p w14:paraId="7AB04DC7">
      <w:pPr>
        <w:pStyle w:val="7"/>
        <w:overflowPunct w:val="0"/>
        <w:spacing w:before="120" w:line="360" w:lineRule="auto"/>
        <w:rPr>
          <w:rFonts w:ascii="宋体" w:hAnsi="宋体" w:cs="宋体"/>
          <w:color w:val="auto"/>
          <w:szCs w:val="21"/>
        </w:rPr>
      </w:pPr>
      <w:r>
        <w:rPr>
          <w:rFonts w:hint="eastAsia" w:ascii="宋体" w:hAnsi="宋体" w:cs="宋体"/>
          <w:color w:val="auto"/>
          <w:szCs w:val="21"/>
        </w:rPr>
        <w:t>……</w:t>
      </w:r>
    </w:p>
    <w:p w14:paraId="657F9EE1">
      <w:pPr>
        <w:spacing w:before="120" w:line="360" w:lineRule="auto"/>
        <w:ind w:firstLine="420"/>
        <w:jc w:val="right"/>
        <w:rPr>
          <w:rFonts w:ascii="宋体" w:hAnsi="宋体" w:cs="宋体"/>
          <w:color w:val="auto"/>
          <w:sz w:val="24"/>
        </w:rPr>
      </w:pPr>
      <w:r>
        <w:rPr>
          <w:rFonts w:hint="eastAsia" w:ascii="宋体" w:hAnsi="宋体" w:cs="宋体"/>
          <w:color w:val="auto"/>
          <w:szCs w:val="21"/>
        </w:rPr>
        <w:t xml:space="preserve">日期：    年   月   日 </w:t>
      </w:r>
    </w:p>
    <w:p w14:paraId="53030AFD">
      <w:pPr>
        <w:spacing w:before="120" w:line="360" w:lineRule="auto"/>
        <w:ind w:right="420" w:firstLine="420"/>
        <w:contextualSpacing/>
        <w:jc w:val="left"/>
        <w:rPr>
          <w:rFonts w:ascii="宋体" w:hAnsi="宋体" w:cs="宋体"/>
          <w:b/>
          <w:color w:val="auto"/>
          <w:sz w:val="32"/>
          <w:szCs w:val="32"/>
        </w:rPr>
      </w:pPr>
      <w:r>
        <w:rPr>
          <w:rFonts w:hint="eastAsia" w:ascii="宋体" w:hAnsi="宋体" w:cs="宋体"/>
          <w:color w:val="auto"/>
          <w:szCs w:val="21"/>
        </w:rPr>
        <w:br w:type="page"/>
      </w:r>
      <w:r>
        <w:rPr>
          <w:rFonts w:hint="eastAsia" w:ascii="宋体" w:hAnsi="宋体" w:cs="宋体"/>
          <w:b/>
          <w:bCs/>
          <w:color w:val="auto"/>
          <w:sz w:val="32"/>
          <w:szCs w:val="32"/>
        </w:rPr>
        <w:t>二、</w:t>
      </w:r>
      <w:r>
        <w:rPr>
          <w:rFonts w:hint="eastAsia" w:ascii="宋体" w:hAnsi="宋体" w:cs="宋体"/>
          <w:b/>
          <w:color w:val="auto"/>
          <w:sz w:val="32"/>
          <w:szCs w:val="32"/>
        </w:rPr>
        <w:t xml:space="preserve">报价文件格式 </w:t>
      </w:r>
    </w:p>
    <w:p w14:paraId="5B858003">
      <w:pPr>
        <w:snapToGrid w:val="0"/>
        <w:spacing w:before="120" w:beforeLines="50" w:after="50" w:line="360" w:lineRule="auto"/>
        <w:ind w:firstLine="643"/>
        <w:jc w:val="left"/>
        <w:rPr>
          <w:rFonts w:ascii="宋体" w:hAnsi="宋体" w:cs="宋体"/>
          <w:b/>
          <w:color w:val="auto"/>
          <w:sz w:val="32"/>
          <w:szCs w:val="32"/>
        </w:rPr>
      </w:pPr>
      <w:r>
        <w:rPr>
          <w:rFonts w:hint="eastAsia" w:ascii="宋体" w:hAnsi="宋体" w:cs="宋体"/>
          <w:b/>
          <w:color w:val="auto"/>
          <w:sz w:val="32"/>
          <w:szCs w:val="32"/>
        </w:rPr>
        <w:t>1.报价文件封面格式</w:t>
      </w:r>
    </w:p>
    <w:p w14:paraId="3D3A9FB5">
      <w:pPr>
        <w:snapToGrid w:val="0"/>
        <w:spacing w:before="120" w:beforeLines="50" w:after="50"/>
        <w:ind w:firstLine="480"/>
        <w:rPr>
          <w:rFonts w:ascii="宋体" w:hAnsi="宋体" w:cs="宋体"/>
          <w:bCs/>
          <w:color w:val="auto"/>
          <w:sz w:val="32"/>
          <w:szCs w:val="20"/>
        </w:rPr>
      </w:pPr>
      <w:r>
        <w:rPr>
          <w:rFonts w:hint="eastAsia" w:ascii="宋体" w:hAnsi="宋体" w:cs="宋体"/>
          <w:color w:val="auto"/>
          <w:sz w:val="24"/>
        </w:rPr>
        <w:t xml:space="preserve">                                                    </w:t>
      </w:r>
    </w:p>
    <w:p w14:paraId="3F5CE440">
      <w:pPr>
        <w:snapToGrid w:val="0"/>
        <w:spacing w:before="120" w:beforeLines="50" w:after="50"/>
        <w:ind w:firstLine="880"/>
        <w:jc w:val="center"/>
        <w:rPr>
          <w:rFonts w:ascii="宋体" w:hAnsi="宋体" w:cs="宋体"/>
          <w:color w:val="auto"/>
          <w:sz w:val="24"/>
          <w:szCs w:val="20"/>
        </w:rPr>
      </w:pPr>
      <w:r>
        <w:rPr>
          <w:rFonts w:hint="eastAsia" w:ascii="宋体" w:hAnsi="宋体" w:cs="宋体"/>
          <w:color w:val="auto"/>
          <w:sz w:val="44"/>
          <w:szCs w:val="44"/>
        </w:rPr>
        <w:t>电 子 响 应 文 件</w:t>
      </w:r>
    </w:p>
    <w:p w14:paraId="4A10B30C">
      <w:pPr>
        <w:snapToGrid w:val="0"/>
        <w:spacing w:before="120" w:beforeLines="50" w:after="50"/>
        <w:ind w:firstLine="480"/>
        <w:rPr>
          <w:rFonts w:ascii="宋体" w:hAnsi="宋体" w:cs="宋体"/>
          <w:color w:val="auto"/>
          <w:sz w:val="24"/>
          <w:szCs w:val="20"/>
        </w:rPr>
      </w:pPr>
    </w:p>
    <w:p w14:paraId="0B864EE6">
      <w:pPr>
        <w:snapToGrid w:val="0"/>
        <w:spacing w:before="120" w:beforeLines="50" w:after="50"/>
        <w:ind w:firstLine="480"/>
        <w:rPr>
          <w:rFonts w:ascii="宋体" w:hAnsi="宋体" w:cs="宋体"/>
          <w:color w:val="auto"/>
          <w:sz w:val="24"/>
          <w:szCs w:val="20"/>
        </w:rPr>
      </w:pPr>
    </w:p>
    <w:p w14:paraId="7A2428FD">
      <w:pPr>
        <w:snapToGrid w:val="0"/>
        <w:spacing w:before="120" w:beforeLines="50" w:after="50"/>
        <w:ind w:firstLine="880"/>
        <w:jc w:val="center"/>
        <w:rPr>
          <w:rFonts w:ascii="宋体" w:hAnsi="宋体" w:cs="宋体"/>
          <w:bCs/>
          <w:color w:val="auto"/>
          <w:sz w:val="44"/>
          <w:szCs w:val="44"/>
        </w:rPr>
      </w:pPr>
      <w:r>
        <w:rPr>
          <w:rFonts w:hint="eastAsia" w:ascii="宋体" w:hAnsi="宋体" w:cs="宋体"/>
          <w:bCs/>
          <w:color w:val="auto"/>
          <w:sz w:val="44"/>
          <w:szCs w:val="44"/>
        </w:rPr>
        <w:t>报  价  文  件</w:t>
      </w:r>
    </w:p>
    <w:p w14:paraId="7971EA63">
      <w:pPr>
        <w:snapToGrid w:val="0"/>
        <w:spacing w:before="120" w:beforeLines="50" w:after="50"/>
        <w:ind w:firstLine="480"/>
        <w:rPr>
          <w:rFonts w:ascii="宋体" w:hAnsi="宋体" w:cs="宋体"/>
          <w:bCs/>
          <w:color w:val="auto"/>
          <w:sz w:val="24"/>
          <w:szCs w:val="20"/>
        </w:rPr>
      </w:pPr>
    </w:p>
    <w:p w14:paraId="6D60BB25">
      <w:pPr>
        <w:snapToGrid w:val="0"/>
        <w:spacing w:before="120" w:beforeLines="50" w:after="50"/>
        <w:ind w:firstLine="480"/>
        <w:rPr>
          <w:rFonts w:ascii="宋体" w:hAnsi="宋体" w:cs="宋体"/>
          <w:bCs/>
          <w:color w:val="auto"/>
          <w:sz w:val="24"/>
          <w:szCs w:val="20"/>
        </w:rPr>
      </w:pPr>
    </w:p>
    <w:p w14:paraId="64729C1E">
      <w:pPr>
        <w:snapToGrid w:val="0"/>
        <w:spacing w:before="120" w:beforeLines="50" w:after="50"/>
        <w:ind w:firstLine="480"/>
        <w:rPr>
          <w:rFonts w:ascii="宋体" w:hAnsi="宋体" w:cs="宋体"/>
          <w:bCs/>
          <w:color w:val="auto"/>
          <w:sz w:val="24"/>
          <w:szCs w:val="20"/>
        </w:rPr>
      </w:pPr>
    </w:p>
    <w:p w14:paraId="0F9AFF8C">
      <w:pPr>
        <w:snapToGrid w:val="0"/>
        <w:spacing w:before="120" w:beforeLines="50" w:after="50"/>
        <w:ind w:firstLine="480"/>
        <w:rPr>
          <w:rFonts w:ascii="宋体" w:hAnsi="宋体" w:cs="宋体"/>
          <w:bCs/>
          <w:color w:val="auto"/>
          <w:sz w:val="24"/>
          <w:szCs w:val="20"/>
        </w:rPr>
      </w:pPr>
    </w:p>
    <w:p w14:paraId="40F40FA5">
      <w:pPr>
        <w:snapToGrid w:val="0"/>
        <w:spacing w:before="120" w:beforeLines="50" w:after="50"/>
        <w:ind w:firstLine="480"/>
        <w:rPr>
          <w:rFonts w:ascii="宋体" w:hAnsi="宋体" w:cs="宋体"/>
          <w:bCs/>
          <w:color w:val="auto"/>
          <w:sz w:val="24"/>
          <w:szCs w:val="20"/>
        </w:rPr>
      </w:pPr>
    </w:p>
    <w:p w14:paraId="50FBCA65">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7F1F8223">
      <w:pPr>
        <w:snapToGrid w:val="0"/>
        <w:spacing w:before="120" w:beforeLines="50" w:after="50"/>
        <w:ind w:firstLine="720" w:firstLineChars="225"/>
        <w:rPr>
          <w:rFonts w:ascii="宋体" w:hAnsi="宋体" w:cs="宋体"/>
          <w:bCs/>
          <w:color w:val="auto"/>
          <w:sz w:val="32"/>
          <w:szCs w:val="32"/>
        </w:rPr>
      </w:pPr>
    </w:p>
    <w:p w14:paraId="5E3C5E0F">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503F5230">
      <w:pPr>
        <w:snapToGrid w:val="0"/>
        <w:spacing w:before="120" w:beforeLines="50" w:after="50"/>
        <w:ind w:firstLine="720" w:firstLineChars="225"/>
        <w:rPr>
          <w:rFonts w:ascii="宋体" w:hAnsi="宋体" w:cs="宋体"/>
          <w:bCs/>
          <w:color w:val="auto"/>
          <w:sz w:val="32"/>
          <w:szCs w:val="32"/>
        </w:rPr>
      </w:pPr>
      <w:r>
        <w:rPr>
          <w:rFonts w:hint="eastAsia" w:ascii="宋体" w:hAnsi="宋体" w:cs="宋体"/>
          <w:bCs/>
          <w:color w:val="auto"/>
          <w:sz w:val="32"/>
          <w:szCs w:val="32"/>
        </w:rPr>
        <w:t xml:space="preserve"> </w:t>
      </w:r>
    </w:p>
    <w:p w14:paraId="2BBBA679">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126ABD1B">
      <w:pPr>
        <w:snapToGrid w:val="0"/>
        <w:spacing w:before="120" w:beforeLines="50" w:after="50"/>
        <w:ind w:firstLine="720" w:firstLineChars="225"/>
        <w:rPr>
          <w:rFonts w:ascii="宋体" w:hAnsi="宋体" w:cs="宋体"/>
          <w:bCs/>
          <w:color w:val="auto"/>
          <w:sz w:val="32"/>
          <w:szCs w:val="32"/>
        </w:rPr>
      </w:pPr>
    </w:p>
    <w:p w14:paraId="59329F75">
      <w:pPr>
        <w:pStyle w:val="7"/>
        <w:snapToGrid w:val="0"/>
        <w:spacing w:before="12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7C86AB5D">
      <w:pPr>
        <w:pStyle w:val="7"/>
        <w:snapToGrid w:val="0"/>
        <w:spacing w:before="120" w:after="50"/>
        <w:ind w:firstLine="640" w:firstLineChars="200"/>
        <w:rPr>
          <w:rFonts w:ascii="宋体" w:hAnsi="宋体" w:cs="宋体"/>
          <w:bCs/>
          <w:color w:val="auto"/>
          <w:sz w:val="32"/>
          <w:szCs w:val="32"/>
        </w:rPr>
      </w:pPr>
    </w:p>
    <w:p w14:paraId="5C60716D">
      <w:pPr>
        <w:pStyle w:val="7"/>
        <w:snapToGrid w:val="0"/>
        <w:spacing w:before="120" w:after="50"/>
        <w:ind w:firstLine="720" w:firstLineChars="225"/>
        <w:rPr>
          <w:rFonts w:ascii="宋体" w:hAnsi="宋体" w:cs="宋体"/>
          <w:bCs/>
          <w:color w:val="auto"/>
          <w:sz w:val="32"/>
          <w:szCs w:val="32"/>
        </w:rPr>
      </w:pPr>
    </w:p>
    <w:p w14:paraId="19BF0F65">
      <w:pPr>
        <w:pStyle w:val="7"/>
        <w:snapToGrid w:val="0"/>
        <w:spacing w:before="120" w:after="50"/>
        <w:ind w:firstLine="640"/>
        <w:rPr>
          <w:rFonts w:ascii="宋体" w:hAnsi="宋体" w:cs="宋体"/>
          <w:bCs/>
          <w:color w:val="auto"/>
          <w:sz w:val="32"/>
          <w:szCs w:val="32"/>
        </w:rPr>
      </w:pPr>
    </w:p>
    <w:p w14:paraId="43BE2330">
      <w:pPr>
        <w:pStyle w:val="7"/>
        <w:snapToGrid w:val="0"/>
        <w:spacing w:before="120" w:after="50"/>
        <w:ind w:firstLine="1280" w:firstLineChars="400"/>
        <w:rPr>
          <w:rFonts w:ascii="宋体" w:hAnsi="宋体" w:cs="宋体"/>
          <w:bCs/>
          <w:color w:val="auto"/>
          <w:sz w:val="32"/>
          <w:szCs w:val="32"/>
        </w:rPr>
      </w:pPr>
    </w:p>
    <w:p w14:paraId="0A2D4B44">
      <w:pPr>
        <w:snapToGrid w:val="0"/>
        <w:spacing w:before="120" w:beforeLines="50" w:after="50"/>
        <w:ind w:firstLine="640"/>
        <w:jc w:val="center"/>
        <w:rPr>
          <w:rFonts w:ascii="宋体" w:hAnsi="宋体" w:cs="宋体"/>
          <w:color w:val="auto"/>
          <w:sz w:val="32"/>
          <w:szCs w:val="32"/>
        </w:rPr>
      </w:pPr>
      <w:r>
        <w:rPr>
          <w:rFonts w:hint="eastAsia" w:ascii="宋体" w:hAnsi="宋体" w:cs="宋体"/>
          <w:color w:val="auto"/>
          <w:sz w:val="32"/>
          <w:szCs w:val="32"/>
        </w:rPr>
        <w:t>年    月    日</w:t>
      </w:r>
    </w:p>
    <w:p w14:paraId="7FD3FEB0">
      <w:pPr>
        <w:snapToGrid w:val="0"/>
        <w:spacing w:before="120" w:beforeLines="50" w:after="50" w:line="360" w:lineRule="auto"/>
        <w:ind w:left="142" w:firstLine="420"/>
        <w:jc w:val="left"/>
        <w:rPr>
          <w:rFonts w:ascii="宋体" w:hAnsi="宋体" w:cs="宋体"/>
          <w:b/>
          <w:bCs/>
          <w:color w:val="auto"/>
          <w:sz w:val="24"/>
        </w:rPr>
      </w:pPr>
      <w:r>
        <w:rPr>
          <w:rFonts w:hint="eastAsia" w:ascii="宋体" w:hAnsi="宋体" w:cs="宋体"/>
          <w:color w:val="auto"/>
          <w:szCs w:val="21"/>
        </w:rPr>
        <w:br w:type="page"/>
      </w:r>
      <w:r>
        <w:rPr>
          <w:rFonts w:hint="eastAsia" w:ascii="宋体" w:hAnsi="宋体" w:cs="宋体"/>
          <w:b/>
          <w:bCs/>
          <w:color w:val="auto"/>
          <w:sz w:val="32"/>
          <w:szCs w:val="32"/>
        </w:rPr>
        <w:t>2.报价文件目录</w:t>
      </w:r>
    </w:p>
    <w:p w14:paraId="63A24895">
      <w:pPr>
        <w:tabs>
          <w:tab w:val="left" w:pos="3479"/>
        </w:tabs>
        <w:spacing w:before="120" w:line="520" w:lineRule="exact"/>
        <w:ind w:firstLine="420"/>
        <w:jc w:val="left"/>
        <w:rPr>
          <w:rFonts w:ascii="宋体" w:hAnsi="宋体" w:cs="宋体"/>
          <w:color w:val="auto"/>
          <w:szCs w:val="21"/>
        </w:rPr>
      </w:pPr>
      <w:r>
        <w:rPr>
          <w:rFonts w:hint="eastAsia" w:ascii="宋体" w:hAnsi="宋体" w:cs="宋体"/>
          <w:color w:val="auto"/>
          <w:szCs w:val="21"/>
        </w:rPr>
        <w:t>根据谈判文件规定及供应商提供的材料自行编写目录（部分格式后附）。</w:t>
      </w:r>
    </w:p>
    <w:p w14:paraId="6CB6403B">
      <w:pPr>
        <w:tabs>
          <w:tab w:val="left" w:pos="3479"/>
        </w:tabs>
        <w:spacing w:before="120" w:line="520" w:lineRule="exact"/>
        <w:ind w:firstLine="420"/>
        <w:jc w:val="center"/>
        <w:rPr>
          <w:rFonts w:ascii="宋体" w:hAnsi="宋体" w:cs="宋体"/>
          <w:bCs/>
          <w:color w:val="auto"/>
          <w:sz w:val="32"/>
          <w:szCs w:val="32"/>
        </w:rPr>
      </w:pPr>
      <w:r>
        <w:rPr>
          <w:rFonts w:hint="eastAsia" w:ascii="宋体" w:hAnsi="宋体" w:cs="宋体"/>
          <w:color w:val="auto"/>
          <w:szCs w:val="21"/>
        </w:rPr>
        <w:br w:type="page"/>
      </w:r>
      <w:r>
        <w:rPr>
          <w:rFonts w:hint="eastAsia" w:ascii="宋体" w:hAnsi="宋体" w:cs="宋体"/>
          <w:bCs/>
          <w:color w:val="auto"/>
          <w:sz w:val="44"/>
          <w:szCs w:val="44"/>
        </w:rPr>
        <w:t>竞  标  报  价  表</w:t>
      </w:r>
    </w:p>
    <w:p w14:paraId="565F013A">
      <w:pPr>
        <w:spacing w:before="120" w:line="520" w:lineRule="exact"/>
        <w:ind w:firstLine="640"/>
        <w:jc w:val="center"/>
        <w:rPr>
          <w:rFonts w:ascii="宋体" w:hAnsi="宋体" w:cs="宋体"/>
          <w:bCs/>
          <w:color w:val="auto"/>
          <w:sz w:val="32"/>
          <w:szCs w:val="32"/>
        </w:rPr>
      </w:pPr>
    </w:p>
    <w:p w14:paraId="7B03B936">
      <w:pPr>
        <w:snapToGrid w:val="0"/>
        <w:spacing w:line="400" w:lineRule="exact"/>
        <w:ind w:firstLine="420"/>
        <w:rPr>
          <w:rFonts w:ascii="宋体" w:hAnsi="宋体" w:cs="宋体"/>
          <w:color w:val="auto"/>
          <w:szCs w:val="21"/>
        </w:rPr>
      </w:pPr>
      <w:r>
        <w:rPr>
          <w:rFonts w:hint="eastAsia" w:ascii="宋体" w:hAnsi="宋体" w:cs="宋体"/>
          <w:color w:val="auto"/>
          <w:szCs w:val="21"/>
        </w:rPr>
        <w:t>项目名称：</w:t>
      </w:r>
      <w:r>
        <w:rPr>
          <w:rFonts w:hint="eastAsia" w:ascii="宋体" w:hAnsi="宋体" w:cs="宋体"/>
          <w:color w:val="auto"/>
          <w:szCs w:val="21"/>
          <w:u w:val="single"/>
        </w:rPr>
        <w:t xml:space="preserve">                </w:t>
      </w:r>
      <w:r>
        <w:rPr>
          <w:rFonts w:hint="eastAsia" w:ascii="宋体" w:hAnsi="宋体" w:cs="宋体"/>
          <w:color w:val="auto"/>
          <w:szCs w:val="21"/>
        </w:rPr>
        <w:t>项目编号：</w:t>
      </w:r>
      <w:r>
        <w:rPr>
          <w:rFonts w:hint="eastAsia" w:ascii="宋体" w:hAnsi="宋体" w:cs="宋体"/>
          <w:color w:val="auto"/>
          <w:szCs w:val="21"/>
          <w:u w:val="single"/>
        </w:rPr>
        <w:t xml:space="preserve">               </w:t>
      </w:r>
      <w:r>
        <w:rPr>
          <w:rFonts w:hint="eastAsia" w:ascii="宋体" w:hAnsi="宋体" w:cs="宋体"/>
          <w:color w:val="auto"/>
          <w:szCs w:val="21"/>
        </w:rPr>
        <w:t xml:space="preserve"> 分标（如有）：</w:t>
      </w:r>
      <w:r>
        <w:rPr>
          <w:rFonts w:hint="eastAsia" w:ascii="宋体" w:hAnsi="宋体" w:cs="宋体"/>
          <w:color w:val="auto"/>
          <w:szCs w:val="21"/>
          <w:u w:val="single"/>
        </w:rPr>
        <w:t xml:space="preserve">            </w:t>
      </w:r>
    </w:p>
    <w:p w14:paraId="014103F2">
      <w:pPr>
        <w:snapToGrid w:val="0"/>
        <w:spacing w:line="400" w:lineRule="exact"/>
        <w:ind w:firstLine="420"/>
        <w:rPr>
          <w:rFonts w:ascii="宋体" w:hAnsi="宋体" w:cs="宋体"/>
          <w:color w:val="auto"/>
          <w:szCs w:val="21"/>
        </w:rPr>
      </w:pPr>
      <w:r>
        <w:rPr>
          <w:rFonts w:hint="eastAsia" w:ascii="宋体" w:hAnsi="宋体" w:cs="宋体"/>
          <w:color w:val="auto"/>
          <w:szCs w:val="21"/>
        </w:rPr>
        <w:t>供应商名称：</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0377D6DF">
      <w:pPr>
        <w:snapToGrid w:val="0"/>
        <w:spacing w:line="400" w:lineRule="exact"/>
        <w:ind w:firstLine="420"/>
        <w:rPr>
          <w:rFonts w:ascii="宋体" w:hAnsi="宋体" w:cs="宋体"/>
          <w:color w:val="auto"/>
          <w:szCs w:val="21"/>
        </w:rPr>
      </w:pPr>
      <w:r>
        <w:rPr>
          <w:rFonts w:hint="eastAsia" w:ascii="宋体" w:hAnsi="宋体" w:cs="宋体"/>
          <w:color w:val="auto"/>
          <w:szCs w:val="21"/>
        </w:rPr>
        <w:t>单位：元</w:t>
      </w:r>
    </w:p>
    <w:tbl>
      <w:tblPr>
        <w:tblStyle w:val="26"/>
        <w:tblW w:w="85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25"/>
        <w:gridCol w:w="924"/>
        <w:gridCol w:w="870"/>
        <w:gridCol w:w="615"/>
        <w:gridCol w:w="700"/>
        <w:gridCol w:w="700"/>
        <w:gridCol w:w="663"/>
        <w:gridCol w:w="1350"/>
        <w:gridCol w:w="850"/>
        <w:gridCol w:w="1312"/>
      </w:tblGrid>
      <w:tr w14:paraId="320BA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8" w:hRule="atLeast"/>
          <w:jc w:val="center"/>
        </w:trPr>
        <w:tc>
          <w:tcPr>
            <w:tcW w:w="525" w:type="dxa"/>
            <w:tcBorders>
              <w:top w:val="single" w:color="auto" w:sz="4" w:space="0"/>
              <w:left w:val="single" w:color="auto" w:sz="4" w:space="0"/>
              <w:bottom w:val="single" w:color="auto" w:sz="4" w:space="0"/>
              <w:right w:val="single" w:color="auto" w:sz="4" w:space="0"/>
            </w:tcBorders>
            <w:vAlign w:val="center"/>
          </w:tcPr>
          <w:p w14:paraId="72793143">
            <w:pPr>
              <w:spacing w:before="120" w:line="360" w:lineRule="auto"/>
              <w:rPr>
                <w:rFonts w:ascii="宋体" w:hAnsi="宋体" w:cs="宋体"/>
                <w:b/>
                <w:bCs/>
                <w:color w:val="auto"/>
                <w:szCs w:val="21"/>
              </w:rPr>
            </w:pPr>
            <w:r>
              <w:rPr>
                <w:rFonts w:hint="eastAsia" w:ascii="宋体" w:hAnsi="宋体" w:cs="宋体"/>
                <w:b/>
                <w:bCs/>
                <w:color w:val="auto"/>
                <w:szCs w:val="21"/>
              </w:rPr>
              <w:t>序号</w:t>
            </w:r>
          </w:p>
        </w:tc>
        <w:tc>
          <w:tcPr>
            <w:tcW w:w="924" w:type="dxa"/>
            <w:tcBorders>
              <w:top w:val="single" w:color="auto" w:sz="4" w:space="0"/>
              <w:left w:val="single" w:color="auto" w:sz="4" w:space="0"/>
              <w:bottom w:val="single" w:color="auto" w:sz="4" w:space="0"/>
              <w:right w:val="single" w:color="auto" w:sz="4" w:space="0"/>
            </w:tcBorders>
            <w:vAlign w:val="center"/>
          </w:tcPr>
          <w:p w14:paraId="4B2BF820">
            <w:pPr>
              <w:spacing w:before="120" w:line="360" w:lineRule="auto"/>
              <w:rPr>
                <w:rFonts w:ascii="宋体" w:hAnsi="宋体" w:cs="宋体"/>
                <w:b/>
                <w:bCs/>
                <w:color w:val="auto"/>
                <w:szCs w:val="21"/>
              </w:rPr>
            </w:pPr>
            <w:r>
              <w:rPr>
                <w:rFonts w:hint="eastAsia" w:ascii="宋体" w:hAnsi="宋体" w:cs="宋体"/>
                <w:b/>
                <w:bCs/>
                <w:color w:val="auto"/>
                <w:szCs w:val="21"/>
              </w:rPr>
              <w:t>标的</w:t>
            </w:r>
          </w:p>
          <w:p w14:paraId="279582A5">
            <w:pPr>
              <w:spacing w:before="120" w:line="360" w:lineRule="auto"/>
              <w:rPr>
                <w:rFonts w:ascii="宋体" w:hAnsi="宋体" w:cs="宋体"/>
                <w:b/>
                <w:bCs/>
                <w:color w:val="auto"/>
                <w:szCs w:val="21"/>
              </w:rPr>
            </w:pPr>
            <w:r>
              <w:rPr>
                <w:rFonts w:hint="eastAsia" w:ascii="宋体" w:hAnsi="宋体" w:cs="宋体"/>
                <w:b/>
                <w:bCs/>
                <w:color w:val="auto"/>
                <w:szCs w:val="21"/>
              </w:rPr>
              <w:t>名称</w:t>
            </w:r>
          </w:p>
        </w:tc>
        <w:tc>
          <w:tcPr>
            <w:tcW w:w="870" w:type="dxa"/>
            <w:tcBorders>
              <w:top w:val="single" w:color="auto" w:sz="4" w:space="0"/>
              <w:left w:val="single" w:color="auto" w:sz="4" w:space="0"/>
              <w:bottom w:val="single" w:color="auto" w:sz="4" w:space="0"/>
              <w:right w:val="single" w:color="auto" w:sz="4" w:space="0"/>
            </w:tcBorders>
            <w:vAlign w:val="center"/>
          </w:tcPr>
          <w:p w14:paraId="4FB22FD9">
            <w:pPr>
              <w:spacing w:before="120" w:line="360" w:lineRule="auto"/>
              <w:rPr>
                <w:rFonts w:ascii="宋体" w:hAnsi="宋体" w:cs="宋体"/>
                <w:b/>
                <w:bCs/>
                <w:color w:val="auto"/>
                <w:szCs w:val="21"/>
              </w:rPr>
            </w:pPr>
            <w:r>
              <w:rPr>
                <w:rFonts w:hint="eastAsia" w:ascii="宋体" w:hAnsi="宋体" w:cs="宋体"/>
                <w:b/>
                <w:bCs/>
                <w:color w:val="auto"/>
                <w:szCs w:val="21"/>
              </w:rPr>
              <w:t>数量及单位①</w:t>
            </w:r>
          </w:p>
        </w:tc>
        <w:tc>
          <w:tcPr>
            <w:tcW w:w="615" w:type="dxa"/>
            <w:tcBorders>
              <w:top w:val="single" w:color="auto" w:sz="4" w:space="0"/>
              <w:left w:val="single" w:color="auto" w:sz="4" w:space="0"/>
              <w:bottom w:val="single" w:color="auto" w:sz="4" w:space="0"/>
              <w:right w:val="single" w:color="auto" w:sz="4" w:space="0"/>
            </w:tcBorders>
            <w:vAlign w:val="center"/>
          </w:tcPr>
          <w:p w14:paraId="4467B095">
            <w:pPr>
              <w:spacing w:before="120" w:line="360" w:lineRule="auto"/>
              <w:rPr>
                <w:rFonts w:ascii="宋体" w:hAnsi="宋体" w:cs="宋体"/>
                <w:b/>
                <w:bCs/>
                <w:color w:val="auto"/>
                <w:szCs w:val="21"/>
              </w:rPr>
            </w:pPr>
            <w:r>
              <w:rPr>
                <w:rFonts w:hint="eastAsia" w:ascii="宋体" w:hAnsi="宋体" w:cs="宋体"/>
                <w:b/>
                <w:bCs/>
                <w:color w:val="auto"/>
                <w:szCs w:val="21"/>
              </w:rPr>
              <w:t>品牌</w:t>
            </w:r>
          </w:p>
        </w:tc>
        <w:tc>
          <w:tcPr>
            <w:tcW w:w="700" w:type="dxa"/>
            <w:tcBorders>
              <w:top w:val="single" w:color="auto" w:sz="4" w:space="0"/>
              <w:left w:val="single" w:color="auto" w:sz="4" w:space="0"/>
              <w:bottom w:val="single" w:color="auto" w:sz="4" w:space="0"/>
              <w:right w:val="single" w:color="auto" w:sz="4" w:space="0"/>
            </w:tcBorders>
            <w:vAlign w:val="center"/>
          </w:tcPr>
          <w:p w14:paraId="1B571CF0">
            <w:pPr>
              <w:spacing w:before="120" w:line="360" w:lineRule="auto"/>
              <w:rPr>
                <w:rFonts w:ascii="宋体" w:hAnsi="宋体" w:cs="宋体"/>
                <w:b/>
                <w:bCs/>
                <w:color w:val="auto"/>
                <w:szCs w:val="21"/>
              </w:rPr>
            </w:pPr>
            <w:r>
              <w:rPr>
                <w:rFonts w:hint="eastAsia" w:ascii="宋体" w:hAnsi="宋体" w:cs="宋体"/>
                <w:b/>
                <w:bCs/>
                <w:color w:val="auto"/>
                <w:szCs w:val="21"/>
              </w:rPr>
              <w:t>规格</w:t>
            </w:r>
          </w:p>
          <w:p w14:paraId="38A72277">
            <w:pPr>
              <w:spacing w:before="120" w:line="360" w:lineRule="auto"/>
              <w:rPr>
                <w:rFonts w:ascii="宋体" w:hAnsi="宋体" w:cs="宋体"/>
                <w:b/>
                <w:bCs/>
                <w:color w:val="auto"/>
                <w:szCs w:val="21"/>
              </w:rPr>
            </w:pPr>
            <w:r>
              <w:rPr>
                <w:rFonts w:hint="eastAsia" w:ascii="宋体" w:hAnsi="宋体" w:cs="宋体"/>
                <w:b/>
                <w:bCs/>
                <w:color w:val="auto"/>
                <w:szCs w:val="21"/>
              </w:rPr>
              <w:t>型号</w:t>
            </w:r>
          </w:p>
        </w:tc>
        <w:tc>
          <w:tcPr>
            <w:tcW w:w="700" w:type="dxa"/>
            <w:tcBorders>
              <w:top w:val="single" w:color="auto" w:sz="4" w:space="0"/>
              <w:left w:val="single" w:color="auto" w:sz="4" w:space="0"/>
              <w:bottom w:val="single" w:color="auto" w:sz="4" w:space="0"/>
              <w:right w:val="single" w:color="auto" w:sz="4" w:space="0"/>
            </w:tcBorders>
            <w:vAlign w:val="center"/>
          </w:tcPr>
          <w:p w14:paraId="6BF042B7">
            <w:pPr>
              <w:spacing w:before="120" w:line="360" w:lineRule="auto"/>
              <w:rPr>
                <w:rFonts w:ascii="宋体" w:hAnsi="宋体" w:cs="宋体"/>
                <w:b/>
                <w:bCs/>
                <w:color w:val="auto"/>
                <w:szCs w:val="21"/>
              </w:rPr>
            </w:pPr>
            <w:r>
              <w:rPr>
                <w:rFonts w:hint="eastAsia" w:ascii="宋体" w:hAnsi="宋体" w:cs="宋体"/>
                <w:b/>
                <w:bCs/>
                <w:color w:val="auto"/>
                <w:szCs w:val="21"/>
              </w:rPr>
              <w:t>生产</w:t>
            </w:r>
          </w:p>
          <w:p w14:paraId="70DF212A">
            <w:pPr>
              <w:spacing w:before="120" w:line="360" w:lineRule="auto"/>
              <w:rPr>
                <w:rFonts w:ascii="宋体" w:hAnsi="宋体" w:cs="宋体"/>
                <w:b/>
                <w:bCs/>
                <w:color w:val="auto"/>
                <w:szCs w:val="21"/>
              </w:rPr>
            </w:pPr>
            <w:r>
              <w:rPr>
                <w:rFonts w:hint="eastAsia" w:ascii="宋体" w:hAnsi="宋体" w:cs="宋体"/>
                <w:b/>
                <w:bCs/>
                <w:color w:val="auto"/>
                <w:szCs w:val="21"/>
              </w:rPr>
              <w:t>厂家</w:t>
            </w:r>
          </w:p>
        </w:tc>
        <w:tc>
          <w:tcPr>
            <w:tcW w:w="663" w:type="dxa"/>
            <w:tcBorders>
              <w:top w:val="single" w:color="auto" w:sz="4" w:space="0"/>
              <w:left w:val="single" w:color="auto" w:sz="4" w:space="0"/>
              <w:bottom w:val="single" w:color="auto" w:sz="4" w:space="0"/>
              <w:right w:val="single" w:color="auto" w:sz="4" w:space="0"/>
            </w:tcBorders>
            <w:vAlign w:val="center"/>
          </w:tcPr>
          <w:p w14:paraId="4FA59B93">
            <w:pPr>
              <w:spacing w:before="120" w:line="360" w:lineRule="auto"/>
              <w:rPr>
                <w:rFonts w:ascii="宋体" w:hAnsi="宋体" w:cs="宋体"/>
                <w:b/>
                <w:bCs/>
                <w:color w:val="auto"/>
                <w:szCs w:val="21"/>
              </w:rPr>
            </w:pPr>
            <w:r>
              <w:rPr>
                <w:rFonts w:hint="eastAsia" w:ascii="宋体" w:hAnsi="宋体" w:cs="宋体"/>
                <w:b/>
                <w:bCs/>
                <w:color w:val="auto"/>
                <w:szCs w:val="21"/>
              </w:rPr>
              <w:t>国别</w:t>
            </w:r>
          </w:p>
        </w:tc>
        <w:tc>
          <w:tcPr>
            <w:tcW w:w="1350" w:type="dxa"/>
            <w:tcBorders>
              <w:top w:val="single" w:color="auto" w:sz="4" w:space="0"/>
              <w:left w:val="single" w:color="auto" w:sz="4" w:space="0"/>
              <w:bottom w:val="single" w:color="auto" w:sz="4" w:space="0"/>
              <w:right w:val="single" w:color="auto" w:sz="4" w:space="0"/>
            </w:tcBorders>
            <w:vAlign w:val="center"/>
          </w:tcPr>
          <w:p w14:paraId="085C24A7">
            <w:pPr>
              <w:spacing w:before="120" w:line="360" w:lineRule="auto"/>
              <w:rPr>
                <w:rFonts w:ascii="宋体" w:hAnsi="宋体" w:cs="宋体"/>
                <w:b/>
                <w:bCs/>
                <w:color w:val="auto"/>
                <w:szCs w:val="21"/>
              </w:rPr>
            </w:pPr>
            <w:r>
              <w:rPr>
                <w:rFonts w:hint="eastAsia" w:ascii="宋体" w:hAnsi="宋体" w:cs="宋体"/>
                <w:b/>
                <w:bCs/>
                <w:color w:val="auto"/>
                <w:szCs w:val="21"/>
              </w:rPr>
              <w:t>参数性能、指标及配置</w:t>
            </w:r>
          </w:p>
        </w:tc>
        <w:tc>
          <w:tcPr>
            <w:tcW w:w="850" w:type="dxa"/>
            <w:tcBorders>
              <w:top w:val="single" w:color="auto" w:sz="4" w:space="0"/>
              <w:left w:val="single" w:color="auto" w:sz="4" w:space="0"/>
              <w:bottom w:val="single" w:color="auto" w:sz="4" w:space="0"/>
              <w:right w:val="single" w:color="auto" w:sz="4" w:space="0"/>
            </w:tcBorders>
            <w:vAlign w:val="center"/>
          </w:tcPr>
          <w:p w14:paraId="30BAD98C">
            <w:pPr>
              <w:spacing w:before="120" w:line="360" w:lineRule="auto"/>
              <w:rPr>
                <w:rFonts w:ascii="宋体" w:hAnsi="宋体" w:cs="宋体"/>
                <w:b/>
                <w:bCs/>
                <w:color w:val="auto"/>
                <w:szCs w:val="21"/>
              </w:rPr>
            </w:pPr>
            <w:r>
              <w:rPr>
                <w:rFonts w:hint="eastAsia" w:ascii="宋体" w:hAnsi="宋体" w:cs="宋体"/>
                <w:b/>
                <w:bCs/>
                <w:color w:val="auto"/>
                <w:szCs w:val="21"/>
              </w:rPr>
              <w:t>单价</w:t>
            </w:r>
          </w:p>
          <w:p w14:paraId="2069A552">
            <w:pPr>
              <w:spacing w:before="120" w:line="360" w:lineRule="auto"/>
              <w:rPr>
                <w:rFonts w:ascii="宋体" w:hAnsi="宋体" w:cs="宋体"/>
                <w:b/>
                <w:bCs/>
                <w:color w:val="auto"/>
                <w:szCs w:val="21"/>
              </w:rPr>
            </w:pPr>
            <w:r>
              <w:rPr>
                <w:rFonts w:hint="eastAsia" w:ascii="宋体" w:hAnsi="宋体" w:cs="宋体"/>
                <w:b/>
                <w:bCs/>
                <w:color w:val="auto"/>
                <w:szCs w:val="21"/>
              </w:rPr>
              <w:t>②</w:t>
            </w:r>
          </w:p>
        </w:tc>
        <w:tc>
          <w:tcPr>
            <w:tcW w:w="1312" w:type="dxa"/>
            <w:tcBorders>
              <w:top w:val="single" w:color="auto" w:sz="4" w:space="0"/>
              <w:left w:val="single" w:color="auto" w:sz="4" w:space="0"/>
              <w:bottom w:val="single" w:color="auto" w:sz="4" w:space="0"/>
              <w:right w:val="single" w:color="auto" w:sz="4" w:space="0"/>
            </w:tcBorders>
            <w:vAlign w:val="center"/>
          </w:tcPr>
          <w:p w14:paraId="19EA9FD5">
            <w:pPr>
              <w:spacing w:before="120" w:line="360" w:lineRule="auto"/>
              <w:rPr>
                <w:rFonts w:ascii="宋体" w:hAnsi="宋体" w:cs="宋体"/>
                <w:b/>
                <w:bCs/>
                <w:color w:val="auto"/>
                <w:szCs w:val="21"/>
              </w:rPr>
            </w:pPr>
            <w:r>
              <w:rPr>
                <w:rFonts w:hint="eastAsia" w:ascii="宋体" w:hAnsi="宋体" w:cs="宋体"/>
                <w:b/>
                <w:bCs/>
                <w:color w:val="auto"/>
                <w:szCs w:val="21"/>
              </w:rPr>
              <w:t>竞标报价</w:t>
            </w:r>
          </w:p>
          <w:p w14:paraId="543EE3E7">
            <w:pPr>
              <w:spacing w:before="120" w:line="360" w:lineRule="auto"/>
              <w:rPr>
                <w:rFonts w:ascii="宋体" w:hAnsi="宋体" w:cs="宋体"/>
                <w:b/>
                <w:bCs/>
                <w:color w:val="auto"/>
                <w:szCs w:val="21"/>
              </w:rPr>
            </w:pPr>
            <w:r>
              <w:rPr>
                <w:rFonts w:hint="eastAsia" w:ascii="宋体" w:hAnsi="宋体" w:cs="宋体"/>
                <w:b/>
                <w:bCs/>
                <w:color w:val="auto"/>
                <w:szCs w:val="21"/>
              </w:rPr>
              <w:t>③=①×②</w:t>
            </w:r>
          </w:p>
        </w:tc>
      </w:tr>
      <w:tr w14:paraId="7E94EB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25" w:type="dxa"/>
            <w:tcBorders>
              <w:top w:val="single" w:color="auto" w:sz="4" w:space="0"/>
              <w:left w:val="single" w:color="auto" w:sz="4" w:space="0"/>
              <w:bottom w:val="single" w:color="auto" w:sz="4" w:space="0"/>
              <w:right w:val="single" w:color="auto" w:sz="4" w:space="0"/>
            </w:tcBorders>
            <w:vAlign w:val="center"/>
          </w:tcPr>
          <w:p w14:paraId="15947F20">
            <w:pPr>
              <w:spacing w:before="120" w:line="360" w:lineRule="auto"/>
              <w:rPr>
                <w:rFonts w:ascii="宋体" w:hAnsi="宋体" w:cs="宋体"/>
                <w:color w:val="auto"/>
                <w:szCs w:val="21"/>
              </w:rPr>
            </w:pPr>
            <w:r>
              <w:rPr>
                <w:rFonts w:hint="eastAsia" w:ascii="宋体" w:hAnsi="宋体" w:cs="宋体"/>
                <w:color w:val="auto"/>
                <w:szCs w:val="21"/>
              </w:rPr>
              <w:t>1</w:t>
            </w:r>
          </w:p>
        </w:tc>
        <w:tc>
          <w:tcPr>
            <w:tcW w:w="924" w:type="dxa"/>
            <w:tcBorders>
              <w:top w:val="single" w:color="auto" w:sz="4" w:space="0"/>
              <w:left w:val="single" w:color="auto" w:sz="4" w:space="0"/>
              <w:bottom w:val="single" w:color="auto" w:sz="4" w:space="0"/>
              <w:right w:val="single" w:color="auto" w:sz="4" w:space="0"/>
            </w:tcBorders>
            <w:vAlign w:val="center"/>
          </w:tcPr>
          <w:p w14:paraId="0CC26910">
            <w:pPr>
              <w:spacing w:before="120" w:line="360" w:lineRule="auto"/>
              <w:ind w:firstLine="420"/>
              <w:jc w:val="center"/>
              <w:rPr>
                <w:rFonts w:ascii="宋体" w:hAnsi="宋体" w:cs="宋体"/>
                <w:color w:val="auto"/>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507625A7">
            <w:pPr>
              <w:spacing w:before="120" w:line="360" w:lineRule="auto"/>
              <w:ind w:firstLine="420"/>
              <w:jc w:val="center"/>
              <w:rPr>
                <w:rFonts w:ascii="宋体" w:hAnsi="宋体" w:cs="宋体"/>
                <w:color w:val="auto"/>
                <w:szCs w:val="21"/>
              </w:rPr>
            </w:pPr>
          </w:p>
        </w:tc>
        <w:tc>
          <w:tcPr>
            <w:tcW w:w="615" w:type="dxa"/>
            <w:tcBorders>
              <w:top w:val="single" w:color="auto" w:sz="4" w:space="0"/>
              <w:left w:val="single" w:color="auto" w:sz="4" w:space="0"/>
              <w:bottom w:val="single" w:color="auto" w:sz="4" w:space="0"/>
              <w:right w:val="single" w:color="auto" w:sz="4" w:space="0"/>
            </w:tcBorders>
            <w:vAlign w:val="center"/>
          </w:tcPr>
          <w:p w14:paraId="0F52AEAF">
            <w:pPr>
              <w:spacing w:before="120" w:line="360" w:lineRule="auto"/>
              <w:ind w:firstLine="420"/>
              <w:jc w:val="center"/>
              <w:rPr>
                <w:rFonts w:ascii="宋体" w:hAnsi="宋体" w:cs="宋体"/>
                <w:color w:val="auto"/>
                <w:szCs w:val="21"/>
              </w:rPr>
            </w:pPr>
          </w:p>
        </w:tc>
        <w:tc>
          <w:tcPr>
            <w:tcW w:w="700" w:type="dxa"/>
            <w:tcBorders>
              <w:top w:val="single" w:color="auto" w:sz="4" w:space="0"/>
              <w:left w:val="single" w:color="auto" w:sz="4" w:space="0"/>
              <w:bottom w:val="single" w:color="auto" w:sz="4" w:space="0"/>
              <w:right w:val="single" w:color="auto" w:sz="4" w:space="0"/>
            </w:tcBorders>
            <w:vAlign w:val="center"/>
          </w:tcPr>
          <w:p w14:paraId="554AD2C1">
            <w:pPr>
              <w:spacing w:before="120" w:line="360" w:lineRule="auto"/>
              <w:ind w:firstLine="420"/>
              <w:jc w:val="center"/>
              <w:rPr>
                <w:rFonts w:ascii="宋体" w:hAnsi="宋体" w:cs="宋体"/>
                <w:color w:val="auto"/>
                <w:szCs w:val="21"/>
              </w:rPr>
            </w:pPr>
          </w:p>
        </w:tc>
        <w:tc>
          <w:tcPr>
            <w:tcW w:w="700" w:type="dxa"/>
            <w:tcBorders>
              <w:top w:val="single" w:color="auto" w:sz="4" w:space="0"/>
              <w:left w:val="single" w:color="auto" w:sz="4" w:space="0"/>
              <w:bottom w:val="single" w:color="auto" w:sz="4" w:space="0"/>
              <w:right w:val="single" w:color="auto" w:sz="4" w:space="0"/>
            </w:tcBorders>
            <w:vAlign w:val="center"/>
          </w:tcPr>
          <w:p w14:paraId="60A23904">
            <w:pPr>
              <w:spacing w:before="120" w:line="360" w:lineRule="auto"/>
              <w:ind w:firstLine="420"/>
              <w:jc w:val="center"/>
              <w:rPr>
                <w:rFonts w:ascii="宋体" w:hAnsi="宋体" w:cs="宋体"/>
                <w:color w:val="auto"/>
                <w:szCs w:val="21"/>
              </w:rPr>
            </w:pPr>
          </w:p>
        </w:tc>
        <w:tc>
          <w:tcPr>
            <w:tcW w:w="663" w:type="dxa"/>
            <w:tcBorders>
              <w:top w:val="single" w:color="auto" w:sz="4" w:space="0"/>
              <w:left w:val="single" w:color="auto" w:sz="4" w:space="0"/>
              <w:bottom w:val="single" w:color="auto" w:sz="4" w:space="0"/>
              <w:right w:val="single" w:color="auto" w:sz="4" w:space="0"/>
            </w:tcBorders>
          </w:tcPr>
          <w:p w14:paraId="04CEF709">
            <w:pPr>
              <w:spacing w:before="120" w:line="360" w:lineRule="auto"/>
              <w:ind w:firstLine="420"/>
              <w:jc w:val="center"/>
              <w:rPr>
                <w:rFonts w:ascii="宋体" w:hAnsi="宋体" w:cs="宋体"/>
                <w:color w:val="auto"/>
                <w:szCs w:val="21"/>
              </w:rPr>
            </w:pPr>
          </w:p>
        </w:tc>
        <w:tc>
          <w:tcPr>
            <w:tcW w:w="1350" w:type="dxa"/>
            <w:tcBorders>
              <w:top w:val="single" w:color="auto" w:sz="4" w:space="0"/>
              <w:left w:val="single" w:color="auto" w:sz="4" w:space="0"/>
              <w:bottom w:val="single" w:color="auto" w:sz="4" w:space="0"/>
              <w:right w:val="single" w:color="auto" w:sz="4" w:space="0"/>
            </w:tcBorders>
            <w:vAlign w:val="center"/>
          </w:tcPr>
          <w:p w14:paraId="4CF20F9B">
            <w:pPr>
              <w:spacing w:before="120" w:line="360" w:lineRule="auto"/>
              <w:ind w:firstLine="420"/>
              <w:jc w:val="center"/>
              <w:rPr>
                <w:rFonts w:ascii="宋体" w:hAnsi="宋体" w:cs="宋体"/>
                <w:color w:val="auto"/>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214DA1EC">
            <w:pPr>
              <w:spacing w:before="120" w:line="360" w:lineRule="auto"/>
              <w:ind w:firstLine="420"/>
              <w:jc w:val="center"/>
              <w:rPr>
                <w:rFonts w:ascii="宋体" w:hAnsi="宋体" w:cs="宋体"/>
                <w:color w:val="auto"/>
                <w:szCs w:val="21"/>
              </w:rPr>
            </w:pPr>
          </w:p>
        </w:tc>
        <w:tc>
          <w:tcPr>
            <w:tcW w:w="1312" w:type="dxa"/>
            <w:tcBorders>
              <w:top w:val="single" w:color="auto" w:sz="4" w:space="0"/>
              <w:left w:val="single" w:color="auto" w:sz="4" w:space="0"/>
              <w:bottom w:val="single" w:color="auto" w:sz="4" w:space="0"/>
              <w:right w:val="single" w:color="auto" w:sz="4" w:space="0"/>
            </w:tcBorders>
            <w:vAlign w:val="center"/>
          </w:tcPr>
          <w:p w14:paraId="7D45E0A6">
            <w:pPr>
              <w:spacing w:before="120" w:line="360" w:lineRule="auto"/>
              <w:ind w:firstLine="420"/>
              <w:jc w:val="center"/>
              <w:rPr>
                <w:rFonts w:ascii="宋体" w:hAnsi="宋体" w:cs="宋体"/>
                <w:color w:val="auto"/>
                <w:szCs w:val="21"/>
              </w:rPr>
            </w:pPr>
          </w:p>
        </w:tc>
      </w:tr>
      <w:tr w14:paraId="1B92CC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25" w:type="dxa"/>
            <w:tcBorders>
              <w:top w:val="single" w:color="auto" w:sz="4" w:space="0"/>
              <w:left w:val="single" w:color="auto" w:sz="4" w:space="0"/>
              <w:bottom w:val="single" w:color="auto" w:sz="4" w:space="0"/>
              <w:right w:val="single" w:color="auto" w:sz="4" w:space="0"/>
            </w:tcBorders>
            <w:vAlign w:val="center"/>
          </w:tcPr>
          <w:p w14:paraId="1490D782">
            <w:pPr>
              <w:spacing w:before="120" w:line="360" w:lineRule="auto"/>
              <w:rPr>
                <w:rFonts w:ascii="宋体" w:hAnsi="宋体" w:cs="宋体"/>
                <w:color w:val="auto"/>
                <w:szCs w:val="21"/>
              </w:rPr>
            </w:pPr>
            <w:r>
              <w:rPr>
                <w:rFonts w:hint="eastAsia" w:ascii="宋体" w:hAnsi="宋体" w:cs="宋体"/>
                <w:color w:val="auto"/>
                <w:szCs w:val="21"/>
              </w:rPr>
              <w:t>2</w:t>
            </w:r>
          </w:p>
        </w:tc>
        <w:tc>
          <w:tcPr>
            <w:tcW w:w="924" w:type="dxa"/>
            <w:tcBorders>
              <w:top w:val="single" w:color="auto" w:sz="4" w:space="0"/>
              <w:left w:val="single" w:color="auto" w:sz="4" w:space="0"/>
              <w:bottom w:val="single" w:color="auto" w:sz="4" w:space="0"/>
              <w:right w:val="single" w:color="auto" w:sz="4" w:space="0"/>
            </w:tcBorders>
            <w:vAlign w:val="center"/>
          </w:tcPr>
          <w:p w14:paraId="45E92DFB">
            <w:pPr>
              <w:spacing w:before="120" w:line="360" w:lineRule="auto"/>
              <w:ind w:firstLine="420"/>
              <w:jc w:val="center"/>
              <w:rPr>
                <w:rFonts w:ascii="宋体" w:hAnsi="宋体" w:cs="宋体"/>
                <w:color w:val="auto"/>
                <w:szCs w:val="21"/>
              </w:rPr>
            </w:pPr>
          </w:p>
        </w:tc>
        <w:tc>
          <w:tcPr>
            <w:tcW w:w="870" w:type="dxa"/>
            <w:tcBorders>
              <w:top w:val="single" w:color="auto" w:sz="4" w:space="0"/>
              <w:left w:val="single" w:color="auto" w:sz="4" w:space="0"/>
              <w:bottom w:val="single" w:color="auto" w:sz="4" w:space="0"/>
              <w:right w:val="single" w:color="auto" w:sz="4" w:space="0"/>
            </w:tcBorders>
            <w:vAlign w:val="center"/>
          </w:tcPr>
          <w:p w14:paraId="2E6B120E">
            <w:pPr>
              <w:spacing w:before="120" w:line="360" w:lineRule="auto"/>
              <w:ind w:firstLine="420"/>
              <w:jc w:val="center"/>
              <w:rPr>
                <w:rFonts w:ascii="宋体" w:hAnsi="宋体" w:cs="宋体"/>
                <w:color w:val="auto"/>
                <w:szCs w:val="21"/>
              </w:rPr>
            </w:pPr>
          </w:p>
        </w:tc>
        <w:tc>
          <w:tcPr>
            <w:tcW w:w="615" w:type="dxa"/>
            <w:tcBorders>
              <w:top w:val="single" w:color="auto" w:sz="4" w:space="0"/>
              <w:left w:val="single" w:color="auto" w:sz="4" w:space="0"/>
              <w:bottom w:val="single" w:color="auto" w:sz="4" w:space="0"/>
              <w:right w:val="single" w:color="auto" w:sz="4" w:space="0"/>
            </w:tcBorders>
            <w:vAlign w:val="center"/>
          </w:tcPr>
          <w:p w14:paraId="3974F6F0">
            <w:pPr>
              <w:spacing w:before="120" w:line="360" w:lineRule="auto"/>
              <w:ind w:firstLine="420"/>
              <w:jc w:val="center"/>
              <w:rPr>
                <w:rFonts w:ascii="宋体" w:hAnsi="宋体" w:cs="宋体"/>
                <w:color w:val="auto"/>
                <w:szCs w:val="21"/>
              </w:rPr>
            </w:pPr>
          </w:p>
        </w:tc>
        <w:tc>
          <w:tcPr>
            <w:tcW w:w="700" w:type="dxa"/>
            <w:tcBorders>
              <w:top w:val="single" w:color="auto" w:sz="4" w:space="0"/>
              <w:left w:val="single" w:color="auto" w:sz="4" w:space="0"/>
              <w:bottom w:val="single" w:color="auto" w:sz="4" w:space="0"/>
              <w:right w:val="single" w:color="auto" w:sz="4" w:space="0"/>
            </w:tcBorders>
            <w:vAlign w:val="center"/>
          </w:tcPr>
          <w:p w14:paraId="6592CD59">
            <w:pPr>
              <w:spacing w:before="120" w:line="360" w:lineRule="auto"/>
              <w:ind w:firstLine="420"/>
              <w:jc w:val="center"/>
              <w:rPr>
                <w:rFonts w:ascii="宋体" w:hAnsi="宋体" w:cs="宋体"/>
                <w:color w:val="auto"/>
                <w:szCs w:val="21"/>
              </w:rPr>
            </w:pPr>
          </w:p>
        </w:tc>
        <w:tc>
          <w:tcPr>
            <w:tcW w:w="700" w:type="dxa"/>
            <w:tcBorders>
              <w:top w:val="single" w:color="auto" w:sz="4" w:space="0"/>
              <w:left w:val="single" w:color="auto" w:sz="4" w:space="0"/>
              <w:bottom w:val="single" w:color="auto" w:sz="4" w:space="0"/>
              <w:right w:val="single" w:color="auto" w:sz="4" w:space="0"/>
            </w:tcBorders>
            <w:vAlign w:val="center"/>
          </w:tcPr>
          <w:p w14:paraId="0DBD6C24">
            <w:pPr>
              <w:spacing w:before="120" w:line="360" w:lineRule="auto"/>
              <w:ind w:firstLine="420"/>
              <w:jc w:val="center"/>
              <w:rPr>
                <w:rFonts w:ascii="宋体" w:hAnsi="宋体" w:cs="宋体"/>
                <w:color w:val="auto"/>
                <w:szCs w:val="21"/>
              </w:rPr>
            </w:pPr>
          </w:p>
        </w:tc>
        <w:tc>
          <w:tcPr>
            <w:tcW w:w="663" w:type="dxa"/>
            <w:tcBorders>
              <w:top w:val="single" w:color="auto" w:sz="4" w:space="0"/>
              <w:left w:val="single" w:color="auto" w:sz="4" w:space="0"/>
              <w:bottom w:val="single" w:color="auto" w:sz="4" w:space="0"/>
              <w:right w:val="single" w:color="auto" w:sz="4" w:space="0"/>
            </w:tcBorders>
          </w:tcPr>
          <w:p w14:paraId="34C949FC">
            <w:pPr>
              <w:spacing w:before="120" w:line="360" w:lineRule="auto"/>
              <w:ind w:firstLine="420"/>
              <w:jc w:val="center"/>
              <w:rPr>
                <w:rFonts w:ascii="宋体" w:hAnsi="宋体" w:cs="宋体"/>
                <w:color w:val="auto"/>
                <w:szCs w:val="21"/>
              </w:rPr>
            </w:pPr>
          </w:p>
        </w:tc>
        <w:tc>
          <w:tcPr>
            <w:tcW w:w="1350" w:type="dxa"/>
            <w:tcBorders>
              <w:top w:val="single" w:color="auto" w:sz="4" w:space="0"/>
              <w:left w:val="single" w:color="auto" w:sz="4" w:space="0"/>
              <w:bottom w:val="single" w:color="auto" w:sz="4" w:space="0"/>
              <w:right w:val="single" w:color="auto" w:sz="4" w:space="0"/>
            </w:tcBorders>
            <w:vAlign w:val="center"/>
          </w:tcPr>
          <w:p w14:paraId="4EEBAD7D">
            <w:pPr>
              <w:spacing w:before="120" w:line="360" w:lineRule="auto"/>
              <w:ind w:firstLine="420"/>
              <w:jc w:val="center"/>
              <w:rPr>
                <w:rFonts w:ascii="宋体" w:hAnsi="宋体" w:cs="宋体"/>
                <w:color w:val="auto"/>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52B8A5B9">
            <w:pPr>
              <w:spacing w:before="120" w:line="360" w:lineRule="auto"/>
              <w:ind w:firstLine="420"/>
              <w:jc w:val="center"/>
              <w:rPr>
                <w:rFonts w:ascii="宋体" w:hAnsi="宋体" w:cs="宋体"/>
                <w:color w:val="auto"/>
                <w:szCs w:val="21"/>
              </w:rPr>
            </w:pPr>
          </w:p>
        </w:tc>
        <w:tc>
          <w:tcPr>
            <w:tcW w:w="1312" w:type="dxa"/>
            <w:tcBorders>
              <w:top w:val="single" w:color="auto" w:sz="4" w:space="0"/>
              <w:left w:val="single" w:color="auto" w:sz="4" w:space="0"/>
              <w:bottom w:val="single" w:color="auto" w:sz="4" w:space="0"/>
              <w:right w:val="single" w:color="auto" w:sz="4" w:space="0"/>
            </w:tcBorders>
            <w:vAlign w:val="center"/>
          </w:tcPr>
          <w:p w14:paraId="0E02031E">
            <w:pPr>
              <w:spacing w:before="120" w:line="360" w:lineRule="auto"/>
              <w:ind w:firstLine="420"/>
              <w:jc w:val="center"/>
              <w:rPr>
                <w:rFonts w:ascii="宋体" w:hAnsi="宋体" w:cs="宋体"/>
                <w:color w:val="auto"/>
                <w:szCs w:val="21"/>
              </w:rPr>
            </w:pPr>
          </w:p>
        </w:tc>
      </w:tr>
      <w:tr w14:paraId="6CC4B7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jc w:val="center"/>
        </w:trPr>
        <w:tc>
          <w:tcPr>
            <w:tcW w:w="525" w:type="dxa"/>
            <w:tcBorders>
              <w:top w:val="single" w:color="auto" w:sz="4" w:space="0"/>
              <w:left w:val="single" w:color="auto" w:sz="4" w:space="0"/>
              <w:bottom w:val="single" w:color="auto" w:sz="4" w:space="0"/>
              <w:right w:val="single" w:color="auto" w:sz="4" w:space="0"/>
            </w:tcBorders>
            <w:vAlign w:val="center"/>
          </w:tcPr>
          <w:p w14:paraId="64CC74E7">
            <w:pPr>
              <w:spacing w:before="120" w:line="360" w:lineRule="auto"/>
              <w:rPr>
                <w:rFonts w:ascii="宋体" w:hAnsi="宋体" w:cs="宋体"/>
                <w:color w:val="auto"/>
                <w:szCs w:val="21"/>
              </w:rPr>
            </w:pPr>
            <w:r>
              <w:rPr>
                <w:rFonts w:hint="eastAsia" w:ascii="宋体" w:hAnsi="宋体" w:cs="宋体"/>
                <w:color w:val="auto"/>
                <w:szCs w:val="21"/>
              </w:rPr>
              <w:t>…</w:t>
            </w:r>
          </w:p>
        </w:tc>
        <w:tc>
          <w:tcPr>
            <w:tcW w:w="924" w:type="dxa"/>
            <w:tcBorders>
              <w:top w:val="single" w:color="auto" w:sz="4" w:space="0"/>
              <w:left w:val="single" w:color="auto" w:sz="4" w:space="0"/>
              <w:bottom w:val="single" w:color="auto" w:sz="4" w:space="0"/>
              <w:right w:val="single" w:color="auto" w:sz="4" w:space="0"/>
            </w:tcBorders>
            <w:vAlign w:val="center"/>
          </w:tcPr>
          <w:p w14:paraId="72C9A007">
            <w:pPr>
              <w:spacing w:before="120" w:line="360" w:lineRule="auto"/>
              <w:ind w:firstLine="420"/>
              <w:jc w:val="center"/>
              <w:rPr>
                <w:rFonts w:ascii="宋体" w:hAnsi="宋体" w:cs="宋体"/>
                <w:color w:val="auto"/>
                <w:szCs w:val="21"/>
              </w:rPr>
            </w:pPr>
            <w:r>
              <w:rPr>
                <w:rFonts w:hint="eastAsia" w:ascii="宋体" w:hAnsi="宋体" w:cs="宋体"/>
                <w:color w:val="auto"/>
                <w:szCs w:val="21"/>
              </w:rPr>
              <w:t>…</w:t>
            </w:r>
          </w:p>
        </w:tc>
        <w:tc>
          <w:tcPr>
            <w:tcW w:w="870" w:type="dxa"/>
            <w:tcBorders>
              <w:top w:val="single" w:color="auto" w:sz="4" w:space="0"/>
              <w:left w:val="single" w:color="auto" w:sz="4" w:space="0"/>
              <w:bottom w:val="single" w:color="auto" w:sz="4" w:space="0"/>
              <w:right w:val="single" w:color="auto" w:sz="4" w:space="0"/>
            </w:tcBorders>
            <w:vAlign w:val="center"/>
          </w:tcPr>
          <w:p w14:paraId="2B95DF9F">
            <w:pPr>
              <w:spacing w:before="120" w:line="360" w:lineRule="auto"/>
              <w:ind w:firstLine="420"/>
              <w:jc w:val="center"/>
              <w:rPr>
                <w:rFonts w:ascii="宋体" w:hAnsi="宋体" w:cs="宋体"/>
                <w:color w:val="auto"/>
                <w:szCs w:val="21"/>
              </w:rPr>
            </w:pPr>
          </w:p>
        </w:tc>
        <w:tc>
          <w:tcPr>
            <w:tcW w:w="615" w:type="dxa"/>
            <w:tcBorders>
              <w:top w:val="single" w:color="auto" w:sz="4" w:space="0"/>
              <w:left w:val="single" w:color="auto" w:sz="4" w:space="0"/>
              <w:bottom w:val="single" w:color="auto" w:sz="4" w:space="0"/>
              <w:right w:val="single" w:color="auto" w:sz="4" w:space="0"/>
            </w:tcBorders>
            <w:vAlign w:val="center"/>
          </w:tcPr>
          <w:p w14:paraId="59D5CB4E">
            <w:pPr>
              <w:spacing w:before="120" w:line="360" w:lineRule="auto"/>
              <w:ind w:firstLine="420"/>
              <w:jc w:val="center"/>
              <w:rPr>
                <w:rFonts w:ascii="宋体" w:hAnsi="宋体" w:cs="宋体"/>
                <w:color w:val="auto"/>
                <w:szCs w:val="21"/>
              </w:rPr>
            </w:pPr>
          </w:p>
        </w:tc>
        <w:tc>
          <w:tcPr>
            <w:tcW w:w="700" w:type="dxa"/>
            <w:tcBorders>
              <w:top w:val="single" w:color="auto" w:sz="4" w:space="0"/>
              <w:left w:val="single" w:color="auto" w:sz="4" w:space="0"/>
              <w:bottom w:val="single" w:color="auto" w:sz="4" w:space="0"/>
              <w:right w:val="single" w:color="auto" w:sz="4" w:space="0"/>
            </w:tcBorders>
            <w:vAlign w:val="center"/>
          </w:tcPr>
          <w:p w14:paraId="2D548C6D">
            <w:pPr>
              <w:spacing w:before="120" w:line="360" w:lineRule="auto"/>
              <w:ind w:firstLine="420"/>
              <w:jc w:val="center"/>
              <w:rPr>
                <w:rFonts w:ascii="宋体" w:hAnsi="宋体" w:cs="宋体"/>
                <w:color w:val="auto"/>
                <w:szCs w:val="21"/>
              </w:rPr>
            </w:pPr>
          </w:p>
        </w:tc>
        <w:tc>
          <w:tcPr>
            <w:tcW w:w="700" w:type="dxa"/>
            <w:tcBorders>
              <w:top w:val="single" w:color="auto" w:sz="4" w:space="0"/>
              <w:left w:val="single" w:color="auto" w:sz="4" w:space="0"/>
              <w:bottom w:val="single" w:color="auto" w:sz="4" w:space="0"/>
              <w:right w:val="single" w:color="auto" w:sz="4" w:space="0"/>
            </w:tcBorders>
            <w:vAlign w:val="center"/>
          </w:tcPr>
          <w:p w14:paraId="2C9BBE8D">
            <w:pPr>
              <w:spacing w:before="120" w:line="360" w:lineRule="auto"/>
              <w:ind w:firstLine="420"/>
              <w:jc w:val="center"/>
              <w:rPr>
                <w:rFonts w:ascii="宋体" w:hAnsi="宋体" w:cs="宋体"/>
                <w:color w:val="auto"/>
                <w:szCs w:val="21"/>
              </w:rPr>
            </w:pPr>
          </w:p>
        </w:tc>
        <w:tc>
          <w:tcPr>
            <w:tcW w:w="663" w:type="dxa"/>
            <w:tcBorders>
              <w:top w:val="single" w:color="auto" w:sz="4" w:space="0"/>
              <w:left w:val="single" w:color="auto" w:sz="4" w:space="0"/>
              <w:bottom w:val="single" w:color="auto" w:sz="4" w:space="0"/>
              <w:right w:val="single" w:color="auto" w:sz="4" w:space="0"/>
            </w:tcBorders>
          </w:tcPr>
          <w:p w14:paraId="14A9E6B6">
            <w:pPr>
              <w:spacing w:before="120" w:line="360" w:lineRule="auto"/>
              <w:ind w:firstLine="420"/>
              <w:jc w:val="center"/>
              <w:rPr>
                <w:rFonts w:ascii="宋体" w:hAnsi="宋体" w:cs="宋体"/>
                <w:color w:val="auto"/>
                <w:szCs w:val="21"/>
              </w:rPr>
            </w:pPr>
          </w:p>
        </w:tc>
        <w:tc>
          <w:tcPr>
            <w:tcW w:w="1350" w:type="dxa"/>
            <w:tcBorders>
              <w:top w:val="single" w:color="auto" w:sz="4" w:space="0"/>
              <w:left w:val="single" w:color="auto" w:sz="4" w:space="0"/>
              <w:bottom w:val="single" w:color="auto" w:sz="4" w:space="0"/>
              <w:right w:val="single" w:color="auto" w:sz="4" w:space="0"/>
            </w:tcBorders>
            <w:vAlign w:val="center"/>
          </w:tcPr>
          <w:p w14:paraId="595CFBCA">
            <w:pPr>
              <w:spacing w:before="120" w:line="360" w:lineRule="auto"/>
              <w:ind w:firstLine="420"/>
              <w:jc w:val="center"/>
              <w:rPr>
                <w:rFonts w:ascii="宋体" w:hAnsi="宋体" w:cs="宋体"/>
                <w:color w:val="auto"/>
                <w:szCs w:val="21"/>
              </w:rPr>
            </w:pPr>
          </w:p>
        </w:tc>
        <w:tc>
          <w:tcPr>
            <w:tcW w:w="850" w:type="dxa"/>
            <w:tcBorders>
              <w:top w:val="single" w:color="auto" w:sz="4" w:space="0"/>
              <w:left w:val="single" w:color="auto" w:sz="4" w:space="0"/>
              <w:bottom w:val="single" w:color="auto" w:sz="4" w:space="0"/>
              <w:right w:val="single" w:color="auto" w:sz="4" w:space="0"/>
            </w:tcBorders>
            <w:vAlign w:val="center"/>
          </w:tcPr>
          <w:p w14:paraId="44A32C47">
            <w:pPr>
              <w:spacing w:before="120" w:line="360" w:lineRule="auto"/>
              <w:ind w:firstLine="420"/>
              <w:jc w:val="center"/>
              <w:rPr>
                <w:rFonts w:ascii="宋体" w:hAnsi="宋体" w:cs="宋体"/>
                <w:color w:val="auto"/>
                <w:szCs w:val="21"/>
              </w:rPr>
            </w:pPr>
          </w:p>
        </w:tc>
        <w:tc>
          <w:tcPr>
            <w:tcW w:w="1312" w:type="dxa"/>
            <w:tcBorders>
              <w:top w:val="single" w:color="auto" w:sz="4" w:space="0"/>
              <w:left w:val="single" w:color="auto" w:sz="4" w:space="0"/>
              <w:bottom w:val="single" w:color="auto" w:sz="4" w:space="0"/>
              <w:right w:val="single" w:color="auto" w:sz="4" w:space="0"/>
            </w:tcBorders>
            <w:vAlign w:val="center"/>
          </w:tcPr>
          <w:p w14:paraId="1742C684">
            <w:pPr>
              <w:spacing w:before="120" w:line="360" w:lineRule="auto"/>
              <w:ind w:firstLine="420"/>
              <w:jc w:val="center"/>
              <w:rPr>
                <w:rFonts w:ascii="宋体" w:hAnsi="宋体" w:cs="宋体"/>
                <w:color w:val="auto"/>
                <w:szCs w:val="21"/>
              </w:rPr>
            </w:pPr>
          </w:p>
        </w:tc>
      </w:tr>
      <w:tr w14:paraId="09721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48" w:hRule="atLeast"/>
          <w:jc w:val="center"/>
        </w:trPr>
        <w:tc>
          <w:tcPr>
            <w:tcW w:w="8509" w:type="dxa"/>
            <w:gridSpan w:val="10"/>
            <w:tcBorders>
              <w:top w:val="single" w:color="auto" w:sz="4" w:space="0"/>
              <w:left w:val="single" w:color="auto" w:sz="4" w:space="0"/>
              <w:bottom w:val="single" w:color="auto" w:sz="4" w:space="0"/>
              <w:right w:val="single" w:color="auto" w:sz="4" w:space="0"/>
            </w:tcBorders>
          </w:tcPr>
          <w:p w14:paraId="6A608356">
            <w:pPr>
              <w:snapToGrid w:val="0"/>
              <w:spacing w:before="120" w:after="50" w:line="360" w:lineRule="auto"/>
              <w:ind w:firstLine="420"/>
              <w:rPr>
                <w:rFonts w:ascii="宋体" w:hAnsi="宋体" w:cs="宋体"/>
                <w:color w:val="auto"/>
                <w:szCs w:val="21"/>
              </w:rPr>
            </w:pPr>
            <w:r>
              <w:rPr>
                <w:rFonts w:hint="eastAsia" w:ascii="宋体" w:hAnsi="宋体" w:cs="宋体"/>
                <w:color w:val="auto"/>
                <w:szCs w:val="21"/>
              </w:rPr>
              <w:t>合计金额大写：人民币</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w:t>
            </w:r>
          </w:p>
          <w:p w14:paraId="1736FF12">
            <w:pPr>
              <w:snapToGrid w:val="0"/>
              <w:spacing w:before="120" w:after="50" w:line="360" w:lineRule="auto"/>
              <w:ind w:firstLine="420"/>
              <w:rPr>
                <w:rFonts w:ascii="宋体" w:hAnsi="宋体" w:cs="宋体"/>
                <w:color w:val="auto"/>
                <w:szCs w:val="21"/>
                <w:u w:val="single"/>
              </w:rPr>
            </w:pPr>
            <w:r>
              <w:rPr>
                <w:rFonts w:hint="eastAsia" w:ascii="宋体" w:hAnsi="宋体" w:cs="宋体"/>
                <w:color w:val="auto"/>
                <w:szCs w:val="21"/>
                <w:u w:val="single"/>
              </w:rPr>
              <w:t>竞标货物中，属于优先采购节能产品总值为￥       （具体明细详见附表，附表格式自拟），占本竞标报价的比例为    %；属于优先采购环境标志产品总值为￥          （具体明细详见附表，附表格式自拟），占本竞标报价的比例为   %。</w:t>
            </w:r>
          </w:p>
        </w:tc>
      </w:tr>
    </w:tbl>
    <w:p w14:paraId="4EB2CAD8">
      <w:pPr>
        <w:spacing w:line="320" w:lineRule="exact"/>
        <w:ind w:firstLine="420"/>
        <w:jc w:val="left"/>
        <w:rPr>
          <w:rFonts w:ascii="宋体" w:hAnsi="宋体" w:cs="宋体"/>
          <w:color w:val="auto"/>
          <w:szCs w:val="21"/>
        </w:rPr>
      </w:pPr>
      <w:r>
        <w:rPr>
          <w:rFonts w:hint="eastAsia" w:ascii="宋体" w:hAnsi="宋体" w:cs="宋体"/>
          <w:color w:val="auto"/>
          <w:szCs w:val="21"/>
        </w:rPr>
        <w:t xml:space="preserve">注: </w:t>
      </w:r>
    </w:p>
    <w:p w14:paraId="17E5BFFF">
      <w:pPr>
        <w:spacing w:line="320" w:lineRule="exact"/>
        <w:ind w:firstLine="420" w:firstLineChars="200"/>
        <w:jc w:val="left"/>
        <w:rPr>
          <w:rFonts w:ascii="宋体" w:hAnsi="宋体" w:cs="宋体"/>
          <w:color w:val="auto"/>
          <w:szCs w:val="21"/>
        </w:rPr>
      </w:pPr>
      <w:r>
        <w:rPr>
          <w:rFonts w:hint="eastAsia" w:ascii="宋体" w:hAnsi="宋体" w:cs="宋体"/>
          <w:color w:val="auto"/>
          <w:szCs w:val="21"/>
        </w:rPr>
        <w:t>1. 以上竞标报价表中“标的名称、数量及单位、品牌、规格型号、制造商、原产地、参数性能、指标及配置”必须如实填写完整，品牌、规格型号没有则填无，填写有缺漏</w:t>
      </w:r>
      <w:r>
        <w:rPr>
          <w:rFonts w:hint="eastAsia" w:ascii="宋体" w:hAnsi="宋体" w:cs="宋体"/>
          <w:bCs/>
          <w:color w:val="auto"/>
          <w:szCs w:val="21"/>
        </w:rPr>
        <w:t>的，</w:t>
      </w:r>
      <w:r>
        <w:rPr>
          <w:rFonts w:hint="eastAsia" w:ascii="宋体" w:hAnsi="宋体" w:cs="宋体"/>
          <w:b/>
          <w:color w:val="auto"/>
          <w:szCs w:val="21"/>
        </w:rPr>
        <w:t>其响应文件按无效处理。</w:t>
      </w:r>
    </w:p>
    <w:p w14:paraId="2669F85C">
      <w:pPr>
        <w:spacing w:line="320" w:lineRule="exact"/>
        <w:ind w:firstLine="420" w:firstLineChars="200"/>
        <w:jc w:val="left"/>
        <w:rPr>
          <w:rFonts w:ascii="宋体" w:hAnsi="宋体" w:cs="宋体"/>
          <w:color w:val="auto"/>
          <w:szCs w:val="21"/>
        </w:rPr>
      </w:pPr>
      <w:r>
        <w:rPr>
          <w:rFonts w:hint="eastAsia" w:ascii="宋体" w:hAnsi="宋体" w:cs="宋体"/>
          <w:color w:val="auto"/>
          <w:szCs w:val="21"/>
        </w:rPr>
        <w:t>2.供应商的报价表必须加盖供应商电子签章并由法定代表人或者委托代理人签字或者电子签名，</w:t>
      </w:r>
      <w:r>
        <w:rPr>
          <w:rFonts w:hint="eastAsia" w:ascii="宋体" w:hAnsi="宋体" w:cs="宋体"/>
          <w:b/>
          <w:color w:val="auto"/>
          <w:szCs w:val="21"/>
        </w:rPr>
        <w:t>否则其响应文件按无效处理</w:t>
      </w:r>
      <w:r>
        <w:rPr>
          <w:rFonts w:hint="eastAsia" w:ascii="宋体" w:hAnsi="宋体" w:cs="宋体"/>
          <w:color w:val="auto"/>
          <w:szCs w:val="21"/>
        </w:rPr>
        <w:t>。</w:t>
      </w:r>
    </w:p>
    <w:p w14:paraId="3D8CF765">
      <w:pPr>
        <w:spacing w:line="320" w:lineRule="exact"/>
        <w:ind w:firstLine="420" w:firstLineChars="200"/>
        <w:jc w:val="left"/>
        <w:rPr>
          <w:rFonts w:ascii="宋体" w:hAnsi="宋体" w:cs="宋体"/>
          <w:b/>
          <w:color w:val="auto"/>
          <w:szCs w:val="21"/>
        </w:rPr>
      </w:pPr>
      <w:r>
        <w:rPr>
          <w:rFonts w:hint="eastAsia" w:ascii="宋体" w:hAnsi="宋体" w:cs="宋体"/>
          <w:bCs/>
          <w:color w:val="auto"/>
          <w:szCs w:val="21"/>
        </w:rPr>
        <w:t>3.</w:t>
      </w:r>
      <w:r>
        <w:rPr>
          <w:rFonts w:hint="eastAsia" w:ascii="宋体" w:hAnsi="宋体" w:cs="宋体"/>
          <w:color w:val="auto"/>
          <w:szCs w:val="21"/>
        </w:rPr>
        <w:t>报价一经涂改，应在涂改处加盖供应商公章或者加盖电子签章或者由法定代表人或者授权委托人签字（或者电子签名）</w:t>
      </w:r>
      <w:r>
        <w:rPr>
          <w:rFonts w:hint="eastAsia" w:ascii="宋体" w:hAnsi="宋体" w:cs="宋体"/>
          <w:b/>
          <w:color w:val="auto"/>
          <w:szCs w:val="21"/>
        </w:rPr>
        <w:t>，否则其响应文件按无效处理。</w:t>
      </w:r>
    </w:p>
    <w:p w14:paraId="0A736392">
      <w:pPr>
        <w:spacing w:line="320" w:lineRule="exact"/>
        <w:ind w:firstLine="420" w:firstLineChars="200"/>
        <w:jc w:val="left"/>
        <w:rPr>
          <w:rFonts w:ascii="宋体" w:hAnsi="宋体" w:cs="宋体"/>
          <w:color w:val="auto"/>
          <w:szCs w:val="21"/>
        </w:rPr>
      </w:pPr>
      <w:r>
        <w:rPr>
          <w:rFonts w:hint="eastAsia" w:ascii="宋体" w:hAnsi="宋体" w:cs="宋体"/>
          <w:color w:val="auto"/>
          <w:szCs w:val="21"/>
        </w:rPr>
        <w:t>4.谈判文件中列明采购专用耗材的，应按谈判文件规定的耗材量或者按耗材的常规试用量提供报价。</w:t>
      </w:r>
    </w:p>
    <w:p w14:paraId="2A49E6FA">
      <w:pPr>
        <w:spacing w:line="320" w:lineRule="exact"/>
        <w:ind w:firstLine="420" w:firstLineChars="200"/>
        <w:jc w:val="left"/>
        <w:rPr>
          <w:rFonts w:ascii="宋体" w:hAnsi="宋体" w:cs="宋体"/>
          <w:i/>
          <w:color w:val="auto"/>
          <w:szCs w:val="21"/>
        </w:rPr>
      </w:pPr>
      <w:r>
        <w:rPr>
          <w:rFonts w:hint="eastAsia" w:ascii="宋体" w:hAnsi="宋体" w:cs="宋体"/>
          <w:color w:val="auto"/>
          <w:szCs w:val="21"/>
        </w:rPr>
        <w:t>5.如为联合体竞标，“供应商名称”处必须列明联合体各方名称，标注联合体牵头人名称，</w:t>
      </w:r>
      <w:r>
        <w:rPr>
          <w:rFonts w:hint="eastAsia" w:ascii="宋体" w:hAnsi="宋体" w:cs="宋体"/>
          <w:b/>
          <w:color w:val="auto"/>
          <w:szCs w:val="21"/>
        </w:rPr>
        <w:t>否则其响应文件按无效处理。</w:t>
      </w:r>
    </w:p>
    <w:p w14:paraId="7B9935A5">
      <w:pPr>
        <w:spacing w:line="320" w:lineRule="exact"/>
        <w:ind w:firstLine="420" w:firstLineChars="200"/>
        <w:jc w:val="left"/>
        <w:rPr>
          <w:rFonts w:ascii="宋体" w:hAnsi="宋体" w:cs="宋体"/>
          <w:color w:val="auto"/>
          <w:szCs w:val="21"/>
        </w:rPr>
      </w:pPr>
      <w:r>
        <w:rPr>
          <w:rFonts w:hint="eastAsia" w:ascii="宋体" w:hAnsi="宋体" w:cs="宋体"/>
          <w:color w:val="auto"/>
          <w:szCs w:val="21"/>
        </w:rPr>
        <w:t>6.如为联合体竞标，</w:t>
      </w:r>
      <w:r>
        <w:rPr>
          <w:rFonts w:hint="eastAsia" w:ascii="宋体" w:hAnsi="宋体" w:cs="宋体"/>
          <w:color w:val="auto"/>
          <w:spacing w:val="-6"/>
          <w:szCs w:val="21"/>
        </w:rPr>
        <w:t xml:space="preserve"> 盖章处须加盖联合体牵头人电子签章</w:t>
      </w:r>
      <w:r>
        <w:rPr>
          <w:rFonts w:hint="eastAsia" w:ascii="宋体" w:hAnsi="宋体" w:cs="宋体"/>
          <w:color w:val="auto"/>
          <w:szCs w:val="21"/>
        </w:rPr>
        <w:t>，</w:t>
      </w:r>
      <w:r>
        <w:rPr>
          <w:rFonts w:hint="eastAsia" w:ascii="宋体" w:hAnsi="宋体" w:cs="宋体"/>
          <w:b/>
          <w:color w:val="auto"/>
          <w:szCs w:val="21"/>
        </w:rPr>
        <w:t>否则其响应文件按无效处理。</w:t>
      </w:r>
    </w:p>
    <w:p w14:paraId="4C13713A">
      <w:pPr>
        <w:spacing w:line="320" w:lineRule="exact"/>
        <w:ind w:firstLine="420" w:firstLineChars="200"/>
        <w:rPr>
          <w:rFonts w:ascii="宋体" w:hAnsi="宋体" w:cs="宋体"/>
          <w:b/>
          <w:color w:val="auto"/>
          <w:szCs w:val="21"/>
        </w:rPr>
      </w:pPr>
      <w:r>
        <w:rPr>
          <w:rFonts w:hint="eastAsia" w:ascii="宋体" w:hAnsi="宋体" w:cs="宋体"/>
          <w:color w:val="auto"/>
          <w:szCs w:val="21"/>
        </w:rPr>
        <w:t>7.</w:t>
      </w:r>
      <w:r>
        <w:rPr>
          <w:rFonts w:hint="eastAsia" w:ascii="宋体" w:hAnsi="宋体" w:cs="宋体"/>
          <w:color w:val="auto"/>
          <w:spacing w:val="-6"/>
          <w:szCs w:val="21"/>
        </w:rPr>
        <w:t>如有多分标，分别列明各分标的报价表，</w:t>
      </w:r>
      <w:r>
        <w:rPr>
          <w:rFonts w:hint="eastAsia" w:ascii="宋体" w:hAnsi="宋体" w:cs="宋体"/>
          <w:b/>
          <w:color w:val="auto"/>
          <w:spacing w:val="-6"/>
          <w:szCs w:val="21"/>
        </w:rPr>
        <w:t>否则其响应文件按无效处理。</w:t>
      </w:r>
    </w:p>
    <w:p w14:paraId="68659F2A">
      <w:pPr>
        <w:spacing w:line="320" w:lineRule="exact"/>
        <w:ind w:firstLine="2310" w:firstLineChars="1100"/>
        <w:contextualSpacing/>
        <w:rPr>
          <w:rFonts w:ascii="宋体" w:hAnsi="宋体" w:cs="宋体"/>
          <w:color w:val="auto"/>
          <w:szCs w:val="21"/>
        </w:rPr>
      </w:pPr>
      <w:r>
        <w:rPr>
          <w:rFonts w:hint="eastAsia" w:ascii="宋体" w:hAnsi="宋体" w:cs="宋体"/>
          <w:color w:val="auto"/>
          <w:szCs w:val="21"/>
        </w:rPr>
        <w:t xml:space="preserve">法定代表人或者委托代理人（签字或者电子签名）：                    </w:t>
      </w:r>
    </w:p>
    <w:p w14:paraId="2F87C1DD">
      <w:pPr>
        <w:spacing w:line="400" w:lineRule="exact"/>
        <w:ind w:firstLine="2310" w:firstLineChars="1100"/>
        <w:contextualSpacing/>
        <w:rPr>
          <w:rFonts w:ascii="宋体" w:hAnsi="宋体" w:cs="宋体"/>
          <w:color w:val="auto"/>
          <w:szCs w:val="21"/>
        </w:rPr>
      </w:pPr>
      <w:r>
        <w:rPr>
          <w:rFonts w:hint="eastAsia" w:ascii="宋体" w:hAnsi="宋体" w:cs="宋体"/>
          <w:color w:val="auto"/>
          <w:szCs w:val="21"/>
        </w:rPr>
        <w:t xml:space="preserve">供应商（电子签章）：      </w:t>
      </w:r>
    </w:p>
    <w:p w14:paraId="21E9252D">
      <w:pPr>
        <w:spacing w:line="400" w:lineRule="exact"/>
        <w:ind w:firstLine="420"/>
        <w:contextualSpacing/>
        <w:rPr>
          <w:rFonts w:ascii="宋体" w:hAnsi="宋体" w:cs="宋体"/>
          <w:b/>
          <w:color w:val="auto"/>
          <w:szCs w:val="21"/>
        </w:rPr>
      </w:pPr>
      <w:r>
        <w:rPr>
          <w:rFonts w:hint="eastAsia" w:ascii="宋体" w:hAnsi="宋体" w:cs="宋体"/>
          <w:color w:val="auto"/>
          <w:szCs w:val="21"/>
        </w:rPr>
        <w:t xml:space="preserve">                      日期：   年   月   日</w:t>
      </w:r>
    </w:p>
    <w:p w14:paraId="00D25777">
      <w:pPr>
        <w:spacing w:before="120" w:line="360" w:lineRule="auto"/>
        <w:ind w:right="420" w:firstLine="420"/>
        <w:contextualSpacing/>
        <w:jc w:val="left"/>
        <w:rPr>
          <w:rFonts w:ascii="宋体" w:hAnsi="宋体" w:cs="宋体"/>
          <w:b/>
          <w:color w:val="auto"/>
          <w:sz w:val="32"/>
          <w:szCs w:val="32"/>
        </w:rPr>
      </w:pPr>
      <w:r>
        <w:rPr>
          <w:rFonts w:hint="eastAsia" w:ascii="宋体" w:hAnsi="宋体" w:cs="宋体"/>
          <w:color w:val="auto"/>
          <w:szCs w:val="21"/>
        </w:rPr>
        <w:br w:type="page"/>
      </w:r>
      <w:r>
        <w:rPr>
          <w:rFonts w:hint="eastAsia" w:ascii="宋体" w:hAnsi="宋体" w:cs="宋体"/>
          <w:b/>
          <w:bCs/>
          <w:color w:val="auto"/>
          <w:sz w:val="32"/>
          <w:szCs w:val="32"/>
        </w:rPr>
        <w:t>三、</w:t>
      </w:r>
      <w:r>
        <w:rPr>
          <w:rFonts w:hint="eastAsia" w:ascii="宋体" w:hAnsi="宋体" w:cs="宋体"/>
          <w:b/>
          <w:color w:val="auto"/>
          <w:sz w:val="32"/>
          <w:szCs w:val="32"/>
        </w:rPr>
        <w:t xml:space="preserve">商务技术文件格式 </w:t>
      </w:r>
    </w:p>
    <w:p w14:paraId="5237BDBD">
      <w:pPr>
        <w:snapToGrid w:val="0"/>
        <w:spacing w:before="120" w:beforeLines="50" w:after="50" w:line="360" w:lineRule="auto"/>
        <w:ind w:firstLine="643"/>
        <w:jc w:val="left"/>
        <w:rPr>
          <w:rFonts w:ascii="宋体" w:hAnsi="宋体" w:cs="宋体"/>
          <w:b/>
          <w:color w:val="auto"/>
          <w:sz w:val="32"/>
          <w:szCs w:val="32"/>
        </w:rPr>
      </w:pPr>
      <w:r>
        <w:rPr>
          <w:rFonts w:hint="eastAsia" w:ascii="宋体" w:hAnsi="宋体" w:cs="宋体"/>
          <w:b/>
          <w:color w:val="auto"/>
          <w:sz w:val="32"/>
          <w:szCs w:val="32"/>
        </w:rPr>
        <w:t>1.商务技术文件封面格式</w:t>
      </w:r>
    </w:p>
    <w:p w14:paraId="2D81EF78">
      <w:pPr>
        <w:snapToGrid w:val="0"/>
        <w:spacing w:before="120" w:beforeLines="50" w:after="50"/>
        <w:ind w:firstLine="480"/>
        <w:rPr>
          <w:rFonts w:ascii="宋体" w:hAnsi="宋体" w:cs="宋体"/>
          <w:bCs/>
          <w:color w:val="auto"/>
          <w:sz w:val="32"/>
          <w:szCs w:val="20"/>
        </w:rPr>
      </w:pPr>
      <w:r>
        <w:rPr>
          <w:rFonts w:hint="eastAsia" w:ascii="宋体" w:hAnsi="宋体" w:cs="宋体"/>
          <w:color w:val="auto"/>
          <w:sz w:val="24"/>
        </w:rPr>
        <w:t xml:space="preserve">                                                    </w:t>
      </w:r>
    </w:p>
    <w:p w14:paraId="244D03FF">
      <w:pPr>
        <w:snapToGrid w:val="0"/>
        <w:spacing w:before="120" w:beforeLines="50" w:after="50"/>
        <w:ind w:firstLine="880"/>
        <w:jc w:val="center"/>
        <w:rPr>
          <w:rFonts w:ascii="宋体" w:hAnsi="宋体" w:cs="宋体"/>
          <w:color w:val="auto"/>
          <w:sz w:val="24"/>
          <w:szCs w:val="20"/>
        </w:rPr>
      </w:pPr>
      <w:r>
        <w:rPr>
          <w:rFonts w:hint="eastAsia" w:ascii="宋体" w:hAnsi="宋体" w:cs="宋体"/>
          <w:color w:val="auto"/>
          <w:sz w:val="44"/>
          <w:szCs w:val="44"/>
        </w:rPr>
        <w:t>电 子 响 应 文 件</w:t>
      </w:r>
    </w:p>
    <w:p w14:paraId="28227D08">
      <w:pPr>
        <w:snapToGrid w:val="0"/>
        <w:spacing w:before="120" w:beforeLines="50" w:after="50"/>
        <w:ind w:firstLine="480"/>
        <w:rPr>
          <w:rFonts w:ascii="宋体" w:hAnsi="宋体" w:cs="宋体"/>
          <w:color w:val="auto"/>
          <w:sz w:val="24"/>
          <w:szCs w:val="20"/>
        </w:rPr>
      </w:pPr>
    </w:p>
    <w:p w14:paraId="57E82546">
      <w:pPr>
        <w:snapToGrid w:val="0"/>
        <w:spacing w:before="120" w:beforeLines="50" w:after="50"/>
        <w:ind w:firstLine="480"/>
        <w:rPr>
          <w:rFonts w:ascii="宋体" w:hAnsi="宋体" w:cs="宋体"/>
          <w:color w:val="auto"/>
          <w:sz w:val="24"/>
          <w:szCs w:val="20"/>
        </w:rPr>
      </w:pPr>
    </w:p>
    <w:p w14:paraId="0C1E8387">
      <w:pPr>
        <w:snapToGrid w:val="0"/>
        <w:spacing w:before="120" w:beforeLines="50" w:after="50"/>
        <w:ind w:firstLine="880"/>
        <w:jc w:val="center"/>
        <w:rPr>
          <w:rFonts w:ascii="宋体" w:hAnsi="宋体" w:cs="宋体"/>
          <w:bCs/>
          <w:color w:val="auto"/>
          <w:sz w:val="44"/>
          <w:szCs w:val="44"/>
        </w:rPr>
      </w:pPr>
      <w:r>
        <w:rPr>
          <w:rFonts w:hint="eastAsia" w:ascii="宋体" w:hAnsi="宋体" w:cs="宋体"/>
          <w:bCs/>
          <w:color w:val="auto"/>
          <w:sz w:val="44"/>
          <w:szCs w:val="44"/>
        </w:rPr>
        <w:t>商  务  技  术  文  件</w:t>
      </w:r>
    </w:p>
    <w:p w14:paraId="0CBCB9B2">
      <w:pPr>
        <w:snapToGrid w:val="0"/>
        <w:spacing w:before="120" w:beforeLines="50" w:after="50"/>
        <w:ind w:firstLine="480"/>
        <w:rPr>
          <w:rFonts w:ascii="宋体" w:hAnsi="宋体" w:cs="宋体"/>
          <w:bCs/>
          <w:color w:val="auto"/>
          <w:sz w:val="24"/>
          <w:szCs w:val="20"/>
        </w:rPr>
      </w:pPr>
    </w:p>
    <w:p w14:paraId="5BE5472C">
      <w:pPr>
        <w:snapToGrid w:val="0"/>
        <w:spacing w:before="120" w:beforeLines="50" w:after="50"/>
        <w:ind w:firstLine="480"/>
        <w:rPr>
          <w:rFonts w:ascii="宋体" w:hAnsi="宋体" w:cs="宋体"/>
          <w:bCs/>
          <w:color w:val="auto"/>
          <w:sz w:val="24"/>
          <w:szCs w:val="20"/>
        </w:rPr>
      </w:pPr>
    </w:p>
    <w:p w14:paraId="31D712D1">
      <w:pPr>
        <w:snapToGrid w:val="0"/>
        <w:spacing w:before="120" w:beforeLines="50" w:after="50"/>
        <w:ind w:firstLine="480"/>
        <w:rPr>
          <w:rFonts w:ascii="宋体" w:hAnsi="宋体" w:cs="宋体"/>
          <w:bCs/>
          <w:color w:val="auto"/>
          <w:sz w:val="24"/>
          <w:szCs w:val="20"/>
        </w:rPr>
      </w:pPr>
    </w:p>
    <w:p w14:paraId="51812D9B">
      <w:pPr>
        <w:snapToGrid w:val="0"/>
        <w:spacing w:before="120" w:beforeLines="50" w:after="50"/>
        <w:ind w:firstLine="480"/>
        <w:rPr>
          <w:rFonts w:ascii="宋体" w:hAnsi="宋体" w:cs="宋体"/>
          <w:bCs/>
          <w:color w:val="auto"/>
          <w:sz w:val="24"/>
          <w:szCs w:val="20"/>
        </w:rPr>
      </w:pPr>
    </w:p>
    <w:p w14:paraId="0B60C298">
      <w:pPr>
        <w:snapToGrid w:val="0"/>
        <w:spacing w:before="120" w:beforeLines="50" w:after="50"/>
        <w:ind w:firstLine="480"/>
        <w:rPr>
          <w:rFonts w:ascii="宋体" w:hAnsi="宋体" w:cs="宋体"/>
          <w:bCs/>
          <w:color w:val="auto"/>
          <w:sz w:val="24"/>
          <w:szCs w:val="20"/>
        </w:rPr>
      </w:pPr>
    </w:p>
    <w:p w14:paraId="3B3FB81C">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14F1C2FF">
      <w:pPr>
        <w:snapToGrid w:val="0"/>
        <w:spacing w:before="120" w:beforeLines="50" w:after="50"/>
        <w:ind w:firstLine="720" w:firstLineChars="225"/>
        <w:rPr>
          <w:rFonts w:ascii="宋体" w:hAnsi="宋体" w:cs="宋体"/>
          <w:bCs/>
          <w:color w:val="auto"/>
          <w:sz w:val="32"/>
          <w:szCs w:val="32"/>
        </w:rPr>
      </w:pPr>
    </w:p>
    <w:p w14:paraId="497A38FE">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10EB8383">
      <w:pPr>
        <w:snapToGrid w:val="0"/>
        <w:spacing w:before="120" w:beforeLines="50" w:after="50"/>
        <w:ind w:firstLine="720" w:firstLineChars="225"/>
        <w:rPr>
          <w:rFonts w:ascii="宋体" w:hAnsi="宋体" w:cs="宋体"/>
          <w:bCs/>
          <w:color w:val="auto"/>
          <w:sz w:val="32"/>
          <w:szCs w:val="32"/>
        </w:rPr>
      </w:pPr>
      <w:r>
        <w:rPr>
          <w:rFonts w:hint="eastAsia" w:ascii="宋体" w:hAnsi="宋体" w:cs="宋体"/>
          <w:bCs/>
          <w:color w:val="auto"/>
          <w:sz w:val="32"/>
          <w:szCs w:val="32"/>
        </w:rPr>
        <w:t xml:space="preserve"> </w:t>
      </w:r>
    </w:p>
    <w:p w14:paraId="7EC77403">
      <w:pPr>
        <w:snapToGrid w:val="0"/>
        <w:spacing w:before="120"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1EDC7642">
      <w:pPr>
        <w:snapToGrid w:val="0"/>
        <w:spacing w:before="120" w:beforeLines="50" w:after="50"/>
        <w:ind w:firstLine="720" w:firstLineChars="225"/>
        <w:rPr>
          <w:rFonts w:ascii="宋体" w:hAnsi="宋体" w:cs="宋体"/>
          <w:bCs/>
          <w:color w:val="auto"/>
          <w:sz w:val="32"/>
          <w:szCs w:val="32"/>
        </w:rPr>
      </w:pPr>
    </w:p>
    <w:p w14:paraId="7D049037">
      <w:pPr>
        <w:pStyle w:val="7"/>
        <w:snapToGrid w:val="0"/>
        <w:spacing w:before="12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66398731">
      <w:pPr>
        <w:pStyle w:val="7"/>
        <w:snapToGrid w:val="0"/>
        <w:spacing w:before="120" w:after="50"/>
        <w:ind w:firstLine="640" w:firstLineChars="200"/>
        <w:rPr>
          <w:rFonts w:ascii="宋体" w:hAnsi="宋体" w:cs="宋体"/>
          <w:bCs/>
          <w:color w:val="auto"/>
          <w:sz w:val="32"/>
          <w:szCs w:val="32"/>
        </w:rPr>
      </w:pPr>
    </w:p>
    <w:p w14:paraId="5E58E280">
      <w:pPr>
        <w:pStyle w:val="7"/>
        <w:snapToGrid w:val="0"/>
        <w:spacing w:before="120" w:after="50"/>
        <w:ind w:firstLine="720" w:firstLineChars="225"/>
        <w:rPr>
          <w:rFonts w:ascii="宋体" w:hAnsi="宋体" w:cs="宋体"/>
          <w:bCs/>
          <w:color w:val="auto"/>
          <w:sz w:val="32"/>
          <w:szCs w:val="32"/>
        </w:rPr>
      </w:pPr>
    </w:p>
    <w:p w14:paraId="5EC63637">
      <w:pPr>
        <w:pStyle w:val="7"/>
        <w:snapToGrid w:val="0"/>
        <w:spacing w:before="120" w:after="50"/>
        <w:ind w:firstLine="640"/>
        <w:rPr>
          <w:rFonts w:ascii="宋体" w:hAnsi="宋体" w:cs="宋体"/>
          <w:bCs/>
          <w:color w:val="auto"/>
          <w:sz w:val="32"/>
          <w:szCs w:val="32"/>
        </w:rPr>
      </w:pPr>
    </w:p>
    <w:p w14:paraId="071B1457">
      <w:pPr>
        <w:pStyle w:val="7"/>
        <w:snapToGrid w:val="0"/>
        <w:spacing w:before="120" w:after="50"/>
        <w:ind w:firstLine="1280" w:firstLineChars="400"/>
        <w:rPr>
          <w:rFonts w:ascii="宋体" w:hAnsi="宋体" w:cs="宋体"/>
          <w:bCs/>
          <w:color w:val="auto"/>
          <w:sz w:val="32"/>
          <w:szCs w:val="32"/>
        </w:rPr>
      </w:pPr>
    </w:p>
    <w:p w14:paraId="3B8ED7E3">
      <w:pPr>
        <w:snapToGrid w:val="0"/>
        <w:spacing w:before="120" w:beforeLines="50" w:after="50"/>
        <w:ind w:firstLine="640"/>
        <w:jc w:val="center"/>
        <w:rPr>
          <w:rFonts w:ascii="宋体" w:hAnsi="宋体" w:cs="宋体"/>
          <w:color w:val="auto"/>
          <w:sz w:val="32"/>
          <w:szCs w:val="32"/>
        </w:rPr>
      </w:pPr>
      <w:r>
        <w:rPr>
          <w:rFonts w:hint="eastAsia" w:ascii="宋体" w:hAnsi="宋体" w:cs="宋体"/>
          <w:color w:val="auto"/>
          <w:sz w:val="32"/>
          <w:szCs w:val="32"/>
        </w:rPr>
        <w:t>年    月    日</w:t>
      </w:r>
    </w:p>
    <w:p w14:paraId="4E887EBE">
      <w:pPr>
        <w:snapToGrid w:val="0"/>
        <w:spacing w:before="120" w:beforeLines="50" w:after="50" w:line="360" w:lineRule="auto"/>
        <w:ind w:left="142" w:firstLine="480"/>
        <w:jc w:val="left"/>
        <w:rPr>
          <w:rFonts w:ascii="宋体" w:hAnsi="宋体" w:cs="宋体"/>
          <w:b/>
          <w:bCs/>
          <w:color w:val="auto"/>
          <w:sz w:val="24"/>
        </w:rPr>
      </w:pPr>
      <w:r>
        <w:rPr>
          <w:rFonts w:hint="eastAsia" w:ascii="宋体" w:hAnsi="宋体" w:cs="宋体"/>
          <w:color w:val="auto"/>
          <w:sz w:val="24"/>
        </w:rPr>
        <w:br w:type="page"/>
      </w:r>
      <w:r>
        <w:rPr>
          <w:rFonts w:hint="eastAsia" w:ascii="宋体" w:hAnsi="宋体" w:cs="宋体"/>
          <w:b/>
          <w:bCs/>
          <w:color w:val="auto"/>
          <w:sz w:val="32"/>
          <w:szCs w:val="32"/>
        </w:rPr>
        <w:t>2.商务技术文件目录</w:t>
      </w:r>
    </w:p>
    <w:p w14:paraId="10E9C846">
      <w:pPr>
        <w:snapToGrid w:val="0"/>
        <w:spacing w:before="120" w:beforeLines="50" w:after="50" w:line="360" w:lineRule="auto"/>
        <w:ind w:firstLine="420" w:firstLineChars="200"/>
        <w:rPr>
          <w:rFonts w:ascii="宋体" w:hAnsi="宋体" w:cs="宋体"/>
          <w:color w:val="auto"/>
          <w:szCs w:val="21"/>
        </w:rPr>
      </w:pPr>
      <w:r>
        <w:rPr>
          <w:rFonts w:hint="eastAsia" w:ascii="宋体" w:hAnsi="宋体" w:cs="宋体"/>
          <w:color w:val="auto"/>
          <w:szCs w:val="21"/>
        </w:rPr>
        <w:t>根据谈判文件规定及供应商提供的材料自行编写目录（部分格式后附）。</w:t>
      </w:r>
    </w:p>
    <w:p w14:paraId="56B79A25">
      <w:pPr>
        <w:spacing w:before="120" w:line="400" w:lineRule="exact"/>
        <w:ind w:firstLine="640"/>
        <w:rPr>
          <w:rFonts w:ascii="宋体" w:hAnsi="宋体" w:cs="宋体"/>
          <w:color w:val="auto"/>
          <w:sz w:val="32"/>
          <w:szCs w:val="32"/>
        </w:rPr>
      </w:pPr>
    </w:p>
    <w:p w14:paraId="39167E49">
      <w:pPr>
        <w:spacing w:before="120" w:line="520" w:lineRule="exact"/>
        <w:jc w:val="center"/>
        <w:rPr>
          <w:rFonts w:ascii="宋体" w:hAnsi="宋体" w:cs="宋体"/>
          <w:color w:val="auto"/>
          <w:sz w:val="32"/>
          <w:szCs w:val="32"/>
        </w:rPr>
      </w:pPr>
      <w:r>
        <w:rPr>
          <w:rFonts w:hint="eastAsia" w:ascii="宋体" w:hAnsi="宋体" w:cs="宋体"/>
          <w:color w:val="auto"/>
          <w:sz w:val="44"/>
          <w:szCs w:val="44"/>
        </w:rPr>
        <w:br w:type="page"/>
      </w:r>
      <w:r>
        <w:rPr>
          <w:rFonts w:hint="eastAsia" w:ascii="宋体" w:hAnsi="宋体" w:cs="宋体"/>
          <w:color w:val="auto"/>
          <w:sz w:val="44"/>
          <w:szCs w:val="44"/>
        </w:rPr>
        <w:t>无串通竞标行为的承诺函</w:t>
      </w:r>
    </w:p>
    <w:p w14:paraId="1A27EEFF">
      <w:pPr>
        <w:spacing w:before="120" w:line="360" w:lineRule="auto"/>
        <w:ind w:firstLine="640" w:firstLineChars="200"/>
        <w:rPr>
          <w:rFonts w:ascii="宋体" w:hAnsi="宋体" w:cs="宋体"/>
          <w:color w:val="auto"/>
          <w:sz w:val="32"/>
          <w:szCs w:val="32"/>
        </w:rPr>
      </w:pPr>
    </w:p>
    <w:p w14:paraId="4BD62321">
      <w:pPr>
        <w:spacing w:before="120" w:line="360" w:lineRule="auto"/>
        <w:ind w:firstLine="422" w:firstLineChars="200"/>
        <w:rPr>
          <w:rFonts w:ascii="宋体" w:hAnsi="宋体" w:cs="宋体"/>
          <w:b/>
          <w:bCs/>
          <w:color w:val="auto"/>
          <w:szCs w:val="21"/>
        </w:rPr>
      </w:pPr>
      <w:r>
        <w:rPr>
          <w:rFonts w:hint="eastAsia" w:ascii="宋体" w:hAnsi="宋体" w:cs="宋体"/>
          <w:b/>
          <w:bCs/>
          <w:color w:val="auto"/>
          <w:szCs w:val="21"/>
        </w:rPr>
        <w:t>一、我方承诺无下列相互串通竞标的情形：</w:t>
      </w:r>
    </w:p>
    <w:p w14:paraId="58A6C4F0">
      <w:pPr>
        <w:spacing w:before="120" w:line="360" w:lineRule="auto"/>
        <w:ind w:firstLine="420" w:firstLineChars="200"/>
        <w:rPr>
          <w:rFonts w:ascii="宋体" w:hAnsi="宋体" w:cs="宋体"/>
          <w:color w:val="auto"/>
          <w:szCs w:val="21"/>
        </w:rPr>
      </w:pPr>
      <w:r>
        <w:rPr>
          <w:rFonts w:hint="eastAsia" w:ascii="宋体" w:hAnsi="宋体" w:cs="宋体"/>
          <w:color w:val="auto"/>
          <w:szCs w:val="21"/>
        </w:rPr>
        <w:t>1.不同供应商的响应文件由同一单位或者个人编制；</w:t>
      </w:r>
    </w:p>
    <w:p w14:paraId="3601DA62">
      <w:pPr>
        <w:spacing w:before="120" w:line="360" w:lineRule="auto"/>
        <w:ind w:firstLine="420" w:firstLineChars="200"/>
        <w:rPr>
          <w:rFonts w:ascii="宋体" w:hAnsi="宋体" w:cs="宋体"/>
          <w:color w:val="auto"/>
          <w:szCs w:val="21"/>
        </w:rPr>
      </w:pPr>
      <w:r>
        <w:rPr>
          <w:rFonts w:hint="eastAsia" w:ascii="宋体" w:hAnsi="宋体" w:cs="宋体"/>
          <w:color w:val="auto"/>
          <w:szCs w:val="21"/>
        </w:rPr>
        <w:t>2.不同供应商委托同一单位或者个人办理竞标事宜；</w:t>
      </w:r>
    </w:p>
    <w:p w14:paraId="53515CDD">
      <w:pPr>
        <w:spacing w:before="120" w:line="360" w:lineRule="auto"/>
        <w:ind w:firstLine="420" w:firstLineChars="200"/>
        <w:rPr>
          <w:rFonts w:ascii="宋体" w:hAnsi="宋体" w:cs="宋体"/>
          <w:color w:val="auto"/>
          <w:szCs w:val="21"/>
        </w:rPr>
      </w:pPr>
      <w:r>
        <w:rPr>
          <w:rFonts w:hint="eastAsia" w:ascii="宋体" w:hAnsi="宋体" w:cs="宋体"/>
          <w:color w:val="auto"/>
          <w:szCs w:val="21"/>
        </w:rPr>
        <w:t>3.不同的供应商的响应文件载明的项目管理员为同一个人；</w:t>
      </w:r>
    </w:p>
    <w:p w14:paraId="6C842EED">
      <w:pPr>
        <w:spacing w:before="120" w:line="360" w:lineRule="auto"/>
        <w:ind w:firstLine="420" w:firstLineChars="200"/>
        <w:rPr>
          <w:rFonts w:ascii="宋体" w:hAnsi="宋体" w:cs="宋体"/>
          <w:color w:val="auto"/>
          <w:szCs w:val="21"/>
        </w:rPr>
      </w:pPr>
      <w:r>
        <w:rPr>
          <w:rFonts w:hint="eastAsia" w:ascii="宋体" w:hAnsi="宋体" w:cs="宋体"/>
          <w:color w:val="auto"/>
          <w:szCs w:val="21"/>
        </w:rPr>
        <w:t>4.不</w:t>
      </w:r>
      <w:r>
        <w:rPr>
          <w:rFonts w:hint="eastAsia" w:ascii="宋体" w:hAnsi="宋体" w:cs="宋体"/>
          <w:color w:val="auto"/>
          <w:spacing w:val="-6"/>
          <w:szCs w:val="21"/>
        </w:rPr>
        <w:t>同供应商的响应文件异常一致或者竞标报价呈规律性差异；</w:t>
      </w:r>
    </w:p>
    <w:p w14:paraId="6C6A341F">
      <w:pPr>
        <w:spacing w:before="120" w:line="360" w:lineRule="auto"/>
        <w:ind w:firstLine="420" w:firstLineChars="200"/>
        <w:rPr>
          <w:rFonts w:ascii="宋体" w:hAnsi="宋体" w:cs="宋体"/>
          <w:color w:val="auto"/>
          <w:szCs w:val="21"/>
        </w:rPr>
      </w:pPr>
      <w:r>
        <w:rPr>
          <w:rFonts w:hint="eastAsia" w:ascii="宋体" w:hAnsi="宋体" w:cs="宋体"/>
          <w:color w:val="auto"/>
          <w:szCs w:val="21"/>
        </w:rPr>
        <w:t>5.不同供应商的响应文件相互混装；</w:t>
      </w:r>
    </w:p>
    <w:p w14:paraId="7662CAFB">
      <w:pPr>
        <w:spacing w:before="120" w:line="360" w:lineRule="auto"/>
        <w:ind w:firstLine="420" w:firstLineChars="200"/>
        <w:rPr>
          <w:rFonts w:ascii="宋体" w:hAnsi="宋体" w:cs="宋体"/>
          <w:color w:val="auto"/>
          <w:szCs w:val="21"/>
        </w:rPr>
      </w:pPr>
      <w:r>
        <w:rPr>
          <w:rFonts w:hint="eastAsia" w:ascii="宋体" w:hAnsi="宋体" w:cs="宋体"/>
          <w:color w:val="auto"/>
          <w:szCs w:val="21"/>
        </w:rPr>
        <w:t>6.不同供应商的竞标保证金从同一单位或者个人账户转出。</w:t>
      </w:r>
    </w:p>
    <w:p w14:paraId="4420009C">
      <w:pPr>
        <w:spacing w:before="120" w:line="360" w:lineRule="auto"/>
        <w:ind w:firstLine="422" w:firstLineChars="200"/>
        <w:rPr>
          <w:rFonts w:ascii="宋体" w:hAnsi="宋体" w:cs="宋体"/>
          <w:b/>
          <w:bCs/>
          <w:color w:val="auto"/>
          <w:szCs w:val="21"/>
        </w:rPr>
      </w:pPr>
      <w:r>
        <w:rPr>
          <w:rFonts w:hint="eastAsia" w:ascii="宋体" w:hAnsi="宋体" w:cs="宋体"/>
          <w:b/>
          <w:bCs/>
          <w:color w:val="auto"/>
          <w:szCs w:val="21"/>
        </w:rPr>
        <w:t>二、我方承诺无下列恶意串通的情形：</w:t>
      </w:r>
    </w:p>
    <w:p w14:paraId="272B77FD">
      <w:pPr>
        <w:spacing w:before="120" w:line="360" w:lineRule="auto"/>
        <w:ind w:firstLine="420" w:firstLineChars="200"/>
        <w:rPr>
          <w:rFonts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w:t>
      </w:r>
    </w:p>
    <w:p w14:paraId="2700404D">
      <w:pPr>
        <w:spacing w:before="120" w:line="360" w:lineRule="auto"/>
        <w:ind w:firstLine="420" w:firstLineChars="200"/>
        <w:rPr>
          <w:rFonts w:ascii="宋体" w:hAnsi="宋体" w:cs="宋体"/>
          <w:color w:val="auto"/>
          <w:szCs w:val="21"/>
        </w:rPr>
      </w:pPr>
      <w:r>
        <w:rPr>
          <w:rFonts w:hint="eastAsia" w:ascii="宋体" w:hAnsi="宋体" w:cs="宋体"/>
          <w:color w:val="auto"/>
          <w:szCs w:val="21"/>
        </w:rPr>
        <w:t>2.供应商按照采购人或者采购代理机构的授意撤换、修改响应文件；</w:t>
      </w:r>
    </w:p>
    <w:p w14:paraId="5A43C093">
      <w:pPr>
        <w:spacing w:before="120" w:line="360" w:lineRule="auto"/>
        <w:ind w:firstLine="420" w:firstLineChars="200"/>
        <w:rPr>
          <w:rFonts w:ascii="宋体" w:hAnsi="宋体" w:cs="宋体"/>
          <w:color w:val="auto"/>
          <w:szCs w:val="21"/>
        </w:rPr>
      </w:pPr>
      <w:r>
        <w:rPr>
          <w:rFonts w:hint="eastAsia" w:ascii="宋体" w:hAnsi="宋体" w:cs="宋体"/>
          <w:color w:val="auto"/>
          <w:szCs w:val="21"/>
        </w:rPr>
        <w:t>3.供</w:t>
      </w:r>
      <w:r>
        <w:rPr>
          <w:rFonts w:hint="eastAsia" w:ascii="宋体" w:hAnsi="宋体" w:cs="宋体"/>
          <w:color w:val="auto"/>
          <w:spacing w:val="-6"/>
          <w:szCs w:val="21"/>
        </w:rPr>
        <w:t>应商之间协商报价、技术方案等响应文件的实质性内容；</w:t>
      </w:r>
    </w:p>
    <w:p w14:paraId="6F662DF8">
      <w:pPr>
        <w:spacing w:before="120" w:line="360" w:lineRule="auto"/>
        <w:ind w:firstLine="420" w:firstLineChars="200"/>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07E42A7B">
      <w:pPr>
        <w:spacing w:before="120" w:line="360" w:lineRule="auto"/>
        <w:ind w:firstLine="420" w:firstLineChars="200"/>
        <w:rPr>
          <w:rFonts w:ascii="宋体" w:hAnsi="宋体" w:cs="宋体"/>
          <w:color w:val="auto"/>
          <w:szCs w:val="21"/>
        </w:rPr>
      </w:pPr>
      <w:r>
        <w:rPr>
          <w:rFonts w:hint="eastAsia" w:ascii="宋体" w:hAnsi="宋体" w:cs="宋体"/>
          <w:color w:val="auto"/>
          <w:szCs w:val="21"/>
        </w:rPr>
        <w:t>5.供应商之间事先约定一致抬高或者压低竞标报价，或者在竞争性谈判项目中事先约定轮流以高价位或者低价位成交，或者事先约定由某一特定供应商成交，然后再参加竞标；</w:t>
      </w:r>
    </w:p>
    <w:p w14:paraId="6D151FC4">
      <w:pPr>
        <w:spacing w:before="120" w:line="360" w:lineRule="auto"/>
        <w:ind w:firstLine="420" w:firstLineChars="200"/>
        <w:rPr>
          <w:rFonts w:ascii="宋体" w:hAnsi="宋体" w:cs="宋体"/>
          <w:color w:val="auto"/>
          <w:szCs w:val="21"/>
        </w:rPr>
      </w:pPr>
      <w:r>
        <w:rPr>
          <w:rFonts w:hint="eastAsia" w:ascii="宋体" w:hAnsi="宋体" w:cs="宋体"/>
          <w:color w:val="auto"/>
          <w:szCs w:val="21"/>
        </w:rPr>
        <w:t>6.供应商之间商定部分供应商放弃参加政府采购活动或者放弃成交；</w:t>
      </w:r>
    </w:p>
    <w:p w14:paraId="5B0FB8FB">
      <w:pPr>
        <w:spacing w:before="120" w:line="360" w:lineRule="auto"/>
        <w:ind w:firstLine="420" w:firstLineChars="200"/>
        <w:rPr>
          <w:rFonts w:ascii="宋体" w:hAnsi="宋体" w:cs="宋体"/>
          <w:color w:val="auto"/>
          <w:szCs w:val="21"/>
        </w:rPr>
      </w:pPr>
      <w:r>
        <w:rPr>
          <w:rFonts w:hint="eastAsia" w:ascii="宋体" w:hAnsi="宋体" w:cs="宋体"/>
          <w:color w:val="auto"/>
          <w:szCs w:val="21"/>
        </w:rPr>
        <w:t>7.供应商与采购人或者采购代理机构之间、供应商相互之间，为</w:t>
      </w:r>
      <w:r>
        <w:rPr>
          <w:rFonts w:hint="eastAsia" w:ascii="宋体" w:hAnsi="宋体" w:cs="宋体"/>
          <w:color w:val="auto"/>
          <w:spacing w:val="-6"/>
          <w:szCs w:val="21"/>
        </w:rPr>
        <w:t>谋求特定供应商成交或者排斥其他供应商的其他串通行为。</w:t>
      </w:r>
    </w:p>
    <w:p w14:paraId="18D2C72B">
      <w:pPr>
        <w:spacing w:before="120" w:line="360" w:lineRule="auto"/>
        <w:ind w:firstLine="420" w:firstLineChars="200"/>
        <w:rPr>
          <w:rFonts w:ascii="宋体" w:hAnsi="宋体" w:cs="宋体"/>
          <w:color w:val="auto"/>
          <w:szCs w:val="21"/>
        </w:rPr>
      </w:pPr>
    </w:p>
    <w:p w14:paraId="447CD136">
      <w:pPr>
        <w:spacing w:before="120" w:line="360" w:lineRule="auto"/>
        <w:ind w:firstLine="422" w:firstLineChars="200"/>
        <w:rPr>
          <w:rFonts w:ascii="宋体" w:hAnsi="宋体" w:cs="宋体"/>
          <w:b/>
          <w:bCs/>
          <w:color w:val="auto"/>
          <w:szCs w:val="21"/>
        </w:rPr>
      </w:pPr>
      <w:r>
        <w:rPr>
          <w:rFonts w:hint="eastAsia" w:ascii="宋体" w:hAnsi="宋体" w:cs="宋体"/>
          <w:b/>
          <w:bCs/>
          <w:color w:val="auto"/>
          <w:szCs w:val="21"/>
        </w:rPr>
        <w:t>以上情形一经核查属实，我方愿意承担一切后果，并不再寻求任何旨在减轻或者免除法律责任的辩解。</w:t>
      </w:r>
    </w:p>
    <w:p w14:paraId="35567A7A">
      <w:pPr>
        <w:spacing w:before="120" w:line="360" w:lineRule="auto"/>
        <w:ind w:firstLine="420"/>
        <w:rPr>
          <w:rFonts w:ascii="宋体" w:hAnsi="宋体" w:cs="宋体"/>
          <w:color w:val="auto"/>
          <w:szCs w:val="21"/>
        </w:rPr>
      </w:pPr>
    </w:p>
    <w:p w14:paraId="32FFB3A7">
      <w:pPr>
        <w:spacing w:before="120" w:line="360" w:lineRule="auto"/>
        <w:ind w:firstLine="3150" w:firstLineChars="1500"/>
        <w:rPr>
          <w:rFonts w:ascii="宋体" w:hAnsi="宋体" w:cs="宋体"/>
          <w:color w:val="auto"/>
          <w:szCs w:val="21"/>
        </w:rPr>
      </w:pPr>
      <w:r>
        <w:rPr>
          <w:rFonts w:hint="eastAsia" w:ascii="宋体" w:hAnsi="宋体" w:cs="宋体"/>
          <w:color w:val="auto"/>
          <w:szCs w:val="21"/>
        </w:rPr>
        <w:t>供应商（电子签章）：</w:t>
      </w:r>
    </w:p>
    <w:p w14:paraId="52E35C16">
      <w:pPr>
        <w:spacing w:before="120" w:line="360" w:lineRule="auto"/>
        <w:ind w:firstLine="420" w:firstLineChars="200"/>
        <w:jc w:val="center"/>
        <w:rPr>
          <w:rFonts w:ascii="宋体" w:hAnsi="宋体" w:cs="宋体"/>
          <w:color w:val="auto"/>
          <w:szCs w:val="21"/>
        </w:rPr>
      </w:pPr>
      <w:r>
        <w:rPr>
          <w:rFonts w:hint="eastAsia" w:ascii="宋体" w:hAnsi="宋体" w:cs="宋体"/>
          <w:color w:val="auto"/>
          <w:szCs w:val="21"/>
        </w:rPr>
        <w:t xml:space="preserve">                               年   月   日</w:t>
      </w:r>
    </w:p>
    <w:p w14:paraId="0D356AB3">
      <w:pPr>
        <w:spacing w:before="240" w:beforeLines="100" w:after="120" w:afterLines="50" w:line="520" w:lineRule="exact"/>
        <w:jc w:val="center"/>
        <w:rPr>
          <w:rFonts w:ascii="宋体" w:hAnsi="宋体" w:cs="宋体"/>
          <w:color w:val="auto"/>
          <w:sz w:val="32"/>
          <w:szCs w:val="32"/>
        </w:rPr>
      </w:pPr>
      <w:r>
        <w:rPr>
          <w:rFonts w:hint="eastAsia" w:ascii="宋体" w:hAnsi="宋体" w:cs="宋体"/>
          <w:bCs/>
          <w:color w:val="auto"/>
          <w:sz w:val="44"/>
          <w:szCs w:val="44"/>
        </w:rPr>
        <w:t>法定代表人证明书</w:t>
      </w:r>
    </w:p>
    <w:p w14:paraId="7CED6F61">
      <w:pPr>
        <w:spacing w:before="120" w:line="360" w:lineRule="auto"/>
        <w:ind w:left="540" w:firstLine="640"/>
        <w:contextualSpacing/>
        <w:rPr>
          <w:rFonts w:ascii="宋体" w:hAnsi="宋体" w:cs="宋体"/>
          <w:color w:val="auto"/>
          <w:sz w:val="32"/>
          <w:szCs w:val="32"/>
        </w:rPr>
      </w:pPr>
    </w:p>
    <w:p w14:paraId="2B8791AE">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供应商名称：</w:t>
      </w:r>
      <w:r>
        <w:rPr>
          <w:rFonts w:hint="eastAsia" w:ascii="宋体" w:hAnsi="宋体" w:cs="宋体"/>
          <w:color w:val="auto"/>
          <w:szCs w:val="21"/>
          <w:u w:val="single"/>
        </w:rPr>
        <w:t xml:space="preserve">                                                        </w:t>
      </w:r>
    </w:p>
    <w:p w14:paraId="1445AAE8">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地    址：</w:t>
      </w:r>
      <w:r>
        <w:rPr>
          <w:rFonts w:hint="eastAsia" w:ascii="宋体" w:hAnsi="宋体" w:cs="宋体"/>
          <w:color w:val="auto"/>
          <w:szCs w:val="21"/>
          <w:u w:val="single"/>
        </w:rPr>
        <w:t xml:space="preserve">                                                        </w:t>
      </w:r>
    </w:p>
    <w:p w14:paraId="004E02B4">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姓    名：</w:t>
      </w:r>
      <w:r>
        <w:rPr>
          <w:rFonts w:hint="eastAsia" w:ascii="宋体" w:hAnsi="宋体" w:cs="宋体"/>
          <w:color w:val="auto"/>
          <w:szCs w:val="21"/>
          <w:u w:val="single"/>
        </w:rPr>
        <w:t xml:space="preserve">               </w:t>
      </w:r>
      <w:r>
        <w:rPr>
          <w:rFonts w:hint="eastAsia" w:ascii="宋体" w:hAnsi="宋体" w:cs="宋体"/>
          <w:color w:val="auto"/>
          <w:szCs w:val="21"/>
        </w:rPr>
        <w:t>性      别：</w:t>
      </w:r>
      <w:r>
        <w:rPr>
          <w:rFonts w:hint="eastAsia" w:ascii="宋体" w:hAnsi="宋体" w:cs="宋体"/>
          <w:color w:val="auto"/>
          <w:szCs w:val="21"/>
          <w:u w:val="single"/>
        </w:rPr>
        <w:t xml:space="preserve">                </w:t>
      </w:r>
    </w:p>
    <w:p w14:paraId="27DB39C6">
      <w:pPr>
        <w:spacing w:before="120" w:line="360" w:lineRule="auto"/>
        <w:ind w:left="540" w:firstLine="420"/>
        <w:contextualSpacing/>
        <w:rPr>
          <w:rFonts w:ascii="宋体" w:hAnsi="宋体" w:cs="宋体"/>
          <w:color w:val="auto"/>
          <w:szCs w:val="21"/>
          <w:u w:val="single"/>
        </w:rPr>
      </w:pPr>
      <w:r>
        <w:rPr>
          <w:rFonts w:hint="eastAsia" w:ascii="宋体" w:hAnsi="宋体" w:cs="宋体"/>
          <w:color w:val="auto"/>
          <w:szCs w:val="21"/>
        </w:rPr>
        <w:t>年    龄：</w:t>
      </w:r>
      <w:r>
        <w:rPr>
          <w:rFonts w:hint="eastAsia" w:ascii="宋体" w:hAnsi="宋体" w:cs="宋体"/>
          <w:color w:val="auto"/>
          <w:szCs w:val="21"/>
          <w:u w:val="single"/>
        </w:rPr>
        <w:t xml:space="preserve">               </w:t>
      </w:r>
      <w:r>
        <w:rPr>
          <w:rFonts w:hint="eastAsia" w:ascii="宋体" w:hAnsi="宋体" w:cs="宋体"/>
          <w:color w:val="auto"/>
          <w:szCs w:val="21"/>
        </w:rPr>
        <w:t>职      务：</w:t>
      </w:r>
      <w:r>
        <w:rPr>
          <w:rFonts w:hint="eastAsia" w:ascii="宋体" w:hAnsi="宋体" w:cs="宋体"/>
          <w:color w:val="auto"/>
          <w:szCs w:val="21"/>
          <w:u w:val="single"/>
        </w:rPr>
        <w:t xml:space="preserve">                </w:t>
      </w:r>
    </w:p>
    <w:p w14:paraId="42A4B58E">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身份证号码：</w:t>
      </w:r>
      <w:r>
        <w:rPr>
          <w:rFonts w:hint="eastAsia" w:ascii="宋体" w:hAnsi="宋体" w:cs="宋体"/>
          <w:color w:val="auto"/>
          <w:szCs w:val="21"/>
          <w:u w:val="single"/>
        </w:rPr>
        <w:t xml:space="preserve">                                        </w:t>
      </w:r>
    </w:p>
    <w:p w14:paraId="452F1B15">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系</w:t>
      </w:r>
      <w:r>
        <w:rPr>
          <w:rFonts w:hint="eastAsia" w:ascii="宋体" w:hAnsi="宋体" w:cs="宋体"/>
          <w:color w:val="auto"/>
          <w:szCs w:val="21"/>
          <w:u w:val="single"/>
        </w:rPr>
        <w:t xml:space="preserve">    （供应商名称）   </w:t>
      </w:r>
      <w:r>
        <w:rPr>
          <w:rFonts w:hint="eastAsia" w:ascii="宋体" w:hAnsi="宋体" w:cs="宋体"/>
          <w:color w:val="auto"/>
          <w:szCs w:val="21"/>
        </w:rPr>
        <w:t>的法定代表人。</w:t>
      </w:r>
    </w:p>
    <w:p w14:paraId="51994D4E">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特此证明。</w:t>
      </w:r>
    </w:p>
    <w:p w14:paraId="303F6536">
      <w:pPr>
        <w:spacing w:before="120" w:line="360" w:lineRule="auto"/>
        <w:ind w:left="540" w:firstLine="420"/>
        <w:contextualSpacing/>
        <w:rPr>
          <w:rFonts w:ascii="宋体" w:hAnsi="宋体" w:cs="宋体"/>
          <w:color w:val="auto"/>
          <w:szCs w:val="21"/>
        </w:rPr>
      </w:pPr>
    </w:p>
    <w:p w14:paraId="25CCED9C">
      <w:pPr>
        <w:spacing w:before="120" w:line="360" w:lineRule="auto"/>
        <w:ind w:left="540" w:firstLine="420"/>
        <w:contextualSpacing/>
        <w:rPr>
          <w:rFonts w:ascii="宋体" w:hAnsi="宋体" w:cs="宋体"/>
          <w:color w:val="auto"/>
          <w:szCs w:val="21"/>
        </w:rPr>
      </w:pPr>
    </w:p>
    <w:p w14:paraId="19DF94D5">
      <w:pPr>
        <w:spacing w:before="120" w:line="360" w:lineRule="auto"/>
        <w:ind w:left="540" w:firstLine="420"/>
        <w:contextualSpacing/>
        <w:rPr>
          <w:rFonts w:ascii="宋体" w:hAnsi="宋体" w:cs="宋体"/>
          <w:color w:val="auto"/>
          <w:szCs w:val="21"/>
        </w:rPr>
      </w:pPr>
    </w:p>
    <w:p w14:paraId="4CFB1B0D">
      <w:pPr>
        <w:spacing w:before="120" w:line="360" w:lineRule="auto"/>
        <w:ind w:left="540" w:firstLine="420"/>
        <w:contextualSpacing/>
        <w:rPr>
          <w:rFonts w:ascii="宋体" w:hAnsi="宋体" w:cs="宋体"/>
          <w:color w:val="auto"/>
          <w:szCs w:val="21"/>
        </w:rPr>
      </w:pPr>
      <w:r>
        <w:rPr>
          <w:rFonts w:hint="eastAsia" w:ascii="宋体" w:hAnsi="宋体" w:cs="宋体"/>
          <w:color w:val="auto"/>
          <w:szCs w:val="21"/>
        </w:rPr>
        <w:t>附件：法定代表人有效身份证正反面复印件</w:t>
      </w:r>
    </w:p>
    <w:p w14:paraId="415E3D7C">
      <w:pPr>
        <w:spacing w:before="120" w:line="360" w:lineRule="auto"/>
        <w:ind w:left="540" w:firstLine="420"/>
        <w:contextualSpacing/>
        <w:rPr>
          <w:rFonts w:ascii="宋体" w:hAnsi="宋体" w:cs="宋体"/>
          <w:color w:val="auto"/>
          <w:szCs w:val="21"/>
        </w:rPr>
      </w:pPr>
    </w:p>
    <w:p w14:paraId="6B9E6140">
      <w:pPr>
        <w:spacing w:before="120" w:line="360" w:lineRule="auto"/>
        <w:ind w:left="540" w:firstLine="420"/>
        <w:contextualSpacing/>
        <w:jc w:val="right"/>
        <w:rPr>
          <w:rFonts w:ascii="宋体" w:hAnsi="宋体" w:cs="宋体"/>
          <w:color w:val="auto"/>
          <w:szCs w:val="21"/>
        </w:rPr>
      </w:pPr>
      <w:r>
        <w:rPr>
          <w:rFonts w:hint="eastAsia" w:ascii="宋体" w:hAnsi="宋体" w:cs="宋体"/>
          <w:color w:val="auto"/>
          <w:szCs w:val="21"/>
        </w:rPr>
        <w:t>供应商（电子签章）：</w:t>
      </w:r>
      <w:r>
        <w:rPr>
          <w:rFonts w:hint="eastAsia" w:ascii="宋体" w:hAnsi="宋体" w:cs="宋体"/>
          <w:color w:val="auto"/>
          <w:szCs w:val="21"/>
          <w:u w:val="single"/>
        </w:rPr>
        <w:t xml:space="preserve">               </w:t>
      </w:r>
    </w:p>
    <w:p w14:paraId="4ED9ABED">
      <w:pPr>
        <w:spacing w:before="120" w:line="360" w:lineRule="auto"/>
        <w:ind w:firstLine="3570" w:firstLineChars="1700"/>
        <w:rPr>
          <w:rFonts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48C8CB8">
      <w:pPr>
        <w:spacing w:before="120" w:line="360" w:lineRule="auto"/>
        <w:ind w:firstLine="422"/>
        <w:jc w:val="center"/>
        <w:rPr>
          <w:rFonts w:ascii="宋体" w:hAnsi="宋体" w:cs="宋体"/>
          <w:b/>
          <w:color w:val="auto"/>
          <w:szCs w:val="21"/>
        </w:rPr>
      </w:pPr>
    </w:p>
    <w:p w14:paraId="20323927">
      <w:pPr>
        <w:spacing w:before="120" w:line="360" w:lineRule="auto"/>
        <w:ind w:firstLine="420"/>
        <w:jc w:val="left"/>
        <w:rPr>
          <w:rFonts w:ascii="宋体" w:hAnsi="宋体" w:cs="宋体"/>
          <w:color w:val="auto"/>
          <w:szCs w:val="21"/>
        </w:rPr>
      </w:pPr>
      <w:r>
        <w:rPr>
          <w:rFonts w:hint="eastAsia" w:ascii="宋体" w:hAnsi="宋体" w:cs="宋体"/>
          <w:color w:val="auto"/>
          <w:szCs w:val="21"/>
        </w:rPr>
        <w:t>注：自然人竞标的无需提供，联合体竞标的只需牵头人出具。</w:t>
      </w:r>
    </w:p>
    <w:p w14:paraId="0726E65C">
      <w:pPr>
        <w:adjustRightInd w:val="0"/>
        <w:snapToGrid w:val="0"/>
        <w:spacing w:before="120" w:line="300" w:lineRule="auto"/>
        <w:ind w:firstLine="422"/>
        <w:jc w:val="left"/>
        <w:rPr>
          <w:rFonts w:ascii="宋体" w:hAnsi="宋体" w:cs="宋体"/>
          <w:b/>
          <w:color w:val="auto"/>
          <w:szCs w:val="21"/>
        </w:rPr>
      </w:pPr>
    </w:p>
    <w:p w14:paraId="36003779">
      <w:pPr>
        <w:spacing w:before="120" w:line="520" w:lineRule="exact"/>
        <w:jc w:val="center"/>
        <w:rPr>
          <w:rFonts w:ascii="宋体" w:hAnsi="宋体" w:cs="宋体"/>
          <w:color w:val="auto"/>
          <w:sz w:val="32"/>
          <w:szCs w:val="32"/>
        </w:rPr>
      </w:pPr>
      <w:r>
        <w:rPr>
          <w:rFonts w:hint="eastAsia" w:ascii="宋体" w:hAnsi="宋体" w:cs="宋体"/>
          <w:color w:val="auto"/>
          <w:sz w:val="44"/>
          <w:szCs w:val="44"/>
        </w:rPr>
        <w:br w:type="page"/>
      </w:r>
      <w:r>
        <w:rPr>
          <w:rFonts w:hint="eastAsia" w:ascii="宋体" w:hAnsi="宋体" w:cs="宋体"/>
          <w:color w:val="auto"/>
          <w:sz w:val="32"/>
          <w:szCs w:val="32"/>
        </w:rPr>
        <w:t>授权委托书</w:t>
      </w:r>
    </w:p>
    <w:p w14:paraId="1BEEF739">
      <w:pPr>
        <w:spacing w:before="120" w:line="520" w:lineRule="exact"/>
        <w:jc w:val="center"/>
        <w:rPr>
          <w:rFonts w:ascii="宋体" w:hAnsi="宋体" w:cs="宋体"/>
          <w:color w:val="auto"/>
          <w:sz w:val="32"/>
          <w:szCs w:val="32"/>
        </w:rPr>
      </w:pPr>
      <w:r>
        <w:rPr>
          <w:rFonts w:hint="eastAsia" w:ascii="宋体" w:hAnsi="宋体" w:cs="宋体"/>
          <w:color w:val="auto"/>
          <w:sz w:val="32"/>
          <w:szCs w:val="32"/>
        </w:rPr>
        <w:t>（非联合体竞标格式）</w:t>
      </w:r>
    </w:p>
    <w:p w14:paraId="39868381">
      <w:pPr>
        <w:spacing w:before="120" w:line="520" w:lineRule="exact"/>
        <w:jc w:val="center"/>
        <w:rPr>
          <w:rFonts w:ascii="宋体" w:hAnsi="宋体" w:cs="宋体"/>
          <w:color w:val="auto"/>
          <w:sz w:val="44"/>
          <w:szCs w:val="44"/>
        </w:rPr>
      </w:pPr>
      <w:r>
        <w:rPr>
          <w:rFonts w:hint="eastAsia" w:ascii="宋体" w:hAnsi="宋体" w:cs="宋体"/>
          <w:color w:val="auto"/>
          <w:sz w:val="32"/>
          <w:szCs w:val="32"/>
        </w:rPr>
        <w:t>（如有委托时）</w:t>
      </w:r>
    </w:p>
    <w:p w14:paraId="0CC1DB76">
      <w:pPr>
        <w:spacing w:before="120" w:line="360" w:lineRule="auto"/>
        <w:ind w:firstLine="640"/>
        <w:rPr>
          <w:rFonts w:ascii="宋体" w:hAnsi="宋体" w:cs="宋体"/>
          <w:color w:val="auto"/>
          <w:sz w:val="32"/>
          <w:szCs w:val="32"/>
        </w:rPr>
      </w:pPr>
    </w:p>
    <w:p w14:paraId="774D486E">
      <w:pPr>
        <w:spacing w:before="120" w:line="360" w:lineRule="auto"/>
        <w:ind w:firstLine="420"/>
        <w:rPr>
          <w:rFonts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（采购人名称）</w:t>
      </w:r>
      <w:r>
        <w:rPr>
          <w:rFonts w:hint="eastAsia" w:ascii="宋体" w:hAnsi="宋体" w:cs="宋体"/>
          <w:color w:val="auto"/>
          <w:szCs w:val="21"/>
        </w:rPr>
        <w:t>：</w:t>
      </w:r>
    </w:p>
    <w:p w14:paraId="232FC50D">
      <w:pPr>
        <w:spacing w:before="120" w:line="360" w:lineRule="auto"/>
        <w:ind w:firstLine="420" w:firstLineChars="200"/>
        <w:rPr>
          <w:rFonts w:ascii="宋体" w:hAnsi="宋体" w:cs="宋体"/>
          <w:color w:val="auto"/>
          <w:szCs w:val="21"/>
        </w:rPr>
      </w:pPr>
      <w:r>
        <w:rPr>
          <w:rFonts w:hint="eastAsia" w:ascii="宋体" w:hAnsi="宋体" w:cs="宋体"/>
          <w:color w:val="auto"/>
          <w:szCs w:val="21"/>
        </w:rPr>
        <w:t>我</w:t>
      </w:r>
      <w:r>
        <w:rPr>
          <w:rFonts w:hint="eastAsia" w:ascii="宋体" w:hAnsi="宋体" w:cs="宋体"/>
          <w:color w:val="auto"/>
          <w:szCs w:val="21"/>
          <w:u w:val="single"/>
        </w:rPr>
        <w:t xml:space="preserve">  （姓名）  </w:t>
      </w:r>
      <w:r>
        <w:rPr>
          <w:rFonts w:hint="eastAsia" w:ascii="宋体" w:hAnsi="宋体" w:cs="宋体"/>
          <w:color w:val="auto"/>
          <w:szCs w:val="21"/>
        </w:rPr>
        <w:t>系</w:t>
      </w:r>
      <w:r>
        <w:rPr>
          <w:rFonts w:hint="eastAsia" w:ascii="宋体" w:hAnsi="宋体" w:cs="宋体"/>
          <w:color w:val="auto"/>
          <w:szCs w:val="21"/>
          <w:u w:val="single"/>
        </w:rPr>
        <w:t xml:space="preserve">  （供应商名称）  </w:t>
      </w:r>
      <w:r>
        <w:rPr>
          <w:rFonts w:hint="eastAsia" w:ascii="宋体" w:hAnsi="宋体" w:cs="宋体"/>
          <w:color w:val="auto"/>
          <w:szCs w:val="21"/>
        </w:rPr>
        <w:t>的（</w:t>
      </w:r>
      <w:r>
        <w:rPr>
          <w:rFonts w:hint="eastAsia" w:ascii="宋体" w:hAnsi="宋体" w:cs="宋体"/>
          <w:color w:val="auto"/>
          <w:szCs w:val="21"/>
          <w:u w:val="single"/>
        </w:rPr>
        <w:t>☑法定代表人/□负责人/□自然人本人</w:t>
      </w:r>
      <w:r>
        <w:rPr>
          <w:rFonts w:hint="eastAsia" w:ascii="宋体" w:hAnsi="宋体" w:cs="宋体"/>
          <w:color w:val="auto"/>
          <w:szCs w:val="21"/>
        </w:rPr>
        <w:t>），现授权</w:t>
      </w:r>
      <w:r>
        <w:rPr>
          <w:rFonts w:hint="eastAsia" w:ascii="宋体" w:hAnsi="宋体" w:cs="宋体"/>
          <w:color w:val="auto"/>
          <w:szCs w:val="21"/>
          <w:u w:val="single"/>
        </w:rPr>
        <w:t xml:space="preserve"> （姓名） </w:t>
      </w:r>
      <w:r>
        <w:rPr>
          <w:rFonts w:hint="eastAsia" w:ascii="宋体" w:hAnsi="宋体" w:cs="宋体"/>
          <w:color w:val="auto"/>
          <w:szCs w:val="21"/>
        </w:rPr>
        <w:t>以我方的名义参加</w:t>
      </w:r>
      <w:r>
        <w:rPr>
          <w:rFonts w:hint="eastAsia" w:ascii="宋体" w:hAnsi="宋体" w:cs="宋体"/>
          <w:color w:val="auto"/>
          <w:szCs w:val="21"/>
          <w:u w:val="single"/>
        </w:rPr>
        <w:t xml:space="preserve">              </w:t>
      </w:r>
      <w:r>
        <w:rPr>
          <w:rFonts w:hint="eastAsia" w:ascii="宋体" w:hAnsi="宋体" w:cs="宋体"/>
          <w:color w:val="auto"/>
          <w:szCs w:val="21"/>
        </w:rPr>
        <w:t>项目的竞标活动，并代表我方全权办理针对上述项目的所有采购程序和环节的具体事务和签署相关文件。</w:t>
      </w:r>
    </w:p>
    <w:p w14:paraId="10A73F8B">
      <w:pPr>
        <w:spacing w:before="120" w:line="360" w:lineRule="auto"/>
        <w:ind w:firstLine="420"/>
        <w:rPr>
          <w:rFonts w:ascii="宋体" w:hAnsi="宋体" w:cs="宋体"/>
          <w:color w:val="auto"/>
          <w:szCs w:val="21"/>
        </w:rPr>
      </w:pPr>
      <w:r>
        <w:rPr>
          <w:rFonts w:hint="eastAsia" w:ascii="宋体" w:hAnsi="宋体" w:cs="宋体"/>
          <w:color w:val="auto"/>
          <w:szCs w:val="21"/>
        </w:rPr>
        <w:t xml:space="preserve">    我方对委托代理人的签字或者电子签名事项负全部责任。</w:t>
      </w:r>
    </w:p>
    <w:p w14:paraId="31B7913D">
      <w:pPr>
        <w:spacing w:before="120" w:line="360" w:lineRule="auto"/>
        <w:ind w:firstLine="420" w:firstLineChars="200"/>
        <w:rPr>
          <w:rFonts w:ascii="宋体" w:hAnsi="宋体" w:cs="宋体"/>
          <w:color w:val="auto"/>
          <w:szCs w:val="21"/>
        </w:rPr>
      </w:pPr>
      <w:r>
        <w:rPr>
          <w:rFonts w:hint="eastAsia" w:ascii="宋体" w:hAnsi="宋体" w:cs="宋体"/>
          <w:color w:val="auto"/>
          <w:szCs w:val="21"/>
        </w:rPr>
        <w:t>本授权书自签署之日起生效，在撤销授权的书面通知以前，本授权书一直有效。委托代理人在授权书有效期内签署的所有文件不因授权的撤销而失效。</w:t>
      </w:r>
    </w:p>
    <w:p w14:paraId="19315BEB">
      <w:pPr>
        <w:spacing w:before="120" w:line="360" w:lineRule="auto"/>
        <w:ind w:firstLine="420" w:firstLineChars="200"/>
        <w:rPr>
          <w:rFonts w:ascii="宋体" w:hAnsi="宋体" w:cs="宋体"/>
          <w:color w:val="auto"/>
          <w:szCs w:val="21"/>
        </w:rPr>
      </w:pPr>
      <w:r>
        <w:rPr>
          <w:rFonts w:hint="eastAsia" w:ascii="宋体" w:hAnsi="宋体" w:cs="宋体"/>
          <w:color w:val="auto"/>
          <w:szCs w:val="21"/>
        </w:rPr>
        <w:t>委托代理人无转委托权，特此委托。</w:t>
      </w:r>
    </w:p>
    <w:p w14:paraId="122E16F0">
      <w:pPr>
        <w:spacing w:before="120" w:line="360" w:lineRule="auto"/>
        <w:ind w:firstLine="420" w:firstLineChars="200"/>
        <w:rPr>
          <w:rFonts w:ascii="宋体" w:hAnsi="宋体" w:cs="宋体"/>
          <w:color w:val="auto"/>
          <w:szCs w:val="21"/>
        </w:rPr>
      </w:pPr>
      <w:r>
        <w:rPr>
          <w:rFonts w:hint="eastAsia" w:ascii="宋体" w:hAnsi="宋体" w:cs="宋体"/>
          <w:color w:val="auto"/>
          <w:szCs w:val="21"/>
        </w:rPr>
        <w:t>附：法定代表人身份证明书及委托代理人有效身份证正反面复印件</w:t>
      </w:r>
    </w:p>
    <w:p w14:paraId="1B9AE81D">
      <w:pPr>
        <w:spacing w:before="120" w:line="360" w:lineRule="auto"/>
        <w:ind w:firstLine="420"/>
        <w:rPr>
          <w:rFonts w:ascii="宋体" w:hAnsi="宋体" w:cs="宋体"/>
          <w:color w:val="auto"/>
          <w:szCs w:val="21"/>
        </w:rPr>
      </w:pPr>
    </w:p>
    <w:p w14:paraId="7D74163A">
      <w:pPr>
        <w:spacing w:before="120" w:line="360" w:lineRule="auto"/>
        <w:ind w:firstLine="420"/>
        <w:rPr>
          <w:rFonts w:ascii="宋体" w:hAnsi="宋体" w:cs="宋体"/>
          <w:color w:val="auto"/>
          <w:szCs w:val="21"/>
        </w:rPr>
      </w:pPr>
      <w:r>
        <w:rPr>
          <w:rFonts w:hint="eastAsia" w:ascii="宋体" w:hAnsi="宋体" w:cs="宋体"/>
          <w:color w:val="auto"/>
          <w:szCs w:val="21"/>
        </w:rPr>
        <w:t xml:space="preserve">委托代理人（签字或者电子签名）：     法定代表人（签字或者盖章或者电子签名）：                    </w:t>
      </w:r>
    </w:p>
    <w:p w14:paraId="115EFB38">
      <w:pPr>
        <w:spacing w:before="120" w:line="360" w:lineRule="auto"/>
        <w:ind w:firstLine="420"/>
        <w:rPr>
          <w:rFonts w:ascii="宋体" w:hAnsi="宋体" w:cs="宋体"/>
          <w:color w:val="auto"/>
          <w:szCs w:val="21"/>
        </w:rPr>
      </w:pPr>
      <w:r>
        <w:rPr>
          <w:rFonts w:hint="eastAsia" w:ascii="宋体" w:hAnsi="宋体" w:cs="宋体"/>
          <w:color w:val="auto"/>
          <w:szCs w:val="21"/>
        </w:rPr>
        <w:t xml:space="preserve">委托代理人身份证号码：                              </w:t>
      </w:r>
    </w:p>
    <w:p w14:paraId="1A4AC918">
      <w:pPr>
        <w:spacing w:before="120" w:line="360" w:lineRule="auto"/>
        <w:ind w:firstLine="420"/>
        <w:rPr>
          <w:rFonts w:ascii="宋体" w:hAnsi="宋体" w:cs="宋体"/>
          <w:color w:val="auto"/>
          <w:szCs w:val="21"/>
        </w:rPr>
      </w:pPr>
      <w:r>
        <w:rPr>
          <w:rFonts w:hint="eastAsia" w:ascii="宋体" w:hAnsi="宋体" w:cs="宋体"/>
          <w:color w:val="auto"/>
          <w:szCs w:val="21"/>
        </w:rPr>
        <w:t xml:space="preserve">                                </w:t>
      </w:r>
    </w:p>
    <w:p w14:paraId="7721A9C3">
      <w:pPr>
        <w:spacing w:before="120" w:line="360" w:lineRule="auto"/>
        <w:ind w:firstLine="420"/>
        <w:rPr>
          <w:rFonts w:ascii="宋体" w:hAnsi="宋体" w:cs="宋体"/>
          <w:color w:val="auto"/>
          <w:szCs w:val="21"/>
        </w:rPr>
      </w:pPr>
      <w:r>
        <w:rPr>
          <w:rFonts w:hint="eastAsia" w:ascii="宋体" w:hAnsi="宋体" w:cs="宋体"/>
          <w:color w:val="auto"/>
          <w:szCs w:val="21"/>
        </w:rPr>
        <w:t xml:space="preserve">                         供应商（电子签章）：                      </w:t>
      </w:r>
    </w:p>
    <w:p w14:paraId="765F3002">
      <w:pPr>
        <w:spacing w:before="120" w:line="360" w:lineRule="auto"/>
        <w:ind w:firstLine="420"/>
        <w:rPr>
          <w:rFonts w:ascii="宋体" w:hAnsi="宋体" w:cs="宋体"/>
          <w:color w:val="auto"/>
          <w:szCs w:val="21"/>
        </w:rPr>
      </w:pPr>
      <w:r>
        <w:rPr>
          <w:rFonts w:hint="eastAsia" w:ascii="宋体" w:hAnsi="宋体" w:cs="宋体"/>
          <w:color w:val="auto"/>
          <w:szCs w:val="21"/>
        </w:rPr>
        <w:t xml:space="preserve">                                         年    月    日</w:t>
      </w:r>
    </w:p>
    <w:p w14:paraId="1F9AD238">
      <w:pPr>
        <w:spacing w:before="120" w:line="360" w:lineRule="auto"/>
        <w:ind w:firstLine="420"/>
        <w:rPr>
          <w:rFonts w:ascii="宋体" w:hAnsi="宋体" w:cs="宋体"/>
          <w:color w:val="auto"/>
          <w:szCs w:val="21"/>
        </w:rPr>
      </w:pPr>
    </w:p>
    <w:p w14:paraId="0533CC6F">
      <w:pPr>
        <w:spacing w:before="120" w:line="360" w:lineRule="auto"/>
        <w:ind w:firstLine="420"/>
        <w:rPr>
          <w:rFonts w:ascii="宋体" w:hAnsi="宋体" w:cs="宋体"/>
          <w:color w:val="auto"/>
          <w:szCs w:val="21"/>
        </w:rPr>
      </w:pPr>
      <w:r>
        <w:rPr>
          <w:rFonts w:hint="eastAsia" w:ascii="宋体" w:hAnsi="宋体" w:cs="宋体"/>
          <w:color w:val="auto"/>
          <w:szCs w:val="21"/>
        </w:rPr>
        <w:t>注：1. 法定代表人必须在授权委托书上签字或者盖章或者电子签名，委托代理人必须在授权委托书上签字或者电子签名，</w:t>
      </w:r>
      <w:r>
        <w:rPr>
          <w:rFonts w:hint="eastAsia" w:ascii="宋体" w:hAnsi="宋体" w:cs="宋体"/>
          <w:b/>
          <w:color w:val="auto"/>
          <w:szCs w:val="21"/>
        </w:rPr>
        <w:t>否则其响应文件按无效响应处理。</w:t>
      </w:r>
    </w:p>
    <w:p w14:paraId="33B02C06">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2.法人、其他组织竞标时“我方”是指“我单位”，自然人竞标时“我方”是指“本人”。</w:t>
      </w:r>
    </w:p>
    <w:p w14:paraId="71BE8CC9">
      <w:pPr>
        <w:spacing w:before="120" w:line="360" w:lineRule="auto"/>
        <w:ind w:firstLine="420" w:firstLineChars="200"/>
        <w:jc w:val="left"/>
        <w:rPr>
          <w:rFonts w:ascii="宋体" w:hAnsi="宋体" w:cs="宋体"/>
          <w:color w:val="auto"/>
          <w:szCs w:val="21"/>
        </w:rPr>
      </w:pPr>
    </w:p>
    <w:p w14:paraId="29800E38">
      <w:pPr>
        <w:spacing w:before="120" w:line="520" w:lineRule="exact"/>
        <w:jc w:val="center"/>
        <w:rPr>
          <w:rFonts w:ascii="宋体" w:hAnsi="宋体" w:cs="宋体"/>
          <w:color w:val="auto"/>
          <w:sz w:val="32"/>
          <w:szCs w:val="32"/>
        </w:rPr>
      </w:pPr>
      <w:r>
        <w:rPr>
          <w:rFonts w:hint="eastAsia" w:ascii="宋体" w:hAnsi="宋体" w:cs="宋体"/>
          <w:color w:val="auto"/>
          <w:szCs w:val="21"/>
        </w:rPr>
        <w:br w:type="page"/>
      </w:r>
      <w:r>
        <w:rPr>
          <w:rFonts w:hint="eastAsia" w:ascii="宋体" w:hAnsi="宋体" w:cs="宋体"/>
          <w:color w:val="auto"/>
          <w:sz w:val="32"/>
          <w:szCs w:val="32"/>
        </w:rPr>
        <w:t>授权委托书</w:t>
      </w:r>
    </w:p>
    <w:p w14:paraId="6A5025F1">
      <w:pPr>
        <w:spacing w:before="120" w:line="520" w:lineRule="exact"/>
        <w:jc w:val="center"/>
        <w:rPr>
          <w:rFonts w:ascii="宋体" w:hAnsi="宋体" w:cs="宋体"/>
          <w:color w:val="auto"/>
          <w:sz w:val="32"/>
          <w:szCs w:val="32"/>
        </w:rPr>
      </w:pPr>
      <w:r>
        <w:rPr>
          <w:rFonts w:hint="eastAsia" w:ascii="宋体" w:hAnsi="宋体" w:cs="宋体"/>
          <w:color w:val="auto"/>
          <w:sz w:val="32"/>
          <w:szCs w:val="32"/>
        </w:rPr>
        <w:t>（联合体竞标格式）</w:t>
      </w:r>
    </w:p>
    <w:p w14:paraId="34C85E75">
      <w:pPr>
        <w:spacing w:before="120" w:line="520" w:lineRule="exact"/>
        <w:jc w:val="center"/>
        <w:rPr>
          <w:rFonts w:ascii="宋体" w:hAnsi="宋体" w:cs="宋体"/>
          <w:color w:val="auto"/>
          <w:sz w:val="32"/>
          <w:szCs w:val="32"/>
        </w:rPr>
      </w:pPr>
      <w:r>
        <w:rPr>
          <w:rFonts w:hint="eastAsia" w:ascii="宋体" w:hAnsi="宋体" w:cs="宋体"/>
          <w:color w:val="auto"/>
          <w:sz w:val="32"/>
          <w:szCs w:val="32"/>
        </w:rPr>
        <w:t>（如有委托时）</w:t>
      </w:r>
    </w:p>
    <w:p w14:paraId="4D5D8FF1">
      <w:pPr>
        <w:spacing w:before="120" w:line="360" w:lineRule="auto"/>
        <w:ind w:firstLine="640"/>
        <w:rPr>
          <w:rFonts w:ascii="宋体" w:hAnsi="宋体" w:cs="宋体"/>
          <w:color w:val="auto"/>
          <w:sz w:val="32"/>
          <w:szCs w:val="32"/>
        </w:rPr>
      </w:pPr>
    </w:p>
    <w:p w14:paraId="056F2BF2">
      <w:pPr>
        <w:spacing w:before="120" w:line="360" w:lineRule="auto"/>
        <w:ind w:firstLine="420" w:firstLineChars="200"/>
        <w:jc w:val="left"/>
        <w:rPr>
          <w:rFonts w:ascii="宋体" w:hAnsi="宋体" w:cs="宋体"/>
          <w:color w:val="auto"/>
          <w:szCs w:val="21"/>
        </w:rPr>
      </w:pPr>
      <w:r>
        <w:rPr>
          <w:rFonts w:hint="eastAsia" w:ascii="宋体" w:hAnsi="宋体" w:cs="宋体"/>
          <w:color w:val="auto"/>
          <w:szCs w:val="21"/>
        </w:rPr>
        <w:t>本授权委托书声明：根据</w:t>
      </w:r>
      <w:r>
        <w:rPr>
          <w:rFonts w:hint="eastAsia" w:ascii="宋体" w:hAnsi="宋体" w:cs="宋体"/>
          <w:color w:val="auto"/>
          <w:szCs w:val="21"/>
          <w:u w:val="single"/>
        </w:rPr>
        <w:t xml:space="preserve">                </w:t>
      </w:r>
      <w:r>
        <w:rPr>
          <w:rFonts w:hint="eastAsia" w:ascii="宋体" w:hAnsi="宋体" w:cs="宋体"/>
          <w:color w:val="auto"/>
          <w:szCs w:val="21"/>
        </w:rPr>
        <w:t>（牵头人名称）与</w:t>
      </w:r>
      <w:r>
        <w:rPr>
          <w:rFonts w:hint="eastAsia" w:ascii="宋体" w:hAnsi="宋体" w:cs="宋体"/>
          <w:color w:val="auto"/>
          <w:szCs w:val="21"/>
          <w:u w:val="single"/>
        </w:rPr>
        <w:t xml:space="preserve">              </w:t>
      </w:r>
      <w:r>
        <w:rPr>
          <w:rFonts w:hint="eastAsia" w:ascii="宋体" w:hAnsi="宋体" w:cs="宋体"/>
          <w:color w:val="auto"/>
          <w:szCs w:val="21"/>
        </w:rPr>
        <w:t>（联合体其他成员名称）签订的《联合体竞标协议书》的内容，</w:t>
      </w:r>
      <w:r>
        <w:rPr>
          <w:rFonts w:hint="eastAsia" w:ascii="宋体" w:hAnsi="宋体" w:cs="宋体"/>
          <w:color w:val="auto"/>
          <w:szCs w:val="21"/>
          <w:u w:val="single"/>
        </w:rPr>
        <w:t xml:space="preserve">                       </w:t>
      </w:r>
      <w:r>
        <w:rPr>
          <w:rFonts w:hint="eastAsia" w:ascii="宋体" w:hAnsi="宋体" w:cs="宋体"/>
          <w:color w:val="auto"/>
          <w:szCs w:val="21"/>
        </w:rPr>
        <w:t>（牵头人名称）的法定代表人</w:t>
      </w:r>
      <w:r>
        <w:rPr>
          <w:rFonts w:hint="eastAsia" w:ascii="宋体" w:hAnsi="宋体" w:cs="宋体"/>
          <w:color w:val="auto"/>
          <w:szCs w:val="21"/>
          <w:u w:val="single"/>
        </w:rPr>
        <w:t xml:space="preserve">      </w:t>
      </w:r>
      <w:r>
        <w:rPr>
          <w:rFonts w:hint="eastAsia" w:ascii="宋体" w:hAnsi="宋体" w:cs="宋体"/>
          <w:color w:val="auto"/>
          <w:szCs w:val="21"/>
        </w:rPr>
        <w:t>（姓名）现授权</w:t>
      </w:r>
      <w:r>
        <w:rPr>
          <w:rFonts w:hint="eastAsia" w:ascii="宋体" w:hAnsi="宋体" w:cs="宋体"/>
          <w:color w:val="auto"/>
          <w:szCs w:val="21"/>
          <w:u w:val="single"/>
        </w:rPr>
        <w:t xml:space="preserve">      </w:t>
      </w:r>
      <w:r>
        <w:rPr>
          <w:rFonts w:hint="eastAsia" w:ascii="宋体" w:hAnsi="宋体" w:cs="宋体"/>
          <w:color w:val="auto"/>
          <w:szCs w:val="21"/>
        </w:rPr>
        <w:t>（姓名）为联合委托代理人，并代表我方全权办理针对上述项目的所有采购程序和环节的具体事务和签署相关文件。</w:t>
      </w:r>
    </w:p>
    <w:p w14:paraId="4EE2E979">
      <w:pPr>
        <w:spacing w:before="120" w:line="360" w:lineRule="auto"/>
        <w:ind w:firstLine="420" w:firstLineChars="200"/>
        <w:rPr>
          <w:rFonts w:ascii="宋体" w:hAnsi="宋体" w:cs="宋体"/>
          <w:color w:val="auto"/>
          <w:szCs w:val="21"/>
        </w:rPr>
      </w:pPr>
      <w:r>
        <w:rPr>
          <w:rFonts w:hint="eastAsia" w:ascii="宋体" w:hAnsi="宋体" w:cs="宋体"/>
          <w:color w:val="auto"/>
          <w:szCs w:val="21"/>
        </w:rPr>
        <w:t>我方对委托代理人的签字或者电子签名事项负全部责任。</w:t>
      </w:r>
    </w:p>
    <w:p w14:paraId="67A8711A">
      <w:pPr>
        <w:spacing w:before="120" w:line="360" w:lineRule="auto"/>
        <w:ind w:firstLine="420" w:firstLineChars="200"/>
        <w:rPr>
          <w:rFonts w:ascii="宋体" w:hAnsi="宋体" w:cs="宋体"/>
          <w:color w:val="auto"/>
          <w:szCs w:val="21"/>
        </w:rPr>
      </w:pPr>
      <w:r>
        <w:rPr>
          <w:rFonts w:hint="eastAsia" w:ascii="宋体" w:hAnsi="宋体" w:cs="宋体"/>
          <w:color w:val="auto"/>
          <w:szCs w:val="21"/>
        </w:rPr>
        <w:t>本授权书自签署之日起生效，在撤销授权的书面通知以前，本授权书一直有效。委托代理人在授权书有效期内签署的所有文件不因授权的撤销而失效。</w:t>
      </w:r>
    </w:p>
    <w:p w14:paraId="3F07E108">
      <w:pPr>
        <w:spacing w:before="120" w:line="360" w:lineRule="auto"/>
        <w:ind w:firstLine="420" w:firstLineChars="200"/>
        <w:rPr>
          <w:rFonts w:ascii="宋体" w:hAnsi="宋体" w:cs="宋体"/>
          <w:color w:val="auto"/>
          <w:szCs w:val="21"/>
        </w:rPr>
      </w:pPr>
      <w:r>
        <w:rPr>
          <w:rFonts w:hint="eastAsia" w:ascii="宋体" w:hAnsi="宋体" w:cs="宋体"/>
          <w:color w:val="auto"/>
          <w:szCs w:val="21"/>
        </w:rPr>
        <w:t>委托代理人无转委托权，特此委托。</w:t>
      </w:r>
    </w:p>
    <w:p w14:paraId="2AB1E1F2">
      <w:pPr>
        <w:spacing w:before="120" w:line="360" w:lineRule="auto"/>
        <w:ind w:firstLine="420"/>
        <w:rPr>
          <w:rFonts w:ascii="宋体" w:hAnsi="宋体" w:cs="宋体"/>
          <w:color w:val="auto"/>
          <w:szCs w:val="21"/>
        </w:rPr>
      </w:pPr>
      <w:r>
        <w:rPr>
          <w:rFonts w:hint="eastAsia" w:ascii="宋体" w:hAnsi="宋体" w:cs="宋体"/>
          <w:color w:val="auto"/>
          <w:szCs w:val="21"/>
        </w:rPr>
        <w:t xml:space="preserve">    附：法定代表人身份证明书及委托代理人有效身份证正反面复印件</w:t>
      </w:r>
    </w:p>
    <w:p w14:paraId="3731CC08">
      <w:pPr>
        <w:spacing w:before="120" w:line="360" w:lineRule="auto"/>
        <w:ind w:firstLine="420" w:firstLineChars="200"/>
        <w:rPr>
          <w:rFonts w:ascii="宋体" w:hAnsi="宋体" w:cs="宋体"/>
          <w:color w:val="auto"/>
          <w:szCs w:val="21"/>
        </w:rPr>
      </w:pPr>
      <w:r>
        <w:rPr>
          <w:rFonts w:hint="eastAsia" w:ascii="宋体" w:hAnsi="宋体" w:cs="宋体"/>
          <w:color w:val="auto"/>
          <w:szCs w:val="21"/>
        </w:rPr>
        <w:t>牵头人法定代表人（签字或者盖章或者电子签名）：</w:t>
      </w:r>
    </w:p>
    <w:p w14:paraId="0765CB8E">
      <w:pPr>
        <w:spacing w:before="120" w:line="360" w:lineRule="auto"/>
        <w:ind w:firstLine="2730" w:firstLineChars="1300"/>
        <w:rPr>
          <w:rFonts w:ascii="宋体" w:hAnsi="宋体" w:cs="宋体"/>
          <w:color w:val="auto"/>
          <w:szCs w:val="21"/>
        </w:rPr>
      </w:pPr>
      <w:r>
        <w:rPr>
          <w:rFonts w:hint="eastAsia" w:ascii="宋体" w:hAnsi="宋体" w:cs="宋体"/>
          <w:color w:val="auto"/>
          <w:szCs w:val="21"/>
        </w:rPr>
        <w:t>牵头人（电子签章）：</w:t>
      </w:r>
    </w:p>
    <w:p w14:paraId="2DE6B316">
      <w:pPr>
        <w:spacing w:before="120" w:line="360" w:lineRule="auto"/>
        <w:ind w:firstLine="3360" w:firstLineChars="1600"/>
        <w:rPr>
          <w:rFonts w:ascii="宋体" w:hAnsi="宋体" w:cs="宋体"/>
          <w:color w:val="auto"/>
          <w:szCs w:val="21"/>
        </w:rPr>
      </w:pPr>
      <w:r>
        <w:rPr>
          <w:rFonts w:hint="eastAsia" w:ascii="宋体" w:hAnsi="宋体" w:cs="宋体"/>
          <w:color w:val="auto"/>
          <w:szCs w:val="21"/>
        </w:rPr>
        <w:t>日期：    年   月   日</w:t>
      </w:r>
    </w:p>
    <w:p w14:paraId="0021D2CF">
      <w:pPr>
        <w:spacing w:before="120" w:line="360" w:lineRule="auto"/>
        <w:ind w:firstLine="420"/>
        <w:rPr>
          <w:rFonts w:ascii="宋体" w:hAnsi="宋体" w:cs="宋体"/>
          <w:color w:val="auto"/>
          <w:szCs w:val="21"/>
        </w:rPr>
      </w:pPr>
    </w:p>
    <w:p w14:paraId="117A7110">
      <w:pPr>
        <w:spacing w:before="120" w:line="360" w:lineRule="auto"/>
        <w:ind w:firstLine="2730" w:firstLineChars="1300"/>
        <w:rPr>
          <w:rFonts w:ascii="宋体" w:hAnsi="宋体" w:cs="宋体"/>
          <w:color w:val="auto"/>
          <w:szCs w:val="21"/>
        </w:rPr>
      </w:pPr>
      <w:r>
        <w:rPr>
          <w:rFonts w:hint="eastAsia" w:ascii="宋体" w:hAnsi="宋体" w:cs="宋体"/>
          <w:color w:val="auto"/>
          <w:szCs w:val="21"/>
        </w:rPr>
        <w:t>被授权人（签字或者电子签名）：</w:t>
      </w:r>
    </w:p>
    <w:p w14:paraId="2BB2FAE9">
      <w:pPr>
        <w:spacing w:before="120" w:line="360" w:lineRule="auto"/>
        <w:ind w:firstLine="3360" w:firstLineChars="1600"/>
        <w:rPr>
          <w:rFonts w:ascii="宋体" w:hAnsi="宋体" w:cs="宋体"/>
          <w:color w:val="auto"/>
          <w:szCs w:val="21"/>
        </w:rPr>
      </w:pPr>
      <w:r>
        <w:rPr>
          <w:rFonts w:hint="eastAsia" w:ascii="宋体" w:hAnsi="宋体" w:cs="宋体"/>
          <w:color w:val="auto"/>
          <w:szCs w:val="21"/>
        </w:rPr>
        <w:t>日期：    年   月   日</w:t>
      </w:r>
    </w:p>
    <w:p w14:paraId="064F9C4D">
      <w:pPr>
        <w:spacing w:before="120" w:line="360" w:lineRule="auto"/>
        <w:ind w:firstLine="420"/>
        <w:rPr>
          <w:rFonts w:ascii="宋体" w:hAnsi="宋体" w:cs="宋体"/>
          <w:color w:val="auto"/>
          <w:szCs w:val="21"/>
        </w:rPr>
      </w:pPr>
    </w:p>
    <w:p w14:paraId="5B39AEE9">
      <w:pPr>
        <w:spacing w:before="120" w:line="360" w:lineRule="auto"/>
        <w:ind w:firstLine="420"/>
        <w:rPr>
          <w:rFonts w:ascii="宋体" w:hAnsi="宋体" w:cs="宋体"/>
          <w:color w:val="auto"/>
          <w:szCs w:val="21"/>
        </w:rPr>
      </w:pPr>
      <w:r>
        <w:rPr>
          <w:rFonts w:hint="eastAsia" w:ascii="宋体" w:hAnsi="宋体" w:cs="宋体"/>
          <w:color w:val="auto"/>
          <w:szCs w:val="21"/>
        </w:rPr>
        <w:t>注：1. 法定代表人必须在授权委托书上签字或者盖章或者电子签名，委托代理人必须在授权委托书上签字或者电子签名，</w:t>
      </w:r>
      <w:r>
        <w:rPr>
          <w:rFonts w:hint="eastAsia" w:ascii="宋体" w:hAnsi="宋体" w:cs="宋体"/>
          <w:b/>
          <w:color w:val="auto"/>
          <w:szCs w:val="21"/>
        </w:rPr>
        <w:t>否则其响应文件按无效响应处理。</w:t>
      </w:r>
    </w:p>
    <w:p w14:paraId="0E454CB5">
      <w:pPr>
        <w:spacing w:before="120" w:line="500" w:lineRule="exact"/>
        <w:ind w:firstLine="420"/>
        <w:jc w:val="left"/>
        <w:rPr>
          <w:rFonts w:ascii="宋体" w:hAnsi="宋体" w:cs="宋体"/>
          <w:color w:val="auto"/>
          <w:szCs w:val="21"/>
        </w:rPr>
      </w:pPr>
      <w:r>
        <w:rPr>
          <w:rFonts w:hint="eastAsia" w:ascii="宋体" w:hAnsi="宋体" w:cs="宋体"/>
          <w:color w:val="auto"/>
          <w:szCs w:val="21"/>
        </w:rPr>
        <w:t>2.法人、其他组织竞标时“我方”是指“我单位”，自然人竞标时“我方”是指“本人”。</w:t>
      </w:r>
    </w:p>
    <w:p w14:paraId="0414662B">
      <w:pPr>
        <w:spacing w:before="120" w:line="500" w:lineRule="exact"/>
        <w:jc w:val="center"/>
        <w:rPr>
          <w:rFonts w:ascii="宋体" w:hAnsi="宋体" w:cs="宋体"/>
          <w:bCs/>
          <w:color w:val="auto"/>
          <w:sz w:val="32"/>
          <w:szCs w:val="32"/>
        </w:rPr>
      </w:pPr>
      <w:r>
        <w:rPr>
          <w:rFonts w:hint="eastAsia" w:ascii="宋体" w:hAnsi="宋体" w:cs="宋体"/>
          <w:color w:val="auto"/>
          <w:sz w:val="32"/>
          <w:szCs w:val="32"/>
        </w:rPr>
        <w:br w:type="page"/>
      </w:r>
      <w:r>
        <w:rPr>
          <w:rFonts w:hint="eastAsia" w:ascii="宋体" w:hAnsi="宋体" w:cs="宋体"/>
          <w:bCs/>
          <w:color w:val="auto"/>
          <w:sz w:val="32"/>
          <w:szCs w:val="32"/>
        </w:rPr>
        <w:t>商务要求偏离表格式</w:t>
      </w:r>
    </w:p>
    <w:p w14:paraId="7A8298E8">
      <w:pPr>
        <w:spacing w:before="120" w:line="500" w:lineRule="exact"/>
        <w:jc w:val="center"/>
        <w:rPr>
          <w:rFonts w:ascii="宋体" w:hAnsi="宋体" w:cs="宋体"/>
          <w:b/>
          <w:iCs/>
          <w:color w:val="auto"/>
          <w:sz w:val="24"/>
        </w:rPr>
      </w:pPr>
      <w:r>
        <w:rPr>
          <w:rFonts w:hint="eastAsia" w:ascii="宋体" w:hAnsi="宋体" w:cs="宋体"/>
          <w:bCs/>
          <w:iCs/>
          <w:color w:val="auto"/>
          <w:sz w:val="24"/>
        </w:rPr>
        <w:t>（注：按采购需求具体条款修改）</w:t>
      </w:r>
    </w:p>
    <w:p w14:paraId="0551275E">
      <w:pPr>
        <w:snapToGrid w:val="0"/>
        <w:spacing w:before="120"/>
        <w:ind w:firstLine="480"/>
        <w:jc w:val="left"/>
        <w:rPr>
          <w:rFonts w:ascii="宋体" w:hAnsi="宋体" w:cs="宋体"/>
          <w:color w:val="auto"/>
          <w:sz w:val="24"/>
        </w:rPr>
      </w:pPr>
    </w:p>
    <w:p w14:paraId="60724425">
      <w:pPr>
        <w:pStyle w:val="14"/>
        <w:ind w:firstLine="480"/>
        <w:rPr>
          <w:color w:val="auto"/>
        </w:rPr>
      </w:pPr>
      <w:r>
        <w:rPr>
          <w:rFonts w:hint="eastAsia"/>
          <w:color w:val="auto"/>
          <w:sz w:val="24"/>
          <w:szCs w:val="24"/>
        </w:rPr>
        <w:t xml:space="preserve">所竞分标：     </w:t>
      </w:r>
      <w:r>
        <w:rPr>
          <w:rFonts w:hint="eastAsia"/>
          <w:color w:val="auto"/>
        </w:rPr>
        <w:t xml:space="preserve">         </w:t>
      </w:r>
    </w:p>
    <w:tbl>
      <w:tblPr>
        <w:tblStyle w:val="26"/>
        <w:tblpPr w:leftFromText="180" w:rightFromText="180" w:vertAnchor="text" w:horzAnchor="margin" w:tblpY="311"/>
        <w:tblOverlap w:val="never"/>
        <w:tblW w:w="83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51"/>
        <w:gridCol w:w="2390"/>
        <w:gridCol w:w="2359"/>
        <w:gridCol w:w="1638"/>
      </w:tblGrid>
      <w:tr w14:paraId="5201AB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55" w:hRule="atLeast"/>
        </w:trPr>
        <w:tc>
          <w:tcPr>
            <w:tcW w:w="1951" w:type="dxa"/>
            <w:tcBorders>
              <w:top w:val="single" w:color="auto" w:sz="4" w:space="0"/>
              <w:left w:val="single" w:color="auto" w:sz="4" w:space="0"/>
              <w:bottom w:val="single" w:color="auto" w:sz="4" w:space="0"/>
              <w:right w:val="single" w:color="auto" w:sz="4" w:space="0"/>
            </w:tcBorders>
            <w:vAlign w:val="center"/>
          </w:tcPr>
          <w:p w14:paraId="1D311EE7">
            <w:pPr>
              <w:snapToGrid w:val="0"/>
              <w:spacing w:before="120" w:beforeLines="50" w:line="360" w:lineRule="auto"/>
              <w:ind w:firstLine="420"/>
              <w:jc w:val="center"/>
              <w:rPr>
                <w:rFonts w:ascii="宋体" w:hAnsi="宋体" w:cs="宋体"/>
                <w:color w:val="auto"/>
                <w:szCs w:val="21"/>
              </w:rPr>
            </w:pPr>
            <w:r>
              <w:rPr>
                <w:rFonts w:hint="eastAsia" w:ascii="宋体" w:hAnsi="宋体" w:cs="宋体"/>
                <w:color w:val="auto"/>
                <w:szCs w:val="21"/>
              </w:rPr>
              <w:t>项目</w:t>
            </w:r>
          </w:p>
        </w:tc>
        <w:tc>
          <w:tcPr>
            <w:tcW w:w="2390" w:type="dxa"/>
            <w:tcBorders>
              <w:top w:val="single" w:color="auto" w:sz="4" w:space="0"/>
              <w:left w:val="single" w:color="auto" w:sz="4" w:space="0"/>
              <w:bottom w:val="single" w:color="auto" w:sz="4" w:space="0"/>
              <w:right w:val="single" w:color="auto" w:sz="4" w:space="0"/>
            </w:tcBorders>
            <w:vAlign w:val="center"/>
          </w:tcPr>
          <w:p w14:paraId="532C36EF">
            <w:pPr>
              <w:snapToGrid w:val="0"/>
              <w:spacing w:before="120" w:beforeLines="50" w:line="360" w:lineRule="auto"/>
              <w:ind w:firstLine="420"/>
              <w:jc w:val="center"/>
              <w:rPr>
                <w:rFonts w:ascii="宋体" w:hAnsi="宋体" w:cs="宋体"/>
                <w:color w:val="auto"/>
                <w:szCs w:val="21"/>
              </w:rPr>
            </w:pPr>
            <w:r>
              <w:rPr>
                <w:rFonts w:hint="eastAsia" w:ascii="宋体" w:hAnsi="宋体" w:cs="宋体"/>
                <w:color w:val="auto"/>
                <w:szCs w:val="21"/>
              </w:rPr>
              <w:t>谈判文件商务要求</w:t>
            </w:r>
          </w:p>
        </w:tc>
        <w:tc>
          <w:tcPr>
            <w:tcW w:w="2359" w:type="dxa"/>
            <w:tcBorders>
              <w:top w:val="single" w:color="auto" w:sz="4" w:space="0"/>
              <w:left w:val="single" w:color="auto" w:sz="4" w:space="0"/>
              <w:bottom w:val="single" w:color="auto" w:sz="4" w:space="0"/>
              <w:right w:val="single" w:color="auto" w:sz="4" w:space="0"/>
            </w:tcBorders>
            <w:vAlign w:val="center"/>
          </w:tcPr>
          <w:p w14:paraId="5C61BB6E">
            <w:pPr>
              <w:snapToGrid w:val="0"/>
              <w:spacing w:before="120" w:beforeLines="50" w:line="360" w:lineRule="auto"/>
              <w:ind w:firstLine="420"/>
              <w:jc w:val="center"/>
              <w:rPr>
                <w:rFonts w:ascii="宋体" w:hAnsi="宋体" w:cs="宋体"/>
                <w:color w:val="auto"/>
                <w:szCs w:val="21"/>
              </w:rPr>
            </w:pPr>
            <w:r>
              <w:rPr>
                <w:rFonts w:hint="eastAsia" w:ascii="宋体" w:hAnsi="宋体" w:cs="宋体"/>
                <w:color w:val="auto"/>
                <w:szCs w:val="21"/>
              </w:rPr>
              <w:t>供应商的响应</w:t>
            </w:r>
          </w:p>
        </w:tc>
        <w:tc>
          <w:tcPr>
            <w:tcW w:w="1638" w:type="dxa"/>
            <w:tcBorders>
              <w:top w:val="single" w:color="auto" w:sz="4" w:space="0"/>
              <w:left w:val="single" w:color="auto" w:sz="4" w:space="0"/>
              <w:bottom w:val="single" w:color="auto" w:sz="4" w:space="0"/>
              <w:right w:val="single" w:color="auto" w:sz="4" w:space="0"/>
            </w:tcBorders>
            <w:vAlign w:val="center"/>
          </w:tcPr>
          <w:p w14:paraId="0472EAB7">
            <w:pPr>
              <w:snapToGrid w:val="0"/>
              <w:spacing w:before="120" w:beforeLines="50" w:line="360" w:lineRule="auto"/>
              <w:ind w:firstLine="420"/>
              <w:jc w:val="center"/>
              <w:rPr>
                <w:rFonts w:ascii="宋体" w:hAnsi="宋体" w:cs="宋体"/>
                <w:color w:val="auto"/>
                <w:szCs w:val="21"/>
              </w:rPr>
            </w:pPr>
            <w:r>
              <w:rPr>
                <w:rFonts w:hint="eastAsia" w:ascii="宋体" w:hAnsi="宋体" w:cs="宋体"/>
                <w:color w:val="auto"/>
                <w:szCs w:val="21"/>
              </w:rPr>
              <w:t>偏离说明</w:t>
            </w:r>
          </w:p>
        </w:tc>
      </w:tr>
      <w:tr w14:paraId="0EED06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1" w:hRule="atLeast"/>
        </w:trPr>
        <w:tc>
          <w:tcPr>
            <w:tcW w:w="1951" w:type="dxa"/>
            <w:tcBorders>
              <w:top w:val="single" w:color="auto" w:sz="4" w:space="0"/>
              <w:left w:val="single" w:color="auto" w:sz="4" w:space="0"/>
              <w:bottom w:val="single" w:color="auto" w:sz="4" w:space="0"/>
              <w:right w:val="single" w:color="auto" w:sz="4" w:space="0"/>
            </w:tcBorders>
            <w:vAlign w:val="center"/>
          </w:tcPr>
          <w:p w14:paraId="532A760D">
            <w:pPr>
              <w:spacing w:before="120"/>
              <w:ind w:firstLine="420"/>
              <w:jc w:val="center"/>
              <w:rPr>
                <w:rFonts w:ascii="宋体" w:hAnsi="宋体" w:cs="宋体"/>
                <w:color w:val="auto"/>
                <w:szCs w:val="21"/>
              </w:rPr>
            </w:pPr>
          </w:p>
        </w:tc>
        <w:tc>
          <w:tcPr>
            <w:tcW w:w="2390" w:type="dxa"/>
            <w:tcBorders>
              <w:top w:val="single" w:color="auto" w:sz="4" w:space="0"/>
              <w:left w:val="single" w:color="auto" w:sz="4" w:space="0"/>
              <w:bottom w:val="single" w:color="auto" w:sz="4" w:space="0"/>
              <w:right w:val="single" w:color="auto" w:sz="4" w:space="0"/>
            </w:tcBorders>
            <w:vAlign w:val="center"/>
          </w:tcPr>
          <w:p w14:paraId="1B0BA563">
            <w:pPr>
              <w:spacing w:before="120"/>
              <w:ind w:firstLine="420"/>
              <w:jc w:val="center"/>
              <w:rPr>
                <w:rFonts w:ascii="宋体" w:hAnsi="宋体" w:cs="宋体"/>
                <w:color w:val="auto"/>
                <w:szCs w:val="21"/>
              </w:rPr>
            </w:pPr>
          </w:p>
        </w:tc>
        <w:tc>
          <w:tcPr>
            <w:tcW w:w="2359" w:type="dxa"/>
            <w:tcBorders>
              <w:top w:val="single" w:color="auto" w:sz="4" w:space="0"/>
              <w:left w:val="single" w:color="auto" w:sz="4" w:space="0"/>
              <w:bottom w:val="single" w:color="auto" w:sz="4" w:space="0"/>
              <w:right w:val="single" w:color="auto" w:sz="4" w:space="0"/>
            </w:tcBorders>
            <w:vAlign w:val="center"/>
          </w:tcPr>
          <w:p w14:paraId="205A0AA6">
            <w:pPr>
              <w:snapToGrid w:val="0"/>
              <w:spacing w:before="120" w:beforeLines="50" w:line="360" w:lineRule="auto"/>
              <w:ind w:firstLine="420"/>
              <w:jc w:val="center"/>
              <w:rPr>
                <w:rFonts w:ascii="宋体" w:hAnsi="宋体" w:cs="宋体"/>
                <w:color w:val="auto"/>
                <w:szCs w:val="21"/>
              </w:rPr>
            </w:pPr>
          </w:p>
        </w:tc>
        <w:tc>
          <w:tcPr>
            <w:tcW w:w="1638" w:type="dxa"/>
            <w:tcBorders>
              <w:top w:val="single" w:color="auto" w:sz="4" w:space="0"/>
              <w:left w:val="single" w:color="auto" w:sz="4" w:space="0"/>
              <w:bottom w:val="single" w:color="auto" w:sz="4" w:space="0"/>
              <w:right w:val="single" w:color="auto" w:sz="4" w:space="0"/>
            </w:tcBorders>
            <w:vAlign w:val="center"/>
          </w:tcPr>
          <w:p w14:paraId="16E37C84">
            <w:pPr>
              <w:snapToGrid w:val="0"/>
              <w:spacing w:before="120" w:beforeLines="50" w:line="360" w:lineRule="auto"/>
              <w:ind w:firstLine="420"/>
              <w:jc w:val="center"/>
              <w:rPr>
                <w:rFonts w:ascii="宋体" w:hAnsi="宋体" w:cs="宋体"/>
                <w:color w:val="auto"/>
                <w:szCs w:val="21"/>
              </w:rPr>
            </w:pPr>
          </w:p>
        </w:tc>
      </w:tr>
      <w:tr w14:paraId="2336C5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951" w:type="dxa"/>
            <w:tcBorders>
              <w:top w:val="single" w:color="auto" w:sz="4" w:space="0"/>
              <w:left w:val="single" w:color="auto" w:sz="4" w:space="0"/>
              <w:bottom w:val="single" w:color="auto" w:sz="4" w:space="0"/>
              <w:right w:val="single" w:color="auto" w:sz="4" w:space="0"/>
            </w:tcBorders>
            <w:vAlign w:val="center"/>
          </w:tcPr>
          <w:p w14:paraId="19404C0C">
            <w:pPr>
              <w:spacing w:before="120"/>
              <w:ind w:firstLine="420"/>
              <w:jc w:val="center"/>
              <w:rPr>
                <w:rFonts w:ascii="宋体" w:hAnsi="宋体" w:cs="宋体"/>
                <w:color w:val="auto"/>
                <w:szCs w:val="21"/>
              </w:rPr>
            </w:pPr>
          </w:p>
        </w:tc>
        <w:tc>
          <w:tcPr>
            <w:tcW w:w="2390" w:type="dxa"/>
            <w:tcBorders>
              <w:top w:val="single" w:color="auto" w:sz="4" w:space="0"/>
              <w:left w:val="single" w:color="auto" w:sz="4" w:space="0"/>
              <w:bottom w:val="single" w:color="auto" w:sz="4" w:space="0"/>
              <w:right w:val="single" w:color="auto" w:sz="4" w:space="0"/>
            </w:tcBorders>
            <w:vAlign w:val="center"/>
          </w:tcPr>
          <w:p w14:paraId="0EA70266">
            <w:pPr>
              <w:spacing w:before="120"/>
              <w:ind w:firstLine="420"/>
              <w:jc w:val="center"/>
              <w:rPr>
                <w:rFonts w:ascii="宋体" w:hAnsi="宋体" w:cs="宋体"/>
                <w:color w:val="auto"/>
                <w:szCs w:val="21"/>
              </w:rPr>
            </w:pPr>
          </w:p>
        </w:tc>
        <w:tc>
          <w:tcPr>
            <w:tcW w:w="2359" w:type="dxa"/>
            <w:tcBorders>
              <w:top w:val="single" w:color="auto" w:sz="4" w:space="0"/>
              <w:left w:val="single" w:color="auto" w:sz="4" w:space="0"/>
              <w:bottom w:val="single" w:color="auto" w:sz="4" w:space="0"/>
              <w:right w:val="single" w:color="auto" w:sz="4" w:space="0"/>
            </w:tcBorders>
            <w:vAlign w:val="center"/>
          </w:tcPr>
          <w:p w14:paraId="59BA84C9">
            <w:pPr>
              <w:snapToGrid w:val="0"/>
              <w:spacing w:before="120" w:beforeLines="50" w:line="360" w:lineRule="auto"/>
              <w:ind w:left="43" w:firstLine="420"/>
              <w:jc w:val="center"/>
              <w:rPr>
                <w:rFonts w:ascii="宋体" w:hAnsi="宋体" w:cs="宋体"/>
                <w:color w:val="auto"/>
                <w:szCs w:val="21"/>
              </w:rPr>
            </w:pPr>
          </w:p>
        </w:tc>
        <w:tc>
          <w:tcPr>
            <w:tcW w:w="1638" w:type="dxa"/>
            <w:tcBorders>
              <w:top w:val="single" w:color="auto" w:sz="4" w:space="0"/>
              <w:left w:val="single" w:color="auto" w:sz="4" w:space="0"/>
              <w:bottom w:val="single" w:color="auto" w:sz="4" w:space="0"/>
              <w:right w:val="single" w:color="auto" w:sz="4" w:space="0"/>
            </w:tcBorders>
            <w:vAlign w:val="center"/>
          </w:tcPr>
          <w:p w14:paraId="1BCB173D">
            <w:pPr>
              <w:snapToGrid w:val="0"/>
              <w:spacing w:before="120" w:beforeLines="50" w:line="360" w:lineRule="auto"/>
              <w:ind w:left="43" w:firstLine="420"/>
              <w:jc w:val="center"/>
              <w:rPr>
                <w:rFonts w:ascii="宋体" w:hAnsi="宋体" w:cs="宋体"/>
                <w:color w:val="auto"/>
                <w:szCs w:val="21"/>
              </w:rPr>
            </w:pPr>
          </w:p>
        </w:tc>
      </w:tr>
      <w:tr w14:paraId="4EBFDC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951" w:type="dxa"/>
            <w:tcBorders>
              <w:top w:val="single" w:color="auto" w:sz="4" w:space="0"/>
              <w:left w:val="single" w:color="auto" w:sz="4" w:space="0"/>
              <w:bottom w:val="single" w:color="auto" w:sz="4" w:space="0"/>
              <w:right w:val="single" w:color="auto" w:sz="4" w:space="0"/>
            </w:tcBorders>
            <w:vAlign w:val="center"/>
          </w:tcPr>
          <w:p w14:paraId="26D57C1B">
            <w:pPr>
              <w:snapToGrid w:val="0"/>
              <w:spacing w:before="120" w:beforeLines="50" w:line="360" w:lineRule="auto"/>
              <w:ind w:firstLine="420"/>
              <w:jc w:val="center"/>
              <w:rPr>
                <w:rFonts w:ascii="宋体" w:hAnsi="宋体" w:cs="宋体"/>
                <w:color w:val="auto"/>
                <w:szCs w:val="21"/>
              </w:rPr>
            </w:pPr>
            <w:r>
              <w:rPr>
                <w:rFonts w:hint="eastAsia" w:ascii="宋体" w:hAnsi="宋体" w:cs="宋体"/>
                <w:color w:val="auto"/>
                <w:szCs w:val="21"/>
              </w:rPr>
              <w:t>…</w:t>
            </w:r>
          </w:p>
        </w:tc>
        <w:tc>
          <w:tcPr>
            <w:tcW w:w="2390" w:type="dxa"/>
            <w:tcBorders>
              <w:top w:val="single" w:color="auto" w:sz="4" w:space="0"/>
              <w:left w:val="single" w:color="auto" w:sz="4" w:space="0"/>
              <w:bottom w:val="single" w:color="auto" w:sz="4" w:space="0"/>
              <w:right w:val="single" w:color="auto" w:sz="4" w:space="0"/>
            </w:tcBorders>
            <w:vAlign w:val="center"/>
          </w:tcPr>
          <w:p w14:paraId="437AC80D">
            <w:pPr>
              <w:snapToGrid w:val="0"/>
              <w:spacing w:before="120" w:beforeLines="50" w:line="360" w:lineRule="auto"/>
              <w:ind w:firstLine="420"/>
              <w:jc w:val="center"/>
              <w:rPr>
                <w:rFonts w:ascii="宋体" w:hAnsi="宋体" w:cs="宋体"/>
                <w:color w:val="auto"/>
                <w:szCs w:val="21"/>
              </w:rPr>
            </w:pPr>
          </w:p>
        </w:tc>
        <w:tc>
          <w:tcPr>
            <w:tcW w:w="2359" w:type="dxa"/>
            <w:tcBorders>
              <w:top w:val="single" w:color="auto" w:sz="4" w:space="0"/>
              <w:left w:val="single" w:color="auto" w:sz="4" w:space="0"/>
              <w:bottom w:val="single" w:color="auto" w:sz="4" w:space="0"/>
              <w:right w:val="single" w:color="auto" w:sz="4" w:space="0"/>
            </w:tcBorders>
            <w:vAlign w:val="center"/>
          </w:tcPr>
          <w:p w14:paraId="0083EF12">
            <w:pPr>
              <w:snapToGrid w:val="0"/>
              <w:spacing w:before="120" w:beforeLines="50" w:line="360" w:lineRule="auto"/>
              <w:ind w:firstLine="420"/>
              <w:jc w:val="center"/>
              <w:rPr>
                <w:rFonts w:ascii="宋体" w:hAnsi="宋体" w:cs="宋体"/>
                <w:color w:val="auto"/>
                <w:szCs w:val="21"/>
              </w:rPr>
            </w:pPr>
          </w:p>
        </w:tc>
        <w:tc>
          <w:tcPr>
            <w:tcW w:w="1638" w:type="dxa"/>
            <w:tcBorders>
              <w:top w:val="single" w:color="auto" w:sz="4" w:space="0"/>
              <w:left w:val="single" w:color="auto" w:sz="4" w:space="0"/>
              <w:bottom w:val="single" w:color="auto" w:sz="4" w:space="0"/>
              <w:right w:val="single" w:color="auto" w:sz="4" w:space="0"/>
            </w:tcBorders>
            <w:vAlign w:val="center"/>
          </w:tcPr>
          <w:p w14:paraId="3F338FAC">
            <w:pPr>
              <w:snapToGrid w:val="0"/>
              <w:spacing w:before="120" w:beforeLines="50" w:line="360" w:lineRule="auto"/>
              <w:ind w:firstLine="420"/>
              <w:jc w:val="center"/>
              <w:rPr>
                <w:rFonts w:ascii="宋体" w:hAnsi="宋体" w:cs="宋体"/>
                <w:color w:val="auto"/>
                <w:szCs w:val="21"/>
              </w:rPr>
            </w:pPr>
          </w:p>
        </w:tc>
      </w:tr>
    </w:tbl>
    <w:p w14:paraId="4F3F7E5C">
      <w:pPr>
        <w:pStyle w:val="10"/>
        <w:spacing w:before="120" w:after="0" w:line="360" w:lineRule="auto"/>
        <w:contextualSpacing/>
        <w:rPr>
          <w:rFonts w:ascii="宋体" w:hAnsi="宋体" w:cs="宋体"/>
          <w:color w:val="auto"/>
          <w:kern w:val="0"/>
          <w:sz w:val="21"/>
          <w:szCs w:val="21"/>
        </w:rPr>
      </w:pPr>
      <w:r>
        <w:rPr>
          <w:rFonts w:hint="eastAsia" w:ascii="宋体" w:hAnsi="宋体" w:cs="宋体"/>
          <w:color w:val="auto"/>
          <w:kern w:val="0"/>
          <w:sz w:val="21"/>
          <w:szCs w:val="21"/>
        </w:rPr>
        <w:t>注：</w:t>
      </w:r>
    </w:p>
    <w:p w14:paraId="683D7D49">
      <w:pPr>
        <w:pStyle w:val="10"/>
        <w:spacing w:before="120" w:after="0" w:line="360" w:lineRule="auto"/>
        <w:contextualSpacing/>
        <w:rPr>
          <w:rFonts w:ascii="宋体" w:hAnsi="宋体" w:cs="宋体"/>
          <w:color w:val="auto"/>
          <w:kern w:val="0"/>
          <w:sz w:val="21"/>
          <w:szCs w:val="21"/>
        </w:rPr>
      </w:pPr>
      <w:r>
        <w:rPr>
          <w:rFonts w:hint="eastAsia" w:ascii="宋体" w:hAnsi="宋体" w:cs="宋体"/>
          <w:color w:val="auto"/>
          <w:kern w:val="0"/>
          <w:sz w:val="21"/>
          <w:szCs w:val="21"/>
        </w:rPr>
        <w:t>1. 说明：应对照谈判文件“第三章 采购需求”中的商务要求逐条明确响应，并作出偏离说明。</w:t>
      </w:r>
    </w:p>
    <w:p w14:paraId="5AD48459">
      <w:pPr>
        <w:pStyle w:val="10"/>
        <w:spacing w:before="120" w:after="0" w:line="360" w:lineRule="auto"/>
        <w:contextualSpacing/>
        <w:rPr>
          <w:rFonts w:ascii="宋体" w:hAnsi="宋体" w:cs="宋体"/>
          <w:color w:val="auto"/>
          <w:kern w:val="0"/>
          <w:sz w:val="21"/>
          <w:szCs w:val="21"/>
        </w:rPr>
      </w:pPr>
      <w:r>
        <w:rPr>
          <w:rFonts w:hint="eastAsia" w:ascii="宋体" w:hAnsi="宋体" w:cs="宋体"/>
          <w:color w:val="auto"/>
          <w:kern w:val="0"/>
          <w:sz w:val="21"/>
          <w:szCs w:val="21"/>
        </w:rPr>
        <w:t>2.供应商应根据自身的承诺，对照谈判文件要求在“偏离说明”中注明“正偏离”、“负偏离”或者“无偏离”。既不属于“正偏离”也不属于“负偏离”即为“无偏离”。</w:t>
      </w:r>
    </w:p>
    <w:p w14:paraId="77EE558D">
      <w:pPr>
        <w:spacing w:before="120" w:line="360" w:lineRule="auto"/>
        <w:ind w:firstLine="420"/>
        <w:jc w:val="left"/>
        <w:rPr>
          <w:rFonts w:ascii="宋体" w:hAnsi="宋体" w:cs="宋体"/>
          <w:color w:val="auto"/>
          <w:kern w:val="0"/>
          <w:szCs w:val="21"/>
        </w:rPr>
      </w:pPr>
      <w:r>
        <w:rPr>
          <w:rFonts w:hint="eastAsia" w:ascii="宋体" w:hAnsi="宋体" w:cs="宋体"/>
          <w:color w:val="auto"/>
          <w:szCs w:val="21"/>
        </w:rPr>
        <w:t>3.</w:t>
      </w:r>
      <w:r>
        <w:rPr>
          <w:rFonts w:hint="eastAsia" w:ascii="宋体" w:hAnsi="宋体" w:cs="宋体"/>
          <w:color w:val="auto"/>
          <w:kern w:val="0"/>
          <w:szCs w:val="21"/>
        </w:rPr>
        <w:t>不按照要求填写响应内容的或者仅填写“满足或者响应”的，均按无效竞标处理。</w:t>
      </w:r>
    </w:p>
    <w:p w14:paraId="775661DB">
      <w:pPr>
        <w:spacing w:before="120" w:line="360" w:lineRule="auto"/>
        <w:ind w:firstLine="420"/>
        <w:jc w:val="left"/>
        <w:rPr>
          <w:rFonts w:ascii="宋体" w:hAnsi="宋体" w:cs="宋体"/>
          <w:color w:val="auto"/>
          <w:szCs w:val="21"/>
          <w:u w:val="single"/>
        </w:rPr>
      </w:pPr>
    </w:p>
    <w:p w14:paraId="2D096FB3">
      <w:pPr>
        <w:spacing w:before="120" w:line="360" w:lineRule="auto"/>
        <w:ind w:right="-817" w:rightChars="-389" w:firstLine="420"/>
        <w:contextualSpacing/>
        <w:rPr>
          <w:rFonts w:ascii="宋体" w:hAnsi="宋体" w:cs="宋体"/>
          <w:color w:val="auto"/>
          <w:szCs w:val="21"/>
        </w:rPr>
      </w:pPr>
    </w:p>
    <w:p w14:paraId="50B03C9B">
      <w:pPr>
        <w:spacing w:before="120" w:line="360" w:lineRule="auto"/>
        <w:ind w:right="-817" w:rightChars="-389" w:firstLine="420"/>
        <w:contextualSpacing/>
        <w:jc w:val="center"/>
        <w:rPr>
          <w:rFonts w:ascii="宋体" w:hAnsi="宋体" w:cs="宋体"/>
          <w:color w:val="auto"/>
          <w:szCs w:val="21"/>
        </w:rPr>
      </w:pPr>
      <w:r>
        <w:rPr>
          <w:rFonts w:hint="eastAsia" w:ascii="宋体" w:hAnsi="宋体" w:cs="宋体"/>
          <w:color w:val="auto"/>
          <w:szCs w:val="21"/>
        </w:rPr>
        <w:t>法定代表人或者委托代理人（签字或者电子签名）：</w:t>
      </w:r>
    </w:p>
    <w:p w14:paraId="706D8BEA">
      <w:pPr>
        <w:spacing w:before="120" w:line="360" w:lineRule="auto"/>
        <w:ind w:right="-817" w:rightChars="-389" w:firstLine="2520" w:firstLineChars="1200"/>
        <w:contextualSpacing/>
        <w:rPr>
          <w:rFonts w:ascii="宋体" w:hAnsi="宋体" w:cs="宋体"/>
          <w:color w:val="auto"/>
          <w:szCs w:val="21"/>
        </w:rPr>
      </w:pPr>
      <w:r>
        <w:rPr>
          <w:rFonts w:hint="eastAsia" w:ascii="宋体" w:hAnsi="宋体" w:cs="宋体"/>
          <w:color w:val="auto"/>
          <w:szCs w:val="21"/>
        </w:rPr>
        <w:t xml:space="preserve">供应商（电子签章）：      </w:t>
      </w:r>
    </w:p>
    <w:p w14:paraId="16CB620E">
      <w:pPr>
        <w:spacing w:before="120" w:line="360" w:lineRule="auto"/>
        <w:ind w:right="-817" w:rightChars="-389" w:firstLine="2520" w:firstLineChars="1200"/>
        <w:contextualSpacing/>
        <w:rPr>
          <w:rFonts w:ascii="宋体" w:hAnsi="宋体" w:cs="宋体"/>
          <w:color w:val="auto"/>
          <w:szCs w:val="21"/>
        </w:rPr>
      </w:pPr>
      <w:r>
        <w:rPr>
          <w:rFonts w:hint="eastAsia" w:ascii="宋体" w:hAnsi="宋体" w:cs="宋体"/>
          <w:color w:val="auto"/>
          <w:szCs w:val="21"/>
        </w:rPr>
        <w:t>日期：   年   月   日</w:t>
      </w:r>
    </w:p>
    <w:p w14:paraId="47254AA9">
      <w:pPr>
        <w:adjustRightInd w:val="0"/>
        <w:snapToGrid w:val="0"/>
        <w:spacing w:before="120" w:line="520" w:lineRule="exact"/>
        <w:ind w:firstLine="7040" w:firstLineChars="1600"/>
        <w:jc w:val="center"/>
        <w:rPr>
          <w:rFonts w:ascii="宋体" w:hAnsi="宋体" w:cs="宋体"/>
          <w:bCs/>
          <w:color w:val="auto"/>
          <w:sz w:val="44"/>
          <w:szCs w:val="44"/>
        </w:rPr>
      </w:pPr>
    </w:p>
    <w:p w14:paraId="41EDD245">
      <w:pPr>
        <w:adjustRightInd w:val="0"/>
        <w:snapToGrid w:val="0"/>
        <w:spacing w:before="120" w:line="520" w:lineRule="exact"/>
        <w:jc w:val="center"/>
        <w:rPr>
          <w:rFonts w:ascii="宋体" w:hAnsi="宋体" w:cs="宋体"/>
          <w:b/>
          <w:color w:val="auto"/>
          <w:sz w:val="32"/>
          <w:szCs w:val="32"/>
        </w:rPr>
      </w:pPr>
      <w:r>
        <w:rPr>
          <w:rFonts w:hint="eastAsia" w:ascii="宋体" w:hAnsi="宋体" w:cs="宋体"/>
          <w:bCs/>
          <w:color w:val="auto"/>
          <w:sz w:val="44"/>
          <w:szCs w:val="44"/>
        </w:rPr>
        <w:br w:type="page"/>
      </w:r>
      <w:r>
        <w:rPr>
          <w:rFonts w:hint="eastAsia" w:ascii="宋体" w:hAnsi="宋体" w:cs="宋体"/>
          <w:bCs/>
          <w:color w:val="auto"/>
          <w:sz w:val="32"/>
          <w:szCs w:val="32"/>
        </w:rPr>
        <w:t>货物配置清单</w:t>
      </w:r>
    </w:p>
    <w:p w14:paraId="0E885586">
      <w:pPr>
        <w:spacing w:before="120" w:line="300" w:lineRule="auto"/>
        <w:ind w:firstLine="420"/>
        <w:rPr>
          <w:rFonts w:ascii="宋体" w:hAnsi="宋体" w:cs="宋体"/>
          <w:color w:val="auto"/>
          <w:szCs w:val="21"/>
        </w:rPr>
      </w:pPr>
    </w:p>
    <w:p w14:paraId="363B788F">
      <w:pPr>
        <w:spacing w:before="120" w:line="360" w:lineRule="auto"/>
        <w:ind w:firstLine="420"/>
        <w:rPr>
          <w:rFonts w:ascii="宋体" w:hAnsi="宋体" w:cs="宋体"/>
          <w:color w:val="auto"/>
          <w:szCs w:val="21"/>
        </w:rPr>
      </w:pPr>
      <w:r>
        <w:rPr>
          <w:rFonts w:hint="eastAsia" w:ascii="宋体" w:hAnsi="宋体" w:cs="宋体"/>
          <w:color w:val="auto"/>
          <w:szCs w:val="21"/>
        </w:rPr>
        <w:t>项目编号：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1DE7B69D">
      <w:pPr>
        <w:spacing w:before="120" w:line="360" w:lineRule="auto"/>
        <w:ind w:firstLine="420"/>
        <w:rPr>
          <w:rFonts w:ascii="宋体" w:hAnsi="宋体" w:cs="宋体"/>
          <w:color w:val="auto"/>
          <w:szCs w:val="21"/>
        </w:rPr>
      </w:pPr>
      <w:r>
        <w:rPr>
          <w:rFonts w:hint="eastAsia" w:ascii="宋体" w:hAnsi="宋体" w:cs="宋体"/>
          <w:color w:val="auto"/>
          <w:szCs w:val="21"/>
        </w:rPr>
        <w:t>项目名称：</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6A918A5B">
      <w:pPr>
        <w:spacing w:before="120" w:line="360" w:lineRule="auto"/>
        <w:ind w:firstLine="420"/>
        <w:rPr>
          <w:rFonts w:ascii="宋体" w:hAnsi="宋体" w:cs="宋体"/>
          <w:color w:val="auto"/>
          <w:szCs w:val="21"/>
          <w:u w:val="single"/>
        </w:rPr>
      </w:pPr>
      <w:r>
        <w:rPr>
          <w:rFonts w:hint="eastAsia" w:ascii="宋体" w:hAnsi="宋体" w:cs="宋体"/>
          <w:color w:val="auto"/>
          <w:szCs w:val="21"/>
        </w:rPr>
        <w:t>所竞分标：</w:t>
      </w:r>
      <w:r>
        <w:rPr>
          <w:rFonts w:hint="eastAsia" w:ascii="宋体" w:hAnsi="宋体" w:cs="宋体"/>
          <w:color w:val="auto"/>
          <w:szCs w:val="21"/>
          <w:u w:val="single"/>
        </w:rPr>
        <w:t xml:space="preserve">                 </w:t>
      </w:r>
    </w:p>
    <w:tbl>
      <w:tblPr>
        <w:tblStyle w:val="26"/>
        <w:tblW w:w="84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9"/>
        <w:gridCol w:w="1177"/>
        <w:gridCol w:w="759"/>
        <w:gridCol w:w="845"/>
        <w:gridCol w:w="1688"/>
        <w:gridCol w:w="1177"/>
        <w:gridCol w:w="697"/>
        <w:gridCol w:w="1414"/>
      </w:tblGrid>
      <w:tr w14:paraId="664F46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6CFC9EE">
            <w:pPr>
              <w:snapToGrid w:val="0"/>
              <w:spacing w:before="120" w:after="50"/>
              <w:rPr>
                <w:rFonts w:ascii="宋体" w:hAnsi="宋体" w:cs="宋体"/>
                <w:color w:val="auto"/>
                <w:szCs w:val="21"/>
              </w:rPr>
            </w:pPr>
            <w:r>
              <w:rPr>
                <w:rFonts w:hint="eastAsia" w:ascii="宋体" w:hAnsi="宋体" w:cs="宋体"/>
                <w:color w:val="auto"/>
                <w:szCs w:val="21"/>
              </w:rPr>
              <w:t>序号</w:t>
            </w:r>
          </w:p>
        </w:tc>
        <w:tc>
          <w:tcPr>
            <w:tcW w:w="1177" w:type="dxa"/>
            <w:tcBorders>
              <w:top w:val="single" w:color="auto" w:sz="4" w:space="0"/>
              <w:left w:val="single" w:color="auto" w:sz="4" w:space="0"/>
              <w:bottom w:val="single" w:color="auto" w:sz="4" w:space="0"/>
              <w:right w:val="single" w:color="auto" w:sz="4" w:space="0"/>
            </w:tcBorders>
            <w:vAlign w:val="center"/>
          </w:tcPr>
          <w:p w14:paraId="70FF0B6A">
            <w:pPr>
              <w:snapToGrid w:val="0"/>
              <w:spacing w:before="120" w:after="50"/>
              <w:rPr>
                <w:rFonts w:ascii="宋体" w:hAnsi="宋体" w:cs="宋体"/>
                <w:color w:val="auto"/>
                <w:szCs w:val="21"/>
              </w:rPr>
            </w:pPr>
            <w:r>
              <w:rPr>
                <w:rFonts w:hint="eastAsia" w:ascii="宋体" w:hAnsi="宋体" w:cs="宋体"/>
                <w:color w:val="auto"/>
                <w:szCs w:val="21"/>
              </w:rPr>
              <w:t>标的名称</w:t>
            </w:r>
          </w:p>
        </w:tc>
        <w:tc>
          <w:tcPr>
            <w:tcW w:w="759" w:type="dxa"/>
            <w:tcBorders>
              <w:top w:val="single" w:color="auto" w:sz="4" w:space="0"/>
              <w:left w:val="single" w:color="auto" w:sz="4" w:space="0"/>
              <w:bottom w:val="single" w:color="auto" w:sz="4" w:space="0"/>
              <w:right w:val="single" w:color="auto" w:sz="4" w:space="0"/>
            </w:tcBorders>
            <w:vAlign w:val="center"/>
          </w:tcPr>
          <w:p w14:paraId="1E2AC309">
            <w:pPr>
              <w:snapToGrid w:val="0"/>
              <w:spacing w:before="120" w:after="50"/>
              <w:rPr>
                <w:rFonts w:ascii="宋体" w:hAnsi="宋体" w:cs="宋体"/>
                <w:color w:val="auto"/>
                <w:szCs w:val="21"/>
              </w:rPr>
            </w:pPr>
            <w:r>
              <w:rPr>
                <w:rFonts w:hint="eastAsia" w:ascii="宋体" w:hAnsi="宋体" w:cs="宋体"/>
                <w:color w:val="auto"/>
                <w:szCs w:val="21"/>
              </w:rPr>
              <w:t>数量及单位</w:t>
            </w:r>
          </w:p>
        </w:tc>
        <w:tc>
          <w:tcPr>
            <w:tcW w:w="845" w:type="dxa"/>
            <w:tcBorders>
              <w:top w:val="single" w:color="auto" w:sz="4" w:space="0"/>
              <w:left w:val="single" w:color="auto" w:sz="4" w:space="0"/>
              <w:bottom w:val="single" w:color="auto" w:sz="4" w:space="0"/>
              <w:right w:val="single" w:color="auto" w:sz="4" w:space="0"/>
            </w:tcBorders>
            <w:vAlign w:val="center"/>
          </w:tcPr>
          <w:p w14:paraId="79D29FE6">
            <w:pPr>
              <w:snapToGrid w:val="0"/>
              <w:spacing w:before="120" w:after="50"/>
              <w:rPr>
                <w:rFonts w:ascii="宋体" w:hAnsi="宋体" w:cs="宋体"/>
                <w:color w:val="auto"/>
                <w:szCs w:val="21"/>
              </w:rPr>
            </w:pPr>
            <w:r>
              <w:rPr>
                <w:rFonts w:hint="eastAsia" w:ascii="宋体" w:hAnsi="宋体" w:cs="宋体"/>
                <w:color w:val="auto"/>
                <w:szCs w:val="21"/>
              </w:rPr>
              <w:t>品牌</w:t>
            </w:r>
          </w:p>
        </w:tc>
        <w:tc>
          <w:tcPr>
            <w:tcW w:w="1688" w:type="dxa"/>
            <w:tcBorders>
              <w:top w:val="single" w:color="auto" w:sz="4" w:space="0"/>
              <w:left w:val="single" w:color="auto" w:sz="4" w:space="0"/>
              <w:bottom w:val="single" w:color="auto" w:sz="4" w:space="0"/>
              <w:right w:val="single" w:color="auto" w:sz="4" w:space="0"/>
            </w:tcBorders>
          </w:tcPr>
          <w:p w14:paraId="7FB255B3">
            <w:pPr>
              <w:snapToGrid w:val="0"/>
              <w:spacing w:before="120" w:after="50"/>
              <w:ind w:firstLine="420"/>
              <w:jc w:val="center"/>
              <w:rPr>
                <w:rFonts w:ascii="宋体" w:hAnsi="宋体" w:cs="宋体"/>
                <w:color w:val="auto"/>
                <w:szCs w:val="21"/>
              </w:rPr>
            </w:pPr>
          </w:p>
          <w:p w14:paraId="68700E6F">
            <w:pPr>
              <w:snapToGrid w:val="0"/>
              <w:spacing w:before="120" w:after="50"/>
              <w:ind w:firstLine="420"/>
              <w:rPr>
                <w:rFonts w:ascii="宋体" w:hAnsi="宋体" w:cs="宋体"/>
                <w:color w:val="auto"/>
                <w:szCs w:val="21"/>
              </w:rPr>
            </w:pPr>
            <w:r>
              <w:rPr>
                <w:rFonts w:hint="eastAsia" w:ascii="宋体" w:hAnsi="宋体" w:cs="宋体"/>
                <w:color w:val="auto"/>
                <w:szCs w:val="21"/>
              </w:rPr>
              <w:t>规格型号</w:t>
            </w:r>
          </w:p>
        </w:tc>
        <w:tc>
          <w:tcPr>
            <w:tcW w:w="1177" w:type="dxa"/>
            <w:tcBorders>
              <w:top w:val="single" w:color="auto" w:sz="4" w:space="0"/>
              <w:left w:val="single" w:color="auto" w:sz="4" w:space="0"/>
              <w:bottom w:val="single" w:color="auto" w:sz="4" w:space="0"/>
              <w:right w:val="single" w:color="auto" w:sz="4" w:space="0"/>
            </w:tcBorders>
            <w:vAlign w:val="center"/>
          </w:tcPr>
          <w:p w14:paraId="2B3A462A">
            <w:pPr>
              <w:snapToGrid w:val="0"/>
              <w:spacing w:before="120" w:after="50"/>
              <w:rPr>
                <w:rFonts w:ascii="宋体" w:hAnsi="宋体" w:cs="宋体"/>
                <w:color w:val="auto"/>
                <w:szCs w:val="21"/>
              </w:rPr>
            </w:pPr>
            <w:r>
              <w:rPr>
                <w:rFonts w:hint="eastAsia" w:ascii="宋体" w:hAnsi="宋体" w:cs="宋体"/>
                <w:color w:val="auto"/>
                <w:szCs w:val="21"/>
              </w:rPr>
              <w:t>生产厂家</w:t>
            </w:r>
          </w:p>
        </w:tc>
        <w:tc>
          <w:tcPr>
            <w:tcW w:w="697" w:type="dxa"/>
            <w:tcBorders>
              <w:top w:val="single" w:color="auto" w:sz="4" w:space="0"/>
              <w:left w:val="single" w:color="auto" w:sz="4" w:space="0"/>
              <w:bottom w:val="single" w:color="auto" w:sz="4" w:space="0"/>
              <w:right w:val="single" w:color="auto" w:sz="4" w:space="0"/>
            </w:tcBorders>
            <w:vAlign w:val="center"/>
          </w:tcPr>
          <w:p w14:paraId="7192E643">
            <w:pPr>
              <w:snapToGrid w:val="0"/>
              <w:spacing w:before="120" w:after="50"/>
              <w:rPr>
                <w:rFonts w:ascii="宋体" w:hAnsi="宋体" w:cs="宋体"/>
                <w:color w:val="auto"/>
                <w:szCs w:val="21"/>
              </w:rPr>
            </w:pPr>
            <w:r>
              <w:rPr>
                <w:rFonts w:hint="eastAsia" w:ascii="宋体" w:hAnsi="宋体" w:cs="宋体"/>
                <w:color w:val="auto"/>
                <w:szCs w:val="21"/>
              </w:rPr>
              <w:t>国别</w:t>
            </w:r>
          </w:p>
        </w:tc>
        <w:tc>
          <w:tcPr>
            <w:tcW w:w="1414" w:type="dxa"/>
            <w:tcBorders>
              <w:top w:val="single" w:color="auto" w:sz="4" w:space="0"/>
              <w:left w:val="single" w:color="auto" w:sz="4" w:space="0"/>
              <w:bottom w:val="single" w:color="auto" w:sz="4" w:space="0"/>
              <w:right w:val="single" w:color="auto" w:sz="4" w:space="0"/>
            </w:tcBorders>
            <w:vAlign w:val="center"/>
          </w:tcPr>
          <w:p w14:paraId="408D0AD7">
            <w:pPr>
              <w:snapToGrid w:val="0"/>
              <w:spacing w:before="120" w:after="50"/>
              <w:rPr>
                <w:rFonts w:ascii="宋体" w:hAnsi="宋体" w:cs="宋体"/>
                <w:color w:val="auto"/>
                <w:szCs w:val="21"/>
              </w:rPr>
            </w:pPr>
            <w:r>
              <w:rPr>
                <w:rFonts w:hint="eastAsia" w:ascii="宋体" w:hAnsi="宋体" w:cs="宋体"/>
                <w:color w:val="auto"/>
                <w:szCs w:val="21"/>
              </w:rPr>
              <w:t>参数性能、指标及配置</w:t>
            </w:r>
          </w:p>
        </w:tc>
      </w:tr>
      <w:tr w14:paraId="28AA4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CF5F640">
            <w:pPr>
              <w:snapToGrid w:val="0"/>
              <w:spacing w:before="120" w:after="50"/>
              <w:ind w:firstLine="420"/>
              <w:jc w:val="center"/>
              <w:rPr>
                <w:rFonts w:ascii="宋体" w:hAnsi="宋体" w:cs="宋体"/>
                <w:color w:val="auto"/>
                <w:szCs w:val="21"/>
              </w:rPr>
            </w:pPr>
          </w:p>
        </w:tc>
        <w:tc>
          <w:tcPr>
            <w:tcW w:w="1177" w:type="dxa"/>
            <w:tcBorders>
              <w:top w:val="single" w:color="auto" w:sz="4" w:space="0"/>
              <w:left w:val="single" w:color="auto" w:sz="4" w:space="0"/>
              <w:bottom w:val="single" w:color="auto" w:sz="4" w:space="0"/>
              <w:right w:val="single" w:color="auto" w:sz="4" w:space="0"/>
            </w:tcBorders>
            <w:vAlign w:val="center"/>
          </w:tcPr>
          <w:p w14:paraId="776CE2CA">
            <w:pPr>
              <w:snapToGrid w:val="0"/>
              <w:spacing w:before="120" w:after="50"/>
              <w:ind w:firstLine="420"/>
              <w:jc w:val="center"/>
              <w:rPr>
                <w:rFonts w:ascii="宋体" w:hAnsi="宋体" w:cs="宋体"/>
                <w:color w:val="auto"/>
                <w:szCs w:val="21"/>
              </w:rPr>
            </w:pPr>
          </w:p>
        </w:tc>
        <w:tc>
          <w:tcPr>
            <w:tcW w:w="759" w:type="dxa"/>
            <w:tcBorders>
              <w:top w:val="single" w:color="auto" w:sz="4" w:space="0"/>
              <w:left w:val="single" w:color="auto" w:sz="4" w:space="0"/>
              <w:bottom w:val="single" w:color="auto" w:sz="4" w:space="0"/>
              <w:right w:val="single" w:color="auto" w:sz="4" w:space="0"/>
            </w:tcBorders>
            <w:vAlign w:val="center"/>
          </w:tcPr>
          <w:p w14:paraId="577EBA7F">
            <w:pPr>
              <w:snapToGrid w:val="0"/>
              <w:spacing w:before="120" w:after="50"/>
              <w:ind w:firstLine="420"/>
              <w:jc w:val="center"/>
              <w:rPr>
                <w:rFonts w:ascii="宋体" w:hAnsi="宋体" w:cs="宋体"/>
                <w:color w:val="auto"/>
                <w:szCs w:val="21"/>
              </w:rPr>
            </w:pPr>
          </w:p>
        </w:tc>
        <w:tc>
          <w:tcPr>
            <w:tcW w:w="845" w:type="dxa"/>
            <w:tcBorders>
              <w:top w:val="single" w:color="auto" w:sz="4" w:space="0"/>
              <w:left w:val="single" w:color="auto" w:sz="4" w:space="0"/>
              <w:bottom w:val="single" w:color="auto" w:sz="4" w:space="0"/>
              <w:right w:val="single" w:color="auto" w:sz="4" w:space="0"/>
            </w:tcBorders>
            <w:vAlign w:val="center"/>
          </w:tcPr>
          <w:p w14:paraId="26E4218A">
            <w:pPr>
              <w:snapToGrid w:val="0"/>
              <w:spacing w:before="120" w:after="50"/>
              <w:ind w:firstLine="420"/>
              <w:jc w:val="center"/>
              <w:rPr>
                <w:rFonts w:ascii="宋体" w:hAnsi="宋体" w:cs="宋体"/>
                <w:color w:val="auto"/>
                <w:szCs w:val="21"/>
              </w:rPr>
            </w:pPr>
          </w:p>
        </w:tc>
        <w:tc>
          <w:tcPr>
            <w:tcW w:w="1688" w:type="dxa"/>
            <w:tcBorders>
              <w:top w:val="single" w:color="auto" w:sz="4" w:space="0"/>
              <w:left w:val="single" w:color="auto" w:sz="4" w:space="0"/>
              <w:bottom w:val="single" w:color="auto" w:sz="4" w:space="0"/>
              <w:right w:val="single" w:color="auto" w:sz="4" w:space="0"/>
            </w:tcBorders>
          </w:tcPr>
          <w:p w14:paraId="3FAAE99D">
            <w:pPr>
              <w:snapToGrid w:val="0"/>
              <w:spacing w:before="120" w:after="50"/>
              <w:ind w:firstLine="420"/>
              <w:jc w:val="center"/>
              <w:rPr>
                <w:rFonts w:ascii="宋体" w:hAnsi="宋体" w:cs="宋体"/>
                <w:color w:val="auto"/>
                <w:szCs w:val="21"/>
              </w:rPr>
            </w:pPr>
          </w:p>
        </w:tc>
        <w:tc>
          <w:tcPr>
            <w:tcW w:w="1177" w:type="dxa"/>
            <w:tcBorders>
              <w:top w:val="single" w:color="auto" w:sz="4" w:space="0"/>
              <w:left w:val="single" w:color="auto" w:sz="4" w:space="0"/>
              <w:bottom w:val="single" w:color="auto" w:sz="4" w:space="0"/>
              <w:right w:val="single" w:color="auto" w:sz="4" w:space="0"/>
            </w:tcBorders>
            <w:vAlign w:val="center"/>
          </w:tcPr>
          <w:p w14:paraId="40C309FD">
            <w:pPr>
              <w:snapToGrid w:val="0"/>
              <w:spacing w:before="120" w:after="50"/>
              <w:ind w:firstLine="420"/>
              <w:jc w:val="center"/>
              <w:rPr>
                <w:rFonts w:ascii="宋体" w:hAnsi="宋体" w:cs="宋体"/>
                <w:color w:val="auto"/>
                <w:szCs w:val="21"/>
              </w:rPr>
            </w:pPr>
          </w:p>
        </w:tc>
        <w:tc>
          <w:tcPr>
            <w:tcW w:w="697" w:type="dxa"/>
            <w:tcBorders>
              <w:top w:val="single" w:color="auto" w:sz="4" w:space="0"/>
              <w:left w:val="single" w:color="auto" w:sz="4" w:space="0"/>
              <w:bottom w:val="single" w:color="auto" w:sz="4" w:space="0"/>
              <w:right w:val="single" w:color="auto" w:sz="4" w:space="0"/>
            </w:tcBorders>
            <w:vAlign w:val="center"/>
          </w:tcPr>
          <w:p w14:paraId="2C715040">
            <w:pPr>
              <w:snapToGrid w:val="0"/>
              <w:spacing w:before="120" w:after="50"/>
              <w:ind w:firstLine="420"/>
              <w:jc w:val="center"/>
              <w:rPr>
                <w:rFonts w:ascii="宋体" w:hAnsi="宋体" w:cs="宋体"/>
                <w:color w:val="auto"/>
                <w:szCs w:val="21"/>
              </w:rPr>
            </w:pPr>
          </w:p>
        </w:tc>
        <w:tc>
          <w:tcPr>
            <w:tcW w:w="1414" w:type="dxa"/>
            <w:tcBorders>
              <w:top w:val="single" w:color="auto" w:sz="4" w:space="0"/>
              <w:left w:val="single" w:color="auto" w:sz="4" w:space="0"/>
              <w:bottom w:val="single" w:color="auto" w:sz="4" w:space="0"/>
              <w:right w:val="single" w:color="auto" w:sz="4" w:space="0"/>
            </w:tcBorders>
            <w:vAlign w:val="center"/>
          </w:tcPr>
          <w:p w14:paraId="32E4A092">
            <w:pPr>
              <w:snapToGrid w:val="0"/>
              <w:spacing w:before="120" w:after="50"/>
              <w:ind w:firstLine="420"/>
              <w:jc w:val="center"/>
              <w:rPr>
                <w:rFonts w:ascii="宋体" w:hAnsi="宋体" w:cs="宋体"/>
                <w:color w:val="auto"/>
                <w:szCs w:val="21"/>
              </w:rPr>
            </w:pPr>
          </w:p>
        </w:tc>
      </w:tr>
      <w:tr w14:paraId="692EE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6"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2394C006">
            <w:pPr>
              <w:snapToGrid w:val="0"/>
              <w:spacing w:before="120" w:after="50"/>
              <w:ind w:firstLine="420"/>
              <w:jc w:val="center"/>
              <w:rPr>
                <w:rFonts w:ascii="宋体" w:hAnsi="宋体" w:cs="宋体"/>
                <w:color w:val="auto"/>
                <w:szCs w:val="21"/>
              </w:rPr>
            </w:pPr>
          </w:p>
        </w:tc>
        <w:tc>
          <w:tcPr>
            <w:tcW w:w="1177" w:type="dxa"/>
            <w:tcBorders>
              <w:top w:val="single" w:color="auto" w:sz="4" w:space="0"/>
              <w:left w:val="single" w:color="auto" w:sz="4" w:space="0"/>
              <w:bottom w:val="single" w:color="auto" w:sz="4" w:space="0"/>
              <w:right w:val="single" w:color="auto" w:sz="4" w:space="0"/>
            </w:tcBorders>
            <w:vAlign w:val="center"/>
          </w:tcPr>
          <w:p w14:paraId="71792CD2">
            <w:pPr>
              <w:snapToGrid w:val="0"/>
              <w:spacing w:before="120" w:after="50"/>
              <w:ind w:firstLine="420"/>
              <w:jc w:val="center"/>
              <w:rPr>
                <w:rFonts w:ascii="宋体" w:hAnsi="宋体" w:cs="宋体"/>
                <w:color w:val="auto"/>
                <w:szCs w:val="21"/>
              </w:rPr>
            </w:pPr>
          </w:p>
        </w:tc>
        <w:tc>
          <w:tcPr>
            <w:tcW w:w="759" w:type="dxa"/>
            <w:tcBorders>
              <w:top w:val="single" w:color="auto" w:sz="4" w:space="0"/>
              <w:left w:val="single" w:color="auto" w:sz="4" w:space="0"/>
              <w:bottom w:val="single" w:color="auto" w:sz="4" w:space="0"/>
              <w:right w:val="single" w:color="auto" w:sz="4" w:space="0"/>
            </w:tcBorders>
            <w:vAlign w:val="center"/>
          </w:tcPr>
          <w:p w14:paraId="6DB425D8">
            <w:pPr>
              <w:snapToGrid w:val="0"/>
              <w:spacing w:before="120" w:after="50"/>
              <w:ind w:firstLine="420"/>
              <w:jc w:val="center"/>
              <w:rPr>
                <w:rFonts w:ascii="宋体" w:hAnsi="宋体" w:cs="宋体"/>
                <w:color w:val="auto"/>
                <w:szCs w:val="21"/>
              </w:rPr>
            </w:pPr>
          </w:p>
        </w:tc>
        <w:tc>
          <w:tcPr>
            <w:tcW w:w="845" w:type="dxa"/>
            <w:tcBorders>
              <w:top w:val="single" w:color="auto" w:sz="4" w:space="0"/>
              <w:left w:val="single" w:color="auto" w:sz="4" w:space="0"/>
              <w:bottom w:val="single" w:color="auto" w:sz="4" w:space="0"/>
              <w:right w:val="single" w:color="auto" w:sz="4" w:space="0"/>
            </w:tcBorders>
            <w:vAlign w:val="center"/>
          </w:tcPr>
          <w:p w14:paraId="4A22004A">
            <w:pPr>
              <w:snapToGrid w:val="0"/>
              <w:spacing w:before="120" w:after="50"/>
              <w:ind w:firstLine="420"/>
              <w:jc w:val="center"/>
              <w:rPr>
                <w:rFonts w:ascii="宋体" w:hAnsi="宋体" w:cs="宋体"/>
                <w:color w:val="auto"/>
                <w:szCs w:val="21"/>
              </w:rPr>
            </w:pPr>
          </w:p>
        </w:tc>
        <w:tc>
          <w:tcPr>
            <w:tcW w:w="1688" w:type="dxa"/>
            <w:tcBorders>
              <w:top w:val="single" w:color="auto" w:sz="4" w:space="0"/>
              <w:left w:val="single" w:color="auto" w:sz="4" w:space="0"/>
              <w:bottom w:val="single" w:color="auto" w:sz="4" w:space="0"/>
              <w:right w:val="single" w:color="auto" w:sz="4" w:space="0"/>
            </w:tcBorders>
          </w:tcPr>
          <w:p w14:paraId="7AFA6557">
            <w:pPr>
              <w:snapToGrid w:val="0"/>
              <w:spacing w:before="120" w:after="50"/>
              <w:ind w:firstLine="420"/>
              <w:jc w:val="center"/>
              <w:rPr>
                <w:rFonts w:ascii="宋体" w:hAnsi="宋体" w:cs="宋体"/>
                <w:color w:val="auto"/>
                <w:szCs w:val="21"/>
              </w:rPr>
            </w:pPr>
          </w:p>
        </w:tc>
        <w:tc>
          <w:tcPr>
            <w:tcW w:w="1177" w:type="dxa"/>
            <w:tcBorders>
              <w:top w:val="single" w:color="auto" w:sz="4" w:space="0"/>
              <w:left w:val="single" w:color="auto" w:sz="4" w:space="0"/>
              <w:bottom w:val="single" w:color="auto" w:sz="4" w:space="0"/>
              <w:right w:val="single" w:color="auto" w:sz="4" w:space="0"/>
            </w:tcBorders>
            <w:vAlign w:val="center"/>
          </w:tcPr>
          <w:p w14:paraId="3C6F1507">
            <w:pPr>
              <w:snapToGrid w:val="0"/>
              <w:spacing w:before="120" w:after="50"/>
              <w:ind w:firstLine="420"/>
              <w:jc w:val="center"/>
              <w:rPr>
                <w:rFonts w:ascii="宋体" w:hAnsi="宋体" w:cs="宋体"/>
                <w:color w:val="auto"/>
                <w:szCs w:val="21"/>
              </w:rPr>
            </w:pPr>
          </w:p>
        </w:tc>
        <w:tc>
          <w:tcPr>
            <w:tcW w:w="697" w:type="dxa"/>
            <w:tcBorders>
              <w:top w:val="single" w:color="auto" w:sz="4" w:space="0"/>
              <w:left w:val="single" w:color="auto" w:sz="4" w:space="0"/>
              <w:bottom w:val="single" w:color="auto" w:sz="4" w:space="0"/>
              <w:right w:val="single" w:color="auto" w:sz="4" w:space="0"/>
            </w:tcBorders>
            <w:vAlign w:val="center"/>
          </w:tcPr>
          <w:p w14:paraId="6B71E4F3">
            <w:pPr>
              <w:snapToGrid w:val="0"/>
              <w:spacing w:before="120" w:after="50"/>
              <w:ind w:firstLine="420"/>
              <w:jc w:val="center"/>
              <w:rPr>
                <w:rFonts w:ascii="宋体" w:hAnsi="宋体" w:cs="宋体"/>
                <w:color w:val="auto"/>
                <w:szCs w:val="21"/>
              </w:rPr>
            </w:pPr>
          </w:p>
        </w:tc>
        <w:tc>
          <w:tcPr>
            <w:tcW w:w="1414" w:type="dxa"/>
            <w:tcBorders>
              <w:top w:val="single" w:color="auto" w:sz="4" w:space="0"/>
              <w:left w:val="single" w:color="auto" w:sz="4" w:space="0"/>
              <w:bottom w:val="single" w:color="auto" w:sz="4" w:space="0"/>
              <w:right w:val="single" w:color="auto" w:sz="4" w:space="0"/>
            </w:tcBorders>
            <w:vAlign w:val="center"/>
          </w:tcPr>
          <w:p w14:paraId="0194B812">
            <w:pPr>
              <w:snapToGrid w:val="0"/>
              <w:spacing w:before="120" w:after="50"/>
              <w:ind w:firstLine="420"/>
              <w:jc w:val="center"/>
              <w:rPr>
                <w:rFonts w:ascii="宋体" w:hAnsi="宋体" w:cs="宋体"/>
                <w:color w:val="auto"/>
                <w:szCs w:val="21"/>
              </w:rPr>
            </w:pPr>
          </w:p>
        </w:tc>
      </w:tr>
      <w:tr w14:paraId="7C019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85B6A4E">
            <w:pPr>
              <w:snapToGrid w:val="0"/>
              <w:spacing w:before="120" w:after="50"/>
              <w:ind w:firstLine="420"/>
              <w:jc w:val="center"/>
              <w:rPr>
                <w:rFonts w:ascii="宋体" w:hAnsi="宋体" w:cs="宋体"/>
                <w:color w:val="auto"/>
                <w:szCs w:val="21"/>
              </w:rPr>
            </w:pPr>
          </w:p>
        </w:tc>
        <w:tc>
          <w:tcPr>
            <w:tcW w:w="1177" w:type="dxa"/>
            <w:tcBorders>
              <w:top w:val="single" w:color="auto" w:sz="4" w:space="0"/>
              <w:left w:val="single" w:color="auto" w:sz="4" w:space="0"/>
              <w:bottom w:val="single" w:color="auto" w:sz="4" w:space="0"/>
              <w:right w:val="single" w:color="auto" w:sz="4" w:space="0"/>
            </w:tcBorders>
            <w:vAlign w:val="center"/>
          </w:tcPr>
          <w:p w14:paraId="6600653C">
            <w:pPr>
              <w:snapToGrid w:val="0"/>
              <w:spacing w:before="120" w:after="50"/>
              <w:ind w:firstLine="420"/>
              <w:jc w:val="center"/>
              <w:rPr>
                <w:rFonts w:ascii="宋体" w:hAnsi="宋体" w:cs="宋体"/>
                <w:color w:val="auto"/>
                <w:szCs w:val="21"/>
              </w:rPr>
            </w:pPr>
          </w:p>
        </w:tc>
        <w:tc>
          <w:tcPr>
            <w:tcW w:w="759" w:type="dxa"/>
            <w:tcBorders>
              <w:top w:val="single" w:color="auto" w:sz="4" w:space="0"/>
              <w:left w:val="single" w:color="auto" w:sz="4" w:space="0"/>
              <w:bottom w:val="single" w:color="auto" w:sz="4" w:space="0"/>
              <w:right w:val="single" w:color="auto" w:sz="4" w:space="0"/>
            </w:tcBorders>
            <w:vAlign w:val="center"/>
          </w:tcPr>
          <w:p w14:paraId="393973BE">
            <w:pPr>
              <w:snapToGrid w:val="0"/>
              <w:spacing w:before="120" w:after="50"/>
              <w:ind w:firstLine="420"/>
              <w:jc w:val="center"/>
              <w:rPr>
                <w:rFonts w:ascii="宋体" w:hAnsi="宋体" w:cs="宋体"/>
                <w:color w:val="auto"/>
                <w:szCs w:val="21"/>
              </w:rPr>
            </w:pPr>
          </w:p>
        </w:tc>
        <w:tc>
          <w:tcPr>
            <w:tcW w:w="845" w:type="dxa"/>
            <w:tcBorders>
              <w:top w:val="single" w:color="auto" w:sz="4" w:space="0"/>
              <w:left w:val="single" w:color="auto" w:sz="4" w:space="0"/>
              <w:bottom w:val="single" w:color="auto" w:sz="4" w:space="0"/>
              <w:right w:val="single" w:color="auto" w:sz="4" w:space="0"/>
            </w:tcBorders>
            <w:vAlign w:val="center"/>
          </w:tcPr>
          <w:p w14:paraId="11900B2C">
            <w:pPr>
              <w:snapToGrid w:val="0"/>
              <w:spacing w:before="120" w:after="50"/>
              <w:ind w:firstLine="420"/>
              <w:jc w:val="center"/>
              <w:rPr>
                <w:rFonts w:ascii="宋体" w:hAnsi="宋体" w:cs="宋体"/>
                <w:color w:val="auto"/>
                <w:szCs w:val="21"/>
              </w:rPr>
            </w:pPr>
          </w:p>
        </w:tc>
        <w:tc>
          <w:tcPr>
            <w:tcW w:w="1688" w:type="dxa"/>
            <w:tcBorders>
              <w:top w:val="single" w:color="auto" w:sz="4" w:space="0"/>
              <w:left w:val="single" w:color="auto" w:sz="4" w:space="0"/>
              <w:bottom w:val="single" w:color="auto" w:sz="4" w:space="0"/>
              <w:right w:val="single" w:color="auto" w:sz="4" w:space="0"/>
            </w:tcBorders>
          </w:tcPr>
          <w:p w14:paraId="1604A880">
            <w:pPr>
              <w:snapToGrid w:val="0"/>
              <w:spacing w:before="120" w:after="50"/>
              <w:ind w:firstLine="420"/>
              <w:jc w:val="center"/>
              <w:rPr>
                <w:rFonts w:ascii="宋体" w:hAnsi="宋体" w:cs="宋体"/>
                <w:color w:val="auto"/>
                <w:szCs w:val="21"/>
              </w:rPr>
            </w:pPr>
          </w:p>
        </w:tc>
        <w:tc>
          <w:tcPr>
            <w:tcW w:w="1177" w:type="dxa"/>
            <w:tcBorders>
              <w:top w:val="single" w:color="auto" w:sz="4" w:space="0"/>
              <w:left w:val="single" w:color="auto" w:sz="4" w:space="0"/>
              <w:bottom w:val="single" w:color="auto" w:sz="4" w:space="0"/>
              <w:right w:val="single" w:color="auto" w:sz="4" w:space="0"/>
            </w:tcBorders>
            <w:vAlign w:val="center"/>
          </w:tcPr>
          <w:p w14:paraId="5188B0A1">
            <w:pPr>
              <w:snapToGrid w:val="0"/>
              <w:spacing w:before="120" w:after="50"/>
              <w:ind w:firstLine="420"/>
              <w:jc w:val="center"/>
              <w:rPr>
                <w:rFonts w:ascii="宋体" w:hAnsi="宋体" w:cs="宋体"/>
                <w:color w:val="auto"/>
                <w:szCs w:val="21"/>
              </w:rPr>
            </w:pPr>
          </w:p>
        </w:tc>
        <w:tc>
          <w:tcPr>
            <w:tcW w:w="697" w:type="dxa"/>
            <w:tcBorders>
              <w:top w:val="single" w:color="auto" w:sz="4" w:space="0"/>
              <w:left w:val="single" w:color="auto" w:sz="4" w:space="0"/>
              <w:bottom w:val="single" w:color="auto" w:sz="4" w:space="0"/>
              <w:right w:val="single" w:color="auto" w:sz="4" w:space="0"/>
            </w:tcBorders>
            <w:vAlign w:val="center"/>
          </w:tcPr>
          <w:p w14:paraId="4AD3FC68">
            <w:pPr>
              <w:snapToGrid w:val="0"/>
              <w:spacing w:before="120" w:after="50"/>
              <w:ind w:firstLine="420"/>
              <w:jc w:val="center"/>
              <w:rPr>
                <w:rFonts w:ascii="宋体" w:hAnsi="宋体" w:cs="宋体"/>
                <w:color w:val="auto"/>
                <w:szCs w:val="21"/>
              </w:rPr>
            </w:pPr>
          </w:p>
        </w:tc>
        <w:tc>
          <w:tcPr>
            <w:tcW w:w="1414" w:type="dxa"/>
            <w:tcBorders>
              <w:top w:val="single" w:color="auto" w:sz="4" w:space="0"/>
              <w:left w:val="single" w:color="auto" w:sz="4" w:space="0"/>
              <w:bottom w:val="single" w:color="auto" w:sz="4" w:space="0"/>
              <w:right w:val="single" w:color="auto" w:sz="4" w:space="0"/>
            </w:tcBorders>
            <w:vAlign w:val="center"/>
          </w:tcPr>
          <w:p w14:paraId="5719EE62">
            <w:pPr>
              <w:snapToGrid w:val="0"/>
              <w:spacing w:before="120" w:after="50"/>
              <w:ind w:firstLine="420"/>
              <w:jc w:val="center"/>
              <w:rPr>
                <w:rFonts w:ascii="宋体" w:hAnsi="宋体" w:cs="宋体"/>
                <w:color w:val="auto"/>
                <w:szCs w:val="21"/>
              </w:rPr>
            </w:pPr>
          </w:p>
        </w:tc>
      </w:tr>
    </w:tbl>
    <w:p w14:paraId="0BFCD1CA">
      <w:pPr>
        <w:spacing w:before="120" w:line="360" w:lineRule="auto"/>
        <w:ind w:firstLine="420"/>
        <w:rPr>
          <w:rFonts w:ascii="宋体" w:hAnsi="宋体" w:cs="宋体"/>
          <w:color w:val="auto"/>
          <w:szCs w:val="21"/>
        </w:rPr>
      </w:pPr>
      <w:r>
        <w:rPr>
          <w:rFonts w:hint="eastAsia" w:ascii="宋体" w:hAnsi="宋体" w:cs="宋体"/>
          <w:color w:val="auto"/>
          <w:szCs w:val="21"/>
        </w:rPr>
        <w:t>备注：</w:t>
      </w:r>
    </w:p>
    <w:p w14:paraId="2781B9B2">
      <w:pPr>
        <w:tabs>
          <w:tab w:val="left" w:pos="1065"/>
        </w:tabs>
        <w:adjustRightInd w:val="0"/>
        <w:spacing w:before="120" w:line="360" w:lineRule="auto"/>
        <w:ind w:firstLine="422"/>
        <w:rPr>
          <w:rFonts w:ascii="宋体" w:hAnsi="宋体" w:cs="宋体"/>
          <w:color w:val="auto"/>
          <w:szCs w:val="21"/>
        </w:rPr>
      </w:pPr>
      <w:r>
        <w:rPr>
          <w:rFonts w:hint="eastAsia" w:ascii="宋体" w:hAnsi="宋体" w:cs="宋体"/>
          <w:b/>
          <w:bCs/>
          <w:color w:val="auto"/>
          <w:szCs w:val="21"/>
        </w:rPr>
        <w:t>以上货物配置清单中“标的名称、数量及单位、品牌、规格型号、制造商、原产地、参数性能、指标及配置”必须如实填写完整，品牌、规格型号没有则填无，填写有缺漏的，响应文件按无效处理</w:t>
      </w:r>
      <w:r>
        <w:rPr>
          <w:rFonts w:hint="eastAsia" w:ascii="宋体" w:hAnsi="宋体" w:cs="宋体"/>
          <w:b/>
          <w:color w:val="auto"/>
          <w:szCs w:val="21"/>
        </w:rPr>
        <w:t>。</w:t>
      </w:r>
      <w:r>
        <w:rPr>
          <w:rFonts w:hint="eastAsia" w:ascii="宋体" w:hAnsi="宋体" w:cs="宋体"/>
          <w:color w:val="auto"/>
          <w:szCs w:val="21"/>
        </w:rPr>
        <w:t>标的名称、数量及单位、品牌必须与“竞标报价表”一致，</w:t>
      </w:r>
      <w:r>
        <w:rPr>
          <w:rFonts w:hint="eastAsia" w:ascii="宋体" w:hAnsi="宋体" w:cs="宋体"/>
          <w:bCs/>
          <w:color w:val="auto"/>
          <w:szCs w:val="21"/>
        </w:rPr>
        <w:t>否则响应文件按无效处理</w:t>
      </w:r>
      <w:r>
        <w:rPr>
          <w:rFonts w:hint="eastAsia" w:ascii="宋体" w:hAnsi="宋体" w:cs="宋体"/>
          <w:b/>
          <w:color w:val="auto"/>
          <w:szCs w:val="21"/>
        </w:rPr>
        <w:t>。</w:t>
      </w:r>
    </w:p>
    <w:p w14:paraId="6C848193">
      <w:pPr>
        <w:adjustRightInd w:val="0"/>
        <w:spacing w:before="120" w:line="360" w:lineRule="auto"/>
        <w:ind w:firstLine="420"/>
        <w:jc w:val="left"/>
        <w:rPr>
          <w:rFonts w:ascii="宋体" w:hAnsi="宋体" w:cs="宋体"/>
          <w:color w:val="auto"/>
          <w:szCs w:val="21"/>
        </w:rPr>
      </w:pPr>
    </w:p>
    <w:p w14:paraId="0262212D">
      <w:pPr>
        <w:adjustRightInd w:val="0"/>
        <w:spacing w:before="120" w:line="360" w:lineRule="auto"/>
        <w:ind w:firstLine="420"/>
        <w:jc w:val="left"/>
        <w:rPr>
          <w:rFonts w:ascii="宋体" w:hAnsi="宋体" w:cs="宋体"/>
          <w:color w:val="auto"/>
          <w:szCs w:val="21"/>
        </w:rPr>
      </w:pPr>
    </w:p>
    <w:p w14:paraId="4F9E756D">
      <w:pPr>
        <w:adjustRightInd w:val="0"/>
        <w:spacing w:before="120" w:line="360" w:lineRule="auto"/>
        <w:ind w:firstLine="420"/>
        <w:jc w:val="left"/>
        <w:rPr>
          <w:rFonts w:ascii="宋体" w:hAnsi="宋体" w:cs="宋体"/>
          <w:color w:val="auto"/>
          <w:szCs w:val="21"/>
        </w:rPr>
      </w:pPr>
    </w:p>
    <w:p w14:paraId="4913E55E">
      <w:pPr>
        <w:spacing w:before="120" w:line="360" w:lineRule="auto"/>
        <w:ind w:right="-817" w:rightChars="-389" w:firstLine="420"/>
        <w:contextualSpacing/>
        <w:jc w:val="center"/>
        <w:rPr>
          <w:rFonts w:ascii="宋体" w:hAnsi="宋体" w:cs="宋体"/>
          <w:color w:val="auto"/>
          <w:szCs w:val="21"/>
        </w:rPr>
      </w:pPr>
      <w:r>
        <w:rPr>
          <w:rFonts w:hint="eastAsia" w:ascii="宋体" w:hAnsi="宋体" w:cs="宋体"/>
          <w:color w:val="auto"/>
          <w:szCs w:val="21"/>
        </w:rPr>
        <w:t>法定代表人或者委托代理人（签字或者电子签名）：</w:t>
      </w:r>
    </w:p>
    <w:p w14:paraId="54274A75">
      <w:pPr>
        <w:spacing w:before="120" w:line="360" w:lineRule="auto"/>
        <w:ind w:right="-817" w:rightChars="-389" w:firstLine="2520" w:firstLineChars="1200"/>
        <w:contextualSpacing/>
        <w:rPr>
          <w:rFonts w:ascii="宋体" w:hAnsi="宋体" w:cs="宋体"/>
          <w:color w:val="auto"/>
          <w:szCs w:val="21"/>
        </w:rPr>
      </w:pPr>
      <w:r>
        <w:rPr>
          <w:rFonts w:hint="eastAsia" w:ascii="宋体" w:hAnsi="宋体" w:cs="宋体"/>
          <w:color w:val="auto"/>
          <w:szCs w:val="21"/>
        </w:rPr>
        <w:t xml:space="preserve">供应商（电子签章）：      </w:t>
      </w:r>
    </w:p>
    <w:p w14:paraId="35EB3F29">
      <w:pPr>
        <w:spacing w:before="120" w:line="360" w:lineRule="auto"/>
        <w:ind w:right="-817" w:rightChars="-389" w:firstLine="2520" w:firstLineChars="1200"/>
        <w:contextualSpacing/>
        <w:rPr>
          <w:rFonts w:ascii="宋体" w:hAnsi="宋体" w:cs="宋体"/>
          <w:b/>
          <w:color w:val="auto"/>
          <w:szCs w:val="21"/>
        </w:rPr>
      </w:pPr>
      <w:r>
        <w:rPr>
          <w:rFonts w:hint="eastAsia" w:ascii="宋体" w:hAnsi="宋体" w:cs="宋体"/>
          <w:color w:val="auto"/>
          <w:szCs w:val="21"/>
        </w:rPr>
        <w:t>日期：   年   月   日</w:t>
      </w:r>
    </w:p>
    <w:p w14:paraId="08192028">
      <w:pPr>
        <w:adjustRightInd w:val="0"/>
        <w:snapToGrid w:val="0"/>
        <w:spacing w:before="120" w:line="300" w:lineRule="auto"/>
        <w:ind w:firstLine="420"/>
        <w:rPr>
          <w:rFonts w:ascii="宋体" w:hAnsi="宋体" w:cs="宋体"/>
          <w:color w:val="auto"/>
          <w:szCs w:val="21"/>
          <w:u w:val="single"/>
        </w:rPr>
      </w:pPr>
    </w:p>
    <w:p w14:paraId="35451247">
      <w:pPr>
        <w:adjustRightInd w:val="0"/>
        <w:snapToGrid w:val="0"/>
        <w:spacing w:before="120" w:line="300" w:lineRule="auto"/>
        <w:ind w:firstLine="420"/>
        <w:rPr>
          <w:rFonts w:ascii="宋体" w:hAnsi="宋体" w:cs="宋体"/>
          <w:color w:val="auto"/>
          <w:szCs w:val="21"/>
          <w:u w:val="single"/>
        </w:rPr>
      </w:pPr>
    </w:p>
    <w:p w14:paraId="46BD15B0">
      <w:pPr>
        <w:adjustRightInd w:val="0"/>
        <w:snapToGrid w:val="0"/>
        <w:spacing w:before="120" w:line="300" w:lineRule="auto"/>
        <w:ind w:firstLine="420"/>
        <w:rPr>
          <w:rFonts w:ascii="宋体" w:hAnsi="宋体" w:cs="宋体"/>
          <w:color w:val="auto"/>
          <w:szCs w:val="21"/>
          <w:u w:val="single"/>
        </w:rPr>
      </w:pPr>
    </w:p>
    <w:p w14:paraId="7A3261D0">
      <w:pPr>
        <w:adjustRightInd w:val="0"/>
        <w:snapToGrid w:val="0"/>
        <w:spacing w:before="120" w:line="300" w:lineRule="auto"/>
        <w:ind w:firstLine="420"/>
        <w:rPr>
          <w:rFonts w:ascii="宋体" w:hAnsi="宋体" w:cs="宋体"/>
          <w:color w:val="auto"/>
          <w:szCs w:val="21"/>
          <w:u w:val="single"/>
        </w:rPr>
      </w:pPr>
    </w:p>
    <w:p w14:paraId="5C5B418A">
      <w:pPr>
        <w:adjustRightInd w:val="0"/>
        <w:snapToGrid w:val="0"/>
        <w:spacing w:before="120" w:line="300" w:lineRule="auto"/>
        <w:ind w:firstLine="420"/>
        <w:rPr>
          <w:rFonts w:ascii="宋体" w:hAnsi="宋体" w:cs="宋体"/>
          <w:color w:val="auto"/>
          <w:szCs w:val="21"/>
          <w:u w:val="single"/>
        </w:rPr>
      </w:pPr>
    </w:p>
    <w:p w14:paraId="45519DBC">
      <w:pPr>
        <w:adjustRightInd w:val="0"/>
        <w:snapToGrid w:val="0"/>
        <w:spacing w:before="120" w:line="300" w:lineRule="auto"/>
        <w:ind w:firstLine="420"/>
        <w:rPr>
          <w:rFonts w:ascii="宋体" w:hAnsi="宋体" w:cs="宋体"/>
          <w:color w:val="auto"/>
          <w:szCs w:val="21"/>
          <w:u w:val="single"/>
        </w:rPr>
      </w:pPr>
    </w:p>
    <w:p w14:paraId="4445BD91">
      <w:pPr>
        <w:adjustRightInd w:val="0"/>
        <w:snapToGrid w:val="0"/>
        <w:spacing w:before="120" w:line="300" w:lineRule="auto"/>
        <w:ind w:firstLine="420"/>
        <w:rPr>
          <w:rFonts w:ascii="宋体" w:hAnsi="宋体" w:cs="宋体"/>
          <w:color w:val="auto"/>
          <w:szCs w:val="21"/>
          <w:u w:val="single"/>
        </w:rPr>
      </w:pPr>
    </w:p>
    <w:p w14:paraId="272B28CB">
      <w:pPr>
        <w:adjustRightInd w:val="0"/>
        <w:snapToGrid w:val="0"/>
        <w:spacing w:before="120" w:line="300" w:lineRule="auto"/>
        <w:ind w:firstLine="420"/>
        <w:rPr>
          <w:rFonts w:ascii="宋体" w:hAnsi="宋体" w:cs="宋体"/>
          <w:color w:val="auto"/>
          <w:szCs w:val="21"/>
          <w:u w:val="single"/>
        </w:rPr>
      </w:pPr>
    </w:p>
    <w:p w14:paraId="2C1AEA4F">
      <w:pPr>
        <w:adjustRightInd w:val="0"/>
        <w:snapToGrid w:val="0"/>
        <w:spacing w:before="120" w:line="300" w:lineRule="auto"/>
        <w:jc w:val="center"/>
        <w:rPr>
          <w:rFonts w:ascii="宋体" w:hAnsi="宋体" w:cs="宋体"/>
          <w:bCs/>
          <w:color w:val="auto"/>
          <w:sz w:val="32"/>
          <w:szCs w:val="32"/>
        </w:rPr>
      </w:pPr>
      <w:r>
        <w:rPr>
          <w:rFonts w:hint="eastAsia" w:ascii="宋体" w:hAnsi="宋体" w:cs="宋体"/>
          <w:bCs/>
          <w:color w:val="auto"/>
          <w:sz w:val="32"/>
          <w:szCs w:val="32"/>
        </w:rPr>
        <w:t>技术要求偏离表</w:t>
      </w:r>
    </w:p>
    <w:p w14:paraId="05039CEE">
      <w:pPr>
        <w:spacing w:before="120" w:line="520" w:lineRule="exact"/>
        <w:ind w:firstLine="640"/>
        <w:rPr>
          <w:rFonts w:ascii="宋体" w:hAnsi="宋体" w:cs="宋体"/>
          <w:color w:val="auto"/>
          <w:sz w:val="32"/>
          <w:szCs w:val="32"/>
        </w:rPr>
      </w:pPr>
    </w:p>
    <w:p w14:paraId="584A9AE7">
      <w:pPr>
        <w:spacing w:before="120" w:line="360" w:lineRule="auto"/>
        <w:ind w:firstLine="420"/>
        <w:rPr>
          <w:rFonts w:ascii="宋体" w:hAnsi="宋体" w:cs="宋体"/>
          <w:color w:val="auto"/>
          <w:szCs w:val="21"/>
          <w:u w:val="single"/>
        </w:rPr>
      </w:pPr>
      <w:r>
        <w:rPr>
          <w:rFonts w:hint="eastAsia" w:ascii="宋体" w:hAnsi="宋体" w:cs="宋体"/>
          <w:color w:val="auto"/>
          <w:szCs w:val="21"/>
        </w:rPr>
        <w:t>采购项目编号：</w:t>
      </w:r>
      <w:r>
        <w:rPr>
          <w:rFonts w:hint="eastAsia" w:ascii="宋体" w:hAnsi="宋体" w:cs="宋体"/>
          <w:color w:val="auto"/>
          <w:szCs w:val="21"/>
          <w:u w:val="single"/>
        </w:rPr>
        <w:t xml:space="preserve">                 </w:t>
      </w:r>
    </w:p>
    <w:p w14:paraId="6B58888C">
      <w:pPr>
        <w:spacing w:before="120" w:line="360" w:lineRule="auto"/>
        <w:ind w:firstLine="420"/>
        <w:rPr>
          <w:rFonts w:ascii="宋体" w:hAnsi="宋体" w:cs="宋体"/>
          <w:color w:val="auto"/>
          <w:szCs w:val="21"/>
        </w:rPr>
      </w:pPr>
      <w:r>
        <w:rPr>
          <w:rFonts w:hint="eastAsia" w:ascii="宋体" w:hAnsi="宋体" w:cs="宋体"/>
          <w:color w:val="auto"/>
          <w:szCs w:val="21"/>
        </w:rPr>
        <w:t>采购项目名称：</w:t>
      </w:r>
      <w:r>
        <w:rPr>
          <w:rFonts w:hint="eastAsia" w:ascii="宋体" w:hAnsi="宋体" w:cs="宋体"/>
          <w:color w:val="auto"/>
          <w:szCs w:val="21"/>
          <w:u w:val="single"/>
        </w:rPr>
        <w:t xml:space="preserve">                 </w:t>
      </w:r>
    </w:p>
    <w:p w14:paraId="25D11FB5">
      <w:pPr>
        <w:spacing w:before="120" w:line="360" w:lineRule="auto"/>
        <w:ind w:firstLine="420"/>
        <w:rPr>
          <w:rFonts w:ascii="宋体" w:hAnsi="宋体" w:cs="宋体"/>
          <w:color w:val="auto"/>
          <w:szCs w:val="21"/>
          <w:u w:val="single"/>
        </w:rPr>
      </w:pPr>
      <w:r>
        <w:rPr>
          <w:rFonts w:hint="eastAsia" w:ascii="宋体" w:hAnsi="宋体" w:cs="宋体"/>
          <w:color w:val="auto"/>
          <w:szCs w:val="21"/>
        </w:rPr>
        <w:t>分标号：</w:t>
      </w:r>
      <w:r>
        <w:rPr>
          <w:rFonts w:hint="eastAsia" w:ascii="宋体" w:hAnsi="宋体" w:cs="宋体"/>
          <w:color w:val="auto"/>
          <w:szCs w:val="21"/>
          <w:u w:val="single"/>
        </w:rPr>
        <w:t xml:space="preserve">                       </w:t>
      </w:r>
    </w:p>
    <w:tbl>
      <w:tblPr>
        <w:tblStyle w:val="26"/>
        <w:tblW w:w="809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4"/>
        <w:gridCol w:w="814"/>
        <w:gridCol w:w="2705"/>
        <w:gridCol w:w="2435"/>
        <w:gridCol w:w="1328"/>
      </w:tblGrid>
      <w:tr w14:paraId="7D1597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6" w:hRule="atLeast"/>
          <w:jc w:val="center"/>
        </w:trPr>
        <w:tc>
          <w:tcPr>
            <w:tcW w:w="814" w:type="dxa"/>
            <w:tcBorders>
              <w:top w:val="single" w:color="auto" w:sz="4" w:space="0"/>
              <w:left w:val="single" w:color="auto" w:sz="4" w:space="0"/>
              <w:bottom w:val="single" w:color="auto" w:sz="6" w:space="0"/>
              <w:right w:val="single" w:color="auto" w:sz="6" w:space="0"/>
            </w:tcBorders>
            <w:vAlign w:val="center"/>
          </w:tcPr>
          <w:p w14:paraId="4696729D">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序号</w:t>
            </w:r>
          </w:p>
        </w:tc>
        <w:tc>
          <w:tcPr>
            <w:tcW w:w="814" w:type="dxa"/>
            <w:tcBorders>
              <w:top w:val="single" w:color="auto" w:sz="4" w:space="0"/>
              <w:left w:val="single" w:color="auto" w:sz="6" w:space="0"/>
              <w:bottom w:val="single" w:color="auto" w:sz="6" w:space="0"/>
              <w:right w:val="single" w:color="auto" w:sz="4" w:space="0"/>
            </w:tcBorders>
            <w:vAlign w:val="center"/>
          </w:tcPr>
          <w:p w14:paraId="08C6D082">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名称</w:t>
            </w:r>
          </w:p>
        </w:tc>
        <w:tc>
          <w:tcPr>
            <w:tcW w:w="2705" w:type="dxa"/>
            <w:tcBorders>
              <w:top w:val="single" w:color="auto" w:sz="4" w:space="0"/>
              <w:left w:val="single" w:color="auto" w:sz="4" w:space="0"/>
              <w:bottom w:val="single" w:color="auto" w:sz="6" w:space="0"/>
              <w:right w:val="single" w:color="auto" w:sz="6" w:space="0"/>
            </w:tcBorders>
            <w:vAlign w:val="center"/>
          </w:tcPr>
          <w:p w14:paraId="15D4C0EE">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谈判文件要求</w:t>
            </w:r>
          </w:p>
        </w:tc>
        <w:tc>
          <w:tcPr>
            <w:tcW w:w="2435" w:type="dxa"/>
            <w:tcBorders>
              <w:top w:val="single" w:color="auto" w:sz="4" w:space="0"/>
              <w:left w:val="single" w:color="auto" w:sz="6" w:space="0"/>
              <w:bottom w:val="single" w:color="auto" w:sz="6" w:space="0"/>
              <w:right w:val="single" w:color="auto" w:sz="6" w:space="0"/>
            </w:tcBorders>
            <w:vAlign w:val="center"/>
          </w:tcPr>
          <w:p w14:paraId="6C37DA8A">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竞标响应</w:t>
            </w:r>
          </w:p>
        </w:tc>
        <w:tc>
          <w:tcPr>
            <w:tcW w:w="1328" w:type="dxa"/>
            <w:tcBorders>
              <w:top w:val="single" w:color="auto" w:sz="4" w:space="0"/>
              <w:left w:val="single" w:color="auto" w:sz="6" w:space="0"/>
              <w:bottom w:val="single" w:color="auto" w:sz="6" w:space="0"/>
              <w:right w:val="single" w:color="auto" w:sz="4" w:space="0"/>
            </w:tcBorders>
            <w:vAlign w:val="center"/>
          </w:tcPr>
          <w:p w14:paraId="76A390E6">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偏离说明</w:t>
            </w:r>
          </w:p>
        </w:tc>
      </w:tr>
      <w:tr w14:paraId="5B2F79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9"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14:paraId="04B1C2F6">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1</w:t>
            </w:r>
          </w:p>
        </w:tc>
        <w:tc>
          <w:tcPr>
            <w:tcW w:w="814" w:type="dxa"/>
            <w:tcBorders>
              <w:top w:val="single" w:color="auto" w:sz="6" w:space="0"/>
              <w:left w:val="single" w:color="auto" w:sz="6" w:space="0"/>
              <w:bottom w:val="single" w:color="auto" w:sz="6" w:space="0"/>
              <w:right w:val="single" w:color="auto" w:sz="4" w:space="0"/>
            </w:tcBorders>
            <w:vAlign w:val="center"/>
          </w:tcPr>
          <w:p w14:paraId="464B37B1">
            <w:pPr>
              <w:pStyle w:val="12"/>
              <w:spacing w:before="120" w:line="360" w:lineRule="auto"/>
              <w:ind w:firstLine="0" w:firstLineChars="0"/>
              <w:jc w:val="center"/>
              <w:rPr>
                <w:rFonts w:ascii="宋体" w:hAnsi="宋体" w:eastAsia="宋体" w:cs="宋体"/>
                <w:color w:val="auto"/>
                <w:kern w:val="2"/>
                <w:sz w:val="21"/>
                <w:szCs w:val="21"/>
              </w:rPr>
            </w:pPr>
          </w:p>
        </w:tc>
        <w:tc>
          <w:tcPr>
            <w:tcW w:w="2705" w:type="dxa"/>
            <w:tcBorders>
              <w:top w:val="single" w:color="auto" w:sz="6" w:space="0"/>
              <w:left w:val="single" w:color="auto" w:sz="4" w:space="0"/>
              <w:bottom w:val="single" w:color="auto" w:sz="6" w:space="0"/>
              <w:right w:val="single" w:color="auto" w:sz="6" w:space="0"/>
            </w:tcBorders>
            <w:vAlign w:val="center"/>
          </w:tcPr>
          <w:p w14:paraId="6D2F7BF4">
            <w:pPr>
              <w:pStyle w:val="12"/>
              <w:spacing w:before="120" w:line="360" w:lineRule="auto"/>
              <w:ind w:firstLine="0" w:firstLineChars="0"/>
              <w:jc w:val="center"/>
              <w:rPr>
                <w:rFonts w:ascii="宋体" w:hAnsi="宋体" w:eastAsia="宋体" w:cs="宋体"/>
                <w:color w:val="auto"/>
                <w:kern w:val="2"/>
                <w:sz w:val="21"/>
                <w:szCs w:val="21"/>
              </w:rPr>
            </w:pPr>
          </w:p>
        </w:tc>
        <w:tc>
          <w:tcPr>
            <w:tcW w:w="2435" w:type="dxa"/>
            <w:tcBorders>
              <w:top w:val="single" w:color="auto" w:sz="6" w:space="0"/>
              <w:left w:val="single" w:color="auto" w:sz="6" w:space="0"/>
              <w:bottom w:val="single" w:color="auto" w:sz="6" w:space="0"/>
              <w:right w:val="single" w:color="auto" w:sz="6" w:space="0"/>
            </w:tcBorders>
            <w:vAlign w:val="center"/>
          </w:tcPr>
          <w:p w14:paraId="646279BA">
            <w:pPr>
              <w:pStyle w:val="12"/>
              <w:spacing w:before="120" w:line="360" w:lineRule="auto"/>
              <w:ind w:firstLine="0" w:firstLineChars="0"/>
              <w:jc w:val="center"/>
              <w:rPr>
                <w:rFonts w:ascii="宋体" w:hAnsi="宋体" w:eastAsia="宋体" w:cs="宋体"/>
                <w:color w:val="auto"/>
                <w:kern w:val="2"/>
                <w:sz w:val="21"/>
                <w:szCs w:val="21"/>
              </w:rPr>
            </w:pPr>
          </w:p>
        </w:tc>
        <w:tc>
          <w:tcPr>
            <w:tcW w:w="1328" w:type="dxa"/>
            <w:tcBorders>
              <w:top w:val="single" w:color="auto" w:sz="6" w:space="0"/>
              <w:left w:val="single" w:color="auto" w:sz="6" w:space="0"/>
              <w:bottom w:val="single" w:color="auto" w:sz="6" w:space="0"/>
              <w:right w:val="single" w:color="auto" w:sz="4" w:space="0"/>
            </w:tcBorders>
            <w:vAlign w:val="center"/>
          </w:tcPr>
          <w:p w14:paraId="4B3AC805">
            <w:pPr>
              <w:pStyle w:val="12"/>
              <w:spacing w:before="120" w:line="360" w:lineRule="auto"/>
              <w:ind w:firstLine="0" w:firstLineChars="0"/>
              <w:jc w:val="center"/>
              <w:rPr>
                <w:rFonts w:ascii="宋体" w:hAnsi="宋体" w:eastAsia="宋体" w:cs="宋体"/>
                <w:color w:val="auto"/>
                <w:kern w:val="2"/>
                <w:sz w:val="21"/>
                <w:szCs w:val="21"/>
              </w:rPr>
            </w:pPr>
          </w:p>
        </w:tc>
      </w:tr>
      <w:tr w14:paraId="7D4D2F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9"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14:paraId="1CCB2559">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2</w:t>
            </w:r>
          </w:p>
        </w:tc>
        <w:tc>
          <w:tcPr>
            <w:tcW w:w="814" w:type="dxa"/>
            <w:tcBorders>
              <w:top w:val="single" w:color="auto" w:sz="6" w:space="0"/>
              <w:left w:val="single" w:color="auto" w:sz="6" w:space="0"/>
              <w:bottom w:val="single" w:color="auto" w:sz="6" w:space="0"/>
              <w:right w:val="single" w:color="auto" w:sz="4" w:space="0"/>
            </w:tcBorders>
            <w:vAlign w:val="center"/>
          </w:tcPr>
          <w:p w14:paraId="4BE23315">
            <w:pPr>
              <w:pStyle w:val="12"/>
              <w:spacing w:before="120" w:line="360" w:lineRule="auto"/>
              <w:ind w:firstLine="0" w:firstLineChars="0"/>
              <w:jc w:val="center"/>
              <w:rPr>
                <w:rFonts w:ascii="宋体" w:hAnsi="宋体" w:eastAsia="宋体" w:cs="宋体"/>
                <w:color w:val="auto"/>
                <w:kern w:val="2"/>
                <w:sz w:val="21"/>
                <w:szCs w:val="21"/>
              </w:rPr>
            </w:pPr>
          </w:p>
        </w:tc>
        <w:tc>
          <w:tcPr>
            <w:tcW w:w="2705" w:type="dxa"/>
            <w:tcBorders>
              <w:top w:val="single" w:color="auto" w:sz="6" w:space="0"/>
              <w:left w:val="single" w:color="auto" w:sz="4" w:space="0"/>
              <w:bottom w:val="single" w:color="auto" w:sz="6" w:space="0"/>
              <w:right w:val="single" w:color="auto" w:sz="6" w:space="0"/>
            </w:tcBorders>
            <w:vAlign w:val="center"/>
          </w:tcPr>
          <w:p w14:paraId="28001468">
            <w:pPr>
              <w:pStyle w:val="12"/>
              <w:spacing w:before="120" w:line="360" w:lineRule="auto"/>
              <w:ind w:firstLine="0" w:firstLineChars="0"/>
              <w:jc w:val="center"/>
              <w:rPr>
                <w:rFonts w:ascii="宋体" w:hAnsi="宋体" w:eastAsia="宋体" w:cs="宋体"/>
                <w:color w:val="auto"/>
                <w:kern w:val="2"/>
                <w:sz w:val="21"/>
                <w:szCs w:val="21"/>
              </w:rPr>
            </w:pPr>
          </w:p>
        </w:tc>
        <w:tc>
          <w:tcPr>
            <w:tcW w:w="2435" w:type="dxa"/>
            <w:tcBorders>
              <w:top w:val="single" w:color="auto" w:sz="6" w:space="0"/>
              <w:left w:val="single" w:color="auto" w:sz="6" w:space="0"/>
              <w:bottom w:val="single" w:color="auto" w:sz="6" w:space="0"/>
              <w:right w:val="single" w:color="auto" w:sz="6" w:space="0"/>
            </w:tcBorders>
            <w:vAlign w:val="center"/>
          </w:tcPr>
          <w:p w14:paraId="56DB108F">
            <w:pPr>
              <w:pStyle w:val="12"/>
              <w:spacing w:before="120" w:line="360" w:lineRule="auto"/>
              <w:ind w:firstLine="0" w:firstLineChars="0"/>
              <w:jc w:val="center"/>
              <w:rPr>
                <w:rFonts w:ascii="宋体" w:hAnsi="宋体" w:eastAsia="宋体" w:cs="宋体"/>
                <w:color w:val="auto"/>
                <w:kern w:val="2"/>
                <w:sz w:val="21"/>
                <w:szCs w:val="21"/>
              </w:rPr>
            </w:pPr>
          </w:p>
        </w:tc>
        <w:tc>
          <w:tcPr>
            <w:tcW w:w="1328" w:type="dxa"/>
            <w:tcBorders>
              <w:top w:val="single" w:color="auto" w:sz="6" w:space="0"/>
              <w:left w:val="single" w:color="auto" w:sz="6" w:space="0"/>
              <w:bottom w:val="single" w:color="auto" w:sz="6" w:space="0"/>
              <w:right w:val="single" w:color="auto" w:sz="4" w:space="0"/>
            </w:tcBorders>
            <w:vAlign w:val="center"/>
          </w:tcPr>
          <w:p w14:paraId="00802B50">
            <w:pPr>
              <w:pStyle w:val="12"/>
              <w:spacing w:before="120" w:line="360" w:lineRule="auto"/>
              <w:ind w:firstLine="0" w:firstLineChars="0"/>
              <w:jc w:val="center"/>
              <w:rPr>
                <w:rFonts w:ascii="宋体" w:hAnsi="宋体" w:eastAsia="宋体" w:cs="宋体"/>
                <w:color w:val="auto"/>
                <w:kern w:val="2"/>
                <w:sz w:val="21"/>
                <w:szCs w:val="21"/>
              </w:rPr>
            </w:pPr>
          </w:p>
        </w:tc>
      </w:tr>
      <w:tr w14:paraId="5CC576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9"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14:paraId="49141417">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3</w:t>
            </w:r>
          </w:p>
        </w:tc>
        <w:tc>
          <w:tcPr>
            <w:tcW w:w="814" w:type="dxa"/>
            <w:tcBorders>
              <w:top w:val="single" w:color="auto" w:sz="6" w:space="0"/>
              <w:left w:val="single" w:color="auto" w:sz="6" w:space="0"/>
              <w:bottom w:val="single" w:color="auto" w:sz="6" w:space="0"/>
              <w:right w:val="single" w:color="auto" w:sz="4" w:space="0"/>
            </w:tcBorders>
            <w:vAlign w:val="center"/>
          </w:tcPr>
          <w:p w14:paraId="04B62F9D">
            <w:pPr>
              <w:pStyle w:val="12"/>
              <w:spacing w:before="120" w:line="360" w:lineRule="auto"/>
              <w:ind w:firstLine="0" w:firstLineChars="0"/>
              <w:jc w:val="center"/>
              <w:rPr>
                <w:rFonts w:ascii="宋体" w:hAnsi="宋体" w:eastAsia="宋体" w:cs="宋体"/>
                <w:color w:val="auto"/>
                <w:kern w:val="2"/>
                <w:sz w:val="21"/>
                <w:szCs w:val="21"/>
              </w:rPr>
            </w:pPr>
          </w:p>
        </w:tc>
        <w:tc>
          <w:tcPr>
            <w:tcW w:w="2705" w:type="dxa"/>
            <w:tcBorders>
              <w:top w:val="single" w:color="auto" w:sz="6" w:space="0"/>
              <w:left w:val="single" w:color="auto" w:sz="4" w:space="0"/>
              <w:bottom w:val="single" w:color="auto" w:sz="6" w:space="0"/>
              <w:right w:val="single" w:color="auto" w:sz="6" w:space="0"/>
            </w:tcBorders>
            <w:vAlign w:val="center"/>
          </w:tcPr>
          <w:p w14:paraId="2CCD06D9">
            <w:pPr>
              <w:pStyle w:val="12"/>
              <w:spacing w:before="120" w:line="360" w:lineRule="auto"/>
              <w:ind w:firstLine="0" w:firstLineChars="0"/>
              <w:jc w:val="center"/>
              <w:rPr>
                <w:rFonts w:ascii="宋体" w:hAnsi="宋体" w:eastAsia="宋体" w:cs="宋体"/>
                <w:color w:val="auto"/>
                <w:kern w:val="2"/>
                <w:sz w:val="21"/>
                <w:szCs w:val="21"/>
              </w:rPr>
            </w:pPr>
          </w:p>
        </w:tc>
        <w:tc>
          <w:tcPr>
            <w:tcW w:w="2435" w:type="dxa"/>
            <w:tcBorders>
              <w:top w:val="single" w:color="auto" w:sz="6" w:space="0"/>
              <w:left w:val="single" w:color="auto" w:sz="6" w:space="0"/>
              <w:bottom w:val="single" w:color="auto" w:sz="6" w:space="0"/>
              <w:right w:val="single" w:color="auto" w:sz="6" w:space="0"/>
            </w:tcBorders>
            <w:vAlign w:val="center"/>
          </w:tcPr>
          <w:p w14:paraId="5386BBA0">
            <w:pPr>
              <w:pStyle w:val="12"/>
              <w:spacing w:before="120" w:line="360" w:lineRule="auto"/>
              <w:ind w:firstLine="0" w:firstLineChars="0"/>
              <w:jc w:val="center"/>
              <w:rPr>
                <w:rFonts w:ascii="宋体" w:hAnsi="宋体" w:eastAsia="宋体" w:cs="宋体"/>
                <w:color w:val="auto"/>
                <w:kern w:val="2"/>
                <w:sz w:val="21"/>
                <w:szCs w:val="21"/>
              </w:rPr>
            </w:pPr>
          </w:p>
        </w:tc>
        <w:tc>
          <w:tcPr>
            <w:tcW w:w="1328" w:type="dxa"/>
            <w:tcBorders>
              <w:top w:val="single" w:color="auto" w:sz="6" w:space="0"/>
              <w:left w:val="single" w:color="auto" w:sz="6" w:space="0"/>
              <w:bottom w:val="single" w:color="auto" w:sz="6" w:space="0"/>
              <w:right w:val="single" w:color="auto" w:sz="4" w:space="0"/>
            </w:tcBorders>
            <w:vAlign w:val="center"/>
          </w:tcPr>
          <w:p w14:paraId="0CC088A3">
            <w:pPr>
              <w:pStyle w:val="12"/>
              <w:spacing w:before="120" w:line="360" w:lineRule="auto"/>
              <w:ind w:firstLine="0" w:firstLineChars="0"/>
              <w:jc w:val="center"/>
              <w:rPr>
                <w:rFonts w:ascii="宋体" w:hAnsi="宋体" w:eastAsia="宋体" w:cs="宋体"/>
                <w:color w:val="auto"/>
                <w:kern w:val="2"/>
                <w:sz w:val="21"/>
                <w:szCs w:val="21"/>
              </w:rPr>
            </w:pPr>
          </w:p>
        </w:tc>
      </w:tr>
      <w:tr w14:paraId="73DFF6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9"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14:paraId="64B20A35">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4</w:t>
            </w:r>
          </w:p>
        </w:tc>
        <w:tc>
          <w:tcPr>
            <w:tcW w:w="814" w:type="dxa"/>
            <w:tcBorders>
              <w:top w:val="single" w:color="auto" w:sz="6" w:space="0"/>
              <w:left w:val="single" w:color="auto" w:sz="6" w:space="0"/>
              <w:bottom w:val="single" w:color="auto" w:sz="6" w:space="0"/>
              <w:right w:val="single" w:color="auto" w:sz="4" w:space="0"/>
            </w:tcBorders>
            <w:vAlign w:val="center"/>
          </w:tcPr>
          <w:p w14:paraId="283AA5DE">
            <w:pPr>
              <w:pStyle w:val="12"/>
              <w:spacing w:before="120" w:line="360" w:lineRule="auto"/>
              <w:ind w:firstLine="0" w:firstLineChars="0"/>
              <w:jc w:val="center"/>
              <w:rPr>
                <w:rFonts w:ascii="宋体" w:hAnsi="宋体" w:eastAsia="宋体" w:cs="宋体"/>
                <w:color w:val="auto"/>
                <w:kern w:val="2"/>
                <w:sz w:val="21"/>
                <w:szCs w:val="21"/>
              </w:rPr>
            </w:pPr>
          </w:p>
        </w:tc>
        <w:tc>
          <w:tcPr>
            <w:tcW w:w="2705" w:type="dxa"/>
            <w:tcBorders>
              <w:top w:val="single" w:color="auto" w:sz="6" w:space="0"/>
              <w:left w:val="single" w:color="auto" w:sz="4" w:space="0"/>
              <w:bottom w:val="single" w:color="auto" w:sz="6" w:space="0"/>
              <w:right w:val="single" w:color="auto" w:sz="6" w:space="0"/>
            </w:tcBorders>
            <w:vAlign w:val="center"/>
          </w:tcPr>
          <w:p w14:paraId="64CA9AEE">
            <w:pPr>
              <w:pStyle w:val="12"/>
              <w:spacing w:before="120" w:line="360" w:lineRule="auto"/>
              <w:ind w:firstLine="0" w:firstLineChars="0"/>
              <w:jc w:val="center"/>
              <w:rPr>
                <w:rFonts w:ascii="宋体" w:hAnsi="宋体" w:eastAsia="宋体" w:cs="宋体"/>
                <w:color w:val="auto"/>
                <w:kern w:val="2"/>
                <w:sz w:val="21"/>
                <w:szCs w:val="21"/>
              </w:rPr>
            </w:pPr>
          </w:p>
        </w:tc>
        <w:tc>
          <w:tcPr>
            <w:tcW w:w="2435" w:type="dxa"/>
            <w:tcBorders>
              <w:top w:val="single" w:color="auto" w:sz="6" w:space="0"/>
              <w:left w:val="single" w:color="auto" w:sz="6" w:space="0"/>
              <w:bottom w:val="single" w:color="auto" w:sz="6" w:space="0"/>
              <w:right w:val="single" w:color="auto" w:sz="6" w:space="0"/>
            </w:tcBorders>
            <w:vAlign w:val="center"/>
          </w:tcPr>
          <w:p w14:paraId="753F919B">
            <w:pPr>
              <w:pStyle w:val="12"/>
              <w:spacing w:before="120" w:line="360" w:lineRule="auto"/>
              <w:ind w:firstLine="0" w:firstLineChars="0"/>
              <w:jc w:val="center"/>
              <w:rPr>
                <w:rFonts w:ascii="宋体" w:hAnsi="宋体" w:eastAsia="宋体" w:cs="宋体"/>
                <w:color w:val="auto"/>
                <w:kern w:val="2"/>
                <w:sz w:val="21"/>
                <w:szCs w:val="21"/>
              </w:rPr>
            </w:pPr>
          </w:p>
        </w:tc>
        <w:tc>
          <w:tcPr>
            <w:tcW w:w="1328" w:type="dxa"/>
            <w:tcBorders>
              <w:top w:val="single" w:color="auto" w:sz="6" w:space="0"/>
              <w:left w:val="single" w:color="auto" w:sz="6" w:space="0"/>
              <w:bottom w:val="single" w:color="auto" w:sz="6" w:space="0"/>
              <w:right w:val="single" w:color="auto" w:sz="4" w:space="0"/>
            </w:tcBorders>
            <w:vAlign w:val="center"/>
          </w:tcPr>
          <w:p w14:paraId="6632032E">
            <w:pPr>
              <w:pStyle w:val="12"/>
              <w:spacing w:before="120" w:line="360" w:lineRule="auto"/>
              <w:ind w:firstLine="0" w:firstLineChars="0"/>
              <w:jc w:val="center"/>
              <w:rPr>
                <w:rFonts w:ascii="宋体" w:hAnsi="宋体" w:eastAsia="宋体" w:cs="宋体"/>
                <w:color w:val="auto"/>
                <w:kern w:val="2"/>
                <w:sz w:val="21"/>
                <w:szCs w:val="21"/>
              </w:rPr>
            </w:pPr>
          </w:p>
        </w:tc>
      </w:tr>
      <w:tr w14:paraId="0459D1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9" w:hRule="atLeast"/>
          <w:jc w:val="center"/>
        </w:trPr>
        <w:tc>
          <w:tcPr>
            <w:tcW w:w="814" w:type="dxa"/>
            <w:tcBorders>
              <w:top w:val="single" w:color="auto" w:sz="6" w:space="0"/>
              <w:left w:val="single" w:color="auto" w:sz="4" w:space="0"/>
              <w:bottom w:val="single" w:color="auto" w:sz="6" w:space="0"/>
              <w:right w:val="single" w:color="auto" w:sz="6" w:space="0"/>
            </w:tcBorders>
            <w:vAlign w:val="center"/>
          </w:tcPr>
          <w:p w14:paraId="627C39A8">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5</w:t>
            </w:r>
          </w:p>
        </w:tc>
        <w:tc>
          <w:tcPr>
            <w:tcW w:w="814" w:type="dxa"/>
            <w:tcBorders>
              <w:top w:val="single" w:color="auto" w:sz="6" w:space="0"/>
              <w:left w:val="single" w:color="auto" w:sz="6" w:space="0"/>
              <w:bottom w:val="single" w:color="auto" w:sz="6" w:space="0"/>
              <w:right w:val="single" w:color="auto" w:sz="4" w:space="0"/>
            </w:tcBorders>
            <w:vAlign w:val="center"/>
          </w:tcPr>
          <w:p w14:paraId="4A4E6895">
            <w:pPr>
              <w:pStyle w:val="12"/>
              <w:spacing w:before="120" w:line="360" w:lineRule="auto"/>
              <w:ind w:firstLine="0" w:firstLineChars="0"/>
              <w:jc w:val="center"/>
              <w:rPr>
                <w:rFonts w:ascii="宋体" w:hAnsi="宋体" w:eastAsia="宋体" w:cs="宋体"/>
                <w:color w:val="auto"/>
                <w:kern w:val="2"/>
                <w:sz w:val="21"/>
                <w:szCs w:val="21"/>
              </w:rPr>
            </w:pPr>
          </w:p>
        </w:tc>
        <w:tc>
          <w:tcPr>
            <w:tcW w:w="2705" w:type="dxa"/>
            <w:tcBorders>
              <w:top w:val="single" w:color="auto" w:sz="6" w:space="0"/>
              <w:left w:val="single" w:color="auto" w:sz="4" w:space="0"/>
              <w:bottom w:val="single" w:color="auto" w:sz="6" w:space="0"/>
              <w:right w:val="single" w:color="auto" w:sz="6" w:space="0"/>
            </w:tcBorders>
            <w:vAlign w:val="center"/>
          </w:tcPr>
          <w:p w14:paraId="5AC760DA">
            <w:pPr>
              <w:pStyle w:val="12"/>
              <w:spacing w:before="120" w:line="360" w:lineRule="auto"/>
              <w:ind w:firstLine="0" w:firstLineChars="0"/>
              <w:jc w:val="center"/>
              <w:rPr>
                <w:rFonts w:ascii="宋体" w:hAnsi="宋体" w:eastAsia="宋体" w:cs="宋体"/>
                <w:color w:val="auto"/>
                <w:kern w:val="2"/>
                <w:sz w:val="21"/>
                <w:szCs w:val="21"/>
              </w:rPr>
            </w:pPr>
          </w:p>
        </w:tc>
        <w:tc>
          <w:tcPr>
            <w:tcW w:w="2435" w:type="dxa"/>
            <w:tcBorders>
              <w:top w:val="single" w:color="auto" w:sz="6" w:space="0"/>
              <w:left w:val="single" w:color="auto" w:sz="6" w:space="0"/>
              <w:bottom w:val="single" w:color="auto" w:sz="6" w:space="0"/>
              <w:right w:val="single" w:color="auto" w:sz="6" w:space="0"/>
            </w:tcBorders>
            <w:vAlign w:val="center"/>
          </w:tcPr>
          <w:p w14:paraId="6645B211">
            <w:pPr>
              <w:pStyle w:val="12"/>
              <w:spacing w:before="120" w:line="360" w:lineRule="auto"/>
              <w:ind w:firstLine="0" w:firstLineChars="0"/>
              <w:jc w:val="center"/>
              <w:rPr>
                <w:rFonts w:ascii="宋体" w:hAnsi="宋体" w:eastAsia="宋体" w:cs="宋体"/>
                <w:color w:val="auto"/>
                <w:kern w:val="2"/>
                <w:sz w:val="21"/>
                <w:szCs w:val="21"/>
              </w:rPr>
            </w:pPr>
          </w:p>
        </w:tc>
        <w:tc>
          <w:tcPr>
            <w:tcW w:w="1328" w:type="dxa"/>
            <w:tcBorders>
              <w:top w:val="single" w:color="auto" w:sz="6" w:space="0"/>
              <w:left w:val="single" w:color="auto" w:sz="6" w:space="0"/>
              <w:bottom w:val="single" w:color="auto" w:sz="6" w:space="0"/>
              <w:right w:val="single" w:color="auto" w:sz="4" w:space="0"/>
            </w:tcBorders>
            <w:vAlign w:val="center"/>
          </w:tcPr>
          <w:p w14:paraId="655DD63D">
            <w:pPr>
              <w:pStyle w:val="12"/>
              <w:spacing w:before="120" w:line="360" w:lineRule="auto"/>
              <w:ind w:firstLine="0" w:firstLineChars="0"/>
              <w:jc w:val="center"/>
              <w:rPr>
                <w:rFonts w:ascii="宋体" w:hAnsi="宋体" w:eastAsia="宋体" w:cs="宋体"/>
                <w:color w:val="auto"/>
                <w:kern w:val="2"/>
                <w:sz w:val="21"/>
                <w:szCs w:val="21"/>
              </w:rPr>
            </w:pPr>
          </w:p>
        </w:tc>
      </w:tr>
      <w:tr w14:paraId="7AB74E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814" w:type="dxa"/>
            <w:tcBorders>
              <w:top w:val="single" w:color="auto" w:sz="6" w:space="0"/>
              <w:left w:val="single" w:color="auto" w:sz="4" w:space="0"/>
              <w:bottom w:val="single" w:color="auto" w:sz="4" w:space="0"/>
              <w:right w:val="single" w:color="auto" w:sz="6" w:space="0"/>
            </w:tcBorders>
            <w:vAlign w:val="center"/>
          </w:tcPr>
          <w:p w14:paraId="6238ACB3">
            <w:pPr>
              <w:pStyle w:val="12"/>
              <w:spacing w:before="120" w:line="360" w:lineRule="auto"/>
              <w:ind w:firstLine="0" w:firstLineChars="0"/>
              <w:jc w:val="center"/>
              <w:rPr>
                <w:rFonts w:ascii="宋体" w:hAnsi="宋体" w:eastAsia="宋体" w:cs="宋体"/>
                <w:color w:val="auto"/>
                <w:kern w:val="2"/>
                <w:sz w:val="21"/>
                <w:szCs w:val="21"/>
              </w:rPr>
            </w:pPr>
            <w:r>
              <w:rPr>
                <w:rFonts w:hint="eastAsia" w:ascii="宋体" w:hAnsi="宋体" w:eastAsia="宋体" w:cs="宋体"/>
                <w:color w:val="auto"/>
                <w:kern w:val="2"/>
                <w:sz w:val="21"/>
                <w:szCs w:val="21"/>
              </w:rPr>
              <w:t>…</w:t>
            </w:r>
          </w:p>
        </w:tc>
        <w:tc>
          <w:tcPr>
            <w:tcW w:w="814" w:type="dxa"/>
            <w:tcBorders>
              <w:top w:val="single" w:color="auto" w:sz="6" w:space="0"/>
              <w:left w:val="single" w:color="auto" w:sz="6" w:space="0"/>
              <w:bottom w:val="single" w:color="auto" w:sz="4" w:space="0"/>
              <w:right w:val="single" w:color="auto" w:sz="4" w:space="0"/>
            </w:tcBorders>
            <w:vAlign w:val="center"/>
          </w:tcPr>
          <w:p w14:paraId="5C155EED">
            <w:pPr>
              <w:pStyle w:val="12"/>
              <w:spacing w:before="120" w:line="360" w:lineRule="auto"/>
              <w:ind w:firstLine="0" w:firstLineChars="0"/>
              <w:jc w:val="center"/>
              <w:rPr>
                <w:rFonts w:ascii="宋体" w:hAnsi="宋体" w:eastAsia="宋体" w:cs="宋体"/>
                <w:color w:val="auto"/>
                <w:kern w:val="2"/>
                <w:sz w:val="21"/>
                <w:szCs w:val="21"/>
              </w:rPr>
            </w:pPr>
          </w:p>
        </w:tc>
        <w:tc>
          <w:tcPr>
            <w:tcW w:w="2705" w:type="dxa"/>
            <w:tcBorders>
              <w:top w:val="single" w:color="auto" w:sz="6" w:space="0"/>
              <w:left w:val="single" w:color="auto" w:sz="4" w:space="0"/>
              <w:bottom w:val="single" w:color="auto" w:sz="4" w:space="0"/>
              <w:right w:val="single" w:color="auto" w:sz="6" w:space="0"/>
            </w:tcBorders>
            <w:vAlign w:val="center"/>
          </w:tcPr>
          <w:p w14:paraId="048B676F">
            <w:pPr>
              <w:pStyle w:val="12"/>
              <w:spacing w:before="120" w:line="360" w:lineRule="auto"/>
              <w:ind w:firstLine="0" w:firstLineChars="0"/>
              <w:jc w:val="center"/>
              <w:rPr>
                <w:rFonts w:ascii="宋体" w:hAnsi="宋体" w:eastAsia="宋体" w:cs="宋体"/>
                <w:color w:val="auto"/>
                <w:kern w:val="2"/>
                <w:sz w:val="21"/>
                <w:szCs w:val="21"/>
              </w:rPr>
            </w:pPr>
          </w:p>
        </w:tc>
        <w:tc>
          <w:tcPr>
            <w:tcW w:w="2435" w:type="dxa"/>
            <w:tcBorders>
              <w:top w:val="single" w:color="auto" w:sz="6" w:space="0"/>
              <w:left w:val="single" w:color="auto" w:sz="6" w:space="0"/>
              <w:bottom w:val="single" w:color="auto" w:sz="4" w:space="0"/>
              <w:right w:val="single" w:color="auto" w:sz="6" w:space="0"/>
            </w:tcBorders>
            <w:vAlign w:val="center"/>
          </w:tcPr>
          <w:p w14:paraId="61CB20A6">
            <w:pPr>
              <w:pStyle w:val="12"/>
              <w:spacing w:before="120" w:line="360" w:lineRule="auto"/>
              <w:ind w:firstLine="0" w:firstLineChars="0"/>
              <w:jc w:val="center"/>
              <w:rPr>
                <w:rFonts w:ascii="宋体" w:hAnsi="宋体" w:eastAsia="宋体" w:cs="宋体"/>
                <w:color w:val="auto"/>
                <w:kern w:val="2"/>
                <w:sz w:val="21"/>
                <w:szCs w:val="21"/>
              </w:rPr>
            </w:pPr>
          </w:p>
        </w:tc>
        <w:tc>
          <w:tcPr>
            <w:tcW w:w="1328" w:type="dxa"/>
            <w:tcBorders>
              <w:top w:val="single" w:color="auto" w:sz="6" w:space="0"/>
              <w:left w:val="single" w:color="auto" w:sz="6" w:space="0"/>
              <w:bottom w:val="single" w:color="auto" w:sz="4" w:space="0"/>
              <w:right w:val="single" w:color="auto" w:sz="4" w:space="0"/>
            </w:tcBorders>
            <w:vAlign w:val="center"/>
          </w:tcPr>
          <w:p w14:paraId="0E4C26F1">
            <w:pPr>
              <w:pStyle w:val="12"/>
              <w:spacing w:before="120" w:line="360" w:lineRule="auto"/>
              <w:ind w:firstLine="0" w:firstLineChars="0"/>
              <w:jc w:val="center"/>
              <w:rPr>
                <w:rFonts w:ascii="宋体" w:hAnsi="宋体" w:eastAsia="宋体" w:cs="宋体"/>
                <w:color w:val="auto"/>
                <w:kern w:val="2"/>
                <w:sz w:val="21"/>
                <w:szCs w:val="21"/>
              </w:rPr>
            </w:pPr>
          </w:p>
        </w:tc>
      </w:tr>
    </w:tbl>
    <w:p w14:paraId="416CE40A">
      <w:pPr>
        <w:pStyle w:val="12"/>
        <w:spacing w:before="120" w:line="360" w:lineRule="auto"/>
        <w:ind w:firstLine="0" w:firstLineChars="0"/>
        <w:rPr>
          <w:rFonts w:ascii="宋体" w:hAnsi="宋体" w:eastAsia="宋体" w:cs="宋体"/>
          <w:color w:val="auto"/>
          <w:sz w:val="21"/>
          <w:szCs w:val="21"/>
        </w:rPr>
      </w:pPr>
      <w:r>
        <w:rPr>
          <w:rFonts w:hint="eastAsia" w:ascii="宋体" w:hAnsi="宋体" w:eastAsia="宋体" w:cs="宋体"/>
          <w:color w:val="auto"/>
          <w:sz w:val="21"/>
          <w:szCs w:val="21"/>
        </w:rPr>
        <w:t>注：</w:t>
      </w:r>
    </w:p>
    <w:p w14:paraId="369FE241">
      <w:pPr>
        <w:pStyle w:val="12"/>
        <w:spacing w:before="120" w:line="360" w:lineRule="auto"/>
        <w:ind w:firstLine="0" w:firstLineChars="0"/>
        <w:rPr>
          <w:rFonts w:ascii="宋体" w:hAnsi="宋体" w:eastAsia="宋体" w:cs="宋体"/>
          <w:color w:val="auto"/>
          <w:sz w:val="21"/>
          <w:szCs w:val="21"/>
        </w:rPr>
      </w:pPr>
      <w:r>
        <w:rPr>
          <w:rFonts w:hint="eastAsia" w:ascii="宋体" w:hAnsi="宋体" w:eastAsia="宋体" w:cs="宋体"/>
          <w:color w:val="auto"/>
          <w:sz w:val="21"/>
          <w:szCs w:val="21"/>
        </w:rPr>
        <w:t>1. 说明：应对照谈判文件“第三章 采购需求”中的技术要求逐条实质性响应，并作出偏离说明。</w:t>
      </w:r>
    </w:p>
    <w:p w14:paraId="04AFC9C3">
      <w:pPr>
        <w:pStyle w:val="12"/>
        <w:spacing w:before="120" w:line="360" w:lineRule="auto"/>
        <w:ind w:firstLine="0" w:firstLineChars="0"/>
        <w:rPr>
          <w:rFonts w:ascii="宋体" w:hAnsi="宋体" w:eastAsia="宋体" w:cs="宋体"/>
          <w:color w:val="auto"/>
          <w:sz w:val="21"/>
          <w:szCs w:val="21"/>
        </w:rPr>
      </w:pPr>
      <w:r>
        <w:rPr>
          <w:rFonts w:hint="eastAsia" w:ascii="宋体" w:hAnsi="宋体" w:eastAsia="宋体" w:cs="宋体"/>
          <w:color w:val="auto"/>
          <w:sz w:val="21"/>
          <w:szCs w:val="21"/>
        </w:rPr>
        <w:t>2.供应商应根据竞标设备的性能指标，对照谈判文件要求，在“偏离说明”中注明“正偏离”、“负偏离”或者“无偏离”。既不属于“正偏离”也不属于“负偏离”即为“无偏离”。</w:t>
      </w:r>
    </w:p>
    <w:p w14:paraId="25DE6157">
      <w:pPr>
        <w:pStyle w:val="12"/>
        <w:spacing w:before="120" w:line="360" w:lineRule="auto"/>
        <w:ind w:firstLine="0" w:firstLineChars="0"/>
        <w:rPr>
          <w:rFonts w:ascii="宋体" w:hAnsi="宋体" w:eastAsia="宋体" w:cs="宋体"/>
          <w:color w:val="auto"/>
          <w:sz w:val="21"/>
          <w:szCs w:val="21"/>
        </w:rPr>
      </w:pPr>
      <w:r>
        <w:rPr>
          <w:rFonts w:hint="eastAsia" w:ascii="宋体" w:hAnsi="宋体" w:eastAsia="宋体" w:cs="宋体"/>
          <w:color w:val="auto"/>
          <w:sz w:val="21"/>
          <w:szCs w:val="21"/>
        </w:rPr>
        <w:t>3.供应商认为其竞标响应有正偏离的，请在技术要求偏离表中列明，且在响应文件中提供竞标产品的彩页或国家认可有资质的第三方检测机构出具的检测报告复印件或产品生产厂家出具的技术参数说明证明作为佐证，以上佐证材料均需加盖生产厂家或代理商（附生产厂家授权资料）公章。</w:t>
      </w:r>
    </w:p>
    <w:p w14:paraId="7FF9B3A0">
      <w:pPr>
        <w:pStyle w:val="12"/>
        <w:spacing w:before="120" w:line="360" w:lineRule="auto"/>
        <w:ind w:firstLine="0" w:firstLineChars="0"/>
        <w:rPr>
          <w:rFonts w:ascii="宋体" w:hAnsi="宋体" w:eastAsia="宋体" w:cs="宋体"/>
          <w:color w:val="auto"/>
          <w:sz w:val="21"/>
          <w:szCs w:val="21"/>
        </w:rPr>
      </w:pPr>
      <w:r>
        <w:rPr>
          <w:rFonts w:hint="eastAsia" w:ascii="宋体" w:hAnsi="宋体" w:eastAsia="宋体" w:cs="宋体"/>
          <w:color w:val="auto"/>
          <w:sz w:val="21"/>
          <w:szCs w:val="21"/>
        </w:rPr>
        <w:t>4. 如技术要求偏离表中的竞标响应与佐证材料不一致的，以佐证材料为准。</w:t>
      </w:r>
    </w:p>
    <w:p w14:paraId="6BCCE043">
      <w:pPr>
        <w:spacing w:before="120" w:line="360" w:lineRule="auto"/>
        <w:ind w:firstLine="420"/>
        <w:jc w:val="left"/>
        <w:rPr>
          <w:rFonts w:ascii="宋体" w:hAnsi="宋体" w:cs="宋体"/>
          <w:color w:val="auto"/>
          <w:kern w:val="0"/>
          <w:szCs w:val="21"/>
        </w:rPr>
      </w:pPr>
      <w:r>
        <w:rPr>
          <w:rFonts w:hint="eastAsia" w:ascii="宋体" w:hAnsi="宋体" w:cs="宋体"/>
          <w:color w:val="auto"/>
          <w:szCs w:val="21"/>
        </w:rPr>
        <w:t>5.</w:t>
      </w:r>
      <w:r>
        <w:rPr>
          <w:rFonts w:hint="eastAsia" w:ascii="宋体" w:hAnsi="宋体" w:cs="宋体"/>
          <w:color w:val="auto"/>
          <w:kern w:val="0"/>
          <w:szCs w:val="21"/>
        </w:rPr>
        <w:t>不按照要求填写响应内容的或者仅填写“满足或者响应”的，均按无效竞标处理。</w:t>
      </w:r>
    </w:p>
    <w:p w14:paraId="009A9171">
      <w:pPr>
        <w:pStyle w:val="12"/>
        <w:spacing w:before="120" w:line="360" w:lineRule="auto"/>
        <w:ind w:firstLine="0" w:firstLineChars="0"/>
        <w:rPr>
          <w:rFonts w:ascii="宋体" w:hAnsi="宋体" w:eastAsia="宋体" w:cs="宋体"/>
          <w:color w:val="auto"/>
          <w:sz w:val="21"/>
          <w:szCs w:val="21"/>
        </w:rPr>
      </w:pPr>
    </w:p>
    <w:p w14:paraId="0E7DB65F">
      <w:pPr>
        <w:spacing w:before="120" w:line="360" w:lineRule="auto"/>
        <w:ind w:right="-817" w:rightChars="-389" w:firstLine="420"/>
        <w:contextualSpacing/>
        <w:jc w:val="center"/>
        <w:rPr>
          <w:rFonts w:ascii="宋体" w:hAnsi="宋体" w:cs="宋体"/>
          <w:color w:val="auto"/>
          <w:szCs w:val="21"/>
        </w:rPr>
      </w:pPr>
      <w:r>
        <w:rPr>
          <w:rFonts w:hint="eastAsia" w:ascii="宋体" w:hAnsi="宋体" w:cs="宋体"/>
          <w:color w:val="auto"/>
          <w:szCs w:val="21"/>
        </w:rPr>
        <w:t>法定代表人或者委托代理人（签字或者电子签名）：</w:t>
      </w:r>
    </w:p>
    <w:p w14:paraId="287E7EA4">
      <w:pPr>
        <w:spacing w:before="120" w:line="360" w:lineRule="auto"/>
        <w:ind w:right="-817" w:rightChars="-389" w:firstLine="2520" w:firstLineChars="1200"/>
        <w:contextualSpacing/>
        <w:rPr>
          <w:rFonts w:ascii="宋体" w:hAnsi="宋体" w:cs="宋体"/>
          <w:color w:val="auto"/>
          <w:szCs w:val="21"/>
        </w:rPr>
      </w:pPr>
      <w:r>
        <w:rPr>
          <w:rFonts w:hint="eastAsia" w:ascii="宋体" w:hAnsi="宋体" w:cs="宋体"/>
          <w:color w:val="auto"/>
          <w:szCs w:val="21"/>
        </w:rPr>
        <w:t xml:space="preserve">供应商（电子签章）：      </w:t>
      </w:r>
    </w:p>
    <w:p w14:paraId="049AF052">
      <w:pPr>
        <w:spacing w:before="120" w:line="360" w:lineRule="auto"/>
        <w:ind w:right="-817" w:rightChars="-389" w:firstLine="2520" w:firstLineChars="1200"/>
        <w:contextualSpacing/>
        <w:rPr>
          <w:rFonts w:ascii="宋体" w:hAnsi="宋体" w:cs="宋体"/>
          <w:color w:val="auto"/>
          <w:szCs w:val="21"/>
        </w:rPr>
      </w:pPr>
      <w:r>
        <w:rPr>
          <w:rFonts w:hint="eastAsia" w:ascii="宋体" w:hAnsi="宋体" w:cs="宋体"/>
          <w:color w:val="auto"/>
          <w:szCs w:val="21"/>
        </w:rPr>
        <w:t>日期：   年   月   日</w:t>
      </w:r>
    </w:p>
    <w:p w14:paraId="1E31A6C1">
      <w:pPr>
        <w:spacing w:before="120" w:line="300" w:lineRule="auto"/>
        <w:ind w:firstLine="482"/>
        <w:rPr>
          <w:rFonts w:ascii="宋体" w:hAnsi="宋体" w:cs="宋体"/>
          <w:color w:val="auto"/>
          <w:szCs w:val="21"/>
        </w:rPr>
      </w:pPr>
      <w:r>
        <w:rPr>
          <w:rFonts w:hint="eastAsia" w:ascii="宋体" w:hAnsi="宋体" w:cs="宋体"/>
          <w:b/>
          <w:bCs/>
          <w:color w:val="auto"/>
          <w:sz w:val="24"/>
        </w:rPr>
        <w:br w:type="page"/>
      </w:r>
      <w:r>
        <w:rPr>
          <w:rFonts w:hint="eastAsia" w:ascii="宋体" w:hAnsi="宋体" w:cs="宋体"/>
          <w:b/>
          <w:bCs/>
          <w:color w:val="auto"/>
          <w:sz w:val="24"/>
        </w:rPr>
        <w:t>其他文书、文件格式</w:t>
      </w:r>
    </w:p>
    <w:p w14:paraId="525B7011">
      <w:pPr>
        <w:adjustRightInd w:val="0"/>
        <w:snapToGrid w:val="0"/>
        <w:spacing w:before="120" w:line="300" w:lineRule="auto"/>
        <w:jc w:val="center"/>
        <w:rPr>
          <w:rFonts w:ascii="宋体" w:hAnsi="宋体" w:cs="宋体"/>
          <w:bCs/>
          <w:color w:val="auto"/>
          <w:sz w:val="32"/>
          <w:szCs w:val="32"/>
        </w:rPr>
      </w:pPr>
      <w:bookmarkStart w:id="80" w:name="_Toc71366061"/>
      <w:bookmarkStart w:id="81" w:name="_Toc71365383"/>
      <w:r>
        <w:rPr>
          <w:rFonts w:hint="eastAsia" w:ascii="宋体" w:hAnsi="宋体" w:cs="宋体"/>
          <w:bCs/>
          <w:color w:val="auto"/>
          <w:sz w:val="32"/>
          <w:szCs w:val="32"/>
        </w:rPr>
        <w:t>中小企业声明函（货物）</w:t>
      </w:r>
      <w:bookmarkEnd w:id="80"/>
      <w:bookmarkEnd w:id="81"/>
    </w:p>
    <w:p w14:paraId="0858E82B">
      <w:pPr>
        <w:spacing w:before="120"/>
        <w:ind w:firstLine="420"/>
        <w:rPr>
          <w:rFonts w:ascii="宋体" w:hAnsi="宋体" w:cs="宋体"/>
          <w:color w:val="auto"/>
          <w:szCs w:val="21"/>
        </w:rPr>
      </w:pPr>
    </w:p>
    <w:p w14:paraId="7A5E88B5">
      <w:pPr>
        <w:pStyle w:val="11"/>
        <w:spacing w:before="120" w:after="0" w:line="360" w:lineRule="auto"/>
        <w:ind w:left="-426" w:right="142" w:firstLine="420"/>
        <w:contextualSpacing/>
        <w:rPr>
          <w:rFonts w:ascii="宋体" w:hAnsi="宋体" w:cs="宋体"/>
          <w:color w:val="auto"/>
          <w:szCs w:val="21"/>
        </w:rPr>
      </w:pPr>
      <w:r>
        <w:rPr>
          <w:rFonts w:hint="eastAsia" w:ascii="宋体" w:hAnsi="宋体" w:cs="宋体"/>
          <w:color w:val="auto"/>
          <w:szCs w:val="21"/>
        </w:rPr>
        <w:t>本公司（联合体）郑重声明，根据《政府采购促进中小企业发展管理办法》（财库﹝2020﹞46号）的规定，本公司（联合体）参加</w:t>
      </w:r>
      <w:r>
        <w:rPr>
          <w:rFonts w:hint="eastAsia" w:ascii="宋体" w:hAnsi="宋体" w:cs="宋体"/>
          <w:color w:val="auto"/>
          <w:szCs w:val="21"/>
          <w:u w:val="single"/>
        </w:rPr>
        <w:t>（单位名称）</w:t>
      </w:r>
      <w:r>
        <w:rPr>
          <w:rFonts w:hint="eastAsia" w:ascii="宋体" w:hAnsi="宋体" w:cs="宋体"/>
          <w:color w:val="auto"/>
          <w:szCs w:val="21"/>
        </w:rPr>
        <w:t>的</w:t>
      </w:r>
      <w:r>
        <w:rPr>
          <w:rFonts w:hint="eastAsia" w:ascii="宋体" w:hAnsi="宋体" w:cs="宋体"/>
          <w:color w:val="auto"/>
          <w:szCs w:val="21"/>
          <w:u w:val="single"/>
        </w:rPr>
        <w:t>（项目名称）</w:t>
      </w:r>
      <w:r>
        <w:rPr>
          <w:rFonts w:hint="eastAsia" w:ascii="宋体" w:hAnsi="宋体" w:cs="宋体"/>
          <w:color w:val="auto"/>
          <w:szCs w:val="21"/>
        </w:rPr>
        <w:t>采购活动，提供的货物全部由符合政策要求的中小企业制造。相关企业（含联合体中的中小企业、签订分包意向协议的中小企业）的具体情况如下：</w:t>
      </w:r>
    </w:p>
    <w:p w14:paraId="2D4297E3">
      <w:pPr>
        <w:tabs>
          <w:tab w:val="left" w:pos="1384"/>
          <w:tab w:val="left" w:pos="4562"/>
          <w:tab w:val="left" w:pos="6803"/>
        </w:tabs>
        <w:spacing w:before="120" w:line="360" w:lineRule="auto"/>
        <w:ind w:left="-426" w:right="-58" w:firstLine="420"/>
        <w:contextualSpacing/>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u w:val="single"/>
        </w:rPr>
        <w:t>（标的名称）</w:t>
      </w:r>
      <w:r>
        <w:rPr>
          <w:rFonts w:hint="eastAsia" w:ascii="宋体" w:hAnsi="宋体" w:cs="宋体"/>
          <w:color w:val="auto"/>
          <w:szCs w:val="21"/>
        </w:rPr>
        <w:t>，属于</w:t>
      </w:r>
      <w:r>
        <w:rPr>
          <w:rFonts w:hint="eastAsia" w:ascii="宋体" w:hAnsi="宋体" w:cs="宋体"/>
          <w:color w:val="auto"/>
          <w:szCs w:val="21"/>
          <w:u w:val="single"/>
        </w:rPr>
        <w:t>（采购文件中明确的所属行业）</w:t>
      </w:r>
      <w:r>
        <w:rPr>
          <w:rFonts w:hint="eastAsia" w:ascii="宋体" w:hAnsi="宋体" w:cs="宋体"/>
          <w:color w:val="auto"/>
          <w:szCs w:val="21"/>
        </w:rPr>
        <w:t>行业；制造商为</w:t>
      </w:r>
      <w:r>
        <w:rPr>
          <w:rFonts w:hint="eastAsia" w:ascii="宋体" w:hAnsi="宋体" w:cs="宋体"/>
          <w:color w:val="auto"/>
          <w:szCs w:val="21"/>
          <w:u w:val="single"/>
        </w:rPr>
        <w:t>（企业名称）</w:t>
      </w:r>
      <w:r>
        <w:rPr>
          <w:rFonts w:hint="eastAsia" w:ascii="宋体" w:hAnsi="宋体" w:cs="宋体"/>
          <w:color w:val="auto"/>
          <w:szCs w:val="21"/>
        </w:rPr>
        <w:t>，从业人员</w:t>
      </w:r>
      <w:r>
        <w:rPr>
          <w:rFonts w:hint="eastAsia" w:ascii="宋体" w:hAnsi="宋体" w:cs="宋体"/>
          <w:color w:val="auto"/>
          <w:szCs w:val="21"/>
          <w:u w:val="single"/>
        </w:rPr>
        <w:t xml:space="preserve">      </w:t>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w:t>
      </w:r>
      <w:r>
        <w:rPr>
          <w:rFonts w:hint="eastAsia" w:ascii="宋体" w:hAnsi="宋体" w:cs="宋体"/>
          <w:color w:val="auto"/>
          <w:szCs w:val="21"/>
          <w:u w:val="single"/>
        </w:rPr>
        <w:t xml:space="preserve">      （中型企业、小型企业、微型企业）</w:t>
      </w:r>
      <w:r>
        <w:rPr>
          <w:rFonts w:hint="eastAsia" w:ascii="宋体" w:hAnsi="宋体" w:cs="宋体"/>
          <w:color w:val="auto"/>
          <w:szCs w:val="21"/>
        </w:rPr>
        <w:t>；</w:t>
      </w:r>
    </w:p>
    <w:p w14:paraId="39B333D2">
      <w:pPr>
        <w:tabs>
          <w:tab w:val="left" w:pos="1065"/>
          <w:tab w:val="left" w:pos="6477"/>
        </w:tabs>
        <w:spacing w:before="120" w:line="360" w:lineRule="auto"/>
        <w:ind w:left="-426" w:right="-58" w:firstLine="420"/>
        <w:contextualSpacing/>
        <w:rPr>
          <w:rFonts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u w:val="single"/>
        </w:rPr>
        <w:t>（标的名称）</w:t>
      </w:r>
      <w:r>
        <w:rPr>
          <w:rFonts w:hint="eastAsia" w:ascii="宋体" w:hAnsi="宋体" w:cs="宋体"/>
          <w:color w:val="auto"/>
          <w:szCs w:val="21"/>
        </w:rPr>
        <w:t>，属于</w:t>
      </w:r>
      <w:r>
        <w:rPr>
          <w:rFonts w:hint="eastAsia" w:ascii="宋体" w:hAnsi="宋体" w:cs="宋体"/>
          <w:color w:val="auto"/>
          <w:szCs w:val="21"/>
          <w:u w:val="single"/>
        </w:rPr>
        <w:t>（采购文件中明确的所属行业）</w:t>
      </w:r>
      <w:r>
        <w:rPr>
          <w:rFonts w:hint="eastAsia" w:ascii="宋体" w:hAnsi="宋体" w:cs="宋体"/>
          <w:color w:val="auto"/>
          <w:szCs w:val="21"/>
        </w:rPr>
        <w:t>行业；制造商为</w:t>
      </w:r>
      <w:r>
        <w:rPr>
          <w:rFonts w:hint="eastAsia" w:ascii="宋体" w:hAnsi="宋体" w:cs="宋体"/>
          <w:color w:val="auto"/>
          <w:szCs w:val="21"/>
          <w:u w:val="single"/>
        </w:rPr>
        <w:t>（企业名称）</w:t>
      </w:r>
      <w:r>
        <w:rPr>
          <w:rFonts w:hint="eastAsia" w:ascii="宋体" w:hAnsi="宋体" w:cs="宋体"/>
          <w:color w:val="auto"/>
          <w:szCs w:val="21"/>
        </w:rPr>
        <w:t>，从业人员</w:t>
      </w:r>
      <w:r>
        <w:rPr>
          <w:rFonts w:hint="eastAsia" w:ascii="宋体" w:hAnsi="宋体" w:cs="宋体"/>
          <w:color w:val="auto"/>
          <w:szCs w:val="21"/>
          <w:u w:val="single"/>
        </w:rPr>
        <w:t xml:space="preserve">      </w:t>
      </w:r>
      <w:r>
        <w:rPr>
          <w:rFonts w:hint="eastAsia" w:ascii="宋体" w:hAnsi="宋体" w:cs="宋体"/>
          <w:color w:val="auto"/>
          <w:szCs w:val="21"/>
        </w:rPr>
        <w:t>人，营业收入为</w:t>
      </w:r>
      <w:r>
        <w:rPr>
          <w:rFonts w:hint="eastAsia" w:ascii="宋体" w:hAnsi="宋体" w:cs="宋体"/>
          <w:color w:val="auto"/>
          <w:szCs w:val="21"/>
          <w:u w:val="single"/>
        </w:rPr>
        <w:t xml:space="preserve">      </w:t>
      </w:r>
      <w:r>
        <w:rPr>
          <w:rFonts w:hint="eastAsia" w:ascii="宋体" w:hAnsi="宋体" w:cs="宋体"/>
          <w:color w:val="auto"/>
          <w:szCs w:val="21"/>
        </w:rPr>
        <w:t>万元，资产总额为</w:t>
      </w:r>
      <w:r>
        <w:rPr>
          <w:rFonts w:hint="eastAsia" w:ascii="宋体" w:hAnsi="宋体" w:cs="宋体"/>
          <w:color w:val="auto"/>
          <w:szCs w:val="21"/>
          <w:u w:val="single"/>
        </w:rPr>
        <w:t xml:space="preserve">      </w:t>
      </w:r>
      <w:r>
        <w:rPr>
          <w:rFonts w:hint="eastAsia" w:ascii="宋体" w:hAnsi="宋体" w:cs="宋体"/>
          <w:color w:val="auto"/>
          <w:szCs w:val="21"/>
        </w:rPr>
        <w:t>万元，属于</w:t>
      </w:r>
      <w:r>
        <w:rPr>
          <w:rFonts w:hint="eastAsia" w:ascii="宋体" w:hAnsi="宋体" w:cs="宋体"/>
          <w:color w:val="auto"/>
          <w:szCs w:val="21"/>
          <w:u w:val="single"/>
        </w:rPr>
        <w:t xml:space="preserve">      （中型企业、小型企业、微型企业）</w:t>
      </w:r>
      <w:r>
        <w:rPr>
          <w:rFonts w:hint="eastAsia" w:ascii="宋体" w:hAnsi="宋体" w:cs="宋体"/>
          <w:color w:val="auto"/>
          <w:szCs w:val="21"/>
        </w:rPr>
        <w:t>；</w:t>
      </w:r>
    </w:p>
    <w:p w14:paraId="2C96AD00">
      <w:pPr>
        <w:pStyle w:val="11"/>
        <w:spacing w:before="120" w:after="0" w:line="360" w:lineRule="auto"/>
        <w:ind w:left="142" w:right="142"/>
        <w:contextualSpacing/>
        <w:rPr>
          <w:rFonts w:ascii="宋体" w:hAnsi="宋体" w:cs="宋体"/>
          <w:color w:val="auto"/>
          <w:szCs w:val="21"/>
        </w:rPr>
      </w:pPr>
      <w:r>
        <w:rPr>
          <w:rFonts w:hint="eastAsia" w:ascii="宋体" w:hAnsi="宋体" w:cs="宋体"/>
          <w:color w:val="auto"/>
          <w:szCs w:val="21"/>
        </w:rPr>
        <w:t xml:space="preserve">…… </w:t>
      </w:r>
    </w:p>
    <w:p w14:paraId="31514800">
      <w:pPr>
        <w:pStyle w:val="11"/>
        <w:spacing w:before="120" w:after="0" w:line="360" w:lineRule="auto"/>
        <w:ind w:left="-405" w:leftChars="-193" w:right="142" w:firstLine="396" w:firstLineChars="189"/>
        <w:contextualSpacing/>
        <w:rPr>
          <w:rFonts w:ascii="宋体" w:hAnsi="宋体" w:cs="宋体"/>
          <w:color w:val="auto"/>
          <w:szCs w:val="21"/>
        </w:rPr>
      </w:pPr>
      <w:r>
        <w:rPr>
          <w:rFonts w:hint="eastAsia" w:ascii="宋体" w:hAnsi="宋体" w:cs="宋体"/>
          <w:color w:val="auto"/>
          <w:szCs w:val="21"/>
        </w:rPr>
        <w:t>以上企业，不属于大企业的分支机构，不存在控股股东为大企业的情形，也不存在与大企业的负责人为同一人的情形。</w:t>
      </w:r>
    </w:p>
    <w:p w14:paraId="4650AE5B">
      <w:pPr>
        <w:pStyle w:val="11"/>
        <w:spacing w:before="120" w:after="0" w:line="360" w:lineRule="auto"/>
        <w:ind w:left="-426" w:right="142" w:firstLine="420"/>
        <w:contextualSpacing/>
        <w:rPr>
          <w:rFonts w:ascii="宋体" w:hAnsi="宋体" w:cs="宋体"/>
          <w:color w:val="auto"/>
          <w:szCs w:val="21"/>
        </w:rPr>
      </w:pPr>
      <w:r>
        <w:rPr>
          <w:rFonts w:hint="eastAsia" w:ascii="宋体" w:hAnsi="宋体" w:cs="宋体"/>
          <w:color w:val="auto"/>
          <w:szCs w:val="21"/>
        </w:rPr>
        <w:t>本企业对上述声明内容的真实性负责。如有虚假，将依法承担相应责任。</w:t>
      </w:r>
    </w:p>
    <w:p w14:paraId="3E07C869">
      <w:pPr>
        <w:pStyle w:val="11"/>
        <w:spacing w:before="120" w:after="0" w:line="360" w:lineRule="auto"/>
        <w:ind w:left="3960" w:right="1808"/>
        <w:contextualSpacing/>
        <w:rPr>
          <w:rFonts w:ascii="宋体" w:hAnsi="宋体" w:cs="宋体"/>
          <w:color w:val="auto"/>
          <w:szCs w:val="21"/>
        </w:rPr>
      </w:pPr>
    </w:p>
    <w:p w14:paraId="2423BBE9">
      <w:pPr>
        <w:pStyle w:val="11"/>
        <w:spacing w:before="120" w:after="0" w:line="360" w:lineRule="auto"/>
        <w:ind w:left="3960" w:right="1808"/>
        <w:contextualSpacing/>
        <w:rPr>
          <w:rFonts w:ascii="宋体" w:hAnsi="宋体" w:cs="宋体"/>
          <w:color w:val="auto"/>
          <w:szCs w:val="21"/>
        </w:rPr>
      </w:pPr>
      <w:r>
        <w:rPr>
          <w:rFonts w:hint="eastAsia" w:ascii="宋体" w:hAnsi="宋体" w:cs="宋体"/>
          <w:color w:val="auto"/>
          <w:szCs w:val="21"/>
        </w:rPr>
        <w:t xml:space="preserve">企业名称（章）： </w:t>
      </w:r>
    </w:p>
    <w:p w14:paraId="300E85B4">
      <w:pPr>
        <w:pStyle w:val="11"/>
        <w:spacing w:before="120" w:after="0" w:line="360" w:lineRule="auto"/>
        <w:ind w:left="3960" w:right="1808"/>
        <w:contextualSpacing/>
        <w:rPr>
          <w:rFonts w:ascii="宋体" w:hAnsi="宋体" w:cs="宋体"/>
          <w:color w:val="auto"/>
          <w:szCs w:val="21"/>
        </w:rPr>
      </w:pPr>
      <w:r>
        <w:rPr>
          <w:rFonts w:hint="eastAsia" w:ascii="宋体" w:hAnsi="宋体" w:cs="宋体"/>
          <w:color w:val="auto"/>
          <w:szCs w:val="21"/>
        </w:rPr>
        <w:t>日 期：</w:t>
      </w:r>
    </w:p>
    <w:p w14:paraId="02D2A53F">
      <w:pPr>
        <w:pStyle w:val="11"/>
        <w:spacing w:before="120" w:after="0" w:line="360" w:lineRule="auto"/>
        <w:ind w:left="3960" w:right="1808"/>
        <w:contextualSpacing/>
        <w:rPr>
          <w:rFonts w:ascii="宋体" w:hAnsi="宋体" w:cs="宋体"/>
          <w:color w:val="auto"/>
          <w:szCs w:val="21"/>
        </w:rPr>
      </w:pPr>
    </w:p>
    <w:p w14:paraId="72AC57F0">
      <w:pPr>
        <w:spacing w:before="120" w:line="360" w:lineRule="auto"/>
        <w:ind w:firstLine="420"/>
        <w:jc w:val="left"/>
        <w:rPr>
          <w:rFonts w:ascii="宋体" w:hAnsi="宋体" w:cs="宋体"/>
          <w:color w:val="auto"/>
          <w:szCs w:val="21"/>
        </w:rPr>
      </w:pPr>
      <w:r>
        <w:rPr>
          <w:rFonts w:hint="eastAsia" w:ascii="宋体" w:hAnsi="宋体" w:cs="宋体"/>
          <w:color w:val="auto"/>
          <w:szCs w:val="21"/>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BBAAEE4">
      <w:pPr>
        <w:spacing w:before="120" w:line="360" w:lineRule="auto"/>
        <w:jc w:val="center"/>
        <w:rPr>
          <w:rFonts w:ascii="宋体" w:hAnsi="宋体" w:cs="宋体"/>
          <w:color w:val="auto"/>
          <w:sz w:val="32"/>
          <w:szCs w:val="32"/>
        </w:rPr>
      </w:pPr>
      <w:r>
        <w:rPr>
          <w:rFonts w:hint="eastAsia" w:ascii="宋体" w:hAnsi="宋体" w:cs="宋体"/>
          <w:color w:val="auto"/>
          <w:szCs w:val="21"/>
        </w:rPr>
        <w:br w:type="page"/>
      </w:r>
      <w:r>
        <w:rPr>
          <w:rFonts w:hint="eastAsia" w:ascii="宋体" w:hAnsi="宋体" w:cs="宋体"/>
          <w:color w:val="auto"/>
          <w:sz w:val="32"/>
          <w:szCs w:val="32"/>
        </w:rPr>
        <w:t>残疾人福利性单位声明函</w:t>
      </w:r>
    </w:p>
    <w:p w14:paraId="26967BED">
      <w:pPr>
        <w:spacing w:before="120" w:line="520" w:lineRule="exact"/>
        <w:ind w:firstLine="640"/>
        <w:rPr>
          <w:rFonts w:ascii="宋体" w:hAnsi="宋体" w:cs="宋体"/>
          <w:color w:val="auto"/>
          <w:sz w:val="32"/>
          <w:szCs w:val="32"/>
        </w:rPr>
      </w:pPr>
    </w:p>
    <w:p w14:paraId="561B620B">
      <w:pPr>
        <w:spacing w:before="120" w:line="360" w:lineRule="auto"/>
        <w:ind w:firstLine="420" w:firstLineChars="200"/>
        <w:rPr>
          <w:rFonts w:ascii="宋体" w:hAnsi="宋体" w:cs="宋体"/>
          <w:color w:val="auto"/>
          <w:szCs w:val="21"/>
        </w:rPr>
      </w:pPr>
      <w:r>
        <w:rPr>
          <w:rFonts w:hint="eastAsia" w:ascii="宋体" w:hAnsi="宋体" w:cs="宋体"/>
          <w:color w:val="auto"/>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u w:val="single"/>
        </w:rPr>
        <w:t xml:space="preserve">       </w:t>
      </w:r>
      <w:r>
        <w:rPr>
          <w:rFonts w:hint="eastAsia" w:ascii="宋体" w:hAnsi="宋体" w:cs="宋体"/>
          <w:color w:val="auto"/>
          <w:szCs w:val="21"/>
        </w:rPr>
        <w:t>单位的</w:t>
      </w:r>
      <w:r>
        <w:rPr>
          <w:rFonts w:hint="eastAsia" w:ascii="宋体" w:hAnsi="宋体" w:cs="宋体"/>
          <w:color w:val="auto"/>
          <w:szCs w:val="21"/>
          <w:u w:val="single"/>
        </w:rPr>
        <w:t xml:space="preserve">        </w:t>
      </w:r>
      <w:r>
        <w:rPr>
          <w:rFonts w:hint="eastAsia" w:ascii="宋体" w:hAnsi="宋体" w:cs="宋体"/>
          <w:color w:val="auto"/>
          <w:szCs w:val="21"/>
        </w:rPr>
        <w:t>项目采购活动提供本单位制造的货物（由本单位承担工程/提供服务），或者提供其他残疾人福利性单位制造的货物（不包括使用非残疾人福利性单位注册商标的货物）。</w:t>
      </w:r>
    </w:p>
    <w:p w14:paraId="41F10CEB">
      <w:pPr>
        <w:spacing w:before="120" w:line="360" w:lineRule="auto"/>
        <w:ind w:firstLine="420" w:firstLineChars="200"/>
        <w:rPr>
          <w:rFonts w:ascii="宋体" w:hAnsi="宋体" w:cs="宋体"/>
          <w:color w:val="auto"/>
          <w:szCs w:val="21"/>
        </w:rPr>
      </w:pPr>
      <w:r>
        <w:rPr>
          <w:rFonts w:hint="eastAsia" w:ascii="宋体" w:hAnsi="宋体" w:cs="宋体"/>
          <w:color w:val="auto"/>
          <w:szCs w:val="21"/>
        </w:rPr>
        <w:t>本单位对上述声明的真实性负责。如有虚假，将依法承担相应责任。</w:t>
      </w:r>
    </w:p>
    <w:p w14:paraId="5C3D3830">
      <w:pPr>
        <w:spacing w:before="120" w:line="360" w:lineRule="auto"/>
        <w:ind w:firstLine="420"/>
        <w:rPr>
          <w:rFonts w:ascii="宋体" w:hAnsi="宋体" w:cs="宋体"/>
          <w:color w:val="auto"/>
          <w:szCs w:val="21"/>
        </w:rPr>
      </w:pPr>
    </w:p>
    <w:p w14:paraId="67D946C3">
      <w:pPr>
        <w:spacing w:before="120" w:line="360" w:lineRule="auto"/>
        <w:ind w:firstLine="420"/>
        <w:rPr>
          <w:rFonts w:ascii="宋体" w:hAnsi="宋体" w:cs="宋体"/>
          <w:color w:val="auto"/>
          <w:szCs w:val="21"/>
        </w:rPr>
      </w:pPr>
    </w:p>
    <w:p w14:paraId="2419E7CB">
      <w:pPr>
        <w:spacing w:before="120" w:line="360" w:lineRule="auto"/>
        <w:ind w:firstLine="420"/>
        <w:rPr>
          <w:rFonts w:ascii="宋体" w:hAnsi="宋体" w:cs="宋体"/>
          <w:color w:val="auto"/>
          <w:szCs w:val="21"/>
        </w:rPr>
      </w:pPr>
    </w:p>
    <w:p w14:paraId="3BC130D9">
      <w:pPr>
        <w:spacing w:before="120" w:line="360" w:lineRule="auto"/>
        <w:ind w:firstLine="2100" w:firstLineChars="1000"/>
        <w:rPr>
          <w:rFonts w:ascii="宋体" w:hAnsi="宋体" w:cs="宋体"/>
          <w:color w:val="auto"/>
          <w:szCs w:val="21"/>
        </w:rPr>
      </w:pPr>
      <w:r>
        <w:rPr>
          <w:rFonts w:hint="eastAsia" w:ascii="宋体" w:hAnsi="宋体" w:cs="宋体"/>
          <w:color w:val="auto"/>
          <w:szCs w:val="21"/>
        </w:rPr>
        <w:t>单位名称（盖章）：</w:t>
      </w:r>
    </w:p>
    <w:p w14:paraId="2714E41F">
      <w:pPr>
        <w:spacing w:before="120" w:line="360" w:lineRule="auto"/>
        <w:ind w:firstLine="3150" w:firstLineChars="1500"/>
        <w:rPr>
          <w:rFonts w:ascii="宋体" w:hAnsi="宋体" w:cs="宋体"/>
          <w:color w:val="auto"/>
          <w:szCs w:val="21"/>
        </w:rPr>
      </w:pPr>
      <w:r>
        <w:rPr>
          <w:rFonts w:hint="eastAsia" w:ascii="宋体" w:hAnsi="宋体" w:cs="宋体"/>
          <w:color w:val="auto"/>
          <w:szCs w:val="21"/>
        </w:rPr>
        <w:t>日  期：</w:t>
      </w:r>
    </w:p>
    <w:p w14:paraId="73F959EB">
      <w:pPr>
        <w:spacing w:before="120" w:line="360" w:lineRule="auto"/>
        <w:ind w:firstLine="420"/>
        <w:rPr>
          <w:rFonts w:ascii="宋体" w:hAnsi="宋体" w:cs="宋体"/>
          <w:color w:val="auto"/>
          <w:szCs w:val="21"/>
        </w:rPr>
      </w:pPr>
    </w:p>
    <w:p w14:paraId="19EA59BA">
      <w:pPr>
        <w:spacing w:before="120" w:line="360" w:lineRule="auto"/>
        <w:ind w:firstLine="420"/>
        <w:rPr>
          <w:rFonts w:ascii="宋体" w:hAnsi="宋体" w:cs="宋体"/>
          <w:color w:val="auto"/>
          <w:szCs w:val="21"/>
        </w:rPr>
      </w:pPr>
    </w:p>
    <w:p w14:paraId="41C9553F">
      <w:pPr>
        <w:spacing w:before="120" w:line="360" w:lineRule="auto"/>
        <w:ind w:firstLine="420"/>
        <w:rPr>
          <w:rFonts w:ascii="宋体" w:hAnsi="宋体" w:cs="宋体"/>
          <w:color w:val="auto"/>
          <w:szCs w:val="21"/>
        </w:rPr>
      </w:pPr>
    </w:p>
    <w:p w14:paraId="3AFCC847">
      <w:pPr>
        <w:spacing w:before="120" w:line="360" w:lineRule="auto"/>
        <w:ind w:firstLine="420"/>
        <w:rPr>
          <w:rFonts w:ascii="宋体" w:hAnsi="宋体" w:cs="宋体"/>
          <w:color w:val="auto"/>
          <w:szCs w:val="21"/>
        </w:rPr>
      </w:pPr>
      <w:r>
        <w:rPr>
          <w:rFonts w:hint="eastAsia" w:ascii="宋体" w:hAnsi="宋体" w:cs="宋体"/>
          <w:color w:val="auto"/>
          <w:szCs w:val="21"/>
        </w:rPr>
        <w:t>注：请根据自己的真实情况出具《残疾人福利性单位声明函》。依法享受中小企业优惠政策的，采购人或者采购代理机构在公告中标结果时，同时公告其《残疾人福利性单位声明函》，接受社会监督。</w:t>
      </w:r>
    </w:p>
    <w:p w14:paraId="49C57E26">
      <w:pPr>
        <w:spacing w:before="120" w:line="360" w:lineRule="auto"/>
        <w:jc w:val="center"/>
        <w:rPr>
          <w:rFonts w:ascii="宋体" w:hAnsi="宋体" w:cs="宋体"/>
          <w:b/>
          <w:bCs/>
          <w:color w:val="auto"/>
          <w:sz w:val="32"/>
          <w:szCs w:val="32"/>
        </w:rPr>
      </w:pPr>
      <w:r>
        <w:rPr>
          <w:rFonts w:hint="eastAsia" w:ascii="宋体" w:hAnsi="宋体" w:cs="宋体"/>
          <w:color w:val="auto"/>
          <w:szCs w:val="21"/>
        </w:rPr>
        <w:br w:type="page"/>
      </w:r>
      <w:r>
        <w:rPr>
          <w:rFonts w:hint="eastAsia" w:ascii="宋体" w:hAnsi="宋体" w:cs="宋体"/>
          <w:color w:val="auto"/>
          <w:sz w:val="32"/>
          <w:szCs w:val="32"/>
        </w:rPr>
        <w:t>质疑函（格式）</w:t>
      </w:r>
    </w:p>
    <w:p w14:paraId="0EE8BB5A">
      <w:pPr>
        <w:spacing w:before="120" w:line="360" w:lineRule="auto"/>
        <w:ind w:firstLine="643"/>
        <w:jc w:val="center"/>
        <w:rPr>
          <w:rFonts w:ascii="宋体" w:hAnsi="宋体" w:cs="宋体"/>
          <w:b/>
          <w:bCs/>
          <w:color w:val="auto"/>
          <w:sz w:val="32"/>
          <w:szCs w:val="32"/>
        </w:rPr>
      </w:pPr>
    </w:p>
    <w:p w14:paraId="2FC97776">
      <w:pPr>
        <w:pStyle w:val="14"/>
        <w:spacing w:line="360" w:lineRule="auto"/>
        <w:ind w:firstLine="420"/>
        <w:rPr>
          <w:color w:val="auto"/>
          <w:sz w:val="21"/>
          <w:szCs w:val="21"/>
        </w:rPr>
      </w:pPr>
      <w:r>
        <w:rPr>
          <w:rFonts w:hint="eastAsia"/>
          <w:color w:val="auto"/>
          <w:sz w:val="21"/>
          <w:szCs w:val="21"/>
        </w:rPr>
        <w:t>一、质疑供应商基本信息：</w:t>
      </w:r>
    </w:p>
    <w:p w14:paraId="2665DB63">
      <w:pPr>
        <w:pStyle w:val="14"/>
        <w:spacing w:line="360" w:lineRule="auto"/>
        <w:ind w:firstLine="420"/>
        <w:rPr>
          <w:color w:val="auto"/>
          <w:sz w:val="21"/>
          <w:szCs w:val="21"/>
        </w:rPr>
      </w:pPr>
      <w:r>
        <w:rPr>
          <w:rFonts w:hint="eastAsia"/>
          <w:color w:val="auto"/>
          <w:sz w:val="21"/>
          <w:szCs w:val="21"/>
        </w:rPr>
        <w:t xml:space="preserve">质疑供应商：                                                                             </w:t>
      </w:r>
    </w:p>
    <w:p w14:paraId="7210411C">
      <w:pPr>
        <w:pStyle w:val="14"/>
        <w:spacing w:line="360" w:lineRule="auto"/>
        <w:ind w:firstLine="420"/>
        <w:rPr>
          <w:color w:val="auto"/>
          <w:sz w:val="21"/>
          <w:szCs w:val="21"/>
        </w:rPr>
      </w:pPr>
      <w:r>
        <w:rPr>
          <w:rFonts w:hint="eastAsia"/>
          <w:color w:val="auto"/>
          <w:sz w:val="21"/>
          <w:szCs w:val="21"/>
        </w:rPr>
        <w:t xml:space="preserve">地址：                                          邮编：                                   </w:t>
      </w:r>
    </w:p>
    <w:p w14:paraId="1D0D8878">
      <w:pPr>
        <w:pStyle w:val="14"/>
        <w:spacing w:line="360" w:lineRule="auto"/>
        <w:ind w:firstLine="420"/>
        <w:rPr>
          <w:color w:val="auto"/>
          <w:sz w:val="21"/>
          <w:szCs w:val="21"/>
        </w:rPr>
      </w:pPr>
      <w:r>
        <w:rPr>
          <w:rFonts w:hint="eastAsia"/>
          <w:color w:val="auto"/>
          <w:sz w:val="21"/>
          <w:szCs w:val="21"/>
        </w:rPr>
        <w:t xml:space="preserve">联系人：                                    联系电话：                  </w:t>
      </w:r>
    </w:p>
    <w:p w14:paraId="7E2D2510">
      <w:pPr>
        <w:pStyle w:val="14"/>
        <w:spacing w:line="360" w:lineRule="auto"/>
        <w:ind w:firstLine="420"/>
        <w:rPr>
          <w:color w:val="auto"/>
          <w:sz w:val="21"/>
          <w:szCs w:val="21"/>
        </w:rPr>
      </w:pPr>
      <w:r>
        <w:rPr>
          <w:rFonts w:hint="eastAsia"/>
          <w:color w:val="auto"/>
          <w:sz w:val="21"/>
          <w:szCs w:val="21"/>
        </w:rPr>
        <w:t xml:space="preserve">授权代表：                                                              </w:t>
      </w:r>
    </w:p>
    <w:p w14:paraId="027D30D9">
      <w:pPr>
        <w:pStyle w:val="14"/>
        <w:spacing w:line="360" w:lineRule="auto"/>
        <w:ind w:firstLine="420"/>
        <w:rPr>
          <w:color w:val="auto"/>
          <w:sz w:val="21"/>
          <w:szCs w:val="21"/>
        </w:rPr>
      </w:pPr>
      <w:r>
        <w:rPr>
          <w:rFonts w:hint="eastAsia"/>
          <w:color w:val="auto"/>
          <w:sz w:val="21"/>
          <w:szCs w:val="21"/>
        </w:rPr>
        <w:t xml:space="preserve">联系电话：                                                              </w:t>
      </w:r>
    </w:p>
    <w:p w14:paraId="3DD187A3">
      <w:pPr>
        <w:pStyle w:val="14"/>
        <w:spacing w:line="360" w:lineRule="auto"/>
        <w:ind w:firstLine="420"/>
        <w:rPr>
          <w:color w:val="auto"/>
          <w:sz w:val="21"/>
          <w:szCs w:val="21"/>
        </w:rPr>
      </w:pPr>
      <w:r>
        <w:rPr>
          <w:rFonts w:hint="eastAsia"/>
          <w:color w:val="auto"/>
          <w:sz w:val="21"/>
          <w:szCs w:val="21"/>
        </w:rPr>
        <w:t xml:space="preserve">地址：                                          邮编：                       </w:t>
      </w:r>
    </w:p>
    <w:p w14:paraId="2939DCEE">
      <w:pPr>
        <w:pStyle w:val="14"/>
        <w:spacing w:line="360" w:lineRule="auto"/>
        <w:ind w:firstLine="420"/>
        <w:rPr>
          <w:color w:val="auto"/>
          <w:sz w:val="21"/>
          <w:szCs w:val="21"/>
        </w:rPr>
      </w:pPr>
      <w:r>
        <w:rPr>
          <w:rFonts w:hint="eastAsia"/>
          <w:color w:val="auto"/>
          <w:sz w:val="21"/>
          <w:szCs w:val="21"/>
        </w:rPr>
        <w:t>二、质疑项目基本情况：</w:t>
      </w:r>
    </w:p>
    <w:p w14:paraId="44673F1C">
      <w:pPr>
        <w:pStyle w:val="14"/>
        <w:spacing w:line="360" w:lineRule="auto"/>
        <w:ind w:firstLine="420"/>
        <w:rPr>
          <w:color w:val="auto"/>
          <w:sz w:val="21"/>
          <w:szCs w:val="21"/>
        </w:rPr>
      </w:pPr>
      <w:r>
        <w:rPr>
          <w:rFonts w:hint="eastAsia"/>
          <w:color w:val="auto"/>
          <w:sz w:val="21"/>
          <w:szCs w:val="21"/>
        </w:rPr>
        <w:t xml:space="preserve">质疑项目的名称：                                                        </w:t>
      </w:r>
    </w:p>
    <w:p w14:paraId="3661D111">
      <w:pPr>
        <w:pStyle w:val="14"/>
        <w:spacing w:line="360" w:lineRule="auto"/>
        <w:ind w:firstLine="420"/>
        <w:rPr>
          <w:color w:val="auto"/>
          <w:sz w:val="21"/>
          <w:szCs w:val="21"/>
        </w:rPr>
      </w:pPr>
      <w:r>
        <w:rPr>
          <w:rFonts w:hint="eastAsia"/>
          <w:color w:val="auto"/>
          <w:sz w:val="21"/>
          <w:szCs w:val="21"/>
        </w:rPr>
        <w:t xml:space="preserve">质疑项目的编号：                                                        </w:t>
      </w:r>
    </w:p>
    <w:p w14:paraId="21B5AE83">
      <w:pPr>
        <w:pStyle w:val="14"/>
        <w:spacing w:line="360" w:lineRule="auto"/>
        <w:ind w:firstLine="420"/>
        <w:rPr>
          <w:color w:val="auto"/>
          <w:sz w:val="21"/>
          <w:szCs w:val="21"/>
        </w:rPr>
      </w:pPr>
      <w:r>
        <w:rPr>
          <w:rFonts w:hint="eastAsia"/>
          <w:color w:val="auto"/>
          <w:sz w:val="21"/>
          <w:szCs w:val="21"/>
        </w:rPr>
        <w:t xml:space="preserve">采购人名称：                                                            </w:t>
      </w:r>
    </w:p>
    <w:p w14:paraId="7D22B865">
      <w:pPr>
        <w:pStyle w:val="14"/>
        <w:spacing w:line="360" w:lineRule="auto"/>
        <w:ind w:firstLine="420"/>
        <w:rPr>
          <w:color w:val="auto"/>
          <w:sz w:val="21"/>
          <w:szCs w:val="21"/>
        </w:rPr>
      </w:pPr>
      <w:r>
        <w:rPr>
          <w:rFonts w:hint="eastAsia"/>
          <w:color w:val="auto"/>
          <w:sz w:val="21"/>
          <w:szCs w:val="21"/>
        </w:rPr>
        <w:t>质疑事项：</w:t>
      </w:r>
    </w:p>
    <w:p w14:paraId="305F22E3">
      <w:pPr>
        <w:pStyle w:val="14"/>
        <w:spacing w:line="360" w:lineRule="auto"/>
        <w:ind w:firstLine="420"/>
        <w:rPr>
          <w:color w:val="auto"/>
          <w:sz w:val="21"/>
          <w:szCs w:val="21"/>
        </w:rPr>
      </w:pPr>
      <w:r>
        <w:rPr>
          <w:rFonts w:hint="eastAsia"/>
          <w:color w:val="auto"/>
          <w:sz w:val="21"/>
          <w:szCs w:val="21"/>
        </w:rPr>
        <w:t xml:space="preserve">□采购文件   采购文件获取日期：                                          </w:t>
      </w:r>
    </w:p>
    <w:p w14:paraId="0CD9FBDF">
      <w:pPr>
        <w:pStyle w:val="14"/>
        <w:spacing w:line="360" w:lineRule="auto"/>
        <w:ind w:firstLine="420"/>
        <w:rPr>
          <w:color w:val="auto"/>
          <w:sz w:val="21"/>
          <w:szCs w:val="21"/>
        </w:rPr>
      </w:pPr>
      <w:r>
        <w:rPr>
          <w:rFonts w:hint="eastAsia"/>
          <w:color w:val="auto"/>
          <w:sz w:val="21"/>
          <w:szCs w:val="21"/>
        </w:rPr>
        <w:t xml:space="preserve">□采购过程   </w:t>
      </w:r>
    </w:p>
    <w:p w14:paraId="7B716E7D">
      <w:pPr>
        <w:pStyle w:val="14"/>
        <w:spacing w:line="360" w:lineRule="auto"/>
        <w:ind w:firstLine="420"/>
        <w:rPr>
          <w:bCs/>
          <w:color w:val="auto"/>
          <w:sz w:val="21"/>
          <w:szCs w:val="21"/>
          <w:u w:val="single"/>
        </w:rPr>
      </w:pPr>
      <w:r>
        <w:rPr>
          <w:rFonts w:hint="eastAsia"/>
          <w:color w:val="auto"/>
          <w:sz w:val="21"/>
          <w:szCs w:val="21"/>
        </w:rPr>
        <w:t xml:space="preserve">□成交结果   </w:t>
      </w:r>
    </w:p>
    <w:p w14:paraId="453816D8">
      <w:pPr>
        <w:pStyle w:val="14"/>
        <w:spacing w:line="360" w:lineRule="auto"/>
        <w:ind w:firstLine="420"/>
        <w:rPr>
          <w:color w:val="auto"/>
          <w:sz w:val="21"/>
          <w:szCs w:val="21"/>
        </w:rPr>
      </w:pPr>
      <w:r>
        <w:rPr>
          <w:rFonts w:hint="eastAsia"/>
          <w:color w:val="auto"/>
          <w:sz w:val="21"/>
          <w:szCs w:val="21"/>
        </w:rPr>
        <w:t>三、质疑事项具体内容</w:t>
      </w:r>
    </w:p>
    <w:p w14:paraId="2576AAC8">
      <w:pPr>
        <w:pStyle w:val="14"/>
        <w:spacing w:line="360" w:lineRule="auto"/>
        <w:ind w:firstLine="420"/>
        <w:rPr>
          <w:color w:val="auto"/>
          <w:sz w:val="21"/>
          <w:szCs w:val="21"/>
        </w:rPr>
      </w:pPr>
      <w:r>
        <w:rPr>
          <w:rFonts w:hint="eastAsia"/>
          <w:color w:val="auto"/>
          <w:sz w:val="21"/>
          <w:szCs w:val="21"/>
        </w:rPr>
        <w:t xml:space="preserve">质疑事项1：                                                             </w:t>
      </w:r>
    </w:p>
    <w:p w14:paraId="7A8D61B7">
      <w:pPr>
        <w:pStyle w:val="14"/>
        <w:spacing w:line="360" w:lineRule="auto"/>
        <w:ind w:firstLine="420"/>
        <w:rPr>
          <w:color w:val="auto"/>
          <w:sz w:val="21"/>
          <w:szCs w:val="21"/>
        </w:rPr>
      </w:pPr>
      <w:r>
        <w:rPr>
          <w:rFonts w:hint="eastAsia"/>
          <w:color w:val="auto"/>
          <w:sz w:val="21"/>
          <w:szCs w:val="21"/>
        </w:rPr>
        <w:t xml:space="preserve">事实依据：                                                              </w:t>
      </w:r>
    </w:p>
    <w:p w14:paraId="3C085101">
      <w:pPr>
        <w:pStyle w:val="14"/>
        <w:spacing w:line="360" w:lineRule="auto"/>
        <w:ind w:firstLine="420"/>
        <w:rPr>
          <w:color w:val="auto"/>
          <w:sz w:val="21"/>
          <w:szCs w:val="21"/>
        </w:rPr>
      </w:pPr>
      <w:r>
        <w:rPr>
          <w:rFonts w:hint="eastAsia"/>
          <w:color w:val="auto"/>
          <w:sz w:val="21"/>
          <w:szCs w:val="21"/>
        </w:rPr>
        <w:t xml:space="preserve">法律依据：                                                 </w:t>
      </w:r>
      <w:r>
        <w:rPr>
          <w:rFonts w:hint="eastAsia"/>
          <w:bCs/>
          <w:color w:val="auto"/>
          <w:sz w:val="21"/>
          <w:szCs w:val="21"/>
        </w:rPr>
        <w:t xml:space="preserve">             </w:t>
      </w:r>
    </w:p>
    <w:p w14:paraId="7D4E136A">
      <w:pPr>
        <w:pStyle w:val="14"/>
        <w:spacing w:line="360" w:lineRule="auto"/>
        <w:ind w:firstLine="420"/>
        <w:rPr>
          <w:color w:val="auto"/>
          <w:sz w:val="21"/>
          <w:szCs w:val="21"/>
        </w:rPr>
      </w:pPr>
      <w:r>
        <w:rPr>
          <w:rFonts w:hint="eastAsia"/>
          <w:color w:val="auto"/>
          <w:sz w:val="21"/>
          <w:szCs w:val="21"/>
        </w:rPr>
        <w:t>质疑事项2</w:t>
      </w:r>
    </w:p>
    <w:p w14:paraId="15887F8D">
      <w:pPr>
        <w:pStyle w:val="14"/>
        <w:spacing w:line="360" w:lineRule="auto"/>
        <w:ind w:firstLine="420"/>
        <w:rPr>
          <w:color w:val="auto"/>
          <w:sz w:val="21"/>
          <w:szCs w:val="21"/>
        </w:rPr>
      </w:pPr>
      <w:r>
        <w:rPr>
          <w:rFonts w:hint="eastAsia"/>
          <w:color w:val="auto"/>
          <w:sz w:val="21"/>
          <w:szCs w:val="21"/>
        </w:rPr>
        <w:t>……</w:t>
      </w:r>
    </w:p>
    <w:p w14:paraId="02A83578">
      <w:pPr>
        <w:pStyle w:val="14"/>
        <w:spacing w:line="360" w:lineRule="auto"/>
        <w:ind w:firstLine="420"/>
        <w:rPr>
          <w:color w:val="auto"/>
          <w:sz w:val="21"/>
          <w:szCs w:val="21"/>
        </w:rPr>
      </w:pPr>
      <w:r>
        <w:rPr>
          <w:rFonts w:hint="eastAsia"/>
          <w:color w:val="auto"/>
          <w:sz w:val="21"/>
          <w:szCs w:val="21"/>
        </w:rPr>
        <w:t>四、与质疑事项相关的质疑请求：</w:t>
      </w:r>
    </w:p>
    <w:p w14:paraId="2535AB2E">
      <w:pPr>
        <w:pStyle w:val="14"/>
        <w:spacing w:line="360" w:lineRule="auto"/>
        <w:ind w:firstLine="420"/>
        <w:rPr>
          <w:color w:val="auto"/>
          <w:sz w:val="21"/>
          <w:szCs w:val="21"/>
        </w:rPr>
      </w:pPr>
      <w:r>
        <w:rPr>
          <w:rFonts w:hint="eastAsia"/>
          <w:color w:val="auto"/>
          <w:sz w:val="21"/>
          <w:szCs w:val="21"/>
        </w:rPr>
        <w:t xml:space="preserve">请求：                                                                 </w:t>
      </w:r>
    </w:p>
    <w:p w14:paraId="7BA55871">
      <w:pPr>
        <w:pStyle w:val="14"/>
        <w:spacing w:line="360" w:lineRule="auto"/>
        <w:ind w:firstLine="420"/>
        <w:rPr>
          <w:color w:val="auto"/>
          <w:sz w:val="21"/>
          <w:szCs w:val="21"/>
        </w:rPr>
      </w:pPr>
    </w:p>
    <w:p w14:paraId="1F664503">
      <w:pPr>
        <w:pStyle w:val="14"/>
        <w:spacing w:line="360" w:lineRule="auto"/>
        <w:ind w:firstLine="420"/>
        <w:rPr>
          <w:color w:val="auto"/>
          <w:sz w:val="21"/>
          <w:szCs w:val="21"/>
        </w:rPr>
      </w:pPr>
      <w:r>
        <w:rPr>
          <w:rFonts w:hint="eastAsia"/>
          <w:color w:val="auto"/>
          <w:sz w:val="21"/>
          <w:szCs w:val="21"/>
        </w:rPr>
        <w:t>签字（签章）：                                       公章：</w:t>
      </w:r>
    </w:p>
    <w:p w14:paraId="62FDB00B">
      <w:pPr>
        <w:pStyle w:val="14"/>
        <w:spacing w:line="360" w:lineRule="auto"/>
        <w:ind w:firstLine="420"/>
        <w:rPr>
          <w:color w:val="auto"/>
          <w:sz w:val="21"/>
          <w:szCs w:val="21"/>
        </w:rPr>
      </w:pPr>
    </w:p>
    <w:p w14:paraId="279C0A73">
      <w:pPr>
        <w:pStyle w:val="14"/>
        <w:spacing w:line="360" w:lineRule="auto"/>
        <w:ind w:firstLine="420"/>
        <w:rPr>
          <w:color w:val="auto"/>
          <w:sz w:val="21"/>
          <w:szCs w:val="21"/>
        </w:rPr>
      </w:pPr>
      <w:r>
        <w:rPr>
          <w:rFonts w:hint="eastAsia"/>
          <w:color w:val="auto"/>
          <w:sz w:val="21"/>
          <w:szCs w:val="21"/>
        </w:rPr>
        <w:t>日期：</w:t>
      </w:r>
    </w:p>
    <w:p w14:paraId="743B5A82">
      <w:pPr>
        <w:pStyle w:val="14"/>
        <w:spacing w:line="360" w:lineRule="auto"/>
        <w:ind w:firstLine="420"/>
        <w:rPr>
          <w:color w:val="auto"/>
          <w:sz w:val="21"/>
          <w:szCs w:val="21"/>
        </w:rPr>
      </w:pPr>
    </w:p>
    <w:p w14:paraId="3C594950">
      <w:pPr>
        <w:pStyle w:val="14"/>
        <w:spacing w:line="360" w:lineRule="auto"/>
        <w:ind w:firstLine="420"/>
        <w:rPr>
          <w:color w:val="auto"/>
          <w:sz w:val="21"/>
          <w:szCs w:val="21"/>
        </w:rPr>
      </w:pPr>
      <w:r>
        <w:rPr>
          <w:rFonts w:hint="eastAsia"/>
          <w:color w:val="auto"/>
          <w:sz w:val="21"/>
          <w:szCs w:val="21"/>
        </w:rPr>
        <w:t>说明：</w:t>
      </w:r>
    </w:p>
    <w:p w14:paraId="39287E88">
      <w:pPr>
        <w:pStyle w:val="14"/>
        <w:spacing w:line="360" w:lineRule="auto"/>
        <w:ind w:firstLine="420"/>
        <w:rPr>
          <w:bCs/>
          <w:color w:val="auto"/>
          <w:sz w:val="21"/>
          <w:szCs w:val="21"/>
        </w:rPr>
      </w:pPr>
      <w:r>
        <w:rPr>
          <w:rFonts w:hint="eastAsia"/>
          <w:color w:val="auto"/>
          <w:sz w:val="21"/>
          <w:szCs w:val="21"/>
        </w:rPr>
        <w:t>1.供应商提出质疑时，应提交质疑函和必要的证明材料</w:t>
      </w:r>
      <w:r>
        <w:rPr>
          <w:rFonts w:hint="eastAsia"/>
          <w:bCs/>
          <w:color w:val="auto"/>
          <w:sz w:val="21"/>
          <w:szCs w:val="21"/>
        </w:rPr>
        <w:t>。</w:t>
      </w:r>
    </w:p>
    <w:p w14:paraId="0D938033">
      <w:pPr>
        <w:pStyle w:val="14"/>
        <w:spacing w:line="360" w:lineRule="auto"/>
        <w:ind w:firstLine="420"/>
        <w:rPr>
          <w:color w:val="auto"/>
          <w:sz w:val="21"/>
          <w:szCs w:val="21"/>
        </w:rPr>
      </w:pPr>
      <w:r>
        <w:rPr>
          <w:rFonts w:hint="eastAsia"/>
          <w:color w:val="auto"/>
          <w:sz w:val="21"/>
          <w:szCs w:val="21"/>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985B11E">
      <w:pPr>
        <w:pStyle w:val="14"/>
        <w:spacing w:line="360" w:lineRule="auto"/>
        <w:ind w:firstLine="420"/>
        <w:rPr>
          <w:color w:val="auto"/>
          <w:sz w:val="21"/>
          <w:szCs w:val="21"/>
        </w:rPr>
      </w:pPr>
      <w:r>
        <w:rPr>
          <w:rFonts w:hint="eastAsia"/>
          <w:color w:val="auto"/>
          <w:sz w:val="21"/>
          <w:szCs w:val="21"/>
        </w:rPr>
        <w:t>3.质疑函的质疑事项应具体、明确，并有必要的事实依据和法律依据。</w:t>
      </w:r>
    </w:p>
    <w:p w14:paraId="04A2CDAD">
      <w:pPr>
        <w:pStyle w:val="14"/>
        <w:spacing w:line="360" w:lineRule="auto"/>
        <w:ind w:firstLine="420"/>
        <w:rPr>
          <w:color w:val="auto"/>
          <w:sz w:val="21"/>
          <w:szCs w:val="21"/>
        </w:rPr>
      </w:pPr>
      <w:r>
        <w:rPr>
          <w:rFonts w:hint="eastAsia"/>
          <w:color w:val="auto"/>
          <w:sz w:val="21"/>
          <w:szCs w:val="21"/>
        </w:rPr>
        <w:t>4.质疑函的质疑请求应与质疑事项相关。</w:t>
      </w:r>
    </w:p>
    <w:p w14:paraId="583403D1">
      <w:pPr>
        <w:pStyle w:val="14"/>
        <w:spacing w:line="360" w:lineRule="auto"/>
        <w:ind w:firstLine="420"/>
        <w:rPr>
          <w:color w:val="auto"/>
          <w:sz w:val="21"/>
          <w:szCs w:val="21"/>
        </w:rPr>
      </w:pPr>
      <w:r>
        <w:rPr>
          <w:rFonts w:hint="eastAsia"/>
          <w:color w:val="auto"/>
          <w:sz w:val="21"/>
          <w:szCs w:val="21"/>
        </w:rPr>
        <w:t>5.质疑供应商为法人或者其他组织的，质疑函应由法定代表人、主要负责人，或者其授权代表签字或者盖章，并加盖公章。</w:t>
      </w:r>
    </w:p>
    <w:p w14:paraId="1943A787">
      <w:pPr>
        <w:pStyle w:val="14"/>
        <w:spacing w:line="360" w:lineRule="auto"/>
        <w:ind w:firstLine="420"/>
        <w:rPr>
          <w:rFonts w:hAnsi="宋体" w:cs="宋体"/>
          <w:b/>
          <w:bCs/>
          <w:color w:val="auto"/>
        </w:rPr>
      </w:pPr>
      <w:bookmarkStart w:id="82" w:name="_Toc3096"/>
      <w:bookmarkStart w:id="83" w:name="_Toc129703553"/>
    </w:p>
    <w:p w14:paraId="6ECD8F95">
      <w:pPr>
        <w:rPr>
          <w:rFonts w:ascii="宋体" w:hAnsi="宋体" w:cs="宋体"/>
          <w:color w:val="auto"/>
        </w:rPr>
      </w:pPr>
      <w:r>
        <w:rPr>
          <w:rFonts w:hint="eastAsia" w:ascii="宋体" w:hAnsi="宋体" w:cs="宋体"/>
          <w:color w:val="auto"/>
        </w:rPr>
        <w:br w:type="page"/>
      </w:r>
    </w:p>
    <w:p w14:paraId="52BE2CA9">
      <w:pPr>
        <w:pStyle w:val="14"/>
        <w:spacing w:line="360" w:lineRule="auto"/>
        <w:ind w:firstLine="420"/>
        <w:rPr>
          <w:rFonts w:hAnsi="宋体" w:cs="宋体"/>
          <w:color w:val="auto"/>
        </w:rPr>
      </w:pPr>
    </w:p>
    <w:p w14:paraId="5F712E02">
      <w:pPr>
        <w:pStyle w:val="14"/>
        <w:spacing w:line="360" w:lineRule="auto"/>
        <w:ind w:firstLine="420"/>
        <w:rPr>
          <w:rFonts w:hAnsi="宋体" w:cs="宋体"/>
          <w:color w:val="auto"/>
        </w:rPr>
      </w:pPr>
    </w:p>
    <w:p w14:paraId="13FEF585">
      <w:pPr>
        <w:pStyle w:val="14"/>
        <w:spacing w:line="360" w:lineRule="auto"/>
        <w:ind w:firstLine="420"/>
        <w:rPr>
          <w:rFonts w:hAnsi="宋体" w:cs="宋体"/>
          <w:color w:val="auto"/>
        </w:rPr>
      </w:pPr>
    </w:p>
    <w:p w14:paraId="1CB735C2">
      <w:pPr>
        <w:pStyle w:val="14"/>
        <w:spacing w:line="360" w:lineRule="auto"/>
        <w:ind w:firstLine="420"/>
        <w:rPr>
          <w:rFonts w:hAnsi="宋体" w:cs="宋体"/>
          <w:color w:val="auto"/>
        </w:rPr>
      </w:pPr>
    </w:p>
    <w:p w14:paraId="15B76569">
      <w:pPr>
        <w:pStyle w:val="2"/>
        <w:spacing w:before="120"/>
        <w:jc w:val="center"/>
        <w:rPr>
          <w:rFonts w:ascii="宋体" w:hAnsi="宋体" w:cs="宋体"/>
          <w:color w:val="auto"/>
        </w:rPr>
        <w:sectPr>
          <w:footerReference r:id="rId8" w:type="first"/>
          <w:pgSz w:w="11910" w:h="16840"/>
          <w:pgMar w:top="1440" w:right="1803" w:bottom="1440" w:left="1803" w:header="720" w:footer="720" w:gutter="0"/>
          <w:cols w:space="720" w:num="1"/>
        </w:sectPr>
      </w:pPr>
      <w:r>
        <w:rPr>
          <w:rFonts w:hint="eastAsia" w:ascii="宋体" w:hAnsi="宋体" w:cs="宋体"/>
          <w:color w:val="auto"/>
        </w:rPr>
        <w:t>第六章 合同文本</w:t>
      </w:r>
      <w:bookmarkEnd w:id="82"/>
      <w:bookmarkEnd w:id="83"/>
    </w:p>
    <w:p w14:paraId="37C495DE">
      <w:pPr>
        <w:snapToGrid w:val="0"/>
        <w:spacing w:before="120" w:line="400" w:lineRule="exact"/>
        <w:jc w:val="center"/>
        <w:rPr>
          <w:rFonts w:ascii="宋体" w:hAnsi="宋体"/>
          <w:b/>
          <w:bCs/>
          <w:color w:val="auto"/>
          <w:sz w:val="32"/>
          <w:szCs w:val="32"/>
        </w:rPr>
      </w:pPr>
      <w:r>
        <w:rPr>
          <w:rFonts w:hint="eastAsia" w:ascii="宋体" w:hAnsi="宋体"/>
          <w:b/>
          <w:bCs/>
          <w:color w:val="auto"/>
          <w:sz w:val="32"/>
          <w:szCs w:val="32"/>
        </w:rPr>
        <w:t>《广西壮族自治区政府采购合同》</w:t>
      </w:r>
    </w:p>
    <w:p w14:paraId="2FD01596">
      <w:pPr>
        <w:snapToGrid w:val="0"/>
        <w:spacing w:before="120" w:line="400" w:lineRule="exact"/>
        <w:jc w:val="center"/>
        <w:rPr>
          <w:rFonts w:ascii="宋体" w:hAnsi="宋体"/>
          <w:b/>
          <w:bCs/>
          <w:color w:val="auto"/>
          <w:sz w:val="32"/>
          <w:szCs w:val="32"/>
        </w:rPr>
      </w:pPr>
      <w:r>
        <w:rPr>
          <w:rFonts w:hint="eastAsia" w:ascii="宋体" w:hAnsi="宋体"/>
          <w:b/>
          <w:color w:val="auto"/>
          <w:sz w:val="32"/>
          <w:szCs w:val="32"/>
        </w:rPr>
        <w:t>文本</w:t>
      </w:r>
    </w:p>
    <w:p w14:paraId="495D2402">
      <w:pPr>
        <w:snapToGrid w:val="0"/>
        <w:spacing w:before="120" w:line="400" w:lineRule="exact"/>
        <w:ind w:right="480" w:firstLine="5250" w:firstLineChars="2500"/>
        <w:rPr>
          <w:rFonts w:ascii="宋体" w:hAnsi="宋体"/>
          <w:bCs/>
          <w:color w:val="auto"/>
          <w:szCs w:val="21"/>
          <w:u w:val="single"/>
        </w:rPr>
      </w:pPr>
      <w:r>
        <w:rPr>
          <w:rFonts w:hint="eastAsia" w:ascii="宋体" w:hAnsi="宋体"/>
          <w:bCs/>
          <w:color w:val="auto"/>
          <w:szCs w:val="21"/>
        </w:rPr>
        <w:t>合同编号：</w:t>
      </w:r>
    </w:p>
    <w:p w14:paraId="455836CE">
      <w:pPr>
        <w:snapToGrid w:val="0"/>
        <w:spacing w:before="120" w:line="360" w:lineRule="exact"/>
        <w:ind w:firstLine="420"/>
        <w:rPr>
          <w:rFonts w:ascii="宋体" w:hAnsi="宋体"/>
          <w:color w:val="auto"/>
          <w:szCs w:val="21"/>
        </w:rPr>
      </w:pPr>
    </w:p>
    <w:p w14:paraId="283E944C">
      <w:pPr>
        <w:snapToGrid w:val="0"/>
        <w:spacing w:before="120" w:line="360" w:lineRule="auto"/>
        <w:ind w:firstLine="420"/>
        <w:rPr>
          <w:rFonts w:ascii="宋体" w:hAnsi="宋体"/>
          <w:color w:val="auto"/>
          <w:szCs w:val="21"/>
          <w:u w:val="single"/>
        </w:rPr>
      </w:pPr>
      <w:r>
        <w:rPr>
          <w:rFonts w:hint="eastAsia" w:ascii="宋体" w:hAnsi="宋体"/>
          <w:color w:val="auto"/>
          <w:szCs w:val="21"/>
        </w:rPr>
        <w:t>采购人（甲方）</w:t>
      </w:r>
      <w:r>
        <w:rPr>
          <w:rFonts w:hint="eastAsia" w:ascii="宋体" w:hAnsi="宋体"/>
          <w:color w:val="auto"/>
          <w:szCs w:val="21"/>
          <w:u w:val="single"/>
        </w:rPr>
        <w:t xml:space="preserve">                            </w:t>
      </w:r>
      <w:r>
        <w:rPr>
          <w:rFonts w:hint="eastAsia" w:ascii="宋体" w:hAnsi="宋体"/>
          <w:color w:val="auto"/>
          <w:szCs w:val="21"/>
        </w:rPr>
        <w:t xml:space="preserve">    </w:t>
      </w:r>
      <w:r>
        <w:rPr>
          <w:rFonts w:hint="eastAsia" w:ascii="宋体" w:hAnsi="宋体"/>
          <w:color w:val="auto"/>
          <w:spacing w:val="-20"/>
          <w:szCs w:val="21"/>
        </w:rPr>
        <w:t>采 购 计 划 号</w:t>
      </w:r>
      <w:r>
        <w:rPr>
          <w:rFonts w:hint="eastAsia" w:ascii="宋体" w:hAnsi="宋体"/>
          <w:color w:val="auto"/>
          <w:szCs w:val="21"/>
          <w:u w:val="single"/>
        </w:rPr>
        <w:t xml:space="preserve">                           </w:t>
      </w:r>
    </w:p>
    <w:p w14:paraId="5B232246">
      <w:pPr>
        <w:snapToGrid w:val="0"/>
        <w:spacing w:before="120" w:line="360" w:lineRule="auto"/>
        <w:ind w:firstLine="420"/>
        <w:rPr>
          <w:rFonts w:ascii="宋体" w:hAnsi="宋体"/>
          <w:color w:val="auto"/>
          <w:szCs w:val="21"/>
          <w:u w:val="single"/>
        </w:rPr>
      </w:pPr>
      <w:r>
        <w:rPr>
          <w:rFonts w:hint="eastAsia" w:ascii="宋体" w:hAnsi="宋体"/>
          <w:color w:val="auto"/>
          <w:szCs w:val="21"/>
        </w:rPr>
        <w:t>供 应 商（乙方）</w:t>
      </w:r>
      <w:r>
        <w:rPr>
          <w:rFonts w:hint="eastAsia" w:ascii="宋体" w:hAnsi="宋体"/>
          <w:color w:val="auto"/>
          <w:szCs w:val="21"/>
          <w:u w:val="single"/>
        </w:rPr>
        <w:t xml:space="preserve">                          </w:t>
      </w:r>
      <w:r>
        <w:rPr>
          <w:rFonts w:hint="eastAsia" w:ascii="宋体" w:hAnsi="宋体"/>
          <w:color w:val="auto"/>
          <w:szCs w:val="21"/>
        </w:rPr>
        <w:t xml:space="preserve">    </w:t>
      </w:r>
      <w:r>
        <w:rPr>
          <w:rFonts w:hint="eastAsia" w:ascii="宋体" w:hAnsi="宋体"/>
          <w:color w:val="auto"/>
          <w:spacing w:val="-20"/>
          <w:szCs w:val="21"/>
        </w:rPr>
        <w:t>招  标  编  号</w:t>
      </w:r>
      <w:r>
        <w:rPr>
          <w:rFonts w:hint="eastAsia" w:ascii="宋体" w:hAnsi="宋体"/>
          <w:color w:val="auto"/>
          <w:szCs w:val="21"/>
          <w:u w:val="single"/>
        </w:rPr>
        <w:t xml:space="preserve">                            </w:t>
      </w:r>
    </w:p>
    <w:p w14:paraId="25561E57">
      <w:pPr>
        <w:snapToGrid w:val="0"/>
        <w:spacing w:before="120" w:line="360" w:lineRule="auto"/>
        <w:ind w:firstLine="420"/>
        <w:rPr>
          <w:rFonts w:ascii="宋体" w:hAnsi="宋体"/>
          <w:color w:val="auto"/>
          <w:szCs w:val="21"/>
          <w:u w:val="single"/>
        </w:rPr>
      </w:pPr>
      <w:r>
        <w:rPr>
          <w:rFonts w:hint="eastAsia" w:ascii="宋体" w:hAnsi="宋体"/>
          <w:color w:val="auto"/>
          <w:szCs w:val="21"/>
        </w:rPr>
        <w:t xml:space="preserve">签  订  地  点  </w:t>
      </w:r>
      <w:r>
        <w:rPr>
          <w:rFonts w:hint="eastAsia" w:ascii="宋体" w:hAnsi="宋体"/>
          <w:color w:val="auto"/>
          <w:szCs w:val="21"/>
          <w:u w:val="single"/>
        </w:rPr>
        <w:t xml:space="preserve">                          </w:t>
      </w:r>
      <w:r>
        <w:rPr>
          <w:rFonts w:hint="eastAsia" w:ascii="宋体" w:hAnsi="宋体"/>
          <w:color w:val="auto"/>
          <w:szCs w:val="21"/>
        </w:rPr>
        <w:t xml:space="preserve">    签 订 时 间</w:t>
      </w:r>
      <w:r>
        <w:rPr>
          <w:rFonts w:hint="eastAsia" w:ascii="宋体" w:hAnsi="宋体"/>
          <w:color w:val="auto"/>
          <w:szCs w:val="21"/>
          <w:u w:val="single"/>
        </w:rPr>
        <w:t xml:space="preserve">                           </w:t>
      </w:r>
    </w:p>
    <w:p w14:paraId="48940F8E">
      <w:pPr>
        <w:spacing w:before="120" w:line="360" w:lineRule="auto"/>
        <w:ind w:firstLine="420"/>
        <w:rPr>
          <w:rFonts w:ascii="宋体" w:hAnsi="宋体" w:cs="宋体"/>
          <w:color w:val="auto"/>
          <w:szCs w:val="21"/>
        </w:rPr>
      </w:pPr>
      <w:r>
        <w:rPr>
          <w:rFonts w:hint="eastAsia" w:ascii="宋体" w:hAnsi="宋体" w:cs="宋体"/>
          <w:color w:val="auto"/>
          <w:szCs w:val="21"/>
        </w:rPr>
        <w:t>本合同为中小企业预留合同：</w:t>
      </w:r>
      <w:r>
        <w:rPr>
          <w:rFonts w:hint="eastAsia" w:ascii="宋体" w:hAnsi="宋体" w:cs="宋体"/>
          <w:color w:val="auto"/>
          <w:szCs w:val="21"/>
          <w:u w:val="single"/>
        </w:rPr>
        <w:t>（是/否）</w:t>
      </w:r>
      <w:r>
        <w:rPr>
          <w:rFonts w:hint="eastAsia" w:ascii="宋体" w:hAnsi="宋体" w:cs="宋体"/>
          <w:color w:val="auto"/>
          <w:szCs w:val="21"/>
        </w:rPr>
        <w:t>。</w:t>
      </w:r>
    </w:p>
    <w:p w14:paraId="05F3E55E">
      <w:pPr>
        <w:snapToGrid w:val="0"/>
        <w:spacing w:before="120" w:line="360" w:lineRule="auto"/>
        <w:ind w:firstLine="420" w:firstLineChars="200"/>
        <w:rPr>
          <w:rFonts w:ascii="宋体" w:hAnsi="宋体"/>
          <w:color w:val="auto"/>
          <w:szCs w:val="21"/>
        </w:rPr>
      </w:pPr>
    </w:p>
    <w:p w14:paraId="5E774B20">
      <w:pPr>
        <w:snapToGrid w:val="0"/>
        <w:spacing w:before="120" w:line="360" w:lineRule="auto"/>
        <w:ind w:firstLine="420" w:firstLineChars="200"/>
        <w:rPr>
          <w:rFonts w:ascii="宋体" w:hAnsi="宋体"/>
          <w:color w:val="auto"/>
          <w:szCs w:val="21"/>
        </w:rPr>
      </w:pPr>
      <w:r>
        <w:rPr>
          <w:rFonts w:hint="eastAsia" w:ascii="宋体" w:hAnsi="宋体"/>
          <w:color w:val="auto"/>
          <w:szCs w:val="21"/>
        </w:rPr>
        <w:t>根据《中华人民共和国政府采购法》《中华人民共和国民法典》等法律、法规规定，按照采购文件规定条款和成交供应商承诺，甲乙双方签订本合同。</w:t>
      </w:r>
    </w:p>
    <w:p w14:paraId="6FB5B4DB">
      <w:pPr>
        <w:snapToGrid w:val="0"/>
        <w:spacing w:before="120" w:line="360" w:lineRule="auto"/>
        <w:ind w:firstLine="422" w:firstLineChars="200"/>
        <w:rPr>
          <w:rFonts w:ascii="宋体" w:hAnsi="宋体"/>
          <w:b/>
          <w:color w:val="auto"/>
          <w:szCs w:val="21"/>
        </w:rPr>
      </w:pPr>
      <w:r>
        <w:rPr>
          <w:rFonts w:hint="eastAsia" w:ascii="宋体" w:hAnsi="宋体"/>
          <w:b/>
          <w:color w:val="auto"/>
          <w:szCs w:val="21"/>
        </w:rPr>
        <w:t>第一条　合同标的</w:t>
      </w:r>
    </w:p>
    <w:p w14:paraId="2472C4E3">
      <w:pPr>
        <w:snapToGrid w:val="0"/>
        <w:spacing w:before="120" w:line="360" w:lineRule="auto"/>
        <w:ind w:firstLine="420" w:firstLineChars="200"/>
        <w:rPr>
          <w:rFonts w:ascii="宋体" w:hAnsi="宋体"/>
          <w:color w:val="auto"/>
          <w:szCs w:val="21"/>
        </w:rPr>
      </w:pPr>
      <w:r>
        <w:rPr>
          <w:rFonts w:hint="eastAsia" w:ascii="宋体" w:hAnsi="宋体"/>
          <w:color w:val="auto"/>
          <w:szCs w:val="21"/>
        </w:rPr>
        <w:t>1.供货一览表</w:t>
      </w:r>
    </w:p>
    <w:tbl>
      <w:tblPr>
        <w:tblStyle w:val="26"/>
        <w:tblW w:w="875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179"/>
        <w:gridCol w:w="1013"/>
        <w:gridCol w:w="1179"/>
        <w:gridCol w:w="1070"/>
        <w:gridCol w:w="645"/>
        <w:gridCol w:w="658"/>
        <w:gridCol w:w="1196"/>
        <w:gridCol w:w="1137"/>
      </w:tblGrid>
      <w:tr w14:paraId="2A80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678" w:type="dxa"/>
            <w:vAlign w:val="center"/>
          </w:tcPr>
          <w:p w14:paraId="3DA0CECB">
            <w:pPr>
              <w:snapToGrid w:val="0"/>
              <w:spacing w:before="120" w:line="360" w:lineRule="auto"/>
              <w:rPr>
                <w:rFonts w:ascii="宋体" w:hAnsi="宋体"/>
                <w:color w:val="auto"/>
                <w:szCs w:val="21"/>
              </w:rPr>
            </w:pPr>
            <w:r>
              <w:rPr>
                <w:rFonts w:hint="eastAsia" w:ascii="宋体" w:hAnsi="宋体"/>
                <w:color w:val="auto"/>
                <w:szCs w:val="21"/>
              </w:rPr>
              <w:t>序号</w:t>
            </w:r>
          </w:p>
        </w:tc>
        <w:tc>
          <w:tcPr>
            <w:tcW w:w="1179" w:type="dxa"/>
            <w:vAlign w:val="center"/>
          </w:tcPr>
          <w:p w14:paraId="110F9C6E">
            <w:pPr>
              <w:snapToGrid w:val="0"/>
              <w:spacing w:before="120" w:line="360" w:lineRule="auto"/>
              <w:rPr>
                <w:rFonts w:ascii="宋体" w:hAnsi="宋体"/>
                <w:color w:val="auto"/>
                <w:szCs w:val="21"/>
              </w:rPr>
            </w:pPr>
            <w:r>
              <w:rPr>
                <w:rFonts w:hint="eastAsia" w:ascii="宋体" w:hAnsi="宋体"/>
                <w:color w:val="auto"/>
                <w:szCs w:val="21"/>
              </w:rPr>
              <w:t>产品名称</w:t>
            </w:r>
          </w:p>
        </w:tc>
        <w:tc>
          <w:tcPr>
            <w:tcW w:w="1013" w:type="dxa"/>
            <w:vAlign w:val="center"/>
          </w:tcPr>
          <w:p w14:paraId="6C66AE01">
            <w:pPr>
              <w:snapToGrid w:val="0"/>
              <w:spacing w:before="120" w:line="360" w:lineRule="auto"/>
              <w:rPr>
                <w:rFonts w:ascii="宋体" w:hAnsi="宋体"/>
                <w:color w:val="auto"/>
                <w:szCs w:val="21"/>
              </w:rPr>
            </w:pPr>
            <w:r>
              <w:rPr>
                <w:rFonts w:hint="eastAsia" w:ascii="宋体" w:hAnsi="宋体"/>
                <w:color w:val="auto"/>
                <w:szCs w:val="21"/>
              </w:rPr>
              <w:t>商标品牌</w:t>
            </w:r>
          </w:p>
        </w:tc>
        <w:tc>
          <w:tcPr>
            <w:tcW w:w="1179" w:type="dxa"/>
            <w:vAlign w:val="center"/>
          </w:tcPr>
          <w:p w14:paraId="56343F43">
            <w:pPr>
              <w:snapToGrid w:val="0"/>
              <w:spacing w:before="120" w:line="360" w:lineRule="auto"/>
              <w:rPr>
                <w:rFonts w:ascii="宋体" w:hAnsi="宋体"/>
                <w:color w:val="auto"/>
                <w:szCs w:val="21"/>
              </w:rPr>
            </w:pPr>
            <w:r>
              <w:rPr>
                <w:rFonts w:hint="eastAsia" w:ascii="宋体" w:hAnsi="宋体"/>
                <w:color w:val="auto"/>
                <w:szCs w:val="21"/>
              </w:rPr>
              <w:t>规格型号</w:t>
            </w:r>
          </w:p>
        </w:tc>
        <w:tc>
          <w:tcPr>
            <w:tcW w:w="1070" w:type="dxa"/>
            <w:vAlign w:val="center"/>
          </w:tcPr>
          <w:p w14:paraId="5C4137D7">
            <w:pPr>
              <w:snapToGrid w:val="0"/>
              <w:spacing w:before="120" w:line="360" w:lineRule="auto"/>
              <w:rPr>
                <w:rFonts w:ascii="宋体" w:hAnsi="宋体"/>
                <w:color w:val="auto"/>
                <w:szCs w:val="21"/>
              </w:rPr>
            </w:pPr>
            <w:r>
              <w:rPr>
                <w:rFonts w:hint="eastAsia" w:ascii="宋体" w:hAnsi="宋体"/>
                <w:color w:val="auto"/>
                <w:szCs w:val="21"/>
              </w:rPr>
              <w:t>生产厂家</w:t>
            </w:r>
          </w:p>
        </w:tc>
        <w:tc>
          <w:tcPr>
            <w:tcW w:w="645" w:type="dxa"/>
            <w:vAlign w:val="center"/>
          </w:tcPr>
          <w:p w14:paraId="4347CFBE">
            <w:pPr>
              <w:snapToGrid w:val="0"/>
              <w:spacing w:before="120" w:line="360" w:lineRule="auto"/>
              <w:rPr>
                <w:rFonts w:ascii="宋体" w:hAnsi="宋体"/>
                <w:color w:val="auto"/>
                <w:szCs w:val="21"/>
              </w:rPr>
            </w:pPr>
            <w:r>
              <w:rPr>
                <w:rFonts w:hint="eastAsia" w:ascii="宋体" w:hAnsi="宋体"/>
                <w:color w:val="auto"/>
                <w:szCs w:val="21"/>
              </w:rPr>
              <w:t>数量</w:t>
            </w:r>
          </w:p>
        </w:tc>
        <w:tc>
          <w:tcPr>
            <w:tcW w:w="658" w:type="dxa"/>
            <w:vAlign w:val="center"/>
          </w:tcPr>
          <w:p w14:paraId="26614F9E">
            <w:pPr>
              <w:snapToGrid w:val="0"/>
              <w:spacing w:before="120" w:line="360" w:lineRule="auto"/>
              <w:rPr>
                <w:rFonts w:ascii="宋体" w:hAnsi="宋体"/>
                <w:color w:val="auto"/>
                <w:szCs w:val="21"/>
              </w:rPr>
            </w:pPr>
            <w:r>
              <w:rPr>
                <w:rFonts w:hint="eastAsia" w:ascii="宋体" w:hAnsi="宋体"/>
                <w:color w:val="auto"/>
                <w:szCs w:val="21"/>
              </w:rPr>
              <w:t>单位</w:t>
            </w:r>
          </w:p>
        </w:tc>
        <w:tc>
          <w:tcPr>
            <w:tcW w:w="1196" w:type="dxa"/>
            <w:vAlign w:val="center"/>
          </w:tcPr>
          <w:p w14:paraId="6F9B9301">
            <w:pPr>
              <w:snapToGrid w:val="0"/>
              <w:spacing w:before="120" w:line="360" w:lineRule="auto"/>
              <w:rPr>
                <w:rFonts w:ascii="宋体" w:hAnsi="宋体"/>
                <w:color w:val="auto"/>
                <w:szCs w:val="21"/>
              </w:rPr>
            </w:pPr>
            <w:r>
              <w:rPr>
                <w:rFonts w:hint="eastAsia" w:ascii="宋体" w:hAnsi="宋体"/>
                <w:color w:val="auto"/>
                <w:szCs w:val="21"/>
              </w:rPr>
              <w:t>单价（元）</w:t>
            </w:r>
          </w:p>
        </w:tc>
        <w:tc>
          <w:tcPr>
            <w:tcW w:w="1137" w:type="dxa"/>
            <w:vAlign w:val="center"/>
          </w:tcPr>
          <w:p w14:paraId="7267B5D5">
            <w:pPr>
              <w:snapToGrid w:val="0"/>
              <w:spacing w:before="120" w:line="360" w:lineRule="auto"/>
              <w:rPr>
                <w:rFonts w:ascii="宋体" w:hAnsi="宋体"/>
                <w:color w:val="auto"/>
                <w:szCs w:val="21"/>
              </w:rPr>
            </w:pPr>
            <w:r>
              <w:rPr>
                <w:rFonts w:hint="eastAsia" w:ascii="宋体" w:hAnsi="宋体"/>
                <w:color w:val="auto"/>
                <w:szCs w:val="21"/>
              </w:rPr>
              <w:t>合计（元）</w:t>
            </w:r>
          </w:p>
        </w:tc>
      </w:tr>
      <w:tr w14:paraId="17BD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78" w:type="dxa"/>
            <w:vAlign w:val="center"/>
          </w:tcPr>
          <w:p w14:paraId="737B6EA2">
            <w:pPr>
              <w:snapToGrid w:val="0"/>
              <w:spacing w:before="120" w:line="360" w:lineRule="auto"/>
              <w:rPr>
                <w:rFonts w:ascii="宋体" w:hAnsi="宋体"/>
                <w:color w:val="auto"/>
                <w:szCs w:val="21"/>
              </w:rPr>
            </w:pPr>
            <w:r>
              <w:rPr>
                <w:rFonts w:hint="eastAsia" w:ascii="宋体" w:hAnsi="宋体"/>
                <w:color w:val="auto"/>
                <w:szCs w:val="21"/>
              </w:rPr>
              <w:t>1</w:t>
            </w:r>
          </w:p>
        </w:tc>
        <w:tc>
          <w:tcPr>
            <w:tcW w:w="1179" w:type="dxa"/>
            <w:vAlign w:val="center"/>
          </w:tcPr>
          <w:p w14:paraId="1E3620DA">
            <w:pPr>
              <w:snapToGrid w:val="0"/>
              <w:spacing w:before="120" w:line="360" w:lineRule="auto"/>
              <w:ind w:firstLine="420"/>
              <w:jc w:val="center"/>
              <w:rPr>
                <w:rFonts w:ascii="宋体" w:hAnsi="宋体"/>
                <w:color w:val="auto"/>
                <w:szCs w:val="21"/>
              </w:rPr>
            </w:pPr>
          </w:p>
        </w:tc>
        <w:tc>
          <w:tcPr>
            <w:tcW w:w="1013" w:type="dxa"/>
            <w:vAlign w:val="center"/>
          </w:tcPr>
          <w:p w14:paraId="2B02DA79">
            <w:pPr>
              <w:snapToGrid w:val="0"/>
              <w:spacing w:before="120" w:line="360" w:lineRule="auto"/>
              <w:ind w:firstLine="420"/>
              <w:jc w:val="center"/>
              <w:rPr>
                <w:rFonts w:ascii="宋体" w:hAnsi="宋体"/>
                <w:color w:val="auto"/>
                <w:szCs w:val="21"/>
              </w:rPr>
            </w:pPr>
          </w:p>
        </w:tc>
        <w:tc>
          <w:tcPr>
            <w:tcW w:w="1179" w:type="dxa"/>
            <w:vAlign w:val="center"/>
          </w:tcPr>
          <w:p w14:paraId="0647FBA5">
            <w:pPr>
              <w:snapToGrid w:val="0"/>
              <w:spacing w:before="120" w:line="360" w:lineRule="auto"/>
              <w:ind w:firstLine="420"/>
              <w:jc w:val="center"/>
              <w:rPr>
                <w:rFonts w:ascii="宋体" w:hAnsi="宋体"/>
                <w:color w:val="auto"/>
                <w:szCs w:val="21"/>
              </w:rPr>
            </w:pPr>
          </w:p>
        </w:tc>
        <w:tc>
          <w:tcPr>
            <w:tcW w:w="1070" w:type="dxa"/>
          </w:tcPr>
          <w:p w14:paraId="36AA93BB">
            <w:pPr>
              <w:snapToGrid w:val="0"/>
              <w:spacing w:before="120" w:line="360" w:lineRule="auto"/>
              <w:ind w:firstLine="420"/>
              <w:jc w:val="center"/>
              <w:rPr>
                <w:rFonts w:ascii="宋体" w:hAnsi="宋体"/>
                <w:color w:val="auto"/>
                <w:szCs w:val="21"/>
              </w:rPr>
            </w:pPr>
          </w:p>
        </w:tc>
        <w:tc>
          <w:tcPr>
            <w:tcW w:w="645" w:type="dxa"/>
          </w:tcPr>
          <w:p w14:paraId="6E714228">
            <w:pPr>
              <w:snapToGrid w:val="0"/>
              <w:spacing w:before="120" w:line="360" w:lineRule="auto"/>
              <w:ind w:firstLine="420"/>
              <w:jc w:val="center"/>
              <w:rPr>
                <w:rFonts w:ascii="宋体" w:hAnsi="宋体"/>
                <w:color w:val="auto"/>
                <w:szCs w:val="21"/>
              </w:rPr>
            </w:pPr>
          </w:p>
        </w:tc>
        <w:tc>
          <w:tcPr>
            <w:tcW w:w="658" w:type="dxa"/>
          </w:tcPr>
          <w:p w14:paraId="59846E6A">
            <w:pPr>
              <w:snapToGrid w:val="0"/>
              <w:spacing w:before="120" w:line="360" w:lineRule="auto"/>
              <w:ind w:firstLine="420"/>
              <w:jc w:val="center"/>
              <w:rPr>
                <w:rFonts w:ascii="宋体" w:hAnsi="宋体"/>
                <w:color w:val="auto"/>
                <w:szCs w:val="21"/>
              </w:rPr>
            </w:pPr>
          </w:p>
        </w:tc>
        <w:tc>
          <w:tcPr>
            <w:tcW w:w="1196" w:type="dxa"/>
            <w:vAlign w:val="center"/>
          </w:tcPr>
          <w:p w14:paraId="6F27FEDA">
            <w:pPr>
              <w:snapToGrid w:val="0"/>
              <w:spacing w:before="120" w:line="360" w:lineRule="auto"/>
              <w:ind w:firstLine="420"/>
              <w:jc w:val="center"/>
              <w:rPr>
                <w:rFonts w:ascii="宋体" w:hAnsi="宋体"/>
                <w:color w:val="auto"/>
                <w:szCs w:val="21"/>
              </w:rPr>
            </w:pPr>
          </w:p>
        </w:tc>
        <w:tc>
          <w:tcPr>
            <w:tcW w:w="1137" w:type="dxa"/>
            <w:vAlign w:val="center"/>
          </w:tcPr>
          <w:p w14:paraId="522E7D62">
            <w:pPr>
              <w:snapToGrid w:val="0"/>
              <w:spacing w:before="120" w:line="360" w:lineRule="auto"/>
              <w:ind w:firstLine="420"/>
              <w:jc w:val="center"/>
              <w:rPr>
                <w:rFonts w:ascii="宋体" w:hAnsi="宋体"/>
                <w:color w:val="auto"/>
                <w:szCs w:val="21"/>
              </w:rPr>
            </w:pPr>
          </w:p>
        </w:tc>
      </w:tr>
      <w:tr w14:paraId="53E9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78" w:type="dxa"/>
            <w:vAlign w:val="center"/>
          </w:tcPr>
          <w:p w14:paraId="7E4AB879">
            <w:pPr>
              <w:snapToGrid w:val="0"/>
              <w:spacing w:before="120" w:line="360" w:lineRule="auto"/>
              <w:rPr>
                <w:rFonts w:ascii="宋体" w:hAnsi="宋体"/>
                <w:color w:val="auto"/>
                <w:szCs w:val="21"/>
              </w:rPr>
            </w:pPr>
            <w:r>
              <w:rPr>
                <w:rFonts w:hint="eastAsia" w:ascii="宋体" w:hAnsi="宋体"/>
                <w:color w:val="auto"/>
                <w:szCs w:val="21"/>
              </w:rPr>
              <w:t>2</w:t>
            </w:r>
          </w:p>
        </w:tc>
        <w:tc>
          <w:tcPr>
            <w:tcW w:w="1179" w:type="dxa"/>
            <w:vAlign w:val="center"/>
          </w:tcPr>
          <w:p w14:paraId="199F7FC8">
            <w:pPr>
              <w:snapToGrid w:val="0"/>
              <w:spacing w:before="120" w:line="360" w:lineRule="auto"/>
              <w:ind w:firstLine="420"/>
              <w:jc w:val="center"/>
              <w:rPr>
                <w:rFonts w:ascii="宋体" w:hAnsi="宋体"/>
                <w:color w:val="auto"/>
                <w:szCs w:val="21"/>
              </w:rPr>
            </w:pPr>
          </w:p>
        </w:tc>
        <w:tc>
          <w:tcPr>
            <w:tcW w:w="1013" w:type="dxa"/>
            <w:vAlign w:val="center"/>
          </w:tcPr>
          <w:p w14:paraId="62C7B885">
            <w:pPr>
              <w:snapToGrid w:val="0"/>
              <w:spacing w:before="120" w:line="360" w:lineRule="auto"/>
              <w:ind w:firstLine="420"/>
              <w:jc w:val="center"/>
              <w:rPr>
                <w:rFonts w:ascii="宋体" w:hAnsi="宋体"/>
                <w:color w:val="auto"/>
                <w:szCs w:val="21"/>
              </w:rPr>
            </w:pPr>
          </w:p>
        </w:tc>
        <w:tc>
          <w:tcPr>
            <w:tcW w:w="1179" w:type="dxa"/>
            <w:vAlign w:val="center"/>
          </w:tcPr>
          <w:p w14:paraId="70160461">
            <w:pPr>
              <w:snapToGrid w:val="0"/>
              <w:spacing w:before="120" w:line="360" w:lineRule="auto"/>
              <w:ind w:firstLine="420"/>
              <w:jc w:val="center"/>
              <w:rPr>
                <w:rFonts w:ascii="宋体" w:hAnsi="宋体"/>
                <w:color w:val="auto"/>
                <w:szCs w:val="21"/>
              </w:rPr>
            </w:pPr>
          </w:p>
        </w:tc>
        <w:tc>
          <w:tcPr>
            <w:tcW w:w="1070" w:type="dxa"/>
          </w:tcPr>
          <w:p w14:paraId="2EA87ED7">
            <w:pPr>
              <w:snapToGrid w:val="0"/>
              <w:spacing w:before="120" w:line="360" w:lineRule="auto"/>
              <w:ind w:firstLine="420"/>
              <w:jc w:val="center"/>
              <w:rPr>
                <w:rFonts w:ascii="宋体" w:hAnsi="宋体"/>
                <w:color w:val="auto"/>
                <w:szCs w:val="21"/>
              </w:rPr>
            </w:pPr>
          </w:p>
        </w:tc>
        <w:tc>
          <w:tcPr>
            <w:tcW w:w="645" w:type="dxa"/>
          </w:tcPr>
          <w:p w14:paraId="23E9D439">
            <w:pPr>
              <w:snapToGrid w:val="0"/>
              <w:spacing w:before="120" w:line="360" w:lineRule="auto"/>
              <w:ind w:firstLine="420"/>
              <w:jc w:val="center"/>
              <w:rPr>
                <w:rFonts w:ascii="宋体" w:hAnsi="宋体"/>
                <w:color w:val="auto"/>
                <w:szCs w:val="21"/>
              </w:rPr>
            </w:pPr>
          </w:p>
        </w:tc>
        <w:tc>
          <w:tcPr>
            <w:tcW w:w="658" w:type="dxa"/>
          </w:tcPr>
          <w:p w14:paraId="6D347068">
            <w:pPr>
              <w:snapToGrid w:val="0"/>
              <w:spacing w:before="120" w:line="360" w:lineRule="auto"/>
              <w:ind w:firstLine="420"/>
              <w:jc w:val="center"/>
              <w:rPr>
                <w:rFonts w:ascii="宋体" w:hAnsi="宋体"/>
                <w:color w:val="auto"/>
                <w:szCs w:val="21"/>
              </w:rPr>
            </w:pPr>
          </w:p>
        </w:tc>
        <w:tc>
          <w:tcPr>
            <w:tcW w:w="1196" w:type="dxa"/>
            <w:vAlign w:val="center"/>
          </w:tcPr>
          <w:p w14:paraId="4C0C2DA9">
            <w:pPr>
              <w:snapToGrid w:val="0"/>
              <w:spacing w:before="120" w:line="360" w:lineRule="auto"/>
              <w:ind w:firstLine="420"/>
              <w:jc w:val="center"/>
              <w:rPr>
                <w:rFonts w:ascii="宋体" w:hAnsi="宋体"/>
                <w:color w:val="auto"/>
                <w:szCs w:val="21"/>
              </w:rPr>
            </w:pPr>
          </w:p>
        </w:tc>
        <w:tc>
          <w:tcPr>
            <w:tcW w:w="1137" w:type="dxa"/>
            <w:vAlign w:val="center"/>
          </w:tcPr>
          <w:p w14:paraId="7EA3143F">
            <w:pPr>
              <w:snapToGrid w:val="0"/>
              <w:spacing w:before="120" w:line="360" w:lineRule="auto"/>
              <w:ind w:firstLine="420"/>
              <w:jc w:val="center"/>
              <w:rPr>
                <w:rFonts w:ascii="宋体" w:hAnsi="宋体"/>
                <w:color w:val="auto"/>
                <w:szCs w:val="21"/>
              </w:rPr>
            </w:pPr>
          </w:p>
        </w:tc>
      </w:tr>
      <w:tr w14:paraId="18A8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78" w:type="dxa"/>
            <w:vAlign w:val="center"/>
          </w:tcPr>
          <w:p w14:paraId="6DCF5684">
            <w:pPr>
              <w:snapToGrid w:val="0"/>
              <w:spacing w:before="120"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w:t>
            </w:r>
          </w:p>
        </w:tc>
        <w:tc>
          <w:tcPr>
            <w:tcW w:w="1179" w:type="dxa"/>
            <w:vAlign w:val="center"/>
          </w:tcPr>
          <w:p w14:paraId="45FE4AA1">
            <w:pPr>
              <w:snapToGrid w:val="0"/>
              <w:spacing w:before="120" w:line="360" w:lineRule="auto"/>
              <w:ind w:firstLine="420"/>
              <w:jc w:val="center"/>
              <w:rPr>
                <w:rFonts w:ascii="宋体" w:hAnsi="宋体"/>
                <w:color w:val="auto"/>
                <w:szCs w:val="21"/>
              </w:rPr>
            </w:pPr>
          </w:p>
        </w:tc>
        <w:tc>
          <w:tcPr>
            <w:tcW w:w="1013" w:type="dxa"/>
            <w:vAlign w:val="center"/>
          </w:tcPr>
          <w:p w14:paraId="3B89DDF7">
            <w:pPr>
              <w:snapToGrid w:val="0"/>
              <w:spacing w:before="120" w:line="360" w:lineRule="auto"/>
              <w:ind w:firstLine="420"/>
              <w:jc w:val="center"/>
              <w:rPr>
                <w:rFonts w:ascii="宋体" w:hAnsi="宋体"/>
                <w:color w:val="auto"/>
                <w:szCs w:val="21"/>
              </w:rPr>
            </w:pPr>
          </w:p>
        </w:tc>
        <w:tc>
          <w:tcPr>
            <w:tcW w:w="1179" w:type="dxa"/>
            <w:vAlign w:val="center"/>
          </w:tcPr>
          <w:p w14:paraId="547FB854">
            <w:pPr>
              <w:snapToGrid w:val="0"/>
              <w:spacing w:before="120" w:line="360" w:lineRule="auto"/>
              <w:ind w:firstLine="420"/>
              <w:jc w:val="center"/>
              <w:rPr>
                <w:rFonts w:ascii="宋体" w:hAnsi="宋体"/>
                <w:color w:val="auto"/>
                <w:szCs w:val="21"/>
              </w:rPr>
            </w:pPr>
          </w:p>
        </w:tc>
        <w:tc>
          <w:tcPr>
            <w:tcW w:w="1070" w:type="dxa"/>
          </w:tcPr>
          <w:p w14:paraId="218087D3">
            <w:pPr>
              <w:snapToGrid w:val="0"/>
              <w:spacing w:before="120" w:line="360" w:lineRule="auto"/>
              <w:ind w:firstLine="420"/>
              <w:jc w:val="center"/>
              <w:rPr>
                <w:rFonts w:ascii="宋体" w:hAnsi="宋体"/>
                <w:color w:val="auto"/>
                <w:szCs w:val="21"/>
              </w:rPr>
            </w:pPr>
          </w:p>
        </w:tc>
        <w:tc>
          <w:tcPr>
            <w:tcW w:w="645" w:type="dxa"/>
          </w:tcPr>
          <w:p w14:paraId="058E4227">
            <w:pPr>
              <w:snapToGrid w:val="0"/>
              <w:spacing w:before="120" w:line="360" w:lineRule="auto"/>
              <w:ind w:firstLine="420"/>
              <w:jc w:val="center"/>
              <w:rPr>
                <w:rFonts w:ascii="宋体" w:hAnsi="宋体"/>
                <w:color w:val="auto"/>
                <w:szCs w:val="21"/>
              </w:rPr>
            </w:pPr>
          </w:p>
        </w:tc>
        <w:tc>
          <w:tcPr>
            <w:tcW w:w="658" w:type="dxa"/>
          </w:tcPr>
          <w:p w14:paraId="04313C07">
            <w:pPr>
              <w:snapToGrid w:val="0"/>
              <w:spacing w:before="120" w:line="360" w:lineRule="auto"/>
              <w:ind w:firstLine="420"/>
              <w:jc w:val="center"/>
              <w:rPr>
                <w:rFonts w:ascii="宋体" w:hAnsi="宋体"/>
                <w:color w:val="auto"/>
                <w:szCs w:val="21"/>
              </w:rPr>
            </w:pPr>
          </w:p>
        </w:tc>
        <w:tc>
          <w:tcPr>
            <w:tcW w:w="1196" w:type="dxa"/>
            <w:vAlign w:val="center"/>
          </w:tcPr>
          <w:p w14:paraId="648B3A48">
            <w:pPr>
              <w:snapToGrid w:val="0"/>
              <w:spacing w:before="120" w:line="360" w:lineRule="auto"/>
              <w:ind w:firstLine="420"/>
              <w:jc w:val="center"/>
              <w:rPr>
                <w:rFonts w:ascii="宋体" w:hAnsi="宋体"/>
                <w:color w:val="auto"/>
                <w:szCs w:val="21"/>
              </w:rPr>
            </w:pPr>
          </w:p>
        </w:tc>
        <w:tc>
          <w:tcPr>
            <w:tcW w:w="1137" w:type="dxa"/>
            <w:vAlign w:val="center"/>
          </w:tcPr>
          <w:p w14:paraId="775E388E">
            <w:pPr>
              <w:snapToGrid w:val="0"/>
              <w:spacing w:before="120" w:line="360" w:lineRule="auto"/>
              <w:ind w:firstLine="420"/>
              <w:jc w:val="center"/>
              <w:rPr>
                <w:rFonts w:ascii="宋体" w:hAnsi="宋体"/>
                <w:color w:val="auto"/>
                <w:szCs w:val="21"/>
              </w:rPr>
            </w:pPr>
          </w:p>
        </w:tc>
      </w:tr>
      <w:tr w14:paraId="7F91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8755" w:type="dxa"/>
            <w:gridSpan w:val="9"/>
            <w:vAlign w:val="center"/>
          </w:tcPr>
          <w:p w14:paraId="113D0B59">
            <w:pPr>
              <w:snapToGrid w:val="0"/>
              <w:spacing w:before="120" w:line="360" w:lineRule="auto"/>
              <w:ind w:firstLine="420"/>
              <w:rPr>
                <w:rFonts w:ascii="宋体" w:hAnsi="宋体"/>
                <w:color w:val="auto"/>
                <w:szCs w:val="21"/>
              </w:rPr>
            </w:pPr>
            <w:r>
              <w:rPr>
                <w:rFonts w:hint="eastAsia" w:ascii="宋体" w:hAnsi="宋体"/>
                <w:color w:val="auto"/>
                <w:szCs w:val="21"/>
              </w:rPr>
              <w:t xml:space="preserve">人民币合计金额（大写）                          （小写）                 </w:t>
            </w:r>
          </w:p>
        </w:tc>
      </w:tr>
    </w:tbl>
    <w:p w14:paraId="014E4F8D">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2.合同合计金额包括货物价款，备件、专用工具、安装、调试、检验、技术培训及技术资料和包装、运输等全部费用。</w:t>
      </w:r>
    </w:p>
    <w:p w14:paraId="6732881B">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3.合同期限：</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w:t>
      </w:r>
    </w:p>
    <w:p w14:paraId="6FED5CD5">
      <w:pPr>
        <w:snapToGrid w:val="0"/>
        <w:spacing w:line="420" w:lineRule="exact"/>
        <w:ind w:firstLine="422" w:firstLineChars="200"/>
        <w:rPr>
          <w:rFonts w:ascii="宋体" w:hAnsi="宋体" w:cs="宋体"/>
          <w:color w:val="auto"/>
          <w:szCs w:val="21"/>
        </w:rPr>
      </w:pPr>
      <w:r>
        <w:rPr>
          <w:rFonts w:hint="eastAsia" w:ascii="宋体" w:hAnsi="宋体" w:cs="宋体"/>
          <w:b/>
          <w:color w:val="auto"/>
          <w:szCs w:val="21"/>
        </w:rPr>
        <w:t>第二条　质量要求</w:t>
      </w:r>
    </w:p>
    <w:p w14:paraId="6E80E80B">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1.乙方所提供的产品名称、商标品牌、生产厂家、规格型号、技术参数等质量必须与招标文件规定及投标文件承诺相一致。乙方提供的节能和环保产品必须是列入政府采购品目清单的产品。</w:t>
      </w:r>
    </w:p>
    <w:p w14:paraId="6FFF8666">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乙方所提供的货物必须是全新、未使用的原装产品，且在正常使用下，其使用寿命期内各项指标均达到竞争性谈判文件规定或者响应文件承诺的质量要求。不符合要求的，根据实际情况，经双方协商，可按以下办法处理：</w:t>
      </w:r>
    </w:p>
    <w:p w14:paraId="53A7174F">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⑴更换：由乙方承担所发生的全部费用。</w:t>
      </w:r>
    </w:p>
    <w:p w14:paraId="152424DB">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⑵贬值处理：由甲乙双方合议定价。</w:t>
      </w:r>
    </w:p>
    <w:p w14:paraId="3CB33448">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⑶退货处理：乙方应退还甲方支付的合同款，同时应承担该货物的直接费用（运输、保险、检验、货款利息及银行手续费等）。</w:t>
      </w:r>
    </w:p>
    <w:p w14:paraId="72660EA3">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3.如在使用过程中发生质量问题，乙方在接到甲方通知后到达甲方现场处理的时间为12小时内。</w:t>
      </w:r>
    </w:p>
    <w:p w14:paraId="16273CD9">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4.在质保期内，乙方应对货物出现的质量及安全问题负责处理解决并承担一切费用。</w:t>
      </w:r>
    </w:p>
    <w:p w14:paraId="5A299792">
      <w:pPr>
        <w:snapToGrid w:val="0"/>
        <w:spacing w:line="360" w:lineRule="auto"/>
        <w:ind w:firstLine="422" w:firstLineChars="200"/>
        <w:rPr>
          <w:rFonts w:ascii="宋体" w:hAnsi="宋体" w:cs="宋体"/>
          <w:color w:val="auto"/>
          <w:szCs w:val="21"/>
        </w:rPr>
      </w:pPr>
      <w:r>
        <w:rPr>
          <w:rFonts w:hint="eastAsia" w:ascii="宋体" w:hAnsi="宋体" w:cs="宋体"/>
          <w:b/>
          <w:color w:val="auto"/>
          <w:szCs w:val="21"/>
        </w:rPr>
        <w:t>第三条　权利保证</w:t>
      </w:r>
    </w:p>
    <w:p w14:paraId="2A362248">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1.乙方应保证所提供货物在使用时不会侵犯任何第三方的专利权、商标权、工业设计权或者其他权利。</w:t>
      </w:r>
    </w:p>
    <w:p w14:paraId="1D908D05">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2.乙方应按招标文件规定或者投标文件承诺的时间向甲方提供使用货物的有关技术资料。</w:t>
      </w:r>
    </w:p>
    <w:p w14:paraId="0AE2A662">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1BC8E7B0">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4.乙方保证将要交付的货物的所有权完全属于乙方且无任何抵押、质押、查封等产权瑕疵。</w:t>
      </w:r>
    </w:p>
    <w:p w14:paraId="112DC333">
      <w:pPr>
        <w:snapToGrid w:val="0"/>
        <w:spacing w:line="420" w:lineRule="exact"/>
        <w:ind w:firstLine="422" w:firstLineChars="200"/>
        <w:rPr>
          <w:rFonts w:ascii="宋体" w:hAnsi="宋体" w:cs="宋体"/>
          <w:b/>
          <w:color w:val="auto"/>
          <w:szCs w:val="21"/>
        </w:rPr>
      </w:pPr>
      <w:r>
        <w:rPr>
          <w:rFonts w:hint="eastAsia" w:ascii="宋体" w:hAnsi="宋体" w:cs="宋体"/>
          <w:b/>
          <w:color w:val="auto"/>
          <w:szCs w:val="21"/>
        </w:rPr>
        <w:t>第四条　</w:t>
      </w:r>
      <w:r>
        <w:rPr>
          <w:rFonts w:hint="eastAsia" w:ascii="宋体" w:hAnsi="宋体" w:cs="宋体"/>
          <w:b/>
          <w:color w:val="auto"/>
          <w:kern w:val="0"/>
          <w:szCs w:val="21"/>
        </w:rPr>
        <w:t>货物包装、发运及运输</w:t>
      </w:r>
    </w:p>
    <w:p w14:paraId="2F6E01DE">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1.乙方提供的货物均应按招标文件规定或者投标文件承诺的要求的包装材料、包装标准、包装方式进行包装，每一包装单元内应附详细的装箱单和质量合格证。</w:t>
      </w:r>
    </w:p>
    <w:p w14:paraId="7BDDBED7">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2.乙方应在货物发运前对其进行满足运输距离、防潮、防震、防锈和防破损装卸等要求包装，以保证货物安全运达甲方指定地点。</w:t>
      </w:r>
    </w:p>
    <w:p w14:paraId="15027169">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3. 使用说明书（货物属于进口产品的，供货时应同时附上中文使用说明书）、质量检验证明书、随配附件和工具以及清单一并附于货物内。</w:t>
      </w:r>
    </w:p>
    <w:p w14:paraId="09EF1444">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4.乙方在货物发运手续办理完毕后二十四小时内或者货到甲方四十八小时前通知甲方，以准备接货。</w:t>
      </w:r>
    </w:p>
    <w:p w14:paraId="4487BE62">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5.货物在交付甲方前发生的风险均由乙方负责。</w:t>
      </w:r>
    </w:p>
    <w:p w14:paraId="305FC5EC">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6.货物的运输方式：</w:t>
      </w:r>
      <w:r>
        <w:rPr>
          <w:rFonts w:hint="eastAsia" w:ascii="宋体" w:hAnsi="宋体" w:cs="宋体"/>
          <w:color w:val="auto"/>
          <w:szCs w:val="21"/>
          <w:u w:val="single"/>
        </w:rPr>
        <w:t xml:space="preserve"> 由乙方按采购文件要求自定。</w:t>
      </w:r>
    </w:p>
    <w:p w14:paraId="5E126566">
      <w:pPr>
        <w:snapToGrid w:val="0"/>
        <w:spacing w:line="420" w:lineRule="exact"/>
        <w:ind w:firstLine="420" w:firstLineChars="200"/>
        <w:rPr>
          <w:rFonts w:ascii="宋体" w:hAnsi="宋体" w:cs="宋体"/>
          <w:color w:val="auto"/>
          <w:szCs w:val="21"/>
          <w:u w:val="single"/>
        </w:rPr>
      </w:pPr>
      <w:r>
        <w:rPr>
          <w:rFonts w:hint="eastAsia" w:ascii="宋体" w:hAnsi="宋体" w:cs="宋体"/>
          <w:color w:val="auto"/>
          <w:szCs w:val="21"/>
        </w:rPr>
        <w:t>7.乙方负责货物运输，货物运输合理损耗及计算方法：</w:t>
      </w:r>
      <w:r>
        <w:rPr>
          <w:rFonts w:hint="eastAsia" w:ascii="宋体" w:hAnsi="宋体" w:cs="宋体"/>
          <w:color w:val="auto"/>
          <w:szCs w:val="21"/>
          <w:u w:val="single"/>
        </w:rPr>
        <w:t xml:space="preserve"> 无。</w:t>
      </w:r>
    </w:p>
    <w:p w14:paraId="3B429D9B">
      <w:pPr>
        <w:snapToGrid w:val="0"/>
        <w:spacing w:line="420" w:lineRule="exact"/>
        <w:ind w:firstLine="420" w:firstLineChars="200"/>
        <w:rPr>
          <w:rFonts w:ascii="宋体" w:hAnsi="宋体" w:cs="宋体"/>
          <w:color w:val="auto"/>
          <w:szCs w:val="21"/>
          <w:u w:val="single"/>
        </w:rPr>
      </w:pPr>
      <w:r>
        <w:rPr>
          <w:rFonts w:hint="eastAsia" w:ascii="宋体" w:hAnsi="宋体" w:cs="宋体"/>
          <w:color w:val="auto"/>
          <w:szCs w:val="21"/>
        </w:rPr>
        <w:t>8.</w:t>
      </w:r>
      <w:r>
        <w:rPr>
          <w:rFonts w:hint="eastAsia" w:ascii="宋体" w:hAnsi="宋体" w:cs="宋体"/>
          <w:color w:val="auto"/>
          <w:kern w:val="0"/>
          <w:szCs w:val="21"/>
        </w:rPr>
        <w:t>货物在规</w:t>
      </w:r>
      <w:r>
        <w:rPr>
          <w:rFonts w:hint="eastAsia" w:ascii="宋体" w:hAnsi="宋体" w:cs="宋体"/>
          <w:color w:val="auto"/>
          <w:spacing w:val="-8"/>
          <w:kern w:val="0"/>
          <w:szCs w:val="21"/>
        </w:rPr>
        <w:t>定的交付期限内由乙方送达甲方指定的地点视为交付，乙方同时需通知甲方货物已送达。</w:t>
      </w:r>
    </w:p>
    <w:p w14:paraId="03E05BFA">
      <w:pPr>
        <w:snapToGrid w:val="0"/>
        <w:spacing w:line="420" w:lineRule="exact"/>
        <w:ind w:firstLine="422" w:firstLineChars="200"/>
        <w:rPr>
          <w:rFonts w:ascii="宋体" w:hAnsi="宋体" w:cs="宋体"/>
          <w:color w:val="auto"/>
          <w:szCs w:val="21"/>
        </w:rPr>
      </w:pPr>
      <w:r>
        <w:rPr>
          <w:rFonts w:hint="eastAsia" w:ascii="宋体" w:hAnsi="宋体" w:cs="宋体"/>
          <w:b/>
          <w:color w:val="auto"/>
          <w:szCs w:val="21"/>
        </w:rPr>
        <w:t>第五条　交付和验收</w:t>
      </w:r>
    </w:p>
    <w:p w14:paraId="49690E4A">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1.交付时间：</w:t>
      </w:r>
      <w:r>
        <w:rPr>
          <w:rFonts w:hint="eastAsia" w:ascii="宋体" w:hAnsi="宋体" w:cs="宋体"/>
          <w:color w:val="auto"/>
          <w:szCs w:val="21"/>
          <w:u w:val="single"/>
        </w:rPr>
        <w:t xml:space="preserve"> 自签订合同之日起   日内完成供货、安装调试完毕并通过验收</w:t>
      </w:r>
      <w:r>
        <w:rPr>
          <w:rFonts w:hint="eastAsia" w:ascii="宋体" w:hAnsi="宋体" w:cs="宋体"/>
          <w:color w:val="auto"/>
          <w:szCs w:val="21"/>
        </w:rPr>
        <w:t>；交付地点：</w:t>
      </w:r>
      <w:r>
        <w:rPr>
          <w:rFonts w:hint="eastAsia" w:ascii="宋体" w:hAnsi="宋体" w:cs="宋体"/>
          <w:color w:val="auto"/>
          <w:szCs w:val="21"/>
          <w:u w:val="single"/>
        </w:rPr>
        <w:t xml:space="preserve"> 广西壮族自治区高级人民法院（采购人指定地点） </w:t>
      </w:r>
      <w:r>
        <w:rPr>
          <w:rFonts w:hint="eastAsia" w:ascii="宋体" w:hAnsi="宋体" w:cs="宋体"/>
          <w:color w:val="auto"/>
          <w:szCs w:val="21"/>
        </w:rPr>
        <w:t>。</w:t>
      </w:r>
    </w:p>
    <w:p w14:paraId="010BFFA6">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甲方对乙方提交的货物依据竞争性谈判文件上的技术规格要求和国家有关质量标准进行现场初步验收，外观、说明书符合竞争性谈判文件技术要求的，给予签收，初步验收不合格的不予签收。乙方提供不符合竞争性谈判文件规定或者响应文件承诺的和本合同规定的货物，甲方有权拒绝接受。</w:t>
      </w:r>
    </w:p>
    <w:p w14:paraId="4E75E471">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3.乙方交货前应对产品作出全面检查和对验收文件进行整理，并列出清单，作为甲方收货验收和使用的技术条件依据，检验的结果应随货物交甲方。</w:t>
      </w:r>
    </w:p>
    <w:p w14:paraId="7924E15B">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4.乙方应将所提供货物的装箱清单、资料等交付给甲方，货物属于进口产品的，供货时应同时附上中文使用说明书，如有缺失应在合理的规定时间内补齐，否则视为逾期交货。</w:t>
      </w:r>
    </w:p>
    <w:p w14:paraId="31045D61">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5.甲方应当在到货后7个工作日内进行验收，逾期不验收的，乙方可视同验收合格。验收合格后由甲乙双方签署货物验收单并加盖甲方公章，甲乙双方各执一份。</w:t>
      </w:r>
    </w:p>
    <w:p w14:paraId="1365F02E">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6.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0DAA8143">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7.对技术复杂的货物，甲方应请国家认可的专业检测机构参与初步验收及最终验收，并由其出具质量检测报告。</w:t>
      </w:r>
    </w:p>
    <w:p w14:paraId="643A7F1F">
      <w:pPr>
        <w:snapToGrid w:val="0"/>
        <w:spacing w:line="360" w:lineRule="auto"/>
        <w:ind w:left="-61" w:firstLine="514"/>
        <w:rPr>
          <w:rFonts w:ascii="宋体" w:hAnsi="宋体" w:cs="宋体"/>
          <w:color w:val="auto"/>
          <w:szCs w:val="21"/>
        </w:rPr>
      </w:pPr>
      <w:r>
        <w:rPr>
          <w:rFonts w:hint="eastAsia" w:ascii="宋体" w:hAnsi="宋体" w:cs="宋体"/>
          <w:color w:val="auto"/>
          <w:szCs w:val="21"/>
        </w:rPr>
        <w:t>8.验收时乙方必须在现场，验收完毕后作出验收结果报告；验收费用按竞争性谈判文件约定承担方负责。</w:t>
      </w:r>
    </w:p>
    <w:p w14:paraId="091E0882">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9.甲方对验收有异议的，在验收后五个工作日内以书面形式向乙方提出，乙方应自收到甲方书面异议后</w:t>
      </w:r>
      <w:r>
        <w:rPr>
          <w:rFonts w:hint="eastAsia" w:ascii="宋体" w:hAnsi="宋体" w:cs="宋体"/>
          <w:color w:val="auto"/>
          <w:szCs w:val="21"/>
          <w:u w:val="single"/>
        </w:rPr>
        <w:t xml:space="preserve"> 10 </w:t>
      </w:r>
      <w:r>
        <w:rPr>
          <w:rFonts w:hint="eastAsia" w:ascii="宋体" w:hAnsi="宋体" w:cs="宋体"/>
          <w:color w:val="auto"/>
          <w:szCs w:val="21"/>
        </w:rPr>
        <w:t>日内及时予以解决。</w:t>
      </w:r>
    </w:p>
    <w:p w14:paraId="3D6DCC2F">
      <w:pPr>
        <w:snapToGrid w:val="0"/>
        <w:spacing w:line="360" w:lineRule="auto"/>
        <w:ind w:firstLine="420" w:firstLineChars="200"/>
        <w:rPr>
          <w:rFonts w:ascii="宋体" w:hAnsi="宋体" w:cs="宋体"/>
          <w:bCs/>
          <w:color w:val="auto"/>
          <w:szCs w:val="21"/>
        </w:rPr>
      </w:pPr>
      <w:r>
        <w:rPr>
          <w:rFonts w:hint="eastAsia" w:ascii="宋体" w:hAnsi="宋体" w:cs="宋体"/>
          <w:bCs/>
          <w:color w:val="auto"/>
          <w:szCs w:val="21"/>
        </w:rPr>
        <w:t>10.其他未尽事宜应严格按照《关于印发广西壮族自治区政府采购项目履约验收管理办法的通知》[桂财采〔2015〕22号]以及《财政部关于进一步加强政府采购需求和履约验收管理的指导意见》[财库〔2016〕205号]规定执行。</w:t>
      </w:r>
    </w:p>
    <w:p w14:paraId="55DA517F">
      <w:pPr>
        <w:snapToGrid w:val="0"/>
        <w:spacing w:line="360" w:lineRule="auto"/>
        <w:ind w:firstLine="422" w:firstLineChars="200"/>
        <w:rPr>
          <w:rFonts w:ascii="宋体" w:hAnsi="宋体" w:cs="宋体"/>
          <w:b/>
          <w:color w:val="auto"/>
          <w:szCs w:val="21"/>
        </w:rPr>
      </w:pPr>
      <w:r>
        <w:rPr>
          <w:rFonts w:hint="eastAsia" w:ascii="宋体" w:hAnsi="宋体" w:cs="宋体"/>
          <w:b/>
          <w:color w:val="auto"/>
          <w:szCs w:val="21"/>
        </w:rPr>
        <w:t>第六条　安装和培训</w:t>
      </w:r>
    </w:p>
    <w:p w14:paraId="1AA812B7">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1.甲方应提供必要安装条件（如场地、电源、水源等）。</w:t>
      </w:r>
    </w:p>
    <w:p w14:paraId="78E5FAFB">
      <w:pPr>
        <w:snapToGrid w:val="0"/>
        <w:spacing w:line="420" w:lineRule="exact"/>
        <w:ind w:firstLine="420" w:firstLineChars="200"/>
        <w:rPr>
          <w:rFonts w:ascii="宋体" w:hAnsi="宋体" w:cs="宋体"/>
          <w:color w:val="auto"/>
          <w:szCs w:val="21"/>
          <w:u w:val="single"/>
        </w:rPr>
      </w:pPr>
      <w:r>
        <w:rPr>
          <w:rFonts w:hint="eastAsia" w:ascii="宋体" w:hAnsi="宋体" w:cs="宋体"/>
          <w:color w:val="auto"/>
          <w:szCs w:val="21"/>
        </w:rPr>
        <w:t>2.乙方投标文件承诺负责甲方有关人员的培训。培训时间、地点：</w:t>
      </w:r>
      <w:r>
        <w:rPr>
          <w:rFonts w:hint="eastAsia" w:ascii="宋体" w:hAnsi="宋体" w:cs="宋体"/>
          <w:color w:val="auto"/>
          <w:szCs w:val="21"/>
          <w:u w:val="single"/>
        </w:rPr>
        <w:t xml:space="preserve"> 由甲乙双方协商确定。</w:t>
      </w:r>
    </w:p>
    <w:p w14:paraId="7FC8CEA8">
      <w:pPr>
        <w:snapToGrid w:val="0"/>
        <w:spacing w:line="420" w:lineRule="exact"/>
        <w:ind w:firstLine="422" w:firstLineChars="200"/>
        <w:rPr>
          <w:rFonts w:ascii="宋体" w:hAnsi="宋体" w:cs="宋体"/>
          <w:b/>
          <w:color w:val="auto"/>
          <w:szCs w:val="21"/>
        </w:rPr>
      </w:pPr>
      <w:r>
        <w:rPr>
          <w:rFonts w:hint="eastAsia" w:ascii="宋体" w:hAnsi="宋体" w:cs="宋体"/>
          <w:b/>
          <w:color w:val="auto"/>
          <w:szCs w:val="21"/>
        </w:rPr>
        <w:t>第七条  售后服务、质保期</w:t>
      </w:r>
    </w:p>
    <w:p w14:paraId="38F25158">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1.乙方应按照国家有关法律法规和“三包”规定以及本合同所附的《售后服务承诺》，为甲方提供售后服务。</w:t>
      </w:r>
    </w:p>
    <w:p w14:paraId="5203F3D1">
      <w:pPr>
        <w:snapToGrid w:val="0"/>
        <w:spacing w:line="420" w:lineRule="exact"/>
        <w:ind w:firstLine="420" w:firstLineChars="200"/>
        <w:rPr>
          <w:rFonts w:ascii="宋体" w:hAnsi="宋体" w:cs="宋体"/>
          <w:color w:val="auto"/>
          <w:szCs w:val="21"/>
          <w:u w:val="single"/>
        </w:rPr>
      </w:pPr>
      <w:r>
        <w:rPr>
          <w:rFonts w:hint="eastAsia" w:ascii="宋体" w:hAnsi="宋体" w:cs="宋体"/>
          <w:color w:val="auto"/>
          <w:szCs w:val="21"/>
        </w:rPr>
        <w:t>2.货物质保期：</w:t>
      </w:r>
      <w:r>
        <w:rPr>
          <w:rFonts w:hint="eastAsia" w:ascii="宋体" w:hAnsi="宋体" w:cs="宋体"/>
          <w:color w:val="auto"/>
          <w:szCs w:val="21"/>
          <w:u w:val="single"/>
        </w:rPr>
        <w:t xml:space="preserve">        。</w:t>
      </w:r>
    </w:p>
    <w:p w14:paraId="25EE5BD3">
      <w:pPr>
        <w:snapToGrid w:val="0"/>
        <w:spacing w:line="420" w:lineRule="exact"/>
        <w:ind w:firstLine="420" w:firstLineChars="200"/>
        <w:rPr>
          <w:rFonts w:ascii="宋体" w:hAnsi="宋体" w:cs="宋体"/>
          <w:color w:val="auto"/>
          <w:szCs w:val="21"/>
          <w:u w:val="single"/>
        </w:rPr>
      </w:pPr>
      <w:r>
        <w:rPr>
          <w:rFonts w:hint="eastAsia" w:ascii="宋体" w:hAnsi="宋体" w:cs="宋体"/>
          <w:color w:val="auto"/>
          <w:szCs w:val="21"/>
        </w:rPr>
        <w:t>3.乙方提供的服务承诺和售后服务及质保期责任等其他具体约定事项。（见合同附件）</w:t>
      </w:r>
    </w:p>
    <w:p w14:paraId="429E3B0A">
      <w:pPr>
        <w:snapToGrid w:val="0"/>
        <w:spacing w:line="420" w:lineRule="exact"/>
        <w:ind w:firstLine="422" w:firstLineChars="200"/>
        <w:rPr>
          <w:rFonts w:ascii="宋体" w:hAnsi="宋体" w:cs="宋体"/>
          <w:color w:val="auto"/>
          <w:szCs w:val="21"/>
        </w:rPr>
      </w:pPr>
      <w:r>
        <w:rPr>
          <w:rFonts w:hint="eastAsia" w:ascii="宋体" w:hAnsi="宋体" w:cs="宋体"/>
          <w:b/>
          <w:color w:val="auto"/>
          <w:szCs w:val="21"/>
        </w:rPr>
        <w:t>第八条　付款方式</w:t>
      </w:r>
    </w:p>
    <w:p w14:paraId="67304360">
      <w:pPr>
        <w:snapToGrid w:val="0"/>
        <w:spacing w:line="420" w:lineRule="exact"/>
        <w:ind w:firstLine="420" w:firstLineChars="200"/>
        <w:rPr>
          <w:rFonts w:ascii="宋体" w:hAnsi="宋体" w:cs="宋体"/>
          <w:color w:val="auto"/>
          <w:kern w:val="0"/>
          <w:szCs w:val="21"/>
        </w:rPr>
      </w:pPr>
      <w:r>
        <w:rPr>
          <w:rFonts w:hint="eastAsia" w:ascii="宋体" w:hAnsi="宋体" w:cs="宋体"/>
          <w:bCs/>
          <w:color w:val="auto"/>
          <w:kern w:val="0"/>
          <w:szCs w:val="21"/>
        </w:rPr>
        <w:t>1.</w:t>
      </w:r>
      <w:r>
        <w:rPr>
          <w:rFonts w:hint="eastAsia" w:ascii="宋体" w:hAnsi="宋体" w:cs="宋体"/>
          <w:color w:val="auto"/>
          <w:kern w:val="0"/>
          <w:szCs w:val="21"/>
        </w:rPr>
        <w:t>付款方式：</w:t>
      </w:r>
      <w:r>
        <w:rPr>
          <w:rFonts w:hint="eastAsia" w:ascii="宋体" w:hAnsi="宋体" w:cs="宋体"/>
          <w:color w:val="auto"/>
          <w:szCs w:val="21"/>
        </w:rPr>
        <w:t>签订合同后10个工作日内甲方向乙方支付合同总金额50%的预付款，其余合同款按项目进度支付相应比例合同金额，货物安装调试完毕、项目验收合格后支付全部合同金额的剩余部分。乙方在每次支付前向采购人提供合法有效的发票，甲方核对无误后在约定时间内完成支付。因甲方使用财政资金付款，付款期限应扣除财政部门年度预算暂停支付期间及甲方付款审批流程所需合理期限。</w:t>
      </w:r>
    </w:p>
    <w:p w14:paraId="0FB8F497">
      <w:pPr>
        <w:snapToGrid w:val="0"/>
        <w:spacing w:line="420" w:lineRule="exact"/>
        <w:ind w:left="-61" w:leftChars="-29" w:firstLine="517" w:firstLineChars="245"/>
        <w:rPr>
          <w:rFonts w:ascii="宋体" w:hAnsi="宋体" w:cs="宋体"/>
          <w:b/>
          <w:color w:val="auto"/>
          <w:szCs w:val="21"/>
        </w:rPr>
      </w:pPr>
      <w:r>
        <w:rPr>
          <w:rFonts w:hint="eastAsia" w:ascii="宋体" w:hAnsi="宋体" w:cs="宋体"/>
          <w:b/>
          <w:color w:val="auto"/>
          <w:szCs w:val="21"/>
        </w:rPr>
        <w:t>第九条　履约保证金</w:t>
      </w:r>
    </w:p>
    <w:p w14:paraId="1A571BD1">
      <w:pPr>
        <w:autoSpaceDE w:val="0"/>
        <w:autoSpaceDN w:val="0"/>
        <w:snapToGrid w:val="0"/>
        <w:spacing w:line="420" w:lineRule="exact"/>
        <w:ind w:firstLine="424" w:firstLineChars="202"/>
        <w:textAlignment w:val="bottom"/>
        <w:rPr>
          <w:rFonts w:ascii="宋体" w:hAnsi="宋体" w:cs="宋体"/>
          <w:color w:val="auto"/>
          <w:szCs w:val="21"/>
        </w:rPr>
      </w:pPr>
      <w:r>
        <w:rPr>
          <w:rFonts w:hint="eastAsia" w:ascii="宋体" w:hAnsi="宋体" w:cs="宋体"/>
          <w:color w:val="auto"/>
          <w:szCs w:val="21"/>
        </w:rPr>
        <w:t>本项目不收取履约保证金。</w:t>
      </w:r>
    </w:p>
    <w:p w14:paraId="1567AF8F">
      <w:pPr>
        <w:snapToGrid w:val="0"/>
        <w:spacing w:line="420" w:lineRule="exact"/>
        <w:ind w:left="-61" w:firstLine="514"/>
        <w:rPr>
          <w:rFonts w:ascii="宋体" w:hAnsi="宋体" w:cs="宋体"/>
          <w:b/>
          <w:color w:val="auto"/>
          <w:szCs w:val="21"/>
        </w:rPr>
      </w:pPr>
      <w:r>
        <w:rPr>
          <w:rFonts w:hint="eastAsia" w:ascii="宋体" w:hAnsi="宋体" w:cs="宋体"/>
          <w:b/>
          <w:color w:val="auto"/>
          <w:szCs w:val="21"/>
        </w:rPr>
        <w:t>第十条  税费</w:t>
      </w:r>
    </w:p>
    <w:p w14:paraId="1CF87F24">
      <w:pPr>
        <w:snapToGrid w:val="0"/>
        <w:spacing w:line="420" w:lineRule="exact"/>
        <w:ind w:left="-61" w:firstLine="514"/>
        <w:rPr>
          <w:rFonts w:ascii="宋体" w:hAnsi="宋体" w:cs="宋体"/>
          <w:color w:val="auto"/>
          <w:szCs w:val="21"/>
        </w:rPr>
      </w:pPr>
      <w:r>
        <w:rPr>
          <w:rFonts w:hint="eastAsia" w:ascii="宋体" w:hAnsi="宋体" w:cs="宋体"/>
          <w:color w:val="auto"/>
          <w:szCs w:val="21"/>
        </w:rPr>
        <w:t>本合同执行中相关的一切税费均由乙方负担，合同另有约定的除外。</w:t>
      </w:r>
    </w:p>
    <w:p w14:paraId="60D3B369">
      <w:pPr>
        <w:snapToGrid w:val="0"/>
        <w:spacing w:line="420" w:lineRule="exact"/>
        <w:ind w:firstLine="422" w:firstLineChars="200"/>
        <w:rPr>
          <w:rFonts w:ascii="宋体" w:hAnsi="宋体" w:cs="宋体"/>
          <w:b/>
          <w:color w:val="auto"/>
          <w:szCs w:val="21"/>
        </w:rPr>
      </w:pPr>
      <w:r>
        <w:rPr>
          <w:rFonts w:hint="eastAsia" w:ascii="宋体" w:hAnsi="宋体" w:cs="宋体"/>
          <w:b/>
          <w:color w:val="auto"/>
          <w:szCs w:val="21"/>
        </w:rPr>
        <w:t>第十一条  违约责任</w:t>
      </w:r>
    </w:p>
    <w:p w14:paraId="294D07CF">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 xml:space="preserve">1.乙方所提供的产品名称、商标品牌、生产厂家、规格型号、技术参数等质量不合格的，应在收到采购人正式通知之日起7个工作日内及时更换，更换不及时的按逾期交货处罚；因质量问题甲方不同意接收的或者特殊情况甲方同意接收的，乙方应向甲方支付违约货款额10%违约金及并赔偿甲方经济损失。                                       </w:t>
      </w:r>
    </w:p>
    <w:p w14:paraId="0ED641B2">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2.乙方提供的货物如侵犯了第三方合法权益而引发的任何纠纷或者诉讼，均由乙方负责交涉并承担全部责任。</w:t>
      </w:r>
    </w:p>
    <w:p w14:paraId="5F3FD66C">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3.因包装、运输引起的货物损坏，按质量不合格处罚。</w:t>
      </w:r>
    </w:p>
    <w:p w14:paraId="3652CC2E">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4.甲方无故延期接收货物、乙方逾期交货的，每天向对方偿付违约货款额3‰违约金，但违约金累计不得超过违约货款额5%，超过</w:t>
      </w:r>
      <w:r>
        <w:rPr>
          <w:rFonts w:hint="eastAsia" w:ascii="宋体" w:hAnsi="宋体" w:cs="宋体"/>
          <w:color w:val="auto"/>
          <w:kern w:val="0"/>
          <w:szCs w:val="21"/>
          <w:u w:val="single"/>
        </w:rPr>
        <w:t xml:space="preserve"> 10 </w:t>
      </w:r>
      <w:r>
        <w:rPr>
          <w:rFonts w:hint="eastAsia" w:ascii="宋体" w:hAnsi="宋体" w:cs="宋体"/>
          <w:color w:val="auto"/>
          <w:kern w:val="0"/>
          <w:szCs w:val="21"/>
        </w:rPr>
        <w:t>天对方有权解除合同，违约方承担因此给对方造成经济损失；甲方延期付货款的，每天向乙方偿付延期货款额3‰滞纳金，但滞纳金累计不得超过延期货款额5%。甲方无故延期退付履约保证金的，每天向对方偿付未退付履约保证金3‰的违约金。</w:t>
      </w:r>
    </w:p>
    <w:p w14:paraId="42A6F65D">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5. 乙方未按本合同和投标文件中规定的服务承诺提供售后服务的，乙方应按本合同合计金额 5%向甲方支付违约金。</w:t>
      </w:r>
    </w:p>
    <w:p w14:paraId="7348714D">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6. 乙方提供的货物在质量保证期内，因设计、工艺或者材料的缺陷和其他质量原因造成的问题，由乙方负责，费用从余款或者履约保证金中扣除，不足另补。</w:t>
      </w:r>
    </w:p>
    <w:p w14:paraId="6945A212">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7. 乙方提供的货物如侵犯了第三方合法权益而引发的任何纠纷或者诉讼，均由乙方负责交涉并承担全部责任。</w:t>
      </w:r>
    </w:p>
    <w:p w14:paraId="763F2A9C">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8.甲乙双方有其他违约行为的，由违约方向对方支付违约内容涉及货款额的5%，违约内容涉及货款额的5%不足以赔偿经济损失的按实际赔偿。</w:t>
      </w:r>
    </w:p>
    <w:p w14:paraId="0550B035">
      <w:pPr>
        <w:snapToGrid w:val="0"/>
        <w:spacing w:line="420" w:lineRule="exact"/>
        <w:ind w:firstLine="413" w:firstLineChars="196"/>
        <w:rPr>
          <w:rFonts w:ascii="宋体" w:hAnsi="宋体" w:cs="宋体"/>
          <w:b/>
          <w:color w:val="auto"/>
          <w:kern w:val="0"/>
          <w:szCs w:val="21"/>
        </w:rPr>
      </w:pPr>
      <w:r>
        <w:rPr>
          <w:rFonts w:hint="eastAsia" w:ascii="宋体" w:hAnsi="宋体" w:cs="宋体"/>
          <w:b/>
          <w:color w:val="auto"/>
          <w:kern w:val="0"/>
          <w:szCs w:val="21"/>
        </w:rPr>
        <w:t>第十二条  不可抗力事件处理</w:t>
      </w:r>
    </w:p>
    <w:p w14:paraId="51364216">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1.在合同有效期内，任何一方因不可抗力事件导致不能履行合同，则合同履行期可延长，其延长期与不可抗力影响期相同。</w:t>
      </w:r>
    </w:p>
    <w:p w14:paraId="633D4873">
      <w:pPr>
        <w:snapToGrid w:val="0"/>
        <w:spacing w:line="420" w:lineRule="exact"/>
        <w:ind w:firstLine="420" w:firstLineChars="200"/>
        <w:rPr>
          <w:rFonts w:ascii="宋体" w:hAnsi="宋体" w:cs="宋体"/>
          <w:color w:val="auto"/>
          <w:kern w:val="0"/>
          <w:szCs w:val="21"/>
        </w:rPr>
      </w:pPr>
      <w:r>
        <w:rPr>
          <w:rFonts w:hint="eastAsia" w:ascii="宋体" w:hAnsi="宋体" w:cs="宋体"/>
          <w:color w:val="auto"/>
          <w:kern w:val="0"/>
          <w:szCs w:val="21"/>
        </w:rPr>
        <w:t>2.不可抗力事件发生后，应立即通知对方，并寄送有关权威机构出具的证明。</w:t>
      </w:r>
    </w:p>
    <w:p w14:paraId="56853F13">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3.不可抗力事件延续一百二十天以上，双方应通过友好协商，确定是否继续履行合同。</w:t>
      </w:r>
    </w:p>
    <w:p w14:paraId="7B07CD2E">
      <w:pPr>
        <w:snapToGrid w:val="0"/>
        <w:spacing w:line="420" w:lineRule="exact"/>
        <w:ind w:firstLine="422" w:firstLineChars="200"/>
        <w:rPr>
          <w:rFonts w:ascii="宋体" w:hAnsi="宋体" w:cs="宋体"/>
          <w:color w:val="auto"/>
          <w:szCs w:val="21"/>
        </w:rPr>
      </w:pPr>
      <w:r>
        <w:rPr>
          <w:rFonts w:hint="eastAsia" w:ascii="宋体" w:hAnsi="宋体" w:cs="宋体"/>
          <w:b/>
          <w:color w:val="auto"/>
          <w:szCs w:val="21"/>
        </w:rPr>
        <w:t>第十三条  合同争议解决</w:t>
      </w:r>
    </w:p>
    <w:p w14:paraId="6EFC463D">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1.因货物质量问题发生争议的，应邀请国家认可的质量检测机构对货物质量进行鉴定。货物符合标准的，鉴定费由甲方承担；货物不符合标准的，鉴定费由乙方承担。</w:t>
      </w:r>
    </w:p>
    <w:p w14:paraId="06EAA2B0">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2.因履行本合同引起的或者与本合同有关的争议，甲乙双方应首先通过友好协商解决，如果协商不能解决，可向甲方所在地有管辖权的人民法院提起诉讼。</w:t>
      </w:r>
    </w:p>
    <w:p w14:paraId="474B6F61">
      <w:pPr>
        <w:snapToGrid w:val="0"/>
        <w:spacing w:line="420" w:lineRule="exact"/>
        <w:ind w:left="-61" w:firstLine="514"/>
        <w:rPr>
          <w:rFonts w:ascii="宋体" w:hAnsi="宋体" w:cs="宋体"/>
          <w:color w:val="auto"/>
          <w:szCs w:val="21"/>
        </w:rPr>
      </w:pPr>
      <w:r>
        <w:rPr>
          <w:rFonts w:hint="eastAsia" w:ascii="宋体" w:hAnsi="宋体" w:cs="宋体"/>
          <w:color w:val="auto"/>
          <w:szCs w:val="21"/>
        </w:rPr>
        <w:t>3.诉讼期间，本合同继续履行。</w:t>
      </w:r>
    </w:p>
    <w:p w14:paraId="113666C6">
      <w:pPr>
        <w:snapToGrid w:val="0"/>
        <w:spacing w:line="420" w:lineRule="exact"/>
        <w:ind w:firstLine="413" w:firstLineChars="196"/>
        <w:rPr>
          <w:rFonts w:ascii="宋体" w:hAnsi="宋体" w:cs="宋体"/>
          <w:b/>
          <w:color w:val="auto"/>
          <w:kern w:val="0"/>
          <w:szCs w:val="21"/>
        </w:rPr>
      </w:pPr>
      <w:r>
        <w:rPr>
          <w:rFonts w:hint="eastAsia" w:ascii="宋体" w:hAnsi="宋体" w:cs="宋体"/>
          <w:b/>
          <w:color w:val="auto"/>
          <w:kern w:val="0"/>
          <w:szCs w:val="21"/>
        </w:rPr>
        <w:t>第十四条  合同生效及其它</w:t>
      </w:r>
    </w:p>
    <w:p w14:paraId="722DA0C5">
      <w:pPr>
        <w:snapToGrid w:val="0"/>
        <w:spacing w:line="420" w:lineRule="exact"/>
        <w:ind w:firstLine="420" w:firstLineChars="200"/>
        <w:rPr>
          <w:rFonts w:ascii="宋体" w:hAnsi="宋体" w:cs="宋体"/>
          <w:bCs/>
          <w:color w:val="auto"/>
          <w:kern w:val="0"/>
          <w:szCs w:val="21"/>
        </w:rPr>
      </w:pPr>
      <w:r>
        <w:rPr>
          <w:rFonts w:hint="eastAsia" w:ascii="宋体" w:hAnsi="宋体" w:cs="宋体"/>
          <w:bCs/>
          <w:color w:val="auto"/>
          <w:kern w:val="0"/>
          <w:szCs w:val="21"/>
        </w:rPr>
        <w:t>1.合同经双方法定代表人或者委托代理人签字并加盖单位公章后生效。</w:t>
      </w:r>
    </w:p>
    <w:p w14:paraId="1A28306E">
      <w:pPr>
        <w:snapToGrid w:val="0"/>
        <w:spacing w:line="420" w:lineRule="exact"/>
        <w:ind w:firstLine="420" w:firstLineChars="200"/>
        <w:rPr>
          <w:rFonts w:ascii="宋体" w:hAnsi="宋体" w:cs="宋体"/>
          <w:bCs/>
          <w:color w:val="auto"/>
          <w:kern w:val="0"/>
          <w:szCs w:val="21"/>
        </w:rPr>
      </w:pPr>
      <w:r>
        <w:rPr>
          <w:rFonts w:hint="eastAsia" w:ascii="宋体" w:hAnsi="宋体" w:cs="宋体"/>
          <w:bCs/>
          <w:color w:val="auto"/>
          <w:kern w:val="0"/>
          <w:szCs w:val="21"/>
        </w:rPr>
        <w:t>2.合同执行中涉及采购资金和采购内容修改或者补充的，须经财政部门审批，并签订书面补充协议报财政部门备案，方可作为主合同不可分割的一部分。</w:t>
      </w:r>
    </w:p>
    <w:p w14:paraId="0B31FEBE">
      <w:pPr>
        <w:snapToGrid w:val="0"/>
        <w:spacing w:line="420" w:lineRule="exact"/>
        <w:ind w:left="420" w:leftChars="200"/>
        <w:rPr>
          <w:rFonts w:ascii="宋体" w:hAnsi="宋体" w:cs="宋体"/>
          <w:bCs/>
          <w:color w:val="auto"/>
          <w:kern w:val="0"/>
          <w:szCs w:val="21"/>
        </w:rPr>
      </w:pPr>
      <w:r>
        <w:rPr>
          <w:rFonts w:hint="eastAsia" w:ascii="宋体" w:hAnsi="宋体" w:cs="宋体"/>
          <w:bCs/>
          <w:color w:val="auto"/>
          <w:kern w:val="0"/>
          <w:szCs w:val="21"/>
        </w:rPr>
        <w:t>3.本合同未尽事宜，遵照《中华人民共和国民法典》有关条文执行。</w:t>
      </w:r>
    </w:p>
    <w:p w14:paraId="348660B7">
      <w:pPr>
        <w:snapToGrid w:val="0"/>
        <w:spacing w:line="420" w:lineRule="exact"/>
        <w:ind w:firstLine="422" w:firstLineChars="200"/>
        <w:rPr>
          <w:rFonts w:ascii="宋体" w:hAnsi="宋体" w:cs="宋体"/>
          <w:b/>
          <w:color w:val="auto"/>
          <w:szCs w:val="21"/>
        </w:rPr>
      </w:pPr>
      <w:r>
        <w:rPr>
          <w:rFonts w:hint="eastAsia" w:ascii="宋体" w:hAnsi="宋体" w:cs="宋体"/>
          <w:b/>
          <w:color w:val="auto"/>
          <w:szCs w:val="21"/>
        </w:rPr>
        <w:t>第十五条　合同的变更、终止与转让</w:t>
      </w:r>
    </w:p>
    <w:p w14:paraId="4200D3F3">
      <w:pPr>
        <w:snapToGrid w:val="0"/>
        <w:spacing w:line="420" w:lineRule="exact"/>
        <w:ind w:firstLine="420" w:firstLineChars="200"/>
        <w:rPr>
          <w:rFonts w:ascii="宋体" w:hAnsi="宋体" w:cs="宋体"/>
          <w:color w:val="auto"/>
          <w:szCs w:val="21"/>
        </w:rPr>
      </w:pPr>
      <w:r>
        <w:rPr>
          <w:rFonts w:hint="eastAsia" w:ascii="宋体" w:hAnsi="宋体" w:cs="宋体"/>
          <w:color w:val="auto"/>
          <w:szCs w:val="21"/>
        </w:rPr>
        <w:t>1. 除《中华人民共和国政府采购法》第五十条规定的情形外，本合同一经签订，甲乙双方不得擅自变更、中止或者终止。</w:t>
      </w:r>
    </w:p>
    <w:p w14:paraId="01804D69">
      <w:pPr>
        <w:snapToGrid w:val="0"/>
        <w:spacing w:line="420" w:lineRule="exact"/>
        <w:ind w:left="-61" w:firstLine="514"/>
        <w:rPr>
          <w:rFonts w:ascii="宋体" w:hAnsi="宋体" w:cs="宋体"/>
          <w:color w:val="auto"/>
          <w:szCs w:val="21"/>
        </w:rPr>
      </w:pPr>
      <w:r>
        <w:rPr>
          <w:rFonts w:hint="eastAsia" w:ascii="宋体" w:hAnsi="宋体" w:cs="宋体"/>
          <w:color w:val="auto"/>
          <w:szCs w:val="21"/>
        </w:rPr>
        <w:t>2. 乙方不得擅自转让（无进口资格的供应商委托进口货物除外）其应履行的合同义务。</w:t>
      </w:r>
    </w:p>
    <w:p w14:paraId="309F4E21">
      <w:pPr>
        <w:snapToGrid w:val="0"/>
        <w:spacing w:line="420" w:lineRule="exact"/>
        <w:ind w:firstLine="422" w:firstLineChars="200"/>
        <w:rPr>
          <w:rFonts w:ascii="宋体" w:hAnsi="宋体" w:cs="宋体"/>
          <w:b/>
          <w:color w:val="auto"/>
          <w:szCs w:val="21"/>
        </w:rPr>
      </w:pPr>
      <w:r>
        <w:rPr>
          <w:rFonts w:hint="eastAsia" w:ascii="宋体" w:hAnsi="宋体" w:cs="宋体"/>
          <w:b/>
          <w:color w:val="auto"/>
          <w:szCs w:val="21"/>
        </w:rPr>
        <w:t>第十六条　</w:t>
      </w:r>
      <w:r>
        <w:rPr>
          <w:rFonts w:hint="eastAsia" w:ascii="宋体" w:hAnsi="宋体" w:cs="宋体"/>
          <w:color w:val="auto"/>
          <w:spacing w:val="-2"/>
          <w:kern w:val="0"/>
          <w:szCs w:val="21"/>
        </w:rPr>
        <w:t>本</w:t>
      </w:r>
      <w:r>
        <w:rPr>
          <w:rFonts w:hint="eastAsia" w:ascii="宋体" w:hAnsi="宋体" w:cs="宋体"/>
          <w:color w:val="auto"/>
          <w:kern w:val="0"/>
          <w:szCs w:val="21"/>
        </w:rPr>
        <w:t>合同书</w:t>
      </w:r>
      <w:r>
        <w:rPr>
          <w:rFonts w:hint="eastAsia" w:ascii="宋体" w:hAnsi="宋体" w:cs="宋体"/>
          <w:color w:val="auto"/>
          <w:spacing w:val="-2"/>
          <w:kern w:val="0"/>
          <w:szCs w:val="21"/>
        </w:rPr>
        <w:t>与</w:t>
      </w:r>
      <w:r>
        <w:rPr>
          <w:rFonts w:hint="eastAsia" w:ascii="宋体" w:hAnsi="宋体" w:cs="宋体"/>
          <w:color w:val="auto"/>
          <w:kern w:val="0"/>
          <w:szCs w:val="21"/>
        </w:rPr>
        <w:t>下</w:t>
      </w:r>
      <w:r>
        <w:rPr>
          <w:rFonts w:hint="eastAsia" w:ascii="宋体" w:hAnsi="宋体" w:cs="宋体"/>
          <w:color w:val="auto"/>
          <w:spacing w:val="-2"/>
          <w:kern w:val="0"/>
          <w:szCs w:val="21"/>
        </w:rPr>
        <w:t>列</w:t>
      </w:r>
      <w:r>
        <w:rPr>
          <w:rFonts w:hint="eastAsia" w:ascii="宋体" w:hAnsi="宋体" w:cs="宋体"/>
          <w:color w:val="auto"/>
          <w:kern w:val="0"/>
          <w:szCs w:val="21"/>
        </w:rPr>
        <w:t>文</w:t>
      </w:r>
      <w:r>
        <w:rPr>
          <w:rFonts w:hint="eastAsia" w:ascii="宋体" w:hAnsi="宋体" w:cs="宋体"/>
          <w:color w:val="auto"/>
          <w:spacing w:val="-2"/>
          <w:kern w:val="0"/>
          <w:szCs w:val="21"/>
        </w:rPr>
        <w:t>件一</w:t>
      </w:r>
      <w:r>
        <w:rPr>
          <w:rFonts w:hint="eastAsia" w:ascii="宋体" w:hAnsi="宋体" w:cs="宋体"/>
          <w:color w:val="auto"/>
          <w:kern w:val="0"/>
          <w:szCs w:val="21"/>
        </w:rPr>
        <w:t>起构</w:t>
      </w:r>
      <w:r>
        <w:rPr>
          <w:rFonts w:hint="eastAsia" w:ascii="宋体" w:hAnsi="宋体" w:cs="宋体"/>
          <w:color w:val="auto"/>
          <w:spacing w:val="-2"/>
          <w:kern w:val="0"/>
          <w:szCs w:val="21"/>
        </w:rPr>
        <w:t>成</w:t>
      </w:r>
      <w:r>
        <w:rPr>
          <w:rFonts w:hint="eastAsia" w:ascii="宋体" w:hAnsi="宋体" w:cs="宋体"/>
          <w:color w:val="auto"/>
          <w:kern w:val="0"/>
          <w:szCs w:val="21"/>
        </w:rPr>
        <w:t>合</w:t>
      </w:r>
      <w:r>
        <w:rPr>
          <w:rFonts w:hint="eastAsia" w:ascii="宋体" w:hAnsi="宋体" w:cs="宋体"/>
          <w:color w:val="auto"/>
          <w:spacing w:val="-2"/>
          <w:kern w:val="0"/>
          <w:szCs w:val="21"/>
        </w:rPr>
        <w:t>同</w:t>
      </w:r>
      <w:r>
        <w:rPr>
          <w:rFonts w:hint="eastAsia" w:ascii="宋体" w:hAnsi="宋体" w:cs="宋体"/>
          <w:color w:val="auto"/>
          <w:kern w:val="0"/>
          <w:szCs w:val="21"/>
        </w:rPr>
        <w:t>文</w:t>
      </w:r>
      <w:r>
        <w:rPr>
          <w:rFonts w:hint="eastAsia" w:ascii="宋体" w:hAnsi="宋体" w:cs="宋体"/>
          <w:color w:val="auto"/>
          <w:spacing w:val="-2"/>
          <w:kern w:val="0"/>
          <w:szCs w:val="21"/>
        </w:rPr>
        <w:t>件</w:t>
      </w:r>
    </w:p>
    <w:p w14:paraId="455FC220">
      <w:pPr>
        <w:snapToGrid w:val="0"/>
        <w:spacing w:line="420" w:lineRule="exact"/>
        <w:ind w:left="420" w:leftChars="200"/>
        <w:rPr>
          <w:rFonts w:ascii="宋体" w:hAnsi="宋体" w:cs="宋体"/>
          <w:color w:val="auto"/>
          <w:kern w:val="0"/>
          <w:szCs w:val="21"/>
        </w:rPr>
      </w:pPr>
      <w:r>
        <w:rPr>
          <w:rFonts w:hint="eastAsia" w:ascii="宋体" w:hAnsi="宋体" w:cs="宋体"/>
          <w:color w:val="auto"/>
          <w:kern w:val="0"/>
          <w:szCs w:val="21"/>
        </w:rPr>
        <w:t>1.成交通知书；</w:t>
      </w:r>
    </w:p>
    <w:p w14:paraId="58716D45">
      <w:pPr>
        <w:snapToGrid w:val="0"/>
        <w:spacing w:line="420" w:lineRule="exact"/>
        <w:ind w:left="420" w:leftChars="200"/>
        <w:rPr>
          <w:rFonts w:ascii="宋体" w:hAnsi="宋体" w:cs="宋体"/>
          <w:color w:val="auto"/>
          <w:kern w:val="0"/>
          <w:szCs w:val="21"/>
        </w:rPr>
      </w:pPr>
      <w:r>
        <w:rPr>
          <w:rFonts w:hint="eastAsia" w:ascii="宋体" w:hAnsi="宋体" w:cs="宋体"/>
          <w:color w:val="auto"/>
          <w:kern w:val="0"/>
          <w:szCs w:val="21"/>
        </w:rPr>
        <w:t>2.响应函；</w:t>
      </w:r>
    </w:p>
    <w:p w14:paraId="71A478C9">
      <w:pPr>
        <w:snapToGrid w:val="0"/>
        <w:spacing w:line="420" w:lineRule="exact"/>
        <w:ind w:left="420" w:leftChars="200"/>
        <w:rPr>
          <w:rFonts w:ascii="宋体" w:hAnsi="宋体" w:cs="宋体"/>
          <w:color w:val="auto"/>
          <w:kern w:val="0"/>
          <w:szCs w:val="21"/>
        </w:rPr>
      </w:pPr>
      <w:r>
        <w:rPr>
          <w:rFonts w:hint="eastAsia" w:ascii="宋体" w:hAnsi="宋体" w:cs="宋体"/>
          <w:color w:val="auto"/>
          <w:kern w:val="0"/>
          <w:szCs w:val="21"/>
        </w:rPr>
        <w:t>3.商务条款偏离表；</w:t>
      </w:r>
    </w:p>
    <w:p w14:paraId="116DF621">
      <w:pPr>
        <w:snapToGrid w:val="0"/>
        <w:spacing w:line="420" w:lineRule="exact"/>
        <w:ind w:left="420" w:leftChars="200"/>
        <w:rPr>
          <w:rFonts w:ascii="宋体" w:hAnsi="宋体" w:cs="宋体"/>
          <w:color w:val="auto"/>
          <w:kern w:val="0"/>
          <w:szCs w:val="21"/>
        </w:rPr>
      </w:pPr>
      <w:r>
        <w:rPr>
          <w:rFonts w:hint="eastAsia" w:ascii="宋体" w:hAnsi="宋体" w:cs="宋体"/>
          <w:color w:val="auto"/>
          <w:kern w:val="0"/>
          <w:szCs w:val="21"/>
        </w:rPr>
        <w:t>4.货物需求偏离表；</w:t>
      </w:r>
    </w:p>
    <w:p w14:paraId="0AD7ED81">
      <w:pPr>
        <w:snapToGrid w:val="0"/>
        <w:spacing w:line="420" w:lineRule="exact"/>
        <w:ind w:left="420" w:leftChars="200"/>
        <w:rPr>
          <w:rFonts w:ascii="宋体" w:hAnsi="宋体" w:cs="宋体"/>
          <w:color w:val="auto"/>
          <w:kern w:val="0"/>
          <w:szCs w:val="21"/>
        </w:rPr>
      </w:pPr>
      <w:r>
        <w:rPr>
          <w:rFonts w:hint="eastAsia" w:ascii="宋体" w:hAnsi="宋体" w:cs="宋体"/>
          <w:color w:val="auto"/>
          <w:kern w:val="0"/>
          <w:szCs w:val="21"/>
        </w:rPr>
        <w:t>5.采购需求；</w:t>
      </w:r>
    </w:p>
    <w:p w14:paraId="2F6168F3">
      <w:pPr>
        <w:snapToGrid w:val="0"/>
        <w:spacing w:line="420" w:lineRule="exact"/>
        <w:ind w:left="420" w:leftChars="200"/>
        <w:rPr>
          <w:rFonts w:ascii="宋体" w:hAnsi="宋体" w:cs="宋体"/>
          <w:color w:val="auto"/>
          <w:kern w:val="0"/>
          <w:szCs w:val="21"/>
        </w:rPr>
      </w:pPr>
      <w:r>
        <w:rPr>
          <w:rFonts w:hint="eastAsia" w:ascii="宋体" w:hAnsi="宋体" w:cs="宋体"/>
          <w:color w:val="auto"/>
          <w:kern w:val="0"/>
          <w:szCs w:val="21"/>
        </w:rPr>
        <w:t>6.其他合同文件。</w:t>
      </w:r>
    </w:p>
    <w:p w14:paraId="60DFE7DA">
      <w:pPr>
        <w:snapToGrid w:val="0"/>
        <w:spacing w:line="420" w:lineRule="exact"/>
        <w:ind w:left="-61" w:firstLine="514"/>
        <w:rPr>
          <w:rFonts w:ascii="宋体" w:hAnsi="宋体" w:cs="宋体"/>
          <w:b/>
          <w:color w:val="auto"/>
          <w:kern w:val="0"/>
          <w:szCs w:val="21"/>
        </w:rPr>
      </w:pPr>
      <w:r>
        <w:rPr>
          <w:rFonts w:hint="eastAsia" w:ascii="宋体" w:hAnsi="宋体" w:cs="宋体"/>
          <w:color w:val="auto"/>
          <w:kern w:val="0"/>
          <w:szCs w:val="21"/>
        </w:rPr>
        <w:t>7.上述合同文件互相补充和解释。如果合同文件之间存在矛盾或者不一致之处，以上述文件的排列顺序在先者为准。</w:t>
      </w:r>
    </w:p>
    <w:p w14:paraId="6B940294">
      <w:pPr>
        <w:snapToGrid w:val="0"/>
        <w:spacing w:line="420" w:lineRule="exact"/>
        <w:ind w:firstLine="422" w:firstLineChars="200"/>
        <w:rPr>
          <w:rFonts w:ascii="宋体" w:hAnsi="宋体" w:cs="宋体"/>
          <w:color w:val="auto"/>
          <w:szCs w:val="21"/>
        </w:rPr>
      </w:pPr>
      <w:r>
        <w:rPr>
          <w:rFonts w:hint="eastAsia" w:ascii="宋体" w:hAnsi="宋体" w:cs="宋体"/>
          <w:b/>
          <w:color w:val="auto"/>
          <w:szCs w:val="21"/>
        </w:rPr>
        <w:t>第十七条　</w:t>
      </w:r>
      <w:r>
        <w:rPr>
          <w:rFonts w:hint="eastAsia" w:ascii="宋体" w:hAnsi="宋体" w:cs="宋体"/>
          <w:color w:val="auto"/>
          <w:szCs w:val="21"/>
        </w:rPr>
        <w:t>本合同一式六份，具有同等法律效力，采购代理机构存档一份，甲方执四份，乙方执一份。</w:t>
      </w:r>
    </w:p>
    <w:tbl>
      <w:tblPr>
        <w:tblStyle w:val="26"/>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0"/>
        <w:gridCol w:w="4479"/>
      </w:tblGrid>
      <w:tr w14:paraId="30BB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8" w:hRule="atLeast"/>
          <w:jc w:val="center"/>
        </w:trPr>
        <w:tc>
          <w:tcPr>
            <w:tcW w:w="4280" w:type="dxa"/>
            <w:vAlign w:val="center"/>
          </w:tcPr>
          <w:p w14:paraId="01825A6A">
            <w:pPr>
              <w:snapToGrid w:val="0"/>
              <w:spacing w:line="600" w:lineRule="exact"/>
              <w:rPr>
                <w:rFonts w:ascii="宋体" w:hAnsi="宋体"/>
                <w:color w:val="auto"/>
                <w:szCs w:val="21"/>
              </w:rPr>
            </w:pPr>
            <w:r>
              <w:rPr>
                <w:rFonts w:hint="eastAsia" w:ascii="宋体" w:hAnsi="宋体"/>
                <w:color w:val="auto"/>
                <w:szCs w:val="21"/>
              </w:rPr>
              <w:t>甲方（章）</w:t>
            </w:r>
            <w:r>
              <w:rPr>
                <w:rFonts w:hint="eastAsia" w:ascii="宋体" w:hAnsi="宋体"/>
                <w:color w:val="auto"/>
                <w:spacing w:val="-11"/>
                <w:szCs w:val="21"/>
              </w:rPr>
              <w:t>广西壮族自治区高级人民法院</w:t>
            </w:r>
          </w:p>
          <w:p w14:paraId="0395C6D1">
            <w:pPr>
              <w:snapToGrid w:val="0"/>
              <w:spacing w:line="600" w:lineRule="exact"/>
              <w:ind w:firstLine="945" w:firstLineChars="450"/>
              <w:jc w:val="right"/>
              <w:rPr>
                <w:rFonts w:ascii="宋体" w:hAnsi="宋体"/>
                <w:color w:val="auto"/>
                <w:szCs w:val="21"/>
              </w:rPr>
            </w:pPr>
            <w:r>
              <w:rPr>
                <w:rFonts w:hint="eastAsia" w:ascii="宋体" w:hAnsi="宋体"/>
                <w:color w:val="auto"/>
                <w:szCs w:val="21"/>
              </w:rPr>
              <w:t>年   月   日</w:t>
            </w:r>
          </w:p>
        </w:tc>
        <w:tc>
          <w:tcPr>
            <w:tcW w:w="4479" w:type="dxa"/>
            <w:vAlign w:val="center"/>
          </w:tcPr>
          <w:p w14:paraId="2502D757">
            <w:pPr>
              <w:snapToGrid w:val="0"/>
              <w:spacing w:line="600" w:lineRule="exact"/>
              <w:rPr>
                <w:rFonts w:ascii="宋体" w:hAnsi="宋体"/>
                <w:color w:val="auto"/>
                <w:szCs w:val="21"/>
              </w:rPr>
            </w:pPr>
            <w:r>
              <w:rPr>
                <w:rFonts w:hint="eastAsia" w:ascii="宋体" w:hAnsi="宋体"/>
                <w:color w:val="auto"/>
                <w:szCs w:val="21"/>
              </w:rPr>
              <w:t>乙方（章）</w:t>
            </w:r>
          </w:p>
          <w:p w14:paraId="2775DDC6">
            <w:pPr>
              <w:snapToGrid w:val="0"/>
              <w:spacing w:line="600" w:lineRule="exact"/>
              <w:jc w:val="right"/>
              <w:rPr>
                <w:rFonts w:ascii="宋体" w:hAnsi="宋体"/>
                <w:color w:val="auto"/>
                <w:szCs w:val="21"/>
              </w:rPr>
            </w:pPr>
            <w:r>
              <w:rPr>
                <w:rFonts w:hint="eastAsia" w:ascii="宋体" w:hAnsi="宋体"/>
                <w:color w:val="auto"/>
                <w:szCs w:val="21"/>
              </w:rPr>
              <w:t>年   月   日</w:t>
            </w:r>
          </w:p>
        </w:tc>
      </w:tr>
      <w:tr w14:paraId="5BB7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3" w:hRule="atLeast"/>
          <w:jc w:val="center"/>
        </w:trPr>
        <w:tc>
          <w:tcPr>
            <w:tcW w:w="4280" w:type="dxa"/>
            <w:vAlign w:val="center"/>
          </w:tcPr>
          <w:p w14:paraId="579E7992">
            <w:pPr>
              <w:snapToGrid w:val="0"/>
              <w:spacing w:line="600" w:lineRule="exact"/>
              <w:rPr>
                <w:rFonts w:ascii="宋体" w:hAnsi="宋体"/>
                <w:color w:val="auto"/>
                <w:szCs w:val="21"/>
              </w:rPr>
            </w:pPr>
            <w:r>
              <w:rPr>
                <w:rFonts w:hint="eastAsia" w:ascii="宋体" w:hAnsi="宋体"/>
                <w:color w:val="auto"/>
                <w:szCs w:val="21"/>
              </w:rPr>
              <w:t>单位地址：南宁市民族大道121号</w:t>
            </w:r>
          </w:p>
          <w:p w14:paraId="4802E429">
            <w:pPr>
              <w:snapToGrid w:val="0"/>
              <w:spacing w:line="600" w:lineRule="exact"/>
              <w:rPr>
                <w:rFonts w:ascii="宋体" w:hAnsi="宋体"/>
                <w:color w:val="auto"/>
                <w:szCs w:val="21"/>
              </w:rPr>
            </w:pPr>
          </w:p>
        </w:tc>
        <w:tc>
          <w:tcPr>
            <w:tcW w:w="4479" w:type="dxa"/>
            <w:vAlign w:val="center"/>
          </w:tcPr>
          <w:p w14:paraId="21DEFA0D">
            <w:pPr>
              <w:snapToGrid w:val="0"/>
              <w:spacing w:line="460" w:lineRule="exact"/>
              <w:rPr>
                <w:rFonts w:ascii="宋体" w:hAnsi="宋体"/>
                <w:color w:val="auto"/>
                <w:szCs w:val="21"/>
              </w:rPr>
            </w:pPr>
            <w:r>
              <w:rPr>
                <w:rFonts w:hint="eastAsia" w:ascii="宋体" w:hAnsi="宋体"/>
                <w:color w:val="auto"/>
                <w:szCs w:val="21"/>
              </w:rPr>
              <w:t>单位地址：</w:t>
            </w:r>
          </w:p>
        </w:tc>
      </w:tr>
      <w:tr w14:paraId="32C8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4280" w:type="dxa"/>
            <w:vAlign w:val="center"/>
          </w:tcPr>
          <w:p w14:paraId="0AF7860E">
            <w:pPr>
              <w:snapToGrid w:val="0"/>
              <w:spacing w:line="600" w:lineRule="exact"/>
              <w:rPr>
                <w:rFonts w:ascii="宋体" w:hAnsi="宋体"/>
                <w:color w:val="auto"/>
                <w:szCs w:val="21"/>
              </w:rPr>
            </w:pPr>
            <w:r>
              <w:rPr>
                <w:rFonts w:hint="eastAsia" w:ascii="宋体" w:hAnsi="宋体"/>
                <w:color w:val="auto"/>
                <w:szCs w:val="21"/>
              </w:rPr>
              <w:t>法定代表人：</w:t>
            </w:r>
          </w:p>
        </w:tc>
        <w:tc>
          <w:tcPr>
            <w:tcW w:w="4479" w:type="dxa"/>
            <w:vAlign w:val="center"/>
          </w:tcPr>
          <w:p w14:paraId="6A3EAAA7">
            <w:pPr>
              <w:snapToGrid w:val="0"/>
              <w:spacing w:line="600" w:lineRule="exact"/>
              <w:rPr>
                <w:rFonts w:ascii="宋体" w:hAnsi="宋体"/>
                <w:color w:val="auto"/>
                <w:szCs w:val="21"/>
              </w:rPr>
            </w:pPr>
            <w:r>
              <w:rPr>
                <w:rFonts w:hint="eastAsia" w:ascii="宋体" w:hAnsi="宋体"/>
                <w:color w:val="auto"/>
                <w:szCs w:val="21"/>
              </w:rPr>
              <w:t>法定代表人：</w:t>
            </w:r>
          </w:p>
        </w:tc>
      </w:tr>
      <w:tr w14:paraId="72CE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4280" w:type="dxa"/>
            <w:vAlign w:val="center"/>
          </w:tcPr>
          <w:p w14:paraId="13E6C1C1">
            <w:pPr>
              <w:snapToGrid w:val="0"/>
              <w:spacing w:line="600" w:lineRule="exact"/>
              <w:rPr>
                <w:rFonts w:ascii="宋体" w:hAnsi="宋体"/>
                <w:color w:val="auto"/>
                <w:szCs w:val="21"/>
              </w:rPr>
            </w:pPr>
            <w:r>
              <w:rPr>
                <w:rFonts w:hint="eastAsia" w:ascii="宋体" w:hAnsi="宋体"/>
                <w:color w:val="auto"/>
                <w:szCs w:val="21"/>
              </w:rPr>
              <w:t>委托代理人：</w:t>
            </w:r>
          </w:p>
        </w:tc>
        <w:tc>
          <w:tcPr>
            <w:tcW w:w="4479" w:type="dxa"/>
            <w:vAlign w:val="center"/>
          </w:tcPr>
          <w:p w14:paraId="48EC6ABE">
            <w:pPr>
              <w:snapToGrid w:val="0"/>
              <w:spacing w:line="600" w:lineRule="exact"/>
              <w:rPr>
                <w:rFonts w:ascii="宋体" w:hAnsi="宋体"/>
                <w:color w:val="auto"/>
                <w:szCs w:val="21"/>
              </w:rPr>
            </w:pPr>
            <w:r>
              <w:rPr>
                <w:rFonts w:hint="eastAsia" w:ascii="宋体" w:hAnsi="宋体"/>
                <w:color w:val="auto"/>
                <w:szCs w:val="21"/>
              </w:rPr>
              <w:t>委托代理人：</w:t>
            </w:r>
          </w:p>
        </w:tc>
      </w:tr>
      <w:tr w14:paraId="4067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4280" w:type="dxa"/>
            <w:vAlign w:val="center"/>
          </w:tcPr>
          <w:p w14:paraId="460EAD3E">
            <w:pPr>
              <w:snapToGrid w:val="0"/>
              <w:spacing w:line="600" w:lineRule="exact"/>
              <w:rPr>
                <w:rFonts w:ascii="宋体" w:hAnsi="宋体"/>
                <w:color w:val="auto"/>
                <w:szCs w:val="21"/>
              </w:rPr>
            </w:pPr>
            <w:r>
              <w:rPr>
                <w:rFonts w:hint="eastAsia" w:ascii="宋体" w:hAnsi="宋体"/>
                <w:color w:val="auto"/>
                <w:szCs w:val="21"/>
              </w:rPr>
              <w:t>电话：</w:t>
            </w:r>
          </w:p>
        </w:tc>
        <w:tc>
          <w:tcPr>
            <w:tcW w:w="4479" w:type="dxa"/>
            <w:vAlign w:val="center"/>
          </w:tcPr>
          <w:p w14:paraId="304E6C3D">
            <w:pPr>
              <w:snapToGrid w:val="0"/>
              <w:spacing w:line="600" w:lineRule="exact"/>
              <w:rPr>
                <w:rFonts w:ascii="宋体" w:hAnsi="宋体"/>
                <w:color w:val="auto"/>
                <w:szCs w:val="21"/>
              </w:rPr>
            </w:pPr>
            <w:r>
              <w:rPr>
                <w:rFonts w:hint="eastAsia" w:ascii="宋体" w:hAnsi="宋体"/>
                <w:color w:val="auto"/>
                <w:szCs w:val="21"/>
              </w:rPr>
              <w:t>电话：</w:t>
            </w:r>
          </w:p>
        </w:tc>
      </w:tr>
      <w:tr w14:paraId="4D71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4280" w:type="dxa"/>
            <w:vAlign w:val="center"/>
          </w:tcPr>
          <w:p w14:paraId="6138E545">
            <w:pPr>
              <w:snapToGrid w:val="0"/>
              <w:spacing w:line="600" w:lineRule="exact"/>
              <w:rPr>
                <w:rFonts w:ascii="宋体" w:hAnsi="宋体"/>
                <w:color w:val="auto"/>
                <w:szCs w:val="21"/>
              </w:rPr>
            </w:pPr>
            <w:r>
              <w:rPr>
                <w:rFonts w:hint="eastAsia" w:ascii="宋体" w:hAnsi="宋体"/>
                <w:color w:val="auto"/>
                <w:szCs w:val="21"/>
              </w:rPr>
              <w:t>电子邮箱：</w:t>
            </w:r>
          </w:p>
        </w:tc>
        <w:tc>
          <w:tcPr>
            <w:tcW w:w="4479" w:type="dxa"/>
            <w:vAlign w:val="center"/>
          </w:tcPr>
          <w:p w14:paraId="40C27DA2">
            <w:pPr>
              <w:snapToGrid w:val="0"/>
              <w:spacing w:line="600" w:lineRule="exact"/>
              <w:rPr>
                <w:rFonts w:ascii="宋体" w:hAnsi="宋体"/>
                <w:color w:val="auto"/>
                <w:szCs w:val="21"/>
              </w:rPr>
            </w:pPr>
            <w:r>
              <w:rPr>
                <w:rFonts w:hint="eastAsia" w:ascii="宋体" w:hAnsi="宋体"/>
                <w:color w:val="auto"/>
                <w:szCs w:val="21"/>
              </w:rPr>
              <w:t>电子邮箱：/</w:t>
            </w:r>
          </w:p>
        </w:tc>
      </w:tr>
      <w:tr w14:paraId="4648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4280" w:type="dxa"/>
            <w:vAlign w:val="center"/>
          </w:tcPr>
          <w:p w14:paraId="3A34E847">
            <w:pPr>
              <w:snapToGrid w:val="0"/>
              <w:spacing w:line="600" w:lineRule="exact"/>
              <w:rPr>
                <w:rFonts w:ascii="宋体" w:hAnsi="宋体"/>
                <w:color w:val="auto"/>
                <w:szCs w:val="21"/>
              </w:rPr>
            </w:pPr>
            <w:r>
              <w:rPr>
                <w:rFonts w:hint="eastAsia" w:ascii="宋体" w:hAnsi="宋体"/>
                <w:color w:val="auto"/>
                <w:szCs w:val="21"/>
              </w:rPr>
              <w:t>开户银行：</w:t>
            </w:r>
          </w:p>
        </w:tc>
        <w:tc>
          <w:tcPr>
            <w:tcW w:w="4479" w:type="dxa"/>
            <w:vAlign w:val="center"/>
          </w:tcPr>
          <w:p w14:paraId="1D24D06E">
            <w:pPr>
              <w:snapToGrid w:val="0"/>
              <w:spacing w:line="600" w:lineRule="exact"/>
              <w:rPr>
                <w:rFonts w:ascii="宋体" w:hAnsi="宋体"/>
                <w:color w:val="auto"/>
                <w:szCs w:val="21"/>
              </w:rPr>
            </w:pPr>
            <w:r>
              <w:rPr>
                <w:rFonts w:hint="eastAsia" w:ascii="宋体" w:hAnsi="宋体"/>
                <w:color w:val="auto"/>
                <w:szCs w:val="21"/>
              </w:rPr>
              <w:t>开户银行：</w:t>
            </w:r>
          </w:p>
        </w:tc>
      </w:tr>
      <w:tr w14:paraId="6094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4280" w:type="dxa"/>
            <w:vAlign w:val="center"/>
          </w:tcPr>
          <w:p w14:paraId="0BD3A124">
            <w:pPr>
              <w:snapToGrid w:val="0"/>
              <w:spacing w:line="600" w:lineRule="exact"/>
              <w:rPr>
                <w:rFonts w:ascii="宋体" w:hAnsi="宋体"/>
                <w:color w:val="auto"/>
                <w:szCs w:val="21"/>
              </w:rPr>
            </w:pPr>
            <w:r>
              <w:rPr>
                <w:rFonts w:hint="eastAsia" w:ascii="宋体" w:hAnsi="宋体"/>
                <w:color w:val="auto"/>
                <w:szCs w:val="21"/>
              </w:rPr>
              <w:t>账号：</w:t>
            </w:r>
          </w:p>
        </w:tc>
        <w:tc>
          <w:tcPr>
            <w:tcW w:w="4479" w:type="dxa"/>
            <w:vAlign w:val="center"/>
          </w:tcPr>
          <w:p w14:paraId="3DA57B5F">
            <w:pPr>
              <w:snapToGrid w:val="0"/>
              <w:spacing w:line="600" w:lineRule="exact"/>
              <w:rPr>
                <w:rFonts w:ascii="宋体" w:hAnsi="宋体"/>
                <w:color w:val="auto"/>
                <w:szCs w:val="21"/>
              </w:rPr>
            </w:pPr>
            <w:r>
              <w:rPr>
                <w:rFonts w:hint="eastAsia" w:ascii="宋体" w:hAnsi="宋体"/>
                <w:color w:val="auto"/>
                <w:szCs w:val="21"/>
              </w:rPr>
              <w:t>账号：</w:t>
            </w:r>
          </w:p>
        </w:tc>
      </w:tr>
      <w:tr w14:paraId="4705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4280" w:type="dxa"/>
            <w:vAlign w:val="center"/>
          </w:tcPr>
          <w:p w14:paraId="0EDF6503">
            <w:pPr>
              <w:snapToGrid w:val="0"/>
              <w:spacing w:line="600" w:lineRule="exact"/>
              <w:rPr>
                <w:rFonts w:ascii="宋体" w:hAnsi="宋体"/>
                <w:color w:val="auto"/>
                <w:szCs w:val="21"/>
              </w:rPr>
            </w:pPr>
            <w:r>
              <w:rPr>
                <w:rFonts w:hint="eastAsia" w:ascii="宋体" w:hAnsi="宋体"/>
                <w:color w:val="auto"/>
                <w:szCs w:val="21"/>
              </w:rPr>
              <w:t>邮政编码：</w:t>
            </w:r>
          </w:p>
        </w:tc>
        <w:tc>
          <w:tcPr>
            <w:tcW w:w="4479" w:type="dxa"/>
            <w:vAlign w:val="center"/>
          </w:tcPr>
          <w:p w14:paraId="4CE8BD54">
            <w:pPr>
              <w:snapToGrid w:val="0"/>
              <w:spacing w:line="600" w:lineRule="exact"/>
              <w:rPr>
                <w:rFonts w:ascii="宋体" w:hAnsi="宋体"/>
                <w:color w:val="auto"/>
                <w:szCs w:val="21"/>
              </w:rPr>
            </w:pPr>
            <w:r>
              <w:rPr>
                <w:rFonts w:hint="eastAsia" w:ascii="宋体" w:hAnsi="宋体"/>
                <w:color w:val="auto"/>
                <w:szCs w:val="21"/>
              </w:rPr>
              <w:t>邮政编码：</w:t>
            </w:r>
          </w:p>
        </w:tc>
      </w:tr>
      <w:tr w14:paraId="40D4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4280" w:type="dxa"/>
            <w:vAlign w:val="center"/>
          </w:tcPr>
          <w:p w14:paraId="5D161486">
            <w:pPr>
              <w:autoSpaceDE w:val="0"/>
              <w:snapToGrid w:val="0"/>
              <w:spacing w:line="360" w:lineRule="exact"/>
              <w:jc w:val="left"/>
              <w:rPr>
                <w:rFonts w:ascii="宋体" w:hAnsi="宋体"/>
                <w:color w:val="auto"/>
                <w:szCs w:val="21"/>
              </w:rPr>
            </w:pPr>
            <w:r>
              <w:rPr>
                <w:rFonts w:hint="eastAsia" w:ascii="宋体" w:hAnsi="宋体" w:cs="宋体"/>
                <w:color w:val="auto"/>
                <w:szCs w:val="21"/>
              </w:rPr>
              <w:t>社会统一信用代码证：</w:t>
            </w:r>
          </w:p>
        </w:tc>
        <w:tc>
          <w:tcPr>
            <w:tcW w:w="4479" w:type="dxa"/>
            <w:vAlign w:val="center"/>
          </w:tcPr>
          <w:p w14:paraId="23CAA2FF">
            <w:pPr>
              <w:autoSpaceDE w:val="0"/>
              <w:snapToGrid w:val="0"/>
              <w:spacing w:line="360" w:lineRule="exact"/>
              <w:jc w:val="left"/>
              <w:rPr>
                <w:rFonts w:ascii="宋体" w:hAnsi="宋体" w:cs="宋体"/>
                <w:color w:val="auto"/>
                <w:szCs w:val="21"/>
              </w:rPr>
            </w:pPr>
            <w:r>
              <w:rPr>
                <w:rFonts w:hint="eastAsia" w:ascii="宋体" w:hAnsi="宋体" w:cs="宋体"/>
                <w:color w:val="auto"/>
                <w:szCs w:val="21"/>
              </w:rPr>
              <w:t>社会统一信用代码证：</w:t>
            </w:r>
          </w:p>
        </w:tc>
      </w:tr>
    </w:tbl>
    <w:p w14:paraId="486F9198">
      <w:pPr>
        <w:snapToGrid w:val="0"/>
        <w:spacing w:before="120" w:line="360" w:lineRule="auto"/>
        <w:rPr>
          <w:color w:val="auto"/>
        </w:rPr>
      </w:pPr>
    </w:p>
    <w:sectPr>
      <w:pgSz w:w="11910" w:h="16840"/>
      <w:pgMar w:top="1340" w:right="1500" w:bottom="1338" w:left="150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CF6A1B6-848A-42C9-B874-4C10FAD84BE1}"/>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788A3C6-E51A-4332-A5D5-2ACA1914FB4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0487C655-9060-4E4E-ACF9-84D3FC94FDCA}"/>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4" w:fontKey="{F5686FA8-F094-46F6-8A3A-6CD969FC13C2}"/>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10" w:usb3="00000000" w:csb0="00040000" w:csb1="00000000"/>
    <w:embedRegular r:id="rId5" w:fontKey="{0FCDA952-1FCD-4D0C-9B81-0D11387DF343}"/>
  </w:font>
  <w:font w:name="MS Mincho">
    <w:panose1 w:val="02020609040205080304"/>
    <w:charset w:val="80"/>
    <w:family w:val="modern"/>
    <w:pitch w:val="default"/>
    <w:sig w:usb0="E00002FF" w:usb1="6AC7FDFB" w:usb2="00000012" w:usb3="00000000" w:csb0="4002009F" w:csb1="DFD70000"/>
    <w:embedRegular r:id="rId6" w:fontKey="{CEAA3C34-DB7C-4F95-AE33-B1C532A35DA6}"/>
  </w:font>
  <w:font w:name="Segoe UI Symbol">
    <w:panose1 w:val="020B0502040204020203"/>
    <w:charset w:val="00"/>
    <w:family w:val="swiss"/>
    <w:pitch w:val="default"/>
    <w:sig w:usb0="8000006F" w:usb1="1200FBEF" w:usb2="0064C000" w:usb3="00000002" w:csb0="00000001" w:csb1="40000000"/>
    <w:embedRegular r:id="rId7" w:fontKey="{048F2FD5-49C1-46A9-B38D-12ABCDEDEA6F}"/>
  </w:font>
  <w:font w:name="Helvetica">
    <w:altName w:val="Arial"/>
    <w:panose1 w:val="020B0604020202020204"/>
    <w:charset w:val="00"/>
    <w:family w:val="swiss"/>
    <w:pitch w:val="default"/>
    <w:sig w:usb0="00000000" w:usb1="00000000" w:usb2="00000009" w:usb3="00000000" w:csb0="000001FF" w:csb1="00000000"/>
    <w:embedRegular r:id="rId8" w:fontKey="{92CC29E7-346F-444B-87EC-79400584DC3A}"/>
  </w:font>
  <w:font w:name="Arial Unicode MS">
    <w:altName w:val="宋体"/>
    <w:panose1 w:val="020B0604020202020204"/>
    <w:charset w:val="86"/>
    <w:family w:val="swiss"/>
    <w:pitch w:val="default"/>
    <w:sig w:usb0="00000000" w:usb1="00000000" w:usb2="0000003F" w:usb3="00000000" w:csb0="603F01FF" w:csb1="FFFF0000"/>
    <w:embedRegular r:id="rId9" w:fontKey="{2E3A0761-DADF-485F-94FF-6E231A0909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F6D5">
    <w:pPr>
      <w:pStyle w:val="17"/>
    </w:pPr>
  </w:p>
  <w:p w14:paraId="702D865E">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B3713">
    <w:pPr>
      <w:pStyle w:val="17"/>
      <w:tabs>
        <w:tab w:val="left" w:pos="263"/>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54000"/>
              <wp:effectExtent l="0" t="0" r="0" b="0"/>
              <wp:wrapNone/>
              <wp:docPr id="1" name="文本框 1024"/>
              <wp:cNvGraphicFramePr/>
              <a:graphic xmlns:a="http://schemas.openxmlformats.org/drawingml/2006/main">
                <a:graphicData uri="http://schemas.microsoft.com/office/word/2010/wordprocessingShape">
                  <wps:wsp>
                    <wps:cNvSpPr txBox="1"/>
                    <wps:spPr>
                      <a:xfrm>
                        <a:off x="0" y="0"/>
                        <a:ext cx="167640" cy="254000"/>
                      </a:xfrm>
                      <a:prstGeom prst="rect">
                        <a:avLst/>
                      </a:prstGeom>
                      <a:noFill/>
                      <a:ln>
                        <a:noFill/>
                      </a:ln>
                      <a:effectLst/>
                    </wps:spPr>
                    <wps:txbx>
                      <w:txbxContent>
                        <w:p w14:paraId="70D14B82">
                          <w:pPr>
                            <w:pStyle w:val="17"/>
                            <w:tabs>
                              <w:tab w:val="left" w:pos="263"/>
                              <w:tab w:val="clear" w:pos="4153"/>
                            </w:tabs>
                          </w:pPr>
                          <w:r>
                            <w:fldChar w:fldCharType="begin"/>
                          </w:r>
                          <w:r>
                            <w:instrText xml:space="preserve"> PAGE   \* MERGEFORMAT </w:instrText>
                          </w:r>
                          <w:r>
                            <w:fldChar w:fldCharType="separate"/>
                          </w:r>
                          <w:r>
                            <w:rPr>
                              <w:lang w:val="zh-CN"/>
                            </w:rPr>
                            <w:t>3</w:t>
                          </w:r>
                          <w:r>
                            <w:rPr>
                              <w:lang w:val="zh-CN"/>
                            </w:rPr>
                            <w:fldChar w:fldCharType="end"/>
                          </w:r>
                          <w:r>
                            <w:rPr>
                              <w:rFonts w:hint="eastAsia"/>
                              <w:lang w:val="zh-CN"/>
                            </w:rPr>
                            <w:tab/>
                          </w:r>
                        </w:p>
                      </w:txbxContent>
                    </wps:txbx>
                    <wps:bodyPr wrap="none" lIns="0" tIns="0" rIns="0" bIns="0" upright="1">
                      <a:spAutoFit/>
                    </wps:bodyPr>
                  </wps:wsp>
                </a:graphicData>
              </a:graphic>
            </wp:anchor>
          </w:drawing>
        </mc:Choice>
        <mc:Fallback>
          <w:pict>
            <v:shape id="文本框 1024" o:spid="_x0000_s1026" o:spt="202" type="#_x0000_t202" style="position:absolute;left:0pt;margin-top:0pt;height:20pt;width:13.2pt;mso-position-horizontal:center;mso-position-horizontal-relative:margin;mso-wrap-style:none;z-index:251660288;mso-width-relative:page;mso-height-relative:page;" filled="f" stroked="f" coordsize="21600,21600" o:gfxdata="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&#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AlqtX0QAAAAMBAAAPAAAAAAAAAAEAIAAAACIAAABk&#10;cnMvZG93bnJldi54bWxQSwECFAAUAAAACACHTuJARlzhBNQBAACoAwAADgAAAAAAAAABACAAAAAg&#10;AQAAZHJzL2Uyb0RvYy54bWxQSwUGAAAAAAYABgBZAQAAZgUAAAAA&#10;">
              <v:fill on="f" focussize="0,0"/>
              <v:stroke on="f"/>
              <v:imagedata o:title=""/>
              <o:lock v:ext="edit" aspectratio="f"/>
              <v:textbox inset="0mm,0mm,0mm,0mm" style="mso-fit-shape-to-text:t;">
                <w:txbxContent>
                  <w:p w14:paraId="70D14B82">
                    <w:pPr>
                      <w:pStyle w:val="17"/>
                      <w:tabs>
                        <w:tab w:val="left" w:pos="263"/>
                        <w:tab w:val="clear" w:pos="4153"/>
                      </w:tabs>
                    </w:pPr>
                    <w:r>
                      <w:fldChar w:fldCharType="begin"/>
                    </w:r>
                    <w:r>
                      <w:instrText xml:space="preserve"> PAGE   \* MERGEFORMAT </w:instrText>
                    </w:r>
                    <w:r>
                      <w:fldChar w:fldCharType="separate"/>
                    </w:r>
                    <w:r>
                      <w:rPr>
                        <w:lang w:val="zh-CN"/>
                      </w:rPr>
                      <w:t>3</w:t>
                    </w:r>
                    <w:r>
                      <w:rPr>
                        <w:lang w:val="zh-CN"/>
                      </w:rPr>
                      <w:fldChar w:fldCharType="end"/>
                    </w:r>
                    <w:r>
                      <w:rPr>
                        <w:rFonts w:hint="eastAsia"/>
                        <w:lang w:val="zh-CN"/>
                      </w:rPr>
                      <w:tab/>
                    </w:r>
                  </w:p>
                </w:txbxContent>
              </v:textbox>
            </v:shape>
          </w:pict>
        </mc:Fallback>
      </mc:AlternateContent>
    </w:r>
  </w:p>
  <w:p w14:paraId="6998B453">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C221B">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28C4D6C">
                          <w:pPr>
                            <w:pStyle w:val="1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WUsMhdABAACqAwAADgAAAAAAAAABACAAAAAeAQAAZHJz&#10;L2Uyb0RvYy54bWxQSwUGAAAAAAYABgBZAQAAYAUAAAAA&#10;">
              <v:fill on="f" focussize="0,0"/>
              <v:stroke on="f"/>
              <v:imagedata o:title=""/>
              <o:lock v:ext="edit" aspectratio="f"/>
              <v:textbox inset="0mm,0mm,0mm,0mm" style="mso-fit-shape-to-text:t;">
                <w:txbxContent>
                  <w:p w14:paraId="128C4D6C">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343F">
    <w:pPr>
      <w:pStyle w:val="1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8B28F">
    <w:pPr>
      <w:pStyle w:val="1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CB47A">
    <w:pPr>
      <w:pStyle w:val="1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hideSpellingErrors/>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xODNjNDc5NzJmNmIwYWUzZjhjYjdlZDVkM2NhZTYifQ=="/>
  </w:docVars>
  <w:rsids>
    <w:rsidRoot w:val="003512C6"/>
    <w:rsid w:val="00000672"/>
    <w:rsid w:val="00000B45"/>
    <w:rsid w:val="00001799"/>
    <w:rsid w:val="00001EC4"/>
    <w:rsid w:val="00002D29"/>
    <w:rsid w:val="000040C5"/>
    <w:rsid w:val="00004514"/>
    <w:rsid w:val="00004A8A"/>
    <w:rsid w:val="00005E55"/>
    <w:rsid w:val="00005FDF"/>
    <w:rsid w:val="00006586"/>
    <w:rsid w:val="0000768A"/>
    <w:rsid w:val="00010D39"/>
    <w:rsid w:val="000112BB"/>
    <w:rsid w:val="0001149B"/>
    <w:rsid w:val="0001172C"/>
    <w:rsid w:val="00012854"/>
    <w:rsid w:val="00012EA6"/>
    <w:rsid w:val="000139DC"/>
    <w:rsid w:val="00013D8C"/>
    <w:rsid w:val="00013DFE"/>
    <w:rsid w:val="000141EA"/>
    <w:rsid w:val="00014385"/>
    <w:rsid w:val="0001489C"/>
    <w:rsid w:val="00014B02"/>
    <w:rsid w:val="00016360"/>
    <w:rsid w:val="000166C4"/>
    <w:rsid w:val="00016960"/>
    <w:rsid w:val="00016E39"/>
    <w:rsid w:val="00017396"/>
    <w:rsid w:val="000177DB"/>
    <w:rsid w:val="00020227"/>
    <w:rsid w:val="000203E4"/>
    <w:rsid w:val="00020455"/>
    <w:rsid w:val="00022731"/>
    <w:rsid w:val="00022792"/>
    <w:rsid w:val="0002392D"/>
    <w:rsid w:val="00024B43"/>
    <w:rsid w:val="00025382"/>
    <w:rsid w:val="00025636"/>
    <w:rsid w:val="000258EC"/>
    <w:rsid w:val="00025E36"/>
    <w:rsid w:val="00026627"/>
    <w:rsid w:val="00026886"/>
    <w:rsid w:val="000273E6"/>
    <w:rsid w:val="00030496"/>
    <w:rsid w:val="000329A1"/>
    <w:rsid w:val="000329E0"/>
    <w:rsid w:val="000333A0"/>
    <w:rsid w:val="000352E9"/>
    <w:rsid w:val="00036A07"/>
    <w:rsid w:val="00036E33"/>
    <w:rsid w:val="00037E2D"/>
    <w:rsid w:val="00040571"/>
    <w:rsid w:val="0004156E"/>
    <w:rsid w:val="00041597"/>
    <w:rsid w:val="00041655"/>
    <w:rsid w:val="0004440C"/>
    <w:rsid w:val="00044B64"/>
    <w:rsid w:val="00045880"/>
    <w:rsid w:val="000462CB"/>
    <w:rsid w:val="00046ADE"/>
    <w:rsid w:val="00046B5E"/>
    <w:rsid w:val="0004783A"/>
    <w:rsid w:val="000509D9"/>
    <w:rsid w:val="000552A6"/>
    <w:rsid w:val="00055D41"/>
    <w:rsid w:val="00056975"/>
    <w:rsid w:val="00057728"/>
    <w:rsid w:val="00057CEC"/>
    <w:rsid w:val="000602C0"/>
    <w:rsid w:val="00060DCE"/>
    <w:rsid w:val="000623B4"/>
    <w:rsid w:val="000634A7"/>
    <w:rsid w:val="00063E85"/>
    <w:rsid w:val="00063F81"/>
    <w:rsid w:val="00064847"/>
    <w:rsid w:val="0006484B"/>
    <w:rsid w:val="00065BBC"/>
    <w:rsid w:val="000673E2"/>
    <w:rsid w:val="000711E4"/>
    <w:rsid w:val="00072AED"/>
    <w:rsid w:val="00073F47"/>
    <w:rsid w:val="00075B7E"/>
    <w:rsid w:val="00077C70"/>
    <w:rsid w:val="00080B0A"/>
    <w:rsid w:val="00080B57"/>
    <w:rsid w:val="000817D1"/>
    <w:rsid w:val="00081BA3"/>
    <w:rsid w:val="00081D2E"/>
    <w:rsid w:val="0008267B"/>
    <w:rsid w:val="00082D02"/>
    <w:rsid w:val="00083B91"/>
    <w:rsid w:val="000840BE"/>
    <w:rsid w:val="0008520B"/>
    <w:rsid w:val="0008530A"/>
    <w:rsid w:val="00085518"/>
    <w:rsid w:val="000871B8"/>
    <w:rsid w:val="00087DB6"/>
    <w:rsid w:val="00090639"/>
    <w:rsid w:val="000913BE"/>
    <w:rsid w:val="000913F6"/>
    <w:rsid w:val="000918F8"/>
    <w:rsid w:val="00092442"/>
    <w:rsid w:val="00092817"/>
    <w:rsid w:val="00092AC8"/>
    <w:rsid w:val="0009588E"/>
    <w:rsid w:val="000959EE"/>
    <w:rsid w:val="00095B2F"/>
    <w:rsid w:val="00095B51"/>
    <w:rsid w:val="00097DA0"/>
    <w:rsid w:val="000A0D6B"/>
    <w:rsid w:val="000A0EEE"/>
    <w:rsid w:val="000A1389"/>
    <w:rsid w:val="000A166E"/>
    <w:rsid w:val="000A17D0"/>
    <w:rsid w:val="000A2B0E"/>
    <w:rsid w:val="000A398F"/>
    <w:rsid w:val="000A4AEE"/>
    <w:rsid w:val="000A509C"/>
    <w:rsid w:val="000A6007"/>
    <w:rsid w:val="000A65A6"/>
    <w:rsid w:val="000A7275"/>
    <w:rsid w:val="000A7A12"/>
    <w:rsid w:val="000A7AD8"/>
    <w:rsid w:val="000A7CA5"/>
    <w:rsid w:val="000B039A"/>
    <w:rsid w:val="000B1801"/>
    <w:rsid w:val="000B19B3"/>
    <w:rsid w:val="000B1D0C"/>
    <w:rsid w:val="000B2D03"/>
    <w:rsid w:val="000B3815"/>
    <w:rsid w:val="000B3C7B"/>
    <w:rsid w:val="000B537D"/>
    <w:rsid w:val="000B56B8"/>
    <w:rsid w:val="000B6C95"/>
    <w:rsid w:val="000B728B"/>
    <w:rsid w:val="000C03DC"/>
    <w:rsid w:val="000C0850"/>
    <w:rsid w:val="000C0C58"/>
    <w:rsid w:val="000C1679"/>
    <w:rsid w:val="000C2898"/>
    <w:rsid w:val="000C2F89"/>
    <w:rsid w:val="000C4281"/>
    <w:rsid w:val="000C435F"/>
    <w:rsid w:val="000C4635"/>
    <w:rsid w:val="000C548E"/>
    <w:rsid w:val="000C5A33"/>
    <w:rsid w:val="000C62B2"/>
    <w:rsid w:val="000C6DE4"/>
    <w:rsid w:val="000C74F6"/>
    <w:rsid w:val="000D01EB"/>
    <w:rsid w:val="000D056E"/>
    <w:rsid w:val="000D0675"/>
    <w:rsid w:val="000D0A89"/>
    <w:rsid w:val="000D1389"/>
    <w:rsid w:val="000D1798"/>
    <w:rsid w:val="000D1A2A"/>
    <w:rsid w:val="000D2626"/>
    <w:rsid w:val="000D31DB"/>
    <w:rsid w:val="000D390C"/>
    <w:rsid w:val="000D4528"/>
    <w:rsid w:val="000D4A06"/>
    <w:rsid w:val="000D54D4"/>
    <w:rsid w:val="000D73AF"/>
    <w:rsid w:val="000D73DD"/>
    <w:rsid w:val="000D7D9B"/>
    <w:rsid w:val="000E18E2"/>
    <w:rsid w:val="000E28AB"/>
    <w:rsid w:val="000E2E3E"/>
    <w:rsid w:val="000E3245"/>
    <w:rsid w:val="000E33C5"/>
    <w:rsid w:val="000E3583"/>
    <w:rsid w:val="000E3AF0"/>
    <w:rsid w:val="000E3D53"/>
    <w:rsid w:val="000E4E04"/>
    <w:rsid w:val="000E6EC9"/>
    <w:rsid w:val="000E70B4"/>
    <w:rsid w:val="000E788F"/>
    <w:rsid w:val="000F3281"/>
    <w:rsid w:val="000F3733"/>
    <w:rsid w:val="000F37D4"/>
    <w:rsid w:val="000F380E"/>
    <w:rsid w:val="000F4D88"/>
    <w:rsid w:val="000F5B1B"/>
    <w:rsid w:val="000F63AB"/>
    <w:rsid w:val="000F64AA"/>
    <w:rsid w:val="000F7AF4"/>
    <w:rsid w:val="000F7C33"/>
    <w:rsid w:val="000F7F0C"/>
    <w:rsid w:val="00100246"/>
    <w:rsid w:val="001004D6"/>
    <w:rsid w:val="00100D90"/>
    <w:rsid w:val="0010207A"/>
    <w:rsid w:val="00103918"/>
    <w:rsid w:val="001040E7"/>
    <w:rsid w:val="00104324"/>
    <w:rsid w:val="00104889"/>
    <w:rsid w:val="00104897"/>
    <w:rsid w:val="00104EDE"/>
    <w:rsid w:val="00105372"/>
    <w:rsid w:val="001058F3"/>
    <w:rsid w:val="00106BEE"/>
    <w:rsid w:val="00113134"/>
    <w:rsid w:val="00113AC0"/>
    <w:rsid w:val="00113E75"/>
    <w:rsid w:val="001146EC"/>
    <w:rsid w:val="00114851"/>
    <w:rsid w:val="00115E11"/>
    <w:rsid w:val="00115F56"/>
    <w:rsid w:val="00117CBD"/>
    <w:rsid w:val="0012006A"/>
    <w:rsid w:val="00120990"/>
    <w:rsid w:val="001217B5"/>
    <w:rsid w:val="00121979"/>
    <w:rsid w:val="00122064"/>
    <w:rsid w:val="0012239E"/>
    <w:rsid w:val="00122E84"/>
    <w:rsid w:val="00125004"/>
    <w:rsid w:val="001263B8"/>
    <w:rsid w:val="00126763"/>
    <w:rsid w:val="00130217"/>
    <w:rsid w:val="00130783"/>
    <w:rsid w:val="001312CB"/>
    <w:rsid w:val="00131B75"/>
    <w:rsid w:val="00132B47"/>
    <w:rsid w:val="00132E64"/>
    <w:rsid w:val="001351CB"/>
    <w:rsid w:val="0013528B"/>
    <w:rsid w:val="001359A2"/>
    <w:rsid w:val="00135E37"/>
    <w:rsid w:val="00136020"/>
    <w:rsid w:val="00136445"/>
    <w:rsid w:val="00140132"/>
    <w:rsid w:val="00141C9C"/>
    <w:rsid w:val="001434BE"/>
    <w:rsid w:val="0014479F"/>
    <w:rsid w:val="00144A21"/>
    <w:rsid w:val="001452B4"/>
    <w:rsid w:val="0014550E"/>
    <w:rsid w:val="00145A9C"/>
    <w:rsid w:val="00146B50"/>
    <w:rsid w:val="00146EC6"/>
    <w:rsid w:val="00146FE1"/>
    <w:rsid w:val="001478D2"/>
    <w:rsid w:val="00150CC9"/>
    <w:rsid w:val="00152A87"/>
    <w:rsid w:val="00152D4E"/>
    <w:rsid w:val="00154486"/>
    <w:rsid w:val="00156D0E"/>
    <w:rsid w:val="00157C98"/>
    <w:rsid w:val="0016086E"/>
    <w:rsid w:val="00160D0C"/>
    <w:rsid w:val="00160E95"/>
    <w:rsid w:val="00161172"/>
    <w:rsid w:val="0016139E"/>
    <w:rsid w:val="00161E65"/>
    <w:rsid w:val="00162597"/>
    <w:rsid w:val="001629AF"/>
    <w:rsid w:val="0016428A"/>
    <w:rsid w:val="001647C9"/>
    <w:rsid w:val="001661A3"/>
    <w:rsid w:val="0016782B"/>
    <w:rsid w:val="00167E78"/>
    <w:rsid w:val="00173256"/>
    <w:rsid w:val="001733E1"/>
    <w:rsid w:val="00173F74"/>
    <w:rsid w:val="00174472"/>
    <w:rsid w:val="0017488D"/>
    <w:rsid w:val="00175086"/>
    <w:rsid w:val="00175BA6"/>
    <w:rsid w:val="00176CA7"/>
    <w:rsid w:val="001778C5"/>
    <w:rsid w:val="00177E56"/>
    <w:rsid w:val="00177F0A"/>
    <w:rsid w:val="00180669"/>
    <w:rsid w:val="00182B6B"/>
    <w:rsid w:val="00183088"/>
    <w:rsid w:val="00185617"/>
    <w:rsid w:val="0019171E"/>
    <w:rsid w:val="0019220F"/>
    <w:rsid w:val="001928B1"/>
    <w:rsid w:val="0019476D"/>
    <w:rsid w:val="00194ED5"/>
    <w:rsid w:val="00195424"/>
    <w:rsid w:val="001955FF"/>
    <w:rsid w:val="00195D04"/>
    <w:rsid w:val="001971D3"/>
    <w:rsid w:val="00197EDD"/>
    <w:rsid w:val="001A02B3"/>
    <w:rsid w:val="001A04BB"/>
    <w:rsid w:val="001A08D0"/>
    <w:rsid w:val="001A14B1"/>
    <w:rsid w:val="001A1B39"/>
    <w:rsid w:val="001A2492"/>
    <w:rsid w:val="001A2E69"/>
    <w:rsid w:val="001A3377"/>
    <w:rsid w:val="001A3C34"/>
    <w:rsid w:val="001A3EDE"/>
    <w:rsid w:val="001A4222"/>
    <w:rsid w:val="001A50EA"/>
    <w:rsid w:val="001A5AB8"/>
    <w:rsid w:val="001A5E24"/>
    <w:rsid w:val="001A6A49"/>
    <w:rsid w:val="001A6D8B"/>
    <w:rsid w:val="001A7F45"/>
    <w:rsid w:val="001B079E"/>
    <w:rsid w:val="001B0CDA"/>
    <w:rsid w:val="001B0E26"/>
    <w:rsid w:val="001B125A"/>
    <w:rsid w:val="001B1E05"/>
    <w:rsid w:val="001B1EBA"/>
    <w:rsid w:val="001B1EFE"/>
    <w:rsid w:val="001B2142"/>
    <w:rsid w:val="001B26CF"/>
    <w:rsid w:val="001B2F2B"/>
    <w:rsid w:val="001B327A"/>
    <w:rsid w:val="001B35DE"/>
    <w:rsid w:val="001B35E7"/>
    <w:rsid w:val="001B3A13"/>
    <w:rsid w:val="001B59FF"/>
    <w:rsid w:val="001B636D"/>
    <w:rsid w:val="001B65D7"/>
    <w:rsid w:val="001B6752"/>
    <w:rsid w:val="001B6768"/>
    <w:rsid w:val="001B6F1F"/>
    <w:rsid w:val="001B6F6D"/>
    <w:rsid w:val="001B7ECC"/>
    <w:rsid w:val="001C1AED"/>
    <w:rsid w:val="001C1B38"/>
    <w:rsid w:val="001C25A7"/>
    <w:rsid w:val="001C318C"/>
    <w:rsid w:val="001C4287"/>
    <w:rsid w:val="001C4479"/>
    <w:rsid w:val="001C5A0A"/>
    <w:rsid w:val="001C76B7"/>
    <w:rsid w:val="001C76FB"/>
    <w:rsid w:val="001D034D"/>
    <w:rsid w:val="001D2764"/>
    <w:rsid w:val="001D35BF"/>
    <w:rsid w:val="001D3697"/>
    <w:rsid w:val="001D4CC8"/>
    <w:rsid w:val="001D51DE"/>
    <w:rsid w:val="001D540E"/>
    <w:rsid w:val="001D58A1"/>
    <w:rsid w:val="001D5A8A"/>
    <w:rsid w:val="001D709B"/>
    <w:rsid w:val="001D735E"/>
    <w:rsid w:val="001D73C8"/>
    <w:rsid w:val="001D74D4"/>
    <w:rsid w:val="001D7E1F"/>
    <w:rsid w:val="001E0756"/>
    <w:rsid w:val="001E09D9"/>
    <w:rsid w:val="001E0A8D"/>
    <w:rsid w:val="001E0FFB"/>
    <w:rsid w:val="001E129E"/>
    <w:rsid w:val="001E26F5"/>
    <w:rsid w:val="001E28DF"/>
    <w:rsid w:val="001E2B9F"/>
    <w:rsid w:val="001E445B"/>
    <w:rsid w:val="001E4A8D"/>
    <w:rsid w:val="001E5A94"/>
    <w:rsid w:val="001E7648"/>
    <w:rsid w:val="001E76AB"/>
    <w:rsid w:val="001F127B"/>
    <w:rsid w:val="001F2A2E"/>
    <w:rsid w:val="001F2E3D"/>
    <w:rsid w:val="001F3B72"/>
    <w:rsid w:val="001F3C63"/>
    <w:rsid w:val="001F4460"/>
    <w:rsid w:val="001F5C1C"/>
    <w:rsid w:val="001F5DAF"/>
    <w:rsid w:val="001F637C"/>
    <w:rsid w:val="001F6B6C"/>
    <w:rsid w:val="001F6C7B"/>
    <w:rsid w:val="001F711A"/>
    <w:rsid w:val="001F728A"/>
    <w:rsid w:val="001F75B0"/>
    <w:rsid w:val="001F7686"/>
    <w:rsid w:val="002006E6"/>
    <w:rsid w:val="00200CE5"/>
    <w:rsid w:val="002014DB"/>
    <w:rsid w:val="00201E12"/>
    <w:rsid w:val="00202AC5"/>
    <w:rsid w:val="002031E2"/>
    <w:rsid w:val="002033B5"/>
    <w:rsid w:val="0020382C"/>
    <w:rsid w:val="00203CB0"/>
    <w:rsid w:val="0020437A"/>
    <w:rsid w:val="00204B5F"/>
    <w:rsid w:val="0020532C"/>
    <w:rsid w:val="00205D23"/>
    <w:rsid w:val="0021036C"/>
    <w:rsid w:val="0021064F"/>
    <w:rsid w:val="002114C7"/>
    <w:rsid w:val="002118F3"/>
    <w:rsid w:val="00212756"/>
    <w:rsid w:val="00212A7A"/>
    <w:rsid w:val="0021302C"/>
    <w:rsid w:val="00213045"/>
    <w:rsid w:val="00213483"/>
    <w:rsid w:val="00213B1C"/>
    <w:rsid w:val="00214202"/>
    <w:rsid w:val="002146F3"/>
    <w:rsid w:val="002148E3"/>
    <w:rsid w:val="00215373"/>
    <w:rsid w:val="0021552D"/>
    <w:rsid w:val="002156AE"/>
    <w:rsid w:val="00217861"/>
    <w:rsid w:val="002204C9"/>
    <w:rsid w:val="0022054D"/>
    <w:rsid w:val="0022290A"/>
    <w:rsid w:val="002238CB"/>
    <w:rsid w:val="00224DE1"/>
    <w:rsid w:val="00225493"/>
    <w:rsid w:val="00225664"/>
    <w:rsid w:val="002269DC"/>
    <w:rsid w:val="00227F2D"/>
    <w:rsid w:val="0023089D"/>
    <w:rsid w:val="00231851"/>
    <w:rsid w:val="002319FB"/>
    <w:rsid w:val="00231B89"/>
    <w:rsid w:val="002355BE"/>
    <w:rsid w:val="00236DE9"/>
    <w:rsid w:val="00237D5A"/>
    <w:rsid w:val="00237EA9"/>
    <w:rsid w:val="00241300"/>
    <w:rsid w:val="00241D3C"/>
    <w:rsid w:val="0024274D"/>
    <w:rsid w:val="002439AB"/>
    <w:rsid w:val="002450D5"/>
    <w:rsid w:val="00245587"/>
    <w:rsid w:val="00245F2B"/>
    <w:rsid w:val="00246E2D"/>
    <w:rsid w:val="00246F95"/>
    <w:rsid w:val="0024738F"/>
    <w:rsid w:val="00247F3A"/>
    <w:rsid w:val="00250122"/>
    <w:rsid w:val="00250755"/>
    <w:rsid w:val="00250AE3"/>
    <w:rsid w:val="00251C4A"/>
    <w:rsid w:val="0025271C"/>
    <w:rsid w:val="00252A91"/>
    <w:rsid w:val="002533CD"/>
    <w:rsid w:val="002544C1"/>
    <w:rsid w:val="00254EAB"/>
    <w:rsid w:val="002557AF"/>
    <w:rsid w:val="002559BE"/>
    <w:rsid w:val="002561FA"/>
    <w:rsid w:val="00256474"/>
    <w:rsid w:val="00256523"/>
    <w:rsid w:val="002566B1"/>
    <w:rsid w:val="002575E3"/>
    <w:rsid w:val="002603C1"/>
    <w:rsid w:val="002609A1"/>
    <w:rsid w:val="00260D32"/>
    <w:rsid w:val="002612B1"/>
    <w:rsid w:val="00266165"/>
    <w:rsid w:val="0027125E"/>
    <w:rsid w:val="00271767"/>
    <w:rsid w:val="00271A96"/>
    <w:rsid w:val="00271CFC"/>
    <w:rsid w:val="00272293"/>
    <w:rsid w:val="002723C8"/>
    <w:rsid w:val="00272676"/>
    <w:rsid w:val="00273104"/>
    <w:rsid w:val="00273CBE"/>
    <w:rsid w:val="00275800"/>
    <w:rsid w:val="00277441"/>
    <w:rsid w:val="002802D7"/>
    <w:rsid w:val="0028232C"/>
    <w:rsid w:val="002827F1"/>
    <w:rsid w:val="00282EC3"/>
    <w:rsid w:val="002835B0"/>
    <w:rsid w:val="0028407E"/>
    <w:rsid w:val="0028410F"/>
    <w:rsid w:val="00286603"/>
    <w:rsid w:val="00286A98"/>
    <w:rsid w:val="00286FB5"/>
    <w:rsid w:val="00287210"/>
    <w:rsid w:val="00287686"/>
    <w:rsid w:val="00287763"/>
    <w:rsid w:val="00290606"/>
    <w:rsid w:val="00290E61"/>
    <w:rsid w:val="00290F9D"/>
    <w:rsid w:val="002918A7"/>
    <w:rsid w:val="00291D6D"/>
    <w:rsid w:val="00291FF1"/>
    <w:rsid w:val="002923F6"/>
    <w:rsid w:val="00293361"/>
    <w:rsid w:val="00293770"/>
    <w:rsid w:val="00293D05"/>
    <w:rsid w:val="002943B5"/>
    <w:rsid w:val="00295287"/>
    <w:rsid w:val="002952B1"/>
    <w:rsid w:val="00295D11"/>
    <w:rsid w:val="00295FA0"/>
    <w:rsid w:val="00297A7A"/>
    <w:rsid w:val="002A0C21"/>
    <w:rsid w:val="002A0C3A"/>
    <w:rsid w:val="002A1130"/>
    <w:rsid w:val="002A14D3"/>
    <w:rsid w:val="002A1880"/>
    <w:rsid w:val="002A1D47"/>
    <w:rsid w:val="002A23B7"/>
    <w:rsid w:val="002A3A57"/>
    <w:rsid w:val="002A41C0"/>
    <w:rsid w:val="002A67D6"/>
    <w:rsid w:val="002A6D22"/>
    <w:rsid w:val="002A6DEF"/>
    <w:rsid w:val="002A734A"/>
    <w:rsid w:val="002A7411"/>
    <w:rsid w:val="002A7C24"/>
    <w:rsid w:val="002A7E3B"/>
    <w:rsid w:val="002B013E"/>
    <w:rsid w:val="002B058D"/>
    <w:rsid w:val="002B0C16"/>
    <w:rsid w:val="002B11C9"/>
    <w:rsid w:val="002B169E"/>
    <w:rsid w:val="002B2621"/>
    <w:rsid w:val="002B2AC5"/>
    <w:rsid w:val="002B2F4F"/>
    <w:rsid w:val="002B3528"/>
    <w:rsid w:val="002B3539"/>
    <w:rsid w:val="002B3B2B"/>
    <w:rsid w:val="002B6D17"/>
    <w:rsid w:val="002C0C1C"/>
    <w:rsid w:val="002C184E"/>
    <w:rsid w:val="002C29C1"/>
    <w:rsid w:val="002C54C2"/>
    <w:rsid w:val="002C5871"/>
    <w:rsid w:val="002C58F6"/>
    <w:rsid w:val="002C5D34"/>
    <w:rsid w:val="002C5EA7"/>
    <w:rsid w:val="002C661A"/>
    <w:rsid w:val="002C730C"/>
    <w:rsid w:val="002D0AF5"/>
    <w:rsid w:val="002D1544"/>
    <w:rsid w:val="002D1C54"/>
    <w:rsid w:val="002D2231"/>
    <w:rsid w:val="002D25FC"/>
    <w:rsid w:val="002D318B"/>
    <w:rsid w:val="002D3380"/>
    <w:rsid w:val="002D4925"/>
    <w:rsid w:val="002D4AC6"/>
    <w:rsid w:val="002D5C7B"/>
    <w:rsid w:val="002D6450"/>
    <w:rsid w:val="002D6DFC"/>
    <w:rsid w:val="002D7648"/>
    <w:rsid w:val="002D7909"/>
    <w:rsid w:val="002D7C1B"/>
    <w:rsid w:val="002D7E56"/>
    <w:rsid w:val="002E109C"/>
    <w:rsid w:val="002E115E"/>
    <w:rsid w:val="002E193E"/>
    <w:rsid w:val="002E1D76"/>
    <w:rsid w:val="002E1F87"/>
    <w:rsid w:val="002E243C"/>
    <w:rsid w:val="002E26C4"/>
    <w:rsid w:val="002E2AF9"/>
    <w:rsid w:val="002E307A"/>
    <w:rsid w:val="002E3188"/>
    <w:rsid w:val="002E48DC"/>
    <w:rsid w:val="002E4B37"/>
    <w:rsid w:val="002E4BF9"/>
    <w:rsid w:val="002E676E"/>
    <w:rsid w:val="002E6F5B"/>
    <w:rsid w:val="002F0631"/>
    <w:rsid w:val="002F16DD"/>
    <w:rsid w:val="002F199D"/>
    <w:rsid w:val="002F23B2"/>
    <w:rsid w:val="002F2AC5"/>
    <w:rsid w:val="002F3F79"/>
    <w:rsid w:val="002F4084"/>
    <w:rsid w:val="002F4672"/>
    <w:rsid w:val="002F4A08"/>
    <w:rsid w:val="002F4ADB"/>
    <w:rsid w:val="002F50E5"/>
    <w:rsid w:val="002F531E"/>
    <w:rsid w:val="002F5ACC"/>
    <w:rsid w:val="002F6C2C"/>
    <w:rsid w:val="002F704B"/>
    <w:rsid w:val="002F70A6"/>
    <w:rsid w:val="002F72C3"/>
    <w:rsid w:val="002F768C"/>
    <w:rsid w:val="002F77E6"/>
    <w:rsid w:val="002F7CDA"/>
    <w:rsid w:val="002F7D1E"/>
    <w:rsid w:val="00300F92"/>
    <w:rsid w:val="00301839"/>
    <w:rsid w:val="00302929"/>
    <w:rsid w:val="00302F0F"/>
    <w:rsid w:val="00303243"/>
    <w:rsid w:val="00303BCC"/>
    <w:rsid w:val="00303F2B"/>
    <w:rsid w:val="00303F8D"/>
    <w:rsid w:val="00304541"/>
    <w:rsid w:val="00304580"/>
    <w:rsid w:val="0030586A"/>
    <w:rsid w:val="003074C5"/>
    <w:rsid w:val="00307A3C"/>
    <w:rsid w:val="00307FA4"/>
    <w:rsid w:val="00310CC1"/>
    <w:rsid w:val="003111F8"/>
    <w:rsid w:val="0031202C"/>
    <w:rsid w:val="00313026"/>
    <w:rsid w:val="0031421F"/>
    <w:rsid w:val="0031471D"/>
    <w:rsid w:val="00314B31"/>
    <w:rsid w:val="00314B36"/>
    <w:rsid w:val="00315158"/>
    <w:rsid w:val="00315346"/>
    <w:rsid w:val="00315A65"/>
    <w:rsid w:val="00316CEC"/>
    <w:rsid w:val="00317BA7"/>
    <w:rsid w:val="003200B6"/>
    <w:rsid w:val="00320BE2"/>
    <w:rsid w:val="0032158D"/>
    <w:rsid w:val="00321886"/>
    <w:rsid w:val="00321902"/>
    <w:rsid w:val="00322C6A"/>
    <w:rsid w:val="00322C9B"/>
    <w:rsid w:val="00322F03"/>
    <w:rsid w:val="0032344A"/>
    <w:rsid w:val="00323694"/>
    <w:rsid w:val="00324173"/>
    <w:rsid w:val="00324D63"/>
    <w:rsid w:val="003255AF"/>
    <w:rsid w:val="003256EB"/>
    <w:rsid w:val="003259DB"/>
    <w:rsid w:val="00331060"/>
    <w:rsid w:val="00331A48"/>
    <w:rsid w:val="003330C9"/>
    <w:rsid w:val="0033364C"/>
    <w:rsid w:val="00334415"/>
    <w:rsid w:val="0033445C"/>
    <w:rsid w:val="00334F92"/>
    <w:rsid w:val="0033691E"/>
    <w:rsid w:val="00336CCB"/>
    <w:rsid w:val="0033745F"/>
    <w:rsid w:val="00337631"/>
    <w:rsid w:val="00337F44"/>
    <w:rsid w:val="003411D1"/>
    <w:rsid w:val="003416BA"/>
    <w:rsid w:val="00341BD6"/>
    <w:rsid w:val="003425CD"/>
    <w:rsid w:val="00342A8A"/>
    <w:rsid w:val="00342F99"/>
    <w:rsid w:val="00343958"/>
    <w:rsid w:val="00344558"/>
    <w:rsid w:val="00344726"/>
    <w:rsid w:val="003454A4"/>
    <w:rsid w:val="00350E6C"/>
    <w:rsid w:val="00350ED8"/>
    <w:rsid w:val="003512C6"/>
    <w:rsid w:val="003518A6"/>
    <w:rsid w:val="00351CB0"/>
    <w:rsid w:val="00351E7F"/>
    <w:rsid w:val="00352953"/>
    <w:rsid w:val="00354062"/>
    <w:rsid w:val="0035503E"/>
    <w:rsid w:val="00355C0D"/>
    <w:rsid w:val="003566A9"/>
    <w:rsid w:val="00356988"/>
    <w:rsid w:val="00356B20"/>
    <w:rsid w:val="00356E94"/>
    <w:rsid w:val="00357128"/>
    <w:rsid w:val="0035755E"/>
    <w:rsid w:val="00357898"/>
    <w:rsid w:val="00357A80"/>
    <w:rsid w:val="00361B8B"/>
    <w:rsid w:val="00361B95"/>
    <w:rsid w:val="0036230A"/>
    <w:rsid w:val="00363A11"/>
    <w:rsid w:val="00363F39"/>
    <w:rsid w:val="00364738"/>
    <w:rsid w:val="00364AB0"/>
    <w:rsid w:val="003667B0"/>
    <w:rsid w:val="003667DD"/>
    <w:rsid w:val="00366B48"/>
    <w:rsid w:val="00366F34"/>
    <w:rsid w:val="00367764"/>
    <w:rsid w:val="00370316"/>
    <w:rsid w:val="00370DC7"/>
    <w:rsid w:val="0037156C"/>
    <w:rsid w:val="00371CBD"/>
    <w:rsid w:val="003726B9"/>
    <w:rsid w:val="00373CBE"/>
    <w:rsid w:val="003740CC"/>
    <w:rsid w:val="0037435E"/>
    <w:rsid w:val="00374E79"/>
    <w:rsid w:val="00375388"/>
    <w:rsid w:val="00375FB9"/>
    <w:rsid w:val="00376851"/>
    <w:rsid w:val="00376FA2"/>
    <w:rsid w:val="0037738D"/>
    <w:rsid w:val="00377A3B"/>
    <w:rsid w:val="00377E3C"/>
    <w:rsid w:val="0038099C"/>
    <w:rsid w:val="00380BBE"/>
    <w:rsid w:val="00380DDE"/>
    <w:rsid w:val="00381775"/>
    <w:rsid w:val="00381D70"/>
    <w:rsid w:val="00382128"/>
    <w:rsid w:val="0038235E"/>
    <w:rsid w:val="003829D0"/>
    <w:rsid w:val="00382FBA"/>
    <w:rsid w:val="00383144"/>
    <w:rsid w:val="0038444F"/>
    <w:rsid w:val="00384E83"/>
    <w:rsid w:val="00385333"/>
    <w:rsid w:val="00385F0A"/>
    <w:rsid w:val="00387051"/>
    <w:rsid w:val="00387712"/>
    <w:rsid w:val="00387ECF"/>
    <w:rsid w:val="0039021B"/>
    <w:rsid w:val="00390429"/>
    <w:rsid w:val="00392A7A"/>
    <w:rsid w:val="0039327C"/>
    <w:rsid w:val="003933A2"/>
    <w:rsid w:val="0039366C"/>
    <w:rsid w:val="003938F3"/>
    <w:rsid w:val="00393EC8"/>
    <w:rsid w:val="00394BC6"/>
    <w:rsid w:val="00394DD6"/>
    <w:rsid w:val="00395E42"/>
    <w:rsid w:val="00396052"/>
    <w:rsid w:val="00396A2D"/>
    <w:rsid w:val="00396FC3"/>
    <w:rsid w:val="003A0B61"/>
    <w:rsid w:val="003A0B6C"/>
    <w:rsid w:val="003A1554"/>
    <w:rsid w:val="003A1A94"/>
    <w:rsid w:val="003A204E"/>
    <w:rsid w:val="003A277E"/>
    <w:rsid w:val="003A2D25"/>
    <w:rsid w:val="003A39B2"/>
    <w:rsid w:val="003A4C95"/>
    <w:rsid w:val="003A4DDB"/>
    <w:rsid w:val="003A60E7"/>
    <w:rsid w:val="003A6E03"/>
    <w:rsid w:val="003B0B6A"/>
    <w:rsid w:val="003B0F79"/>
    <w:rsid w:val="003B1483"/>
    <w:rsid w:val="003B1CFD"/>
    <w:rsid w:val="003B29CF"/>
    <w:rsid w:val="003B41B5"/>
    <w:rsid w:val="003B54DF"/>
    <w:rsid w:val="003B5713"/>
    <w:rsid w:val="003B5F96"/>
    <w:rsid w:val="003B6659"/>
    <w:rsid w:val="003B7733"/>
    <w:rsid w:val="003C0166"/>
    <w:rsid w:val="003C350C"/>
    <w:rsid w:val="003C3903"/>
    <w:rsid w:val="003C3BA0"/>
    <w:rsid w:val="003C4580"/>
    <w:rsid w:val="003C52D8"/>
    <w:rsid w:val="003C5496"/>
    <w:rsid w:val="003C5C5E"/>
    <w:rsid w:val="003C6746"/>
    <w:rsid w:val="003C6B0F"/>
    <w:rsid w:val="003C7133"/>
    <w:rsid w:val="003C7555"/>
    <w:rsid w:val="003C7898"/>
    <w:rsid w:val="003D010A"/>
    <w:rsid w:val="003D0FF5"/>
    <w:rsid w:val="003D2D1B"/>
    <w:rsid w:val="003D30AB"/>
    <w:rsid w:val="003D3D94"/>
    <w:rsid w:val="003D48C7"/>
    <w:rsid w:val="003D4B26"/>
    <w:rsid w:val="003D4C08"/>
    <w:rsid w:val="003D51ED"/>
    <w:rsid w:val="003D71A6"/>
    <w:rsid w:val="003D7CE8"/>
    <w:rsid w:val="003E06AF"/>
    <w:rsid w:val="003E1032"/>
    <w:rsid w:val="003E163B"/>
    <w:rsid w:val="003E1904"/>
    <w:rsid w:val="003E285E"/>
    <w:rsid w:val="003E3300"/>
    <w:rsid w:val="003E50C2"/>
    <w:rsid w:val="003E65AC"/>
    <w:rsid w:val="003E6E24"/>
    <w:rsid w:val="003E72B9"/>
    <w:rsid w:val="003E7A18"/>
    <w:rsid w:val="003E7ED4"/>
    <w:rsid w:val="003F0E52"/>
    <w:rsid w:val="003F0EF2"/>
    <w:rsid w:val="003F0F6B"/>
    <w:rsid w:val="003F1F40"/>
    <w:rsid w:val="003F1FE3"/>
    <w:rsid w:val="003F32D0"/>
    <w:rsid w:val="003F3865"/>
    <w:rsid w:val="003F3A0A"/>
    <w:rsid w:val="003F4632"/>
    <w:rsid w:val="003F47BA"/>
    <w:rsid w:val="003F6617"/>
    <w:rsid w:val="0040115E"/>
    <w:rsid w:val="00402332"/>
    <w:rsid w:val="004025C2"/>
    <w:rsid w:val="004037E5"/>
    <w:rsid w:val="00403E55"/>
    <w:rsid w:val="00404532"/>
    <w:rsid w:val="00404681"/>
    <w:rsid w:val="0040496D"/>
    <w:rsid w:val="00405010"/>
    <w:rsid w:val="0040595A"/>
    <w:rsid w:val="00406923"/>
    <w:rsid w:val="0040713A"/>
    <w:rsid w:val="0040763D"/>
    <w:rsid w:val="00410117"/>
    <w:rsid w:val="004105B0"/>
    <w:rsid w:val="00410624"/>
    <w:rsid w:val="00410EC5"/>
    <w:rsid w:val="0041250F"/>
    <w:rsid w:val="004128B0"/>
    <w:rsid w:val="004133A8"/>
    <w:rsid w:val="00413821"/>
    <w:rsid w:val="00413D43"/>
    <w:rsid w:val="004141A3"/>
    <w:rsid w:val="00414909"/>
    <w:rsid w:val="00415E66"/>
    <w:rsid w:val="00416112"/>
    <w:rsid w:val="00416D0C"/>
    <w:rsid w:val="00416DF0"/>
    <w:rsid w:val="00417AE0"/>
    <w:rsid w:val="00417BAA"/>
    <w:rsid w:val="00417E08"/>
    <w:rsid w:val="004208CF"/>
    <w:rsid w:val="00420BA9"/>
    <w:rsid w:val="00420D7A"/>
    <w:rsid w:val="004223DE"/>
    <w:rsid w:val="0042293E"/>
    <w:rsid w:val="00422A10"/>
    <w:rsid w:val="00423D86"/>
    <w:rsid w:val="00424D17"/>
    <w:rsid w:val="00425DFD"/>
    <w:rsid w:val="004263A3"/>
    <w:rsid w:val="00427713"/>
    <w:rsid w:val="00427CCC"/>
    <w:rsid w:val="0043013A"/>
    <w:rsid w:val="00430421"/>
    <w:rsid w:val="00430B4F"/>
    <w:rsid w:val="004314B1"/>
    <w:rsid w:val="00431E65"/>
    <w:rsid w:val="00432589"/>
    <w:rsid w:val="00432A94"/>
    <w:rsid w:val="0043366D"/>
    <w:rsid w:val="00433827"/>
    <w:rsid w:val="00434D2E"/>
    <w:rsid w:val="004360C8"/>
    <w:rsid w:val="0044006B"/>
    <w:rsid w:val="0044033F"/>
    <w:rsid w:val="00440630"/>
    <w:rsid w:val="00441123"/>
    <w:rsid w:val="00441B74"/>
    <w:rsid w:val="00442095"/>
    <w:rsid w:val="00442965"/>
    <w:rsid w:val="00444157"/>
    <w:rsid w:val="0044417C"/>
    <w:rsid w:val="00444DB3"/>
    <w:rsid w:val="004452B9"/>
    <w:rsid w:val="00445A2F"/>
    <w:rsid w:val="00446328"/>
    <w:rsid w:val="00446341"/>
    <w:rsid w:val="00446648"/>
    <w:rsid w:val="0044684E"/>
    <w:rsid w:val="004479CA"/>
    <w:rsid w:val="004503A4"/>
    <w:rsid w:val="00450555"/>
    <w:rsid w:val="00450DC6"/>
    <w:rsid w:val="004516A5"/>
    <w:rsid w:val="00451ECB"/>
    <w:rsid w:val="00451FE8"/>
    <w:rsid w:val="0045202B"/>
    <w:rsid w:val="00452179"/>
    <w:rsid w:val="004522E3"/>
    <w:rsid w:val="00452B20"/>
    <w:rsid w:val="00452E99"/>
    <w:rsid w:val="004535AE"/>
    <w:rsid w:val="00453C42"/>
    <w:rsid w:val="0045463A"/>
    <w:rsid w:val="00454AC9"/>
    <w:rsid w:val="00454E26"/>
    <w:rsid w:val="004554A3"/>
    <w:rsid w:val="00455A6E"/>
    <w:rsid w:val="00456758"/>
    <w:rsid w:val="004569CD"/>
    <w:rsid w:val="004578EB"/>
    <w:rsid w:val="00460303"/>
    <w:rsid w:val="00460697"/>
    <w:rsid w:val="00462593"/>
    <w:rsid w:val="00463B5B"/>
    <w:rsid w:val="00465EEF"/>
    <w:rsid w:val="00466D03"/>
    <w:rsid w:val="0046711B"/>
    <w:rsid w:val="00467312"/>
    <w:rsid w:val="00471156"/>
    <w:rsid w:val="00472429"/>
    <w:rsid w:val="004725E5"/>
    <w:rsid w:val="004726FE"/>
    <w:rsid w:val="00472751"/>
    <w:rsid w:val="00473128"/>
    <w:rsid w:val="00475078"/>
    <w:rsid w:val="00475226"/>
    <w:rsid w:val="004779A0"/>
    <w:rsid w:val="004808E3"/>
    <w:rsid w:val="00481016"/>
    <w:rsid w:val="004814D3"/>
    <w:rsid w:val="0048204C"/>
    <w:rsid w:val="004821BB"/>
    <w:rsid w:val="00482233"/>
    <w:rsid w:val="0048261A"/>
    <w:rsid w:val="004826FE"/>
    <w:rsid w:val="004827D5"/>
    <w:rsid w:val="004830C9"/>
    <w:rsid w:val="00483347"/>
    <w:rsid w:val="00483507"/>
    <w:rsid w:val="00483E2E"/>
    <w:rsid w:val="00484260"/>
    <w:rsid w:val="00484B69"/>
    <w:rsid w:val="00485406"/>
    <w:rsid w:val="004858FE"/>
    <w:rsid w:val="0048590F"/>
    <w:rsid w:val="004867A5"/>
    <w:rsid w:val="00486D60"/>
    <w:rsid w:val="00487C87"/>
    <w:rsid w:val="00490BB8"/>
    <w:rsid w:val="00492A25"/>
    <w:rsid w:val="0049474A"/>
    <w:rsid w:val="004961EA"/>
    <w:rsid w:val="00496350"/>
    <w:rsid w:val="00496F91"/>
    <w:rsid w:val="00497274"/>
    <w:rsid w:val="00497708"/>
    <w:rsid w:val="0049797C"/>
    <w:rsid w:val="00497C2C"/>
    <w:rsid w:val="00497E9D"/>
    <w:rsid w:val="004A07AC"/>
    <w:rsid w:val="004A1405"/>
    <w:rsid w:val="004A1FC6"/>
    <w:rsid w:val="004A3C03"/>
    <w:rsid w:val="004A3DB7"/>
    <w:rsid w:val="004A3FB3"/>
    <w:rsid w:val="004A404F"/>
    <w:rsid w:val="004A5088"/>
    <w:rsid w:val="004A5255"/>
    <w:rsid w:val="004A6097"/>
    <w:rsid w:val="004A6CB0"/>
    <w:rsid w:val="004A70FF"/>
    <w:rsid w:val="004A7CCC"/>
    <w:rsid w:val="004B0DB6"/>
    <w:rsid w:val="004B164E"/>
    <w:rsid w:val="004B1B84"/>
    <w:rsid w:val="004B29AC"/>
    <w:rsid w:val="004B35DF"/>
    <w:rsid w:val="004B3627"/>
    <w:rsid w:val="004B3F3A"/>
    <w:rsid w:val="004B4779"/>
    <w:rsid w:val="004B4922"/>
    <w:rsid w:val="004B57DF"/>
    <w:rsid w:val="004C03A0"/>
    <w:rsid w:val="004C04AB"/>
    <w:rsid w:val="004C2138"/>
    <w:rsid w:val="004C2ED0"/>
    <w:rsid w:val="004C32D4"/>
    <w:rsid w:val="004C3794"/>
    <w:rsid w:val="004C3940"/>
    <w:rsid w:val="004C51FD"/>
    <w:rsid w:val="004C534B"/>
    <w:rsid w:val="004C5882"/>
    <w:rsid w:val="004C65A8"/>
    <w:rsid w:val="004C6F74"/>
    <w:rsid w:val="004C786C"/>
    <w:rsid w:val="004C7963"/>
    <w:rsid w:val="004C7A32"/>
    <w:rsid w:val="004D00B8"/>
    <w:rsid w:val="004D2F63"/>
    <w:rsid w:val="004D35BA"/>
    <w:rsid w:val="004D4701"/>
    <w:rsid w:val="004D47C7"/>
    <w:rsid w:val="004D5701"/>
    <w:rsid w:val="004D618D"/>
    <w:rsid w:val="004D62A9"/>
    <w:rsid w:val="004D6338"/>
    <w:rsid w:val="004D6AEE"/>
    <w:rsid w:val="004D6FC3"/>
    <w:rsid w:val="004D7476"/>
    <w:rsid w:val="004E0306"/>
    <w:rsid w:val="004E0572"/>
    <w:rsid w:val="004E25A8"/>
    <w:rsid w:val="004E2AA0"/>
    <w:rsid w:val="004E37C0"/>
    <w:rsid w:val="004E3930"/>
    <w:rsid w:val="004E3ED9"/>
    <w:rsid w:val="004E5866"/>
    <w:rsid w:val="004E5D94"/>
    <w:rsid w:val="004E6097"/>
    <w:rsid w:val="004E61EF"/>
    <w:rsid w:val="004E6772"/>
    <w:rsid w:val="004E6847"/>
    <w:rsid w:val="004E76A7"/>
    <w:rsid w:val="004E7736"/>
    <w:rsid w:val="004E7B03"/>
    <w:rsid w:val="004F0064"/>
    <w:rsid w:val="004F06AC"/>
    <w:rsid w:val="004F0C76"/>
    <w:rsid w:val="004F1AE6"/>
    <w:rsid w:val="004F243F"/>
    <w:rsid w:val="004F3E0C"/>
    <w:rsid w:val="004F4B37"/>
    <w:rsid w:val="004F6272"/>
    <w:rsid w:val="004F6A2D"/>
    <w:rsid w:val="004F7160"/>
    <w:rsid w:val="00500258"/>
    <w:rsid w:val="0050082C"/>
    <w:rsid w:val="0050175E"/>
    <w:rsid w:val="00501A99"/>
    <w:rsid w:val="00503180"/>
    <w:rsid w:val="0050417C"/>
    <w:rsid w:val="0050437F"/>
    <w:rsid w:val="00505450"/>
    <w:rsid w:val="00505D22"/>
    <w:rsid w:val="005100B7"/>
    <w:rsid w:val="005113C9"/>
    <w:rsid w:val="0051280C"/>
    <w:rsid w:val="00512842"/>
    <w:rsid w:val="005128BE"/>
    <w:rsid w:val="00512B7B"/>
    <w:rsid w:val="00512E6C"/>
    <w:rsid w:val="0051356F"/>
    <w:rsid w:val="00513606"/>
    <w:rsid w:val="00513E7C"/>
    <w:rsid w:val="005140BB"/>
    <w:rsid w:val="005143C2"/>
    <w:rsid w:val="0051454F"/>
    <w:rsid w:val="00514FD9"/>
    <w:rsid w:val="0051608F"/>
    <w:rsid w:val="005174B0"/>
    <w:rsid w:val="00517564"/>
    <w:rsid w:val="005210F7"/>
    <w:rsid w:val="00521753"/>
    <w:rsid w:val="00521A44"/>
    <w:rsid w:val="00521D16"/>
    <w:rsid w:val="005222BE"/>
    <w:rsid w:val="005224EE"/>
    <w:rsid w:val="00523690"/>
    <w:rsid w:val="00523BB1"/>
    <w:rsid w:val="00524217"/>
    <w:rsid w:val="0052451A"/>
    <w:rsid w:val="00524737"/>
    <w:rsid w:val="00526265"/>
    <w:rsid w:val="0052652D"/>
    <w:rsid w:val="0052655D"/>
    <w:rsid w:val="005265E0"/>
    <w:rsid w:val="00526BC3"/>
    <w:rsid w:val="00530F9E"/>
    <w:rsid w:val="0053209B"/>
    <w:rsid w:val="0053274E"/>
    <w:rsid w:val="00532CED"/>
    <w:rsid w:val="0053358A"/>
    <w:rsid w:val="0053408B"/>
    <w:rsid w:val="00534668"/>
    <w:rsid w:val="00534DDD"/>
    <w:rsid w:val="00535291"/>
    <w:rsid w:val="00535A94"/>
    <w:rsid w:val="00537874"/>
    <w:rsid w:val="00540204"/>
    <w:rsid w:val="00540578"/>
    <w:rsid w:val="005407D2"/>
    <w:rsid w:val="00540808"/>
    <w:rsid w:val="0054080E"/>
    <w:rsid w:val="00540EA1"/>
    <w:rsid w:val="00541F62"/>
    <w:rsid w:val="00542AD8"/>
    <w:rsid w:val="0054358E"/>
    <w:rsid w:val="00543AF4"/>
    <w:rsid w:val="0054405B"/>
    <w:rsid w:val="00544191"/>
    <w:rsid w:val="00544F39"/>
    <w:rsid w:val="0054515D"/>
    <w:rsid w:val="00547EFB"/>
    <w:rsid w:val="00550957"/>
    <w:rsid w:val="00552563"/>
    <w:rsid w:val="005531DF"/>
    <w:rsid w:val="00553874"/>
    <w:rsid w:val="00553ACC"/>
    <w:rsid w:val="00554AD8"/>
    <w:rsid w:val="00554F78"/>
    <w:rsid w:val="005556A5"/>
    <w:rsid w:val="00556BF7"/>
    <w:rsid w:val="00562149"/>
    <w:rsid w:val="005630A5"/>
    <w:rsid w:val="005630D8"/>
    <w:rsid w:val="00563352"/>
    <w:rsid w:val="00563FFD"/>
    <w:rsid w:val="0056450C"/>
    <w:rsid w:val="00565855"/>
    <w:rsid w:val="005677CE"/>
    <w:rsid w:val="00567990"/>
    <w:rsid w:val="00567B5D"/>
    <w:rsid w:val="005722E5"/>
    <w:rsid w:val="00573733"/>
    <w:rsid w:val="00574554"/>
    <w:rsid w:val="00576089"/>
    <w:rsid w:val="005764B1"/>
    <w:rsid w:val="00576A56"/>
    <w:rsid w:val="00576D06"/>
    <w:rsid w:val="00577853"/>
    <w:rsid w:val="005779E4"/>
    <w:rsid w:val="00577A3F"/>
    <w:rsid w:val="00580AC5"/>
    <w:rsid w:val="00580EB3"/>
    <w:rsid w:val="00581A2A"/>
    <w:rsid w:val="00582169"/>
    <w:rsid w:val="0058289C"/>
    <w:rsid w:val="00582C35"/>
    <w:rsid w:val="00582DC6"/>
    <w:rsid w:val="00583059"/>
    <w:rsid w:val="005836C7"/>
    <w:rsid w:val="00583E30"/>
    <w:rsid w:val="0058408E"/>
    <w:rsid w:val="005845AF"/>
    <w:rsid w:val="00585374"/>
    <w:rsid w:val="00586F3C"/>
    <w:rsid w:val="00587FB6"/>
    <w:rsid w:val="00590A1A"/>
    <w:rsid w:val="00590B77"/>
    <w:rsid w:val="005913A3"/>
    <w:rsid w:val="00591DCD"/>
    <w:rsid w:val="00591E6C"/>
    <w:rsid w:val="00594A7B"/>
    <w:rsid w:val="00594AFA"/>
    <w:rsid w:val="0059580E"/>
    <w:rsid w:val="00596A6F"/>
    <w:rsid w:val="005976E1"/>
    <w:rsid w:val="005A0541"/>
    <w:rsid w:val="005A1525"/>
    <w:rsid w:val="005A1EC3"/>
    <w:rsid w:val="005A252B"/>
    <w:rsid w:val="005A284D"/>
    <w:rsid w:val="005A2A71"/>
    <w:rsid w:val="005A3204"/>
    <w:rsid w:val="005A3341"/>
    <w:rsid w:val="005A3FA1"/>
    <w:rsid w:val="005A46EC"/>
    <w:rsid w:val="005A4847"/>
    <w:rsid w:val="005A494F"/>
    <w:rsid w:val="005A7FCB"/>
    <w:rsid w:val="005B0160"/>
    <w:rsid w:val="005B0185"/>
    <w:rsid w:val="005B07EC"/>
    <w:rsid w:val="005B09D8"/>
    <w:rsid w:val="005B120C"/>
    <w:rsid w:val="005B24F3"/>
    <w:rsid w:val="005B2B11"/>
    <w:rsid w:val="005B2E00"/>
    <w:rsid w:val="005B30C3"/>
    <w:rsid w:val="005B370E"/>
    <w:rsid w:val="005B4DA3"/>
    <w:rsid w:val="005B5BEE"/>
    <w:rsid w:val="005B77D2"/>
    <w:rsid w:val="005C019B"/>
    <w:rsid w:val="005C144E"/>
    <w:rsid w:val="005C14A8"/>
    <w:rsid w:val="005C2999"/>
    <w:rsid w:val="005C30F5"/>
    <w:rsid w:val="005C357E"/>
    <w:rsid w:val="005C3951"/>
    <w:rsid w:val="005C51A5"/>
    <w:rsid w:val="005C557A"/>
    <w:rsid w:val="005C61DD"/>
    <w:rsid w:val="005C6438"/>
    <w:rsid w:val="005C6B8B"/>
    <w:rsid w:val="005C7B87"/>
    <w:rsid w:val="005D02E3"/>
    <w:rsid w:val="005D0310"/>
    <w:rsid w:val="005D039C"/>
    <w:rsid w:val="005D1095"/>
    <w:rsid w:val="005D1370"/>
    <w:rsid w:val="005D1F34"/>
    <w:rsid w:val="005D2529"/>
    <w:rsid w:val="005D2C1F"/>
    <w:rsid w:val="005D34B2"/>
    <w:rsid w:val="005D3B54"/>
    <w:rsid w:val="005D40CD"/>
    <w:rsid w:val="005D4406"/>
    <w:rsid w:val="005D4546"/>
    <w:rsid w:val="005D6B59"/>
    <w:rsid w:val="005D7037"/>
    <w:rsid w:val="005E03E4"/>
    <w:rsid w:val="005E0454"/>
    <w:rsid w:val="005E0BF4"/>
    <w:rsid w:val="005E171D"/>
    <w:rsid w:val="005E34C2"/>
    <w:rsid w:val="005E35C6"/>
    <w:rsid w:val="005E417A"/>
    <w:rsid w:val="005E5B01"/>
    <w:rsid w:val="005E67F1"/>
    <w:rsid w:val="005E6E3B"/>
    <w:rsid w:val="005E7933"/>
    <w:rsid w:val="005E7E0B"/>
    <w:rsid w:val="005F009E"/>
    <w:rsid w:val="005F0A88"/>
    <w:rsid w:val="005F0DF1"/>
    <w:rsid w:val="005F1516"/>
    <w:rsid w:val="005F229E"/>
    <w:rsid w:val="005F2564"/>
    <w:rsid w:val="005F3822"/>
    <w:rsid w:val="005F3E0B"/>
    <w:rsid w:val="005F4D16"/>
    <w:rsid w:val="005F4E52"/>
    <w:rsid w:val="005F5590"/>
    <w:rsid w:val="005F5967"/>
    <w:rsid w:val="005F65CD"/>
    <w:rsid w:val="005F6A62"/>
    <w:rsid w:val="005F77C8"/>
    <w:rsid w:val="0060058E"/>
    <w:rsid w:val="00602740"/>
    <w:rsid w:val="00602A3C"/>
    <w:rsid w:val="00603BE3"/>
    <w:rsid w:val="00603EFD"/>
    <w:rsid w:val="006041DF"/>
    <w:rsid w:val="0060475B"/>
    <w:rsid w:val="00604BBB"/>
    <w:rsid w:val="00604FB6"/>
    <w:rsid w:val="00605387"/>
    <w:rsid w:val="00606302"/>
    <w:rsid w:val="006072EF"/>
    <w:rsid w:val="006076FD"/>
    <w:rsid w:val="00607BA3"/>
    <w:rsid w:val="00607D68"/>
    <w:rsid w:val="0061143F"/>
    <w:rsid w:val="006114D8"/>
    <w:rsid w:val="00611585"/>
    <w:rsid w:val="00612931"/>
    <w:rsid w:val="00613601"/>
    <w:rsid w:val="00613791"/>
    <w:rsid w:val="00613AAB"/>
    <w:rsid w:val="00614505"/>
    <w:rsid w:val="006148C7"/>
    <w:rsid w:val="006150D6"/>
    <w:rsid w:val="00617EEE"/>
    <w:rsid w:val="006210FE"/>
    <w:rsid w:val="00622811"/>
    <w:rsid w:val="00622894"/>
    <w:rsid w:val="00622BB7"/>
    <w:rsid w:val="00622F3B"/>
    <w:rsid w:val="00623389"/>
    <w:rsid w:val="0062352A"/>
    <w:rsid w:val="00625E45"/>
    <w:rsid w:val="006264AE"/>
    <w:rsid w:val="006265C4"/>
    <w:rsid w:val="00627383"/>
    <w:rsid w:val="00627733"/>
    <w:rsid w:val="006301BB"/>
    <w:rsid w:val="00632605"/>
    <w:rsid w:val="00633F8D"/>
    <w:rsid w:val="006341EF"/>
    <w:rsid w:val="00634BED"/>
    <w:rsid w:val="00635A4A"/>
    <w:rsid w:val="00635FB9"/>
    <w:rsid w:val="00636148"/>
    <w:rsid w:val="006370CF"/>
    <w:rsid w:val="00637774"/>
    <w:rsid w:val="00637E69"/>
    <w:rsid w:val="0064024C"/>
    <w:rsid w:val="00640291"/>
    <w:rsid w:val="0064103F"/>
    <w:rsid w:val="00641560"/>
    <w:rsid w:val="00641FAC"/>
    <w:rsid w:val="006432A5"/>
    <w:rsid w:val="00643664"/>
    <w:rsid w:val="00643CAA"/>
    <w:rsid w:val="00644075"/>
    <w:rsid w:val="00647B53"/>
    <w:rsid w:val="00652137"/>
    <w:rsid w:val="00652680"/>
    <w:rsid w:val="00652A09"/>
    <w:rsid w:val="00652CCD"/>
    <w:rsid w:val="006530A1"/>
    <w:rsid w:val="00653CDE"/>
    <w:rsid w:val="006540B4"/>
    <w:rsid w:val="0065636A"/>
    <w:rsid w:val="0065669F"/>
    <w:rsid w:val="00656C3C"/>
    <w:rsid w:val="00657003"/>
    <w:rsid w:val="00657126"/>
    <w:rsid w:val="006572C1"/>
    <w:rsid w:val="00657930"/>
    <w:rsid w:val="00660238"/>
    <w:rsid w:val="006602EF"/>
    <w:rsid w:val="00660F41"/>
    <w:rsid w:val="00661277"/>
    <w:rsid w:val="006616FE"/>
    <w:rsid w:val="006619D1"/>
    <w:rsid w:val="00663FEA"/>
    <w:rsid w:val="00664253"/>
    <w:rsid w:val="00664381"/>
    <w:rsid w:val="006647AE"/>
    <w:rsid w:val="00664803"/>
    <w:rsid w:val="00664D54"/>
    <w:rsid w:val="006661A4"/>
    <w:rsid w:val="006670E0"/>
    <w:rsid w:val="00667532"/>
    <w:rsid w:val="006704FD"/>
    <w:rsid w:val="0067294B"/>
    <w:rsid w:val="00673AA4"/>
    <w:rsid w:val="00674187"/>
    <w:rsid w:val="006744E8"/>
    <w:rsid w:val="0067508F"/>
    <w:rsid w:val="00675349"/>
    <w:rsid w:val="00675E7E"/>
    <w:rsid w:val="0068051E"/>
    <w:rsid w:val="00680B9D"/>
    <w:rsid w:val="00681F13"/>
    <w:rsid w:val="0068231C"/>
    <w:rsid w:val="00682344"/>
    <w:rsid w:val="00682939"/>
    <w:rsid w:val="00682F28"/>
    <w:rsid w:val="00684842"/>
    <w:rsid w:val="00685BD6"/>
    <w:rsid w:val="006878A6"/>
    <w:rsid w:val="00690437"/>
    <w:rsid w:val="00690E65"/>
    <w:rsid w:val="0069188E"/>
    <w:rsid w:val="00691974"/>
    <w:rsid w:val="00692CE6"/>
    <w:rsid w:val="006936EC"/>
    <w:rsid w:val="00693B6C"/>
    <w:rsid w:val="00694202"/>
    <w:rsid w:val="006942AE"/>
    <w:rsid w:val="0069483C"/>
    <w:rsid w:val="006949BD"/>
    <w:rsid w:val="0069522E"/>
    <w:rsid w:val="00695421"/>
    <w:rsid w:val="00696D4B"/>
    <w:rsid w:val="00697BD3"/>
    <w:rsid w:val="00697DFA"/>
    <w:rsid w:val="006A0C53"/>
    <w:rsid w:val="006A10F3"/>
    <w:rsid w:val="006A16D5"/>
    <w:rsid w:val="006A1772"/>
    <w:rsid w:val="006A1780"/>
    <w:rsid w:val="006A25A5"/>
    <w:rsid w:val="006A2790"/>
    <w:rsid w:val="006A3CEC"/>
    <w:rsid w:val="006A3F75"/>
    <w:rsid w:val="006A4FB3"/>
    <w:rsid w:val="006A5A3E"/>
    <w:rsid w:val="006A6CA7"/>
    <w:rsid w:val="006A703E"/>
    <w:rsid w:val="006A77DC"/>
    <w:rsid w:val="006A7BE3"/>
    <w:rsid w:val="006B01D1"/>
    <w:rsid w:val="006B16EA"/>
    <w:rsid w:val="006B1780"/>
    <w:rsid w:val="006B20CB"/>
    <w:rsid w:val="006B224E"/>
    <w:rsid w:val="006B376E"/>
    <w:rsid w:val="006B4589"/>
    <w:rsid w:val="006B6805"/>
    <w:rsid w:val="006B6BBE"/>
    <w:rsid w:val="006B6DE0"/>
    <w:rsid w:val="006B7D5F"/>
    <w:rsid w:val="006B7F3B"/>
    <w:rsid w:val="006C32F4"/>
    <w:rsid w:val="006C3C54"/>
    <w:rsid w:val="006C40F4"/>
    <w:rsid w:val="006C427B"/>
    <w:rsid w:val="006C427C"/>
    <w:rsid w:val="006C4D5D"/>
    <w:rsid w:val="006C4E5A"/>
    <w:rsid w:val="006C4F9F"/>
    <w:rsid w:val="006C61AB"/>
    <w:rsid w:val="006C650D"/>
    <w:rsid w:val="006C748D"/>
    <w:rsid w:val="006C74E2"/>
    <w:rsid w:val="006D0C1D"/>
    <w:rsid w:val="006D0CE1"/>
    <w:rsid w:val="006D2004"/>
    <w:rsid w:val="006D2A8C"/>
    <w:rsid w:val="006D2E9D"/>
    <w:rsid w:val="006D4214"/>
    <w:rsid w:val="006D4C1E"/>
    <w:rsid w:val="006D4C42"/>
    <w:rsid w:val="006D570E"/>
    <w:rsid w:val="006D5809"/>
    <w:rsid w:val="006D630A"/>
    <w:rsid w:val="006D668D"/>
    <w:rsid w:val="006D7363"/>
    <w:rsid w:val="006D74F2"/>
    <w:rsid w:val="006E04C8"/>
    <w:rsid w:val="006E0712"/>
    <w:rsid w:val="006E0754"/>
    <w:rsid w:val="006E2668"/>
    <w:rsid w:val="006E2D39"/>
    <w:rsid w:val="006E32B0"/>
    <w:rsid w:val="006E36D8"/>
    <w:rsid w:val="006E396A"/>
    <w:rsid w:val="006E3A73"/>
    <w:rsid w:val="006E5DD8"/>
    <w:rsid w:val="006E5EA1"/>
    <w:rsid w:val="006E626A"/>
    <w:rsid w:val="006E7ABC"/>
    <w:rsid w:val="006F0760"/>
    <w:rsid w:val="006F0FF1"/>
    <w:rsid w:val="006F11E2"/>
    <w:rsid w:val="006F12F5"/>
    <w:rsid w:val="006F1E4E"/>
    <w:rsid w:val="006F2574"/>
    <w:rsid w:val="006F3231"/>
    <w:rsid w:val="006F3DE3"/>
    <w:rsid w:val="006F4A61"/>
    <w:rsid w:val="006F511F"/>
    <w:rsid w:val="006F54B3"/>
    <w:rsid w:val="006F61D8"/>
    <w:rsid w:val="006F62B7"/>
    <w:rsid w:val="006F70BC"/>
    <w:rsid w:val="006F713A"/>
    <w:rsid w:val="006F76BF"/>
    <w:rsid w:val="00700077"/>
    <w:rsid w:val="00704994"/>
    <w:rsid w:val="007066A4"/>
    <w:rsid w:val="00706F37"/>
    <w:rsid w:val="00707D09"/>
    <w:rsid w:val="00711208"/>
    <w:rsid w:val="0071209F"/>
    <w:rsid w:val="007125A2"/>
    <w:rsid w:val="00712DA3"/>
    <w:rsid w:val="00713F79"/>
    <w:rsid w:val="007148A8"/>
    <w:rsid w:val="00714AA4"/>
    <w:rsid w:val="007171E0"/>
    <w:rsid w:val="0072033C"/>
    <w:rsid w:val="00720B1B"/>
    <w:rsid w:val="00720EC1"/>
    <w:rsid w:val="00721062"/>
    <w:rsid w:val="00721E5D"/>
    <w:rsid w:val="00722573"/>
    <w:rsid w:val="007229D4"/>
    <w:rsid w:val="00722CD9"/>
    <w:rsid w:val="007230F8"/>
    <w:rsid w:val="007233F4"/>
    <w:rsid w:val="00723C94"/>
    <w:rsid w:val="00724044"/>
    <w:rsid w:val="007244E1"/>
    <w:rsid w:val="007248D3"/>
    <w:rsid w:val="00725137"/>
    <w:rsid w:val="007263ED"/>
    <w:rsid w:val="00726615"/>
    <w:rsid w:val="00727A43"/>
    <w:rsid w:val="00727FF2"/>
    <w:rsid w:val="007306C7"/>
    <w:rsid w:val="007309DE"/>
    <w:rsid w:val="00730DA2"/>
    <w:rsid w:val="007323E0"/>
    <w:rsid w:val="00733791"/>
    <w:rsid w:val="0073391B"/>
    <w:rsid w:val="00733DE2"/>
    <w:rsid w:val="007352EA"/>
    <w:rsid w:val="0073544F"/>
    <w:rsid w:val="007360CC"/>
    <w:rsid w:val="007364E5"/>
    <w:rsid w:val="0073792F"/>
    <w:rsid w:val="00740367"/>
    <w:rsid w:val="00740BAD"/>
    <w:rsid w:val="00740DA6"/>
    <w:rsid w:val="00741A0E"/>
    <w:rsid w:val="00741D1E"/>
    <w:rsid w:val="00741EE2"/>
    <w:rsid w:val="00742367"/>
    <w:rsid w:val="00742DE4"/>
    <w:rsid w:val="00742EAA"/>
    <w:rsid w:val="00743818"/>
    <w:rsid w:val="007439E2"/>
    <w:rsid w:val="00743D6F"/>
    <w:rsid w:val="00743DD8"/>
    <w:rsid w:val="007441FB"/>
    <w:rsid w:val="00744443"/>
    <w:rsid w:val="00744517"/>
    <w:rsid w:val="00744810"/>
    <w:rsid w:val="00747842"/>
    <w:rsid w:val="00747DE2"/>
    <w:rsid w:val="007504BF"/>
    <w:rsid w:val="007506CD"/>
    <w:rsid w:val="00751B7E"/>
    <w:rsid w:val="0075267F"/>
    <w:rsid w:val="007526EC"/>
    <w:rsid w:val="0075310C"/>
    <w:rsid w:val="00753347"/>
    <w:rsid w:val="00753C48"/>
    <w:rsid w:val="00754C97"/>
    <w:rsid w:val="00754FE4"/>
    <w:rsid w:val="00755538"/>
    <w:rsid w:val="00756236"/>
    <w:rsid w:val="00756271"/>
    <w:rsid w:val="00756521"/>
    <w:rsid w:val="00756AB7"/>
    <w:rsid w:val="00760477"/>
    <w:rsid w:val="00761AF4"/>
    <w:rsid w:val="00762071"/>
    <w:rsid w:val="007623FB"/>
    <w:rsid w:val="0076376A"/>
    <w:rsid w:val="0076500F"/>
    <w:rsid w:val="0076504E"/>
    <w:rsid w:val="00765E3D"/>
    <w:rsid w:val="00765E6A"/>
    <w:rsid w:val="00767EA0"/>
    <w:rsid w:val="0077068F"/>
    <w:rsid w:val="007707D2"/>
    <w:rsid w:val="00773351"/>
    <w:rsid w:val="0077408D"/>
    <w:rsid w:val="00774270"/>
    <w:rsid w:val="00775679"/>
    <w:rsid w:val="00775803"/>
    <w:rsid w:val="00777B32"/>
    <w:rsid w:val="0078051E"/>
    <w:rsid w:val="00781FDD"/>
    <w:rsid w:val="007828D7"/>
    <w:rsid w:val="00782A9F"/>
    <w:rsid w:val="0078508A"/>
    <w:rsid w:val="0078677B"/>
    <w:rsid w:val="00786D5C"/>
    <w:rsid w:val="00786E96"/>
    <w:rsid w:val="00787F93"/>
    <w:rsid w:val="007907CA"/>
    <w:rsid w:val="007913A1"/>
    <w:rsid w:val="00791E6D"/>
    <w:rsid w:val="007928DC"/>
    <w:rsid w:val="007939CC"/>
    <w:rsid w:val="00794AD7"/>
    <w:rsid w:val="00796FB8"/>
    <w:rsid w:val="007977A2"/>
    <w:rsid w:val="007A0A5E"/>
    <w:rsid w:val="007A11C2"/>
    <w:rsid w:val="007A1C20"/>
    <w:rsid w:val="007A2367"/>
    <w:rsid w:val="007A41BF"/>
    <w:rsid w:val="007A490A"/>
    <w:rsid w:val="007A581D"/>
    <w:rsid w:val="007A683E"/>
    <w:rsid w:val="007A7B95"/>
    <w:rsid w:val="007B0297"/>
    <w:rsid w:val="007B0F53"/>
    <w:rsid w:val="007B1DD8"/>
    <w:rsid w:val="007B21AE"/>
    <w:rsid w:val="007B2570"/>
    <w:rsid w:val="007B3113"/>
    <w:rsid w:val="007B31B7"/>
    <w:rsid w:val="007B3304"/>
    <w:rsid w:val="007B332B"/>
    <w:rsid w:val="007B394D"/>
    <w:rsid w:val="007B7490"/>
    <w:rsid w:val="007B774A"/>
    <w:rsid w:val="007C0525"/>
    <w:rsid w:val="007C0B56"/>
    <w:rsid w:val="007C13F7"/>
    <w:rsid w:val="007C218D"/>
    <w:rsid w:val="007C2D28"/>
    <w:rsid w:val="007C31F9"/>
    <w:rsid w:val="007C3E22"/>
    <w:rsid w:val="007C3FDA"/>
    <w:rsid w:val="007C4CC8"/>
    <w:rsid w:val="007C5153"/>
    <w:rsid w:val="007C5234"/>
    <w:rsid w:val="007C67C6"/>
    <w:rsid w:val="007C707A"/>
    <w:rsid w:val="007C7E59"/>
    <w:rsid w:val="007D0B91"/>
    <w:rsid w:val="007D0F53"/>
    <w:rsid w:val="007D1452"/>
    <w:rsid w:val="007D1E29"/>
    <w:rsid w:val="007D460C"/>
    <w:rsid w:val="007D4AD3"/>
    <w:rsid w:val="007D4C8D"/>
    <w:rsid w:val="007D5D19"/>
    <w:rsid w:val="007D5FDC"/>
    <w:rsid w:val="007D6232"/>
    <w:rsid w:val="007D6D68"/>
    <w:rsid w:val="007D7A58"/>
    <w:rsid w:val="007E01DA"/>
    <w:rsid w:val="007E1603"/>
    <w:rsid w:val="007E32DA"/>
    <w:rsid w:val="007E44FB"/>
    <w:rsid w:val="007E4998"/>
    <w:rsid w:val="007E4A9C"/>
    <w:rsid w:val="007E6914"/>
    <w:rsid w:val="007E7C9B"/>
    <w:rsid w:val="007E7F78"/>
    <w:rsid w:val="007F0C8B"/>
    <w:rsid w:val="007F10A5"/>
    <w:rsid w:val="007F1517"/>
    <w:rsid w:val="007F1BD7"/>
    <w:rsid w:val="007F1D44"/>
    <w:rsid w:val="007F2C13"/>
    <w:rsid w:val="007F2CEC"/>
    <w:rsid w:val="007F55DE"/>
    <w:rsid w:val="007F5605"/>
    <w:rsid w:val="007F6147"/>
    <w:rsid w:val="007F6FCD"/>
    <w:rsid w:val="007F7654"/>
    <w:rsid w:val="007F78FF"/>
    <w:rsid w:val="00800F6C"/>
    <w:rsid w:val="008025BE"/>
    <w:rsid w:val="00804C86"/>
    <w:rsid w:val="008051FC"/>
    <w:rsid w:val="008055A9"/>
    <w:rsid w:val="0080592B"/>
    <w:rsid w:val="00806F5B"/>
    <w:rsid w:val="008070EB"/>
    <w:rsid w:val="00807376"/>
    <w:rsid w:val="00810E8E"/>
    <w:rsid w:val="0081100F"/>
    <w:rsid w:val="0081142D"/>
    <w:rsid w:val="00812462"/>
    <w:rsid w:val="008131C3"/>
    <w:rsid w:val="00813A31"/>
    <w:rsid w:val="008140A5"/>
    <w:rsid w:val="0081481D"/>
    <w:rsid w:val="00814BE8"/>
    <w:rsid w:val="00814EBA"/>
    <w:rsid w:val="00814F6E"/>
    <w:rsid w:val="00815B84"/>
    <w:rsid w:val="00815DC6"/>
    <w:rsid w:val="00821178"/>
    <w:rsid w:val="00821A3D"/>
    <w:rsid w:val="00821B36"/>
    <w:rsid w:val="00822037"/>
    <w:rsid w:val="00823E0A"/>
    <w:rsid w:val="00823FC6"/>
    <w:rsid w:val="00823FFC"/>
    <w:rsid w:val="00824811"/>
    <w:rsid w:val="00825C74"/>
    <w:rsid w:val="00826AB9"/>
    <w:rsid w:val="00826E0E"/>
    <w:rsid w:val="0082731F"/>
    <w:rsid w:val="00827D11"/>
    <w:rsid w:val="00827E0F"/>
    <w:rsid w:val="00827F6E"/>
    <w:rsid w:val="00831758"/>
    <w:rsid w:val="0083279F"/>
    <w:rsid w:val="00833B7F"/>
    <w:rsid w:val="00834906"/>
    <w:rsid w:val="00836075"/>
    <w:rsid w:val="00836417"/>
    <w:rsid w:val="00836AC5"/>
    <w:rsid w:val="00840140"/>
    <w:rsid w:val="008411F9"/>
    <w:rsid w:val="008413AB"/>
    <w:rsid w:val="00841E02"/>
    <w:rsid w:val="00842D10"/>
    <w:rsid w:val="0084322B"/>
    <w:rsid w:val="0084373B"/>
    <w:rsid w:val="00843B93"/>
    <w:rsid w:val="00843F81"/>
    <w:rsid w:val="00844087"/>
    <w:rsid w:val="0084519E"/>
    <w:rsid w:val="00846370"/>
    <w:rsid w:val="00847C2B"/>
    <w:rsid w:val="0085270D"/>
    <w:rsid w:val="008532BF"/>
    <w:rsid w:val="00853BF4"/>
    <w:rsid w:val="00854294"/>
    <w:rsid w:val="0085595B"/>
    <w:rsid w:val="00855F80"/>
    <w:rsid w:val="008566B8"/>
    <w:rsid w:val="00856BDD"/>
    <w:rsid w:val="008576EF"/>
    <w:rsid w:val="0085788B"/>
    <w:rsid w:val="00857A9E"/>
    <w:rsid w:val="00857DE2"/>
    <w:rsid w:val="0086353C"/>
    <w:rsid w:val="0086407F"/>
    <w:rsid w:val="00864E79"/>
    <w:rsid w:val="00865F52"/>
    <w:rsid w:val="00866111"/>
    <w:rsid w:val="0086655F"/>
    <w:rsid w:val="0086661F"/>
    <w:rsid w:val="00866A0D"/>
    <w:rsid w:val="00866B77"/>
    <w:rsid w:val="00866DB5"/>
    <w:rsid w:val="0086784E"/>
    <w:rsid w:val="00867AF1"/>
    <w:rsid w:val="00870445"/>
    <w:rsid w:val="00872118"/>
    <w:rsid w:val="00872827"/>
    <w:rsid w:val="00872888"/>
    <w:rsid w:val="00872A32"/>
    <w:rsid w:val="00872D92"/>
    <w:rsid w:val="00872E21"/>
    <w:rsid w:val="00874C70"/>
    <w:rsid w:val="00874ECA"/>
    <w:rsid w:val="00876EAE"/>
    <w:rsid w:val="00880F95"/>
    <w:rsid w:val="008819C6"/>
    <w:rsid w:val="00882B44"/>
    <w:rsid w:val="00882E73"/>
    <w:rsid w:val="00882FE5"/>
    <w:rsid w:val="008845A4"/>
    <w:rsid w:val="00885CEB"/>
    <w:rsid w:val="00886138"/>
    <w:rsid w:val="00886E66"/>
    <w:rsid w:val="008871B0"/>
    <w:rsid w:val="0089174C"/>
    <w:rsid w:val="0089217C"/>
    <w:rsid w:val="00892657"/>
    <w:rsid w:val="008928A1"/>
    <w:rsid w:val="00893671"/>
    <w:rsid w:val="00895838"/>
    <w:rsid w:val="00895A72"/>
    <w:rsid w:val="00895CDF"/>
    <w:rsid w:val="008968C7"/>
    <w:rsid w:val="008971DB"/>
    <w:rsid w:val="00897A55"/>
    <w:rsid w:val="008A0FC9"/>
    <w:rsid w:val="008A1956"/>
    <w:rsid w:val="008A2B5F"/>
    <w:rsid w:val="008A40D3"/>
    <w:rsid w:val="008A469C"/>
    <w:rsid w:val="008A484A"/>
    <w:rsid w:val="008A5877"/>
    <w:rsid w:val="008A6539"/>
    <w:rsid w:val="008A701C"/>
    <w:rsid w:val="008A79F6"/>
    <w:rsid w:val="008B05DD"/>
    <w:rsid w:val="008B17E8"/>
    <w:rsid w:val="008B1925"/>
    <w:rsid w:val="008B266C"/>
    <w:rsid w:val="008B2D03"/>
    <w:rsid w:val="008B2E7C"/>
    <w:rsid w:val="008B42EB"/>
    <w:rsid w:val="008B45A7"/>
    <w:rsid w:val="008B49D8"/>
    <w:rsid w:val="008B4A70"/>
    <w:rsid w:val="008B502F"/>
    <w:rsid w:val="008B5A88"/>
    <w:rsid w:val="008B5BB4"/>
    <w:rsid w:val="008B6AFE"/>
    <w:rsid w:val="008B7034"/>
    <w:rsid w:val="008B7227"/>
    <w:rsid w:val="008C191C"/>
    <w:rsid w:val="008C1DA4"/>
    <w:rsid w:val="008C2CD5"/>
    <w:rsid w:val="008C3618"/>
    <w:rsid w:val="008C37C2"/>
    <w:rsid w:val="008C3F20"/>
    <w:rsid w:val="008C43AD"/>
    <w:rsid w:val="008C45A1"/>
    <w:rsid w:val="008C4EDA"/>
    <w:rsid w:val="008C59FB"/>
    <w:rsid w:val="008C6687"/>
    <w:rsid w:val="008C68F0"/>
    <w:rsid w:val="008C6F92"/>
    <w:rsid w:val="008C731F"/>
    <w:rsid w:val="008C74D9"/>
    <w:rsid w:val="008D01FF"/>
    <w:rsid w:val="008D1052"/>
    <w:rsid w:val="008D124C"/>
    <w:rsid w:val="008D1BB3"/>
    <w:rsid w:val="008D22AE"/>
    <w:rsid w:val="008D234A"/>
    <w:rsid w:val="008D2600"/>
    <w:rsid w:val="008D566C"/>
    <w:rsid w:val="008D58D9"/>
    <w:rsid w:val="008D610B"/>
    <w:rsid w:val="008D6426"/>
    <w:rsid w:val="008D66EA"/>
    <w:rsid w:val="008D6E59"/>
    <w:rsid w:val="008D707C"/>
    <w:rsid w:val="008D7155"/>
    <w:rsid w:val="008D7437"/>
    <w:rsid w:val="008D7DE4"/>
    <w:rsid w:val="008E09B3"/>
    <w:rsid w:val="008E141A"/>
    <w:rsid w:val="008E1A44"/>
    <w:rsid w:val="008E1B5E"/>
    <w:rsid w:val="008E28E6"/>
    <w:rsid w:val="008E2B60"/>
    <w:rsid w:val="008E3232"/>
    <w:rsid w:val="008E3674"/>
    <w:rsid w:val="008E3B6C"/>
    <w:rsid w:val="008E4BD5"/>
    <w:rsid w:val="008E68BB"/>
    <w:rsid w:val="008E6C9B"/>
    <w:rsid w:val="008E77D4"/>
    <w:rsid w:val="008F0981"/>
    <w:rsid w:val="008F0AFD"/>
    <w:rsid w:val="008F0DAD"/>
    <w:rsid w:val="008F17B2"/>
    <w:rsid w:val="008F28EE"/>
    <w:rsid w:val="008F357B"/>
    <w:rsid w:val="008F4381"/>
    <w:rsid w:val="008F44CA"/>
    <w:rsid w:val="008F49B9"/>
    <w:rsid w:val="008F49D3"/>
    <w:rsid w:val="008F6519"/>
    <w:rsid w:val="008F7012"/>
    <w:rsid w:val="008F7B17"/>
    <w:rsid w:val="00900042"/>
    <w:rsid w:val="0090034B"/>
    <w:rsid w:val="00900C7E"/>
    <w:rsid w:val="00902623"/>
    <w:rsid w:val="00902890"/>
    <w:rsid w:val="00904459"/>
    <w:rsid w:val="00904BE4"/>
    <w:rsid w:val="0090504A"/>
    <w:rsid w:val="00905D7E"/>
    <w:rsid w:val="009063B7"/>
    <w:rsid w:val="00906B83"/>
    <w:rsid w:val="00907037"/>
    <w:rsid w:val="0090768B"/>
    <w:rsid w:val="0091114B"/>
    <w:rsid w:val="0091160A"/>
    <w:rsid w:val="00913258"/>
    <w:rsid w:val="0091564D"/>
    <w:rsid w:val="009156DA"/>
    <w:rsid w:val="00916BC5"/>
    <w:rsid w:val="0091726A"/>
    <w:rsid w:val="00920184"/>
    <w:rsid w:val="00920A19"/>
    <w:rsid w:val="00920EA4"/>
    <w:rsid w:val="00921120"/>
    <w:rsid w:val="00921792"/>
    <w:rsid w:val="00921BEA"/>
    <w:rsid w:val="00922CD2"/>
    <w:rsid w:val="00923998"/>
    <w:rsid w:val="00923DB4"/>
    <w:rsid w:val="0092430E"/>
    <w:rsid w:val="009249D7"/>
    <w:rsid w:val="0092625F"/>
    <w:rsid w:val="009268A9"/>
    <w:rsid w:val="00926EE4"/>
    <w:rsid w:val="00927B37"/>
    <w:rsid w:val="009301B2"/>
    <w:rsid w:val="009313DD"/>
    <w:rsid w:val="00931BDE"/>
    <w:rsid w:val="009321B1"/>
    <w:rsid w:val="00932ED7"/>
    <w:rsid w:val="0093357E"/>
    <w:rsid w:val="0093422D"/>
    <w:rsid w:val="00934325"/>
    <w:rsid w:val="00934DD7"/>
    <w:rsid w:val="00935287"/>
    <w:rsid w:val="009369A9"/>
    <w:rsid w:val="00936CF7"/>
    <w:rsid w:val="00937201"/>
    <w:rsid w:val="0093734A"/>
    <w:rsid w:val="00937783"/>
    <w:rsid w:val="00940FE1"/>
    <w:rsid w:val="00941450"/>
    <w:rsid w:val="00942306"/>
    <w:rsid w:val="009424B8"/>
    <w:rsid w:val="00942D53"/>
    <w:rsid w:val="009433A4"/>
    <w:rsid w:val="0094435B"/>
    <w:rsid w:val="00944668"/>
    <w:rsid w:val="00944B34"/>
    <w:rsid w:val="00944DC6"/>
    <w:rsid w:val="0094515F"/>
    <w:rsid w:val="0094537D"/>
    <w:rsid w:val="0094573F"/>
    <w:rsid w:val="009458B0"/>
    <w:rsid w:val="00945B52"/>
    <w:rsid w:val="00945DC0"/>
    <w:rsid w:val="00945F05"/>
    <w:rsid w:val="00946348"/>
    <w:rsid w:val="00946C8E"/>
    <w:rsid w:val="009471AD"/>
    <w:rsid w:val="009478A2"/>
    <w:rsid w:val="00950404"/>
    <w:rsid w:val="00950C59"/>
    <w:rsid w:val="00952060"/>
    <w:rsid w:val="00954800"/>
    <w:rsid w:val="00955643"/>
    <w:rsid w:val="0095595D"/>
    <w:rsid w:val="00955FBB"/>
    <w:rsid w:val="0095694B"/>
    <w:rsid w:val="00956BD5"/>
    <w:rsid w:val="009574BB"/>
    <w:rsid w:val="009577B5"/>
    <w:rsid w:val="00957950"/>
    <w:rsid w:val="009608E6"/>
    <w:rsid w:val="00961779"/>
    <w:rsid w:val="00962EB1"/>
    <w:rsid w:val="009632F5"/>
    <w:rsid w:val="00966522"/>
    <w:rsid w:val="00967D3F"/>
    <w:rsid w:val="00967E78"/>
    <w:rsid w:val="00970D7E"/>
    <w:rsid w:val="00970F18"/>
    <w:rsid w:val="00971786"/>
    <w:rsid w:val="00971CF1"/>
    <w:rsid w:val="009721E9"/>
    <w:rsid w:val="00972A58"/>
    <w:rsid w:val="00973772"/>
    <w:rsid w:val="009738FC"/>
    <w:rsid w:val="00974CA9"/>
    <w:rsid w:val="00975A92"/>
    <w:rsid w:val="00975E1E"/>
    <w:rsid w:val="00975E70"/>
    <w:rsid w:val="00977B45"/>
    <w:rsid w:val="00977CD6"/>
    <w:rsid w:val="00980126"/>
    <w:rsid w:val="00982481"/>
    <w:rsid w:val="00982D26"/>
    <w:rsid w:val="0098330E"/>
    <w:rsid w:val="009833DD"/>
    <w:rsid w:val="00983A87"/>
    <w:rsid w:val="009840AB"/>
    <w:rsid w:val="009849E9"/>
    <w:rsid w:val="009866F3"/>
    <w:rsid w:val="00987812"/>
    <w:rsid w:val="00990225"/>
    <w:rsid w:val="0099210F"/>
    <w:rsid w:val="0099244B"/>
    <w:rsid w:val="00993186"/>
    <w:rsid w:val="009947B6"/>
    <w:rsid w:val="00994895"/>
    <w:rsid w:val="00994FCC"/>
    <w:rsid w:val="00995150"/>
    <w:rsid w:val="009957F3"/>
    <w:rsid w:val="00995D67"/>
    <w:rsid w:val="009970BF"/>
    <w:rsid w:val="009A013B"/>
    <w:rsid w:val="009A02F4"/>
    <w:rsid w:val="009A1844"/>
    <w:rsid w:val="009A1F12"/>
    <w:rsid w:val="009A2494"/>
    <w:rsid w:val="009A26CA"/>
    <w:rsid w:val="009A310A"/>
    <w:rsid w:val="009A36F2"/>
    <w:rsid w:val="009A5749"/>
    <w:rsid w:val="009A57D0"/>
    <w:rsid w:val="009A6559"/>
    <w:rsid w:val="009A68FC"/>
    <w:rsid w:val="009A7514"/>
    <w:rsid w:val="009A7E7A"/>
    <w:rsid w:val="009B03E8"/>
    <w:rsid w:val="009B1584"/>
    <w:rsid w:val="009B1585"/>
    <w:rsid w:val="009B2469"/>
    <w:rsid w:val="009B314F"/>
    <w:rsid w:val="009B439C"/>
    <w:rsid w:val="009B4A6C"/>
    <w:rsid w:val="009B5777"/>
    <w:rsid w:val="009B5779"/>
    <w:rsid w:val="009B6753"/>
    <w:rsid w:val="009B6A26"/>
    <w:rsid w:val="009C079D"/>
    <w:rsid w:val="009C0D70"/>
    <w:rsid w:val="009C13D1"/>
    <w:rsid w:val="009C1BFF"/>
    <w:rsid w:val="009C219A"/>
    <w:rsid w:val="009C2913"/>
    <w:rsid w:val="009C3008"/>
    <w:rsid w:val="009C5AFE"/>
    <w:rsid w:val="009C6606"/>
    <w:rsid w:val="009C6CE5"/>
    <w:rsid w:val="009C6D50"/>
    <w:rsid w:val="009C7547"/>
    <w:rsid w:val="009D1678"/>
    <w:rsid w:val="009D1693"/>
    <w:rsid w:val="009D2721"/>
    <w:rsid w:val="009D2F60"/>
    <w:rsid w:val="009D338C"/>
    <w:rsid w:val="009D3D0D"/>
    <w:rsid w:val="009D5BAC"/>
    <w:rsid w:val="009D64BD"/>
    <w:rsid w:val="009D7200"/>
    <w:rsid w:val="009E0D0A"/>
    <w:rsid w:val="009E0D1A"/>
    <w:rsid w:val="009E153F"/>
    <w:rsid w:val="009E1581"/>
    <w:rsid w:val="009E2D6C"/>
    <w:rsid w:val="009E367E"/>
    <w:rsid w:val="009E388B"/>
    <w:rsid w:val="009E393E"/>
    <w:rsid w:val="009E444E"/>
    <w:rsid w:val="009E4968"/>
    <w:rsid w:val="009E663C"/>
    <w:rsid w:val="009E6BB1"/>
    <w:rsid w:val="009F0092"/>
    <w:rsid w:val="009F0CD9"/>
    <w:rsid w:val="009F1A79"/>
    <w:rsid w:val="009F1F57"/>
    <w:rsid w:val="009F2635"/>
    <w:rsid w:val="009F2E26"/>
    <w:rsid w:val="009F4FCF"/>
    <w:rsid w:val="009F5DE2"/>
    <w:rsid w:val="009F5FCA"/>
    <w:rsid w:val="009F65F4"/>
    <w:rsid w:val="009F676B"/>
    <w:rsid w:val="009F6EA6"/>
    <w:rsid w:val="00A004DF"/>
    <w:rsid w:val="00A00CA5"/>
    <w:rsid w:val="00A00D29"/>
    <w:rsid w:val="00A00FD5"/>
    <w:rsid w:val="00A019A8"/>
    <w:rsid w:val="00A01B03"/>
    <w:rsid w:val="00A02C66"/>
    <w:rsid w:val="00A03861"/>
    <w:rsid w:val="00A0464C"/>
    <w:rsid w:val="00A04D48"/>
    <w:rsid w:val="00A054E0"/>
    <w:rsid w:val="00A05ABE"/>
    <w:rsid w:val="00A061EA"/>
    <w:rsid w:val="00A0663F"/>
    <w:rsid w:val="00A066CE"/>
    <w:rsid w:val="00A0740B"/>
    <w:rsid w:val="00A075A9"/>
    <w:rsid w:val="00A11042"/>
    <w:rsid w:val="00A11805"/>
    <w:rsid w:val="00A133D8"/>
    <w:rsid w:val="00A14E97"/>
    <w:rsid w:val="00A20069"/>
    <w:rsid w:val="00A20280"/>
    <w:rsid w:val="00A2244D"/>
    <w:rsid w:val="00A2253D"/>
    <w:rsid w:val="00A22AEC"/>
    <w:rsid w:val="00A23592"/>
    <w:rsid w:val="00A2418A"/>
    <w:rsid w:val="00A247B8"/>
    <w:rsid w:val="00A24D39"/>
    <w:rsid w:val="00A24D8F"/>
    <w:rsid w:val="00A252D3"/>
    <w:rsid w:val="00A25B8B"/>
    <w:rsid w:val="00A26130"/>
    <w:rsid w:val="00A269AF"/>
    <w:rsid w:val="00A269C3"/>
    <w:rsid w:val="00A26ECA"/>
    <w:rsid w:val="00A30D5A"/>
    <w:rsid w:val="00A3142C"/>
    <w:rsid w:val="00A324C1"/>
    <w:rsid w:val="00A337DB"/>
    <w:rsid w:val="00A3467F"/>
    <w:rsid w:val="00A3551A"/>
    <w:rsid w:val="00A360F9"/>
    <w:rsid w:val="00A376E8"/>
    <w:rsid w:val="00A37E69"/>
    <w:rsid w:val="00A37F8E"/>
    <w:rsid w:val="00A40483"/>
    <w:rsid w:val="00A41737"/>
    <w:rsid w:val="00A42B8F"/>
    <w:rsid w:val="00A42F8D"/>
    <w:rsid w:val="00A43254"/>
    <w:rsid w:val="00A43896"/>
    <w:rsid w:val="00A43A26"/>
    <w:rsid w:val="00A447A0"/>
    <w:rsid w:val="00A4598B"/>
    <w:rsid w:val="00A459F5"/>
    <w:rsid w:val="00A45FC0"/>
    <w:rsid w:val="00A46B32"/>
    <w:rsid w:val="00A46D04"/>
    <w:rsid w:val="00A47301"/>
    <w:rsid w:val="00A47448"/>
    <w:rsid w:val="00A47ECC"/>
    <w:rsid w:val="00A5008C"/>
    <w:rsid w:val="00A50171"/>
    <w:rsid w:val="00A50BE7"/>
    <w:rsid w:val="00A5102E"/>
    <w:rsid w:val="00A51083"/>
    <w:rsid w:val="00A5132E"/>
    <w:rsid w:val="00A51533"/>
    <w:rsid w:val="00A51547"/>
    <w:rsid w:val="00A5158F"/>
    <w:rsid w:val="00A51E68"/>
    <w:rsid w:val="00A52F3B"/>
    <w:rsid w:val="00A531D4"/>
    <w:rsid w:val="00A55ACD"/>
    <w:rsid w:val="00A55CFA"/>
    <w:rsid w:val="00A56A64"/>
    <w:rsid w:val="00A5711F"/>
    <w:rsid w:val="00A575B8"/>
    <w:rsid w:val="00A57DA1"/>
    <w:rsid w:val="00A647B1"/>
    <w:rsid w:val="00A64DEF"/>
    <w:rsid w:val="00A65E4E"/>
    <w:rsid w:val="00A665DF"/>
    <w:rsid w:val="00A67F1B"/>
    <w:rsid w:val="00A67FCC"/>
    <w:rsid w:val="00A70599"/>
    <w:rsid w:val="00A716DC"/>
    <w:rsid w:val="00A71ABE"/>
    <w:rsid w:val="00A7217B"/>
    <w:rsid w:val="00A7293E"/>
    <w:rsid w:val="00A72EE4"/>
    <w:rsid w:val="00A73067"/>
    <w:rsid w:val="00A73076"/>
    <w:rsid w:val="00A737C4"/>
    <w:rsid w:val="00A739A6"/>
    <w:rsid w:val="00A73BB5"/>
    <w:rsid w:val="00A75EF9"/>
    <w:rsid w:val="00A76BC9"/>
    <w:rsid w:val="00A76FD8"/>
    <w:rsid w:val="00A77566"/>
    <w:rsid w:val="00A80563"/>
    <w:rsid w:val="00A8311C"/>
    <w:rsid w:val="00A84BC8"/>
    <w:rsid w:val="00A84C5F"/>
    <w:rsid w:val="00A86973"/>
    <w:rsid w:val="00A8721F"/>
    <w:rsid w:val="00A8740B"/>
    <w:rsid w:val="00A87519"/>
    <w:rsid w:val="00A90B55"/>
    <w:rsid w:val="00A90DE4"/>
    <w:rsid w:val="00A9246D"/>
    <w:rsid w:val="00A93644"/>
    <w:rsid w:val="00A93BD0"/>
    <w:rsid w:val="00A95D69"/>
    <w:rsid w:val="00A975A4"/>
    <w:rsid w:val="00A97872"/>
    <w:rsid w:val="00AA2001"/>
    <w:rsid w:val="00AA2B5C"/>
    <w:rsid w:val="00AA2CEF"/>
    <w:rsid w:val="00AA4E59"/>
    <w:rsid w:val="00AA5328"/>
    <w:rsid w:val="00AA5393"/>
    <w:rsid w:val="00AA5771"/>
    <w:rsid w:val="00AA63D4"/>
    <w:rsid w:val="00AA6767"/>
    <w:rsid w:val="00AA6DAE"/>
    <w:rsid w:val="00AB03FD"/>
    <w:rsid w:val="00AB38CB"/>
    <w:rsid w:val="00AB3BEC"/>
    <w:rsid w:val="00AB44E4"/>
    <w:rsid w:val="00AB4AEB"/>
    <w:rsid w:val="00AB5352"/>
    <w:rsid w:val="00AB56AE"/>
    <w:rsid w:val="00AB62D5"/>
    <w:rsid w:val="00AB65B5"/>
    <w:rsid w:val="00AB6DCD"/>
    <w:rsid w:val="00AB6EE0"/>
    <w:rsid w:val="00AB7D91"/>
    <w:rsid w:val="00AC236C"/>
    <w:rsid w:val="00AC2DFD"/>
    <w:rsid w:val="00AC352D"/>
    <w:rsid w:val="00AC39B7"/>
    <w:rsid w:val="00AC40B7"/>
    <w:rsid w:val="00AC531F"/>
    <w:rsid w:val="00AC6121"/>
    <w:rsid w:val="00AC626D"/>
    <w:rsid w:val="00AC6CB1"/>
    <w:rsid w:val="00AC6F9B"/>
    <w:rsid w:val="00AC733E"/>
    <w:rsid w:val="00AD0091"/>
    <w:rsid w:val="00AD1143"/>
    <w:rsid w:val="00AD17A2"/>
    <w:rsid w:val="00AD23D8"/>
    <w:rsid w:val="00AD23EF"/>
    <w:rsid w:val="00AD307B"/>
    <w:rsid w:val="00AD41B3"/>
    <w:rsid w:val="00AD4C48"/>
    <w:rsid w:val="00AD5720"/>
    <w:rsid w:val="00AD57AF"/>
    <w:rsid w:val="00AD6267"/>
    <w:rsid w:val="00AD7317"/>
    <w:rsid w:val="00AE01A8"/>
    <w:rsid w:val="00AE0CBD"/>
    <w:rsid w:val="00AE123A"/>
    <w:rsid w:val="00AE28A7"/>
    <w:rsid w:val="00AE33A6"/>
    <w:rsid w:val="00AE3446"/>
    <w:rsid w:val="00AE3715"/>
    <w:rsid w:val="00AE3729"/>
    <w:rsid w:val="00AE55B2"/>
    <w:rsid w:val="00AE5C6A"/>
    <w:rsid w:val="00AE65F7"/>
    <w:rsid w:val="00AE7280"/>
    <w:rsid w:val="00AF033A"/>
    <w:rsid w:val="00AF1018"/>
    <w:rsid w:val="00AF1058"/>
    <w:rsid w:val="00AF13DB"/>
    <w:rsid w:val="00AF1699"/>
    <w:rsid w:val="00AF3896"/>
    <w:rsid w:val="00AF4AB7"/>
    <w:rsid w:val="00AF6C33"/>
    <w:rsid w:val="00B0098A"/>
    <w:rsid w:val="00B00A5F"/>
    <w:rsid w:val="00B0225F"/>
    <w:rsid w:val="00B029B8"/>
    <w:rsid w:val="00B02F60"/>
    <w:rsid w:val="00B032B8"/>
    <w:rsid w:val="00B039E5"/>
    <w:rsid w:val="00B04B46"/>
    <w:rsid w:val="00B0534D"/>
    <w:rsid w:val="00B06368"/>
    <w:rsid w:val="00B06FC6"/>
    <w:rsid w:val="00B07163"/>
    <w:rsid w:val="00B07429"/>
    <w:rsid w:val="00B12FE6"/>
    <w:rsid w:val="00B1303F"/>
    <w:rsid w:val="00B13417"/>
    <w:rsid w:val="00B1364A"/>
    <w:rsid w:val="00B13D3C"/>
    <w:rsid w:val="00B1525C"/>
    <w:rsid w:val="00B1537C"/>
    <w:rsid w:val="00B16715"/>
    <w:rsid w:val="00B16B22"/>
    <w:rsid w:val="00B171B4"/>
    <w:rsid w:val="00B174A8"/>
    <w:rsid w:val="00B17910"/>
    <w:rsid w:val="00B20F18"/>
    <w:rsid w:val="00B21516"/>
    <w:rsid w:val="00B21EB6"/>
    <w:rsid w:val="00B22CE0"/>
    <w:rsid w:val="00B23047"/>
    <w:rsid w:val="00B23738"/>
    <w:rsid w:val="00B23BEF"/>
    <w:rsid w:val="00B240E0"/>
    <w:rsid w:val="00B247BB"/>
    <w:rsid w:val="00B25047"/>
    <w:rsid w:val="00B256D8"/>
    <w:rsid w:val="00B25806"/>
    <w:rsid w:val="00B25C11"/>
    <w:rsid w:val="00B25EDF"/>
    <w:rsid w:val="00B25EE6"/>
    <w:rsid w:val="00B26B53"/>
    <w:rsid w:val="00B3011F"/>
    <w:rsid w:val="00B3115A"/>
    <w:rsid w:val="00B31A5C"/>
    <w:rsid w:val="00B33C19"/>
    <w:rsid w:val="00B34861"/>
    <w:rsid w:val="00B34BBC"/>
    <w:rsid w:val="00B34CB7"/>
    <w:rsid w:val="00B35F6E"/>
    <w:rsid w:val="00B363BD"/>
    <w:rsid w:val="00B369F7"/>
    <w:rsid w:val="00B36A99"/>
    <w:rsid w:val="00B37537"/>
    <w:rsid w:val="00B41B81"/>
    <w:rsid w:val="00B42980"/>
    <w:rsid w:val="00B434B2"/>
    <w:rsid w:val="00B434C7"/>
    <w:rsid w:val="00B43D45"/>
    <w:rsid w:val="00B443B4"/>
    <w:rsid w:val="00B44771"/>
    <w:rsid w:val="00B45F7A"/>
    <w:rsid w:val="00B4650E"/>
    <w:rsid w:val="00B468F2"/>
    <w:rsid w:val="00B46B45"/>
    <w:rsid w:val="00B46F6B"/>
    <w:rsid w:val="00B47286"/>
    <w:rsid w:val="00B47894"/>
    <w:rsid w:val="00B50234"/>
    <w:rsid w:val="00B51794"/>
    <w:rsid w:val="00B51BF4"/>
    <w:rsid w:val="00B52C68"/>
    <w:rsid w:val="00B542FE"/>
    <w:rsid w:val="00B55A1B"/>
    <w:rsid w:val="00B561DB"/>
    <w:rsid w:val="00B57494"/>
    <w:rsid w:val="00B606B9"/>
    <w:rsid w:val="00B61DCE"/>
    <w:rsid w:val="00B62188"/>
    <w:rsid w:val="00B62467"/>
    <w:rsid w:val="00B62F79"/>
    <w:rsid w:val="00B62F82"/>
    <w:rsid w:val="00B6325B"/>
    <w:rsid w:val="00B648FA"/>
    <w:rsid w:val="00B662FF"/>
    <w:rsid w:val="00B67408"/>
    <w:rsid w:val="00B70B45"/>
    <w:rsid w:val="00B7102F"/>
    <w:rsid w:val="00B72C80"/>
    <w:rsid w:val="00B730B4"/>
    <w:rsid w:val="00B74340"/>
    <w:rsid w:val="00B744E0"/>
    <w:rsid w:val="00B7481A"/>
    <w:rsid w:val="00B74CC0"/>
    <w:rsid w:val="00B74F2F"/>
    <w:rsid w:val="00B756FB"/>
    <w:rsid w:val="00B763E6"/>
    <w:rsid w:val="00B769BC"/>
    <w:rsid w:val="00B77349"/>
    <w:rsid w:val="00B7761E"/>
    <w:rsid w:val="00B807EE"/>
    <w:rsid w:val="00B80A37"/>
    <w:rsid w:val="00B80A3D"/>
    <w:rsid w:val="00B823E0"/>
    <w:rsid w:val="00B82B78"/>
    <w:rsid w:val="00B83199"/>
    <w:rsid w:val="00B83E3C"/>
    <w:rsid w:val="00B84662"/>
    <w:rsid w:val="00B85402"/>
    <w:rsid w:val="00B864A3"/>
    <w:rsid w:val="00B868F4"/>
    <w:rsid w:val="00B86C2A"/>
    <w:rsid w:val="00B902A5"/>
    <w:rsid w:val="00B90420"/>
    <w:rsid w:val="00B913E4"/>
    <w:rsid w:val="00B91DB9"/>
    <w:rsid w:val="00B93EFE"/>
    <w:rsid w:val="00B944FF"/>
    <w:rsid w:val="00B94956"/>
    <w:rsid w:val="00B94C7F"/>
    <w:rsid w:val="00B94DF6"/>
    <w:rsid w:val="00B956B5"/>
    <w:rsid w:val="00B95904"/>
    <w:rsid w:val="00B959BC"/>
    <w:rsid w:val="00B95B92"/>
    <w:rsid w:val="00B95C3A"/>
    <w:rsid w:val="00B95FCE"/>
    <w:rsid w:val="00BA0A23"/>
    <w:rsid w:val="00BA0D44"/>
    <w:rsid w:val="00BA0E26"/>
    <w:rsid w:val="00BA11BB"/>
    <w:rsid w:val="00BA1A0B"/>
    <w:rsid w:val="00BA2B61"/>
    <w:rsid w:val="00BA31BF"/>
    <w:rsid w:val="00BA3F12"/>
    <w:rsid w:val="00BA43FC"/>
    <w:rsid w:val="00BA478B"/>
    <w:rsid w:val="00BA5224"/>
    <w:rsid w:val="00BA7456"/>
    <w:rsid w:val="00BA7925"/>
    <w:rsid w:val="00BA7B27"/>
    <w:rsid w:val="00BA7E3B"/>
    <w:rsid w:val="00BB079C"/>
    <w:rsid w:val="00BB32A1"/>
    <w:rsid w:val="00BB39C1"/>
    <w:rsid w:val="00BB43C3"/>
    <w:rsid w:val="00BB52AF"/>
    <w:rsid w:val="00BB5555"/>
    <w:rsid w:val="00BB5D16"/>
    <w:rsid w:val="00BB6180"/>
    <w:rsid w:val="00BB6595"/>
    <w:rsid w:val="00BB69E6"/>
    <w:rsid w:val="00BB6DEF"/>
    <w:rsid w:val="00BB7714"/>
    <w:rsid w:val="00BC089D"/>
    <w:rsid w:val="00BC0C59"/>
    <w:rsid w:val="00BC1B7A"/>
    <w:rsid w:val="00BC2BC7"/>
    <w:rsid w:val="00BC2C17"/>
    <w:rsid w:val="00BC3ACD"/>
    <w:rsid w:val="00BC506D"/>
    <w:rsid w:val="00BC5C09"/>
    <w:rsid w:val="00BC63C3"/>
    <w:rsid w:val="00BC65B2"/>
    <w:rsid w:val="00BC6745"/>
    <w:rsid w:val="00BC6E73"/>
    <w:rsid w:val="00BD0014"/>
    <w:rsid w:val="00BD01D8"/>
    <w:rsid w:val="00BD151A"/>
    <w:rsid w:val="00BD1B17"/>
    <w:rsid w:val="00BD2512"/>
    <w:rsid w:val="00BD255F"/>
    <w:rsid w:val="00BD383D"/>
    <w:rsid w:val="00BD4236"/>
    <w:rsid w:val="00BD5CCA"/>
    <w:rsid w:val="00BD5CD4"/>
    <w:rsid w:val="00BD6EF9"/>
    <w:rsid w:val="00BD77DD"/>
    <w:rsid w:val="00BE0ACB"/>
    <w:rsid w:val="00BE1A90"/>
    <w:rsid w:val="00BE2113"/>
    <w:rsid w:val="00BE2C0A"/>
    <w:rsid w:val="00BE3537"/>
    <w:rsid w:val="00BE360F"/>
    <w:rsid w:val="00BE367B"/>
    <w:rsid w:val="00BE50FD"/>
    <w:rsid w:val="00BE51CA"/>
    <w:rsid w:val="00BE5E5A"/>
    <w:rsid w:val="00BE6D47"/>
    <w:rsid w:val="00BE7032"/>
    <w:rsid w:val="00BE7330"/>
    <w:rsid w:val="00BF01C5"/>
    <w:rsid w:val="00BF045B"/>
    <w:rsid w:val="00BF066A"/>
    <w:rsid w:val="00BF32AA"/>
    <w:rsid w:val="00BF361C"/>
    <w:rsid w:val="00BF39A0"/>
    <w:rsid w:val="00BF4342"/>
    <w:rsid w:val="00BF4B18"/>
    <w:rsid w:val="00BF5050"/>
    <w:rsid w:val="00BF5422"/>
    <w:rsid w:val="00BF54CA"/>
    <w:rsid w:val="00BF54CF"/>
    <w:rsid w:val="00BF59B1"/>
    <w:rsid w:val="00BF6A78"/>
    <w:rsid w:val="00BF6E19"/>
    <w:rsid w:val="00BF79B4"/>
    <w:rsid w:val="00BF7F65"/>
    <w:rsid w:val="00C0099F"/>
    <w:rsid w:val="00C01427"/>
    <w:rsid w:val="00C016A1"/>
    <w:rsid w:val="00C04AAB"/>
    <w:rsid w:val="00C058AF"/>
    <w:rsid w:val="00C05A11"/>
    <w:rsid w:val="00C06F5A"/>
    <w:rsid w:val="00C07A29"/>
    <w:rsid w:val="00C124C1"/>
    <w:rsid w:val="00C128AE"/>
    <w:rsid w:val="00C136D6"/>
    <w:rsid w:val="00C13D5B"/>
    <w:rsid w:val="00C1564E"/>
    <w:rsid w:val="00C16615"/>
    <w:rsid w:val="00C17AE2"/>
    <w:rsid w:val="00C20F27"/>
    <w:rsid w:val="00C215CF"/>
    <w:rsid w:val="00C2244B"/>
    <w:rsid w:val="00C2263D"/>
    <w:rsid w:val="00C22B0D"/>
    <w:rsid w:val="00C22F55"/>
    <w:rsid w:val="00C240C1"/>
    <w:rsid w:val="00C250D0"/>
    <w:rsid w:val="00C252AC"/>
    <w:rsid w:val="00C254B0"/>
    <w:rsid w:val="00C255AB"/>
    <w:rsid w:val="00C2692A"/>
    <w:rsid w:val="00C27214"/>
    <w:rsid w:val="00C27597"/>
    <w:rsid w:val="00C30382"/>
    <w:rsid w:val="00C30D6F"/>
    <w:rsid w:val="00C31063"/>
    <w:rsid w:val="00C31B7E"/>
    <w:rsid w:val="00C3242A"/>
    <w:rsid w:val="00C32AE2"/>
    <w:rsid w:val="00C33201"/>
    <w:rsid w:val="00C332C4"/>
    <w:rsid w:val="00C33A63"/>
    <w:rsid w:val="00C34183"/>
    <w:rsid w:val="00C360B3"/>
    <w:rsid w:val="00C36363"/>
    <w:rsid w:val="00C3679B"/>
    <w:rsid w:val="00C37027"/>
    <w:rsid w:val="00C3778D"/>
    <w:rsid w:val="00C405A3"/>
    <w:rsid w:val="00C41DB7"/>
    <w:rsid w:val="00C42752"/>
    <w:rsid w:val="00C42973"/>
    <w:rsid w:val="00C44F9C"/>
    <w:rsid w:val="00C46D58"/>
    <w:rsid w:val="00C4730E"/>
    <w:rsid w:val="00C47EE9"/>
    <w:rsid w:val="00C5019C"/>
    <w:rsid w:val="00C5034F"/>
    <w:rsid w:val="00C514D3"/>
    <w:rsid w:val="00C516D3"/>
    <w:rsid w:val="00C52479"/>
    <w:rsid w:val="00C5291F"/>
    <w:rsid w:val="00C52BC8"/>
    <w:rsid w:val="00C52C59"/>
    <w:rsid w:val="00C5349E"/>
    <w:rsid w:val="00C5354B"/>
    <w:rsid w:val="00C54467"/>
    <w:rsid w:val="00C54D3D"/>
    <w:rsid w:val="00C55116"/>
    <w:rsid w:val="00C55A30"/>
    <w:rsid w:val="00C57C58"/>
    <w:rsid w:val="00C6028F"/>
    <w:rsid w:val="00C6036D"/>
    <w:rsid w:val="00C608F1"/>
    <w:rsid w:val="00C619B9"/>
    <w:rsid w:val="00C631E1"/>
    <w:rsid w:val="00C638D8"/>
    <w:rsid w:val="00C63C84"/>
    <w:rsid w:val="00C63D26"/>
    <w:rsid w:val="00C641EB"/>
    <w:rsid w:val="00C65053"/>
    <w:rsid w:val="00C65BD9"/>
    <w:rsid w:val="00C66061"/>
    <w:rsid w:val="00C661D6"/>
    <w:rsid w:val="00C66F69"/>
    <w:rsid w:val="00C67223"/>
    <w:rsid w:val="00C67CFF"/>
    <w:rsid w:val="00C707B8"/>
    <w:rsid w:val="00C7084B"/>
    <w:rsid w:val="00C71C15"/>
    <w:rsid w:val="00C71F3D"/>
    <w:rsid w:val="00C72B53"/>
    <w:rsid w:val="00C72F53"/>
    <w:rsid w:val="00C74035"/>
    <w:rsid w:val="00C75F89"/>
    <w:rsid w:val="00C7602E"/>
    <w:rsid w:val="00C76FF4"/>
    <w:rsid w:val="00C77818"/>
    <w:rsid w:val="00C77AE3"/>
    <w:rsid w:val="00C77C5A"/>
    <w:rsid w:val="00C8059A"/>
    <w:rsid w:val="00C8063F"/>
    <w:rsid w:val="00C81549"/>
    <w:rsid w:val="00C816C8"/>
    <w:rsid w:val="00C8218B"/>
    <w:rsid w:val="00C829A1"/>
    <w:rsid w:val="00C83601"/>
    <w:rsid w:val="00C836C7"/>
    <w:rsid w:val="00C83B36"/>
    <w:rsid w:val="00C842FC"/>
    <w:rsid w:val="00C84F8A"/>
    <w:rsid w:val="00C85209"/>
    <w:rsid w:val="00C8618F"/>
    <w:rsid w:val="00C90372"/>
    <w:rsid w:val="00C9041F"/>
    <w:rsid w:val="00C905D1"/>
    <w:rsid w:val="00C91A45"/>
    <w:rsid w:val="00C91ED2"/>
    <w:rsid w:val="00C91F66"/>
    <w:rsid w:val="00C91FB4"/>
    <w:rsid w:val="00C94D41"/>
    <w:rsid w:val="00C95745"/>
    <w:rsid w:val="00C962E3"/>
    <w:rsid w:val="00C965BD"/>
    <w:rsid w:val="00C96717"/>
    <w:rsid w:val="00C97997"/>
    <w:rsid w:val="00CA08FE"/>
    <w:rsid w:val="00CA0FAC"/>
    <w:rsid w:val="00CA105D"/>
    <w:rsid w:val="00CA2513"/>
    <w:rsid w:val="00CA25C0"/>
    <w:rsid w:val="00CA2D32"/>
    <w:rsid w:val="00CA3451"/>
    <w:rsid w:val="00CA4948"/>
    <w:rsid w:val="00CA5138"/>
    <w:rsid w:val="00CA52F9"/>
    <w:rsid w:val="00CA568B"/>
    <w:rsid w:val="00CA6870"/>
    <w:rsid w:val="00CA7500"/>
    <w:rsid w:val="00CA7C34"/>
    <w:rsid w:val="00CA7FD8"/>
    <w:rsid w:val="00CB0696"/>
    <w:rsid w:val="00CB1239"/>
    <w:rsid w:val="00CB19FE"/>
    <w:rsid w:val="00CB240A"/>
    <w:rsid w:val="00CB2EEF"/>
    <w:rsid w:val="00CB304C"/>
    <w:rsid w:val="00CB53E8"/>
    <w:rsid w:val="00CB594A"/>
    <w:rsid w:val="00CB5CB2"/>
    <w:rsid w:val="00CB63C9"/>
    <w:rsid w:val="00CB6979"/>
    <w:rsid w:val="00CC0484"/>
    <w:rsid w:val="00CC06CF"/>
    <w:rsid w:val="00CC0A3D"/>
    <w:rsid w:val="00CC2373"/>
    <w:rsid w:val="00CC2D13"/>
    <w:rsid w:val="00CC3D24"/>
    <w:rsid w:val="00CC3F91"/>
    <w:rsid w:val="00CC40B6"/>
    <w:rsid w:val="00CC4B0A"/>
    <w:rsid w:val="00CC544A"/>
    <w:rsid w:val="00CC57EA"/>
    <w:rsid w:val="00CC5954"/>
    <w:rsid w:val="00CC6C4E"/>
    <w:rsid w:val="00CC6DD8"/>
    <w:rsid w:val="00CD05A2"/>
    <w:rsid w:val="00CD19DA"/>
    <w:rsid w:val="00CD29D4"/>
    <w:rsid w:val="00CD38F5"/>
    <w:rsid w:val="00CD4244"/>
    <w:rsid w:val="00CD437E"/>
    <w:rsid w:val="00CD4AE5"/>
    <w:rsid w:val="00CD5833"/>
    <w:rsid w:val="00CD5A89"/>
    <w:rsid w:val="00CD5DAD"/>
    <w:rsid w:val="00CD614A"/>
    <w:rsid w:val="00CD72C5"/>
    <w:rsid w:val="00CD79A7"/>
    <w:rsid w:val="00CE0789"/>
    <w:rsid w:val="00CE1A03"/>
    <w:rsid w:val="00CE2260"/>
    <w:rsid w:val="00CE2346"/>
    <w:rsid w:val="00CE3529"/>
    <w:rsid w:val="00CE35C8"/>
    <w:rsid w:val="00CE3962"/>
    <w:rsid w:val="00CE5105"/>
    <w:rsid w:val="00CE56BD"/>
    <w:rsid w:val="00CE5EC0"/>
    <w:rsid w:val="00CE6F9F"/>
    <w:rsid w:val="00CE773B"/>
    <w:rsid w:val="00CE781A"/>
    <w:rsid w:val="00CF10FC"/>
    <w:rsid w:val="00CF16CC"/>
    <w:rsid w:val="00CF1D74"/>
    <w:rsid w:val="00CF2261"/>
    <w:rsid w:val="00CF2BE2"/>
    <w:rsid w:val="00CF3EA5"/>
    <w:rsid w:val="00CF55F9"/>
    <w:rsid w:val="00CF71A6"/>
    <w:rsid w:val="00CF7495"/>
    <w:rsid w:val="00CF7671"/>
    <w:rsid w:val="00CF7C5B"/>
    <w:rsid w:val="00CF7FFC"/>
    <w:rsid w:val="00D01CF9"/>
    <w:rsid w:val="00D02246"/>
    <w:rsid w:val="00D0334D"/>
    <w:rsid w:val="00D0374D"/>
    <w:rsid w:val="00D05A76"/>
    <w:rsid w:val="00D07BEF"/>
    <w:rsid w:val="00D07F1D"/>
    <w:rsid w:val="00D10558"/>
    <w:rsid w:val="00D1203E"/>
    <w:rsid w:val="00D13E70"/>
    <w:rsid w:val="00D16C58"/>
    <w:rsid w:val="00D17019"/>
    <w:rsid w:val="00D170C1"/>
    <w:rsid w:val="00D178DE"/>
    <w:rsid w:val="00D17C6E"/>
    <w:rsid w:val="00D20110"/>
    <w:rsid w:val="00D21168"/>
    <w:rsid w:val="00D235C8"/>
    <w:rsid w:val="00D2384A"/>
    <w:rsid w:val="00D2438C"/>
    <w:rsid w:val="00D26C3F"/>
    <w:rsid w:val="00D27185"/>
    <w:rsid w:val="00D31CA2"/>
    <w:rsid w:val="00D32B84"/>
    <w:rsid w:val="00D337AE"/>
    <w:rsid w:val="00D33AB3"/>
    <w:rsid w:val="00D33F24"/>
    <w:rsid w:val="00D343EB"/>
    <w:rsid w:val="00D346B7"/>
    <w:rsid w:val="00D346B8"/>
    <w:rsid w:val="00D35AC8"/>
    <w:rsid w:val="00D35D34"/>
    <w:rsid w:val="00D36F87"/>
    <w:rsid w:val="00D37E4E"/>
    <w:rsid w:val="00D42E6C"/>
    <w:rsid w:val="00D43218"/>
    <w:rsid w:val="00D43B80"/>
    <w:rsid w:val="00D44236"/>
    <w:rsid w:val="00D44AE2"/>
    <w:rsid w:val="00D45B1E"/>
    <w:rsid w:val="00D45BA4"/>
    <w:rsid w:val="00D471AF"/>
    <w:rsid w:val="00D4724F"/>
    <w:rsid w:val="00D50519"/>
    <w:rsid w:val="00D508F6"/>
    <w:rsid w:val="00D516A5"/>
    <w:rsid w:val="00D5264C"/>
    <w:rsid w:val="00D5289A"/>
    <w:rsid w:val="00D537FE"/>
    <w:rsid w:val="00D538F0"/>
    <w:rsid w:val="00D54A6A"/>
    <w:rsid w:val="00D54BF8"/>
    <w:rsid w:val="00D54D7C"/>
    <w:rsid w:val="00D55951"/>
    <w:rsid w:val="00D55C6A"/>
    <w:rsid w:val="00D572BE"/>
    <w:rsid w:val="00D57EB6"/>
    <w:rsid w:val="00D60ED7"/>
    <w:rsid w:val="00D63586"/>
    <w:rsid w:val="00D63E6B"/>
    <w:rsid w:val="00D65538"/>
    <w:rsid w:val="00D664BF"/>
    <w:rsid w:val="00D668CA"/>
    <w:rsid w:val="00D66D8B"/>
    <w:rsid w:val="00D67D04"/>
    <w:rsid w:val="00D70C06"/>
    <w:rsid w:val="00D70D87"/>
    <w:rsid w:val="00D72A1C"/>
    <w:rsid w:val="00D73580"/>
    <w:rsid w:val="00D73802"/>
    <w:rsid w:val="00D73868"/>
    <w:rsid w:val="00D73C2C"/>
    <w:rsid w:val="00D73D52"/>
    <w:rsid w:val="00D74042"/>
    <w:rsid w:val="00D7453F"/>
    <w:rsid w:val="00D745E7"/>
    <w:rsid w:val="00D77495"/>
    <w:rsid w:val="00D774ED"/>
    <w:rsid w:val="00D777F6"/>
    <w:rsid w:val="00D77F88"/>
    <w:rsid w:val="00D8002D"/>
    <w:rsid w:val="00D8047C"/>
    <w:rsid w:val="00D81EAA"/>
    <w:rsid w:val="00D8232B"/>
    <w:rsid w:val="00D8259F"/>
    <w:rsid w:val="00D825F2"/>
    <w:rsid w:val="00D828B1"/>
    <w:rsid w:val="00D83E88"/>
    <w:rsid w:val="00D84F27"/>
    <w:rsid w:val="00D850D4"/>
    <w:rsid w:val="00D862D1"/>
    <w:rsid w:val="00D873C6"/>
    <w:rsid w:val="00D90EF6"/>
    <w:rsid w:val="00D91027"/>
    <w:rsid w:val="00D9393E"/>
    <w:rsid w:val="00D93B66"/>
    <w:rsid w:val="00D94C7D"/>
    <w:rsid w:val="00D94CA4"/>
    <w:rsid w:val="00D94FB4"/>
    <w:rsid w:val="00D95E99"/>
    <w:rsid w:val="00DA098C"/>
    <w:rsid w:val="00DA1A3A"/>
    <w:rsid w:val="00DA2712"/>
    <w:rsid w:val="00DA2C65"/>
    <w:rsid w:val="00DA395D"/>
    <w:rsid w:val="00DA42CE"/>
    <w:rsid w:val="00DA6229"/>
    <w:rsid w:val="00DA6D33"/>
    <w:rsid w:val="00DB16B8"/>
    <w:rsid w:val="00DB1869"/>
    <w:rsid w:val="00DB1D52"/>
    <w:rsid w:val="00DB1F62"/>
    <w:rsid w:val="00DB2852"/>
    <w:rsid w:val="00DB2E03"/>
    <w:rsid w:val="00DB313B"/>
    <w:rsid w:val="00DB3369"/>
    <w:rsid w:val="00DB3742"/>
    <w:rsid w:val="00DB3F4B"/>
    <w:rsid w:val="00DB61A4"/>
    <w:rsid w:val="00DB67C1"/>
    <w:rsid w:val="00DB70CD"/>
    <w:rsid w:val="00DB70F4"/>
    <w:rsid w:val="00DB7343"/>
    <w:rsid w:val="00DC1056"/>
    <w:rsid w:val="00DC211E"/>
    <w:rsid w:val="00DC21D8"/>
    <w:rsid w:val="00DC282A"/>
    <w:rsid w:val="00DC34C5"/>
    <w:rsid w:val="00DC34DC"/>
    <w:rsid w:val="00DC3CC6"/>
    <w:rsid w:val="00DC4486"/>
    <w:rsid w:val="00DC514A"/>
    <w:rsid w:val="00DC64EC"/>
    <w:rsid w:val="00DC67B1"/>
    <w:rsid w:val="00DC7833"/>
    <w:rsid w:val="00DC7CE9"/>
    <w:rsid w:val="00DD132B"/>
    <w:rsid w:val="00DD1725"/>
    <w:rsid w:val="00DD1E84"/>
    <w:rsid w:val="00DD2427"/>
    <w:rsid w:val="00DD2A18"/>
    <w:rsid w:val="00DD36DA"/>
    <w:rsid w:val="00DD5B1A"/>
    <w:rsid w:val="00DD61E8"/>
    <w:rsid w:val="00DD62C0"/>
    <w:rsid w:val="00DD7859"/>
    <w:rsid w:val="00DE03AC"/>
    <w:rsid w:val="00DE0A1D"/>
    <w:rsid w:val="00DE10BD"/>
    <w:rsid w:val="00DE15B2"/>
    <w:rsid w:val="00DE1A9A"/>
    <w:rsid w:val="00DE3D2C"/>
    <w:rsid w:val="00DE59F8"/>
    <w:rsid w:val="00DE5E82"/>
    <w:rsid w:val="00DE5FA6"/>
    <w:rsid w:val="00DE6494"/>
    <w:rsid w:val="00DE6AA1"/>
    <w:rsid w:val="00DE74D7"/>
    <w:rsid w:val="00DE7EF7"/>
    <w:rsid w:val="00DF0416"/>
    <w:rsid w:val="00DF106A"/>
    <w:rsid w:val="00DF1185"/>
    <w:rsid w:val="00DF1299"/>
    <w:rsid w:val="00DF1A70"/>
    <w:rsid w:val="00DF23A8"/>
    <w:rsid w:val="00DF269C"/>
    <w:rsid w:val="00DF2F27"/>
    <w:rsid w:val="00DF6CCC"/>
    <w:rsid w:val="00DF6D0C"/>
    <w:rsid w:val="00DF6DC2"/>
    <w:rsid w:val="00DF6F64"/>
    <w:rsid w:val="00DF721E"/>
    <w:rsid w:val="00DF7C87"/>
    <w:rsid w:val="00E009B0"/>
    <w:rsid w:val="00E03020"/>
    <w:rsid w:val="00E031C0"/>
    <w:rsid w:val="00E03AFE"/>
    <w:rsid w:val="00E03D5C"/>
    <w:rsid w:val="00E046A9"/>
    <w:rsid w:val="00E04C0F"/>
    <w:rsid w:val="00E0570B"/>
    <w:rsid w:val="00E057B2"/>
    <w:rsid w:val="00E05996"/>
    <w:rsid w:val="00E068D9"/>
    <w:rsid w:val="00E10B87"/>
    <w:rsid w:val="00E12518"/>
    <w:rsid w:val="00E12EE5"/>
    <w:rsid w:val="00E1478B"/>
    <w:rsid w:val="00E14FAC"/>
    <w:rsid w:val="00E15007"/>
    <w:rsid w:val="00E16EC7"/>
    <w:rsid w:val="00E1714F"/>
    <w:rsid w:val="00E17995"/>
    <w:rsid w:val="00E21576"/>
    <w:rsid w:val="00E21801"/>
    <w:rsid w:val="00E219CE"/>
    <w:rsid w:val="00E23961"/>
    <w:rsid w:val="00E24071"/>
    <w:rsid w:val="00E24EBC"/>
    <w:rsid w:val="00E2522C"/>
    <w:rsid w:val="00E2599B"/>
    <w:rsid w:val="00E27383"/>
    <w:rsid w:val="00E2793D"/>
    <w:rsid w:val="00E31AFA"/>
    <w:rsid w:val="00E324EE"/>
    <w:rsid w:val="00E359FF"/>
    <w:rsid w:val="00E36083"/>
    <w:rsid w:val="00E364E4"/>
    <w:rsid w:val="00E36AA7"/>
    <w:rsid w:val="00E36E39"/>
    <w:rsid w:val="00E405F1"/>
    <w:rsid w:val="00E40A88"/>
    <w:rsid w:val="00E41337"/>
    <w:rsid w:val="00E4263A"/>
    <w:rsid w:val="00E42661"/>
    <w:rsid w:val="00E43054"/>
    <w:rsid w:val="00E434C4"/>
    <w:rsid w:val="00E44BAE"/>
    <w:rsid w:val="00E44FE4"/>
    <w:rsid w:val="00E46013"/>
    <w:rsid w:val="00E474FF"/>
    <w:rsid w:val="00E477C3"/>
    <w:rsid w:val="00E5048D"/>
    <w:rsid w:val="00E50AC4"/>
    <w:rsid w:val="00E50B38"/>
    <w:rsid w:val="00E51077"/>
    <w:rsid w:val="00E5132D"/>
    <w:rsid w:val="00E51741"/>
    <w:rsid w:val="00E51E16"/>
    <w:rsid w:val="00E52151"/>
    <w:rsid w:val="00E53730"/>
    <w:rsid w:val="00E53C46"/>
    <w:rsid w:val="00E543BA"/>
    <w:rsid w:val="00E54511"/>
    <w:rsid w:val="00E545D3"/>
    <w:rsid w:val="00E548BE"/>
    <w:rsid w:val="00E54978"/>
    <w:rsid w:val="00E54B8A"/>
    <w:rsid w:val="00E55DC3"/>
    <w:rsid w:val="00E57577"/>
    <w:rsid w:val="00E6172A"/>
    <w:rsid w:val="00E62043"/>
    <w:rsid w:val="00E626B9"/>
    <w:rsid w:val="00E627C9"/>
    <w:rsid w:val="00E630F3"/>
    <w:rsid w:val="00E65198"/>
    <w:rsid w:val="00E664FB"/>
    <w:rsid w:val="00E66F0D"/>
    <w:rsid w:val="00E70615"/>
    <w:rsid w:val="00E71A5E"/>
    <w:rsid w:val="00E72011"/>
    <w:rsid w:val="00E7207B"/>
    <w:rsid w:val="00E7347A"/>
    <w:rsid w:val="00E746F4"/>
    <w:rsid w:val="00E74842"/>
    <w:rsid w:val="00E75325"/>
    <w:rsid w:val="00E75A47"/>
    <w:rsid w:val="00E75D8C"/>
    <w:rsid w:val="00E77771"/>
    <w:rsid w:val="00E777F2"/>
    <w:rsid w:val="00E779ED"/>
    <w:rsid w:val="00E802C9"/>
    <w:rsid w:val="00E809A6"/>
    <w:rsid w:val="00E80EDD"/>
    <w:rsid w:val="00E80F0A"/>
    <w:rsid w:val="00E81A6A"/>
    <w:rsid w:val="00E8291B"/>
    <w:rsid w:val="00E8395F"/>
    <w:rsid w:val="00E83BAE"/>
    <w:rsid w:val="00E8473F"/>
    <w:rsid w:val="00E850B2"/>
    <w:rsid w:val="00E857EB"/>
    <w:rsid w:val="00E85E41"/>
    <w:rsid w:val="00E85EA1"/>
    <w:rsid w:val="00E8610B"/>
    <w:rsid w:val="00E863C0"/>
    <w:rsid w:val="00E86C86"/>
    <w:rsid w:val="00E91044"/>
    <w:rsid w:val="00E910D3"/>
    <w:rsid w:val="00E9214B"/>
    <w:rsid w:val="00E923CF"/>
    <w:rsid w:val="00E9335F"/>
    <w:rsid w:val="00E95111"/>
    <w:rsid w:val="00E9783B"/>
    <w:rsid w:val="00EA061E"/>
    <w:rsid w:val="00EA14C8"/>
    <w:rsid w:val="00EA19D3"/>
    <w:rsid w:val="00EA2358"/>
    <w:rsid w:val="00EA2C8B"/>
    <w:rsid w:val="00EA3582"/>
    <w:rsid w:val="00EA6649"/>
    <w:rsid w:val="00EB05D0"/>
    <w:rsid w:val="00EB07C5"/>
    <w:rsid w:val="00EB107E"/>
    <w:rsid w:val="00EB11D8"/>
    <w:rsid w:val="00EB1D49"/>
    <w:rsid w:val="00EB3A13"/>
    <w:rsid w:val="00EB42DD"/>
    <w:rsid w:val="00EB559F"/>
    <w:rsid w:val="00EB5F3D"/>
    <w:rsid w:val="00EB6EC2"/>
    <w:rsid w:val="00EB70C3"/>
    <w:rsid w:val="00EC0090"/>
    <w:rsid w:val="00EC1AD6"/>
    <w:rsid w:val="00EC1CEB"/>
    <w:rsid w:val="00EC268C"/>
    <w:rsid w:val="00EC3602"/>
    <w:rsid w:val="00EC3753"/>
    <w:rsid w:val="00EC3CB8"/>
    <w:rsid w:val="00EC3D46"/>
    <w:rsid w:val="00EC4E71"/>
    <w:rsid w:val="00EC569A"/>
    <w:rsid w:val="00EC6667"/>
    <w:rsid w:val="00EC676D"/>
    <w:rsid w:val="00ED0365"/>
    <w:rsid w:val="00ED0865"/>
    <w:rsid w:val="00ED094F"/>
    <w:rsid w:val="00ED16B6"/>
    <w:rsid w:val="00ED1C60"/>
    <w:rsid w:val="00ED2EB9"/>
    <w:rsid w:val="00ED4469"/>
    <w:rsid w:val="00ED4547"/>
    <w:rsid w:val="00ED5F23"/>
    <w:rsid w:val="00ED6DC0"/>
    <w:rsid w:val="00ED6EC1"/>
    <w:rsid w:val="00ED79CE"/>
    <w:rsid w:val="00ED7A7A"/>
    <w:rsid w:val="00EE038C"/>
    <w:rsid w:val="00EE040B"/>
    <w:rsid w:val="00EE47C5"/>
    <w:rsid w:val="00EE4864"/>
    <w:rsid w:val="00EE490C"/>
    <w:rsid w:val="00EE4E02"/>
    <w:rsid w:val="00EE5619"/>
    <w:rsid w:val="00EE5701"/>
    <w:rsid w:val="00EE613B"/>
    <w:rsid w:val="00EE6911"/>
    <w:rsid w:val="00EE7E17"/>
    <w:rsid w:val="00EF2C8E"/>
    <w:rsid w:val="00EF37E4"/>
    <w:rsid w:val="00EF3A0D"/>
    <w:rsid w:val="00EF3A3D"/>
    <w:rsid w:val="00EF3CEB"/>
    <w:rsid w:val="00EF41A8"/>
    <w:rsid w:val="00EF44FB"/>
    <w:rsid w:val="00EF4D3C"/>
    <w:rsid w:val="00EF5554"/>
    <w:rsid w:val="00EF5AD8"/>
    <w:rsid w:val="00EF5D2F"/>
    <w:rsid w:val="00EF63F5"/>
    <w:rsid w:val="00EF6758"/>
    <w:rsid w:val="00EF6B90"/>
    <w:rsid w:val="00EF70AE"/>
    <w:rsid w:val="00EF79F7"/>
    <w:rsid w:val="00F00145"/>
    <w:rsid w:val="00F00418"/>
    <w:rsid w:val="00F006C0"/>
    <w:rsid w:val="00F019AA"/>
    <w:rsid w:val="00F02018"/>
    <w:rsid w:val="00F0267E"/>
    <w:rsid w:val="00F02686"/>
    <w:rsid w:val="00F0366B"/>
    <w:rsid w:val="00F0459B"/>
    <w:rsid w:val="00F04E15"/>
    <w:rsid w:val="00F05DF3"/>
    <w:rsid w:val="00F0641B"/>
    <w:rsid w:val="00F069EA"/>
    <w:rsid w:val="00F07B6E"/>
    <w:rsid w:val="00F07DF8"/>
    <w:rsid w:val="00F11461"/>
    <w:rsid w:val="00F11675"/>
    <w:rsid w:val="00F1182D"/>
    <w:rsid w:val="00F12557"/>
    <w:rsid w:val="00F13A8F"/>
    <w:rsid w:val="00F144F8"/>
    <w:rsid w:val="00F14DF8"/>
    <w:rsid w:val="00F164A3"/>
    <w:rsid w:val="00F17281"/>
    <w:rsid w:val="00F17AD9"/>
    <w:rsid w:val="00F17F74"/>
    <w:rsid w:val="00F202C2"/>
    <w:rsid w:val="00F22756"/>
    <w:rsid w:val="00F23890"/>
    <w:rsid w:val="00F2447A"/>
    <w:rsid w:val="00F24638"/>
    <w:rsid w:val="00F2504D"/>
    <w:rsid w:val="00F25FB2"/>
    <w:rsid w:val="00F2637F"/>
    <w:rsid w:val="00F263A8"/>
    <w:rsid w:val="00F268F7"/>
    <w:rsid w:val="00F27280"/>
    <w:rsid w:val="00F3053D"/>
    <w:rsid w:val="00F30BDB"/>
    <w:rsid w:val="00F30CF8"/>
    <w:rsid w:val="00F30EE8"/>
    <w:rsid w:val="00F317E3"/>
    <w:rsid w:val="00F31EDF"/>
    <w:rsid w:val="00F32CDE"/>
    <w:rsid w:val="00F32D4C"/>
    <w:rsid w:val="00F34811"/>
    <w:rsid w:val="00F34B14"/>
    <w:rsid w:val="00F365E8"/>
    <w:rsid w:val="00F36A6A"/>
    <w:rsid w:val="00F40101"/>
    <w:rsid w:val="00F404F7"/>
    <w:rsid w:val="00F40CCA"/>
    <w:rsid w:val="00F41521"/>
    <w:rsid w:val="00F41975"/>
    <w:rsid w:val="00F41B5A"/>
    <w:rsid w:val="00F41C0E"/>
    <w:rsid w:val="00F42D97"/>
    <w:rsid w:val="00F43F09"/>
    <w:rsid w:val="00F44297"/>
    <w:rsid w:val="00F45A72"/>
    <w:rsid w:val="00F46723"/>
    <w:rsid w:val="00F50016"/>
    <w:rsid w:val="00F50647"/>
    <w:rsid w:val="00F5118A"/>
    <w:rsid w:val="00F513A2"/>
    <w:rsid w:val="00F51A21"/>
    <w:rsid w:val="00F5276E"/>
    <w:rsid w:val="00F52861"/>
    <w:rsid w:val="00F529F9"/>
    <w:rsid w:val="00F52E9F"/>
    <w:rsid w:val="00F53304"/>
    <w:rsid w:val="00F53D40"/>
    <w:rsid w:val="00F545ED"/>
    <w:rsid w:val="00F5687F"/>
    <w:rsid w:val="00F575C7"/>
    <w:rsid w:val="00F57B30"/>
    <w:rsid w:val="00F60305"/>
    <w:rsid w:val="00F60B72"/>
    <w:rsid w:val="00F61B12"/>
    <w:rsid w:val="00F61CC5"/>
    <w:rsid w:val="00F62398"/>
    <w:rsid w:val="00F631E8"/>
    <w:rsid w:val="00F63223"/>
    <w:rsid w:val="00F63264"/>
    <w:rsid w:val="00F6379E"/>
    <w:rsid w:val="00F64142"/>
    <w:rsid w:val="00F657E9"/>
    <w:rsid w:val="00F70799"/>
    <w:rsid w:val="00F70906"/>
    <w:rsid w:val="00F70A8B"/>
    <w:rsid w:val="00F724FB"/>
    <w:rsid w:val="00F7253D"/>
    <w:rsid w:val="00F72578"/>
    <w:rsid w:val="00F72A26"/>
    <w:rsid w:val="00F733C3"/>
    <w:rsid w:val="00F756DD"/>
    <w:rsid w:val="00F75DB3"/>
    <w:rsid w:val="00F80047"/>
    <w:rsid w:val="00F8104D"/>
    <w:rsid w:val="00F81587"/>
    <w:rsid w:val="00F82571"/>
    <w:rsid w:val="00F83379"/>
    <w:rsid w:val="00F85B72"/>
    <w:rsid w:val="00F86B6D"/>
    <w:rsid w:val="00F8766F"/>
    <w:rsid w:val="00F87A81"/>
    <w:rsid w:val="00F9104C"/>
    <w:rsid w:val="00F91082"/>
    <w:rsid w:val="00F91A9A"/>
    <w:rsid w:val="00F93ABB"/>
    <w:rsid w:val="00F940EF"/>
    <w:rsid w:val="00F94D79"/>
    <w:rsid w:val="00F97E7E"/>
    <w:rsid w:val="00FA118A"/>
    <w:rsid w:val="00FA1440"/>
    <w:rsid w:val="00FA31C7"/>
    <w:rsid w:val="00FA472D"/>
    <w:rsid w:val="00FA7254"/>
    <w:rsid w:val="00FB0214"/>
    <w:rsid w:val="00FB080C"/>
    <w:rsid w:val="00FB0FAF"/>
    <w:rsid w:val="00FB12BC"/>
    <w:rsid w:val="00FB18F6"/>
    <w:rsid w:val="00FB2056"/>
    <w:rsid w:val="00FB2A52"/>
    <w:rsid w:val="00FB2EB2"/>
    <w:rsid w:val="00FB2F13"/>
    <w:rsid w:val="00FB31FD"/>
    <w:rsid w:val="00FB6E19"/>
    <w:rsid w:val="00FB71F6"/>
    <w:rsid w:val="00FC1339"/>
    <w:rsid w:val="00FC1483"/>
    <w:rsid w:val="00FC1C47"/>
    <w:rsid w:val="00FC2CED"/>
    <w:rsid w:val="00FC39ED"/>
    <w:rsid w:val="00FC4419"/>
    <w:rsid w:val="00FC47E2"/>
    <w:rsid w:val="00FC4AA5"/>
    <w:rsid w:val="00FC5148"/>
    <w:rsid w:val="00FC5528"/>
    <w:rsid w:val="00FC75AC"/>
    <w:rsid w:val="00FD01BF"/>
    <w:rsid w:val="00FD0525"/>
    <w:rsid w:val="00FD119F"/>
    <w:rsid w:val="00FD297D"/>
    <w:rsid w:val="00FD298C"/>
    <w:rsid w:val="00FD2D13"/>
    <w:rsid w:val="00FD3D26"/>
    <w:rsid w:val="00FD4789"/>
    <w:rsid w:val="00FD59FE"/>
    <w:rsid w:val="00FD6071"/>
    <w:rsid w:val="00FE0794"/>
    <w:rsid w:val="00FE1041"/>
    <w:rsid w:val="00FE1C22"/>
    <w:rsid w:val="00FE24CB"/>
    <w:rsid w:val="00FE2D46"/>
    <w:rsid w:val="00FE3166"/>
    <w:rsid w:val="00FE3320"/>
    <w:rsid w:val="00FE3473"/>
    <w:rsid w:val="00FE353B"/>
    <w:rsid w:val="00FE3E81"/>
    <w:rsid w:val="00FE4049"/>
    <w:rsid w:val="00FE4794"/>
    <w:rsid w:val="00FE5DF7"/>
    <w:rsid w:val="00FE5F72"/>
    <w:rsid w:val="00FE76E4"/>
    <w:rsid w:val="00FF0231"/>
    <w:rsid w:val="00FF1C9B"/>
    <w:rsid w:val="00FF1D49"/>
    <w:rsid w:val="00FF2562"/>
    <w:rsid w:val="00FF2CE1"/>
    <w:rsid w:val="00FF3A41"/>
    <w:rsid w:val="00FF3E5B"/>
    <w:rsid w:val="00FF544F"/>
    <w:rsid w:val="00FF57E4"/>
    <w:rsid w:val="00FF75D9"/>
    <w:rsid w:val="00FF78E5"/>
    <w:rsid w:val="01755E4C"/>
    <w:rsid w:val="01EE19B6"/>
    <w:rsid w:val="022308DF"/>
    <w:rsid w:val="02511F9D"/>
    <w:rsid w:val="02DC2D3E"/>
    <w:rsid w:val="03056ED3"/>
    <w:rsid w:val="0314369E"/>
    <w:rsid w:val="034F0B7A"/>
    <w:rsid w:val="03A314B8"/>
    <w:rsid w:val="03A907BD"/>
    <w:rsid w:val="03D82B98"/>
    <w:rsid w:val="03F83E8B"/>
    <w:rsid w:val="0415418F"/>
    <w:rsid w:val="04F96FF0"/>
    <w:rsid w:val="05B74650"/>
    <w:rsid w:val="05B805AF"/>
    <w:rsid w:val="06402B85"/>
    <w:rsid w:val="064C5349"/>
    <w:rsid w:val="06536B17"/>
    <w:rsid w:val="06FD3ECB"/>
    <w:rsid w:val="07026A9C"/>
    <w:rsid w:val="07B72767"/>
    <w:rsid w:val="08077E72"/>
    <w:rsid w:val="08AC4379"/>
    <w:rsid w:val="08E729B2"/>
    <w:rsid w:val="08FC23B7"/>
    <w:rsid w:val="09053F2C"/>
    <w:rsid w:val="09270E73"/>
    <w:rsid w:val="092C43F4"/>
    <w:rsid w:val="094F37C0"/>
    <w:rsid w:val="09CC2AAC"/>
    <w:rsid w:val="09D820EE"/>
    <w:rsid w:val="0A652D3E"/>
    <w:rsid w:val="0AAD7F01"/>
    <w:rsid w:val="0B253A7F"/>
    <w:rsid w:val="0B3A48F0"/>
    <w:rsid w:val="0B4B7C0B"/>
    <w:rsid w:val="0B7A1444"/>
    <w:rsid w:val="0BDA2FAB"/>
    <w:rsid w:val="0C0C501F"/>
    <w:rsid w:val="0C671F47"/>
    <w:rsid w:val="0C92213C"/>
    <w:rsid w:val="0D132C19"/>
    <w:rsid w:val="0D4F221D"/>
    <w:rsid w:val="0D6D5BCB"/>
    <w:rsid w:val="0D8238FA"/>
    <w:rsid w:val="0D84032B"/>
    <w:rsid w:val="0DD01512"/>
    <w:rsid w:val="0E1D4583"/>
    <w:rsid w:val="0EAB6328"/>
    <w:rsid w:val="0ED317E0"/>
    <w:rsid w:val="0F0A0484"/>
    <w:rsid w:val="0F0E0990"/>
    <w:rsid w:val="0F1D7D7F"/>
    <w:rsid w:val="0F2C39E7"/>
    <w:rsid w:val="103A226A"/>
    <w:rsid w:val="10910627"/>
    <w:rsid w:val="10993435"/>
    <w:rsid w:val="10A27F31"/>
    <w:rsid w:val="10AC2CA2"/>
    <w:rsid w:val="10CA487C"/>
    <w:rsid w:val="10EA4577"/>
    <w:rsid w:val="11927058"/>
    <w:rsid w:val="119517FC"/>
    <w:rsid w:val="11B604EC"/>
    <w:rsid w:val="121708A7"/>
    <w:rsid w:val="126537F7"/>
    <w:rsid w:val="12976087"/>
    <w:rsid w:val="129E11D6"/>
    <w:rsid w:val="12FE1C75"/>
    <w:rsid w:val="139D323C"/>
    <w:rsid w:val="13AF4F03"/>
    <w:rsid w:val="14661880"/>
    <w:rsid w:val="14736E66"/>
    <w:rsid w:val="14832587"/>
    <w:rsid w:val="149B6AC2"/>
    <w:rsid w:val="14BC76F2"/>
    <w:rsid w:val="14ED4080"/>
    <w:rsid w:val="15293653"/>
    <w:rsid w:val="1534169A"/>
    <w:rsid w:val="15581B10"/>
    <w:rsid w:val="15C03E03"/>
    <w:rsid w:val="162A25EB"/>
    <w:rsid w:val="16774D11"/>
    <w:rsid w:val="16EF0253"/>
    <w:rsid w:val="16FD2A55"/>
    <w:rsid w:val="17002EE0"/>
    <w:rsid w:val="17366761"/>
    <w:rsid w:val="177C01F0"/>
    <w:rsid w:val="178057B9"/>
    <w:rsid w:val="17B172B6"/>
    <w:rsid w:val="17CE6630"/>
    <w:rsid w:val="188A3D86"/>
    <w:rsid w:val="18A84B5D"/>
    <w:rsid w:val="18AC1971"/>
    <w:rsid w:val="18FF224B"/>
    <w:rsid w:val="191775ED"/>
    <w:rsid w:val="19820BA0"/>
    <w:rsid w:val="19C03CF6"/>
    <w:rsid w:val="19C150EF"/>
    <w:rsid w:val="19F6167D"/>
    <w:rsid w:val="1A67376E"/>
    <w:rsid w:val="1A675266"/>
    <w:rsid w:val="1AD20097"/>
    <w:rsid w:val="1AFA16D5"/>
    <w:rsid w:val="1B083A2B"/>
    <w:rsid w:val="1B4F19F8"/>
    <w:rsid w:val="1BCD0EF8"/>
    <w:rsid w:val="1BD92184"/>
    <w:rsid w:val="1C406A69"/>
    <w:rsid w:val="1C4A2EAF"/>
    <w:rsid w:val="1C5170A2"/>
    <w:rsid w:val="1C9114F5"/>
    <w:rsid w:val="1D1937EC"/>
    <w:rsid w:val="1D266050"/>
    <w:rsid w:val="1D4061A8"/>
    <w:rsid w:val="1D634A51"/>
    <w:rsid w:val="1D723DB3"/>
    <w:rsid w:val="1DDA616F"/>
    <w:rsid w:val="1E326C77"/>
    <w:rsid w:val="1E8A07BD"/>
    <w:rsid w:val="1E9B4F4B"/>
    <w:rsid w:val="1E9D669E"/>
    <w:rsid w:val="1EC57AEB"/>
    <w:rsid w:val="1ECE5138"/>
    <w:rsid w:val="1ED74A5D"/>
    <w:rsid w:val="1F063325"/>
    <w:rsid w:val="1F4655C1"/>
    <w:rsid w:val="1F5275D0"/>
    <w:rsid w:val="1FBC5DF5"/>
    <w:rsid w:val="1FC55574"/>
    <w:rsid w:val="1FD71884"/>
    <w:rsid w:val="2030310A"/>
    <w:rsid w:val="213A2640"/>
    <w:rsid w:val="214B7495"/>
    <w:rsid w:val="21735FAB"/>
    <w:rsid w:val="21B83F86"/>
    <w:rsid w:val="21C67CEA"/>
    <w:rsid w:val="21E55E66"/>
    <w:rsid w:val="22056B7C"/>
    <w:rsid w:val="221178A8"/>
    <w:rsid w:val="221213CF"/>
    <w:rsid w:val="22327A92"/>
    <w:rsid w:val="224F429B"/>
    <w:rsid w:val="228269AC"/>
    <w:rsid w:val="22965435"/>
    <w:rsid w:val="22BD6F35"/>
    <w:rsid w:val="231D53A2"/>
    <w:rsid w:val="23211612"/>
    <w:rsid w:val="233A1435"/>
    <w:rsid w:val="236F29AB"/>
    <w:rsid w:val="23B47D1F"/>
    <w:rsid w:val="23B7504C"/>
    <w:rsid w:val="24194213"/>
    <w:rsid w:val="24571307"/>
    <w:rsid w:val="24A7216D"/>
    <w:rsid w:val="24BA2984"/>
    <w:rsid w:val="24C54C65"/>
    <w:rsid w:val="25093D59"/>
    <w:rsid w:val="25246333"/>
    <w:rsid w:val="254B0B4F"/>
    <w:rsid w:val="25A24781"/>
    <w:rsid w:val="26055EE5"/>
    <w:rsid w:val="26446DE3"/>
    <w:rsid w:val="264D165B"/>
    <w:rsid w:val="26D7699F"/>
    <w:rsid w:val="274A5E17"/>
    <w:rsid w:val="27612030"/>
    <w:rsid w:val="27912C60"/>
    <w:rsid w:val="27AC5CEC"/>
    <w:rsid w:val="27D645A9"/>
    <w:rsid w:val="27FF051D"/>
    <w:rsid w:val="281954D5"/>
    <w:rsid w:val="28223894"/>
    <w:rsid w:val="28552754"/>
    <w:rsid w:val="28595C3D"/>
    <w:rsid w:val="288451FA"/>
    <w:rsid w:val="289E7202"/>
    <w:rsid w:val="28EB63A0"/>
    <w:rsid w:val="28FC0B42"/>
    <w:rsid w:val="28FE19B0"/>
    <w:rsid w:val="296C799C"/>
    <w:rsid w:val="29AA04B4"/>
    <w:rsid w:val="29E55E58"/>
    <w:rsid w:val="2A677CA8"/>
    <w:rsid w:val="2A851825"/>
    <w:rsid w:val="2AE95142"/>
    <w:rsid w:val="2B09065E"/>
    <w:rsid w:val="2B774624"/>
    <w:rsid w:val="2BB31D32"/>
    <w:rsid w:val="2BC068DD"/>
    <w:rsid w:val="2C7A72BE"/>
    <w:rsid w:val="2CF16D8F"/>
    <w:rsid w:val="2D9C5EBB"/>
    <w:rsid w:val="2DF94920"/>
    <w:rsid w:val="2E073C7C"/>
    <w:rsid w:val="2E6B4F22"/>
    <w:rsid w:val="2EC658E5"/>
    <w:rsid w:val="2F401D3C"/>
    <w:rsid w:val="2F807842"/>
    <w:rsid w:val="2FA95C88"/>
    <w:rsid w:val="3041370F"/>
    <w:rsid w:val="30687C32"/>
    <w:rsid w:val="309A577C"/>
    <w:rsid w:val="30A734F4"/>
    <w:rsid w:val="31083A05"/>
    <w:rsid w:val="3192385D"/>
    <w:rsid w:val="31AD6506"/>
    <w:rsid w:val="32453A27"/>
    <w:rsid w:val="3263064A"/>
    <w:rsid w:val="32AC0C06"/>
    <w:rsid w:val="32CD2047"/>
    <w:rsid w:val="3335159A"/>
    <w:rsid w:val="33BD7658"/>
    <w:rsid w:val="33D3518A"/>
    <w:rsid w:val="34106909"/>
    <w:rsid w:val="34AB16EB"/>
    <w:rsid w:val="34E74919"/>
    <w:rsid w:val="3537750C"/>
    <w:rsid w:val="3537798C"/>
    <w:rsid w:val="35470F7B"/>
    <w:rsid w:val="357F7ED5"/>
    <w:rsid w:val="35C13FC9"/>
    <w:rsid w:val="35ED7BFB"/>
    <w:rsid w:val="362E6D87"/>
    <w:rsid w:val="36314350"/>
    <w:rsid w:val="364257B6"/>
    <w:rsid w:val="366F50BD"/>
    <w:rsid w:val="36D45041"/>
    <w:rsid w:val="36F834D1"/>
    <w:rsid w:val="374264D3"/>
    <w:rsid w:val="376E40E2"/>
    <w:rsid w:val="37AD5029"/>
    <w:rsid w:val="37DB7874"/>
    <w:rsid w:val="37EA5922"/>
    <w:rsid w:val="38276B93"/>
    <w:rsid w:val="38687C86"/>
    <w:rsid w:val="38D62BC9"/>
    <w:rsid w:val="38E05CE7"/>
    <w:rsid w:val="39096AFA"/>
    <w:rsid w:val="3A0B64A7"/>
    <w:rsid w:val="3A107D3F"/>
    <w:rsid w:val="3A1A29A4"/>
    <w:rsid w:val="3AF74C02"/>
    <w:rsid w:val="3B2E729B"/>
    <w:rsid w:val="3B4E0552"/>
    <w:rsid w:val="3B585B17"/>
    <w:rsid w:val="3B8D21AF"/>
    <w:rsid w:val="3C004876"/>
    <w:rsid w:val="3C0059A5"/>
    <w:rsid w:val="3C134E78"/>
    <w:rsid w:val="3C21415B"/>
    <w:rsid w:val="3C3236ED"/>
    <w:rsid w:val="3CD2148A"/>
    <w:rsid w:val="3CE7667B"/>
    <w:rsid w:val="3DD521AA"/>
    <w:rsid w:val="3DF6345D"/>
    <w:rsid w:val="3EB048FD"/>
    <w:rsid w:val="3EC357A9"/>
    <w:rsid w:val="3EC80E72"/>
    <w:rsid w:val="3EE13701"/>
    <w:rsid w:val="3F0D4E6A"/>
    <w:rsid w:val="3F1A4BB3"/>
    <w:rsid w:val="3F20694C"/>
    <w:rsid w:val="3F515966"/>
    <w:rsid w:val="3F746C97"/>
    <w:rsid w:val="40192BA6"/>
    <w:rsid w:val="4021297B"/>
    <w:rsid w:val="41225684"/>
    <w:rsid w:val="41354782"/>
    <w:rsid w:val="42003213"/>
    <w:rsid w:val="42462B6D"/>
    <w:rsid w:val="42550A18"/>
    <w:rsid w:val="42637C9D"/>
    <w:rsid w:val="42897F28"/>
    <w:rsid w:val="42F473A1"/>
    <w:rsid w:val="43296D5A"/>
    <w:rsid w:val="43790D20"/>
    <w:rsid w:val="43B315F1"/>
    <w:rsid w:val="43BD4B90"/>
    <w:rsid w:val="43DC3723"/>
    <w:rsid w:val="43E066A9"/>
    <w:rsid w:val="43F6248D"/>
    <w:rsid w:val="441E62C0"/>
    <w:rsid w:val="44274ACD"/>
    <w:rsid w:val="44817E8C"/>
    <w:rsid w:val="45717F01"/>
    <w:rsid w:val="45811C7C"/>
    <w:rsid w:val="46053138"/>
    <w:rsid w:val="46607F75"/>
    <w:rsid w:val="468B3EFB"/>
    <w:rsid w:val="46EA4E77"/>
    <w:rsid w:val="470A6193"/>
    <w:rsid w:val="47135B09"/>
    <w:rsid w:val="47DC4F5C"/>
    <w:rsid w:val="488B4AC5"/>
    <w:rsid w:val="48B40671"/>
    <w:rsid w:val="493523C3"/>
    <w:rsid w:val="493F3E17"/>
    <w:rsid w:val="49717773"/>
    <w:rsid w:val="498811BE"/>
    <w:rsid w:val="49892943"/>
    <w:rsid w:val="4993146C"/>
    <w:rsid w:val="499B5738"/>
    <w:rsid w:val="499F244D"/>
    <w:rsid w:val="49F032CD"/>
    <w:rsid w:val="4A1922FA"/>
    <w:rsid w:val="4A8F58C2"/>
    <w:rsid w:val="4AEC627C"/>
    <w:rsid w:val="4AF96BC7"/>
    <w:rsid w:val="4AFD2237"/>
    <w:rsid w:val="4B1F5E4F"/>
    <w:rsid w:val="4B205C19"/>
    <w:rsid w:val="4B513A02"/>
    <w:rsid w:val="4B9A1D7B"/>
    <w:rsid w:val="4BFB4050"/>
    <w:rsid w:val="4CEF36E2"/>
    <w:rsid w:val="4CF65190"/>
    <w:rsid w:val="4D0B1DBF"/>
    <w:rsid w:val="4D1D44CA"/>
    <w:rsid w:val="4D2C0BB1"/>
    <w:rsid w:val="4D3B1120"/>
    <w:rsid w:val="4D7B235A"/>
    <w:rsid w:val="4E2336B1"/>
    <w:rsid w:val="4E736E68"/>
    <w:rsid w:val="4EC6759F"/>
    <w:rsid w:val="4F372FFB"/>
    <w:rsid w:val="4F837052"/>
    <w:rsid w:val="4FA76FA4"/>
    <w:rsid w:val="4FC4552E"/>
    <w:rsid w:val="4FD47893"/>
    <w:rsid w:val="5085777F"/>
    <w:rsid w:val="513F391C"/>
    <w:rsid w:val="51564E44"/>
    <w:rsid w:val="518427E0"/>
    <w:rsid w:val="51843A53"/>
    <w:rsid w:val="51F36455"/>
    <w:rsid w:val="529A4CBF"/>
    <w:rsid w:val="52C10D75"/>
    <w:rsid w:val="52C911A4"/>
    <w:rsid w:val="52ED493F"/>
    <w:rsid w:val="53186A49"/>
    <w:rsid w:val="53635735"/>
    <w:rsid w:val="53894668"/>
    <w:rsid w:val="54721D56"/>
    <w:rsid w:val="550C4BD7"/>
    <w:rsid w:val="55572986"/>
    <w:rsid w:val="55730348"/>
    <w:rsid w:val="5628215A"/>
    <w:rsid w:val="56386683"/>
    <w:rsid w:val="56537644"/>
    <w:rsid w:val="575612BA"/>
    <w:rsid w:val="576D6361"/>
    <w:rsid w:val="5795565B"/>
    <w:rsid w:val="57F66C4E"/>
    <w:rsid w:val="58054AA0"/>
    <w:rsid w:val="58136BF6"/>
    <w:rsid w:val="581513C1"/>
    <w:rsid w:val="5859176C"/>
    <w:rsid w:val="58A10F2E"/>
    <w:rsid w:val="58BE5CBA"/>
    <w:rsid w:val="58C059FB"/>
    <w:rsid w:val="599F06CE"/>
    <w:rsid w:val="59AC165F"/>
    <w:rsid w:val="59AE757D"/>
    <w:rsid w:val="59B754D5"/>
    <w:rsid w:val="5A11145A"/>
    <w:rsid w:val="5A3A1A12"/>
    <w:rsid w:val="5A4A08C9"/>
    <w:rsid w:val="5A957D93"/>
    <w:rsid w:val="5ADF1011"/>
    <w:rsid w:val="5AE42ACB"/>
    <w:rsid w:val="5B135F55"/>
    <w:rsid w:val="5B3760D9"/>
    <w:rsid w:val="5BAD55B3"/>
    <w:rsid w:val="5BBC6816"/>
    <w:rsid w:val="5BBE55D8"/>
    <w:rsid w:val="5BD87FA2"/>
    <w:rsid w:val="5C1F382B"/>
    <w:rsid w:val="5C401484"/>
    <w:rsid w:val="5CFD7C92"/>
    <w:rsid w:val="5D2256EB"/>
    <w:rsid w:val="5D2317D1"/>
    <w:rsid w:val="5D6F13FC"/>
    <w:rsid w:val="5E437B09"/>
    <w:rsid w:val="5E632EE2"/>
    <w:rsid w:val="5E674065"/>
    <w:rsid w:val="5E6B0B23"/>
    <w:rsid w:val="5E6C2DED"/>
    <w:rsid w:val="5EB427B5"/>
    <w:rsid w:val="5F3202A9"/>
    <w:rsid w:val="5F80710D"/>
    <w:rsid w:val="5FA01F9D"/>
    <w:rsid w:val="5FDB60F0"/>
    <w:rsid w:val="601E522F"/>
    <w:rsid w:val="606007BB"/>
    <w:rsid w:val="606C11CA"/>
    <w:rsid w:val="60AC7F66"/>
    <w:rsid w:val="60EB3EF5"/>
    <w:rsid w:val="61096889"/>
    <w:rsid w:val="610B0B81"/>
    <w:rsid w:val="611B712C"/>
    <w:rsid w:val="614D7F45"/>
    <w:rsid w:val="618835DC"/>
    <w:rsid w:val="61BF10D9"/>
    <w:rsid w:val="62491E66"/>
    <w:rsid w:val="62816E52"/>
    <w:rsid w:val="629F7BDB"/>
    <w:rsid w:val="630F25FC"/>
    <w:rsid w:val="63343F7A"/>
    <w:rsid w:val="640C7C21"/>
    <w:rsid w:val="641C5084"/>
    <w:rsid w:val="644E0701"/>
    <w:rsid w:val="647811BC"/>
    <w:rsid w:val="64956BCA"/>
    <w:rsid w:val="64E45EF7"/>
    <w:rsid w:val="65444892"/>
    <w:rsid w:val="65750EF0"/>
    <w:rsid w:val="65783EC8"/>
    <w:rsid w:val="659A6BA8"/>
    <w:rsid w:val="65C1014C"/>
    <w:rsid w:val="666A657B"/>
    <w:rsid w:val="66A57729"/>
    <w:rsid w:val="671E1112"/>
    <w:rsid w:val="6739419F"/>
    <w:rsid w:val="677368EF"/>
    <w:rsid w:val="677435B2"/>
    <w:rsid w:val="67A57EB3"/>
    <w:rsid w:val="67EF75F1"/>
    <w:rsid w:val="68030C53"/>
    <w:rsid w:val="680C6C71"/>
    <w:rsid w:val="687A4A6F"/>
    <w:rsid w:val="68815E47"/>
    <w:rsid w:val="68983B76"/>
    <w:rsid w:val="68BC6E36"/>
    <w:rsid w:val="68DA695F"/>
    <w:rsid w:val="6902517F"/>
    <w:rsid w:val="69124F16"/>
    <w:rsid w:val="69572C09"/>
    <w:rsid w:val="698F62F8"/>
    <w:rsid w:val="69C64B0E"/>
    <w:rsid w:val="69CD5C14"/>
    <w:rsid w:val="69CF0D33"/>
    <w:rsid w:val="6A060C37"/>
    <w:rsid w:val="6A232D29"/>
    <w:rsid w:val="6A240149"/>
    <w:rsid w:val="6A240278"/>
    <w:rsid w:val="6A6C2A79"/>
    <w:rsid w:val="6AB24495"/>
    <w:rsid w:val="6B580B21"/>
    <w:rsid w:val="6B800E77"/>
    <w:rsid w:val="6B9946B3"/>
    <w:rsid w:val="6BDE1D62"/>
    <w:rsid w:val="6BEB191A"/>
    <w:rsid w:val="6C2500A5"/>
    <w:rsid w:val="6D1837C6"/>
    <w:rsid w:val="6DD54004"/>
    <w:rsid w:val="6DE76850"/>
    <w:rsid w:val="6DF777CB"/>
    <w:rsid w:val="6E0029BC"/>
    <w:rsid w:val="6E485BC3"/>
    <w:rsid w:val="6E9A1018"/>
    <w:rsid w:val="6F046E40"/>
    <w:rsid w:val="6F751AEC"/>
    <w:rsid w:val="6FB20BD4"/>
    <w:rsid w:val="6FBA59BE"/>
    <w:rsid w:val="6FC01C7D"/>
    <w:rsid w:val="700D0D7D"/>
    <w:rsid w:val="70296B3E"/>
    <w:rsid w:val="70611204"/>
    <w:rsid w:val="709541F4"/>
    <w:rsid w:val="70AE6124"/>
    <w:rsid w:val="710F1CFB"/>
    <w:rsid w:val="7148570A"/>
    <w:rsid w:val="7234593E"/>
    <w:rsid w:val="7282487D"/>
    <w:rsid w:val="72EF4CB6"/>
    <w:rsid w:val="730668BB"/>
    <w:rsid w:val="730763DF"/>
    <w:rsid w:val="73306456"/>
    <w:rsid w:val="735718B7"/>
    <w:rsid w:val="736E5255"/>
    <w:rsid w:val="73E86D31"/>
    <w:rsid w:val="74055B35"/>
    <w:rsid w:val="74490570"/>
    <w:rsid w:val="74B930C0"/>
    <w:rsid w:val="74FA2C30"/>
    <w:rsid w:val="750006C1"/>
    <w:rsid w:val="75120509"/>
    <w:rsid w:val="758F371A"/>
    <w:rsid w:val="75B34FEF"/>
    <w:rsid w:val="75CB690A"/>
    <w:rsid w:val="75D0390F"/>
    <w:rsid w:val="766D306D"/>
    <w:rsid w:val="7699016E"/>
    <w:rsid w:val="76BC49EB"/>
    <w:rsid w:val="77000DA2"/>
    <w:rsid w:val="770B16B4"/>
    <w:rsid w:val="773D0BA8"/>
    <w:rsid w:val="7778536A"/>
    <w:rsid w:val="779A3235"/>
    <w:rsid w:val="77A902F6"/>
    <w:rsid w:val="77F35CA4"/>
    <w:rsid w:val="781E69D1"/>
    <w:rsid w:val="78281DF2"/>
    <w:rsid w:val="78340059"/>
    <w:rsid w:val="78D27E5C"/>
    <w:rsid w:val="78EF4FEB"/>
    <w:rsid w:val="794B3FEA"/>
    <w:rsid w:val="796778E1"/>
    <w:rsid w:val="799F7C41"/>
    <w:rsid w:val="79F36E1F"/>
    <w:rsid w:val="7A5D0830"/>
    <w:rsid w:val="7AA939B2"/>
    <w:rsid w:val="7AAC0AB8"/>
    <w:rsid w:val="7ADD0453"/>
    <w:rsid w:val="7AF46346"/>
    <w:rsid w:val="7AFD1ADA"/>
    <w:rsid w:val="7B0F5EBF"/>
    <w:rsid w:val="7B130FB9"/>
    <w:rsid w:val="7B875081"/>
    <w:rsid w:val="7BDE0625"/>
    <w:rsid w:val="7BF64EDE"/>
    <w:rsid w:val="7C400C1E"/>
    <w:rsid w:val="7CA73A8F"/>
    <w:rsid w:val="7CB5218A"/>
    <w:rsid w:val="7D3A1897"/>
    <w:rsid w:val="7DA168CE"/>
    <w:rsid w:val="7DB87774"/>
    <w:rsid w:val="7DD11708"/>
    <w:rsid w:val="7E842CDD"/>
    <w:rsid w:val="7EB125FB"/>
    <w:rsid w:val="7EBC46EA"/>
    <w:rsid w:val="7EC167BD"/>
    <w:rsid w:val="7F2F0CF5"/>
    <w:rsid w:val="7FF82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99"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qFormat="1" w:uiPriority="8"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tabs>
        <w:tab w:val="left" w:pos="432"/>
        <w:tab w:val="left" w:pos="3981"/>
      </w:tabs>
      <w:snapToGrid w:val="0"/>
      <w:jc w:val="left"/>
      <w:outlineLvl w:val="2"/>
    </w:pPr>
    <w:rPr>
      <w:rFonts w:ascii="微软雅黑" w:hAnsi="微软雅黑" w:eastAsia="微软雅黑" w:cs="宋体"/>
      <w:b/>
      <w:bCs/>
      <w:sz w:val="24"/>
      <w:szCs w:val="32"/>
    </w:rPr>
  </w:style>
  <w:style w:type="paragraph" w:styleId="5">
    <w:name w:val="heading 4"/>
    <w:basedOn w:val="1"/>
    <w:next w:val="1"/>
    <w:link w:val="65"/>
    <w:semiHidden/>
    <w:unhideWhenUsed/>
    <w:qFormat/>
    <w:uiPriority w:val="9"/>
    <w:pPr>
      <w:keepNext/>
      <w:keepLines/>
      <w:spacing w:before="280" w:after="290" w:line="374" w:lineRule="auto"/>
      <w:outlineLvl w:val="3"/>
    </w:pPr>
    <w:rPr>
      <w:rFonts w:ascii="Arial" w:hAnsi="Arial" w:eastAsia="黑体"/>
      <w:b/>
      <w:bCs/>
      <w:sz w:val="28"/>
      <w:szCs w:val="28"/>
    </w:rPr>
  </w:style>
  <w:style w:type="paragraph" w:styleId="6">
    <w:name w:val="heading 5"/>
    <w:basedOn w:val="1"/>
    <w:next w:val="7"/>
    <w:link w:val="35"/>
    <w:qFormat/>
    <w:uiPriority w:val="9"/>
    <w:pPr>
      <w:keepNext/>
      <w:keepLines/>
      <w:spacing w:before="280" w:after="290" w:line="376" w:lineRule="auto"/>
      <w:outlineLvl w:val="4"/>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99"/>
    <w:pPr>
      <w:ind w:firstLine="420"/>
    </w:pPr>
    <w:rPr>
      <w:szCs w:val="20"/>
    </w:rPr>
  </w:style>
  <w:style w:type="paragraph" w:styleId="8">
    <w:name w:val="List Number"/>
    <w:basedOn w:val="1"/>
    <w:qFormat/>
    <w:uiPriority w:val="99"/>
    <w:pPr>
      <w:widowControl/>
      <w:tabs>
        <w:tab w:val="left" w:pos="454"/>
        <w:tab w:val="left" w:pos="720"/>
        <w:tab w:val="left" w:pos="840"/>
      </w:tabs>
      <w:spacing w:afterLines="50"/>
      <w:ind w:left="454" w:hanging="284"/>
      <w:jc w:val="left"/>
    </w:pPr>
    <w:rPr>
      <w:kern w:val="0"/>
      <w:sz w:val="24"/>
      <w:szCs w:val="20"/>
    </w:rPr>
  </w:style>
  <w:style w:type="paragraph" w:styleId="9">
    <w:name w:val="annotation text"/>
    <w:basedOn w:val="1"/>
    <w:link w:val="36"/>
    <w:qFormat/>
    <w:uiPriority w:val="99"/>
    <w:pPr>
      <w:jc w:val="left"/>
    </w:pPr>
  </w:style>
  <w:style w:type="paragraph" w:styleId="10">
    <w:name w:val="Body Text 3"/>
    <w:basedOn w:val="1"/>
    <w:link w:val="37"/>
    <w:unhideWhenUsed/>
    <w:qFormat/>
    <w:uiPriority w:val="99"/>
    <w:pPr>
      <w:spacing w:after="120"/>
    </w:pPr>
    <w:rPr>
      <w:sz w:val="16"/>
      <w:szCs w:val="16"/>
    </w:rPr>
  </w:style>
  <w:style w:type="paragraph" w:styleId="11">
    <w:name w:val="Body Text"/>
    <w:basedOn w:val="1"/>
    <w:link w:val="38"/>
    <w:unhideWhenUsed/>
    <w:qFormat/>
    <w:uiPriority w:val="99"/>
    <w:pPr>
      <w:spacing w:after="120"/>
    </w:pPr>
  </w:style>
  <w:style w:type="paragraph" w:styleId="12">
    <w:name w:val="Body Text Indent"/>
    <w:basedOn w:val="1"/>
    <w:link w:val="39"/>
    <w:qFormat/>
    <w:uiPriority w:val="99"/>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Plain Text"/>
    <w:basedOn w:val="1"/>
    <w:next w:val="1"/>
    <w:link w:val="40"/>
    <w:qFormat/>
    <w:uiPriority w:val="99"/>
    <w:pPr>
      <w:snapToGrid w:val="0"/>
      <w:ind w:firstLine="376"/>
      <w:jc w:val="left"/>
    </w:pPr>
    <w:rPr>
      <w:rFonts w:ascii="宋体" w:hAnsi="Courier New"/>
      <w:kern w:val="0"/>
      <w:sz w:val="52"/>
      <w:szCs w:val="52"/>
    </w:rPr>
  </w:style>
  <w:style w:type="paragraph" w:styleId="15">
    <w:name w:val="Date"/>
    <w:basedOn w:val="1"/>
    <w:next w:val="1"/>
    <w:link w:val="41"/>
    <w:unhideWhenUsed/>
    <w:qFormat/>
    <w:uiPriority w:val="99"/>
    <w:pPr>
      <w:ind w:left="100" w:leftChars="2500"/>
    </w:pPr>
  </w:style>
  <w:style w:type="paragraph" w:styleId="16">
    <w:name w:val="Balloon Text"/>
    <w:basedOn w:val="1"/>
    <w:link w:val="66"/>
    <w:semiHidden/>
    <w:qFormat/>
    <w:uiPriority w:val="99"/>
    <w:rPr>
      <w:sz w:val="18"/>
      <w:szCs w:val="18"/>
    </w:rPr>
  </w:style>
  <w:style w:type="paragraph" w:styleId="17">
    <w:name w:val="footer"/>
    <w:basedOn w:val="1"/>
    <w:link w:val="42"/>
    <w:unhideWhenUsed/>
    <w:qFormat/>
    <w:uiPriority w:val="99"/>
    <w:pPr>
      <w:tabs>
        <w:tab w:val="center" w:pos="4153"/>
        <w:tab w:val="right" w:pos="8306"/>
      </w:tabs>
      <w:snapToGrid w:val="0"/>
      <w:spacing w:line="400" w:lineRule="exact"/>
      <w:ind w:firstLine="43"/>
    </w:pPr>
    <w:rPr>
      <w:kern w:val="0"/>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unhideWhenUsed/>
    <w:qFormat/>
    <w:uiPriority w:val="39"/>
    <w:pPr>
      <w:tabs>
        <w:tab w:val="right" w:leader="dot" w:pos="8869"/>
      </w:tabs>
    </w:pPr>
  </w:style>
  <w:style w:type="paragraph" w:styleId="20">
    <w:name w:val="toc 2"/>
    <w:basedOn w:val="1"/>
    <w:next w:val="1"/>
    <w:unhideWhenUsed/>
    <w:qFormat/>
    <w:uiPriority w:val="39"/>
    <w:pPr>
      <w:tabs>
        <w:tab w:val="right" w:leader="dot" w:pos="8296"/>
      </w:tabs>
      <w:ind w:left="420" w:leftChars="200"/>
    </w:pPr>
  </w:style>
  <w:style w:type="paragraph" w:styleId="21">
    <w:name w:val="Body Text 2"/>
    <w:basedOn w:val="1"/>
    <w:unhideWhenUsed/>
    <w:qFormat/>
    <w:uiPriority w:val="8"/>
    <w:pPr>
      <w:jc w:val="center"/>
    </w:pPr>
    <w:rPr>
      <w:sz w:val="18"/>
    </w:rPr>
  </w:style>
  <w:style w:type="paragraph" w:styleId="22">
    <w:name w:val="Normal (Web)"/>
    <w:basedOn w:val="1"/>
    <w:unhideWhenUsed/>
    <w:qFormat/>
    <w:uiPriority w:val="99"/>
    <w:rPr>
      <w:rFonts w:ascii="Calibri" w:hAnsi="Calibri"/>
      <w:kern w:val="0"/>
      <w:sz w:val="24"/>
    </w:rPr>
  </w:style>
  <w:style w:type="paragraph" w:styleId="23">
    <w:name w:val="index 1"/>
    <w:basedOn w:val="1"/>
    <w:next w:val="1"/>
    <w:semiHidden/>
    <w:qFormat/>
    <w:uiPriority w:val="99"/>
    <w:pPr>
      <w:spacing w:line="400" w:lineRule="exact"/>
      <w:ind w:firstLine="420" w:firstLineChars="200"/>
    </w:pPr>
    <w:rPr>
      <w:rFonts w:ascii="宋体" w:hAnsi="Courier New"/>
      <w:b/>
      <w:szCs w:val="20"/>
    </w:rPr>
  </w:style>
  <w:style w:type="paragraph" w:styleId="24">
    <w:name w:val="annotation subject"/>
    <w:basedOn w:val="9"/>
    <w:next w:val="9"/>
    <w:link w:val="44"/>
    <w:qFormat/>
    <w:uiPriority w:val="99"/>
    <w:rPr>
      <w:b/>
      <w:bCs/>
    </w:rPr>
  </w:style>
  <w:style w:type="paragraph" w:styleId="25">
    <w:name w:val="Body Text First Indent"/>
    <w:basedOn w:val="11"/>
    <w:link w:val="76"/>
    <w:qFormat/>
    <w:uiPriority w:val="0"/>
    <w:pPr>
      <w:ind w:firstLine="420" w:firstLineChars="100"/>
    </w:pPr>
  </w:style>
  <w:style w:type="table" w:styleId="27">
    <w:name w:val="Table Grid"/>
    <w:basedOn w:val="2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9">
    <w:name w:val="Strong"/>
    <w:basedOn w:val="28"/>
    <w:qFormat/>
    <w:uiPriority w:val="22"/>
    <w:rPr>
      <w:b/>
    </w:rPr>
  </w:style>
  <w:style w:type="character" w:styleId="30">
    <w:name w:val="FollowedHyperlink"/>
    <w:basedOn w:val="28"/>
    <w:semiHidden/>
    <w:unhideWhenUsed/>
    <w:qFormat/>
    <w:uiPriority w:val="99"/>
    <w:rPr>
      <w:color w:val="800080" w:themeColor="followedHyperlink"/>
      <w:u w:val="single"/>
      <w14:textFill>
        <w14:solidFill>
          <w14:schemeClr w14:val="folHlink"/>
        </w14:solidFill>
      </w14:textFill>
    </w:rPr>
  </w:style>
  <w:style w:type="character" w:styleId="31">
    <w:name w:val="Hyperlink"/>
    <w:unhideWhenUsed/>
    <w:qFormat/>
    <w:uiPriority w:val="99"/>
    <w:rPr>
      <w:color w:val="0000FF"/>
      <w:u w:val="single"/>
    </w:rPr>
  </w:style>
  <w:style w:type="character" w:styleId="32">
    <w:name w:val="annotation reference"/>
    <w:qFormat/>
    <w:uiPriority w:val="99"/>
    <w:rPr>
      <w:sz w:val="21"/>
      <w:szCs w:val="21"/>
    </w:rPr>
  </w:style>
  <w:style w:type="character" w:customStyle="1" w:styleId="33">
    <w:name w:val="标题 1 字符1"/>
    <w:link w:val="2"/>
    <w:qFormat/>
    <w:uiPriority w:val="0"/>
    <w:rPr>
      <w:b/>
      <w:bCs/>
      <w:kern w:val="44"/>
      <w:sz w:val="44"/>
      <w:szCs w:val="44"/>
    </w:rPr>
  </w:style>
  <w:style w:type="character" w:customStyle="1" w:styleId="34">
    <w:name w:val="标题 2 字符"/>
    <w:link w:val="3"/>
    <w:qFormat/>
    <w:uiPriority w:val="9"/>
    <w:rPr>
      <w:rFonts w:ascii="Cambria" w:hAnsi="Cambria" w:eastAsia="宋体" w:cs="Times New Roman"/>
      <w:b/>
      <w:bCs/>
      <w:kern w:val="2"/>
      <w:sz w:val="32"/>
      <w:szCs w:val="32"/>
    </w:rPr>
  </w:style>
  <w:style w:type="character" w:customStyle="1" w:styleId="35">
    <w:name w:val="标题 5 字符"/>
    <w:link w:val="6"/>
    <w:semiHidden/>
    <w:qFormat/>
    <w:uiPriority w:val="9"/>
    <w:rPr>
      <w:rFonts w:ascii="Times New Roman" w:hAnsi="Times New Roman"/>
      <w:b/>
      <w:bCs/>
      <w:kern w:val="2"/>
      <w:sz w:val="28"/>
      <w:szCs w:val="28"/>
    </w:rPr>
  </w:style>
  <w:style w:type="character" w:customStyle="1" w:styleId="36">
    <w:name w:val="批注文字 字符"/>
    <w:link w:val="9"/>
    <w:qFormat/>
    <w:uiPriority w:val="99"/>
    <w:rPr>
      <w:rFonts w:ascii="Times New Roman" w:hAnsi="Times New Roman"/>
      <w:kern w:val="2"/>
      <w:sz w:val="21"/>
      <w:szCs w:val="24"/>
    </w:rPr>
  </w:style>
  <w:style w:type="character" w:customStyle="1" w:styleId="37">
    <w:name w:val="正文文本 3 字符"/>
    <w:link w:val="10"/>
    <w:semiHidden/>
    <w:qFormat/>
    <w:uiPriority w:val="99"/>
    <w:rPr>
      <w:rFonts w:ascii="Times New Roman" w:hAnsi="Times New Roman"/>
      <w:kern w:val="2"/>
      <w:sz w:val="16"/>
      <w:szCs w:val="16"/>
    </w:rPr>
  </w:style>
  <w:style w:type="character" w:customStyle="1" w:styleId="38">
    <w:name w:val="正文文本 字符"/>
    <w:link w:val="11"/>
    <w:qFormat/>
    <w:uiPriority w:val="99"/>
    <w:rPr>
      <w:rFonts w:ascii="Times New Roman" w:hAnsi="Times New Roman"/>
      <w:kern w:val="2"/>
      <w:sz w:val="21"/>
      <w:szCs w:val="24"/>
    </w:rPr>
  </w:style>
  <w:style w:type="character" w:customStyle="1" w:styleId="39">
    <w:name w:val="正文文本缩进 字符"/>
    <w:link w:val="12"/>
    <w:qFormat/>
    <w:uiPriority w:val="99"/>
    <w:rPr>
      <w:rFonts w:ascii="仿宋_GB2312" w:hAnsi="Times New Roman" w:eastAsia="仿宋_GB2312" w:cs="Times New Roman"/>
      <w:sz w:val="32"/>
      <w:szCs w:val="20"/>
    </w:rPr>
  </w:style>
  <w:style w:type="character" w:customStyle="1" w:styleId="40">
    <w:name w:val="纯文本 字符"/>
    <w:link w:val="14"/>
    <w:qFormat/>
    <w:uiPriority w:val="99"/>
    <w:rPr>
      <w:rFonts w:ascii="宋体" w:hAnsi="Courier New"/>
      <w:sz w:val="52"/>
      <w:szCs w:val="52"/>
    </w:rPr>
  </w:style>
  <w:style w:type="character" w:customStyle="1" w:styleId="41">
    <w:name w:val="日期 字符"/>
    <w:link w:val="15"/>
    <w:semiHidden/>
    <w:qFormat/>
    <w:uiPriority w:val="99"/>
    <w:rPr>
      <w:rFonts w:ascii="Times New Roman" w:hAnsi="Times New Roman"/>
      <w:kern w:val="2"/>
      <w:sz w:val="21"/>
      <w:szCs w:val="24"/>
    </w:rPr>
  </w:style>
  <w:style w:type="character" w:customStyle="1" w:styleId="42">
    <w:name w:val="页脚 字符"/>
    <w:link w:val="17"/>
    <w:qFormat/>
    <w:uiPriority w:val="99"/>
    <w:rPr>
      <w:sz w:val="18"/>
      <w:szCs w:val="18"/>
    </w:rPr>
  </w:style>
  <w:style w:type="character" w:customStyle="1" w:styleId="43">
    <w:name w:val="页眉 字符"/>
    <w:link w:val="18"/>
    <w:qFormat/>
    <w:uiPriority w:val="99"/>
    <w:rPr>
      <w:sz w:val="18"/>
      <w:szCs w:val="18"/>
    </w:rPr>
  </w:style>
  <w:style w:type="character" w:customStyle="1" w:styleId="44">
    <w:name w:val="批注主题 字符"/>
    <w:link w:val="24"/>
    <w:qFormat/>
    <w:uiPriority w:val="99"/>
    <w:rPr>
      <w:rFonts w:ascii="Times New Roman" w:hAnsi="Times New Roman"/>
      <w:b/>
      <w:bCs/>
      <w:kern w:val="2"/>
      <w:sz w:val="21"/>
      <w:szCs w:val="24"/>
    </w:rPr>
  </w:style>
  <w:style w:type="character" w:customStyle="1" w:styleId="45">
    <w:name w:val="正文文本缩进 字符1"/>
    <w:qFormat/>
    <w:uiPriority w:val="0"/>
    <w:rPr>
      <w:rFonts w:ascii="仿宋_GB2312" w:hAnsi="Times New Roman" w:eastAsia="仿宋_GB2312" w:cs="Times New Roman"/>
      <w:sz w:val="32"/>
      <w:szCs w:val="20"/>
    </w:rPr>
  </w:style>
  <w:style w:type="character" w:customStyle="1" w:styleId="46">
    <w:name w:val="apple-style-span"/>
    <w:qFormat/>
    <w:uiPriority w:val="0"/>
  </w:style>
  <w:style w:type="character" w:customStyle="1" w:styleId="47">
    <w:name w:val="标题 1 字符"/>
    <w:qFormat/>
    <w:uiPriority w:val="9"/>
    <w:rPr>
      <w:b/>
      <w:bCs/>
      <w:kern w:val="44"/>
      <w:sz w:val="44"/>
      <w:szCs w:val="44"/>
    </w:rPr>
  </w:style>
  <w:style w:type="character" w:customStyle="1" w:styleId="48">
    <w:name w:val="textcontents"/>
    <w:qFormat/>
    <w:uiPriority w:val="0"/>
  </w:style>
  <w:style w:type="character" w:customStyle="1" w:styleId="49">
    <w:name w:val="纯文本 字符1"/>
    <w:qFormat/>
    <w:uiPriority w:val="0"/>
    <w:rPr>
      <w:rFonts w:ascii="宋体" w:hAnsi="Courier New"/>
    </w:rPr>
  </w:style>
  <w:style w:type="character" w:customStyle="1" w:styleId="50">
    <w:name w:val="批注文字 字符1"/>
    <w:qFormat/>
    <w:uiPriority w:val="0"/>
    <w:rPr>
      <w:kern w:val="2"/>
      <w:sz w:val="21"/>
      <w:szCs w:val="24"/>
    </w:rPr>
  </w:style>
  <w:style w:type="character" w:customStyle="1" w:styleId="51">
    <w:name w:val="纯文本 字符2"/>
    <w:qFormat/>
    <w:uiPriority w:val="0"/>
    <w:rPr>
      <w:rFonts w:ascii="宋体" w:hAnsi="Courier New" w:eastAsia="宋体" w:cs="Courier New"/>
      <w:szCs w:val="21"/>
    </w:rPr>
  </w:style>
  <w:style w:type="character" w:customStyle="1" w:styleId="52">
    <w:name w:val="页脚 Char"/>
    <w:qFormat/>
    <w:uiPriority w:val="99"/>
    <w:rPr>
      <w:lang w:eastAsia="zh-CN"/>
    </w:rPr>
  </w:style>
  <w:style w:type="paragraph" w:customStyle="1" w:styleId="53">
    <w:name w:val="默认段落字体 Para Char Char Char Char Char Char Char Char Char1 Char Char Char Char"/>
    <w:basedOn w:val="1"/>
    <w:qFormat/>
    <w:uiPriority w:val="99"/>
    <w:rPr>
      <w:rFonts w:ascii="Tahoma" w:hAnsi="Tahoma"/>
      <w:sz w:val="24"/>
      <w:szCs w:val="20"/>
    </w:rPr>
  </w:style>
  <w:style w:type="paragraph" w:customStyle="1" w:styleId="54">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55">
    <w:name w:val="List Paragraph"/>
    <w:basedOn w:val="1"/>
    <w:qFormat/>
    <w:uiPriority w:val="34"/>
    <w:pPr>
      <w:ind w:firstLine="420" w:firstLineChars="200"/>
    </w:pPr>
  </w:style>
  <w:style w:type="paragraph" w:customStyle="1" w:styleId="56">
    <w:name w:val="Table Paragraph"/>
    <w:basedOn w:val="1"/>
    <w:qFormat/>
    <w:uiPriority w:val="1"/>
    <w:pPr>
      <w:jc w:val="left"/>
    </w:pPr>
    <w:rPr>
      <w:rFonts w:ascii="Calibri" w:hAnsi="Calibri"/>
      <w:kern w:val="0"/>
      <w:sz w:val="22"/>
      <w:szCs w:val="22"/>
      <w:lang w:eastAsia="en-US"/>
    </w:rPr>
  </w:style>
  <w:style w:type="character" w:customStyle="1" w:styleId="57">
    <w:name w:val="批注文字 Char1"/>
    <w:qFormat/>
    <w:uiPriority w:val="0"/>
    <w:rPr>
      <w:rFonts w:ascii="Times New Roman" w:hAnsi="Times New Roman"/>
      <w:kern w:val="2"/>
      <w:sz w:val="21"/>
      <w:szCs w:val="24"/>
    </w:rPr>
  </w:style>
  <w:style w:type="character" w:customStyle="1" w:styleId="58">
    <w:name w:val="批注文字 字符2"/>
    <w:qFormat/>
    <w:uiPriority w:val="0"/>
    <w:rPr>
      <w:rFonts w:ascii="Times New Roman" w:hAnsi="Times New Roman"/>
      <w:kern w:val="2"/>
      <w:sz w:val="21"/>
      <w:szCs w:val="24"/>
    </w:rPr>
  </w:style>
  <w:style w:type="character" w:customStyle="1" w:styleId="59">
    <w:name w:val="正文文本 (26) + 间距 0 pt"/>
    <w:qFormat/>
    <w:uiPriority w:val="0"/>
    <w:rPr>
      <w:rFonts w:hint="eastAsia" w:ascii="宋体" w:hAnsi="宋体" w:eastAsia="宋体" w:cs="宋体"/>
      <w:color w:val="000000"/>
      <w:spacing w:val="0"/>
      <w:w w:val="100"/>
      <w:position w:val="0"/>
      <w:sz w:val="22"/>
      <w:szCs w:val="22"/>
      <w:u w:val="none"/>
      <w:lang w:val="zh-CN" w:eastAsia="zh-CN" w:bidi="zh-CN"/>
    </w:rPr>
  </w:style>
  <w:style w:type="character" w:customStyle="1" w:styleId="60">
    <w:name w:val="纯文本 Char1"/>
    <w:qFormat/>
    <w:uiPriority w:val="0"/>
    <w:rPr>
      <w:rFonts w:ascii="宋体" w:hAnsi="Courier New" w:eastAsia="宋体" w:cs="Courier New"/>
      <w:szCs w:val="21"/>
    </w:rPr>
  </w:style>
  <w:style w:type="character" w:customStyle="1" w:styleId="61">
    <w:name w:val="批注文字 Char2"/>
    <w:qFormat/>
    <w:uiPriority w:val="0"/>
    <w:rPr>
      <w:rFonts w:ascii="Times New Roman" w:hAnsi="Times New Roman"/>
      <w:kern w:val="2"/>
      <w:sz w:val="21"/>
      <w:szCs w:val="24"/>
    </w:rPr>
  </w:style>
  <w:style w:type="character" w:customStyle="1" w:styleId="62">
    <w:name w:val="正文2 Char Char"/>
    <w:link w:val="63"/>
    <w:qFormat/>
    <w:uiPriority w:val="0"/>
    <w:rPr>
      <w:kern w:val="2"/>
      <w:sz w:val="24"/>
    </w:rPr>
  </w:style>
  <w:style w:type="paragraph" w:customStyle="1" w:styleId="63">
    <w:name w:val="正文2"/>
    <w:basedOn w:val="1"/>
    <w:link w:val="62"/>
    <w:qFormat/>
    <w:uiPriority w:val="0"/>
    <w:pPr>
      <w:adjustRightInd w:val="0"/>
      <w:spacing w:before="156" w:line="360" w:lineRule="auto"/>
      <w:ind w:firstLine="510" w:firstLineChars="200"/>
    </w:pPr>
    <w:rPr>
      <w:sz w:val="24"/>
      <w:szCs w:val="20"/>
    </w:rPr>
  </w:style>
  <w:style w:type="paragraph" w:customStyle="1" w:styleId="6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5">
    <w:name w:val="标题 4 字符"/>
    <w:basedOn w:val="28"/>
    <w:link w:val="5"/>
    <w:semiHidden/>
    <w:qFormat/>
    <w:uiPriority w:val="9"/>
    <w:rPr>
      <w:rFonts w:ascii="Arial" w:hAnsi="Arial" w:eastAsia="黑体"/>
      <w:b/>
      <w:bCs/>
      <w:kern w:val="2"/>
      <w:sz w:val="28"/>
      <w:szCs w:val="28"/>
    </w:rPr>
  </w:style>
  <w:style w:type="character" w:customStyle="1" w:styleId="66">
    <w:name w:val="批注框文本 字符"/>
    <w:basedOn w:val="28"/>
    <w:link w:val="16"/>
    <w:semiHidden/>
    <w:qFormat/>
    <w:uiPriority w:val="99"/>
    <w:rPr>
      <w:kern w:val="2"/>
      <w:sz w:val="18"/>
      <w:szCs w:val="18"/>
    </w:rPr>
  </w:style>
  <w:style w:type="paragraph" w:styleId="67">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8">
    <w:name w:val="表格文字115"/>
    <w:basedOn w:val="1"/>
    <w:qFormat/>
    <w:uiPriority w:val="99"/>
    <w:pPr>
      <w:spacing w:before="25" w:after="25" w:line="360" w:lineRule="auto"/>
      <w:jc w:val="center"/>
    </w:pPr>
    <w:rPr>
      <w:bCs/>
      <w:spacing w:val="10"/>
      <w:kern w:val="0"/>
      <w:sz w:val="24"/>
    </w:rPr>
  </w:style>
  <w:style w:type="paragraph" w:customStyle="1" w:styleId="69">
    <w:name w:val="Body Text Indent1"/>
    <w:basedOn w:val="1"/>
    <w:qFormat/>
    <w:uiPriority w:val="99"/>
    <w:pPr>
      <w:spacing w:after="120"/>
      <w:ind w:left="420" w:leftChars="200"/>
    </w:pPr>
  </w:style>
  <w:style w:type="character" w:customStyle="1" w:styleId="70">
    <w:name w:val="font51"/>
    <w:basedOn w:val="28"/>
    <w:qFormat/>
    <w:uiPriority w:val="0"/>
    <w:rPr>
      <w:rFonts w:hint="eastAsia" w:ascii="宋体" w:hAnsi="宋体" w:eastAsia="宋体" w:cs="宋体"/>
      <w:color w:val="000000"/>
      <w:sz w:val="20"/>
      <w:szCs w:val="20"/>
      <w:u w:val="none"/>
    </w:rPr>
  </w:style>
  <w:style w:type="character" w:customStyle="1" w:styleId="71">
    <w:name w:val="font21"/>
    <w:basedOn w:val="28"/>
    <w:qFormat/>
    <w:uiPriority w:val="0"/>
    <w:rPr>
      <w:rFonts w:hint="eastAsia" w:ascii="宋体" w:hAnsi="宋体" w:eastAsia="宋体" w:cs="宋体"/>
      <w:color w:val="000000"/>
      <w:sz w:val="20"/>
      <w:szCs w:val="20"/>
      <w:u w:val="none"/>
    </w:rPr>
  </w:style>
  <w:style w:type="character" w:customStyle="1" w:styleId="72">
    <w:name w:val="font41"/>
    <w:basedOn w:val="28"/>
    <w:qFormat/>
    <w:uiPriority w:val="0"/>
    <w:rPr>
      <w:rFonts w:hint="default" w:ascii="Arial" w:hAnsi="Arial" w:cs="Arial"/>
      <w:color w:val="000000"/>
      <w:sz w:val="20"/>
      <w:szCs w:val="20"/>
      <w:u w:val="none"/>
    </w:rPr>
  </w:style>
  <w:style w:type="paragraph" w:customStyle="1" w:styleId="73">
    <w:name w:val="正文首行缩进 21"/>
    <w:basedOn w:val="69"/>
    <w:qFormat/>
    <w:uiPriority w:val="99"/>
    <w:pPr>
      <w:ind w:firstLine="420" w:firstLineChars="200"/>
    </w:pPr>
    <w:rPr>
      <w:rFonts w:ascii="Calibri" w:hAnsi="Calibri"/>
      <w:szCs w:val="22"/>
    </w:rPr>
  </w:style>
  <w:style w:type="character" w:customStyle="1" w:styleId="74">
    <w:name w:val="font01"/>
    <w:basedOn w:val="28"/>
    <w:qFormat/>
    <w:uiPriority w:val="0"/>
    <w:rPr>
      <w:rFonts w:hint="eastAsia" w:ascii="宋体" w:hAnsi="宋体" w:eastAsia="宋体" w:cs="宋体"/>
      <w:color w:val="000000"/>
      <w:sz w:val="22"/>
      <w:szCs w:val="22"/>
      <w:u w:val="none"/>
    </w:rPr>
  </w:style>
  <w:style w:type="character" w:customStyle="1" w:styleId="75">
    <w:name w:val="font11"/>
    <w:basedOn w:val="28"/>
    <w:qFormat/>
    <w:uiPriority w:val="0"/>
    <w:rPr>
      <w:rFonts w:hint="eastAsia" w:ascii="宋体" w:hAnsi="宋体" w:eastAsia="宋体" w:cs="宋体"/>
      <w:color w:val="FF0000"/>
      <w:sz w:val="22"/>
      <w:szCs w:val="22"/>
      <w:u w:val="none"/>
    </w:rPr>
  </w:style>
  <w:style w:type="character" w:customStyle="1" w:styleId="76">
    <w:name w:val="正文文本首行缩进 字符"/>
    <w:basedOn w:val="38"/>
    <w:link w:val="25"/>
    <w:qFormat/>
    <w:uiPriority w:val="0"/>
    <w:rPr>
      <w:rFonts w:ascii="Times New Roman" w:hAnsi="Times New Roman"/>
      <w:kern w:val="2"/>
      <w:sz w:val="21"/>
      <w:szCs w:val="24"/>
    </w:rPr>
  </w:style>
  <w:style w:type="paragraph" w:customStyle="1" w:styleId="77">
    <w:name w:val="无间隔1"/>
    <w:autoRedefine/>
    <w:qFormat/>
    <w:uiPriority w:val="99"/>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z\Desktop\&#12304;2022.2.21&#23457;&#26680;1&#12305;&#21439;&#32423;&#24555;&#36895;&#26816;&#27979;&#21345;&#37319;&#3614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1599D2-AC24-474F-8251-B88F01C6954F}">
  <ds:schemaRefs/>
</ds:datastoreItem>
</file>

<file path=docProps/app.xml><?xml version="1.0" encoding="utf-8"?>
<Properties xmlns="http://schemas.openxmlformats.org/officeDocument/2006/extended-properties" xmlns:vt="http://schemas.openxmlformats.org/officeDocument/2006/docPropsVTypes">
  <Template>【2022.2.21审核1】县级快速检测卡采购.dotx</Template>
  <Company>广西云龙招标有限公司</Company>
  <Pages>85</Pages>
  <Words>48275</Words>
  <Characters>51617</Characters>
  <Lines>413</Lines>
  <Paragraphs>116</Paragraphs>
  <TotalTime>9</TotalTime>
  <ScaleCrop>false</ScaleCrop>
  <LinksUpToDate>false</LinksUpToDate>
  <CharactersWithSpaces>55652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2025-12-24T01:02:00Z</dcterms:created>
  <dc:creator>周振新</dc:creator>
  <cp:lastModifiedBy>Tss</cp:lastModifiedBy>
  <cp:lastPrinted>2024-09-23T09:17:00Z</cp:lastPrinted>
  <dcterms:modified xsi:type="dcterms:W3CDTF">2025-12-24T10:29:56Z</dcterms:modified>
  <dc:title>竞争性谈判文件规范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2E64079D66BD4E94A8ED98142A7E3A37_13</vt:lpwstr>
  </property>
  <property fmtid="{D5CDD505-2E9C-101B-9397-08002B2CF9AE}" pid="4" name="KSOTemplateDocerSaveRecord">
    <vt:lpwstr>eyJoZGlkIjoiZjM1ZDk5YzUzMDQwZDY3NmU4YjQ1N2NjYTA0MThlNzgifQ==</vt:lpwstr>
  </property>
</Properties>
</file>