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69931">
      <w:pPr>
        <w:spacing w:line="360" w:lineRule="auto"/>
        <w:jc w:val="center"/>
        <w:rPr>
          <w:rFonts w:hint="eastAsia" w:asciiTheme="minorEastAsia" w:hAnsiTheme="minorEastAsia" w:eastAsiaTheme="minorEastAsia" w:cstheme="minorEastAsia"/>
          <w:b/>
          <w:strike w:val="0"/>
          <w:dstrike w:val="0"/>
          <w:color w:val="auto"/>
          <w:kern w:val="0"/>
          <w:sz w:val="44"/>
          <w:szCs w:val="44"/>
          <w:highlight w:val="none"/>
        </w:rPr>
      </w:pPr>
      <w:permStart w:id="0" w:edGrp="everyone"/>
      <w:bookmarkStart w:id="319" w:name="_GoBack"/>
      <w:bookmarkEnd w:id="319"/>
      <w:r>
        <w:rPr>
          <w:rFonts w:hint="eastAsia" w:ascii="方正小标宋_GBK" w:hAnsi="方正小标宋_GBK" w:eastAsia="方正小标宋_GBK" w:cs="方正小标宋_GBK"/>
          <w:strike w:val="0"/>
          <w:dstrike w:val="0"/>
          <w:color w:val="auto"/>
          <w:sz w:val="36"/>
          <w:szCs w:val="36"/>
          <w:highlight w:val="none"/>
        </w:rPr>
        <w:drawing>
          <wp:anchor distT="0" distB="0" distL="114300" distR="114300" simplePos="0" relativeHeight="251659264" behindDoc="0" locked="0" layoutInCell="1" allowOverlap="1">
            <wp:simplePos x="0" y="0"/>
            <wp:positionH relativeFrom="column">
              <wp:posOffset>-1213485</wp:posOffset>
            </wp:positionH>
            <wp:positionV relativeFrom="paragraph">
              <wp:posOffset>-931545</wp:posOffset>
            </wp:positionV>
            <wp:extent cx="7565390" cy="10699115"/>
            <wp:effectExtent l="0" t="0" r="16510" b="6985"/>
            <wp:wrapNone/>
            <wp:docPr id="5" name="图片 5" descr="20260213091236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0260213091236_00001"/>
                    <pic:cNvPicPr>
                      <a:picLocks noChangeAspect="1"/>
                    </pic:cNvPicPr>
                  </pic:nvPicPr>
                  <pic:blipFill>
                    <a:blip r:embed="rId20"/>
                    <a:stretch>
                      <a:fillRect/>
                    </a:stretch>
                  </pic:blipFill>
                  <pic:spPr>
                    <a:xfrm>
                      <a:off x="0" y="0"/>
                      <a:ext cx="7565390" cy="10699115"/>
                    </a:xfrm>
                    <a:prstGeom prst="rect">
                      <a:avLst/>
                    </a:prstGeom>
                  </pic:spPr>
                </pic:pic>
              </a:graphicData>
            </a:graphic>
          </wp:anchor>
        </w:drawing>
      </w:r>
      <w:permEnd w:id="0"/>
    </w:p>
    <w:p w14:paraId="219939DE">
      <w:pPr>
        <w:spacing w:line="360" w:lineRule="auto"/>
        <w:jc w:val="center"/>
        <w:rPr>
          <w:rFonts w:hint="eastAsia" w:asciiTheme="minorEastAsia" w:hAnsiTheme="minorEastAsia" w:eastAsiaTheme="minorEastAsia" w:cstheme="minorEastAsia"/>
          <w:strike w:val="0"/>
          <w:dstrike w:val="0"/>
          <w:color w:val="auto"/>
          <w:sz w:val="36"/>
          <w:szCs w:val="36"/>
          <w:highlight w:val="none"/>
        </w:rPr>
      </w:pPr>
      <w:r>
        <w:rPr>
          <w:rFonts w:hint="eastAsia" w:ascii="方正小标宋_GBK" w:hAnsi="方正小标宋_GBK" w:eastAsia="方正小标宋_GBK" w:cs="方正小标宋_GBK"/>
          <w:strike w:val="0"/>
          <w:dstrike w:val="0"/>
          <w:color w:val="auto"/>
          <w:sz w:val="36"/>
          <w:szCs w:val="36"/>
          <w:highlight w:val="none"/>
        </w:rPr>
        <w:t>广西壮族自治区政府采购</w:t>
      </w:r>
    </w:p>
    <w:p w14:paraId="5F6A2513">
      <w:pPr>
        <w:spacing w:line="720" w:lineRule="auto"/>
        <w:rPr>
          <w:rFonts w:hint="eastAsia" w:asciiTheme="minorEastAsia" w:hAnsiTheme="minorEastAsia" w:eastAsiaTheme="minorEastAsia" w:cstheme="minorEastAsia"/>
          <w:strike w:val="0"/>
          <w:dstrike w:val="0"/>
          <w:color w:val="auto"/>
          <w:highlight w:val="none"/>
          <w:lang w:eastAsia="zh-CN"/>
        </w:rPr>
      </w:pPr>
    </w:p>
    <w:p w14:paraId="2507C9D0">
      <w:pPr>
        <w:widowControl/>
        <w:spacing w:before="120" w:line="360" w:lineRule="auto"/>
        <w:jc w:val="center"/>
        <w:rPr>
          <w:rFonts w:hint="eastAsia" w:ascii="方正小标宋_GBK" w:hAnsi="方正小标宋_GBK" w:eastAsia="方正小标宋_GBK" w:cs="方正小标宋_GBK"/>
          <w:b/>
          <w:strike w:val="0"/>
          <w:dstrike w:val="0"/>
          <w:color w:val="auto"/>
          <w:spacing w:val="20"/>
          <w:kern w:val="0"/>
          <w:sz w:val="44"/>
          <w:szCs w:val="44"/>
          <w:highlight w:val="none"/>
        </w:rPr>
      </w:pPr>
      <w:r>
        <w:rPr>
          <w:rFonts w:hint="eastAsia" w:ascii="方正小标宋_GBK" w:hAnsi="方正小标宋_GBK" w:eastAsia="方正小标宋_GBK" w:cs="方正小标宋_GBK"/>
          <w:b/>
          <w:strike w:val="0"/>
          <w:dstrike w:val="0"/>
          <w:color w:val="auto"/>
          <w:spacing w:val="20"/>
          <w:kern w:val="0"/>
          <w:sz w:val="44"/>
          <w:szCs w:val="44"/>
          <w:highlight w:val="none"/>
        </w:rPr>
        <w:t>公</w:t>
      </w:r>
      <w:r>
        <w:rPr>
          <w:rFonts w:hint="eastAsia" w:ascii="方正小标宋_GBK" w:hAnsi="方正小标宋_GBK" w:eastAsia="方正小标宋_GBK" w:cs="方正小标宋_GBK"/>
          <w:b/>
          <w:strike w:val="0"/>
          <w:dstrike w:val="0"/>
          <w:color w:val="auto"/>
          <w:spacing w:val="20"/>
          <w:kern w:val="0"/>
          <w:sz w:val="44"/>
          <w:szCs w:val="44"/>
          <w:highlight w:val="none"/>
          <w:lang w:val="en-US" w:eastAsia="zh-CN"/>
        </w:rPr>
        <w:t xml:space="preserve"> </w:t>
      </w:r>
      <w:r>
        <w:rPr>
          <w:rFonts w:hint="eastAsia" w:ascii="方正小标宋_GBK" w:hAnsi="方正小标宋_GBK" w:eastAsia="方正小标宋_GBK" w:cs="方正小标宋_GBK"/>
          <w:b/>
          <w:strike w:val="0"/>
          <w:dstrike w:val="0"/>
          <w:color w:val="auto"/>
          <w:spacing w:val="20"/>
          <w:kern w:val="0"/>
          <w:sz w:val="44"/>
          <w:szCs w:val="44"/>
          <w:highlight w:val="none"/>
        </w:rPr>
        <w:t>开</w:t>
      </w:r>
      <w:r>
        <w:rPr>
          <w:rFonts w:hint="eastAsia" w:ascii="方正小标宋_GBK" w:hAnsi="方正小标宋_GBK" w:eastAsia="方正小标宋_GBK" w:cs="方正小标宋_GBK"/>
          <w:b/>
          <w:strike w:val="0"/>
          <w:dstrike w:val="0"/>
          <w:color w:val="auto"/>
          <w:spacing w:val="20"/>
          <w:kern w:val="0"/>
          <w:sz w:val="44"/>
          <w:szCs w:val="44"/>
          <w:highlight w:val="none"/>
          <w:lang w:val="en-US" w:eastAsia="zh-CN"/>
        </w:rPr>
        <w:t xml:space="preserve"> </w:t>
      </w:r>
      <w:r>
        <w:rPr>
          <w:rFonts w:hint="eastAsia" w:ascii="方正小标宋_GBK" w:hAnsi="方正小标宋_GBK" w:eastAsia="方正小标宋_GBK" w:cs="方正小标宋_GBK"/>
          <w:b/>
          <w:strike w:val="0"/>
          <w:dstrike w:val="0"/>
          <w:color w:val="auto"/>
          <w:spacing w:val="20"/>
          <w:kern w:val="0"/>
          <w:sz w:val="44"/>
          <w:szCs w:val="44"/>
          <w:highlight w:val="none"/>
        </w:rPr>
        <w:t>招</w:t>
      </w:r>
      <w:r>
        <w:rPr>
          <w:rFonts w:hint="eastAsia" w:ascii="方正小标宋_GBK" w:hAnsi="方正小标宋_GBK" w:eastAsia="方正小标宋_GBK" w:cs="方正小标宋_GBK"/>
          <w:b/>
          <w:strike w:val="0"/>
          <w:dstrike w:val="0"/>
          <w:color w:val="auto"/>
          <w:spacing w:val="20"/>
          <w:kern w:val="0"/>
          <w:sz w:val="44"/>
          <w:szCs w:val="44"/>
          <w:highlight w:val="none"/>
          <w:lang w:val="en-US" w:eastAsia="zh-CN"/>
        </w:rPr>
        <w:t xml:space="preserve"> </w:t>
      </w:r>
      <w:r>
        <w:rPr>
          <w:rFonts w:hint="eastAsia" w:ascii="方正小标宋_GBK" w:hAnsi="方正小标宋_GBK" w:eastAsia="方正小标宋_GBK" w:cs="方正小标宋_GBK"/>
          <w:b/>
          <w:strike w:val="0"/>
          <w:dstrike w:val="0"/>
          <w:color w:val="auto"/>
          <w:spacing w:val="20"/>
          <w:kern w:val="0"/>
          <w:sz w:val="44"/>
          <w:szCs w:val="44"/>
          <w:highlight w:val="none"/>
        </w:rPr>
        <w:t>标</w:t>
      </w:r>
      <w:r>
        <w:rPr>
          <w:rFonts w:hint="eastAsia" w:ascii="方正小标宋_GBK" w:hAnsi="方正小标宋_GBK" w:eastAsia="方正小标宋_GBK" w:cs="方正小标宋_GBK"/>
          <w:b/>
          <w:strike w:val="0"/>
          <w:dstrike w:val="0"/>
          <w:color w:val="auto"/>
          <w:spacing w:val="20"/>
          <w:kern w:val="0"/>
          <w:sz w:val="44"/>
          <w:szCs w:val="44"/>
          <w:highlight w:val="none"/>
          <w:lang w:val="en-US" w:eastAsia="zh-CN"/>
        </w:rPr>
        <w:t xml:space="preserve"> </w:t>
      </w:r>
      <w:r>
        <w:rPr>
          <w:rFonts w:hint="eastAsia" w:ascii="方正小标宋_GBK" w:hAnsi="方正小标宋_GBK" w:eastAsia="方正小标宋_GBK" w:cs="方正小标宋_GBK"/>
          <w:b/>
          <w:strike w:val="0"/>
          <w:dstrike w:val="0"/>
          <w:color w:val="auto"/>
          <w:spacing w:val="20"/>
          <w:kern w:val="0"/>
          <w:sz w:val="44"/>
          <w:szCs w:val="44"/>
          <w:highlight w:val="none"/>
        </w:rPr>
        <w:t>文</w:t>
      </w:r>
      <w:r>
        <w:rPr>
          <w:rFonts w:hint="eastAsia" w:ascii="方正小标宋_GBK" w:hAnsi="方正小标宋_GBK" w:eastAsia="方正小标宋_GBK" w:cs="方正小标宋_GBK"/>
          <w:b/>
          <w:strike w:val="0"/>
          <w:dstrike w:val="0"/>
          <w:color w:val="auto"/>
          <w:spacing w:val="20"/>
          <w:kern w:val="0"/>
          <w:sz w:val="44"/>
          <w:szCs w:val="44"/>
          <w:highlight w:val="none"/>
          <w:lang w:val="en-US" w:eastAsia="zh-CN"/>
        </w:rPr>
        <w:t xml:space="preserve"> </w:t>
      </w:r>
      <w:r>
        <w:rPr>
          <w:rFonts w:hint="eastAsia" w:ascii="方正小标宋_GBK" w:hAnsi="方正小标宋_GBK" w:eastAsia="方正小标宋_GBK" w:cs="方正小标宋_GBK"/>
          <w:b/>
          <w:strike w:val="0"/>
          <w:dstrike w:val="0"/>
          <w:color w:val="auto"/>
          <w:spacing w:val="20"/>
          <w:kern w:val="0"/>
          <w:sz w:val="44"/>
          <w:szCs w:val="44"/>
          <w:highlight w:val="none"/>
        </w:rPr>
        <w:t>件</w:t>
      </w:r>
    </w:p>
    <w:p w14:paraId="02BE80B3">
      <w:pPr>
        <w:tabs>
          <w:tab w:val="left" w:pos="720"/>
        </w:tabs>
        <w:rPr>
          <w:rFonts w:hint="eastAsia" w:asciiTheme="minorEastAsia" w:hAnsiTheme="minorEastAsia" w:eastAsiaTheme="minorEastAsia" w:cstheme="minorEastAsia"/>
          <w:b/>
          <w:strike w:val="0"/>
          <w:dstrike w:val="0"/>
          <w:color w:val="auto"/>
          <w:spacing w:val="4"/>
          <w:w w:val="120"/>
          <w:sz w:val="36"/>
          <w:szCs w:val="36"/>
          <w:highlight w:val="none"/>
        </w:rPr>
      </w:pPr>
    </w:p>
    <w:p w14:paraId="650C0AAC">
      <w:pPr>
        <w:jc w:val="center"/>
        <w:rPr>
          <w:rFonts w:hint="eastAsia" w:asciiTheme="minorEastAsia" w:hAnsiTheme="minorEastAsia" w:eastAsiaTheme="minorEastAsia" w:cstheme="minorEastAsia"/>
          <w:strike w:val="0"/>
          <w:dstrike w:val="0"/>
          <w:color w:val="auto"/>
          <w:sz w:val="21"/>
          <w:szCs w:val="21"/>
          <w:highlight w:val="none"/>
        </w:rPr>
      </w:pPr>
      <w:r>
        <w:rPr>
          <w:rFonts w:hint="eastAsia" w:asciiTheme="minorEastAsia" w:hAnsiTheme="minorEastAsia" w:eastAsiaTheme="minorEastAsia" w:cstheme="minorEastAsia"/>
          <w:strike w:val="0"/>
          <w:dstrike w:val="0"/>
          <w:color w:val="auto"/>
          <w:sz w:val="21"/>
          <w:szCs w:val="21"/>
          <w:highlight w:val="none"/>
        </w:rPr>
        <w:t>（全流程电子化采购）</w:t>
      </w:r>
    </w:p>
    <w:p w14:paraId="36F1AB76">
      <w:pPr>
        <w:pStyle w:val="21"/>
        <w:rPr>
          <w:rFonts w:hint="eastAsia" w:asciiTheme="minorEastAsia" w:hAnsiTheme="minorEastAsia" w:eastAsiaTheme="minorEastAsia" w:cstheme="minorEastAsia"/>
          <w:strike w:val="0"/>
          <w:dstrike w:val="0"/>
          <w:color w:val="auto"/>
          <w:highlight w:val="none"/>
        </w:rPr>
      </w:pPr>
    </w:p>
    <w:p w14:paraId="5F59AC12">
      <w:pPr>
        <w:spacing w:before="120" w:line="360" w:lineRule="auto"/>
        <w:ind w:firstLine="964" w:firstLineChars="300"/>
        <w:rPr>
          <w:rFonts w:hint="eastAsia" w:asciiTheme="minorEastAsia" w:hAnsiTheme="minorEastAsia" w:eastAsiaTheme="minorEastAsia" w:cstheme="minorEastAsia"/>
          <w:b/>
          <w:strike w:val="0"/>
          <w:dstrike w:val="0"/>
          <w:color w:val="auto"/>
          <w:sz w:val="32"/>
          <w:szCs w:val="32"/>
          <w:highlight w:val="none"/>
          <w:lang w:eastAsia="zh-CN"/>
        </w:rPr>
      </w:pPr>
    </w:p>
    <w:p w14:paraId="13286160">
      <w:pPr>
        <w:pStyle w:val="60"/>
        <w:rPr>
          <w:rFonts w:hint="eastAsia" w:asciiTheme="minorEastAsia" w:hAnsiTheme="minorEastAsia" w:eastAsiaTheme="minorEastAsia" w:cstheme="minorEastAsia"/>
          <w:b/>
          <w:strike w:val="0"/>
          <w:dstrike w:val="0"/>
          <w:color w:val="auto"/>
          <w:sz w:val="32"/>
          <w:szCs w:val="32"/>
          <w:highlight w:val="none"/>
          <w:lang w:eastAsia="zh-CN"/>
        </w:rPr>
      </w:pPr>
    </w:p>
    <w:p w14:paraId="0DBC8711">
      <w:pPr>
        <w:pStyle w:val="60"/>
        <w:rPr>
          <w:rFonts w:hint="eastAsia" w:asciiTheme="minorEastAsia" w:hAnsiTheme="minorEastAsia" w:eastAsiaTheme="minorEastAsia" w:cstheme="minorEastAsia"/>
          <w:b/>
          <w:strike w:val="0"/>
          <w:dstrike w:val="0"/>
          <w:color w:val="auto"/>
          <w:sz w:val="32"/>
          <w:szCs w:val="32"/>
          <w:highlight w:val="none"/>
        </w:rPr>
      </w:pPr>
    </w:p>
    <w:p w14:paraId="1FEE7DDB">
      <w:pPr>
        <w:keepNext w:val="0"/>
        <w:keepLines w:val="0"/>
        <w:pageBreakBefore w:val="0"/>
        <w:kinsoku/>
        <w:wordWrap/>
        <w:overflowPunct/>
        <w:topLinePunct w:val="0"/>
        <w:autoSpaceDE/>
        <w:autoSpaceDN/>
        <w:bidi w:val="0"/>
        <w:adjustRightInd/>
        <w:snapToGrid/>
        <w:spacing w:before="120" w:line="400" w:lineRule="exact"/>
        <w:ind w:firstLine="643" w:firstLineChars="200"/>
        <w:textAlignment w:val="auto"/>
        <w:rPr>
          <w:rFonts w:hint="eastAsia" w:asciiTheme="minorEastAsia" w:hAnsiTheme="minorEastAsia" w:eastAsiaTheme="minorEastAsia" w:cstheme="minorEastAsia"/>
          <w:b/>
          <w:strike w:val="0"/>
          <w:dstrike w:val="0"/>
          <w:color w:val="auto"/>
          <w:sz w:val="32"/>
          <w:szCs w:val="32"/>
          <w:highlight w:val="none"/>
          <w:lang w:eastAsia="zh-CN"/>
        </w:rPr>
      </w:pPr>
      <w:r>
        <w:rPr>
          <w:rFonts w:hint="eastAsia" w:asciiTheme="minorEastAsia" w:hAnsiTheme="minorEastAsia" w:eastAsiaTheme="minorEastAsia" w:cstheme="minorEastAsia"/>
          <w:b/>
          <w:strike w:val="0"/>
          <w:dstrike w:val="0"/>
          <w:color w:val="auto"/>
          <w:sz w:val="32"/>
          <w:szCs w:val="32"/>
          <w:highlight w:val="none"/>
        </w:rPr>
        <w:t>项目名称：</w:t>
      </w:r>
      <w:r>
        <w:rPr>
          <w:rFonts w:hint="eastAsia" w:asciiTheme="minorEastAsia" w:hAnsiTheme="minorEastAsia" w:eastAsiaTheme="minorEastAsia" w:cstheme="minorEastAsia"/>
          <w:b/>
          <w:strike w:val="0"/>
          <w:dstrike w:val="0"/>
          <w:color w:val="auto"/>
          <w:sz w:val="32"/>
          <w:szCs w:val="32"/>
          <w:highlight w:val="none"/>
          <w:lang w:eastAsia="zh-CN"/>
        </w:rPr>
        <w:t>广西集中式饮用水水源涉重金属环境安全隐患排查和试点水源地重金属污染精准溯源项目</w:t>
      </w:r>
    </w:p>
    <w:p w14:paraId="78C8893E">
      <w:pPr>
        <w:keepNext w:val="0"/>
        <w:keepLines w:val="0"/>
        <w:pageBreakBefore w:val="0"/>
        <w:kinsoku/>
        <w:wordWrap/>
        <w:overflowPunct/>
        <w:topLinePunct w:val="0"/>
        <w:autoSpaceDE/>
        <w:autoSpaceDN/>
        <w:bidi w:val="0"/>
        <w:adjustRightInd/>
        <w:snapToGrid/>
        <w:spacing w:before="120" w:line="400" w:lineRule="exact"/>
        <w:ind w:firstLine="643" w:firstLineChars="200"/>
        <w:textAlignment w:val="auto"/>
        <w:rPr>
          <w:rFonts w:hint="eastAsia" w:asciiTheme="minorEastAsia" w:hAnsiTheme="minorEastAsia" w:eastAsiaTheme="minorEastAsia" w:cstheme="minorEastAsia"/>
          <w:b/>
          <w:strike w:val="0"/>
          <w:dstrike w:val="0"/>
          <w:color w:val="auto"/>
          <w:sz w:val="32"/>
          <w:szCs w:val="32"/>
          <w:highlight w:val="none"/>
        </w:rPr>
      </w:pPr>
    </w:p>
    <w:p w14:paraId="3729B541">
      <w:pPr>
        <w:keepNext w:val="0"/>
        <w:keepLines w:val="0"/>
        <w:pageBreakBefore w:val="0"/>
        <w:kinsoku/>
        <w:wordWrap/>
        <w:overflowPunct/>
        <w:topLinePunct w:val="0"/>
        <w:autoSpaceDE/>
        <w:autoSpaceDN/>
        <w:bidi w:val="0"/>
        <w:adjustRightInd/>
        <w:snapToGrid/>
        <w:spacing w:before="120" w:line="400" w:lineRule="exact"/>
        <w:ind w:firstLine="643" w:firstLineChars="200"/>
        <w:textAlignment w:val="auto"/>
        <w:rPr>
          <w:rFonts w:hint="eastAsia" w:asciiTheme="minorEastAsia" w:hAnsiTheme="minorEastAsia" w:eastAsiaTheme="minorEastAsia" w:cstheme="minorEastAsia"/>
          <w:b/>
          <w:bCs w:val="0"/>
          <w:strike w:val="0"/>
          <w:dstrike w:val="0"/>
          <w:color w:val="auto"/>
          <w:spacing w:val="0"/>
          <w:sz w:val="32"/>
          <w:szCs w:val="32"/>
          <w:highlight w:val="none"/>
          <w:lang w:eastAsia="zh-CN"/>
        </w:rPr>
      </w:pPr>
      <w:r>
        <w:rPr>
          <w:rFonts w:hint="eastAsia" w:asciiTheme="minorEastAsia" w:hAnsiTheme="minorEastAsia" w:eastAsiaTheme="minorEastAsia" w:cstheme="minorEastAsia"/>
          <w:b/>
          <w:strike w:val="0"/>
          <w:dstrike w:val="0"/>
          <w:color w:val="auto"/>
          <w:sz w:val="32"/>
          <w:szCs w:val="32"/>
          <w:highlight w:val="none"/>
        </w:rPr>
        <w:t>项目编号：</w:t>
      </w:r>
      <w:r>
        <w:rPr>
          <w:rFonts w:hint="eastAsia" w:asciiTheme="minorEastAsia" w:hAnsiTheme="minorEastAsia" w:eastAsiaTheme="minorEastAsia" w:cstheme="minorEastAsia"/>
          <w:b/>
          <w:strike w:val="0"/>
          <w:dstrike w:val="0"/>
          <w:color w:val="auto"/>
          <w:sz w:val="32"/>
          <w:szCs w:val="32"/>
          <w:highlight w:val="none"/>
          <w:lang w:eastAsia="zh-CN"/>
        </w:rPr>
        <w:t>GXZC2026-G3-000158-GXYZ</w:t>
      </w:r>
    </w:p>
    <w:p w14:paraId="731A25A6">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trike w:val="0"/>
          <w:dstrike w:val="0"/>
          <w:color w:val="auto"/>
          <w:sz w:val="32"/>
          <w:szCs w:val="32"/>
          <w:highlight w:val="none"/>
        </w:rPr>
      </w:pPr>
    </w:p>
    <w:p w14:paraId="47FE18A9">
      <w:pPr>
        <w:keepNext w:val="0"/>
        <w:keepLines w:val="0"/>
        <w:pageBreakBefore w:val="0"/>
        <w:widowControl/>
        <w:kinsoku/>
        <w:wordWrap/>
        <w:overflowPunct/>
        <w:topLinePunct w:val="0"/>
        <w:autoSpaceDE/>
        <w:autoSpaceDN/>
        <w:bidi w:val="0"/>
        <w:adjustRightInd/>
        <w:snapToGrid/>
        <w:spacing w:line="400" w:lineRule="exact"/>
        <w:ind w:firstLine="643" w:firstLineChars="200"/>
        <w:textAlignment w:val="auto"/>
        <w:rPr>
          <w:rFonts w:hint="eastAsia" w:asciiTheme="minorEastAsia" w:hAnsiTheme="minorEastAsia" w:eastAsiaTheme="minorEastAsia" w:cstheme="minorEastAsia"/>
          <w:b/>
          <w:strike w:val="0"/>
          <w:dstrike w:val="0"/>
          <w:color w:val="auto"/>
          <w:kern w:val="0"/>
          <w:sz w:val="32"/>
          <w:szCs w:val="32"/>
          <w:highlight w:val="none"/>
        </w:rPr>
      </w:pPr>
    </w:p>
    <w:p w14:paraId="47CA6F76">
      <w:pPr>
        <w:keepNext w:val="0"/>
        <w:keepLines w:val="0"/>
        <w:pageBreakBefore w:val="0"/>
        <w:widowControl/>
        <w:kinsoku/>
        <w:wordWrap/>
        <w:overflowPunct/>
        <w:topLinePunct w:val="0"/>
        <w:autoSpaceDE/>
        <w:autoSpaceDN/>
        <w:bidi w:val="0"/>
        <w:adjustRightInd/>
        <w:snapToGrid/>
        <w:spacing w:line="400" w:lineRule="exact"/>
        <w:ind w:firstLine="643" w:firstLineChars="200"/>
        <w:textAlignment w:val="auto"/>
        <w:rPr>
          <w:rFonts w:hint="eastAsia" w:asciiTheme="minorEastAsia" w:hAnsiTheme="minorEastAsia" w:eastAsiaTheme="minorEastAsia" w:cstheme="minorEastAsia"/>
          <w:b/>
          <w:strike w:val="0"/>
          <w:dstrike w:val="0"/>
          <w:color w:val="auto"/>
          <w:kern w:val="0"/>
          <w:sz w:val="32"/>
          <w:szCs w:val="32"/>
          <w:highlight w:val="none"/>
          <w:lang w:eastAsia="zh-CN"/>
        </w:rPr>
      </w:pPr>
      <w:r>
        <w:rPr>
          <w:rFonts w:hint="eastAsia" w:asciiTheme="minorEastAsia" w:hAnsiTheme="minorEastAsia" w:eastAsiaTheme="minorEastAsia" w:cstheme="minorEastAsia"/>
          <w:b/>
          <w:strike w:val="0"/>
          <w:dstrike w:val="0"/>
          <w:color w:val="auto"/>
          <w:kern w:val="0"/>
          <w:sz w:val="32"/>
          <w:szCs w:val="32"/>
          <w:highlight w:val="none"/>
        </w:rPr>
        <w:t>采购人：</w:t>
      </w:r>
      <w:bookmarkStart w:id="0" w:name="OLE_LINK167"/>
      <w:bookmarkStart w:id="1" w:name="OLE_LINK168"/>
      <w:r>
        <w:rPr>
          <w:rFonts w:hint="eastAsia" w:asciiTheme="minorEastAsia" w:hAnsiTheme="minorEastAsia" w:eastAsiaTheme="minorEastAsia" w:cstheme="minorEastAsia"/>
          <w:b/>
          <w:strike w:val="0"/>
          <w:dstrike w:val="0"/>
          <w:color w:val="auto"/>
          <w:kern w:val="0"/>
          <w:sz w:val="32"/>
          <w:szCs w:val="32"/>
          <w:highlight w:val="none"/>
          <w:lang w:eastAsia="zh-CN"/>
        </w:rPr>
        <w:t>广西壮族自治区生态环境厅</w:t>
      </w:r>
    </w:p>
    <w:bookmarkEnd w:id="0"/>
    <w:bookmarkEnd w:id="1"/>
    <w:p w14:paraId="69E98613">
      <w:pPr>
        <w:keepNext w:val="0"/>
        <w:keepLines w:val="0"/>
        <w:pageBreakBefore w:val="0"/>
        <w:widowControl/>
        <w:kinsoku/>
        <w:wordWrap/>
        <w:overflowPunct/>
        <w:topLinePunct w:val="0"/>
        <w:autoSpaceDE/>
        <w:autoSpaceDN/>
        <w:bidi w:val="0"/>
        <w:adjustRightInd/>
        <w:snapToGrid/>
        <w:spacing w:line="400" w:lineRule="exact"/>
        <w:ind w:firstLine="643" w:firstLineChars="200"/>
        <w:textAlignment w:val="auto"/>
        <w:rPr>
          <w:rFonts w:hint="eastAsia" w:asciiTheme="minorEastAsia" w:hAnsiTheme="minorEastAsia" w:eastAsiaTheme="minorEastAsia" w:cstheme="minorEastAsia"/>
          <w:b/>
          <w:strike w:val="0"/>
          <w:dstrike w:val="0"/>
          <w:color w:val="auto"/>
          <w:kern w:val="0"/>
          <w:sz w:val="32"/>
          <w:szCs w:val="32"/>
          <w:highlight w:val="none"/>
        </w:rPr>
      </w:pPr>
    </w:p>
    <w:p w14:paraId="783E1ACD">
      <w:pPr>
        <w:keepNext w:val="0"/>
        <w:keepLines w:val="0"/>
        <w:pageBreakBefore w:val="0"/>
        <w:widowControl/>
        <w:kinsoku/>
        <w:wordWrap/>
        <w:overflowPunct/>
        <w:topLinePunct w:val="0"/>
        <w:autoSpaceDE/>
        <w:autoSpaceDN/>
        <w:bidi w:val="0"/>
        <w:adjustRightInd/>
        <w:snapToGrid/>
        <w:spacing w:line="400" w:lineRule="exact"/>
        <w:ind w:firstLine="643" w:firstLineChars="200"/>
        <w:textAlignment w:val="auto"/>
        <w:rPr>
          <w:rFonts w:hint="eastAsia" w:asciiTheme="minorEastAsia" w:hAnsiTheme="minorEastAsia" w:eastAsiaTheme="minorEastAsia" w:cstheme="minorEastAsia"/>
          <w:b/>
          <w:strike w:val="0"/>
          <w:dstrike w:val="0"/>
          <w:color w:val="auto"/>
          <w:kern w:val="0"/>
          <w:sz w:val="32"/>
          <w:szCs w:val="32"/>
          <w:highlight w:val="none"/>
          <w:lang w:eastAsia="zh-CN"/>
        </w:rPr>
      </w:pPr>
      <w:r>
        <w:rPr>
          <w:rFonts w:hint="eastAsia" w:asciiTheme="minorEastAsia" w:hAnsiTheme="minorEastAsia" w:eastAsiaTheme="minorEastAsia" w:cstheme="minorEastAsia"/>
          <w:b/>
          <w:strike w:val="0"/>
          <w:dstrike w:val="0"/>
          <w:color w:val="auto"/>
          <w:kern w:val="0"/>
          <w:sz w:val="32"/>
          <w:szCs w:val="32"/>
          <w:highlight w:val="none"/>
        </w:rPr>
        <w:t>采购代理机构：</w:t>
      </w:r>
      <w:r>
        <w:rPr>
          <w:rFonts w:hint="eastAsia" w:asciiTheme="minorEastAsia" w:hAnsiTheme="minorEastAsia" w:eastAsiaTheme="minorEastAsia" w:cstheme="minorEastAsia"/>
          <w:b/>
          <w:strike w:val="0"/>
          <w:dstrike w:val="0"/>
          <w:color w:val="auto"/>
          <w:kern w:val="0"/>
          <w:sz w:val="32"/>
          <w:szCs w:val="32"/>
          <w:highlight w:val="none"/>
          <w:lang w:eastAsia="zh-CN"/>
        </w:rPr>
        <w:t>广西邕政采购代理有限公司</w:t>
      </w:r>
    </w:p>
    <w:p w14:paraId="1BF0A23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strike w:val="0"/>
          <w:dstrike w:val="0"/>
          <w:color w:val="auto"/>
          <w:kern w:val="0"/>
          <w:sz w:val="32"/>
          <w:szCs w:val="32"/>
          <w:highlight w:val="none"/>
        </w:rPr>
      </w:pPr>
    </w:p>
    <w:p w14:paraId="1EA6FEA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trike w:val="0"/>
          <w:dstrike w:val="0"/>
          <w:color w:val="auto"/>
          <w:sz w:val="32"/>
          <w:szCs w:val="32"/>
          <w:highlight w:val="none"/>
        </w:rPr>
        <w:sectPr>
          <w:headerReference r:id="rId4" w:type="first"/>
          <w:footerReference r:id="rId5" w:type="default"/>
          <w:headerReference r:id="rId3" w:type="even"/>
          <w:footerReference r:id="rId6" w:type="even"/>
          <w:pgSz w:w="11906" w:h="16838"/>
          <w:pgMar w:top="1440" w:right="1800" w:bottom="1440" w:left="1800" w:header="851" w:footer="992" w:gutter="113"/>
          <w:pgNumType w:start="0"/>
          <w:cols w:space="720" w:num="1"/>
          <w:titlePg/>
          <w:docGrid w:linePitch="312" w:charSpace="0"/>
        </w:sectPr>
      </w:pPr>
      <w:r>
        <w:rPr>
          <w:rFonts w:hint="eastAsia" w:asciiTheme="minorEastAsia" w:hAnsiTheme="minorEastAsia" w:eastAsiaTheme="minorEastAsia" w:cstheme="minorEastAsia"/>
          <w:b/>
          <w:strike w:val="0"/>
          <w:dstrike w:val="0"/>
          <w:color w:val="auto"/>
          <w:kern w:val="0"/>
          <w:sz w:val="32"/>
          <w:szCs w:val="32"/>
          <w:highlight w:val="none"/>
        </w:rPr>
        <w:t>日期：202</w:t>
      </w:r>
      <w:r>
        <w:rPr>
          <w:rFonts w:hint="eastAsia" w:asciiTheme="minorEastAsia" w:hAnsiTheme="minorEastAsia" w:eastAsiaTheme="minorEastAsia" w:cstheme="minorEastAsia"/>
          <w:b/>
          <w:strike w:val="0"/>
          <w:dstrike w:val="0"/>
          <w:color w:val="auto"/>
          <w:kern w:val="0"/>
          <w:sz w:val="32"/>
          <w:szCs w:val="32"/>
          <w:highlight w:val="none"/>
          <w:lang w:val="en-US" w:eastAsia="zh-CN"/>
        </w:rPr>
        <w:t>6</w:t>
      </w:r>
      <w:r>
        <w:rPr>
          <w:rFonts w:hint="eastAsia" w:asciiTheme="minorEastAsia" w:hAnsiTheme="minorEastAsia" w:eastAsiaTheme="minorEastAsia" w:cstheme="minorEastAsia"/>
          <w:b/>
          <w:strike w:val="0"/>
          <w:dstrike w:val="0"/>
          <w:color w:val="auto"/>
          <w:kern w:val="0"/>
          <w:sz w:val="32"/>
          <w:szCs w:val="32"/>
          <w:highlight w:val="none"/>
        </w:rPr>
        <w:t>年</w:t>
      </w:r>
      <w:r>
        <w:rPr>
          <w:rFonts w:hint="eastAsia" w:asciiTheme="minorEastAsia" w:hAnsiTheme="minorEastAsia" w:eastAsiaTheme="minorEastAsia" w:cstheme="minorEastAsia"/>
          <w:b/>
          <w:strike w:val="0"/>
          <w:dstrike w:val="0"/>
          <w:color w:val="auto"/>
          <w:kern w:val="0"/>
          <w:sz w:val="32"/>
          <w:szCs w:val="32"/>
          <w:highlight w:val="none"/>
          <w:lang w:val="en-US" w:eastAsia="zh-CN"/>
        </w:rPr>
        <w:t>2</w:t>
      </w:r>
      <w:r>
        <w:rPr>
          <w:rFonts w:hint="eastAsia" w:asciiTheme="minorEastAsia" w:hAnsiTheme="minorEastAsia" w:eastAsiaTheme="minorEastAsia" w:cstheme="minorEastAsia"/>
          <w:b/>
          <w:strike w:val="0"/>
          <w:dstrike w:val="0"/>
          <w:color w:val="auto"/>
          <w:kern w:val="0"/>
          <w:sz w:val="32"/>
          <w:szCs w:val="32"/>
          <w:highlight w:val="none"/>
        </w:rPr>
        <w:t>月</w:t>
      </w:r>
    </w:p>
    <w:p w14:paraId="69FEEEAF">
      <w:pPr>
        <w:pStyle w:val="19"/>
        <w:jc w:val="both"/>
        <w:rPr>
          <w:rFonts w:hint="eastAsia" w:asciiTheme="minorEastAsia" w:hAnsiTheme="minorEastAsia" w:eastAsiaTheme="minorEastAsia" w:cstheme="minorEastAsia"/>
          <w:strike w:val="0"/>
          <w:dstrike w:val="0"/>
          <w:color w:val="auto"/>
          <w:highlight w:val="none"/>
        </w:rPr>
      </w:pPr>
    </w:p>
    <w:p w14:paraId="124CE875">
      <w:pPr>
        <w:spacing w:line="360" w:lineRule="auto"/>
        <w:jc w:val="center"/>
        <w:rPr>
          <w:rFonts w:hint="eastAsia" w:asciiTheme="minorEastAsia" w:hAnsiTheme="minorEastAsia" w:eastAsiaTheme="minorEastAsia" w:cstheme="minorEastAsia"/>
          <w:b/>
          <w:strike w:val="0"/>
          <w:dstrike w:val="0"/>
          <w:color w:val="auto"/>
          <w:sz w:val="32"/>
          <w:szCs w:val="32"/>
          <w:highlight w:val="none"/>
        </w:rPr>
      </w:pPr>
      <w:r>
        <w:rPr>
          <w:rFonts w:hint="eastAsia" w:asciiTheme="minorEastAsia" w:hAnsiTheme="minorEastAsia" w:eastAsiaTheme="minorEastAsia" w:cstheme="minorEastAsia"/>
          <w:b/>
          <w:strike w:val="0"/>
          <w:dstrike w:val="0"/>
          <w:color w:val="auto"/>
          <w:sz w:val="32"/>
          <w:szCs w:val="32"/>
          <w:highlight w:val="none"/>
        </w:rPr>
        <w:t>目  录</w:t>
      </w:r>
    </w:p>
    <w:p w14:paraId="62AE71FC">
      <w:pPr>
        <w:pStyle w:val="35"/>
        <w:ind w:firstLine="300"/>
        <w:rPr>
          <w:rFonts w:hint="eastAsia" w:asciiTheme="minorEastAsia" w:hAnsiTheme="minorEastAsia" w:eastAsiaTheme="minorEastAsia" w:cstheme="minorEastAsia"/>
          <w:b w:val="0"/>
          <w:bCs w:val="0"/>
          <w:caps w:val="0"/>
          <w:strike w:val="0"/>
          <w:dstrike w:val="0"/>
          <w:color w:val="auto"/>
          <w:sz w:val="21"/>
          <w:szCs w:val="21"/>
          <w:highlight w:val="none"/>
        </w:rPr>
      </w:pPr>
      <w:r>
        <w:rPr>
          <w:rFonts w:hint="eastAsia" w:asciiTheme="minorEastAsia" w:hAnsiTheme="minorEastAsia" w:eastAsiaTheme="minorEastAsia" w:cstheme="minorEastAsia"/>
          <w:b w:val="0"/>
          <w:strike w:val="0"/>
          <w:dstrike w:val="0"/>
          <w:color w:val="auto"/>
          <w:highlight w:val="none"/>
        </w:rPr>
        <w:fldChar w:fldCharType="begin"/>
      </w:r>
      <w:r>
        <w:rPr>
          <w:rFonts w:hint="eastAsia" w:asciiTheme="minorEastAsia" w:hAnsiTheme="minorEastAsia" w:eastAsiaTheme="minorEastAsia" w:cstheme="minorEastAsia"/>
          <w:b w:val="0"/>
          <w:strike w:val="0"/>
          <w:dstrike w:val="0"/>
          <w:color w:val="auto"/>
          <w:highlight w:val="none"/>
        </w:rPr>
        <w:instrText xml:space="preserve"> TOC \o "1-1" \h \z \u </w:instrText>
      </w:r>
      <w:r>
        <w:rPr>
          <w:rFonts w:hint="eastAsia" w:asciiTheme="minorEastAsia" w:hAnsiTheme="minorEastAsia" w:eastAsiaTheme="minorEastAsia" w:cstheme="minorEastAsia"/>
          <w:b w:val="0"/>
          <w:strike w:val="0"/>
          <w:dstrike w:val="0"/>
          <w:color w:val="auto"/>
          <w:highlight w:val="none"/>
        </w:rPr>
        <w:fldChar w:fldCharType="separate"/>
      </w:r>
      <w:r>
        <w:rPr>
          <w:rFonts w:hint="eastAsia" w:asciiTheme="minorEastAsia" w:hAnsiTheme="minorEastAsia" w:eastAsiaTheme="minorEastAsia" w:cstheme="minorEastAsia"/>
          <w:strike w:val="0"/>
          <w:dstrike w:val="0"/>
          <w:color w:val="auto"/>
          <w:sz w:val="21"/>
          <w:szCs w:val="21"/>
          <w:highlight w:val="none"/>
        </w:rPr>
        <w:fldChar w:fldCharType="begin"/>
      </w:r>
      <w:r>
        <w:rPr>
          <w:rFonts w:hint="eastAsia" w:asciiTheme="minorEastAsia" w:hAnsiTheme="minorEastAsia" w:eastAsiaTheme="minorEastAsia" w:cstheme="minorEastAsia"/>
          <w:strike w:val="0"/>
          <w:dstrike w:val="0"/>
          <w:color w:val="auto"/>
          <w:sz w:val="21"/>
          <w:szCs w:val="21"/>
          <w:highlight w:val="none"/>
        </w:rPr>
        <w:instrText xml:space="preserve"> HYPERLINK \l "_Toc146612287" </w:instrText>
      </w:r>
      <w:r>
        <w:rPr>
          <w:rFonts w:hint="eastAsia" w:asciiTheme="minorEastAsia" w:hAnsiTheme="minorEastAsia" w:eastAsiaTheme="minorEastAsia" w:cstheme="minorEastAsia"/>
          <w:strike w:val="0"/>
          <w:dstrike w:val="0"/>
          <w:color w:val="auto"/>
          <w:sz w:val="21"/>
          <w:szCs w:val="21"/>
          <w:highlight w:val="none"/>
        </w:rPr>
        <w:fldChar w:fldCharType="separate"/>
      </w:r>
      <w:r>
        <w:rPr>
          <w:rStyle w:val="55"/>
          <w:rFonts w:hint="eastAsia" w:asciiTheme="minorEastAsia" w:hAnsiTheme="minorEastAsia" w:eastAsiaTheme="minorEastAsia" w:cstheme="minorEastAsia"/>
          <w:strike w:val="0"/>
          <w:dstrike w:val="0"/>
          <w:color w:val="auto"/>
          <w:sz w:val="21"/>
          <w:szCs w:val="21"/>
          <w:highlight w:val="none"/>
        </w:rPr>
        <w:t>第一章 招标公告</w:t>
      </w:r>
      <w:r>
        <w:rPr>
          <w:rFonts w:hint="eastAsia" w:asciiTheme="minorEastAsia" w:hAnsiTheme="minorEastAsia" w:eastAsiaTheme="minorEastAsia" w:cstheme="minorEastAsia"/>
          <w:strike w:val="0"/>
          <w:dstrike w:val="0"/>
          <w:color w:val="auto"/>
          <w:sz w:val="21"/>
          <w:szCs w:val="21"/>
          <w:highlight w:val="none"/>
        </w:rPr>
        <w:tab/>
      </w:r>
      <w:r>
        <w:rPr>
          <w:rFonts w:hint="eastAsia" w:asciiTheme="minorEastAsia" w:hAnsiTheme="minorEastAsia" w:eastAsiaTheme="minorEastAsia" w:cstheme="minorEastAsia"/>
          <w:strike w:val="0"/>
          <w:dstrike w:val="0"/>
          <w:color w:val="auto"/>
          <w:sz w:val="21"/>
          <w:szCs w:val="21"/>
          <w:highlight w:val="none"/>
        </w:rPr>
        <w:fldChar w:fldCharType="begin"/>
      </w:r>
      <w:r>
        <w:rPr>
          <w:rFonts w:hint="eastAsia" w:asciiTheme="minorEastAsia" w:hAnsiTheme="minorEastAsia" w:eastAsiaTheme="minorEastAsia" w:cstheme="minorEastAsia"/>
          <w:strike w:val="0"/>
          <w:dstrike w:val="0"/>
          <w:color w:val="auto"/>
          <w:sz w:val="21"/>
          <w:szCs w:val="21"/>
          <w:highlight w:val="none"/>
        </w:rPr>
        <w:instrText xml:space="preserve"> PAGEREF _Toc146612287 \h </w:instrText>
      </w:r>
      <w:r>
        <w:rPr>
          <w:rFonts w:hint="eastAsia" w:asciiTheme="minorEastAsia" w:hAnsiTheme="minorEastAsia" w:eastAsiaTheme="minorEastAsia" w:cstheme="minorEastAsia"/>
          <w:strike w:val="0"/>
          <w:dstrike w:val="0"/>
          <w:color w:val="auto"/>
          <w:sz w:val="21"/>
          <w:szCs w:val="21"/>
          <w:highlight w:val="none"/>
        </w:rPr>
        <w:fldChar w:fldCharType="separate"/>
      </w:r>
      <w:r>
        <w:rPr>
          <w:rFonts w:hint="eastAsia" w:asciiTheme="minorEastAsia" w:hAnsiTheme="minorEastAsia" w:eastAsiaTheme="minorEastAsia" w:cstheme="minorEastAsia"/>
          <w:strike w:val="0"/>
          <w:dstrike w:val="0"/>
          <w:color w:val="auto"/>
          <w:sz w:val="21"/>
          <w:szCs w:val="21"/>
          <w:highlight w:val="none"/>
        </w:rPr>
        <w:t>2</w:t>
      </w:r>
      <w:r>
        <w:rPr>
          <w:rFonts w:hint="eastAsia" w:asciiTheme="minorEastAsia" w:hAnsiTheme="minorEastAsia" w:eastAsiaTheme="minorEastAsia" w:cstheme="minorEastAsia"/>
          <w:strike w:val="0"/>
          <w:dstrike w:val="0"/>
          <w:color w:val="auto"/>
          <w:sz w:val="21"/>
          <w:szCs w:val="21"/>
          <w:highlight w:val="none"/>
        </w:rPr>
        <w:fldChar w:fldCharType="end"/>
      </w:r>
      <w:r>
        <w:rPr>
          <w:rFonts w:hint="eastAsia" w:asciiTheme="minorEastAsia" w:hAnsiTheme="minorEastAsia" w:eastAsiaTheme="minorEastAsia" w:cstheme="minorEastAsia"/>
          <w:strike w:val="0"/>
          <w:dstrike w:val="0"/>
          <w:color w:val="auto"/>
          <w:sz w:val="21"/>
          <w:szCs w:val="21"/>
          <w:highlight w:val="none"/>
        </w:rPr>
        <w:fldChar w:fldCharType="end"/>
      </w:r>
    </w:p>
    <w:p w14:paraId="6F16EE0B">
      <w:pPr>
        <w:pStyle w:val="35"/>
        <w:ind w:firstLine="301"/>
        <w:rPr>
          <w:rFonts w:hint="eastAsia" w:asciiTheme="minorEastAsia" w:hAnsiTheme="minorEastAsia" w:eastAsiaTheme="minorEastAsia" w:cstheme="minorEastAsia"/>
          <w:b w:val="0"/>
          <w:bCs w:val="0"/>
          <w:caps w:val="0"/>
          <w:strike w:val="0"/>
          <w:dstrike w:val="0"/>
          <w:color w:val="auto"/>
          <w:sz w:val="21"/>
          <w:szCs w:val="21"/>
          <w:highlight w:val="none"/>
        </w:rPr>
      </w:pPr>
      <w:r>
        <w:rPr>
          <w:rFonts w:hint="eastAsia" w:asciiTheme="minorEastAsia" w:hAnsiTheme="minorEastAsia" w:eastAsiaTheme="minorEastAsia" w:cstheme="minorEastAsia"/>
          <w:strike w:val="0"/>
          <w:dstrike w:val="0"/>
          <w:color w:val="auto"/>
          <w:sz w:val="21"/>
          <w:szCs w:val="21"/>
          <w:highlight w:val="none"/>
        </w:rPr>
        <w:fldChar w:fldCharType="begin"/>
      </w:r>
      <w:r>
        <w:rPr>
          <w:rFonts w:hint="eastAsia" w:asciiTheme="minorEastAsia" w:hAnsiTheme="minorEastAsia" w:eastAsiaTheme="minorEastAsia" w:cstheme="minorEastAsia"/>
          <w:strike w:val="0"/>
          <w:dstrike w:val="0"/>
          <w:color w:val="auto"/>
          <w:sz w:val="21"/>
          <w:szCs w:val="21"/>
          <w:highlight w:val="none"/>
        </w:rPr>
        <w:instrText xml:space="preserve"> HYPERLINK \l "_Toc146612288" </w:instrText>
      </w:r>
      <w:r>
        <w:rPr>
          <w:rFonts w:hint="eastAsia" w:asciiTheme="minorEastAsia" w:hAnsiTheme="minorEastAsia" w:eastAsiaTheme="minorEastAsia" w:cstheme="minorEastAsia"/>
          <w:strike w:val="0"/>
          <w:dstrike w:val="0"/>
          <w:color w:val="auto"/>
          <w:sz w:val="21"/>
          <w:szCs w:val="21"/>
          <w:highlight w:val="none"/>
        </w:rPr>
        <w:fldChar w:fldCharType="separate"/>
      </w:r>
      <w:r>
        <w:rPr>
          <w:rStyle w:val="55"/>
          <w:rFonts w:hint="eastAsia" w:asciiTheme="minorEastAsia" w:hAnsiTheme="minorEastAsia" w:eastAsiaTheme="minorEastAsia" w:cstheme="minorEastAsia"/>
          <w:strike w:val="0"/>
          <w:dstrike w:val="0"/>
          <w:color w:val="auto"/>
          <w:sz w:val="21"/>
          <w:szCs w:val="21"/>
          <w:highlight w:val="none"/>
        </w:rPr>
        <w:t>第二章 采购需求</w:t>
      </w:r>
      <w:r>
        <w:rPr>
          <w:rFonts w:hint="eastAsia" w:asciiTheme="minorEastAsia" w:hAnsiTheme="minorEastAsia" w:eastAsiaTheme="minorEastAsia" w:cstheme="minorEastAsia"/>
          <w:strike w:val="0"/>
          <w:dstrike w:val="0"/>
          <w:color w:val="auto"/>
          <w:sz w:val="21"/>
          <w:szCs w:val="21"/>
          <w:highlight w:val="none"/>
        </w:rPr>
        <w:tab/>
      </w:r>
      <w:r>
        <w:rPr>
          <w:rFonts w:hint="eastAsia" w:asciiTheme="minorEastAsia" w:hAnsiTheme="minorEastAsia" w:eastAsiaTheme="minorEastAsia" w:cstheme="minorEastAsia"/>
          <w:strike w:val="0"/>
          <w:dstrike w:val="0"/>
          <w:color w:val="auto"/>
          <w:sz w:val="21"/>
          <w:szCs w:val="21"/>
          <w:highlight w:val="none"/>
        </w:rPr>
        <w:fldChar w:fldCharType="begin"/>
      </w:r>
      <w:r>
        <w:rPr>
          <w:rFonts w:hint="eastAsia" w:asciiTheme="minorEastAsia" w:hAnsiTheme="minorEastAsia" w:eastAsiaTheme="minorEastAsia" w:cstheme="minorEastAsia"/>
          <w:strike w:val="0"/>
          <w:dstrike w:val="0"/>
          <w:color w:val="auto"/>
          <w:sz w:val="21"/>
          <w:szCs w:val="21"/>
          <w:highlight w:val="none"/>
        </w:rPr>
        <w:instrText xml:space="preserve"> PAGEREF _Toc146612288 \h </w:instrText>
      </w:r>
      <w:r>
        <w:rPr>
          <w:rFonts w:hint="eastAsia" w:asciiTheme="minorEastAsia" w:hAnsiTheme="minorEastAsia" w:eastAsiaTheme="minorEastAsia" w:cstheme="minorEastAsia"/>
          <w:strike w:val="0"/>
          <w:dstrike w:val="0"/>
          <w:color w:val="auto"/>
          <w:sz w:val="21"/>
          <w:szCs w:val="21"/>
          <w:highlight w:val="none"/>
        </w:rPr>
        <w:fldChar w:fldCharType="separate"/>
      </w:r>
      <w:r>
        <w:rPr>
          <w:rFonts w:hint="eastAsia" w:asciiTheme="minorEastAsia" w:hAnsiTheme="minorEastAsia" w:eastAsiaTheme="minorEastAsia" w:cstheme="minorEastAsia"/>
          <w:strike w:val="0"/>
          <w:dstrike w:val="0"/>
          <w:color w:val="auto"/>
          <w:sz w:val="21"/>
          <w:szCs w:val="21"/>
          <w:highlight w:val="none"/>
        </w:rPr>
        <w:t>6</w:t>
      </w:r>
      <w:r>
        <w:rPr>
          <w:rFonts w:hint="eastAsia" w:asciiTheme="minorEastAsia" w:hAnsiTheme="minorEastAsia" w:eastAsiaTheme="minorEastAsia" w:cstheme="minorEastAsia"/>
          <w:strike w:val="0"/>
          <w:dstrike w:val="0"/>
          <w:color w:val="auto"/>
          <w:sz w:val="21"/>
          <w:szCs w:val="21"/>
          <w:highlight w:val="none"/>
        </w:rPr>
        <w:fldChar w:fldCharType="end"/>
      </w:r>
      <w:r>
        <w:rPr>
          <w:rFonts w:hint="eastAsia" w:asciiTheme="minorEastAsia" w:hAnsiTheme="minorEastAsia" w:eastAsiaTheme="minorEastAsia" w:cstheme="minorEastAsia"/>
          <w:strike w:val="0"/>
          <w:dstrike w:val="0"/>
          <w:color w:val="auto"/>
          <w:sz w:val="21"/>
          <w:szCs w:val="21"/>
          <w:highlight w:val="none"/>
        </w:rPr>
        <w:fldChar w:fldCharType="end"/>
      </w:r>
    </w:p>
    <w:p w14:paraId="2FA13883">
      <w:pPr>
        <w:pStyle w:val="35"/>
        <w:ind w:firstLine="301"/>
        <w:rPr>
          <w:rFonts w:hint="eastAsia" w:asciiTheme="minorEastAsia" w:hAnsiTheme="minorEastAsia" w:eastAsiaTheme="minorEastAsia" w:cstheme="minorEastAsia"/>
          <w:b w:val="0"/>
          <w:bCs w:val="0"/>
          <w:caps w:val="0"/>
          <w:strike w:val="0"/>
          <w:dstrike w:val="0"/>
          <w:color w:val="auto"/>
          <w:sz w:val="21"/>
          <w:szCs w:val="21"/>
          <w:highlight w:val="none"/>
        </w:rPr>
      </w:pPr>
      <w:r>
        <w:rPr>
          <w:rFonts w:hint="eastAsia" w:asciiTheme="minorEastAsia" w:hAnsiTheme="minorEastAsia" w:eastAsiaTheme="minorEastAsia" w:cstheme="minorEastAsia"/>
          <w:strike w:val="0"/>
          <w:dstrike w:val="0"/>
          <w:color w:val="auto"/>
          <w:sz w:val="21"/>
          <w:szCs w:val="21"/>
          <w:highlight w:val="none"/>
        </w:rPr>
        <w:fldChar w:fldCharType="begin"/>
      </w:r>
      <w:r>
        <w:rPr>
          <w:rFonts w:hint="eastAsia" w:asciiTheme="minorEastAsia" w:hAnsiTheme="minorEastAsia" w:eastAsiaTheme="minorEastAsia" w:cstheme="minorEastAsia"/>
          <w:strike w:val="0"/>
          <w:dstrike w:val="0"/>
          <w:color w:val="auto"/>
          <w:sz w:val="21"/>
          <w:szCs w:val="21"/>
          <w:highlight w:val="none"/>
        </w:rPr>
        <w:instrText xml:space="preserve"> HYPERLINK \l "_Toc146612289" </w:instrText>
      </w:r>
      <w:r>
        <w:rPr>
          <w:rFonts w:hint="eastAsia" w:asciiTheme="minorEastAsia" w:hAnsiTheme="minorEastAsia" w:eastAsiaTheme="minorEastAsia" w:cstheme="minorEastAsia"/>
          <w:strike w:val="0"/>
          <w:dstrike w:val="0"/>
          <w:color w:val="auto"/>
          <w:sz w:val="21"/>
          <w:szCs w:val="21"/>
          <w:highlight w:val="none"/>
        </w:rPr>
        <w:fldChar w:fldCharType="separate"/>
      </w:r>
      <w:r>
        <w:rPr>
          <w:rStyle w:val="55"/>
          <w:rFonts w:hint="eastAsia" w:asciiTheme="minorEastAsia" w:hAnsiTheme="minorEastAsia" w:eastAsiaTheme="minorEastAsia" w:cstheme="minorEastAsia"/>
          <w:strike w:val="0"/>
          <w:dstrike w:val="0"/>
          <w:color w:val="auto"/>
          <w:sz w:val="21"/>
          <w:szCs w:val="21"/>
          <w:highlight w:val="none"/>
        </w:rPr>
        <w:t>第三章 投标人须知</w:t>
      </w:r>
      <w:r>
        <w:rPr>
          <w:rFonts w:hint="eastAsia" w:asciiTheme="minorEastAsia" w:hAnsiTheme="minorEastAsia" w:eastAsiaTheme="minorEastAsia" w:cstheme="minorEastAsia"/>
          <w:strike w:val="0"/>
          <w:dstrike w:val="0"/>
          <w:color w:val="auto"/>
          <w:sz w:val="21"/>
          <w:szCs w:val="21"/>
          <w:highlight w:val="none"/>
        </w:rPr>
        <w:tab/>
      </w:r>
      <w:r>
        <w:rPr>
          <w:rFonts w:hint="eastAsia" w:asciiTheme="minorEastAsia" w:hAnsiTheme="minorEastAsia" w:eastAsiaTheme="minorEastAsia" w:cstheme="minorEastAsia"/>
          <w:strike w:val="0"/>
          <w:dstrike w:val="0"/>
          <w:color w:val="auto"/>
          <w:sz w:val="21"/>
          <w:szCs w:val="21"/>
          <w:highlight w:val="none"/>
        </w:rPr>
        <w:fldChar w:fldCharType="begin"/>
      </w:r>
      <w:r>
        <w:rPr>
          <w:rFonts w:hint="eastAsia" w:asciiTheme="minorEastAsia" w:hAnsiTheme="minorEastAsia" w:eastAsiaTheme="minorEastAsia" w:cstheme="minorEastAsia"/>
          <w:strike w:val="0"/>
          <w:dstrike w:val="0"/>
          <w:color w:val="auto"/>
          <w:sz w:val="21"/>
          <w:szCs w:val="21"/>
          <w:highlight w:val="none"/>
        </w:rPr>
        <w:instrText xml:space="preserve"> PAGEREF _Toc146612289 \h </w:instrText>
      </w:r>
      <w:r>
        <w:rPr>
          <w:rFonts w:hint="eastAsia" w:asciiTheme="minorEastAsia" w:hAnsiTheme="minorEastAsia" w:eastAsiaTheme="minorEastAsia" w:cstheme="minorEastAsia"/>
          <w:strike w:val="0"/>
          <w:dstrike w:val="0"/>
          <w:color w:val="auto"/>
          <w:sz w:val="21"/>
          <w:szCs w:val="21"/>
          <w:highlight w:val="none"/>
        </w:rPr>
        <w:fldChar w:fldCharType="separate"/>
      </w:r>
      <w:r>
        <w:rPr>
          <w:rFonts w:hint="eastAsia" w:asciiTheme="minorEastAsia" w:hAnsiTheme="minorEastAsia" w:eastAsiaTheme="minorEastAsia" w:cstheme="minorEastAsia"/>
          <w:strike w:val="0"/>
          <w:dstrike w:val="0"/>
          <w:color w:val="auto"/>
          <w:sz w:val="21"/>
          <w:szCs w:val="21"/>
          <w:highlight w:val="none"/>
        </w:rPr>
        <w:t>19</w:t>
      </w:r>
      <w:r>
        <w:rPr>
          <w:rFonts w:hint="eastAsia" w:asciiTheme="minorEastAsia" w:hAnsiTheme="minorEastAsia" w:eastAsiaTheme="minorEastAsia" w:cstheme="minorEastAsia"/>
          <w:strike w:val="0"/>
          <w:dstrike w:val="0"/>
          <w:color w:val="auto"/>
          <w:sz w:val="21"/>
          <w:szCs w:val="21"/>
          <w:highlight w:val="none"/>
        </w:rPr>
        <w:fldChar w:fldCharType="end"/>
      </w:r>
      <w:r>
        <w:rPr>
          <w:rFonts w:hint="eastAsia" w:asciiTheme="minorEastAsia" w:hAnsiTheme="minorEastAsia" w:eastAsiaTheme="minorEastAsia" w:cstheme="minorEastAsia"/>
          <w:strike w:val="0"/>
          <w:dstrike w:val="0"/>
          <w:color w:val="auto"/>
          <w:sz w:val="21"/>
          <w:szCs w:val="21"/>
          <w:highlight w:val="none"/>
        </w:rPr>
        <w:fldChar w:fldCharType="end"/>
      </w:r>
    </w:p>
    <w:p w14:paraId="4C036ACD">
      <w:pPr>
        <w:pStyle w:val="35"/>
        <w:ind w:firstLine="301"/>
        <w:rPr>
          <w:rFonts w:hint="eastAsia" w:asciiTheme="minorEastAsia" w:hAnsiTheme="minorEastAsia" w:eastAsiaTheme="minorEastAsia" w:cstheme="minorEastAsia"/>
          <w:b w:val="0"/>
          <w:bCs w:val="0"/>
          <w:caps w:val="0"/>
          <w:strike w:val="0"/>
          <w:dstrike w:val="0"/>
          <w:color w:val="auto"/>
          <w:sz w:val="21"/>
          <w:szCs w:val="21"/>
          <w:highlight w:val="none"/>
        </w:rPr>
      </w:pPr>
      <w:r>
        <w:rPr>
          <w:rFonts w:hint="eastAsia" w:asciiTheme="minorEastAsia" w:hAnsiTheme="minorEastAsia" w:eastAsiaTheme="minorEastAsia" w:cstheme="minorEastAsia"/>
          <w:strike w:val="0"/>
          <w:dstrike w:val="0"/>
          <w:color w:val="auto"/>
          <w:sz w:val="21"/>
          <w:szCs w:val="21"/>
          <w:highlight w:val="none"/>
        </w:rPr>
        <w:fldChar w:fldCharType="begin"/>
      </w:r>
      <w:r>
        <w:rPr>
          <w:rFonts w:hint="eastAsia" w:asciiTheme="minorEastAsia" w:hAnsiTheme="minorEastAsia" w:eastAsiaTheme="minorEastAsia" w:cstheme="minorEastAsia"/>
          <w:strike w:val="0"/>
          <w:dstrike w:val="0"/>
          <w:color w:val="auto"/>
          <w:sz w:val="21"/>
          <w:szCs w:val="21"/>
          <w:highlight w:val="none"/>
        </w:rPr>
        <w:instrText xml:space="preserve"> HYPERLINK \l "_Toc146612290" </w:instrText>
      </w:r>
      <w:r>
        <w:rPr>
          <w:rFonts w:hint="eastAsia" w:asciiTheme="minorEastAsia" w:hAnsiTheme="minorEastAsia" w:eastAsiaTheme="minorEastAsia" w:cstheme="minorEastAsia"/>
          <w:strike w:val="0"/>
          <w:dstrike w:val="0"/>
          <w:color w:val="auto"/>
          <w:sz w:val="21"/>
          <w:szCs w:val="21"/>
          <w:highlight w:val="none"/>
        </w:rPr>
        <w:fldChar w:fldCharType="separate"/>
      </w:r>
      <w:r>
        <w:rPr>
          <w:rStyle w:val="55"/>
          <w:rFonts w:hint="eastAsia" w:asciiTheme="minorEastAsia" w:hAnsiTheme="minorEastAsia" w:eastAsiaTheme="minorEastAsia" w:cstheme="minorEastAsia"/>
          <w:strike w:val="0"/>
          <w:dstrike w:val="0"/>
          <w:color w:val="auto"/>
          <w:sz w:val="21"/>
          <w:szCs w:val="21"/>
          <w:highlight w:val="none"/>
        </w:rPr>
        <w:t>第四章 评标方法及评标标准</w:t>
      </w:r>
      <w:r>
        <w:rPr>
          <w:rFonts w:hint="eastAsia" w:asciiTheme="minorEastAsia" w:hAnsiTheme="minorEastAsia" w:eastAsiaTheme="minorEastAsia" w:cstheme="minorEastAsia"/>
          <w:strike w:val="0"/>
          <w:dstrike w:val="0"/>
          <w:color w:val="auto"/>
          <w:sz w:val="21"/>
          <w:szCs w:val="21"/>
          <w:highlight w:val="none"/>
        </w:rPr>
        <w:tab/>
      </w:r>
      <w:r>
        <w:rPr>
          <w:rFonts w:hint="eastAsia" w:asciiTheme="minorEastAsia" w:hAnsiTheme="minorEastAsia" w:eastAsiaTheme="minorEastAsia" w:cstheme="minorEastAsia"/>
          <w:strike w:val="0"/>
          <w:dstrike w:val="0"/>
          <w:color w:val="auto"/>
          <w:sz w:val="21"/>
          <w:szCs w:val="21"/>
          <w:highlight w:val="none"/>
        </w:rPr>
        <w:fldChar w:fldCharType="begin"/>
      </w:r>
      <w:r>
        <w:rPr>
          <w:rFonts w:hint="eastAsia" w:asciiTheme="minorEastAsia" w:hAnsiTheme="minorEastAsia" w:eastAsiaTheme="minorEastAsia" w:cstheme="minorEastAsia"/>
          <w:strike w:val="0"/>
          <w:dstrike w:val="0"/>
          <w:color w:val="auto"/>
          <w:sz w:val="21"/>
          <w:szCs w:val="21"/>
          <w:highlight w:val="none"/>
        </w:rPr>
        <w:instrText xml:space="preserve"> PAGEREF _Toc146612290 \h </w:instrText>
      </w:r>
      <w:r>
        <w:rPr>
          <w:rFonts w:hint="eastAsia" w:asciiTheme="minorEastAsia" w:hAnsiTheme="minorEastAsia" w:eastAsiaTheme="minorEastAsia" w:cstheme="minorEastAsia"/>
          <w:strike w:val="0"/>
          <w:dstrike w:val="0"/>
          <w:color w:val="auto"/>
          <w:sz w:val="21"/>
          <w:szCs w:val="21"/>
          <w:highlight w:val="none"/>
        </w:rPr>
        <w:fldChar w:fldCharType="separate"/>
      </w:r>
      <w:r>
        <w:rPr>
          <w:rFonts w:hint="eastAsia" w:asciiTheme="minorEastAsia" w:hAnsiTheme="minorEastAsia" w:eastAsiaTheme="minorEastAsia" w:cstheme="minorEastAsia"/>
          <w:strike w:val="0"/>
          <w:dstrike w:val="0"/>
          <w:color w:val="auto"/>
          <w:sz w:val="21"/>
          <w:szCs w:val="21"/>
          <w:highlight w:val="none"/>
        </w:rPr>
        <w:t>41</w:t>
      </w:r>
      <w:r>
        <w:rPr>
          <w:rFonts w:hint="eastAsia" w:asciiTheme="minorEastAsia" w:hAnsiTheme="minorEastAsia" w:eastAsiaTheme="minorEastAsia" w:cstheme="minorEastAsia"/>
          <w:strike w:val="0"/>
          <w:dstrike w:val="0"/>
          <w:color w:val="auto"/>
          <w:sz w:val="21"/>
          <w:szCs w:val="21"/>
          <w:highlight w:val="none"/>
        </w:rPr>
        <w:fldChar w:fldCharType="end"/>
      </w:r>
      <w:r>
        <w:rPr>
          <w:rFonts w:hint="eastAsia" w:asciiTheme="minorEastAsia" w:hAnsiTheme="minorEastAsia" w:eastAsiaTheme="minorEastAsia" w:cstheme="minorEastAsia"/>
          <w:strike w:val="0"/>
          <w:dstrike w:val="0"/>
          <w:color w:val="auto"/>
          <w:sz w:val="21"/>
          <w:szCs w:val="21"/>
          <w:highlight w:val="none"/>
        </w:rPr>
        <w:fldChar w:fldCharType="end"/>
      </w:r>
    </w:p>
    <w:p w14:paraId="72B00119">
      <w:pPr>
        <w:pStyle w:val="35"/>
        <w:ind w:firstLine="301"/>
        <w:rPr>
          <w:rFonts w:hint="eastAsia" w:asciiTheme="minorEastAsia" w:hAnsiTheme="minorEastAsia" w:eastAsiaTheme="minorEastAsia" w:cstheme="minorEastAsia"/>
          <w:b w:val="0"/>
          <w:bCs w:val="0"/>
          <w:caps w:val="0"/>
          <w:strike w:val="0"/>
          <w:dstrike w:val="0"/>
          <w:color w:val="auto"/>
          <w:sz w:val="21"/>
          <w:szCs w:val="21"/>
          <w:highlight w:val="none"/>
        </w:rPr>
      </w:pPr>
      <w:r>
        <w:rPr>
          <w:rFonts w:hint="eastAsia" w:asciiTheme="minorEastAsia" w:hAnsiTheme="minorEastAsia" w:eastAsiaTheme="minorEastAsia" w:cstheme="minorEastAsia"/>
          <w:strike w:val="0"/>
          <w:dstrike w:val="0"/>
          <w:color w:val="auto"/>
          <w:sz w:val="21"/>
          <w:szCs w:val="21"/>
          <w:highlight w:val="none"/>
        </w:rPr>
        <w:fldChar w:fldCharType="begin"/>
      </w:r>
      <w:r>
        <w:rPr>
          <w:rFonts w:hint="eastAsia" w:asciiTheme="minorEastAsia" w:hAnsiTheme="minorEastAsia" w:eastAsiaTheme="minorEastAsia" w:cstheme="minorEastAsia"/>
          <w:strike w:val="0"/>
          <w:dstrike w:val="0"/>
          <w:color w:val="auto"/>
          <w:sz w:val="21"/>
          <w:szCs w:val="21"/>
          <w:highlight w:val="none"/>
        </w:rPr>
        <w:instrText xml:space="preserve"> HYPERLINK \l "_Toc146612291" </w:instrText>
      </w:r>
      <w:r>
        <w:rPr>
          <w:rFonts w:hint="eastAsia" w:asciiTheme="minorEastAsia" w:hAnsiTheme="minorEastAsia" w:eastAsiaTheme="minorEastAsia" w:cstheme="minorEastAsia"/>
          <w:strike w:val="0"/>
          <w:dstrike w:val="0"/>
          <w:color w:val="auto"/>
          <w:sz w:val="21"/>
          <w:szCs w:val="21"/>
          <w:highlight w:val="none"/>
        </w:rPr>
        <w:fldChar w:fldCharType="separate"/>
      </w:r>
      <w:r>
        <w:rPr>
          <w:rStyle w:val="55"/>
          <w:rFonts w:hint="eastAsia" w:asciiTheme="minorEastAsia" w:hAnsiTheme="minorEastAsia" w:eastAsiaTheme="minorEastAsia" w:cstheme="minorEastAsia"/>
          <w:strike w:val="0"/>
          <w:dstrike w:val="0"/>
          <w:color w:val="auto"/>
          <w:sz w:val="21"/>
          <w:szCs w:val="21"/>
          <w:highlight w:val="none"/>
        </w:rPr>
        <w:t>第五章 拟签订的合同文本</w:t>
      </w:r>
      <w:r>
        <w:rPr>
          <w:rFonts w:hint="eastAsia" w:asciiTheme="minorEastAsia" w:hAnsiTheme="minorEastAsia" w:eastAsiaTheme="minorEastAsia" w:cstheme="minorEastAsia"/>
          <w:strike w:val="0"/>
          <w:dstrike w:val="0"/>
          <w:color w:val="auto"/>
          <w:sz w:val="21"/>
          <w:szCs w:val="21"/>
          <w:highlight w:val="none"/>
        </w:rPr>
        <w:tab/>
      </w:r>
      <w:r>
        <w:rPr>
          <w:rFonts w:hint="eastAsia" w:asciiTheme="minorEastAsia" w:hAnsiTheme="minorEastAsia" w:eastAsiaTheme="minorEastAsia" w:cstheme="minorEastAsia"/>
          <w:strike w:val="0"/>
          <w:dstrike w:val="0"/>
          <w:color w:val="auto"/>
          <w:sz w:val="21"/>
          <w:szCs w:val="21"/>
          <w:highlight w:val="none"/>
        </w:rPr>
        <w:fldChar w:fldCharType="begin"/>
      </w:r>
      <w:r>
        <w:rPr>
          <w:rFonts w:hint="eastAsia" w:asciiTheme="minorEastAsia" w:hAnsiTheme="minorEastAsia" w:eastAsiaTheme="minorEastAsia" w:cstheme="minorEastAsia"/>
          <w:strike w:val="0"/>
          <w:dstrike w:val="0"/>
          <w:color w:val="auto"/>
          <w:sz w:val="21"/>
          <w:szCs w:val="21"/>
          <w:highlight w:val="none"/>
        </w:rPr>
        <w:instrText xml:space="preserve"> PAGEREF _Toc146612291 \h </w:instrText>
      </w:r>
      <w:r>
        <w:rPr>
          <w:rFonts w:hint="eastAsia" w:asciiTheme="minorEastAsia" w:hAnsiTheme="minorEastAsia" w:eastAsiaTheme="minorEastAsia" w:cstheme="minorEastAsia"/>
          <w:strike w:val="0"/>
          <w:dstrike w:val="0"/>
          <w:color w:val="auto"/>
          <w:sz w:val="21"/>
          <w:szCs w:val="21"/>
          <w:highlight w:val="none"/>
        </w:rPr>
        <w:fldChar w:fldCharType="separate"/>
      </w:r>
      <w:r>
        <w:rPr>
          <w:rFonts w:hint="eastAsia" w:asciiTheme="minorEastAsia" w:hAnsiTheme="minorEastAsia" w:eastAsiaTheme="minorEastAsia" w:cstheme="minorEastAsia"/>
          <w:strike w:val="0"/>
          <w:dstrike w:val="0"/>
          <w:color w:val="auto"/>
          <w:sz w:val="21"/>
          <w:szCs w:val="21"/>
          <w:highlight w:val="none"/>
        </w:rPr>
        <w:t>51</w:t>
      </w:r>
      <w:r>
        <w:rPr>
          <w:rFonts w:hint="eastAsia" w:asciiTheme="minorEastAsia" w:hAnsiTheme="minorEastAsia" w:eastAsiaTheme="minorEastAsia" w:cstheme="minorEastAsia"/>
          <w:strike w:val="0"/>
          <w:dstrike w:val="0"/>
          <w:color w:val="auto"/>
          <w:sz w:val="21"/>
          <w:szCs w:val="21"/>
          <w:highlight w:val="none"/>
        </w:rPr>
        <w:fldChar w:fldCharType="end"/>
      </w:r>
      <w:r>
        <w:rPr>
          <w:rFonts w:hint="eastAsia" w:asciiTheme="minorEastAsia" w:hAnsiTheme="minorEastAsia" w:eastAsiaTheme="minorEastAsia" w:cstheme="minorEastAsia"/>
          <w:strike w:val="0"/>
          <w:dstrike w:val="0"/>
          <w:color w:val="auto"/>
          <w:sz w:val="21"/>
          <w:szCs w:val="21"/>
          <w:highlight w:val="none"/>
        </w:rPr>
        <w:fldChar w:fldCharType="end"/>
      </w:r>
    </w:p>
    <w:p w14:paraId="5B17A0AB">
      <w:pPr>
        <w:pStyle w:val="35"/>
        <w:ind w:firstLine="301"/>
        <w:rPr>
          <w:rFonts w:hint="eastAsia" w:asciiTheme="minorEastAsia" w:hAnsiTheme="minorEastAsia" w:eastAsiaTheme="minorEastAsia" w:cstheme="minorEastAsia"/>
          <w:b w:val="0"/>
          <w:bCs w:val="0"/>
          <w:caps w:val="0"/>
          <w:strike w:val="0"/>
          <w:dstrike w:val="0"/>
          <w:color w:val="auto"/>
          <w:sz w:val="21"/>
          <w:szCs w:val="22"/>
          <w:highlight w:val="none"/>
        </w:rPr>
      </w:pPr>
      <w:r>
        <w:rPr>
          <w:rFonts w:hint="eastAsia" w:asciiTheme="minorEastAsia" w:hAnsiTheme="minorEastAsia" w:eastAsiaTheme="minorEastAsia" w:cstheme="minorEastAsia"/>
          <w:strike w:val="0"/>
          <w:dstrike w:val="0"/>
          <w:color w:val="auto"/>
          <w:sz w:val="21"/>
          <w:szCs w:val="21"/>
          <w:highlight w:val="none"/>
        </w:rPr>
        <w:fldChar w:fldCharType="begin"/>
      </w:r>
      <w:r>
        <w:rPr>
          <w:rFonts w:hint="eastAsia" w:asciiTheme="minorEastAsia" w:hAnsiTheme="minorEastAsia" w:eastAsiaTheme="minorEastAsia" w:cstheme="minorEastAsia"/>
          <w:strike w:val="0"/>
          <w:dstrike w:val="0"/>
          <w:color w:val="auto"/>
          <w:sz w:val="21"/>
          <w:szCs w:val="21"/>
          <w:highlight w:val="none"/>
        </w:rPr>
        <w:instrText xml:space="preserve"> HYPERLINK \l "_Toc146612292" </w:instrText>
      </w:r>
      <w:r>
        <w:rPr>
          <w:rFonts w:hint="eastAsia" w:asciiTheme="minorEastAsia" w:hAnsiTheme="minorEastAsia" w:eastAsiaTheme="minorEastAsia" w:cstheme="minorEastAsia"/>
          <w:strike w:val="0"/>
          <w:dstrike w:val="0"/>
          <w:color w:val="auto"/>
          <w:sz w:val="21"/>
          <w:szCs w:val="21"/>
          <w:highlight w:val="none"/>
        </w:rPr>
        <w:fldChar w:fldCharType="separate"/>
      </w:r>
      <w:r>
        <w:rPr>
          <w:rStyle w:val="55"/>
          <w:rFonts w:hint="eastAsia" w:asciiTheme="minorEastAsia" w:hAnsiTheme="minorEastAsia" w:eastAsiaTheme="minorEastAsia" w:cstheme="minorEastAsia"/>
          <w:strike w:val="0"/>
          <w:dstrike w:val="0"/>
          <w:color w:val="auto"/>
          <w:sz w:val="21"/>
          <w:szCs w:val="21"/>
          <w:highlight w:val="none"/>
        </w:rPr>
        <w:t>第六章 投标文件格式</w:t>
      </w:r>
      <w:r>
        <w:rPr>
          <w:rFonts w:hint="eastAsia" w:asciiTheme="minorEastAsia" w:hAnsiTheme="minorEastAsia" w:eastAsiaTheme="minorEastAsia" w:cstheme="minorEastAsia"/>
          <w:strike w:val="0"/>
          <w:dstrike w:val="0"/>
          <w:color w:val="auto"/>
          <w:sz w:val="21"/>
          <w:szCs w:val="21"/>
          <w:highlight w:val="none"/>
        </w:rPr>
        <w:tab/>
      </w:r>
      <w:r>
        <w:rPr>
          <w:rFonts w:hint="eastAsia" w:asciiTheme="minorEastAsia" w:hAnsiTheme="minorEastAsia" w:eastAsiaTheme="minorEastAsia" w:cstheme="minorEastAsia"/>
          <w:strike w:val="0"/>
          <w:dstrike w:val="0"/>
          <w:color w:val="auto"/>
          <w:sz w:val="21"/>
          <w:szCs w:val="21"/>
          <w:highlight w:val="none"/>
        </w:rPr>
        <w:fldChar w:fldCharType="begin"/>
      </w:r>
      <w:r>
        <w:rPr>
          <w:rFonts w:hint="eastAsia" w:asciiTheme="minorEastAsia" w:hAnsiTheme="minorEastAsia" w:eastAsiaTheme="minorEastAsia" w:cstheme="minorEastAsia"/>
          <w:strike w:val="0"/>
          <w:dstrike w:val="0"/>
          <w:color w:val="auto"/>
          <w:sz w:val="21"/>
          <w:szCs w:val="21"/>
          <w:highlight w:val="none"/>
        </w:rPr>
        <w:instrText xml:space="preserve"> PAGEREF _Toc146612292 \h </w:instrText>
      </w:r>
      <w:r>
        <w:rPr>
          <w:rFonts w:hint="eastAsia" w:asciiTheme="minorEastAsia" w:hAnsiTheme="minorEastAsia" w:eastAsiaTheme="minorEastAsia" w:cstheme="minorEastAsia"/>
          <w:strike w:val="0"/>
          <w:dstrike w:val="0"/>
          <w:color w:val="auto"/>
          <w:sz w:val="21"/>
          <w:szCs w:val="21"/>
          <w:highlight w:val="none"/>
        </w:rPr>
        <w:fldChar w:fldCharType="separate"/>
      </w:r>
      <w:r>
        <w:rPr>
          <w:rFonts w:hint="eastAsia" w:asciiTheme="minorEastAsia" w:hAnsiTheme="minorEastAsia" w:eastAsiaTheme="minorEastAsia" w:cstheme="minorEastAsia"/>
          <w:strike w:val="0"/>
          <w:dstrike w:val="0"/>
          <w:color w:val="auto"/>
          <w:sz w:val="21"/>
          <w:szCs w:val="21"/>
          <w:highlight w:val="none"/>
        </w:rPr>
        <w:t>53</w:t>
      </w:r>
      <w:r>
        <w:rPr>
          <w:rFonts w:hint="eastAsia" w:asciiTheme="minorEastAsia" w:hAnsiTheme="minorEastAsia" w:eastAsiaTheme="minorEastAsia" w:cstheme="minorEastAsia"/>
          <w:strike w:val="0"/>
          <w:dstrike w:val="0"/>
          <w:color w:val="auto"/>
          <w:sz w:val="21"/>
          <w:szCs w:val="21"/>
          <w:highlight w:val="none"/>
        </w:rPr>
        <w:fldChar w:fldCharType="end"/>
      </w:r>
      <w:r>
        <w:rPr>
          <w:rFonts w:hint="eastAsia" w:asciiTheme="minorEastAsia" w:hAnsiTheme="minorEastAsia" w:eastAsiaTheme="minorEastAsia" w:cstheme="minorEastAsia"/>
          <w:strike w:val="0"/>
          <w:dstrike w:val="0"/>
          <w:color w:val="auto"/>
          <w:sz w:val="21"/>
          <w:szCs w:val="21"/>
          <w:highlight w:val="none"/>
        </w:rPr>
        <w:fldChar w:fldCharType="end"/>
      </w:r>
    </w:p>
    <w:p w14:paraId="50A8AB38">
      <w:pPr>
        <w:spacing w:beforeLines="50" w:line="480" w:lineRule="exact"/>
        <w:rPr>
          <w:rFonts w:hint="eastAsia" w:asciiTheme="minorEastAsia" w:hAnsiTheme="minorEastAsia" w:eastAsiaTheme="minorEastAsia" w:cstheme="minorEastAsia"/>
          <w:strike w:val="0"/>
          <w:dstrike w:val="0"/>
          <w:color w:val="auto"/>
          <w:sz w:val="24"/>
          <w:highlight w:val="none"/>
        </w:rPr>
      </w:pPr>
      <w:r>
        <w:rPr>
          <w:rFonts w:hint="eastAsia" w:asciiTheme="minorEastAsia" w:hAnsiTheme="minorEastAsia" w:eastAsiaTheme="minorEastAsia" w:cstheme="minorEastAsia"/>
          <w:b/>
          <w:strike w:val="0"/>
          <w:dstrike w:val="0"/>
          <w:color w:val="auto"/>
          <w:sz w:val="30"/>
          <w:highlight w:val="none"/>
        </w:rPr>
        <w:fldChar w:fldCharType="end"/>
      </w:r>
    </w:p>
    <w:p w14:paraId="6FD59775">
      <w:pPr>
        <w:spacing w:beforeLines="50" w:line="480" w:lineRule="exact"/>
        <w:rPr>
          <w:rFonts w:hint="eastAsia" w:asciiTheme="minorEastAsia" w:hAnsiTheme="minorEastAsia" w:eastAsiaTheme="minorEastAsia" w:cstheme="minorEastAsia"/>
          <w:strike w:val="0"/>
          <w:dstrike w:val="0"/>
          <w:color w:val="auto"/>
          <w:sz w:val="30"/>
          <w:highlight w:val="none"/>
        </w:rPr>
      </w:pPr>
    </w:p>
    <w:p w14:paraId="6496827E">
      <w:pPr>
        <w:pStyle w:val="3"/>
        <w:keepNext w:val="0"/>
        <w:keepLines w:val="0"/>
        <w:tabs>
          <w:tab w:val="left" w:pos="0"/>
          <w:tab w:val="left" w:pos="3165"/>
          <w:tab w:val="center" w:pos="4153"/>
        </w:tabs>
        <w:autoSpaceDE w:val="0"/>
        <w:autoSpaceDN w:val="0"/>
        <w:adjustRightInd w:val="0"/>
        <w:spacing w:before="0" w:after="0" w:line="360" w:lineRule="auto"/>
        <w:rPr>
          <w:rFonts w:hint="eastAsia" w:asciiTheme="minorEastAsia" w:hAnsiTheme="minorEastAsia" w:eastAsiaTheme="minorEastAsia" w:cstheme="minorEastAsia"/>
          <w:strike w:val="0"/>
          <w:dstrike w:val="0"/>
          <w:color w:val="auto"/>
          <w:highlight w:val="none"/>
        </w:rPr>
        <w:sectPr>
          <w:footerReference r:id="rId10" w:type="first"/>
          <w:headerReference r:id="rId7" w:type="default"/>
          <w:footerReference r:id="rId8" w:type="default"/>
          <w:footerReference r:id="rId9" w:type="even"/>
          <w:pgSz w:w="11906" w:h="16838"/>
          <w:pgMar w:top="1134" w:right="1247" w:bottom="1134" w:left="1247" w:header="737" w:footer="680" w:gutter="113"/>
          <w:pgNumType w:fmt="upperRoman"/>
          <w:cols w:space="720" w:num="1"/>
          <w:titlePg/>
          <w:docGrid w:linePitch="312" w:charSpace="0"/>
        </w:sectPr>
      </w:pPr>
      <w:bookmarkStart w:id="2" w:name="_Toc254970489"/>
      <w:bookmarkStart w:id="3" w:name="_Toc254970630"/>
    </w:p>
    <w:p w14:paraId="0487A23A">
      <w:pPr>
        <w:pStyle w:val="3"/>
        <w:keepNext w:val="0"/>
        <w:keepLines w:val="0"/>
        <w:tabs>
          <w:tab w:val="left" w:pos="0"/>
          <w:tab w:val="left" w:pos="3165"/>
          <w:tab w:val="center" w:pos="4153"/>
        </w:tabs>
        <w:autoSpaceDE w:val="0"/>
        <w:autoSpaceDN w:val="0"/>
        <w:adjustRightInd w:val="0"/>
        <w:spacing w:before="0" w:after="0" w:line="360" w:lineRule="auto"/>
        <w:rPr>
          <w:rFonts w:hint="eastAsia" w:ascii="方正小标宋_GBK" w:hAnsi="方正小标宋_GBK" w:eastAsia="方正小标宋_GBK" w:cs="方正小标宋_GBK"/>
          <w:strike w:val="0"/>
          <w:dstrike w:val="0"/>
          <w:color w:val="auto"/>
          <w:sz w:val="21"/>
          <w:szCs w:val="21"/>
          <w:highlight w:val="none"/>
        </w:rPr>
      </w:pPr>
      <w:bookmarkStart w:id="4" w:name="_Toc146612287"/>
      <w:r>
        <w:rPr>
          <w:rFonts w:hint="eastAsia" w:ascii="方正小标宋_GBK" w:hAnsi="方正小标宋_GBK" w:eastAsia="方正小标宋_GBK" w:cs="方正小标宋_GBK"/>
          <w:strike w:val="0"/>
          <w:dstrike w:val="0"/>
          <w:color w:val="auto"/>
          <w:sz w:val="21"/>
          <w:szCs w:val="21"/>
          <w:highlight w:val="none"/>
        </w:rPr>
        <w:t>第一章</w:t>
      </w:r>
      <w:bookmarkEnd w:id="2"/>
      <w:bookmarkEnd w:id="3"/>
      <w:bookmarkStart w:id="5" w:name="_Toc28359001"/>
      <w:bookmarkStart w:id="6" w:name="_Toc35393789"/>
      <w:r>
        <w:rPr>
          <w:rFonts w:hint="eastAsia" w:ascii="方正小标宋_GBK" w:hAnsi="方正小标宋_GBK" w:eastAsia="方正小标宋_GBK" w:cs="方正小标宋_GBK"/>
          <w:strike w:val="0"/>
          <w:dstrike w:val="0"/>
          <w:color w:val="auto"/>
          <w:sz w:val="21"/>
          <w:szCs w:val="21"/>
          <w:highlight w:val="none"/>
        </w:rPr>
        <w:t xml:space="preserve"> 招标公告</w:t>
      </w:r>
      <w:bookmarkEnd w:id="4"/>
      <w:bookmarkEnd w:id="5"/>
      <w:bookmarkEnd w:id="6"/>
      <w:bookmarkStart w:id="7" w:name="OLE_LINK15"/>
      <w:bookmarkStart w:id="8" w:name="OLE_LINK20"/>
      <w:bookmarkStart w:id="9" w:name="OLE_LINK3"/>
      <w:bookmarkStart w:id="10" w:name="OLE_LINK29"/>
    </w:p>
    <w:p w14:paraId="36831F48">
      <w:pPr>
        <w:keepNext w:val="0"/>
        <w:keepLines w:val="0"/>
        <w:pageBreakBefore w:val="0"/>
        <w:pBdr>
          <w:top w:val="single" w:color="auto" w:sz="4" w:space="1"/>
          <w:left w:val="single" w:color="auto" w:sz="4" w:space="4"/>
          <w:bottom w:val="single" w:color="auto" w:sz="4" w:space="1"/>
          <w:right w:val="single" w:color="auto" w:sz="4" w:space="0"/>
        </w:pBdr>
        <w:kinsoku/>
        <w:overflowPunct/>
        <w:topLinePunct w:val="0"/>
        <w:autoSpaceDE/>
        <w:autoSpaceDN/>
        <w:bidi w:val="0"/>
        <w:spacing w:line="400" w:lineRule="exact"/>
        <w:textAlignment w:val="auto"/>
        <w:rPr>
          <w:rFonts w:hint="eastAsia" w:ascii="宋体" w:hAnsi="宋体" w:eastAsia="宋体" w:cs="宋体"/>
          <w:b/>
          <w:strike w:val="0"/>
          <w:dstrike w:val="0"/>
          <w:color w:val="auto"/>
          <w:sz w:val="21"/>
          <w:szCs w:val="21"/>
          <w:highlight w:val="none"/>
          <w:lang w:eastAsia="zh-CN"/>
        </w:rPr>
      </w:pPr>
      <w:r>
        <w:rPr>
          <w:rFonts w:hint="eastAsia" w:ascii="宋体" w:hAnsi="宋体" w:eastAsia="宋体" w:cs="宋体"/>
          <w:b/>
          <w:strike w:val="0"/>
          <w:dstrike w:val="0"/>
          <w:color w:val="auto"/>
          <w:sz w:val="21"/>
          <w:szCs w:val="21"/>
          <w:highlight w:val="none"/>
        </w:rPr>
        <w:t>项目概况</w:t>
      </w:r>
      <w:r>
        <w:rPr>
          <w:rFonts w:hint="eastAsia" w:ascii="宋体" w:hAnsi="宋体" w:eastAsia="宋体" w:cs="宋体"/>
          <w:b/>
          <w:strike w:val="0"/>
          <w:dstrike w:val="0"/>
          <w:color w:val="auto"/>
          <w:sz w:val="21"/>
          <w:szCs w:val="21"/>
          <w:highlight w:val="none"/>
          <w:lang w:eastAsia="zh-CN"/>
        </w:rPr>
        <w:t>：</w:t>
      </w:r>
    </w:p>
    <w:p w14:paraId="6D89F28F">
      <w:pPr>
        <w:keepNext w:val="0"/>
        <w:keepLines w:val="0"/>
        <w:pageBreakBefore w:val="0"/>
        <w:pBdr>
          <w:top w:val="single" w:color="auto" w:sz="4" w:space="1"/>
          <w:left w:val="single" w:color="auto" w:sz="4" w:space="4"/>
          <w:bottom w:val="single" w:color="auto" w:sz="4" w:space="1"/>
          <w:right w:val="single" w:color="auto" w:sz="4" w:space="0"/>
        </w:pBdr>
        <w:kinsoku/>
        <w:overflowPunct/>
        <w:topLinePunct w:val="0"/>
        <w:autoSpaceDE/>
        <w:autoSpaceDN/>
        <w:bidi w:val="0"/>
        <w:spacing w:line="400" w:lineRule="exact"/>
        <w:ind w:firstLine="420" w:firstLineChars="200"/>
        <w:textAlignment w:val="auto"/>
        <w:rPr>
          <w:rFonts w:hint="eastAsia" w:ascii="宋体" w:hAnsi="宋体" w:eastAsia="宋体" w:cs="宋体"/>
          <w:strike w:val="0"/>
          <w:dstrike w:val="0"/>
          <w:color w:val="auto"/>
          <w:sz w:val="21"/>
          <w:szCs w:val="21"/>
          <w:highlight w:val="none"/>
        </w:rPr>
      </w:pPr>
      <w:bookmarkStart w:id="11" w:name="OLE_LINK31"/>
      <w:bookmarkStart w:id="12" w:name="OLE_LINK30"/>
      <w:r>
        <w:rPr>
          <w:rFonts w:hint="eastAsia" w:ascii="宋体" w:hAnsi="宋体" w:cs="宋体"/>
          <w:strike w:val="0"/>
          <w:dstrike w:val="0"/>
          <w:color w:val="auto"/>
          <w:sz w:val="21"/>
          <w:szCs w:val="21"/>
          <w:highlight w:val="none"/>
          <w:u w:val="single"/>
          <w:lang w:eastAsia="zh-CN"/>
        </w:rPr>
        <w:t>广西集中式饮用水水源涉重金属环境安全隐患排查和试点水源地重金属污染精准溯源项目</w:t>
      </w:r>
      <w:r>
        <w:rPr>
          <w:rFonts w:hint="eastAsia" w:ascii="宋体" w:hAnsi="宋体" w:eastAsia="宋体" w:cs="宋体"/>
          <w:strike w:val="0"/>
          <w:dstrike w:val="0"/>
          <w:color w:val="auto"/>
          <w:sz w:val="21"/>
          <w:szCs w:val="21"/>
          <w:highlight w:val="none"/>
        </w:rPr>
        <w:t>项目的潜在投标人应在“</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z w:val="21"/>
          <w:szCs w:val="21"/>
          <w:highlight w:val="none"/>
          <w:lang w:eastAsia="zh-CN"/>
        </w:rPr>
        <w:t>https://www.gcy.zfcg.gxzf.gov.cn/</w:t>
      </w: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z w:val="21"/>
          <w:szCs w:val="21"/>
          <w:highlight w:val="none"/>
          <w:u w:val="none"/>
        </w:rPr>
        <w:t>自行下载获</w:t>
      </w:r>
      <w:r>
        <w:rPr>
          <w:rFonts w:hint="eastAsia" w:ascii="宋体" w:hAnsi="宋体" w:eastAsia="宋体" w:cs="宋体"/>
          <w:strike w:val="0"/>
          <w:dstrike w:val="0"/>
          <w:color w:val="auto"/>
          <w:sz w:val="21"/>
          <w:szCs w:val="21"/>
          <w:highlight w:val="none"/>
        </w:rPr>
        <w:t>取招标文件，并于</w:t>
      </w:r>
      <w:bookmarkStart w:id="13" w:name="OLE_LINK206"/>
      <w:bookmarkStart w:id="14" w:name="OLE_LINK205"/>
      <w:r>
        <w:rPr>
          <w:rFonts w:hint="eastAsia" w:ascii="宋体" w:hAnsi="宋体" w:eastAsia="宋体" w:cs="宋体"/>
          <w:strike w:val="0"/>
          <w:dstrike w:val="0"/>
          <w:color w:val="auto"/>
          <w:sz w:val="21"/>
          <w:szCs w:val="21"/>
          <w:highlight w:val="none"/>
          <w:u w:val="single"/>
        </w:rPr>
        <w:t>202</w:t>
      </w:r>
      <w:r>
        <w:rPr>
          <w:rFonts w:hint="eastAsia" w:ascii="宋体" w:hAnsi="宋体" w:cs="宋体"/>
          <w:strike w:val="0"/>
          <w:dstrike w:val="0"/>
          <w:color w:val="auto"/>
          <w:sz w:val="21"/>
          <w:szCs w:val="21"/>
          <w:highlight w:val="none"/>
          <w:u w:val="single"/>
          <w:lang w:val="en-US" w:eastAsia="zh-CN"/>
        </w:rPr>
        <w:t>6</w:t>
      </w:r>
      <w:r>
        <w:rPr>
          <w:rFonts w:hint="eastAsia" w:ascii="宋体" w:hAnsi="宋体" w:eastAsia="宋体" w:cs="宋体"/>
          <w:bCs/>
          <w:strike w:val="0"/>
          <w:dstrike w:val="0"/>
          <w:color w:val="auto"/>
          <w:sz w:val="21"/>
          <w:szCs w:val="21"/>
          <w:highlight w:val="none"/>
          <w:u w:val="single"/>
        </w:rPr>
        <w:t>年</w:t>
      </w:r>
      <w:r>
        <w:rPr>
          <w:rFonts w:hint="eastAsia" w:ascii="宋体" w:hAnsi="宋体" w:cs="宋体"/>
          <w:bCs/>
          <w:strike w:val="0"/>
          <w:dstrike w:val="0"/>
          <w:color w:val="auto"/>
          <w:sz w:val="21"/>
          <w:szCs w:val="21"/>
          <w:highlight w:val="none"/>
          <w:u w:val="single"/>
          <w:lang w:val="en-US" w:eastAsia="zh-CN"/>
        </w:rPr>
        <w:t>3</w:t>
      </w:r>
      <w:r>
        <w:rPr>
          <w:rFonts w:hint="eastAsia" w:ascii="宋体" w:hAnsi="宋体" w:eastAsia="宋体" w:cs="宋体"/>
          <w:bCs/>
          <w:strike w:val="0"/>
          <w:dstrike w:val="0"/>
          <w:color w:val="auto"/>
          <w:sz w:val="21"/>
          <w:szCs w:val="21"/>
          <w:highlight w:val="none"/>
          <w:u w:val="single"/>
        </w:rPr>
        <w:t>月</w:t>
      </w:r>
      <w:r>
        <w:rPr>
          <w:rFonts w:hint="eastAsia" w:ascii="宋体" w:hAnsi="宋体" w:cs="宋体"/>
          <w:bCs/>
          <w:strike w:val="0"/>
          <w:dstrike w:val="0"/>
          <w:color w:val="auto"/>
          <w:sz w:val="21"/>
          <w:szCs w:val="21"/>
          <w:highlight w:val="none"/>
          <w:u w:val="single"/>
          <w:lang w:val="en-US" w:eastAsia="zh-CN"/>
        </w:rPr>
        <w:t>12</w:t>
      </w:r>
      <w:r>
        <w:rPr>
          <w:rFonts w:hint="eastAsia" w:ascii="宋体" w:hAnsi="宋体" w:eastAsia="宋体" w:cs="宋体"/>
          <w:bCs/>
          <w:strike w:val="0"/>
          <w:dstrike w:val="0"/>
          <w:color w:val="auto"/>
          <w:sz w:val="21"/>
          <w:szCs w:val="21"/>
          <w:highlight w:val="none"/>
          <w:u w:val="single"/>
        </w:rPr>
        <w:t>日</w:t>
      </w:r>
      <w:r>
        <w:rPr>
          <w:rFonts w:hint="eastAsia" w:ascii="宋体" w:hAnsi="宋体" w:cs="宋体"/>
          <w:bCs/>
          <w:strike w:val="0"/>
          <w:dstrike w:val="0"/>
          <w:color w:val="auto"/>
          <w:sz w:val="21"/>
          <w:szCs w:val="21"/>
          <w:highlight w:val="none"/>
          <w:u w:val="single"/>
          <w:lang w:val="en-US" w:eastAsia="zh-CN"/>
        </w:rPr>
        <w:t>9</w:t>
      </w:r>
      <w:r>
        <w:rPr>
          <w:rFonts w:hint="eastAsia" w:ascii="宋体" w:hAnsi="宋体" w:eastAsia="宋体" w:cs="宋体"/>
          <w:strike w:val="0"/>
          <w:dstrike w:val="0"/>
          <w:color w:val="auto"/>
          <w:sz w:val="21"/>
          <w:szCs w:val="21"/>
          <w:highlight w:val="none"/>
          <w:u w:val="single"/>
          <w:lang w:val="en-US" w:eastAsia="zh-CN"/>
        </w:rPr>
        <w:t>时</w:t>
      </w:r>
      <w:bookmarkEnd w:id="13"/>
      <w:bookmarkEnd w:id="14"/>
      <w:r>
        <w:rPr>
          <w:rFonts w:hint="eastAsia" w:ascii="宋体" w:hAnsi="宋体" w:cs="宋体"/>
          <w:strike w:val="0"/>
          <w:dstrike w:val="0"/>
          <w:color w:val="auto"/>
          <w:sz w:val="21"/>
          <w:szCs w:val="21"/>
          <w:highlight w:val="none"/>
          <w:u w:val="single"/>
          <w:lang w:val="en-US" w:eastAsia="zh-CN"/>
        </w:rPr>
        <w:t>30</w:t>
      </w:r>
      <w:r>
        <w:rPr>
          <w:rFonts w:hint="eastAsia" w:ascii="宋体" w:hAnsi="宋体" w:eastAsia="宋体" w:cs="宋体"/>
          <w:strike w:val="0"/>
          <w:dstrike w:val="0"/>
          <w:color w:val="auto"/>
          <w:sz w:val="21"/>
          <w:szCs w:val="21"/>
          <w:highlight w:val="none"/>
          <w:u w:val="single"/>
          <w:lang w:val="en-US" w:eastAsia="zh-CN"/>
        </w:rPr>
        <w:t>分</w:t>
      </w:r>
      <w:r>
        <w:rPr>
          <w:rFonts w:hint="eastAsia" w:ascii="宋体" w:hAnsi="宋体" w:eastAsia="宋体" w:cs="宋体"/>
          <w:strike w:val="0"/>
          <w:dstrike w:val="0"/>
          <w:color w:val="auto"/>
          <w:sz w:val="21"/>
          <w:szCs w:val="21"/>
          <w:highlight w:val="none"/>
          <w:u w:val="single"/>
        </w:rPr>
        <w:t>（北京时间）</w:t>
      </w:r>
      <w:r>
        <w:rPr>
          <w:rFonts w:hint="eastAsia" w:ascii="宋体" w:hAnsi="宋体" w:eastAsia="宋体" w:cs="宋体"/>
          <w:bCs/>
          <w:strike w:val="0"/>
          <w:dstrike w:val="0"/>
          <w:color w:val="auto"/>
          <w:sz w:val="21"/>
          <w:szCs w:val="21"/>
          <w:highlight w:val="none"/>
        </w:rPr>
        <w:t>前按要求递交投标文件</w:t>
      </w:r>
      <w:r>
        <w:rPr>
          <w:rFonts w:hint="eastAsia" w:ascii="宋体" w:hAnsi="宋体" w:eastAsia="宋体" w:cs="宋体"/>
          <w:strike w:val="0"/>
          <w:dstrike w:val="0"/>
          <w:color w:val="auto"/>
          <w:sz w:val="21"/>
          <w:szCs w:val="21"/>
          <w:highlight w:val="none"/>
        </w:rPr>
        <w:t>。</w:t>
      </w:r>
    </w:p>
    <w:bookmarkEnd w:id="11"/>
    <w:bookmarkEnd w:id="12"/>
    <w:p w14:paraId="01439F46">
      <w:pPr>
        <w:keepNext w:val="0"/>
        <w:keepLines w:val="0"/>
        <w:pageBreakBefore w:val="0"/>
        <w:kinsoku/>
        <w:overflowPunct/>
        <w:topLinePunct w:val="0"/>
        <w:autoSpaceDE/>
        <w:autoSpaceDN/>
        <w:bidi w:val="0"/>
        <w:spacing w:line="400" w:lineRule="exact"/>
        <w:textAlignment w:val="auto"/>
        <w:rPr>
          <w:rFonts w:hint="eastAsia" w:ascii="宋体" w:hAnsi="宋体" w:eastAsia="宋体" w:cs="宋体"/>
          <w:b/>
          <w:bCs/>
          <w:strike w:val="0"/>
          <w:dstrike w:val="0"/>
          <w:color w:val="auto"/>
          <w:sz w:val="21"/>
          <w:szCs w:val="21"/>
          <w:highlight w:val="none"/>
        </w:rPr>
      </w:pPr>
      <w:bookmarkStart w:id="15" w:name="_Toc35393621"/>
      <w:bookmarkStart w:id="16" w:name="_Toc28359079"/>
      <w:bookmarkStart w:id="17" w:name="_Toc28359002"/>
      <w:bookmarkStart w:id="18" w:name="_Toc35393790"/>
      <w:bookmarkStart w:id="19" w:name="_Hlk24379207"/>
      <w:r>
        <w:rPr>
          <w:rFonts w:hint="eastAsia" w:ascii="宋体" w:hAnsi="宋体" w:eastAsia="宋体" w:cs="宋体"/>
          <w:b/>
          <w:bCs/>
          <w:strike w:val="0"/>
          <w:dstrike w:val="0"/>
          <w:color w:val="auto"/>
          <w:sz w:val="21"/>
          <w:szCs w:val="21"/>
          <w:highlight w:val="none"/>
        </w:rPr>
        <w:t>一、项目基本情况</w:t>
      </w:r>
      <w:bookmarkEnd w:id="15"/>
      <w:bookmarkEnd w:id="16"/>
      <w:bookmarkEnd w:id="17"/>
      <w:bookmarkEnd w:id="18"/>
    </w:p>
    <w:p w14:paraId="7AC12982">
      <w:pPr>
        <w:keepNext w:val="0"/>
        <w:keepLines w:val="0"/>
        <w:pageBreakBefore w:val="0"/>
        <w:kinsoku/>
        <w:overflowPunct/>
        <w:topLinePunct w:val="0"/>
        <w:autoSpaceDE/>
        <w:autoSpaceDN/>
        <w:bidi w:val="0"/>
        <w:spacing w:line="400" w:lineRule="exact"/>
        <w:ind w:firstLine="420" w:firstLineChars="200"/>
        <w:jc w:val="left"/>
        <w:textAlignment w:val="auto"/>
        <w:rPr>
          <w:rFonts w:hint="eastAsia" w:ascii="宋体" w:hAnsi="宋体" w:eastAsia="宋体" w:cs="宋体"/>
          <w:strike w:val="0"/>
          <w:dstrike w:val="0"/>
          <w:color w:val="auto"/>
          <w:sz w:val="21"/>
          <w:szCs w:val="21"/>
          <w:highlight w:val="none"/>
          <w:lang w:eastAsia="zh-CN"/>
        </w:rPr>
      </w:pPr>
      <w:bookmarkStart w:id="20" w:name="OLE_LINK33"/>
      <w:bookmarkStart w:id="21" w:name="OLE_LINK32"/>
      <w:r>
        <w:rPr>
          <w:rFonts w:hint="eastAsia" w:ascii="宋体" w:hAnsi="宋体" w:eastAsia="宋体" w:cs="宋体"/>
          <w:strike w:val="0"/>
          <w:dstrike w:val="0"/>
          <w:color w:val="auto"/>
          <w:sz w:val="21"/>
          <w:szCs w:val="21"/>
          <w:highlight w:val="none"/>
        </w:rPr>
        <w:t>项目编号：</w:t>
      </w:r>
      <w:r>
        <w:rPr>
          <w:rFonts w:hint="eastAsia" w:ascii="宋体" w:hAnsi="宋体" w:cs="宋体"/>
          <w:strike w:val="0"/>
          <w:dstrike w:val="0"/>
          <w:color w:val="auto"/>
          <w:sz w:val="21"/>
          <w:szCs w:val="21"/>
          <w:highlight w:val="none"/>
          <w:lang w:eastAsia="zh-CN"/>
        </w:rPr>
        <w:t>GXZC2026-G3-000158-GXYZ</w:t>
      </w:r>
    </w:p>
    <w:p w14:paraId="7E71B18A">
      <w:pPr>
        <w:keepNext w:val="0"/>
        <w:keepLines w:val="0"/>
        <w:pageBreakBefore w:val="0"/>
        <w:kinsoku/>
        <w:overflowPunct/>
        <w:topLinePunct w:val="0"/>
        <w:autoSpaceDE/>
        <w:autoSpaceDN/>
        <w:bidi w:val="0"/>
        <w:spacing w:line="400" w:lineRule="exact"/>
        <w:ind w:firstLine="420" w:firstLineChars="200"/>
        <w:jc w:val="left"/>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eastAsia="zh-CN"/>
        </w:rPr>
        <w:t>采购计划文号：广西政采[2026]880</w:t>
      </w:r>
      <w:r>
        <w:rPr>
          <w:rFonts w:hint="eastAsia" w:ascii="宋体" w:hAnsi="宋体" w:cs="宋体"/>
          <w:strike w:val="0"/>
          <w:dstrike w:val="0"/>
          <w:color w:val="auto"/>
          <w:sz w:val="21"/>
          <w:szCs w:val="21"/>
          <w:highlight w:val="none"/>
          <w:lang w:val="en-US" w:eastAsia="zh-CN"/>
        </w:rPr>
        <w:t>号</w:t>
      </w:r>
    </w:p>
    <w:p w14:paraId="3D6F4193">
      <w:pPr>
        <w:keepNext w:val="0"/>
        <w:keepLines w:val="0"/>
        <w:pageBreakBefore w:val="0"/>
        <w:kinsoku/>
        <w:overflowPunct/>
        <w:topLinePunct w:val="0"/>
        <w:autoSpaceDE/>
        <w:autoSpaceDN/>
        <w:bidi w:val="0"/>
        <w:spacing w:line="400" w:lineRule="exact"/>
        <w:ind w:firstLine="420" w:firstLineChars="200"/>
        <w:textAlignment w:val="auto"/>
        <w:rPr>
          <w:rFonts w:hint="eastAsia" w:ascii="宋体" w:hAnsi="宋体" w:eastAsia="宋体" w:cs="宋体"/>
          <w:strike w:val="0"/>
          <w:dstrike w:val="0"/>
          <w:color w:val="auto"/>
          <w:sz w:val="21"/>
          <w:szCs w:val="21"/>
          <w:highlight w:val="none"/>
          <w:lang w:eastAsia="zh-CN"/>
        </w:rPr>
      </w:pPr>
      <w:r>
        <w:rPr>
          <w:rFonts w:hint="eastAsia" w:ascii="宋体" w:hAnsi="宋体" w:eastAsia="宋体" w:cs="宋体"/>
          <w:strike w:val="0"/>
          <w:dstrike w:val="0"/>
          <w:color w:val="auto"/>
          <w:sz w:val="21"/>
          <w:szCs w:val="21"/>
          <w:highlight w:val="none"/>
        </w:rPr>
        <w:t>项目名称：</w:t>
      </w:r>
      <w:bookmarkEnd w:id="19"/>
      <w:r>
        <w:rPr>
          <w:rFonts w:hint="eastAsia" w:ascii="宋体" w:hAnsi="宋体" w:cs="宋体"/>
          <w:strike w:val="0"/>
          <w:dstrike w:val="0"/>
          <w:color w:val="auto"/>
          <w:sz w:val="21"/>
          <w:szCs w:val="21"/>
          <w:highlight w:val="none"/>
          <w:lang w:eastAsia="zh-CN"/>
        </w:rPr>
        <w:t>广西集中式饮用水水源涉重金属环境安全隐患排查和试点水源地重金属污染精准溯源项目</w:t>
      </w:r>
    </w:p>
    <w:p w14:paraId="22396CEE">
      <w:pPr>
        <w:keepNext w:val="0"/>
        <w:keepLines w:val="0"/>
        <w:pageBreakBefore w:val="0"/>
        <w:kinsoku/>
        <w:overflowPunct/>
        <w:topLinePunct w:val="0"/>
        <w:autoSpaceDE/>
        <w:autoSpaceDN/>
        <w:bidi w:val="0"/>
        <w:spacing w:line="400" w:lineRule="exact"/>
        <w:ind w:firstLine="420" w:firstLineChars="200"/>
        <w:textAlignment w:val="auto"/>
        <w:rPr>
          <w:rFonts w:hint="eastAsia" w:ascii="宋体" w:hAnsi="宋体" w:eastAsia="宋体" w:cs="宋体"/>
          <w:strike w:val="0"/>
          <w:dstrike w:val="0"/>
          <w:color w:val="auto"/>
          <w:sz w:val="21"/>
          <w:szCs w:val="21"/>
          <w:highlight w:val="none"/>
          <w:u w:val="none" w:color="auto"/>
        </w:rPr>
      </w:pPr>
      <w:r>
        <w:rPr>
          <w:rFonts w:hint="eastAsia" w:ascii="宋体" w:hAnsi="宋体" w:eastAsia="宋体" w:cs="宋体"/>
          <w:strike w:val="0"/>
          <w:dstrike w:val="0"/>
          <w:color w:val="auto"/>
          <w:sz w:val="21"/>
          <w:szCs w:val="21"/>
          <w:highlight w:val="none"/>
        </w:rPr>
        <w:t>预算</w:t>
      </w:r>
      <w:r>
        <w:rPr>
          <w:rFonts w:hint="eastAsia" w:ascii="宋体" w:hAnsi="宋体" w:eastAsia="宋体" w:cs="宋体"/>
          <w:strike w:val="0"/>
          <w:dstrike w:val="0"/>
          <w:color w:val="auto"/>
          <w:sz w:val="21"/>
          <w:szCs w:val="21"/>
          <w:highlight w:val="none"/>
          <w:u w:val="none" w:color="auto"/>
        </w:rPr>
        <w:t>金额</w:t>
      </w:r>
      <w:r>
        <w:rPr>
          <w:rFonts w:hint="eastAsia" w:ascii="宋体" w:hAnsi="宋体" w:eastAsia="宋体" w:cs="宋体"/>
          <w:strike w:val="0"/>
          <w:dstrike w:val="0"/>
          <w:color w:val="auto"/>
          <w:sz w:val="21"/>
          <w:szCs w:val="21"/>
          <w:highlight w:val="none"/>
          <w:u w:val="none" w:color="auto"/>
          <w:lang w:val="en-US" w:eastAsia="zh-CN"/>
        </w:rPr>
        <w:t>：人民币</w:t>
      </w:r>
      <w:r>
        <w:rPr>
          <w:rFonts w:hint="eastAsia" w:ascii="宋体" w:hAnsi="宋体" w:cs="宋体"/>
          <w:strike w:val="0"/>
          <w:dstrike w:val="0"/>
          <w:color w:val="auto"/>
          <w:sz w:val="21"/>
          <w:szCs w:val="21"/>
          <w:highlight w:val="none"/>
          <w:u w:val="none" w:color="auto"/>
          <w:lang w:val="en-US" w:eastAsia="zh-CN"/>
        </w:rPr>
        <w:t>壹仟贰佰柒拾万</w:t>
      </w:r>
      <w:r>
        <w:rPr>
          <w:rFonts w:hint="eastAsia" w:ascii="宋体" w:hAnsi="宋体" w:eastAsia="宋体" w:cs="宋体"/>
          <w:strike w:val="0"/>
          <w:dstrike w:val="0"/>
          <w:color w:val="auto"/>
          <w:sz w:val="21"/>
          <w:szCs w:val="21"/>
          <w:highlight w:val="none"/>
          <w:u w:val="none" w:color="auto"/>
          <w:lang w:val="en-US" w:eastAsia="zh-CN"/>
        </w:rPr>
        <w:t>元整（¥</w:t>
      </w:r>
      <w:r>
        <w:rPr>
          <w:rFonts w:hint="eastAsia" w:ascii="宋体" w:hAnsi="宋体" w:cs="宋体"/>
          <w:strike w:val="0"/>
          <w:dstrike w:val="0"/>
          <w:color w:val="auto"/>
          <w:sz w:val="21"/>
          <w:szCs w:val="21"/>
          <w:highlight w:val="none"/>
          <w:u w:val="none" w:color="auto"/>
          <w:lang w:val="en-US" w:eastAsia="zh-CN"/>
        </w:rPr>
        <w:t>12700000.00</w:t>
      </w:r>
      <w:r>
        <w:rPr>
          <w:rFonts w:hint="eastAsia" w:ascii="宋体" w:hAnsi="宋体" w:eastAsia="宋体" w:cs="宋体"/>
          <w:strike w:val="0"/>
          <w:dstrike w:val="0"/>
          <w:color w:val="auto"/>
          <w:sz w:val="21"/>
          <w:szCs w:val="21"/>
          <w:highlight w:val="none"/>
          <w:u w:val="none" w:color="auto"/>
          <w:lang w:val="en-US" w:eastAsia="zh-CN"/>
        </w:rPr>
        <w:t>）</w:t>
      </w:r>
    </w:p>
    <w:bookmarkEnd w:id="20"/>
    <w:bookmarkEnd w:id="21"/>
    <w:p w14:paraId="1ED12D54">
      <w:pPr>
        <w:keepNext w:val="0"/>
        <w:keepLines w:val="0"/>
        <w:pageBreakBefore w:val="0"/>
        <w:kinsoku/>
        <w:overflowPunct/>
        <w:topLinePunct w:val="0"/>
        <w:autoSpaceDE/>
        <w:autoSpaceDN/>
        <w:bidi w:val="0"/>
        <w:spacing w:line="400" w:lineRule="exact"/>
        <w:ind w:firstLine="420" w:firstLineChars="200"/>
        <w:textAlignment w:val="auto"/>
        <w:rPr>
          <w:rFonts w:hint="eastAsia" w:ascii="宋体" w:hAnsi="宋体" w:eastAsia="宋体" w:cs="宋体"/>
          <w:strike w:val="0"/>
          <w:dstrike w:val="0"/>
          <w:color w:val="auto"/>
          <w:sz w:val="21"/>
          <w:szCs w:val="21"/>
          <w:highlight w:val="none"/>
          <w:u w:val="none" w:color="auto"/>
          <w:lang w:eastAsia="zh-CN"/>
        </w:rPr>
      </w:pPr>
      <w:r>
        <w:rPr>
          <w:rFonts w:hint="eastAsia" w:ascii="宋体" w:hAnsi="宋体" w:eastAsia="宋体" w:cs="宋体"/>
          <w:strike w:val="0"/>
          <w:dstrike w:val="0"/>
          <w:color w:val="auto"/>
          <w:sz w:val="21"/>
          <w:szCs w:val="21"/>
          <w:highlight w:val="none"/>
          <w:u w:val="none" w:color="auto"/>
        </w:rPr>
        <w:t>最高限价：</w:t>
      </w:r>
      <w:r>
        <w:rPr>
          <w:rFonts w:hint="eastAsia" w:ascii="宋体" w:hAnsi="宋体" w:eastAsia="宋体" w:cs="宋体"/>
          <w:strike w:val="0"/>
          <w:dstrike w:val="0"/>
          <w:color w:val="auto"/>
          <w:sz w:val="21"/>
          <w:szCs w:val="21"/>
          <w:highlight w:val="none"/>
          <w:u w:val="none" w:color="auto"/>
          <w:lang w:val="en-US" w:eastAsia="zh-CN"/>
        </w:rPr>
        <w:t>人民币</w:t>
      </w:r>
      <w:r>
        <w:rPr>
          <w:rFonts w:hint="eastAsia" w:ascii="宋体" w:hAnsi="宋体" w:cs="宋体"/>
          <w:strike w:val="0"/>
          <w:dstrike w:val="0"/>
          <w:color w:val="auto"/>
          <w:sz w:val="21"/>
          <w:szCs w:val="21"/>
          <w:highlight w:val="none"/>
          <w:u w:val="none" w:color="auto"/>
          <w:lang w:val="en-US" w:eastAsia="zh-CN"/>
        </w:rPr>
        <w:t>壹仟贰佰柒拾万</w:t>
      </w:r>
      <w:r>
        <w:rPr>
          <w:rFonts w:hint="eastAsia" w:ascii="宋体" w:hAnsi="宋体" w:eastAsia="宋体" w:cs="宋体"/>
          <w:strike w:val="0"/>
          <w:dstrike w:val="0"/>
          <w:color w:val="auto"/>
          <w:sz w:val="21"/>
          <w:szCs w:val="21"/>
          <w:highlight w:val="none"/>
          <w:u w:val="none" w:color="auto"/>
          <w:lang w:val="en-US" w:eastAsia="zh-CN"/>
        </w:rPr>
        <w:t>元整（¥</w:t>
      </w:r>
      <w:r>
        <w:rPr>
          <w:rFonts w:hint="eastAsia" w:ascii="宋体" w:hAnsi="宋体" w:cs="宋体"/>
          <w:strike w:val="0"/>
          <w:dstrike w:val="0"/>
          <w:color w:val="auto"/>
          <w:sz w:val="21"/>
          <w:szCs w:val="21"/>
          <w:highlight w:val="none"/>
          <w:u w:val="none" w:color="auto"/>
          <w:lang w:val="en-US" w:eastAsia="zh-CN"/>
        </w:rPr>
        <w:t>12700000.00</w:t>
      </w:r>
      <w:r>
        <w:rPr>
          <w:rFonts w:hint="eastAsia" w:ascii="宋体" w:hAnsi="宋体" w:eastAsia="宋体" w:cs="宋体"/>
          <w:strike w:val="0"/>
          <w:dstrike w:val="0"/>
          <w:color w:val="auto"/>
          <w:sz w:val="21"/>
          <w:szCs w:val="21"/>
          <w:highlight w:val="none"/>
          <w:u w:val="none" w:color="auto"/>
          <w:lang w:val="en-US" w:eastAsia="zh-CN"/>
        </w:rPr>
        <w:t>）</w:t>
      </w:r>
    </w:p>
    <w:p w14:paraId="24B5EBCA">
      <w:pPr>
        <w:keepNext w:val="0"/>
        <w:keepLines w:val="0"/>
        <w:pageBreakBefore w:val="0"/>
        <w:kinsoku/>
        <w:overflowPunct/>
        <w:topLinePunct w:val="0"/>
        <w:autoSpaceDE/>
        <w:autoSpaceDN/>
        <w:bidi w:val="0"/>
        <w:spacing w:line="400" w:lineRule="exact"/>
        <w:ind w:firstLine="420" w:firstLineChars="200"/>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采购需求：</w:t>
      </w:r>
    </w:p>
    <w:tbl>
      <w:tblPr>
        <w:tblStyle w:val="48"/>
        <w:tblW w:w="775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7"/>
        <w:gridCol w:w="1783"/>
        <w:gridCol w:w="941"/>
        <w:gridCol w:w="4263"/>
      </w:tblGrid>
      <w:tr w14:paraId="31C5FF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3"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5920DC70">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bCs/>
                <w:strike w:val="0"/>
                <w:dstrike w:val="0"/>
                <w:color w:val="auto"/>
                <w:sz w:val="21"/>
                <w:szCs w:val="21"/>
                <w:highlight w:val="none"/>
                <w:lang w:val="en-US" w:eastAsia="zh-CN"/>
              </w:rPr>
            </w:pPr>
            <w:bookmarkStart w:id="22" w:name="_Toc35393791"/>
            <w:bookmarkStart w:id="23" w:name="_Toc28359080"/>
            <w:bookmarkStart w:id="24" w:name="_Toc35393622"/>
            <w:bookmarkStart w:id="25" w:name="_Toc28359003"/>
            <w:r>
              <w:rPr>
                <w:rFonts w:hint="eastAsia" w:ascii="宋体" w:hAnsi="宋体" w:eastAsia="宋体" w:cs="宋体"/>
                <w:b/>
                <w:bCs/>
                <w:strike w:val="0"/>
                <w:dstrike w:val="0"/>
                <w:color w:val="auto"/>
                <w:sz w:val="21"/>
                <w:szCs w:val="21"/>
                <w:highlight w:val="none"/>
                <w:lang w:val="en-US" w:eastAsia="zh-CN"/>
              </w:rPr>
              <w:t>序号</w:t>
            </w:r>
          </w:p>
        </w:tc>
        <w:tc>
          <w:tcPr>
            <w:tcW w:w="1783" w:type="dxa"/>
            <w:tcBorders>
              <w:top w:val="single" w:color="auto" w:sz="4" w:space="0"/>
              <w:left w:val="single" w:color="auto" w:sz="4" w:space="0"/>
              <w:bottom w:val="single" w:color="auto" w:sz="4" w:space="0"/>
              <w:right w:val="single" w:color="auto" w:sz="4" w:space="0"/>
            </w:tcBorders>
            <w:vAlign w:val="center"/>
          </w:tcPr>
          <w:p w14:paraId="55FEBEED">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bCs/>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rPr>
              <w:t>标的名称</w:t>
            </w:r>
          </w:p>
        </w:tc>
        <w:tc>
          <w:tcPr>
            <w:tcW w:w="941" w:type="dxa"/>
            <w:tcBorders>
              <w:top w:val="single" w:color="auto" w:sz="4" w:space="0"/>
              <w:left w:val="single" w:color="auto" w:sz="4" w:space="0"/>
              <w:bottom w:val="single" w:color="auto" w:sz="4" w:space="0"/>
              <w:right w:val="single" w:color="auto" w:sz="4" w:space="0"/>
            </w:tcBorders>
            <w:vAlign w:val="center"/>
          </w:tcPr>
          <w:p w14:paraId="4F7C6B7C">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bCs/>
                <w:strike w:val="0"/>
                <w:dstrike w:val="0"/>
                <w:color w:val="auto"/>
                <w:sz w:val="21"/>
                <w:szCs w:val="21"/>
                <w:highlight w:val="none"/>
                <w:lang w:val="en-US" w:eastAsia="zh-CN"/>
              </w:rPr>
            </w:pPr>
            <w:r>
              <w:rPr>
                <w:rFonts w:hint="eastAsia" w:ascii="宋体" w:hAnsi="宋体" w:eastAsia="宋体" w:cs="宋体"/>
                <w:b/>
                <w:bCs/>
                <w:strike w:val="0"/>
                <w:dstrike w:val="0"/>
                <w:color w:val="auto"/>
                <w:sz w:val="21"/>
                <w:szCs w:val="21"/>
                <w:highlight w:val="none"/>
              </w:rPr>
              <w:t>数量</w:t>
            </w:r>
            <w:r>
              <w:rPr>
                <w:rFonts w:hint="eastAsia" w:ascii="宋体" w:hAnsi="宋体" w:eastAsia="宋体" w:cs="宋体"/>
                <w:b/>
                <w:bCs/>
                <w:strike w:val="0"/>
                <w:dstrike w:val="0"/>
                <w:color w:val="auto"/>
                <w:sz w:val="21"/>
                <w:szCs w:val="21"/>
                <w:highlight w:val="none"/>
                <w:lang w:val="en-US" w:eastAsia="zh-CN"/>
              </w:rPr>
              <w:t>及单位</w:t>
            </w:r>
          </w:p>
        </w:tc>
        <w:tc>
          <w:tcPr>
            <w:tcW w:w="4263" w:type="dxa"/>
            <w:tcBorders>
              <w:top w:val="single" w:color="auto" w:sz="4" w:space="0"/>
              <w:left w:val="single" w:color="auto" w:sz="4" w:space="0"/>
              <w:bottom w:val="single" w:color="auto" w:sz="4" w:space="0"/>
              <w:right w:val="single" w:color="auto" w:sz="4" w:space="0"/>
            </w:tcBorders>
            <w:vAlign w:val="center"/>
          </w:tcPr>
          <w:p w14:paraId="2311703E">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bCs/>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rPr>
              <w:t>简要技术需求或者服务要求</w:t>
            </w:r>
          </w:p>
        </w:tc>
      </w:tr>
      <w:tr w14:paraId="1502D7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7D2B350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val="en-US" w:eastAsia="zh-CN"/>
              </w:rPr>
              <w:t>1</w:t>
            </w:r>
          </w:p>
        </w:tc>
        <w:tc>
          <w:tcPr>
            <w:tcW w:w="1783" w:type="dxa"/>
            <w:tcBorders>
              <w:top w:val="single" w:color="auto" w:sz="4" w:space="0"/>
              <w:left w:val="single" w:color="auto" w:sz="4" w:space="0"/>
              <w:bottom w:val="single" w:color="auto" w:sz="4" w:space="0"/>
              <w:right w:val="single" w:color="auto" w:sz="4" w:space="0"/>
            </w:tcBorders>
            <w:vAlign w:val="center"/>
          </w:tcPr>
          <w:p w14:paraId="2999581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cs="宋体"/>
                <w:strike w:val="0"/>
                <w:dstrike w:val="0"/>
                <w:color w:val="auto"/>
                <w:sz w:val="21"/>
                <w:szCs w:val="21"/>
                <w:highlight w:val="none"/>
                <w:lang w:val="en-US" w:eastAsia="zh-CN"/>
              </w:rPr>
              <w:t>广西集中式饮用水水源涉重金属环境安全隐患排查和试点水源地重金属污染精准溯源项目</w:t>
            </w:r>
          </w:p>
        </w:tc>
        <w:tc>
          <w:tcPr>
            <w:tcW w:w="941" w:type="dxa"/>
            <w:tcBorders>
              <w:top w:val="single" w:color="auto" w:sz="4" w:space="0"/>
              <w:left w:val="single" w:color="auto" w:sz="4" w:space="0"/>
              <w:bottom w:val="single" w:color="auto" w:sz="4" w:space="0"/>
              <w:right w:val="single" w:color="auto" w:sz="4" w:space="0"/>
            </w:tcBorders>
            <w:vAlign w:val="center"/>
          </w:tcPr>
          <w:p w14:paraId="5C44E63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1项</w:t>
            </w:r>
          </w:p>
        </w:tc>
        <w:tc>
          <w:tcPr>
            <w:tcW w:w="4263" w:type="dxa"/>
            <w:tcBorders>
              <w:top w:val="single" w:color="auto" w:sz="4" w:space="0"/>
              <w:left w:val="single" w:color="auto" w:sz="4" w:space="0"/>
              <w:bottom w:val="single" w:color="auto" w:sz="4" w:space="0"/>
              <w:right w:val="single" w:color="auto" w:sz="4" w:space="0"/>
            </w:tcBorders>
            <w:vAlign w:val="center"/>
          </w:tcPr>
          <w:p w14:paraId="1C92CB52">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val="0"/>
                <w:strike w:val="0"/>
                <w:dstrike w:val="0"/>
                <w:color w:val="auto"/>
                <w:sz w:val="21"/>
                <w:szCs w:val="21"/>
                <w:highlight w:val="none"/>
                <w:lang w:eastAsia="zh-CN"/>
              </w:rPr>
            </w:pPr>
            <w:r>
              <w:rPr>
                <w:rFonts w:hint="eastAsia" w:ascii="宋体" w:hAnsi="宋体" w:eastAsia="宋体" w:cs="宋体"/>
                <w:b w:val="0"/>
                <w:bCs w:val="0"/>
                <w:strike w:val="0"/>
                <w:dstrike w:val="0"/>
                <w:color w:val="auto"/>
                <w:sz w:val="21"/>
                <w:szCs w:val="21"/>
                <w:highlight w:val="none"/>
                <w:lang w:eastAsia="zh-CN"/>
              </w:rPr>
              <w:t>▲一、总体要求</w:t>
            </w:r>
          </w:p>
          <w:p w14:paraId="5F0775AB">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eastAsia="zh-CN"/>
              </w:rPr>
              <w:t>根据《中共中央 国务院关于全面加强生态环境保护坚决打好污染防治攻坚战的意见》（中发〔2018〕17号）、《广西壮族自治区人民政府办公厅关于印发〈广西水污染防治行动计划工作方案〉的通知》（桂政办发〔2015〕131号）、《环境保护部办公厅关于印发〈地表水环境质量评价办法（试行）〉的通知》（环办〔2011〕22号）</w:t>
            </w:r>
            <w:r>
              <w:rPr>
                <w:rFonts w:hint="eastAsia" w:ascii="宋体" w:hAnsi="宋体" w:eastAsia="宋体" w:cs="宋体"/>
                <w:b/>
                <w:bCs/>
                <w:strike w:val="0"/>
                <w:dstrike w:val="0"/>
                <w:color w:val="auto"/>
                <w:sz w:val="21"/>
                <w:szCs w:val="21"/>
                <w:highlight w:val="none"/>
                <w:lang w:eastAsia="zh-CN"/>
              </w:rPr>
              <w:t>……</w:t>
            </w:r>
            <w:r>
              <w:rPr>
                <w:rFonts w:hint="eastAsia" w:ascii="宋体" w:hAnsi="宋体" w:eastAsia="宋体" w:cs="宋体"/>
                <w:b/>
                <w:bCs/>
                <w:strike w:val="0"/>
                <w:dstrike w:val="0"/>
                <w:color w:val="auto"/>
                <w:sz w:val="21"/>
                <w:szCs w:val="21"/>
                <w:highlight w:val="none"/>
                <w:lang w:val="en-US" w:eastAsia="zh-CN"/>
              </w:rPr>
              <w:t>具体内容详见公开招标文件。</w:t>
            </w:r>
          </w:p>
        </w:tc>
      </w:tr>
    </w:tbl>
    <w:p w14:paraId="27845F5E">
      <w:pPr>
        <w:keepNext w:val="0"/>
        <w:keepLines w:val="0"/>
        <w:pageBreakBefore w:val="0"/>
        <w:kinsoku/>
        <w:overflowPunct/>
        <w:topLinePunct w:val="0"/>
        <w:autoSpaceDE/>
        <w:autoSpaceDN/>
        <w:bidi w:val="0"/>
        <w:spacing w:line="400" w:lineRule="exact"/>
        <w:ind w:firstLine="420" w:firstLineChars="200"/>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合同履行期限：详见公开招标文件。</w:t>
      </w:r>
    </w:p>
    <w:p w14:paraId="4F570AD0">
      <w:pPr>
        <w:keepNext w:val="0"/>
        <w:keepLines w:val="0"/>
        <w:pageBreakBefore w:val="0"/>
        <w:kinsoku/>
        <w:overflowPunct/>
        <w:topLinePunct w:val="0"/>
        <w:autoSpaceDE/>
        <w:autoSpaceDN/>
        <w:bidi w:val="0"/>
        <w:spacing w:line="400" w:lineRule="exact"/>
        <w:ind w:firstLine="420" w:firstLineChars="200"/>
        <w:jc w:val="left"/>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本</w:t>
      </w:r>
      <w:r>
        <w:rPr>
          <w:rFonts w:hint="eastAsia" w:ascii="宋体" w:hAnsi="宋体" w:eastAsia="宋体" w:cs="宋体"/>
          <w:strike w:val="0"/>
          <w:dstrike w:val="0"/>
          <w:color w:val="auto"/>
          <w:sz w:val="21"/>
          <w:szCs w:val="21"/>
          <w:highlight w:val="none"/>
          <w:lang w:val="en-US" w:eastAsia="zh-CN"/>
        </w:rPr>
        <w:t>项目</w:t>
      </w:r>
      <w:r>
        <w:rPr>
          <w:rFonts w:hint="eastAsia" w:ascii="宋体" w:hAnsi="宋体" w:eastAsia="宋体" w:cs="宋体"/>
          <w:b/>
          <w:bCs/>
          <w:strike w:val="0"/>
          <w:dstrike w:val="0"/>
          <w:color w:val="auto"/>
          <w:sz w:val="21"/>
          <w:szCs w:val="21"/>
          <w:highlight w:val="none"/>
          <w:lang w:val="en-US" w:eastAsia="zh-CN"/>
        </w:rPr>
        <w:t>接受</w:t>
      </w:r>
      <w:r>
        <w:rPr>
          <w:rFonts w:hint="eastAsia" w:ascii="宋体" w:hAnsi="宋体" w:eastAsia="宋体" w:cs="宋体"/>
          <w:strike w:val="0"/>
          <w:dstrike w:val="0"/>
          <w:color w:val="auto"/>
          <w:sz w:val="21"/>
          <w:szCs w:val="21"/>
          <w:highlight w:val="none"/>
          <w:lang w:val="en-US" w:eastAsia="zh-CN"/>
        </w:rPr>
        <w:t>联合体投标，联合体组成单位不得超过3家。</w:t>
      </w:r>
    </w:p>
    <w:p w14:paraId="73004B38">
      <w:pPr>
        <w:keepNext w:val="0"/>
        <w:keepLines w:val="0"/>
        <w:pageBreakBefore w:val="0"/>
        <w:kinsoku/>
        <w:wordWrap/>
        <w:overflowPunct/>
        <w:topLinePunct w:val="0"/>
        <w:autoSpaceDE/>
        <w:autoSpaceDN/>
        <w:bidi w:val="0"/>
        <w:adjustRightInd/>
        <w:spacing w:line="400" w:lineRule="exact"/>
        <w:jc w:val="left"/>
        <w:textAlignment w:val="auto"/>
        <w:outlineLvl w:val="9"/>
        <w:rPr>
          <w:rFonts w:hint="eastAsia" w:ascii="宋体" w:hAnsi="宋体" w:eastAsia="宋体" w:cs="宋体"/>
          <w:b/>
          <w:bCs/>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rPr>
        <w:t>二、</w:t>
      </w:r>
      <w:r>
        <w:rPr>
          <w:rFonts w:hint="eastAsia" w:ascii="宋体" w:hAnsi="宋体" w:eastAsia="宋体" w:cs="宋体"/>
          <w:b/>
          <w:bCs/>
          <w:strike w:val="0"/>
          <w:dstrike w:val="0"/>
          <w:color w:val="auto"/>
          <w:sz w:val="21"/>
          <w:szCs w:val="21"/>
          <w:highlight w:val="none"/>
          <w:lang w:val="en-US" w:eastAsia="zh-CN"/>
        </w:rPr>
        <w:t>申请人的资格要求</w:t>
      </w:r>
      <w:r>
        <w:rPr>
          <w:rFonts w:hint="eastAsia" w:ascii="宋体" w:hAnsi="宋体" w:eastAsia="宋体" w:cs="宋体"/>
          <w:b/>
          <w:bCs/>
          <w:strike w:val="0"/>
          <w:dstrike w:val="0"/>
          <w:color w:val="auto"/>
          <w:sz w:val="21"/>
          <w:szCs w:val="21"/>
          <w:highlight w:val="none"/>
        </w:rPr>
        <w:t>：</w:t>
      </w:r>
      <w:bookmarkEnd w:id="22"/>
      <w:bookmarkEnd w:id="23"/>
      <w:bookmarkEnd w:id="24"/>
      <w:bookmarkEnd w:id="25"/>
    </w:p>
    <w:p w14:paraId="114A4464">
      <w:pPr>
        <w:keepNext w:val="0"/>
        <w:keepLines w:val="0"/>
        <w:pageBreakBefore w:val="0"/>
        <w:kinsoku/>
        <w:wordWrap/>
        <w:overflowPunct/>
        <w:topLinePunct w:val="0"/>
        <w:autoSpaceDE/>
        <w:autoSpaceDN/>
        <w:bidi w:val="0"/>
        <w:adjustRightInd/>
        <w:spacing w:line="400" w:lineRule="exact"/>
        <w:ind w:firstLine="420" w:firstLineChars="200"/>
        <w:textAlignment w:val="auto"/>
        <w:outlineLvl w:val="9"/>
        <w:rPr>
          <w:rFonts w:hint="eastAsia" w:ascii="宋体" w:hAnsi="宋体" w:eastAsia="宋体" w:cs="宋体"/>
          <w:strike w:val="0"/>
          <w:dstrike w:val="0"/>
          <w:color w:val="auto"/>
          <w:sz w:val="21"/>
          <w:szCs w:val="21"/>
          <w:highlight w:val="none"/>
        </w:rPr>
      </w:pPr>
      <w:bookmarkStart w:id="26" w:name="_Hlk51746371"/>
      <w:bookmarkStart w:id="27" w:name="OLE_LINK174"/>
      <w:bookmarkStart w:id="28" w:name="OLE_LINK173"/>
      <w:r>
        <w:rPr>
          <w:rFonts w:hint="eastAsia" w:ascii="宋体" w:hAnsi="宋体" w:eastAsia="宋体" w:cs="宋体"/>
          <w:strike w:val="0"/>
          <w:dstrike w:val="0"/>
          <w:color w:val="auto"/>
          <w:sz w:val="21"/>
          <w:szCs w:val="21"/>
          <w:highlight w:val="none"/>
        </w:rPr>
        <w:t>1.满足《中华人民共和国政府采购法》第二十二条规定；</w:t>
      </w:r>
      <w:bookmarkStart w:id="29" w:name="_Toc28359004"/>
      <w:bookmarkStart w:id="30" w:name="_Toc28359081"/>
    </w:p>
    <w:p w14:paraId="22B139D3">
      <w:pPr>
        <w:keepNext w:val="0"/>
        <w:keepLines w:val="0"/>
        <w:pageBreakBefore w:val="0"/>
        <w:kinsoku/>
        <w:wordWrap/>
        <w:overflowPunct/>
        <w:topLinePunct w:val="0"/>
        <w:autoSpaceDE/>
        <w:autoSpaceDN/>
        <w:bidi w:val="0"/>
        <w:adjustRightInd/>
        <w:spacing w:line="400" w:lineRule="exact"/>
        <w:ind w:firstLine="420" w:firstLineChars="200"/>
        <w:textAlignment w:val="auto"/>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2.落实政府采购政策需满足的资格要求：</w:t>
      </w:r>
      <w:bookmarkEnd w:id="26"/>
      <w:bookmarkStart w:id="31" w:name="_Toc35393792"/>
      <w:bookmarkStart w:id="32" w:name="_Toc35393623"/>
      <w:r>
        <w:rPr>
          <w:rFonts w:hint="eastAsia" w:ascii="宋体" w:hAnsi="宋体" w:eastAsia="宋体" w:cs="宋体"/>
          <w:strike w:val="0"/>
          <w:dstrike w:val="0"/>
          <w:color w:val="auto"/>
          <w:sz w:val="21"/>
          <w:szCs w:val="21"/>
          <w:highlight w:val="none"/>
          <w:lang w:val="en-US" w:eastAsia="zh-CN"/>
        </w:rPr>
        <w:t>本项目</w:t>
      </w:r>
      <w:r>
        <w:rPr>
          <w:rFonts w:hint="eastAsia" w:ascii="宋体" w:hAnsi="宋体" w:eastAsia="宋体" w:cs="宋体"/>
          <w:strike w:val="0"/>
          <w:dstrike w:val="0"/>
          <w:color w:val="auto"/>
          <w:sz w:val="21"/>
          <w:szCs w:val="21"/>
          <w:highlight w:val="none"/>
        </w:rPr>
        <w:t>非专门面向中小企业采购；</w:t>
      </w:r>
    </w:p>
    <w:p w14:paraId="194980CC">
      <w:pPr>
        <w:keepNext w:val="0"/>
        <w:keepLines w:val="0"/>
        <w:pageBreakBefore w:val="0"/>
        <w:kinsoku/>
        <w:wordWrap/>
        <w:overflowPunct/>
        <w:topLinePunct w:val="0"/>
        <w:autoSpaceDE/>
        <w:autoSpaceDN/>
        <w:bidi w:val="0"/>
        <w:adjustRightInd/>
        <w:spacing w:line="400" w:lineRule="exact"/>
        <w:ind w:firstLine="420" w:firstLineChars="200"/>
        <w:textAlignment w:val="auto"/>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3.本项目的特定资格要求：</w:t>
      </w:r>
      <w:bookmarkEnd w:id="27"/>
      <w:bookmarkEnd w:id="28"/>
      <w:r>
        <w:rPr>
          <w:rFonts w:hint="eastAsia" w:ascii="宋体" w:hAnsi="宋体" w:eastAsia="宋体" w:cs="宋体"/>
          <w:strike w:val="0"/>
          <w:dstrike w:val="0"/>
          <w:color w:val="auto"/>
          <w:sz w:val="21"/>
          <w:szCs w:val="21"/>
          <w:highlight w:val="none"/>
        </w:rPr>
        <w:t>投标人须取得有效的检验检测机构资质认定证书（CMA）。联合体投标时，联合体各方中至少有一方必须符合招标文件规定的特定资格文件且接受最多三个投标人组成一个投标联合体参与投标，联合体各方中承担分析检测任务的单位必须具有CMA资质；</w:t>
      </w:r>
    </w:p>
    <w:p w14:paraId="3C865CF8">
      <w:pPr>
        <w:keepNext w:val="0"/>
        <w:keepLines w:val="0"/>
        <w:pageBreakBefore w:val="0"/>
        <w:kinsoku/>
        <w:wordWrap/>
        <w:overflowPunct/>
        <w:topLinePunct w:val="0"/>
        <w:autoSpaceDE/>
        <w:autoSpaceDN/>
        <w:bidi w:val="0"/>
        <w:adjustRightInd/>
        <w:spacing w:line="400" w:lineRule="exact"/>
        <w:ind w:firstLine="420" w:firstLineChars="200"/>
        <w:textAlignment w:val="auto"/>
        <w:outlineLvl w:val="9"/>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4.本项目的特定条件：无；</w:t>
      </w:r>
    </w:p>
    <w:p w14:paraId="56001918">
      <w:pPr>
        <w:keepNext w:val="0"/>
        <w:keepLines w:val="0"/>
        <w:pageBreakBefore w:val="0"/>
        <w:kinsoku/>
        <w:wordWrap/>
        <w:overflowPunct/>
        <w:topLinePunct w:val="0"/>
        <w:autoSpaceDE/>
        <w:autoSpaceDN/>
        <w:bidi w:val="0"/>
        <w:adjustRightInd/>
        <w:spacing w:line="400" w:lineRule="exact"/>
        <w:ind w:firstLine="420" w:firstLineChars="200"/>
        <w:textAlignment w:val="auto"/>
        <w:outlineLvl w:val="9"/>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5.单位负责人为同一人或者存在直接控股、管理关系的不同投标人，不得参加同一合同项下的政府采购活动。为本项目提供过整体设计、规范编制或者项目管理、监理、检测等服务的投标人，不得再参加本项目上述服务以外的其他采购活动；</w:t>
      </w:r>
    </w:p>
    <w:p w14:paraId="1B87C58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6.对在“信用中国”网站(www.creditchina.gov.cn) 、中国政府采购网(www.ccgp.gov.cn)被列入失信被执行人、重大税收违法失信主体、政府采购严重违法失信行为记录名单及其他不符合《中华人民共和国政府采购法》第二十二条规定条件的投标人，不得参与政府采购活动。</w:t>
      </w:r>
    </w:p>
    <w:p w14:paraId="6497FDC9">
      <w:pPr>
        <w:keepNext w:val="0"/>
        <w:keepLines w:val="0"/>
        <w:pageBreakBefore w:val="0"/>
        <w:kinsoku/>
        <w:wordWrap/>
        <w:overflowPunct/>
        <w:topLinePunct w:val="0"/>
        <w:autoSpaceDE/>
        <w:autoSpaceDN/>
        <w:bidi w:val="0"/>
        <w:adjustRightInd/>
        <w:spacing w:line="400" w:lineRule="exact"/>
        <w:textAlignment w:val="auto"/>
        <w:outlineLvl w:val="9"/>
        <w:rPr>
          <w:rFonts w:hint="eastAsia" w:ascii="宋体" w:hAnsi="宋体" w:eastAsia="宋体" w:cs="宋体"/>
          <w:b/>
          <w:bCs/>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rPr>
        <w:t>三、获取招标文件</w:t>
      </w:r>
      <w:bookmarkEnd w:id="29"/>
      <w:bookmarkEnd w:id="30"/>
      <w:bookmarkEnd w:id="31"/>
      <w:bookmarkEnd w:id="32"/>
    </w:p>
    <w:p w14:paraId="20B95F31">
      <w:pPr>
        <w:keepNext w:val="0"/>
        <w:keepLines w:val="0"/>
        <w:pageBreakBefore w:val="0"/>
        <w:kinsoku/>
        <w:wordWrap/>
        <w:overflowPunct/>
        <w:topLinePunct w:val="0"/>
        <w:autoSpaceDE/>
        <w:autoSpaceDN/>
        <w:bidi w:val="0"/>
        <w:adjustRightInd/>
        <w:spacing w:line="400" w:lineRule="exact"/>
        <w:ind w:firstLine="420" w:firstLineChars="200"/>
        <w:textAlignment w:val="auto"/>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时间：</w:t>
      </w:r>
      <w:r>
        <w:rPr>
          <w:rFonts w:hint="eastAsia" w:ascii="宋体" w:hAnsi="宋体" w:eastAsia="宋体" w:cs="宋体"/>
          <w:strike w:val="0"/>
          <w:dstrike w:val="0"/>
          <w:color w:val="auto"/>
          <w:sz w:val="21"/>
          <w:szCs w:val="21"/>
          <w:highlight w:val="none"/>
          <w:u w:val="single"/>
        </w:rPr>
        <w:t>202</w:t>
      </w:r>
      <w:r>
        <w:rPr>
          <w:rFonts w:hint="eastAsia" w:ascii="宋体" w:hAnsi="宋体" w:cs="宋体"/>
          <w:strike w:val="0"/>
          <w:dstrike w:val="0"/>
          <w:color w:val="auto"/>
          <w:sz w:val="21"/>
          <w:szCs w:val="21"/>
          <w:highlight w:val="none"/>
          <w:u w:val="single"/>
          <w:lang w:val="en-US" w:eastAsia="zh-CN"/>
        </w:rPr>
        <w:t>6</w:t>
      </w:r>
      <w:r>
        <w:rPr>
          <w:rFonts w:hint="eastAsia" w:ascii="宋体" w:hAnsi="宋体" w:eastAsia="宋体" w:cs="宋体"/>
          <w:strike w:val="0"/>
          <w:dstrike w:val="0"/>
          <w:color w:val="auto"/>
          <w:sz w:val="21"/>
          <w:szCs w:val="21"/>
          <w:highlight w:val="none"/>
          <w:u w:val="single"/>
        </w:rPr>
        <w:t>年</w:t>
      </w:r>
      <w:r>
        <w:rPr>
          <w:rFonts w:hint="eastAsia" w:ascii="宋体" w:hAnsi="宋体" w:cs="宋体"/>
          <w:strike w:val="0"/>
          <w:dstrike w:val="0"/>
          <w:color w:val="auto"/>
          <w:sz w:val="21"/>
          <w:szCs w:val="21"/>
          <w:highlight w:val="none"/>
          <w:u w:val="single"/>
          <w:lang w:val="en-US" w:eastAsia="zh-CN"/>
        </w:rPr>
        <w:t>2</w:t>
      </w:r>
      <w:r>
        <w:rPr>
          <w:rFonts w:hint="eastAsia" w:ascii="宋体" w:hAnsi="宋体" w:eastAsia="宋体" w:cs="宋体"/>
          <w:strike w:val="0"/>
          <w:dstrike w:val="0"/>
          <w:color w:val="auto"/>
          <w:sz w:val="21"/>
          <w:szCs w:val="21"/>
          <w:highlight w:val="none"/>
          <w:u w:val="single"/>
        </w:rPr>
        <w:t>月</w:t>
      </w:r>
      <w:r>
        <w:rPr>
          <w:rFonts w:hint="eastAsia" w:ascii="宋体" w:hAnsi="宋体" w:cs="宋体"/>
          <w:strike w:val="0"/>
          <w:dstrike w:val="0"/>
          <w:color w:val="auto"/>
          <w:sz w:val="21"/>
          <w:szCs w:val="21"/>
          <w:highlight w:val="none"/>
          <w:u w:val="single"/>
          <w:lang w:val="en-US" w:eastAsia="zh-CN"/>
        </w:rPr>
        <w:t>13</w:t>
      </w:r>
      <w:r>
        <w:rPr>
          <w:rFonts w:hint="eastAsia" w:ascii="宋体" w:hAnsi="宋体" w:eastAsia="宋体" w:cs="宋体"/>
          <w:strike w:val="0"/>
          <w:dstrike w:val="0"/>
          <w:color w:val="auto"/>
          <w:sz w:val="21"/>
          <w:szCs w:val="21"/>
          <w:highlight w:val="none"/>
          <w:u w:val="single"/>
        </w:rPr>
        <w:t>日</w:t>
      </w:r>
      <w:r>
        <w:rPr>
          <w:rFonts w:hint="eastAsia" w:ascii="宋体" w:hAnsi="宋体" w:eastAsia="宋体" w:cs="宋体"/>
          <w:strike w:val="0"/>
          <w:dstrike w:val="0"/>
          <w:color w:val="auto"/>
          <w:sz w:val="21"/>
          <w:szCs w:val="21"/>
          <w:highlight w:val="none"/>
        </w:rPr>
        <w:t>至</w:t>
      </w:r>
      <w:r>
        <w:rPr>
          <w:rFonts w:hint="eastAsia" w:ascii="宋体" w:hAnsi="宋体" w:eastAsia="宋体" w:cs="宋体"/>
          <w:strike w:val="0"/>
          <w:dstrike w:val="0"/>
          <w:color w:val="auto"/>
          <w:sz w:val="21"/>
          <w:szCs w:val="21"/>
          <w:highlight w:val="none"/>
          <w:u w:val="single"/>
        </w:rPr>
        <w:t>202</w:t>
      </w:r>
      <w:r>
        <w:rPr>
          <w:rFonts w:hint="eastAsia" w:ascii="宋体" w:hAnsi="宋体" w:cs="宋体"/>
          <w:strike w:val="0"/>
          <w:dstrike w:val="0"/>
          <w:color w:val="auto"/>
          <w:sz w:val="21"/>
          <w:szCs w:val="21"/>
          <w:highlight w:val="none"/>
          <w:u w:val="single"/>
          <w:lang w:val="en-US" w:eastAsia="zh-CN"/>
        </w:rPr>
        <w:t>6</w:t>
      </w:r>
      <w:r>
        <w:rPr>
          <w:rFonts w:hint="eastAsia" w:ascii="宋体" w:hAnsi="宋体" w:eastAsia="宋体" w:cs="宋体"/>
          <w:bCs/>
          <w:strike w:val="0"/>
          <w:dstrike w:val="0"/>
          <w:color w:val="auto"/>
          <w:sz w:val="21"/>
          <w:szCs w:val="21"/>
          <w:highlight w:val="none"/>
          <w:u w:val="single"/>
        </w:rPr>
        <w:t>年</w:t>
      </w:r>
      <w:r>
        <w:rPr>
          <w:rFonts w:hint="eastAsia" w:ascii="宋体" w:hAnsi="宋体" w:cs="宋体"/>
          <w:bCs/>
          <w:strike w:val="0"/>
          <w:dstrike w:val="0"/>
          <w:color w:val="auto"/>
          <w:sz w:val="21"/>
          <w:szCs w:val="21"/>
          <w:highlight w:val="none"/>
          <w:u w:val="single"/>
          <w:lang w:val="en-US" w:eastAsia="zh-CN"/>
        </w:rPr>
        <w:t>2</w:t>
      </w:r>
      <w:r>
        <w:rPr>
          <w:rFonts w:hint="eastAsia" w:ascii="宋体" w:hAnsi="宋体" w:eastAsia="宋体" w:cs="宋体"/>
          <w:bCs/>
          <w:strike w:val="0"/>
          <w:dstrike w:val="0"/>
          <w:color w:val="auto"/>
          <w:sz w:val="21"/>
          <w:szCs w:val="21"/>
          <w:highlight w:val="none"/>
          <w:u w:val="single"/>
        </w:rPr>
        <w:t>月</w:t>
      </w:r>
      <w:r>
        <w:rPr>
          <w:rFonts w:hint="eastAsia" w:ascii="宋体" w:hAnsi="宋体" w:cs="宋体"/>
          <w:bCs/>
          <w:strike w:val="0"/>
          <w:dstrike w:val="0"/>
          <w:color w:val="auto"/>
          <w:sz w:val="21"/>
          <w:szCs w:val="21"/>
          <w:highlight w:val="none"/>
          <w:u w:val="single"/>
          <w:lang w:val="en-US" w:eastAsia="zh-CN"/>
        </w:rPr>
        <w:t>27</w:t>
      </w:r>
      <w:r>
        <w:rPr>
          <w:rFonts w:hint="eastAsia" w:ascii="宋体" w:hAnsi="宋体" w:eastAsia="宋体" w:cs="宋体"/>
          <w:bCs/>
          <w:strike w:val="0"/>
          <w:dstrike w:val="0"/>
          <w:color w:val="auto"/>
          <w:sz w:val="21"/>
          <w:szCs w:val="21"/>
          <w:highlight w:val="none"/>
          <w:u w:val="single"/>
        </w:rPr>
        <w:t>日</w:t>
      </w:r>
      <w:r>
        <w:rPr>
          <w:rFonts w:hint="eastAsia" w:ascii="宋体" w:hAnsi="宋体" w:eastAsia="宋体" w:cs="宋体"/>
          <w:strike w:val="0"/>
          <w:dstrike w:val="0"/>
          <w:color w:val="auto"/>
          <w:sz w:val="21"/>
          <w:szCs w:val="21"/>
          <w:highlight w:val="none"/>
        </w:rPr>
        <w:t>，每天上午00</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00至1</w:t>
      </w:r>
      <w:r>
        <w:rPr>
          <w:rFonts w:hint="eastAsia" w:ascii="宋体" w:hAnsi="宋体" w:eastAsia="宋体" w:cs="宋体"/>
          <w:strike w:val="0"/>
          <w:dstrike w:val="0"/>
          <w:color w:val="auto"/>
          <w:sz w:val="21"/>
          <w:szCs w:val="21"/>
          <w:highlight w:val="none"/>
          <w:lang w:val="en-US" w:eastAsia="zh-CN"/>
        </w:rPr>
        <w:t>1</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59</w:t>
      </w:r>
      <w:r>
        <w:rPr>
          <w:rFonts w:hint="eastAsia" w:ascii="宋体" w:hAnsi="宋体" w:eastAsia="宋体" w:cs="宋体"/>
          <w:strike w:val="0"/>
          <w:dstrike w:val="0"/>
          <w:color w:val="auto"/>
          <w:sz w:val="21"/>
          <w:szCs w:val="21"/>
          <w:highlight w:val="none"/>
        </w:rPr>
        <w:t xml:space="preserve"> ，下午12</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00至</w:t>
      </w:r>
      <w:r>
        <w:rPr>
          <w:rFonts w:hint="eastAsia" w:ascii="宋体" w:hAnsi="宋体" w:eastAsia="宋体" w:cs="宋体"/>
          <w:strike w:val="0"/>
          <w:dstrike w:val="0"/>
          <w:color w:val="auto"/>
          <w:sz w:val="21"/>
          <w:szCs w:val="21"/>
          <w:highlight w:val="none"/>
          <w:lang w:val="en-US" w:eastAsia="zh-CN"/>
        </w:rPr>
        <w:t>23</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59</w:t>
      </w:r>
      <w:r>
        <w:rPr>
          <w:rFonts w:hint="eastAsia" w:ascii="宋体" w:hAnsi="宋体" w:eastAsia="宋体" w:cs="宋体"/>
          <w:strike w:val="0"/>
          <w:dstrike w:val="0"/>
          <w:color w:val="auto"/>
          <w:sz w:val="21"/>
          <w:szCs w:val="21"/>
          <w:highlight w:val="none"/>
        </w:rPr>
        <w:t>（北京时间，法定节假日除外）</w:t>
      </w:r>
    </w:p>
    <w:p w14:paraId="0E74DD5D">
      <w:pPr>
        <w:keepNext w:val="0"/>
        <w:keepLines w:val="0"/>
        <w:pageBreakBefore w:val="0"/>
        <w:kinsoku/>
        <w:wordWrap/>
        <w:overflowPunct/>
        <w:topLinePunct w:val="0"/>
        <w:autoSpaceDE/>
        <w:autoSpaceDN/>
        <w:bidi w:val="0"/>
        <w:adjustRightInd/>
        <w:spacing w:line="400" w:lineRule="exact"/>
        <w:ind w:firstLine="420" w:firstLineChars="200"/>
        <w:textAlignment w:val="auto"/>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地点：“</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z w:val="21"/>
          <w:szCs w:val="21"/>
          <w:highlight w:val="none"/>
          <w:lang w:eastAsia="zh-CN"/>
        </w:rPr>
        <w:t>https://www.gcy.zfcg.gxzf.gov.cn/</w:t>
      </w:r>
      <w:r>
        <w:rPr>
          <w:rFonts w:hint="eastAsia" w:ascii="宋体" w:hAnsi="宋体" w:eastAsia="宋体" w:cs="宋体"/>
          <w:strike w:val="0"/>
          <w:dstrike w:val="0"/>
          <w:color w:val="auto"/>
          <w:sz w:val="21"/>
          <w:szCs w:val="21"/>
          <w:highlight w:val="none"/>
        </w:rPr>
        <w:t>）</w:t>
      </w:r>
    </w:p>
    <w:p w14:paraId="7558BD35">
      <w:pPr>
        <w:keepNext w:val="0"/>
        <w:keepLines w:val="0"/>
        <w:pageBreakBefore w:val="0"/>
        <w:kinsoku/>
        <w:wordWrap/>
        <w:overflowPunct/>
        <w:topLinePunct w:val="0"/>
        <w:autoSpaceDE/>
        <w:autoSpaceDN/>
        <w:bidi w:val="0"/>
        <w:adjustRightInd/>
        <w:spacing w:line="400" w:lineRule="exact"/>
        <w:ind w:firstLine="420" w:firstLineChars="200"/>
        <w:textAlignment w:val="auto"/>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方式：</w:t>
      </w:r>
      <w:bookmarkStart w:id="33" w:name="OLE_LINK26"/>
      <w:bookmarkStart w:id="34" w:name="OLE_LINK25"/>
      <w:bookmarkStart w:id="35" w:name="_Toc28359005"/>
      <w:bookmarkStart w:id="36" w:name="_Toc28359082"/>
      <w:bookmarkStart w:id="37" w:name="_Toc35393624"/>
      <w:bookmarkStart w:id="38" w:name="_Toc35393793"/>
      <w:r>
        <w:rPr>
          <w:rFonts w:hint="eastAsia" w:ascii="宋体" w:hAnsi="宋体" w:eastAsia="宋体" w:cs="宋体"/>
          <w:strike w:val="0"/>
          <w:dstrike w:val="0"/>
          <w:color w:val="auto"/>
          <w:sz w:val="21"/>
          <w:szCs w:val="21"/>
          <w:highlight w:val="none"/>
        </w:rPr>
        <w:t>网上下载。本项目不提供纸质文件，潜在投标人需使用账号登录或者使用CA登录“</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z w:val="21"/>
          <w:szCs w:val="21"/>
          <w:highlight w:val="none"/>
          <w:lang w:eastAsia="zh-CN"/>
        </w:rPr>
        <w:t>https://www.gcy.zfcg.gxzf.gov.cn/</w:t>
      </w:r>
      <w:r>
        <w:rPr>
          <w:rFonts w:hint="eastAsia" w:ascii="宋体" w:hAnsi="宋体" w:eastAsia="宋体" w:cs="宋体"/>
          <w:strike w:val="0"/>
          <w:dstrike w:val="0"/>
          <w:color w:val="auto"/>
          <w:sz w:val="21"/>
          <w:szCs w:val="21"/>
          <w:highlight w:val="none"/>
        </w:rPr>
        <w:t>）-进入“项目采购”应用，在获取采购文件菜单中选择项目，获取招标文件（或在“</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电子投标客户端-获取采购文件”跳转到</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系统获取）。电子投标文件制作需要基于</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获取的招标文件编制，通过其他方式获取招标文件的，将有可能导致投标人无法在</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编制及上传投标文件。</w:t>
      </w:r>
      <w:bookmarkEnd w:id="33"/>
      <w:bookmarkEnd w:id="34"/>
    </w:p>
    <w:p w14:paraId="1B8C8969">
      <w:pPr>
        <w:keepNext w:val="0"/>
        <w:keepLines w:val="0"/>
        <w:pageBreakBefore w:val="0"/>
        <w:kinsoku/>
        <w:wordWrap/>
        <w:overflowPunct/>
        <w:topLinePunct w:val="0"/>
        <w:autoSpaceDE/>
        <w:autoSpaceDN/>
        <w:bidi w:val="0"/>
        <w:adjustRightInd/>
        <w:spacing w:line="400" w:lineRule="exact"/>
        <w:ind w:firstLine="420" w:firstLineChars="200"/>
        <w:textAlignment w:val="auto"/>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售价：0元。</w:t>
      </w:r>
    </w:p>
    <w:p w14:paraId="6477A706">
      <w:pPr>
        <w:keepNext w:val="0"/>
        <w:keepLines w:val="0"/>
        <w:pageBreakBefore w:val="0"/>
        <w:kinsoku/>
        <w:wordWrap/>
        <w:overflowPunct/>
        <w:topLinePunct w:val="0"/>
        <w:autoSpaceDE/>
        <w:autoSpaceDN/>
        <w:bidi w:val="0"/>
        <w:adjustRightInd/>
        <w:spacing w:line="400" w:lineRule="exact"/>
        <w:textAlignment w:val="auto"/>
        <w:outlineLvl w:val="9"/>
        <w:rPr>
          <w:rFonts w:hint="eastAsia" w:ascii="宋体" w:hAnsi="宋体" w:eastAsia="宋体" w:cs="宋体"/>
          <w:b/>
          <w:bCs/>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rPr>
        <w:t>四、提交投标文件</w:t>
      </w:r>
      <w:bookmarkEnd w:id="35"/>
      <w:bookmarkEnd w:id="36"/>
      <w:r>
        <w:rPr>
          <w:rFonts w:hint="eastAsia" w:ascii="宋体" w:hAnsi="宋体" w:eastAsia="宋体" w:cs="宋体"/>
          <w:b/>
          <w:bCs/>
          <w:strike w:val="0"/>
          <w:dstrike w:val="0"/>
          <w:color w:val="auto"/>
          <w:sz w:val="21"/>
          <w:szCs w:val="21"/>
          <w:highlight w:val="none"/>
        </w:rPr>
        <w:t>截止时间、开标时间和地点</w:t>
      </w:r>
      <w:bookmarkEnd w:id="37"/>
      <w:bookmarkEnd w:id="38"/>
    </w:p>
    <w:p w14:paraId="02947B65">
      <w:pPr>
        <w:keepNext w:val="0"/>
        <w:keepLines w:val="0"/>
        <w:pageBreakBefore w:val="0"/>
        <w:kinsoku/>
        <w:wordWrap/>
        <w:overflowPunct/>
        <w:topLinePunct w:val="0"/>
        <w:autoSpaceDE/>
        <w:autoSpaceDN/>
        <w:bidi w:val="0"/>
        <w:adjustRightInd/>
        <w:spacing w:line="400" w:lineRule="exact"/>
        <w:ind w:firstLine="420" w:firstLineChars="200"/>
        <w:textAlignment w:val="auto"/>
        <w:outlineLvl w:val="9"/>
        <w:rPr>
          <w:rFonts w:hint="eastAsia" w:ascii="宋体" w:hAnsi="宋体" w:eastAsia="宋体" w:cs="宋体"/>
          <w:strike w:val="0"/>
          <w:dstrike w:val="0"/>
          <w:color w:val="auto"/>
          <w:sz w:val="21"/>
          <w:szCs w:val="21"/>
          <w:highlight w:val="none"/>
        </w:rPr>
      </w:pPr>
      <w:bookmarkStart w:id="39" w:name="_Toc28359007"/>
      <w:bookmarkStart w:id="40" w:name="_Toc28359084"/>
      <w:bookmarkStart w:id="41" w:name="_Toc35393625"/>
      <w:bookmarkStart w:id="42" w:name="_Toc35393794"/>
      <w:r>
        <w:rPr>
          <w:rFonts w:hint="eastAsia" w:ascii="宋体" w:hAnsi="宋体" w:eastAsia="宋体" w:cs="宋体"/>
          <w:strike w:val="0"/>
          <w:dstrike w:val="0"/>
          <w:color w:val="auto"/>
          <w:sz w:val="21"/>
          <w:szCs w:val="21"/>
          <w:highlight w:val="none"/>
        </w:rPr>
        <w:t>提交投标文件截止时间：</w:t>
      </w:r>
      <w:r>
        <w:rPr>
          <w:rFonts w:hint="eastAsia" w:ascii="宋体" w:hAnsi="宋体" w:eastAsia="宋体" w:cs="宋体"/>
          <w:strike w:val="0"/>
          <w:dstrike w:val="0"/>
          <w:color w:val="auto"/>
          <w:sz w:val="21"/>
          <w:szCs w:val="21"/>
          <w:highlight w:val="none"/>
          <w:u w:val="single"/>
        </w:rPr>
        <w:t>202</w:t>
      </w:r>
      <w:r>
        <w:rPr>
          <w:rFonts w:hint="eastAsia" w:ascii="宋体" w:hAnsi="宋体" w:cs="宋体"/>
          <w:strike w:val="0"/>
          <w:dstrike w:val="0"/>
          <w:color w:val="auto"/>
          <w:sz w:val="21"/>
          <w:szCs w:val="21"/>
          <w:highlight w:val="none"/>
          <w:u w:val="single"/>
          <w:lang w:val="en-US" w:eastAsia="zh-CN"/>
        </w:rPr>
        <w:t>6</w:t>
      </w:r>
      <w:r>
        <w:rPr>
          <w:rFonts w:hint="eastAsia" w:ascii="宋体" w:hAnsi="宋体" w:eastAsia="宋体" w:cs="宋体"/>
          <w:bCs/>
          <w:strike w:val="0"/>
          <w:dstrike w:val="0"/>
          <w:color w:val="auto"/>
          <w:sz w:val="21"/>
          <w:szCs w:val="21"/>
          <w:highlight w:val="none"/>
          <w:u w:val="single"/>
        </w:rPr>
        <w:t>年</w:t>
      </w:r>
      <w:r>
        <w:rPr>
          <w:rFonts w:hint="eastAsia" w:ascii="宋体" w:hAnsi="宋体" w:cs="宋体"/>
          <w:bCs/>
          <w:strike w:val="0"/>
          <w:dstrike w:val="0"/>
          <w:color w:val="auto"/>
          <w:sz w:val="21"/>
          <w:szCs w:val="21"/>
          <w:highlight w:val="none"/>
          <w:u w:val="single"/>
          <w:lang w:val="en-US" w:eastAsia="zh-CN"/>
        </w:rPr>
        <w:t>3</w:t>
      </w:r>
      <w:r>
        <w:rPr>
          <w:rFonts w:hint="eastAsia" w:ascii="宋体" w:hAnsi="宋体" w:eastAsia="宋体" w:cs="宋体"/>
          <w:bCs/>
          <w:strike w:val="0"/>
          <w:dstrike w:val="0"/>
          <w:color w:val="auto"/>
          <w:sz w:val="21"/>
          <w:szCs w:val="21"/>
          <w:highlight w:val="none"/>
          <w:u w:val="single"/>
        </w:rPr>
        <w:t>月</w:t>
      </w:r>
      <w:r>
        <w:rPr>
          <w:rFonts w:hint="eastAsia" w:ascii="宋体" w:hAnsi="宋体" w:cs="宋体"/>
          <w:bCs/>
          <w:strike w:val="0"/>
          <w:dstrike w:val="0"/>
          <w:color w:val="auto"/>
          <w:sz w:val="21"/>
          <w:szCs w:val="21"/>
          <w:highlight w:val="none"/>
          <w:u w:val="single"/>
          <w:lang w:val="en-US" w:eastAsia="zh-CN"/>
        </w:rPr>
        <w:t>12</w:t>
      </w:r>
      <w:r>
        <w:rPr>
          <w:rFonts w:hint="eastAsia" w:ascii="宋体" w:hAnsi="宋体" w:eastAsia="宋体" w:cs="宋体"/>
          <w:bCs/>
          <w:strike w:val="0"/>
          <w:dstrike w:val="0"/>
          <w:color w:val="auto"/>
          <w:sz w:val="21"/>
          <w:szCs w:val="21"/>
          <w:highlight w:val="none"/>
          <w:u w:val="single"/>
        </w:rPr>
        <w:t>日上午</w:t>
      </w:r>
      <w:r>
        <w:rPr>
          <w:rFonts w:hint="eastAsia" w:ascii="宋体" w:hAnsi="宋体" w:cs="宋体"/>
          <w:bCs/>
          <w:strike w:val="0"/>
          <w:dstrike w:val="0"/>
          <w:color w:val="auto"/>
          <w:sz w:val="21"/>
          <w:szCs w:val="21"/>
          <w:highlight w:val="none"/>
          <w:u w:val="single"/>
          <w:lang w:val="en-US" w:eastAsia="zh-CN"/>
        </w:rPr>
        <w:t>9</w:t>
      </w:r>
      <w:r>
        <w:rPr>
          <w:rFonts w:hint="eastAsia" w:ascii="宋体" w:hAnsi="宋体" w:eastAsia="宋体" w:cs="宋体"/>
          <w:strike w:val="0"/>
          <w:dstrike w:val="0"/>
          <w:color w:val="auto"/>
          <w:sz w:val="21"/>
          <w:szCs w:val="21"/>
          <w:highlight w:val="none"/>
          <w:u w:val="single"/>
        </w:rPr>
        <w:t>：</w:t>
      </w:r>
      <w:r>
        <w:rPr>
          <w:rFonts w:hint="eastAsia" w:ascii="宋体" w:hAnsi="宋体" w:cs="宋体"/>
          <w:strike w:val="0"/>
          <w:dstrike w:val="0"/>
          <w:color w:val="auto"/>
          <w:sz w:val="21"/>
          <w:szCs w:val="21"/>
          <w:highlight w:val="none"/>
          <w:u w:val="single"/>
          <w:lang w:val="en-US" w:eastAsia="zh-CN"/>
        </w:rPr>
        <w:t xml:space="preserve">30 </w:t>
      </w:r>
      <w:r>
        <w:rPr>
          <w:rFonts w:hint="eastAsia" w:ascii="宋体" w:hAnsi="宋体" w:eastAsia="宋体" w:cs="宋体"/>
          <w:strike w:val="0"/>
          <w:dstrike w:val="0"/>
          <w:color w:val="auto"/>
          <w:sz w:val="21"/>
          <w:szCs w:val="21"/>
          <w:highlight w:val="none"/>
        </w:rPr>
        <w:t>（北京时间）</w:t>
      </w:r>
    </w:p>
    <w:p w14:paraId="702A5351">
      <w:pPr>
        <w:keepNext w:val="0"/>
        <w:keepLines w:val="0"/>
        <w:pageBreakBefore w:val="0"/>
        <w:kinsoku/>
        <w:wordWrap/>
        <w:overflowPunct/>
        <w:topLinePunct w:val="0"/>
        <w:autoSpaceDE/>
        <w:autoSpaceDN/>
        <w:bidi w:val="0"/>
        <w:adjustRightInd/>
        <w:spacing w:line="400" w:lineRule="exact"/>
        <w:ind w:firstLine="420" w:firstLineChars="200"/>
        <w:textAlignment w:val="auto"/>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投标地点：“</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z w:val="21"/>
          <w:szCs w:val="21"/>
          <w:highlight w:val="none"/>
          <w:lang w:eastAsia="zh-CN"/>
        </w:rPr>
        <w:t>https://www.gcy.zfcg.gxzf.gov.cn/</w:t>
      </w:r>
      <w:r>
        <w:rPr>
          <w:rFonts w:hint="eastAsia" w:ascii="宋体" w:hAnsi="宋体" w:eastAsia="宋体" w:cs="宋体"/>
          <w:strike w:val="0"/>
          <w:dstrike w:val="0"/>
          <w:color w:val="auto"/>
          <w:sz w:val="21"/>
          <w:szCs w:val="21"/>
          <w:highlight w:val="none"/>
        </w:rPr>
        <w:t>）</w:t>
      </w:r>
    </w:p>
    <w:p w14:paraId="0FEE96A8">
      <w:pPr>
        <w:keepNext w:val="0"/>
        <w:keepLines w:val="0"/>
        <w:pageBreakBefore w:val="0"/>
        <w:kinsoku/>
        <w:wordWrap/>
        <w:overflowPunct/>
        <w:topLinePunct w:val="0"/>
        <w:autoSpaceDE/>
        <w:autoSpaceDN/>
        <w:bidi w:val="0"/>
        <w:adjustRightInd/>
        <w:spacing w:line="400" w:lineRule="exact"/>
        <w:ind w:firstLine="420" w:firstLineChars="200"/>
        <w:textAlignment w:val="auto"/>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开标时间：</w:t>
      </w:r>
      <w:r>
        <w:rPr>
          <w:rFonts w:hint="eastAsia" w:ascii="宋体" w:hAnsi="宋体" w:eastAsia="宋体" w:cs="宋体"/>
          <w:strike w:val="0"/>
          <w:dstrike w:val="0"/>
          <w:color w:val="auto"/>
          <w:sz w:val="21"/>
          <w:szCs w:val="21"/>
          <w:highlight w:val="none"/>
          <w:u w:val="single"/>
        </w:rPr>
        <w:t>202</w:t>
      </w:r>
      <w:r>
        <w:rPr>
          <w:rFonts w:hint="eastAsia" w:ascii="宋体" w:hAnsi="宋体" w:cs="宋体"/>
          <w:strike w:val="0"/>
          <w:dstrike w:val="0"/>
          <w:color w:val="auto"/>
          <w:sz w:val="21"/>
          <w:szCs w:val="21"/>
          <w:highlight w:val="none"/>
          <w:u w:val="single"/>
          <w:lang w:val="en-US" w:eastAsia="zh-CN"/>
        </w:rPr>
        <w:t>6</w:t>
      </w:r>
      <w:r>
        <w:rPr>
          <w:rFonts w:hint="eastAsia" w:ascii="宋体" w:hAnsi="宋体" w:eastAsia="宋体" w:cs="宋体"/>
          <w:bCs/>
          <w:strike w:val="0"/>
          <w:dstrike w:val="0"/>
          <w:color w:val="auto"/>
          <w:sz w:val="21"/>
          <w:szCs w:val="21"/>
          <w:highlight w:val="none"/>
          <w:u w:val="single"/>
        </w:rPr>
        <w:t>年</w:t>
      </w:r>
      <w:r>
        <w:rPr>
          <w:rFonts w:hint="eastAsia" w:ascii="宋体" w:hAnsi="宋体" w:cs="宋体"/>
          <w:bCs/>
          <w:strike w:val="0"/>
          <w:dstrike w:val="0"/>
          <w:color w:val="auto"/>
          <w:sz w:val="21"/>
          <w:szCs w:val="21"/>
          <w:highlight w:val="none"/>
          <w:u w:val="single"/>
          <w:lang w:val="en-US" w:eastAsia="zh-CN"/>
        </w:rPr>
        <w:t>3</w:t>
      </w:r>
      <w:r>
        <w:rPr>
          <w:rFonts w:hint="eastAsia" w:ascii="宋体" w:hAnsi="宋体" w:eastAsia="宋体" w:cs="宋体"/>
          <w:bCs/>
          <w:strike w:val="0"/>
          <w:dstrike w:val="0"/>
          <w:color w:val="auto"/>
          <w:sz w:val="21"/>
          <w:szCs w:val="21"/>
          <w:highlight w:val="none"/>
          <w:u w:val="single"/>
        </w:rPr>
        <w:t>月</w:t>
      </w:r>
      <w:r>
        <w:rPr>
          <w:rFonts w:hint="eastAsia" w:ascii="宋体" w:hAnsi="宋体" w:cs="宋体"/>
          <w:bCs/>
          <w:strike w:val="0"/>
          <w:dstrike w:val="0"/>
          <w:color w:val="auto"/>
          <w:sz w:val="21"/>
          <w:szCs w:val="21"/>
          <w:highlight w:val="none"/>
          <w:u w:val="single"/>
          <w:lang w:val="en-US" w:eastAsia="zh-CN"/>
        </w:rPr>
        <w:t>12</w:t>
      </w:r>
      <w:r>
        <w:rPr>
          <w:rFonts w:hint="eastAsia" w:ascii="宋体" w:hAnsi="宋体" w:eastAsia="宋体" w:cs="宋体"/>
          <w:bCs/>
          <w:strike w:val="0"/>
          <w:dstrike w:val="0"/>
          <w:color w:val="auto"/>
          <w:sz w:val="21"/>
          <w:szCs w:val="21"/>
          <w:highlight w:val="none"/>
          <w:u w:val="single"/>
        </w:rPr>
        <w:t>日上午</w:t>
      </w:r>
      <w:r>
        <w:rPr>
          <w:rFonts w:hint="eastAsia" w:ascii="宋体" w:hAnsi="宋体" w:cs="宋体"/>
          <w:bCs/>
          <w:strike w:val="0"/>
          <w:dstrike w:val="0"/>
          <w:color w:val="auto"/>
          <w:sz w:val="21"/>
          <w:szCs w:val="21"/>
          <w:highlight w:val="none"/>
          <w:u w:val="single"/>
          <w:lang w:val="en-US" w:eastAsia="zh-CN"/>
        </w:rPr>
        <w:t>9</w:t>
      </w:r>
      <w:r>
        <w:rPr>
          <w:rFonts w:hint="eastAsia" w:ascii="宋体" w:hAnsi="宋体" w:eastAsia="宋体" w:cs="宋体"/>
          <w:strike w:val="0"/>
          <w:dstrike w:val="0"/>
          <w:color w:val="auto"/>
          <w:sz w:val="21"/>
          <w:szCs w:val="21"/>
          <w:highlight w:val="none"/>
          <w:u w:val="single"/>
        </w:rPr>
        <w:t>：</w:t>
      </w:r>
      <w:r>
        <w:rPr>
          <w:rFonts w:hint="eastAsia" w:ascii="宋体" w:hAnsi="宋体" w:cs="宋体"/>
          <w:strike w:val="0"/>
          <w:dstrike w:val="0"/>
          <w:color w:val="auto"/>
          <w:sz w:val="21"/>
          <w:szCs w:val="21"/>
          <w:highlight w:val="none"/>
          <w:u w:val="single"/>
          <w:lang w:val="en-US" w:eastAsia="zh-CN"/>
        </w:rPr>
        <w:t>30</w:t>
      </w:r>
      <w:r>
        <w:rPr>
          <w:rFonts w:hint="eastAsia" w:ascii="宋体" w:hAnsi="宋体" w:eastAsia="宋体" w:cs="宋体"/>
          <w:strike w:val="0"/>
          <w:dstrike w:val="0"/>
          <w:color w:val="auto"/>
          <w:sz w:val="21"/>
          <w:szCs w:val="21"/>
          <w:highlight w:val="none"/>
        </w:rPr>
        <w:t>（北京时间）</w:t>
      </w:r>
    </w:p>
    <w:p w14:paraId="2D4278C3">
      <w:pPr>
        <w:keepNext w:val="0"/>
        <w:keepLines w:val="0"/>
        <w:pageBreakBefore w:val="0"/>
        <w:kinsoku/>
        <w:wordWrap/>
        <w:overflowPunct/>
        <w:topLinePunct w:val="0"/>
        <w:autoSpaceDE/>
        <w:autoSpaceDN/>
        <w:bidi w:val="0"/>
        <w:adjustRightInd/>
        <w:spacing w:line="400" w:lineRule="exact"/>
        <w:ind w:firstLine="420" w:firstLineChars="200"/>
        <w:textAlignment w:val="auto"/>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开标地点：</w:t>
      </w:r>
      <w:bookmarkStart w:id="43" w:name="OLE_LINK39"/>
      <w:bookmarkStart w:id="44" w:name="OLE_LINK38"/>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电子开标大厅</w:t>
      </w:r>
      <w:bookmarkEnd w:id="43"/>
      <w:bookmarkEnd w:id="44"/>
    </w:p>
    <w:p w14:paraId="1A52A46D">
      <w:pPr>
        <w:keepNext w:val="0"/>
        <w:keepLines w:val="0"/>
        <w:pageBreakBefore w:val="0"/>
        <w:kinsoku/>
        <w:wordWrap/>
        <w:overflowPunct/>
        <w:topLinePunct w:val="0"/>
        <w:autoSpaceDE/>
        <w:autoSpaceDN/>
        <w:bidi w:val="0"/>
        <w:adjustRightInd/>
        <w:spacing w:line="400" w:lineRule="exact"/>
        <w:textAlignment w:val="auto"/>
        <w:outlineLvl w:val="9"/>
        <w:rPr>
          <w:rFonts w:hint="eastAsia" w:ascii="宋体" w:hAnsi="宋体" w:eastAsia="宋体" w:cs="宋体"/>
          <w:strike w:val="0"/>
          <w:dstrike w:val="0"/>
          <w:color w:val="auto"/>
          <w:kern w:val="0"/>
          <w:sz w:val="21"/>
          <w:szCs w:val="21"/>
          <w:highlight w:val="none"/>
        </w:rPr>
      </w:pPr>
      <w:r>
        <w:rPr>
          <w:rFonts w:hint="eastAsia" w:ascii="宋体" w:hAnsi="宋体" w:eastAsia="宋体" w:cs="宋体"/>
          <w:b/>
          <w:bCs/>
          <w:strike w:val="0"/>
          <w:dstrike w:val="0"/>
          <w:color w:val="auto"/>
          <w:sz w:val="21"/>
          <w:szCs w:val="21"/>
          <w:highlight w:val="none"/>
        </w:rPr>
        <w:t>五、公告期限</w:t>
      </w:r>
      <w:bookmarkEnd w:id="39"/>
      <w:bookmarkEnd w:id="40"/>
      <w:bookmarkEnd w:id="41"/>
      <w:bookmarkEnd w:id="42"/>
      <w:r>
        <w:rPr>
          <w:rFonts w:hint="eastAsia" w:ascii="宋体" w:hAnsi="宋体" w:eastAsia="宋体" w:cs="宋体"/>
          <w:b/>
          <w:bCs/>
          <w:strike w:val="0"/>
          <w:dstrike w:val="0"/>
          <w:color w:val="auto"/>
          <w:sz w:val="21"/>
          <w:szCs w:val="21"/>
          <w:highlight w:val="none"/>
        </w:rPr>
        <w:t>：</w:t>
      </w:r>
      <w:r>
        <w:rPr>
          <w:rFonts w:hint="eastAsia" w:ascii="宋体" w:hAnsi="宋体" w:eastAsia="宋体" w:cs="宋体"/>
          <w:strike w:val="0"/>
          <w:dstrike w:val="0"/>
          <w:color w:val="auto"/>
          <w:kern w:val="0"/>
          <w:sz w:val="21"/>
          <w:szCs w:val="21"/>
          <w:highlight w:val="none"/>
        </w:rPr>
        <w:t>自本公告发布之日起5个工作日。</w:t>
      </w:r>
    </w:p>
    <w:p w14:paraId="23E2BB11">
      <w:pPr>
        <w:keepNext w:val="0"/>
        <w:keepLines w:val="0"/>
        <w:pageBreakBefore w:val="0"/>
        <w:kinsoku/>
        <w:wordWrap/>
        <w:overflowPunct/>
        <w:topLinePunct w:val="0"/>
        <w:autoSpaceDE/>
        <w:autoSpaceDN/>
        <w:bidi w:val="0"/>
        <w:adjustRightInd/>
        <w:spacing w:line="400" w:lineRule="exact"/>
        <w:textAlignment w:val="auto"/>
        <w:outlineLvl w:val="9"/>
        <w:rPr>
          <w:rFonts w:hint="eastAsia" w:ascii="宋体" w:hAnsi="宋体" w:eastAsia="宋体" w:cs="宋体"/>
          <w:b/>
          <w:bCs/>
          <w:strike w:val="0"/>
          <w:dstrike w:val="0"/>
          <w:color w:val="auto"/>
          <w:sz w:val="21"/>
          <w:szCs w:val="21"/>
          <w:highlight w:val="none"/>
        </w:rPr>
      </w:pPr>
      <w:bookmarkStart w:id="45" w:name="_Toc35393795"/>
      <w:bookmarkStart w:id="46" w:name="_Toc35393626"/>
      <w:r>
        <w:rPr>
          <w:rFonts w:hint="eastAsia" w:ascii="宋体" w:hAnsi="宋体" w:eastAsia="宋体" w:cs="宋体"/>
          <w:b/>
          <w:bCs/>
          <w:strike w:val="0"/>
          <w:dstrike w:val="0"/>
          <w:color w:val="auto"/>
          <w:sz w:val="21"/>
          <w:szCs w:val="21"/>
          <w:highlight w:val="none"/>
        </w:rPr>
        <w:t>六、其他补充事宜</w:t>
      </w:r>
      <w:bookmarkEnd w:id="45"/>
      <w:bookmarkEnd w:id="46"/>
    </w:p>
    <w:p w14:paraId="55B5F33F">
      <w:pPr>
        <w:keepNext w:val="0"/>
        <w:keepLines w:val="0"/>
        <w:pageBreakBefore w:val="0"/>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bCs/>
          <w:strike w:val="0"/>
          <w:dstrike w:val="0"/>
          <w:color w:val="auto"/>
          <w:sz w:val="21"/>
          <w:szCs w:val="21"/>
          <w:highlight w:val="none"/>
          <w:u w:val="single"/>
        </w:rPr>
      </w:pPr>
      <w:bookmarkStart w:id="47" w:name="_Hlk37429585"/>
      <w:bookmarkStart w:id="48" w:name="_Hlk37429595"/>
      <w:bookmarkStart w:id="49" w:name="OLE_LINK45"/>
      <w:bookmarkStart w:id="50" w:name="OLE_LINK44"/>
      <w:r>
        <w:rPr>
          <w:rFonts w:hint="eastAsia" w:ascii="宋体" w:hAnsi="宋体" w:eastAsia="宋体" w:cs="宋体"/>
          <w:bCs/>
          <w:strike w:val="0"/>
          <w:dstrike w:val="0"/>
          <w:color w:val="auto"/>
          <w:sz w:val="21"/>
          <w:szCs w:val="21"/>
          <w:highlight w:val="none"/>
        </w:rPr>
        <w:t>1.投标保证金（须足额交纳）：</w:t>
      </w:r>
      <w:r>
        <w:rPr>
          <w:rFonts w:hint="eastAsia" w:ascii="宋体" w:hAnsi="宋体" w:cs="宋体"/>
          <w:strike w:val="0"/>
          <w:dstrike w:val="0"/>
          <w:color w:val="auto"/>
          <w:sz w:val="21"/>
          <w:szCs w:val="21"/>
          <w:highlight w:val="none"/>
          <w:lang w:val="en-US" w:eastAsia="zh-CN"/>
        </w:rPr>
        <w:t>120000.00</w:t>
      </w:r>
      <w:r>
        <w:rPr>
          <w:rFonts w:hint="eastAsia" w:ascii="宋体" w:hAnsi="宋体" w:eastAsia="宋体" w:cs="宋体"/>
          <w:strike w:val="0"/>
          <w:dstrike w:val="0"/>
          <w:color w:val="auto"/>
          <w:sz w:val="21"/>
          <w:szCs w:val="21"/>
          <w:highlight w:val="none"/>
          <w:lang w:val="en-US" w:eastAsia="zh-CN"/>
        </w:rPr>
        <w:t>元</w:t>
      </w:r>
      <w:r>
        <w:rPr>
          <w:rFonts w:hint="eastAsia" w:ascii="宋体" w:hAnsi="宋体" w:eastAsia="宋体" w:cs="宋体"/>
          <w:strike w:val="0"/>
          <w:dstrike w:val="0"/>
          <w:color w:val="auto"/>
          <w:sz w:val="21"/>
          <w:szCs w:val="21"/>
          <w:highlight w:val="none"/>
        </w:rPr>
        <w:t>（交纳注意事项详见投标人须知前附表）</w:t>
      </w:r>
    </w:p>
    <w:p w14:paraId="654DDFCC">
      <w:pPr>
        <w:keepNext w:val="0"/>
        <w:keepLines w:val="0"/>
        <w:pageBreakBefore w:val="0"/>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（1）投标保证金的交纳方式：</w:t>
      </w:r>
      <w:r>
        <w:rPr>
          <w:rFonts w:hint="eastAsia" w:ascii="宋体" w:hAnsi="宋体" w:eastAsia="宋体" w:cs="宋体"/>
          <w:bCs/>
          <w:color w:val="auto"/>
          <w:sz w:val="21"/>
          <w:szCs w:val="21"/>
          <w:highlight w:val="none"/>
          <w:lang w:val="en-US" w:eastAsia="zh-CN"/>
        </w:rPr>
        <w:t>银行转账、支票、汇票、本票或者金融、担保机构出具的保函</w:t>
      </w:r>
      <w:r>
        <w:rPr>
          <w:rFonts w:hint="eastAsia" w:ascii="宋体" w:hAnsi="宋体" w:eastAsia="宋体" w:cs="宋体"/>
          <w:strike w:val="0"/>
          <w:dstrike w:val="0"/>
          <w:color w:val="auto"/>
          <w:sz w:val="21"/>
          <w:szCs w:val="21"/>
          <w:highlight w:val="none"/>
        </w:rPr>
        <w:t>等非现金形式。</w:t>
      </w:r>
    </w:p>
    <w:p w14:paraId="274CF181">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（2）采用银行转账方式的，投标人应于提交投标文件截止时间前将投标保证金交至以下账户</w:t>
      </w:r>
      <w:r>
        <w:rPr>
          <w:rFonts w:hint="eastAsia" w:ascii="宋体" w:hAnsi="宋体" w:eastAsia="宋体" w:cs="宋体"/>
          <w:b/>
          <w:bCs/>
          <w:strike w:val="0"/>
          <w:dstrike w:val="0"/>
          <w:color w:val="auto"/>
          <w:sz w:val="21"/>
          <w:szCs w:val="21"/>
          <w:highlight w:val="none"/>
          <w:lang w:eastAsia="zh-CN"/>
        </w:rPr>
        <w:t>（</w:t>
      </w:r>
      <w:r>
        <w:rPr>
          <w:rFonts w:hint="eastAsia" w:ascii="宋体" w:hAnsi="宋体" w:eastAsia="宋体" w:cs="宋体"/>
          <w:b/>
          <w:bCs/>
          <w:color w:val="auto"/>
          <w:sz w:val="21"/>
          <w:szCs w:val="21"/>
          <w:highlight w:val="none"/>
          <w:lang w:bidi="ar"/>
        </w:rPr>
        <w:t>缴纳时注明项目编号（财务室电话：0771-</w:t>
      </w:r>
      <w:r>
        <w:rPr>
          <w:rFonts w:hint="eastAsia" w:ascii="宋体" w:hAnsi="宋体" w:eastAsia="宋体" w:cs="宋体"/>
          <w:b/>
          <w:bCs/>
          <w:color w:val="auto"/>
          <w:sz w:val="21"/>
          <w:szCs w:val="21"/>
          <w:highlight w:val="none"/>
          <w:lang w:val="en-US" w:eastAsia="zh-CN" w:bidi="ar"/>
        </w:rPr>
        <w:t>2225338</w:t>
      </w:r>
      <w:r>
        <w:rPr>
          <w:rFonts w:hint="eastAsia" w:ascii="宋体" w:hAnsi="宋体" w:eastAsia="宋体" w:cs="宋体"/>
          <w:b/>
          <w:bCs/>
          <w:color w:val="auto"/>
          <w:sz w:val="21"/>
          <w:szCs w:val="21"/>
          <w:highlight w:val="none"/>
          <w:lang w:bidi="ar"/>
        </w:rPr>
        <w:t>）</w:t>
      </w:r>
      <w:r>
        <w:rPr>
          <w:rFonts w:hint="eastAsia" w:ascii="宋体" w:hAnsi="宋体" w:eastAsia="宋体" w:cs="宋体"/>
          <w:b/>
          <w:bCs/>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w:t>
      </w:r>
    </w:p>
    <w:p w14:paraId="6A0C8E02">
      <w:pPr>
        <w:keepNext w:val="0"/>
        <w:keepLines w:val="0"/>
        <w:pageBreakBefore w:val="0"/>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开户名称：广西邕政采购代理有限公司</w:t>
      </w:r>
    </w:p>
    <w:p w14:paraId="50B72497">
      <w:pPr>
        <w:keepNext w:val="0"/>
        <w:keepLines w:val="0"/>
        <w:pageBreakBefore w:val="0"/>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开户银行：交行南宁嘉园支行</w:t>
      </w:r>
    </w:p>
    <w:p w14:paraId="5464CC2E">
      <w:pPr>
        <w:keepNext w:val="0"/>
        <w:keepLines w:val="0"/>
        <w:pageBreakBefore w:val="0"/>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银行账号：451060702018160082066</w:t>
      </w:r>
    </w:p>
    <w:p w14:paraId="595AE2B9">
      <w:pPr>
        <w:keepNext w:val="0"/>
        <w:keepLines w:val="0"/>
        <w:pageBreakBefore w:val="0"/>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银行行号：301611000742</w:t>
      </w:r>
    </w:p>
    <w:p w14:paraId="2166AF9C">
      <w:pPr>
        <w:keepNext w:val="0"/>
        <w:keepLines w:val="0"/>
        <w:pageBreakBefore w:val="0"/>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3）采用支票、汇票、本票或者保函等形式的，投标人应于提交投标文件截止时间前递交（或邮寄）单独密封的支票、汇票、本票或者保函原件（电子保函除外）至我公司。（地址：南宁市青秀区民族大道180号（威壮大厦）22层2210～2217室，联系人：黄秋梅、罗霞、丰薇，联系电话：</w:t>
      </w:r>
      <w:r>
        <w:rPr>
          <w:rFonts w:hint="eastAsia" w:ascii="宋体" w:hAnsi="宋体" w:eastAsia="宋体" w:cs="宋体"/>
          <w:strike w:val="0"/>
          <w:dstrike w:val="0"/>
          <w:color w:val="auto"/>
          <w:sz w:val="21"/>
          <w:szCs w:val="21"/>
          <w:highlight w:val="none"/>
        </w:rPr>
        <w:t>0771-</w:t>
      </w:r>
      <w:r>
        <w:rPr>
          <w:rFonts w:hint="eastAsia" w:ascii="宋体" w:hAnsi="宋体" w:eastAsia="宋体" w:cs="宋体"/>
          <w:strike w:val="0"/>
          <w:dstrike w:val="0"/>
          <w:color w:val="auto"/>
          <w:sz w:val="21"/>
          <w:szCs w:val="21"/>
          <w:highlight w:val="none"/>
          <w:lang w:val="en-US" w:eastAsia="zh-CN"/>
        </w:rPr>
        <w:t>2225338）</w:t>
      </w:r>
    </w:p>
    <w:p w14:paraId="787C8BE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2.公告发布媒体：</w:t>
      </w:r>
      <w:r>
        <w:rPr>
          <w:rFonts w:hint="eastAsia" w:ascii="宋体" w:hAnsi="宋体" w:eastAsia="宋体" w:cs="宋体"/>
          <w:bCs/>
          <w:strike w:val="0"/>
          <w:dstrike w:val="0"/>
          <w:color w:val="auto"/>
          <w:sz w:val="21"/>
          <w:szCs w:val="21"/>
          <w:highlight w:val="none"/>
        </w:rPr>
        <w:t>中国政府采购网（</w:t>
      </w:r>
      <w:r>
        <w:rPr>
          <w:rFonts w:hint="eastAsia" w:ascii="宋体" w:hAnsi="宋体" w:eastAsia="宋体" w:cs="宋体"/>
          <w:bCs/>
          <w:strike w:val="0"/>
          <w:dstrike w:val="0"/>
          <w:color w:val="auto"/>
          <w:sz w:val="21"/>
          <w:szCs w:val="21"/>
          <w:highlight w:val="none"/>
          <w:lang w:eastAsia="zh-CN"/>
        </w:rPr>
        <w:t>www.ccgp.gov.cn</w:t>
      </w:r>
      <w:r>
        <w:rPr>
          <w:rFonts w:hint="eastAsia" w:ascii="宋体" w:hAnsi="宋体" w:eastAsia="宋体" w:cs="宋体"/>
          <w:bCs/>
          <w:strike w:val="0"/>
          <w:dstrike w:val="0"/>
          <w:color w:val="auto"/>
          <w:sz w:val="21"/>
          <w:szCs w:val="21"/>
          <w:highlight w:val="none"/>
        </w:rPr>
        <w:t>）、广西壮族自治区政府采购网（</w:t>
      </w:r>
      <w:r>
        <w:rPr>
          <w:rFonts w:hint="eastAsia" w:ascii="宋体" w:hAnsi="宋体" w:eastAsia="宋体" w:cs="宋体"/>
          <w:bCs/>
          <w:strike w:val="0"/>
          <w:dstrike w:val="0"/>
          <w:color w:val="auto"/>
          <w:sz w:val="21"/>
          <w:szCs w:val="21"/>
          <w:highlight w:val="none"/>
          <w:lang w:eastAsia="zh-CN"/>
        </w:rPr>
        <w:t>http://www.ccgp-guangxi.gov.cn/</w:t>
      </w:r>
      <w:r>
        <w:rPr>
          <w:rFonts w:hint="eastAsia" w:ascii="宋体" w:hAnsi="宋体" w:eastAsia="宋体" w:cs="宋体"/>
          <w:bCs/>
          <w:strike w:val="0"/>
          <w:dstrike w:val="0"/>
          <w:color w:val="auto"/>
          <w:sz w:val="21"/>
          <w:szCs w:val="21"/>
          <w:highlight w:val="none"/>
        </w:rPr>
        <w:t>）、全国公共资源交易平台（广西壮族自治区）（</w:t>
      </w:r>
      <w:r>
        <w:rPr>
          <w:rFonts w:hint="eastAsia" w:ascii="宋体" w:hAnsi="宋体" w:eastAsia="宋体" w:cs="宋体"/>
          <w:bCs/>
          <w:strike w:val="0"/>
          <w:dstrike w:val="0"/>
          <w:color w:val="auto"/>
          <w:sz w:val="21"/>
          <w:szCs w:val="21"/>
          <w:highlight w:val="none"/>
          <w:lang w:eastAsia="zh-CN"/>
        </w:rPr>
        <w:t>http://gxggzy.gxzf.gov.cn/</w:t>
      </w:r>
      <w:r>
        <w:rPr>
          <w:rFonts w:hint="eastAsia" w:ascii="宋体" w:hAnsi="宋体" w:eastAsia="宋体" w:cs="宋体"/>
          <w:bCs/>
          <w:strike w:val="0"/>
          <w:dstrike w:val="0"/>
          <w:color w:val="auto"/>
          <w:sz w:val="21"/>
          <w:szCs w:val="21"/>
          <w:highlight w:val="none"/>
        </w:rPr>
        <w:t>）</w:t>
      </w:r>
      <w:r>
        <w:rPr>
          <w:rFonts w:hint="eastAsia" w:ascii="宋体" w:hAnsi="宋体" w:eastAsia="宋体" w:cs="宋体"/>
          <w:bCs/>
          <w:strike w:val="0"/>
          <w:dstrike w:val="0"/>
          <w:color w:val="auto"/>
          <w:sz w:val="21"/>
          <w:szCs w:val="21"/>
          <w:highlight w:val="none"/>
          <w:lang w:eastAsia="zh-CN"/>
        </w:rPr>
        <w:t>、</w:t>
      </w:r>
      <w:r>
        <w:rPr>
          <w:rFonts w:hint="eastAsia" w:ascii="宋体" w:hAnsi="宋体" w:eastAsia="宋体" w:cs="宋体"/>
          <w:bCs/>
          <w:strike w:val="0"/>
          <w:dstrike w:val="0"/>
          <w:color w:val="auto"/>
          <w:sz w:val="21"/>
          <w:szCs w:val="21"/>
          <w:highlight w:val="none"/>
        </w:rPr>
        <w:t>广西壮族自治区生态环境厅网（http://sthjt.gxzf.gov.cn/）。</w:t>
      </w:r>
      <w:bookmarkEnd w:id="47"/>
      <w:bookmarkEnd w:id="48"/>
    </w:p>
    <w:p w14:paraId="7E7FC3CD">
      <w:pPr>
        <w:keepNext w:val="0"/>
        <w:keepLines w:val="0"/>
        <w:pageBreakBefore w:val="0"/>
        <w:kinsoku/>
        <w:wordWrap/>
        <w:overflowPunct/>
        <w:topLinePunct w:val="0"/>
        <w:autoSpaceDE/>
        <w:autoSpaceDN/>
        <w:bidi w:val="0"/>
        <w:adjustRightInd/>
        <w:spacing w:line="400" w:lineRule="exact"/>
        <w:ind w:firstLine="424" w:firstLineChars="202"/>
        <w:textAlignment w:val="auto"/>
        <w:outlineLvl w:val="9"/>
        <w:rPr>
          <w:rFonts w:hint="eastAsia" w:ascii="宋体" w:hAnsi="宋体" w:eastAsia="宋体" w:cs="宋体"/>
          <w:strike w:val="0"/>
          <w:dstrike w:val="0"/>
          <w:color w:val="auto"/>
          <w:sz w:val="21"/>
          <w:szCs w:val="21"/>
          <w:highlight w:val="none"/>
        </w:rPr>
      </w:pPr>
      <w:bookmarkStart w:id="51" w:name="_Hlk37429674"/>
      <w:r>
        <w:rPr>
          <w:rFonts w:hint="eastAsia" w:ascii="宋体" w:hAnsi="宋体" w:eastAsia="宋体" w:cs="宋体"/>
          <w:bCs/>
          <w:strike w:val="0"/>
          <w:dstrike w:val="0"/>
          <w:color w:val="auto"/>
          <w:sz w:val="21"/>
          <w:szCs w:val="21"/>
          <w:highlight w:val="none"/>
        </w:rPr>
        <w:t>3.本项目落实的政府采购政策：</w:t>
      </w:r>
      <w:r>
        <w:rPr>
          <w:rFonts w:hint="eastAsia" w:ascii="宋体" w:hAnsi="宋体" w:eastAsia="宋体" w:cs="宋体"/>
          <w:strike w:val="0"/>
          <w:dstrike w:val="0"/>
          <w:color w:val="auto"/>
          <w:sz w:val="21"/>
          <w:szCs w:val="21"/>
          <w:highlight w:val="none"/>
        </w:rPr>
        <w:t>政府采购促进中小企业发展；政府采购支持采用本国产品的政策；</w:t>
      </w:r>
      <w:r>
        <w:rPr>
          <w:rFonts w:hint="eastAsia" w:ascii="宋体" w:hAnsi="宋体" w:eastAsia="宋体" w:cs="宋体"/>
          <w:strike w:val="0"/>
          <w:dstrike w:val="0"/>
          <w:color w:val="auto"/>
          <w:kern w:val="0"/>
          <w:sz w:val="21"/>
          <w:szCs w:val="21"/>
          <w:highlight w:val="none"/>
        </w:rPr>
        <w:t>强制采购节能产品；优先采购节能产品、环境标志产品</w:t>
      </w: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kern w:val="0"/>
          <w:sz w:val="21"/>
          <w:szCs w:val="21"/>
          <w:highlight w:val="none"/>
        </w:rPr>
        <w:t>政府采购促进残疾人就业政策；政府采购支持监狱企业发展</w:t>
      </w:r>
      <w:r>
        <w:rPr>
          <w:rFonts w:hint="eastAsia" w:ascii="宋体" w:hAnsi="宋体" w:eastAsia="宋体" w:cs="宋体"/>
          <w:strike w:val="0"/>
          <w:dstrike w:val="0"/>
          <w:color w:val="auto"/>
          <w:kern w:val="0"/>
          <w:sz w:val="21"/>
          <w:szCs w:val="21"/>
          <w:highlight w:val="none"/>
          <w:lang w:eastAsia="zh-CN"/>
        </w:rPr>
        <w:t>；扶持不发达地区和少数民族地区政策</w:t>
      </w:r>
      <w:r>
        <w:rPr>
          <w:rFonts w:hint="eastAsia" w:ascii="宋体" w:hAnsi="宋体" w:eastAsia="宋体" w:cs="宋体"/>
          <w:strike w:val="0"/>
          <w:dstrike w:val="0"/>
          <w:color w:val="auto"/>
          <w:kern w:val="0"/>
          <w:sz w:val="21"/>
          <w:szCs w:val="21"/>
          <w:highlight w:val="none"/>
        </w:rPr>
        <w:t>。</w:t>
      </w:r>
    </w:p>
    <w:p w14:paraId="0E732C4D">
      <w:pPr>
        <w:keepNext w:val="0"/>
        <w:keepLines w:val="0"/>
        <w:pageBreakBefore w:val="0"/>
        <w:widowControl/>
        <w:kinsoku/>
        <w:wordWrap/>
        <w:overflowPunct/>
        <w:topLinePunct w:val="0"/>
        <w:autoSpaceDE/>
        <w:autoSpaceDN/>
        <w:bidi w:val="0"/>
        <w:adjustRightInd/>
        <w:spacing w:line="400" w:lineRule="exact"/>
        <w:ind w:firstLine="422" w:firstLineChars="200"/>
        <w:jc w:val="left"/>
        <w:textAlignment w:val="auto"/>
        <w:outlineLvl w:val="9"/>
        <w:rPr>
          <w:rFonts w:hint="eastAsia" w:ascii="宋体" w:hAnsi="宋体" w:eastAsia="宋体" w:cs="宋体"/>
          <w:b/>
          <w:bCs/>
          <w:strike w:val="0"/>
          <w:dstrike w:val="0"/>
          <w:color w:val="auto"/>
          <w:sz w:val="21"/>
          <w:szCs w:val="21"/>
          <w:highlight w:val="none"/>
        </w:rPr>
      </w:pPr>
      <w:r>
        <w:rPr>
          <w:rFonts w:hint="eastAsia" w:ascii="宋体" w:hAnsi="宋体" w:eastAsia="宋体" w:cs="宋体"/>
          <w:b/>
          <w:bCs/>
          <w:strike w:val="0"/>
          <w:dstrike w:val="0"/>
          <w:color w:val="auto"/>
          <w:kern w:val="0"/>
          <w:sz w:val="21"/>
          <w:szCs w:val="21"/>
          <w:highlight w:val="none"/>
          <w:lang w:val="en-US" w:eastAsia="zh-CN"/>
        </w:rPr>
        <w:t>4</w:t>
      </w:r>
      <w:r>
        <w:rPr>
          <w:rFonts w:hint="eastAsia" w:ascii="宋体" w:hAnsi="宋体" w:eastAsia="宋体" w:cs="宋体"/>
          <w:b/>
          <w:bCs/>
          <w:strike w:val="0"/>
          <w:dstrike w:val="0"/>
          <w:color w:val="auto"/>
          <w:kern w:val="0"/>
          <w:sz w:val="21"/>
          <w:szCs w:val="21"/>
          <w:highlight w:val="none"/>
        </w:rPr>
        <w:t>.</w:t>
      </w:r>
      <w:bookmarkEnd w:id="51"/>
      <w:bookmarkStart w:id="52" w:name="_Toc28359085"/>
      <w:bookmarkStart w:id="53" w:name="_Toc35393796"/>
      <w:bookmarkStart w:id="54" w:name="_Toc35393627"/>
      <w:bookmarkStart w:id="55" w:name="_Toc28359008"/>
      <w:r>
        <w:rPr>
          <w:rFonts w:hint="eastAsia" w:ascii="宋体" w:hAnsi="宋体" w:eastAsia="宋体" w:cs="宋体"/>
          <w:b/>
          <w:bCs/>
          <w:strike w:val="0"/>
          <w:dstrike w:val="0"/>
          <w:color w:val="auto"/>
          <w:kern w:val="0"/>
          <w:sz w:val="21"/>
          <w:szCs w:val="21"/>
          <w:highlight w:val="none"/>
        </w:rPr>
        <w:t>投标人</w:t>
      </w:r>
      <w:r>
        <w:rPr>
          <w:rFonts w:hint="eastAsia" w:ascii="宋体" w:hAnsi="宋体" w:eastAsia="宋体" w:cs="宋体"/>
          <w:b/>
          <w:bCs/>
          <w:strike w:val="0"/>
          <w:dstrike w:val="0"/>
          <w:color w:val="auto"/>
          <w:sz w:val="21"/>
          <w:szCs w:val="21"/>
          <w:highlight w:val="none"/>
        </w:rPr>
        <w:t>投标注意事项</w:t>
      </w:r>
    </w:p>
    <w:p w14:paraId="37CCDC25">
      <w:pPr>
        <w:keepNext w:val="0"/>
        <w:keepLines w:val="0"/>
        <w:pageBreakBefore w:val="0"/>
        <w:widowControl/>
        <w:kinsoku/>
        <w:wordWrap w:val="0"/>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（1）本项目为全流程电子化采购项目，通过“</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z w:val="21"/>
          <w:szCs w:val="21"/>
          <w:highlight w:val="none"/>
          <w:lang w:eastAsia="zh-CN"/>
        </w:rPr>
        <w:t>https://www.gcy.zfcg.gxzf.gov.cn/</w:t>
      </w:r>
      <w:r>
        <w:rPr>
          <w:rFonts w:hint="eastAsia" w:ascii="宋体" w:hAnsi="宋体" w:eastAsia="宋体" w:cs="宋体"/>
          <w:strike w:val="0"/>
          <w:dstrike w:val="0"/>
          <w:color w:val="auto"/>
          <w:sz w:val="21"/>
          <w:szCs w:val="21"/>
          <w:highlight w:val="none"/>
        </w:rPr>
        <w:t>）实行在线电子投标，投标人应先安装“</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电子投标客户端”（请自行前往</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进行下载），并按照本项目招标文件和</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的要求编制、加密后在投标截止时间前通过网络上传至</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（加密的电子投标文件是指后缀名为“jmbs”的文件），</w:t>
      </w:r>
      <w:r>
        <w:rPr>
          <w:rFonts w:hint="eastAsia" w:ascii="宋体" w:hAnsi="宋体" w:eastAsia="宋体" w:cs="宋体"/>
          <w:b/>
          <w:strike w:val="0"/>
          <w:dstrike w:val="0"/>
          <w:color w:val="auto"/>
          <w:sz w:val="21"/>
          <w:szCs w:val="21"/>
          <w:highlight w:val="none"/>
        </w:rPr>
        <w:t>投标人在</w:t>
      </w:r>
      <w:r>
        <w:rPr>
          <w:rFonts w:hint="eastAsia" w:ascii="宋体" w:hAnsi="宋体" w:eastAsia="宋体" w:cs="宋体"/>
          <w:b/>
          <w:strike w:val="0"/>
          <w:dstrike w:val="0"/>
          <w:color w:val="auto"/>
          <w:sz w:val="21"/>
          <w:szCs w:val="21"/>
          <w:highlight w:val="none"/>
          <w:lang w:eastAsia="zh-CN"/>
        </w:rPr>
        <w:t>广西政府采购云平台</w:t>
      </w:r>
      <w:r>
        <w:rPr>
          <w:rFonts w:hint="eastAsia" w:ascii="宋体" w:hAnsi="宋体" w:eastAsia="宋体" w:cs="宋体"/>
          <w:b/>
          <w:strike w:val="0"/>
          <w:dstrike w:val="0"/>
          <w:color w:val="auto"/>
          <w:sz w:val="21"/>
          <w:szCs w:val="21"/>
          <w:highlight w:val="none"/>
        </w:rPr>
        <w:t>提交电子投标文件时，请填写参加远程开标活动经办人联系方式。</w:t>
      </w:r>
      <w:r>
        <w:rPr>
          <w:rFonts w:hint="eastAsia" w:ascii="宋体" w:hAnsi="宋体" w:eastAsia="宋体" w:cs="宋体"/>
          <w:strike w:val="0"/>
          <w:dstrike w:val="0"/>
          <w:color w:val="auto"/>
          <w:sz w:val="21"/>
          <w:szCs w:val="21"/>
          <w:highlight w:val="none"/>
        </w:rPr>
        <w:t>投标人登录</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，依次进入“服务中心-项目采购-操作流程-电子招投标-政府采购项目电子交易管理操作指南-投标人”查看电子投标具体操作流程。</w:t>
      </w:r>
    </w:p>
    <w:p w14:paraId="4B8AEE08">
      <w:pPr>
        <w:keepNext w:val="0"/>
        <w:keepLines w:val="0"/>
        <w:widowControl/>
        <w:wordWrap w:val="0"/>
        <w:spacing w:line="400" w:lineRule="exact"/>
        <w:ind w:firstLine="422" w:firstLineChars="200"/>
        <w:jc w:val="left"/>
        <w:outlineLvl w:val="9"/>
        <w:rPr>
          <w:rFonts w:hint="eastAsia" w:ascii="宋体" w:hAnsi="宋体" w:cs="宋体"/>
          <w:b/>
          <w:color w:val="auto"/>
          <w:szCs w:val="21"/>
          <w:highlight w:val="none"/>
        </w:rPr>
      </w:pPr>
      <w:r>
        <w:rPr>
          <w:rFonts w:hint="eastAsia" w:ascii="宋体" w:hAnsi="宋体" w:cs="宋体"/>
          <w:b/>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w:t>
      </w:r>
      <w:r>
        <w:rPr>
          <w:rFonts w:hint="eastAsia" w:ascii="宋体" w:hAnsi="宋体" w:cs="宋体"/>
          <w:b/>
          <w:color w:val="auto"/>
          <w:szCs w:val="21"/>
          <w:highlight w:val="none"/>
          <w:lang w:eastAsia="zh-CN"/>
        </w:rPr>
        <w:t>登录广西政府采购云平台</w:t>
      </w:r>
      <w:r>
        <w:rPr>
          <w:rFonts w:hint="eastAsia" w:ascii="宋体" w:hAnsi="宋体" w:cs="宋体"/>
          <w:b/>
          <w:color w:val="auto"/>
          <w:szCs w:val="21"/>
          <w:highlight w:val="none"/>
        </w:rPr>
        <w:t>，依次进入“服务中心-入驻与配置”中查看CA数字证书办理操作流程。如在操作过程中遇到问题或者需要技术支持，请致电</w:t>
      </w:r>
      <w:r>
        <w:rPr>
          <w:rFonts w:hint="eastAsia" w:ascii="宋体" w:hAnsi="宋体" w:cs="宋体"/>
          <w:b/>
          <w:color w:val="auto"/>
          <w:szCs w:val="21"/>
          <w:highlight w:val="none"/>
          <w:lang w:eastAsia="zh-CN"/>
        </w:rPr>
        <w:t>广西政府采购云平台</w:t>
      </w:r>
      <w:r>
        <w:rPr>
          <w:rFonts w:hint="eastAsia" w:ascii="宋体" w:hAnsi="宋体" w:cs="宋体"/>
          <w:b/>
          <w:color w:val="auto"/>
          <w:szCs w:val="21"/>
          <w:highlight w:val="none"/>
        </w:rPr>
        <w:t>客服热线：95763）。</w:t>
      </w:r>
    </w:p>
    <w:p w14:paraId="7AAF7132">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（3）CA证书在线解密：投标人投标时，需凭制作投标文件时用来加密的有效数字证书（CA认证）登录</w:t>
      </w:r>
      <w:r>
        <w:rPr>
          <w:rFonts w:hint="eastAsia" w:ascii="宋体" w:hAnsi="宋体" w:eastAsia="宋体" w:cs="宋体"/>
          <w:strike w:val="0"/>
          <w:dstrike w:val="0"/>
          <w:color w:val="auto"/>
          <w:kern w:val="0"/>
          <w:sz w:val="21"/>
          <w:szCs w:val="21"/>
          <w:highlight w:val="none"/>
          <w:lang w:eastAsia="zh-CN"/>
        </w:rPr>
        <w:t>广西政府采购云平台</w:t>
      </w:r>
      <w:r>
        <w:rPr>
          <w:rFonts w:hint="eastAsia" w:ascii="宋体" w:hAnsi="宋体" w:eastAsia="宋体" w:cs="宋体"/>
          <w:strike w:val="0"/>
          <w:dstrike w:val="0"/>
          <w:color w:val="auto"/>
          <w:kern w:val="0"/>
          <w:sz w:val="21"/>
          <w:szCs w:val="21"/>
          <w:highlight w:val="none"/>
        </w:rPr>
        <w:t>电子开标大厅现场按规定时间对加密的投标文件进行解密，否则后果自负。</w:t>
      </w:r>
    </w:p>
    <w:p w14:paraId="2355D4AB">
      <w:pPr>
        <w:keepNext w:val="0"/>
        <w:keepLines w:val="0"/>
        <w:pageBreakBefore w:val="0"/>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bCs/>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eastAsia="宋体" w:cs="宋体"/>
          <w:bCs/>
          <w:strike w:val="0"/>
          <w:dstrike w:val="0"/>
          <w:color w:val="auto"/>
          <w:sz w:val="21"/>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eastAsia="宋体" w:cs="宋体"/>
          <w:bCs/>
          <w:strike w:val="0"/>
          <w:dstrike w:val="0"/>
          <w:color w:val="auto"/>
          <w:sz w:val="21"/>
          <w:szCs w:val="21"/>
          <w:highlight w:val="none"/>
          <w:lang w:eastAsia="zh-CN"/>
        </w:rPr>
        <w:t>广西政府采购云平台</w:t>
      </w:r>
      <w:r>
        <w:rPr>
          <w:rFonts w:hint="eastAsia" w:ascii="宋体" w:hAnsi="宋体" w:eastAsia="宋体" w:cs="宋体"/>
          <w:bCs/>
          <w:strike w:val="0"/>
          <w:dstrike w:val="0"/>
          <w:color w:val="auto"/>
          <w:sz w:val="21"/>
          <w:szCs w:val="21"/>
          <w:highlight w:val="none"/>
        </w:rPr>
        <w:t>将予以拒收。</w:t>
      </w:r>
    </w:p>
    <w:p w14:paraId="0E38CDE1">
      <w:pPr>
        <w:keepNext w:val="0"/>
        <w:keepLines w:val="0"/>
        <w:pageBreakBefore w:val="0"/>
        <w:kinsoku/>
        <w:wordWrap/>
        <w:overflowPunct/>
        <w:topLinePunct w:val="0"/>
        <w:autoSpaceDE/>
        <w:autoSpaceDN/>
        <w:bidi w:val="0"/>
        <w:adjustRightInd/>
        <w:spacing w:line="400" w:lineRule="exact"/>
        <w:ind w:firstLine="420" w:firstLineChars="200"/>
        <w:textAlignment w:val="auto"/>
        <w:outlineLvl w:val="9"/>
        <w:rPr>
          <w:rFonts w:hint="eastAsia" w:ascii="宋体" w:hAnsi="宋体" w:eastAsia="宋体" w:cs="宋体"/>
          <w:strike w:val="0"/>
          <w:dstrike w:val="0"/>
          <w:color w:val="auto"/>
          <w:kern w:val="0"/>
          <w:sz w:val="21"/>
          <w:szCs w:val="21"/>
          <w:highlight w:val="none"/>
          <w:lang w:val="zh-TW" w:bidi="zh-TW"/>
        </w:rPr>
      </w:pPr>
      <w:r>
        <w:rPr>
          <w:rFonts w:hint="eastAsia" w:ascii="宋体" w:hAnsi="宋体" w:eastAsia="宋体" w:cs="宋体"/>
          <w:strike w:val="0"/>
          <w:dstrike w:val="0"/>
          <w:color w:val="auto"/>
          <w:kern w:val="0"/>
          <w:sz w:val="21"/>
          <w:szCs w:val="21"/>
          <w:highlight w:val="none"/>
          <w:lang w:val="zh-TW" w:eastAsia="zh-TW" w:bidi="zh-TW"/>
        </w:rPr>
        <w:t>（4）</w:t>
      </w:r>
      <w:r>
        <w:rPr>
          <w:rFonts w:hint="eastAsia" w:ascii="宋体" w:hAnsi="宋体" w:eastAsia="宋体" w:cs="宋体"/>
          <w:bCs/>
          <w:strike w:val="0"/>
          <w:dstrike w:val="0"/>
          <w:color w:val="auto"/>
          <w:sz w:val="21"/>
          <w:szCs w:val="21"/>
          <w:highlight w:val="none"/>
        </w:rPr>
        <w:t>投标人</w:t>
      </w:r>
      <w:r>
        <w:rPr>
          <w:rFonts w:hint="eastAsia" w:ascii="宋体" w:hAnsi="宋体" w:eastAsia="宋体" w:cs="宋体"/>
          <w:strike w:val="0"/>
          <w:dstrike w:val="0"/>
          <w:color w:val="auto"/>
          <w:kern w:val="0"/>
          <w:sz w:val="21"/>
          <w:szCs w:val="21"/>
          <w:highlight w:val="none"/>
          <w:lang w:val="zh-TW" w:eastAsia="zh-TW" w:bidi="zh-TW"/>
        </w:rPr>
        <w:t>需要在</w:t>
      </w:r>
      <w:r>
        <w:rPr>
          <w:rFonts w:hint="eastAsia" w:ascii="宋体" w:hAnsi="宋体" w:eastAsia="宋体" w:cs="宋体"/>
          <w:strike w:val="0"/>
          <w:dstrike w:val="0"/>
          <w:color w:val="auto"/>
          <w:kern w:val="0"/>
          <w:sz w:val="21"/>
          <w:szCs w:val="21"/>
          <w:highlight w:val="none"/>
          <w:lang w:val="zh-TW" w:eastAsia="zh-CN" w:bidi="zh-TW"/>
        </w:rPr>
        <w:t>具备</w:t>
      </w:r>
      <w:r>
        <w:rPr>
          <w:rFonts w:hint="eastAsia" w:ascii="宋体" w:hAnsi="宋体" w:eastAsia="宋体" w:cs="宋体"/>
          <w:strike w:val="0"/>
          <w:dstrike w:val="0"/>
          <w:color w:val="auto"/>
          <w:kern w:val="0"/>
          <w:sz w:val="21"/>
          <w:szCs w:val="21"/>
          <w:highlight w:val="none"/>
          <w:lang w:val="zh-TW" w:eastAsia="zh-TW" w:bidi="zh-TW"/>
        </w:rPr>
        <w:t>摄像头及语音功能且互联网网络状况良好的电脑登录</w:t>
      </w:r>
      <w:r>
        <w:rPr>
          <w:rFonts w:hint="eastAsia" w:ascii="宋体" w:hAnsi="宋体" w:eastAsia="宋体" w:cs="宋体"/>
          <w:strike w:val="0"/>
          <w:dstrike w:val="0"/>
          <w:color w:val="auto"/>
          <w:kern w:val="0"/>
          <w:sz w:val="21"/>
          <w:szCs w:val="21"/>
          <w:highlight w:val="none"/>
          <w:lang w:val="zh-TW" w:eastAsia="zh-CN" w:bidi="zh-TW"/>
        </w:rPr>
        <w:t>广西政府采购云平台</w:t>
      </w:r>
      <w:r>
        <w:rPr>
          <w:rFonts w:hint="eastAsia" w:ascii="宋体" w:hAnsi="宋体" w:eastAsia="宋体" w:cs="宋体"/>
          <w:strike w:val="0"/>
          <w:dstrike w:val="0"/>
          <w:color w:val="auto"/>
          <w:kern w:val="0"/>
          <w:sz w:val="21"/>
          <w:szCs w:val="21"/>
          <w:highlight w:val="none"/>
          <w:lang w:val="zh-TW" w:eastAsia="zh-TW" w:bidi="zh-TW"/>
        </w:rPr>
        <w:t>远程开标大厅参与本次开标，否则后果自负。</w:t>
      </w:r>
    </w:p>
    <w:bookmarkEnd w:id="49"/>
    <w:bookmarkEnd w:id="50"/>
    <w:p w14:paraId="0E368C42">
      <w:pPr>
        <w:keepNext w:val="0"/>
        <w:keepLines w:val="0"/>
        <w:pageBreakBefore w:val="0"/>
        <w:kinsoku/>
        <w:wordWrap/>
        <w:overflowPunct/>
        <w:topLinePunct w:val="0"/>
        <w:autoSpaceDE/>
        <w:autoSpaceDN/>
        <w:bidi w:val="0"/>
        <w:adjustRightInd/>
        <w:spacing w:line="400" w:lineRule="exact"/>
        <w:textAlignment w:val="auto"/>
        <w:outlineLvl w:val="9"/>
        <w:rPr>
          <w:rFonts w:hint="eastAsia" w:ascii="宋体" w:hAnsi="宋体" w:eastAsia="宋体" w:cs="宋体"/>
          <w:b/>
          <w:bCs/>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rPr>
        <w:t>七、对本次招标提出询问，请按以下方式联系。</w:t>
      </w:r>
      <w:bookmarkEnd w:id="52"/>
      <w:bookmarkEnd w:id="53"/>
      <w:bookmarkEnd w:id="54"/>
      <w:bookmarkEnd w:id="55"/>
    </w:p>
    <w:p w14:paraId="198A5643">
      <w:pPr>
        <w:keepNext w:val="0"/>
        <w:keepLines w:val="0"/>
        <w:pageBreakBefore w:val="0"/>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1.采购人信息：</w:t>
      </w:r>
    </w:p>
    <w:p w14:paraId="74422D0F">
      <w:pPr>
        <w:keepNext w:val="0"/>
        <w:keepLines w:val="0"/>
        <w:pageBreakBefore w:val="0"/>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strike w:val="0"/>
          <w:dstrike w:val="0"/>
          <w:color w:val="auto"/>
          <w:kern w:val="0"/>
          <w:sz w:val="21"/>
          <w:szCs w:val="21"/>
          <w:highlight w:val="none"/>
          <w:lang w:bidi="zh-TW"/>
        </w:rPr>
      </w:pPr>
      <w:r>
        <w:rPr>
          <w:rFonts w:hint="eastAsia" w:ascii="宋体" w:hAnsi="宋体" w:eastAsia="宋体" w:cs="宋体"/>
          <w:strike w:val="0"/>
          <w:dstrike w:val="0"/>
          <w:color w:val="auto"/>
          <w:kern w:val="0"/>
          <w:sz w:val="21"/>
          <w:szCs w:val="21"/>
          <w:highlight w:val="none"/>
          <w:lang w:bidi="zh-TW"/>
        </w:rPr>
        <w:t>名称：</w:t>
      </w:r>
      <w:r>
        <w:rPr>
          <w:rFonts w:hint="eastAsia" w:ascii="宋体" w:hAnsi="宋体" w:eastAsia="宋体" w:cs="宋体"/>
          <w:strike w:val="0"/>
          <w:dstrike w:val="0"/>
          <w:color w:val="auto"/>
          <w:kern w:val="0"/>
          <w:sz w:val="21"/>
          <w:szCs w:val="21"/>
          <w:highlight w:val="none"/>
          <w:lang w:eastAsia="zh-CN" w:bidi="zh-TW"/>
        </w:rPr>
        <w:t>广西壮族自治区生态环境厅</w:t>
      </w:r>
      <w:r>
        <w:rPr>
          <w:rFonts w:hint="eastAsia" w:ascii="宋体" w:hAnsi="宋体" w:eastAsia="宋体" w:cs="宋体"/>
          <w:strike w:val="0"/>
          <w:dstrike w:val="0"/>
          <w:color w:val="auto"/>
          <w:kern w:val="0"/>
          <w:sz w:val="21"/>
          <w:szCs w:val="21"/>
          <w:highlight w:val="none"/>
          <w:lang w:bidi="zh-TW"/>
        </w:rPr>
        <w:t xml:space="preserve"> </w:t>
      </w:r>
    </w:p>
    <w:p w14:paraId="374C97AD">
      <w:pPr>
        <w:keepNext w:val="0"/>
        <w:keepLines w:val="0"/>
        <w:pageBreakBefore w:val="0"/>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strike w:val="0"/>
          <w:dstrike w:val="0"/>
          <w:color w:val="auto"/>
          <w:kern w:val="0"/>
          <w:sz w:val="21"/>
          <w:szCs w:val="21"/>
          <w:highlight w:val="none"/>
          <w:lang w:bidi="zh-TW"/>
        </w:rPr>
      </w:pPr>
      <w:r>
        <w:rPr>
          <w:rFonts w:hint="eastAsia" w:ascii="宋体" w:hAnsi="宋体" w:eastAsia="宋体" w:cs="宋体"/>
          <w:strike w:val="0"/>
          <w:dstrike w:val="0"/>
          <w:color w:val="auto"/>
          <w:kern w:val="0"/>
          <w:sz w:val="21"/>
          <w:szCs w:val="21"/>
          <w:highlight w:val="none"/>
          <w:lang w:bidi="zh-TW"/>
        </w:rPr>
        <w:t>地址：</w:t>
      </w:r>
      <w:r>
        <w:rPr>
          <w:rFonts w:hint="eastAsia" w:ascii="宋体" w:hAnsi="宋体" w:eastAsia="宋体" w:cs="宋体"/>
          <w:strike w:val="0"/>
          <w:dstrike w:val="0"/>
          <w:color w:val="auto"/>
          <w:kern w:val="0"/>
          <w:sz w:val="21"/>
          <w:szCs w:val="21"/>
          <w:highlight w:val="none"/>
          <w:lang w:val="en-US" w:eastAsia="zh-CN" w:bidi="zh-TW"/>
        </w:rPr>
        <w:t>广西南宁市青秀区佛子岭路16号</w:t>
      </w:r>
    </w:p>
    <w:p w14:paraId="112142F5">
      <w:pPr>
        <w:keepNext w:val="0"/>
        <w:keepLines w:val="0"/>
        <w:pageBreakBefore w:val="0"/>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strike w:val="0"/>
          <w:dstrike w:val="0"/>
          <w:color w:val="auto"/>
          <w:kern w:val="0"/>
          <w:sz w:val="21"/>
          <w:szCs w:val="21"/>
          <w:highlight w:val="none"/>
          <w:lang w:val="en-US" w:eastAsia="zh-CN" w:bidi="zh-TW"/>
        </w:rPr>
      </w:pPr>
      <w:r>
        <w:rPr>
          <w:rFonts w:hint="eastAsia" w:ascii="宋体" w:hAnsi="宋体" w:eastAsia="宋体" w:cs="宋体"/>
          <w:strike w:val="0"/>
          <w:dstrike w:val="0"/>
          <w:color w:val="auto"/>
          <w:kern w:val="0"/>
          <w:sz w:val="21"/>
          <w:szCs w:val="21"/>
          <w:highlight w:val="none"/>
          <w:lang w:bidi="zh-TW"/>
        </w:rPr>
        <w:t>项目联系人：张</w:t>
      </w:r>
      <w:r>
        <w:rPr>
          <w:rFonts w:hint="eastAsia" w:ascii="宋体" w:hAnsi="宋体" w:cs="宋体"/>
          <w:strike w:val="0"/>
          <w:dstrike w:val="0"/>
          <w:color w:val="auto"/>
          <w:kern w:val="0"/>
          <w:sz w:val="21"/>
          <w:szCs w:val="21"/>
          <w:highlight w:val="none"/>
          <w:lang w:eastAsia="zh-CN" w:bidi="zh-TW"/>
        </w:rPr>
        <w:t>工</w:t>
      </w:r>
    </w:p>
    <w:p w14:paraId="07F07F44">
      <w:pPr>
        <w:keepNext w:val="0"/>
        <w:keepLines w:val="0"/>
        <w:pageBreakBefore w:val="0"/>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strike w:val="0"/>
          <w:dstrike w:val="0"/>
          <w:color w:val="auto"/>
          <w:kern w:val="0"/>
          <w:sz w:val="21"/>
          <w:szCs w:val="21"/>
          <w:highlight w:val="none"/>
          <w:lang w:bidi="zh-TW"/>
        </w:rPr>
      </w:pPr>
      <w:r>
        <w:rPr>
          <w:rFonts w:hint="eastAsia" w:ascii="宋体" w:hAnsi="宋体" w:eastAsia="宋体" w:cs="宋体"/>
          <w:strike w:val="0"/>
          <w:dstrike w:val="0"/>
          <w:color w:val="auto"/>
          <w:kern w:val="0"/>
          <w:sz w:val="21"/>
          <w:szCs w:val="21"/>
          <w:highlight w:val="none"/>
          <w:lang w:bidi="zh-TW"/>
        </w:rPr>
        <w:t>联系方式：0771-5313068</w:t>
      </w:r>
    </w:p>
    <w:p w14:paraId="444F1413">
      <w:pPr>
        <w:keepNext w:val="0"/>
        <w:keepLines w:val="0"/>
        <w:pageBreakBefore w:val="0"/>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2.采购代理机构信息：</w:t>
      </w:r>
    </w:p>
    <w:p w14:paraId="3E467CB9">
      <w:pPr>
        <w:keepNext w:val="0"/>
        <w:keepLines w:val="0"/>
        <w:pageBreakBefore w:val="0"/>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strike w:val="0"/>
          <w:dstrike w:val="0"/>
          <w:color w:val="auto"/>
          <w:sz w:val="21"/>
          <w:szCs w:val="21"/>
          <w:highlight w:val="none"/>
          <w:lang w:eastAsia="zh-CN"/>
        </w:rPr>
      </w:pPr>
      <w:r>
        <w:rPr>
          <w:rFonts w:hint="eastAsia" w:ascii="宋体" w:hAnsi="宋体" w:eastAsia="宋体" w:cs="宋体"/>
          <w:strike w:val="0"/>
          <w:dstrike w:val="0"/>
          <w:color w:val="auto"/>
          <w:sz w:val="21"/>
          <w:szCs w:val="21"/>
          <w:highlight w:val="none"/>
        </w:rPr>
        <w:t>名称：</w:t>
      </w:r>
      <w:r>
        <w:rPr>
          <w:rFonts w:hint="eastAsia" w:ascii="宋体" w:hAnsi="宋体" w:eastAsia="宋体" w:cs="宋体"/>
          <w:strike w:val="0"/>
          <w:dstrike w:val="0"/>
          <w:color w:val="auto"/>
          <w:sz w:val="21"/>
          <w:szCs w:val="21"/>
          <w:highlight w:val="none"/>
          <w:lang w:eastAsia="zh-CN"/>
        </w:rPr>
        <w:t>广西邕政采购代理有限公司</w:t>
      </w:r>
    </w:p>
    <w:p w14:paraId="4517DF61">
      <w:pPr>
        <w:keepNext w:val="0"/>
        <w:keepLines w:val="0"/>
        <w:pageBreakBefore w:val="0"/>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地址：</w:t>
      </w:r>
      <w:r>
        <w:rPr>
          <w:rFonts w:hint="eastAsia" w:ascii="宋体" w:hAnsi="宋体" w:eastAsia="宋体" w:cs="宋体"/>
          <w:strike w:val="0"/>
          <w:dstrike w:val="0"/>
          <w:color w:val="auto"/>
          <w:sz w:val="21"/>
          <w:szCs w:val="21"/>
          <w:highlight w:val="none"/>
          <w:lang w:val="en-US" w:eastAsia="zh-CN"/>
        </w:rPr>
        <w:t>南宁市青秀区民族大道180号（威壮大厦）22层2210～2217室</w:t>
      </w:r>
    </w:p>
    <w:p w14:paraId="429E7989">
      <w:pPr>
        <w:keepNext w:val="0"/>
        <w:keepLines w:val="0"/>
        <w:pageBreakBefore w:val="0"/>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strike w:val="0"/>
          <w:dstrike w:val="0"/>
          <w:color w:val="auto"/>
          <w:sz w:val="21"/>
          <w:szCs w:val="21"/>
          <w:highlight w:val="none"/>
          <w:lang w:val="en-US" w:eastAsia="zh-CN"/>
        </w:rPr>
      </w:pPr>
      <w:bookmarkStart w:id="56" w:name="OLE_LINK55"/>
      <w:bookmarkStart w:id="57" w:name="OLE_LINK56"/>
      <w:r>
        <w:rPr>
          <w:rFonts w:hint="eastAsia" w:ascii="宋体" w:hAnsi="宋体" w:eastAsia="宋体" w:cs="宋体"/>
          <w:strike w:val="0"/>
          <w:dstrike w:val="0"/>
          <w:color w:val="auto"/>
          <w:kern w:val="0"/>
          <w:sz w:val="21"/>
          <w:szCs w:val="21"/>
          <w:highlight w:val="none"/>
          <w:lang w:bidi="zh-TW"/>
        </w:rPr>
        <w:t>联系方式：</w:t>
      </w:r>
      <w:r>
        <w:rPr>
          <w:rFonts w:hint="eastAsia" w:ascii="宋体" w:hAnsi="宋体" w:eastAsia="宋体" w:cs="宋体"/>
          <w:strike w:val="0"/>
          <w:dstrike w:val="0"/>
          <w:color w:val="auto"/>
          <w:sz w:val="21"/>
          <w:szCs w:val="21"/>
          <w:highlight w:val="none"/>
        </w:rPr>
        <w:t>0771-</w:t>
      </w:r>
      <w:bookmarkEnd w:id="56"/>
      <w:bookmarkEnd w:id="57"/>
      <w:r>
        <w:rPr>
          <w:rFonts w:hint="eastAsia" w:ascii="宋体" w:hAnsi="宋体" w:eastAsia="宋体" w:cs="宋体"/>
          <w:strike w:val="0"/>
          <w:dstrike w:val="0"/>
          <w:color w:val="auto"/>
          <w:sz w:val="21"/>
          <w:szCs w:val="21"/>
          <w:highlight w:val="none"/>
          <w:lang w:val="en-US" w:eastAsia="zh-CN"/>
        </w:rPr>
        <w:t>2225338</w:t>
      </w:r>
    </w:p>
    <w:p w14:paraId="556100F9">
      <w:pPr>
        <w:keepNext w:val="0"/>
        <w:keepLines w:val="0"/>
        <w:pageBreakBefore w:val="0"/>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3.项目联系方式：</w:t>
      </w:r>
    </w:p>
    <w:p w14:paraId="2FB1C279">
      <w:pPr>
        <w:keepNext w:val="0"/>
        <w:keepLines w:val="0"/>
        <w:pageBreakBefore w:val="0"/>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rPr>
        <w:t>联系人：</w:t>
      </w:r>
      <w:r>
        <w:rPr>
          <w:rFonts w:hint="eastAsia" w:ascii="宋体" w:hAnsi="宋体" w:eastAsia="宋体" w:cs="宋体"/>
          <w:strike w:val="0"/>
          <w:dstrike w:val="0"/>
          <w:color w:val="auto"/>
          <w:sz w:val="21"/>
          <w:szCs w:val="21"/>
          <w:highlight w:val="none"/>
          <w:lang w:val="en-US" w:eastAsia="zh-CN"/>
        </w:rPr>
        <w:t>黄秋梅、罗霞、丰薇</w:t>
      </w:r>
    </w:p>
    <w:p w14:paraId="59534543">
      <w:pPr>
        <w:keepNext w:val="0"/>
        <w:keepLines w:val="0"/>
        <w:pageBreakBefore w:val="0"/>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kern w:val="0"/>
          <w:sz w:val="21"/>
          <w:szCs w:val="21"/>
          <w:highlight w:val="none"/>
          <w:lang w:bidi="zh-TW"/>
        </w:rPr>
        <w:t>联系方式：</w:t>
      </w:r>
      <w:r>
        <w:rPr>
          <w:rFonts w:hint="eastAsia" w:ascii="宋体" w:hAnsi="宋体" w:eastAsia="宋体" w:cs="宋体"/>
          <w:strike w:val="0"/>
          <w:dstrike w:val="0"/>
          <w:color w:val="auto"/>
          <w:sz w:val="21"/>
          <w:szCs w:val="21"/>
          <w:highlight w:val="none"/>
        </w:rPr>
        <w:t>0771-</w:t>
      </w:r>
      <w:r>
        <w:rPr>
          <w:rFonts w:hint="eastAsia" w:ascii="宋体" w:hAnsi="宋体" w:eastAsia="宋体" w:cs="宋体"/>
          <w:strike w:val="0"/>
          <w:dstrike w:val="0"/>
          <w:color w:val="auto"/>
          <w:sz w:val="21"/>
          <w:szCs w:val="21"/>
          <w:highlight w:val="none"/>
          <w:lang w:val="en-US" w:eastAsia="zh-CN"/>
        </w:rPr>
        <w:t>2225338</w:t>
      </w:r>
    </w:p>
    <w:p w14:paraId="6D3A81E4">
      <w:pPr>
        <w:keepNext w:val="0"/>
        <w:keepLines w:val="0"/>
        <w:pageBreakBefore w:val="0"/>
        <w:kinsoku/>
        <w:overflowPunct/>
        <w:topLinePunct w:val="0"/>
        <w:autoSpaceDE/>
        <w:autoSpaceDN/>
        <w:bidi w:val="0"/>
        <w:spacing w:line="400" w:lineRule="exact"/>
        <w:ind w:firstLine="4305" w:firstLineChars="2050"/>
        <w:jc w:val="right"/>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日期：202</w:t>
      </w:r>
      <w:r>
        <w:rPr>
          <w:rFonts w:hint="eastAsia" w:ascii="宋体" w:hAnsi="宋体" w:cs="宋体"/>
          <w:strike w:val="0"/>
          <w:dstrike w:val="0"/>
          <w:color w:val="auto"/>
          <w:sz w:val="21"/>
          <w:szCs w:val="21"/>
          <w:highlight w:val="none"/>
          <w:lang w:val="en-US" w:eastAsia="zh-CN"/>
        </w:rPr>
        <w:t>6</w:t>
      </w:r>
      <w:r>
        <w:rPr>
          <w:rFonts w:hint="eastAsia" w:ascii="宋体" w:hAnsi="宋体" w:eastAsia="宋体" w:cs="宋体"/>
          <w:strike w:val="0"/>
          <w:dstrike w:val="0"/>
          <w:color w:val="auto"/>
          <w:sz w:val="21"/>
          <w:szCs w:val="21"/>
          <w:highlight w:val="none"/>
        </w:rPr>
        <w:t>年</w:t>
      </w:r>
      <w:r>
        <w:rPr>
          <w:rFonts w:hint="eastAsia" w:ascii="宋体" w:hAnsi="宋体" w:cs="宋体"/>
          <w:strike w:val="0"/>
          <w:dstrike w:val="0"/>
          <w:color w:val="auto"/>
          <w:sz w:val="21"/>
          <w:szCs w:val="21"/>
          <w:highlight w:val="none"/>
          <w:lang w:val="en-US" w:eastAsia="zh-CN"/>
        </w:rPr>
        <w:t>2</w:t>
      </w:r>
      <w:r>
        <w:rPr>
          <w:rFonts w:hint="eastAsia" w:ascii="宋体" w:hAnsi="宋体" w:eastAsia="宋体" w:cs="宋体"/>
          <w:strike w:val="0"/>
          <w:dstrike w:val="0"/>
          <w:color w:val="auto"/>
          <w:sz w:val="21"/>
          <w:szCs w:val="21"/>
          <w:highlight w:val="none"/>
        </w:rPr>
        <w:t>月</w:t>
      </w:r>
      <w:r>
        <w:rPr>
          <w:rFonts w:hint="eastAsia" w:ascii="宋体" w:hAnsi="宋体" w:cs="宋体"/>
          <w:strike w:val="0"/>
          <w:dstrike w:val="0"/>
          <w:color w:val="auto"/>
          <w:sz w:val="21"/>
          <w:szCs w:val="21"/>
          <w:highlight w:val="none"/>
          <w:lang w:val="en-US" w:eastAsia="zh-CN"/>
        </w:rPr>
        <w:t>13</w:t>
      </w:r>
      <w:r>
        <w:rPr>
          <w:rFonts w:hint="eastAsia" w:ascii="宋体" w:hAnsi="宋体" w:eastAsia="宋体" w:cs="宋体"/>
          <w:strike w:val="0"/>
          <w:dstrike w:val="0"/>
          <w:color w:val="auto"/>
          <w:sz w:val="21"/>
          <w:szCs w:val="21"/>
          <w:highlight w:val="none"/>
        </w:rPr>
        <w:t>日</w:t>
      </w:r>
    </w:p>
    <w:bookmarkEnd w:id="7"/>
    <w:bookmarkEnd w:id="8"/>
    <w:p w14:paraId="61753816">
      <w:pPr>
        <w:pStyle w:val="3"/>
        <w:keepNext w:val="0"/>
        <w:keepLines w:val="0"/>
        <w:tabs>
          <w:tab w:val="left" w:pos="0"/>
          <w:tab w:val="left" w:pos="3165"/>
          <w:tab w:val="center" w:pos="4153"/>
        </w:tabs>
        <w:autoSpaceDE w:val="0"/>
        <w:autoSpaceDN w:val="0"/>
        <w:adjustRightInd w:val="0"/>
        <w:spacing w:before="0" w:after="0" w:line="440" w:lineRule="exact"/>
        <w:ind w:firstLine="200"/>
        <w:rPr>
          <w:rFonts w:hint="eastAsia" w:asciiTheme="minorEastAsia" w:hAnsiTheme="minorEastAsia" w:eastAsiaTheme="minorEastAsia" w:cstheme="minorEastAsia"/>
          <w:strike w:val="0"/>
          <w:dstrike w:val="0"/>
          <w:color w:val="auto"/>
          <w:sz w:val="44"/>
          <w:highlight w:val="none"/>
        </w:rPr>
      </w:pPr>
      <w:r>
        <w:rPr>
          <w:rFonts w:hint="eastAsia" w:asciiTheme="minorEastAsia" w:hAnsiTheme="minorEastAsia" w:eastAsiaTheme="minorEastAsia" w:cstheme="minorEastAsia"/>
          <w:strike w:val="0"/>
          <w:dstrike w:val="0"/>
          <w:color w:val="auto"/>
          <w:highlight w:val="none"/>
        </w:rPr>
        <w:br w:type="page"/>
      </w:r>
      <w:bookmarkEnd w:id="9"/>
      <w:bookmarkStart w:id="58" w:name="_Toc146612288"/>
      <w:r>
        <w:rPr>
          <w:rFonts w:hint="eastAsia" w:ascii="方正小标宋_GBK" w:hAnsi="方正小标宋_GBK" w:eastAsia="方正小标宋_GBK" w:cs="方正小标宋_GBK"/>
          <w:strike w:val="0"/>
          <w:dstrike w:val="0"/>
          <w:color w:val="auto"/>
          <w:sz w:val="21"/>
          <w:szCs w:val="21"/>
          <w:highlight w:val="none"/>
        </w:rPr>
        <w:t>第二章 采购需求</w:t>
      </w:r>
      <w:bookmarkEnd w:id="58"/>
    </w:p>
    <w:p w14:paraId="2C5C2716">
      <w:pPr>
        <w:keepNext w:val="0"/>
        <w:keepLines w:val="0"/>
        <w:pageBreakBefore w:val="0"/>
        <w:kinsoku/>
        <w:topLinePunct w:val="0"/>
        <w:bidi w:val="0"/>
        <w:spacing w:line="400" w:lineRule="exact"/>
        <w:jc w:val="left"/>
        <w:rPr>
          <w:rFonts w:hint="eastAsia" w:ascii="宋体" w:hAnsi="宋体" w:eastAsia="宋体" w:cs="宋体"/>
          <w:strike w:val="0"/>
          <w:dstrike w:val="0"/>
          <w:color w:val="auto"/>
          <w:sz w:val="21"/>
          <w:szCs w:val="21"/>
          <w:highlight w:val="none"/>
        </w:rPr>
      </w:pPr>
      <w:bookmarkStart w:id="59" w:name="_Toc254970490"/>
      <w:bookmarkStart w:id="60" w:name="_Toc254970631"/>
      <w:bookmarkStart w:id="61" w:name="OLE_LINK21"/>
      <w:bookmarkStart w:id="62" w:name="OLE_LINK22"/>
      <w:r>
        <w:rPr>
          <w:rFonts w:hint="eastAsia" w:ascii="宋体" w:hAnsi="宋体" w:eastAsia="宋体" w:cs="宋体"/>
          <w:strike w:val="0"/>
          <w:dstrike w:val="0"/>
          <w:color w:val="auto"/>
          <w:sz w:val="21"/>
          <w:szCs w:val="21"/>
          <w:highlight w:val="none"/>
        </w:rPr>
        <w:t>说明：</w:t>
      </w:r>
    </w:p>
    <w:p w14:paraId="2668864B">
      <w:pPr>
        <w:keepNext w:val="0"/>
        <w:keepLines w:val="0"/>
        <w:pageBreakBefore w:val="0"/>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1.为落实政府采购政策需满足的要求：</w:t>
      </w:r>
    </w:p>
    <w:p w14:paraId="760FC49A">
      <w:pPr>
        <w:keepNext w:val="0"/>
        <w:keepLines w:val="0"/>
        <w:pageBreakBefore w:val="0"/>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（1）本招标文件所称中小企业必须符合《政府采购促进中小企业发展管理办法》（财库〔2020〕46号）的规定。</w:t>
      </w:r>
    </w:p>
    <w:p w14:paraId="388583C3">
      <w:pPr>
        <w:keepNext w:val="0"/>
        <w:keepLines w:val="0"/>
        <w:pageBreakBefore w:val="0"/>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服务项目中伴随货物的，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电子签章），</w:t>
      </w:r>
      <w:r>
        <w:rPr>
          <w:rFonts w:hint="eastAsia" w:ascii="宋体" w:hAnsi="宋体" w:eastAsia="宋体" w:cs="宋体"/>
          <w:b/>
          <w:bCs/>
          <w:strike w:val="0"/>
          <w:dstrike w:val="0"/>
          <w:color w:val="auto"/>
          <w:sz w:val="21"/>
          <w:szCs w:val="21"/>
          <w:highlight w:val="none"/>
        </w:rPr>
        <w:t>否则按无效投标处理</w:t>
      </w:r>
      <w:r>
        <w:rPr>
          <w:rFonts w:hint="eastAsia" w:ascii="宋体" w:hAnsi="宋体" w:eastAsia="宋体" w:cs="宋体"/>
          <w:strike w:val="0"/>
          <w:dstrike w:val="0"/>
          <w:color w:val="auto"/>
          <w:sz w:val="21"/>
          <w:szCs w:val="21"/>
          <w:highlight w:val="none"/>
        </w:rPr>
        <w:t>。如本项目包含的货物属于品目清单内非标注“★”的产品时，应优先采购，具体详见“第四章评标方法及评标标准”。</w:t>
      </w:r>
    </w:p>
    <w:p w14:paraId="2F6A3571">
      <w:pPr>
        <w:keepNext w:val="0"/>
        <w:keepLines w:val="0"/>
        <w:pageBreakBefore w:val="0"/>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w:t>
      </w:r>
      <w:r>
        <w:rPr>
          <w:rFonts w:hint="eastAsia" w:ascii="宋体" w:hAnsi="宋体" w:eastAsia="宋体" w:cs="宋体"/>
          <w:strike w:val="0"/>
          <w:dstrike w:val="0"/>
          <w:color w:val="auto"/>
          <w:sz w:val="21"/>
          <w:szCs w:val="21"/>
          <w:highlight w:val="none"/>
          <w:lang w:val="en-US" w:eastAsia="zh-CN"/>
        </w:rPr>
        <w:t>投标人</w:t>
      </w:r>
      <w:r>
        <w:rPr>
          <w:rFonts w:hint="eastAsia" w:ascii="宋体" w:hAnsi="宋体" w:eastAsia="宋体" w:cs="宋体"/>
          <w:strike w:val="0"/>
          <w:dstrike w:val="0"/>
          <w:color w:val="auto"/>
          <w:sz w:val="21"/>
          <w:szCs w:val="21"/>
          <w:highlight w:val="none"/>
        </w:rPr>
        <w:t>公章），否则</w:t>
      </w:r>
      <w:r>
        <w:rPr>
          <w:rFonts w:hint="eastAsia" w:ascii="宋体" w:hAnsi="宋体" w:eastAsia="宋体" w:cs="宋体"/>
          <w:strike w:val="0"/>
          <w:dstrike w:val="0"/>
          <w:color w:val="auto"/>
          <w:sz w:val="21"/>
          <w:szCs w:val="21"/>
          <w:highlight w:val="none"/>
          <w:lang w:val="en-US" w:eastAsia="zh-CN"/>
        </w:rPr>
        <w:t>投标文件</w:t>
      </w:r>
      <w:r>
        <w:rPr>
          <w:rFonts w:hint="eastAsia" w:ascii="宋体" w:hAnsi="宋体" w:eastAsia="宋体" w:cs="宋体"/>
          <w:strike w:val="0"/>
          <w:dstrike w:val="0"/>
          <w:color w:val="auto"/>
          <w:sz w:val="21"/>
          <w:szCs w:val="21"/>
          <w:highlight w:val="none"/>
        </w:rPr>
        <w:t>作无效处理</w:t>
      </w:r>
      <w:r>
        <w:rPr>
          <w:rFonts w:hint="eastAsia" w:ascii="宋体" w:hAnsi="宋体" w:eastAsia="宋体" w:cs="宋体"/>
          <w:strike w:val="0"/>
          <w:dstrike w:val="0"/>
          <w:color w:val="auto"/>
          <w:sz w:val="21"/>
          <w:szCs w:val="21"/>
          <w:highlight w:val="none"/>
          <w:lang w:eastAsia="zh-CN"/>
        </w:rPr>
        <w:t>。</w:t>
      </w:r>
    </w:p>
    <w:p w14:paraId="016B6A0D">
      <w:pPr>
        <w:keepNext w:val="0"/>
        <w:keepLines w:val="0"/>
        <w:pageBreakBefore w:val="0"/>
        <w:tabs>
          <w:tab w:val="left" w:pos="1620"/>
        </w:tabs>
        <w:kinsoku/>
        <w:topLinePunct w:val="0"/>
        <w:bidi w:val="0"/>
        <w:spacing w:line="400" w:lineRule="exact"/>
        <w:ind w:firstLine="420" w:firstLineChars="200"/>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2.“实质性要求”是指招标文件中已经指明不满足则投标无效的条款，或者</w:t>
      </w:r>
      <w:r>
        <w:rPr>
          <w:rFonts w:hint="eastAsia" w:ascii="宋体" w:hAnsi="宋体" w:eastAsia="宋体" w:cs="宋体"/>
          <w:strike w:val="0"/>
          <w:dstrike w:val="0"/>
          <w:color w:val="auto"/>
          <w:kern w:val="0"/>
          <w:sz w:val="21"/>
          <w:szCs w:val="21"/>
          <w:highlight w:val="none"/>
          <w:lang w:eastAsia="zh-CN"/>
        </w:rPr>
        <w:t>不能</w:t>
      </w:r>
      <w:r>
        <w:rPr>
          <w:rFonts w:hint="eastAsia" w:ascii="宋体" w:hAnsi="宋体" w:eastAsia="宋体" w:cs="宋体"/>
          <w:strike w:val="0"/>
          <w:dstrike w:val="0"/>
          <w:color w:val="auto"/>
          <w:kern w:val="0"/>
          <w:sz w:val="21"/>
          <w:szCs w:val="21"/>
          <w:highlight w:val="none"/>
        </w:rPr>
        <w:t>偏离的条款，或者采购需求中带“</w:t>
      </w: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kern w:val="0"/>
          <w:sz w:val="21"/>
          <w:szCs w:val="21"/>
          <w:highlight w:val="none"/>
        </w:rPr>
        <w:t>”的条款。</w:t>
      </w:r>
    </w:p>
    <w:p w14:paraId="7BA72667">
      <w:pPr>
        <w:keepNext w:val="0"/>
        <w:keepLines w:val="0"/>
        <w:pageBreakBefore w:val="0"/>
        <w:tabs>
          <w:tab w:val="left" w:pos="1620"/>
        </w:tabs>
        <w:kinsoku/>
        <w:topLinePunct w:val="0"/>
        <w:bidi w:val="0"/>
        <w:spacing w:line="400" w:lineRule="exact"/>
        <w:ind w:firstLine="420" w:firstLineChars="200"/>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3.</w:t>
      </w:r>
      <w:bookmarkStart w:id="63" w:name="_Hlk54774389"/>
      <w:r>
        <w:rPr>
          <w:rFonts w:hint="eastAsia" w:ascii="宋体" w:hAnsi="宋体" w:eastAsia="宋体" w:cs="宋体"/>
          <w:strike w:val="0"/>
          <w:dstrike w:val="0"/>
          <w:color w:val="auto"/>
          <w:kern w:val="0"/>
          <w:sz w:val="21"/>
          <w:szCs w:val="21"/>
          <w:highlight w:val="none"/>
        </w:rPr>
        <w:t>服务项目中伴随货物的，</w:t>
      </w:r>
      <w:bookmarkEnd w:id="63"/>
      <w:r>
        <w:rPr>
          <w:rFonts w:hint="eastAsia" w:ascii="宋体" w:hAnsi="宋体" w:eastAsia="宋体" w:cs="宋体"/>
          <w:strike w:val="0"/>
          <w:dstrike w:val="0"/>
          <w:color w:val="auto"/>
          <w:kern w:val="0"/>
          <w:sz w:val="21"/>
          <w:szCs w:val="21"/>
          <w:highlight w:val="none"/>
        </w:rPr>
        <w:t>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06F190D9">
      <w:pPr>
        <w:keepNext w:val="0"/>
        <w:keepLines w:val="0"/>
        <w:pageBreakBefore w:val="0"/>
        <w:tabs>
          <w:tab w:val="left" w:pos="1620"/>
        </w:tabs>
        <w:kinsoku/>
        <w:topLinePunct w:val="0"/>
        <w:bidi w:val="0"/>
        <w:spacing w:line="400" w:lineRule="exact"/>
        <w:ind w:firstLine="420" w:firstLineChars="200"/>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lang w:val="en-US" w:eastAsia="zh-CN"/>
        </w:rPr>
        <w:t>4</w:t>
      </w:r>
      <w:r>
        <w:rPr>
          <w:rFonts w:hint="eastAsia" w:ascii="宋体" w:hAnsi="宋体" w:eastAsia="宋体" w:cs="宋体"/>
          <w:strike w:val="0"/>
          <w:dstrike w:val="0"/>
          <w:color w:val="auto"/>
          <w:kern w:val="0"/>
          <w:sz w:val="21"/>
          <w:szCs w:val="21"/>
          <w:highlight w:val="none"/>
        </w:rPr>
        <w:t>.投标人必须自行为其投标产品侵犯他人的知识产权或者专利成果的行为承担相应法律责任。</w:t>
      </w:r>
    </w:p>
    <w:p w14:paraId="67C6F2DC">
      <w:pPr>
        <w:keepNext w:val="0"/>
        <w:keepLines w:val="0"/>
        <w:pageBreakBefore w:val="0"/>
        <w:tabs>
          <w:tab w:val="left" w:pos="1620"/>
        </w:tabs>
        <w:kinsoku/>
        <w:topLinePunct w:val="0"/>
        <w:bidi w:val="0"/>
        <w:spacing w:line="400" w:lineRule="exact"/>
        <w:ind w:firstLine="420" w:firstLineChars="200"/>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lang w:val="en-US" w:eastAsia="zh-CN"/>
        </w:rPr>
        <w:t>5</w:t>
      </w:r>
      <w:r>
        <w:rPr>
          <w:rFonts w:hint="eastAsia" w:ascii="宋体" w:hAnsi="宋体" w:eastAsia="宋体" w:cs="宋体"/>
          <w:strike w:val="0"/>
          <w:dstrike w:val="0"/>
          <w:color w:val="auto"/>
          <w:kern w:val="0"/>
          <w:sz w:val="21"/>
          <w:szCs w:val="21"/>
          <w:highlight w:val="none"/>
        </w:rPr>
        <w:t>.本</w:t>
      </w:r>
      <w:r>
        <w:rPr>
          <w:rFonts w:hint="eastAsia" w:ascii="宋体" w:hAnsi="宋体" w:eastAsia="宋体" w:cs="宋体"/>
          <w:strike w:val="0"/>
          <w:dstrike w:val="0"/>
          <w:color w:val="auto"/>
          <w:kern w:val="0"/>
          <w:sz w:val="21"/>
          <w:szCs w:val="21"/>
          <w:highlight w:val="none"/>
          <w:lang w:eastAsia="zh-CN"/>
        </w:rPr>
        <w:t>采购需求</w:t>
      </w:r>
      <w:r>
        <w:rPr>
          <w:rFonts w:hint="eastAsia" w:ascii="宋体" w:hAnsi="宋体" w:eastAsia="宋体" w:cs="宋体"/>
          <w:strike w:val="0"/>
          <w:dstrike w:val="0"/>
          <w:color w:val="auto"/>
          <w:kern w:val="0"/>
          <w:sz w:val="21"/>
          <w:szCs w:val="21"/>
          <w:highlight w:val="none"/>
        </w:rPr>
        <w:t>中内容如与第五章“合同条款及格式”相关条款不一致的，以本表为准。</w:t>
      </w:r>
    </w:p>
    <w:p w14:paraId="4F1C88F3">
      <w:pPr>
        <w:keepNext w:val="0"/>
        <w:keepLines w:val="0"/>
        <w:pageBreakBefore w:val="0"/>
        <w:tabs>
          <w:tab w:val="left" w:pos="1620"/>
        </w:tabs>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lang w:eastAsia="zh-CN"/>
        </w:rPr>
      </w:pPr>
      <w:r>
        <w:rPr>
          <w:rFonts w:hint="eastAsia" w:ascii="宋体" w:hAnsi="宋体" w:eastAsia="宋体" w:cs="宋体"/>
          <w:strike w:val="0"/>
          <w:dstrike w:val="0"/>
          <w:color w:val="auto"/>
          <w:sz w:val="21"/>
          <w:szCs w:val="21"/>
          <w:highlight w:val="none"/>
          <w:lang w:val="en-US" w:eastAsia="zh-CN"/>
        </w:rPr>
        <w:t>6</w:t>
      </w:r>
      <w:r>
        <w:rPr>
          <w:rFonts w:hint="eastAsia" w:ascii="宋体" w:hAnsi="宋体" w:eastAsia="宋体" w:cs="宋体"/>
          <w:strike w:val="0"/>
          <w:dstrike w:val="0"/>
          <w:color w:val="auto"/>
          <w:sz w:val="21"/>
          <w:szCs w:val="21"/>
          <w:highlight w:val="none"/>
        </w:rPr>
        <w:t>.项目标的所属行业为：</w:t>
      </w:r>
      <w:r>
        <w:rPr>
          <w:rFonts w:hint="eastAsia" w:ascii="宋体" w:hAnsi="宋体" w:eastAsia="宋体" w:cs="宋体"/>
          <w:b/>
          <w:bCs/>
          <w:color w:val="auto"/>
          <w:spacing w:val="8"/>
          <w:sz w:val="21"/>
          <w:szCs w:val="21"/>
          <w:highlight w:val="none"/>
          <w:u w:val="single" w:color="auto"/>
        </w:rPr>
        <w:t>其他未列明行业</w:t>
      </w:r>
      <w:bookmarkStart w:id="64" w:name="OLE_LINK154"/>
      <w:bookmarkStart w:id="65" w:name="OLE_LINK148"/>
      <w:r>
        <w:rPr>
          <w:rFonts w:hint="eastAsia" w:ascii="宋体" w:hAnsi="宋体" w:eastAsia="宋体" w:cs="宋体"/>
          <w:b w:val="0"/>
          <w:bCs w:val="0"/>
          <w:color w:val="auto"/>
          <w:spacing w:val="8"/>
          <w:sz w:val="21"/>
          <w:szCs w:val="21"/>
          <w:highlight w:val="none"/>
          <w:u w:val="none" w:color="auto"/>
          <w:lang w:eastAsia="zh-CN"/>
        </w:rPr>
        <w:t>。</w:t>
      </w:r>
    </w:p>
    <w:tbl>
      <w:tblPr>
        <w:tblStyle w:val="48"/>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223"/>
        <w:gridCol w:w="361"/>
        <w:gridCol w:w="452"/>
        <w:gridCol w:w="5149"/>
        <w:gridCol w:w="971"/>
      </w:tblGrid>
      <w:tr w14:paraId="0800D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22" w:type="dxa"/>
            <w:gridSpan w:val="6"/>
            <w:tcBorders>
              <w:top w:val="single" w:color="auto" w:sz="4" w:space="0"/>
              <w:left w:val="single" w:color="auto" w:sz="4" w:space="0"/>
              <w:bottom w:val="single" w:color="auto" w:sz="4" w:space="0"/>
              <w:right w:val="single" w:color="auto" w:sz="4" w:space="0"/>
            </w:tcBorders>
            <w:vAlign w:val="center"/>
          </w:tcPr>
          <w:p w14:paraId="772431BA">
            <w:pPr>
              <w:keepNext w:val="0"/>
              <w:keepLines w:val="0"/>
              <w:pageBreakBefore w:val="0"/>
              <w:kinsoku/>
              <w:wordWrap w:val="0"/>
              <w:overflowPunct/>
              <w:topLinePunct w:val="0"/>
              <w:autoSpaceDE/>
              <w:autoSpaceDN/>
              <w:bidi w:val="0"/>
              <w:spacing w:line="400" w:lineRule="exact"/>
              <w:jc w:val="left"/>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lang w:val="en-US" w:eastAsia="zh-CN"/>
              </w:rPr>
              <w:t>一、</w:t>
            </w:r>
            <w:r>
              <w:rPr>
                <w:rFonts w:hint="eastAsia" w:ascii="宋体" w:hAnsi="宋体" w:eastAsia="宋体" w:cs="宋体"/>
                <w:b/>
                <w:bCs/>
                <w:strike w:val="0"/>
                <w:dstrike w:val="0"/>
                <w:color w:val="auto"/>
                <w:sz w:val="21"/>
                <w:szCs w:val="21"/>
                <w:highlight w:val="none"/>
              </w:rPr>
              <w:t>技术要求</w:t>
            </w:r>
          </w:p>
        </w:tc>
      </w:tr>
      <w:tr w14:paraId="0BA49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14:paraId="7546405B">
            <w:pPr>
              <w:keepNext w:val="0"/>
              <w:keepLines w:val="0"/>
              <w:pageBreakBefore w:val="0"/>
              <w:kinsoku/>
              <w:wordWrap w:val="0"/>
              <w:overflowPunct/>
              <w:topLinePunct w:val="0"/>
              <w:autoSpaceDE/>
              <w:autoSpaceDN/>
              <w:bidi w:val="0"/>
              <w:spacing w:line="400" w:lineRule="exact"/>
              <w:jc w:val="center"/>
              <w:textAlignment w:val="auto"/>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序号</w:t>
            </w:r>
          </w:p>
        </w:tc>
        <w:tc>
          <w:tcPr>
            <w:tcW w:w="1223" w:type="dxa"/>
            <w:tcBorders>
              <w:top w:val="single" w:color="auto" w:sz="4" w:space="0"/>
              <w:left w:val="single" w:color="auto" w:sz="4" w:space="0"/>
              <w:bottom w:val="single" w:color="auto" w:sz="4" w:space="0"/>
              <w:right w:val="single" w:color="auto" w:sz="4" w:space="0"/>
            </w:tcBorders>
            <w:vAlign w:val="center"/>
          </w:tcPr>
          <w:p w14:paraId="05576933">
            <w:pPr>
              <w:keepNext w:val="0"/>
              <w:keepLines w:val="0"/>
              <w:pageBreakBefore w:val="0"/>
              <w:kinsoku/>
              <w:wordWrap w:val="0"/>
              <w:overflowPunct/>
              <w:topLinePunct w:val="0"/>
              <w:autoSpaceDE/>
              <w:autoSpaceDN/>
              <w:bidi w:val="0"/>
              <w:spacing w:line="400" w:lineRule="exact"/>
              <w:jc w:val="center"/>
              <w:textAlignment w:val="auto"/>
              <w:rPr>
                <w:rFonts w:hint="eastAsia" w:ascii="宋体" w:hAnsi="宋体" w:eastAsia="宋体" w:cs="宋体"/>
                <w:b/>
                <w:strike w:val="0"/>
                <w:dstrike w:val="0"/>
                <w:color w:val="auto"/>
                <w:sz w:val="21"/>
                <w:szCs w:val="21"/>
                <w:highlight w:val="none"/>
              </w:rPr>
            </w:pPr>
            <w:r>
              <w:rPr>
                <w:rFonts w:hint="eastAsia" w:ascii="宋体" w:hAnsi="宋体" w:eastAsia="宋体" w:cs="宋体"/>
                <w:b/>
                <w:bCs/>
                <w:strike w:val="0"/>
                <w:dstrike w:val="0"/>
                <w:color w:val="auto"/>
                <w:kern w:val="0"/>
                <w:sz w:val="21"/>
                <w:szCs w:val="21"/>
                <w:highlight w:val="none"/>
              </w:rPr>
              <w:t>标的名称</w:t>
            </w:r>
          </w:p>
        </w:tc>
        <w:tc>
          <w:tcPr>
            <w:tcW w:w="361" w:type="dxa"/>
            <w:tcBorders>
              <w:top w:val="single" w:color="auto" w:sz="4" w:space="0"/>
              <w:left w:val="single" w:color="auto" w:sz="4" w:space="0"/>
              <w:bottom w:val="single" w:color="auto" w:sz="4" w:space="0"/>
              <w:right w:val="single" w:color="auto" w:sz="4" w:space="0"/>
            </w:tcBorders>
            <w:vAlign w:val="center"/>
          </w:tcPr>
          <w:p w14:paraId="72FA625B">
            <w:pPr>
              <w:keepNext w:val="0"/>
              <w:keepLines w:val="0"/>
              <w:pageBreakBefore w:val="0"/>
              <w:kinsoku/>
              <w:wordWrap w:val="0"/>
              <w:overflowPunct/>
              <w:topLinePunct w:val="0"/>
              <w:autoSpaceDE/>
              <w:autoSpaceDN/>
              <w:bidi w:val="0"/>
              <w:spacing w:line="400" w:lineRule="exact"/>
              <w:jc w:val="center"/>
              <w:textAlignment w:val="auto"/>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kern w:val="0"/>
                <w:sz w:val="21"/>
                <w:szCs w:val="21"/>
                <w:highlight w:val="none"/>
              </w:rPr>
              <w:t>数量</w:t>
            </w:r>
          </w:p>
        </w:tc>
        <w:tc>
          <w:tcPr>
            <w:tcW w:w="452" w:type="dxa"/>
            <w:tcBorders>
              <w:top w:val="single" w:color="auto" w:sz="4" w:space="0"/>
              <w:left w:val="single" w:color="auto" w:sz="4" w:space="0"/>
              <w:bottom w:val="single" w:color="auto" w:sz="4" w:space="0"/>
              <w:right w:val="single" w:color="auto" w:sz="4" w:space="0"/>
            </w:tcBorders>
            <w:vAlign w:val="center"/>
          </w:tcPr>
          <w:p w14:paraId="691DDEAE">
            <w:pPr>
              <w:keepNext w:val="0"/>
              <w:keepLines w:val="0"/>
              <w:pageBreakBefore w:val="0"/>
              <w:kinsoku/>
              <w:wordWrap w:val="0"/>
              <w:overflowPunct/>
              <w:topLinePunct w:val="0"/>
              <w:autoSpaceDE/>
              <w:autoSpaceDN/>
              <w:bidi w:val="0"/>
              <w:spacing w:line="400" w:lineRule="exact"/>
              <w:jc w:val="center"/>
              <w:textAlignment w:val="auto"/>
              <w:rPr>
                <w:rFonts w:hint="eastAsia" w:ascii="宋体" w:hAnsi="宋体" w:eastAsia="宋体" w:cs="宋体"/>
                <w:b/>
                <w:strike w:val="0"/>
                <w:dstrike w:val="0"/>
                <w:color w:val="auto"/>
                <w:kern w:val="0"/>
                <w:sz w:val="21"/>
                <w:szCs w:val="21"/>
                <w:highlight w:val="none"/>
              </w:rPr>
            </w:pPr>
            <w:r>
              <w:rPr>
                <w:rFonts w:hint="eastAsia" w:ascii="宋体" w:hAnsi="宋体" w:eastAsia="宋体" w:cs="宋体"/>
                <w:b/>
                <w:strike w:val="0"/>
                <w:dstrike w:val="0"/>
                <w:color w:val="auto"/>
                <w:kern w:val="0"/>
                <w:sz w:val="21"/>
                <w:szCs w:val="21"/>
                <w:highlight w:val="none"/>
              </w:rPr>
              <w:t>单位</w:t>
            </w:r>
          </w:p>
        </w:tc>
        <w:tc>
          <w:tcPr>
            <w:tcW w:w="5149" w:type="dxa"/>
            <w:tcBorders>
              <w:top w:val="single" w:color="auto" w:sz="4" w:space="0"/>
              <w:left w:val="single" w:color="auto" w:sz="4" w:space="0"/>
              <w:bottom w:val="single" w:color="auto" w:sz="4" w:space="0"/>
              <w:right w:val="single" w:color="auto" w:sz="4" w:space="0"/>
            </w:tcBorders>
            <w:vAlign w:val="center"/>
          </w:tcPr>
          <w:p w14:paraId="1F8AB6B2">
            <w:pPr>
              <w:keepNext w:val="0"/>
              <w:keepLines w:val="0"/>
              <w:pageBreakBefore w:val="0"/>
              <w:kinsoku/>
              <w:wordWrap w:val="0"/>
              <w:overflowPunct/>
              <w:topLinePunct w:val="0"/>
              <w:autoSpaceDE/>
              <w:autoSpaceDN/>
              <w:bidi w:val="0"/>
              <w:spacing w:line="400" w:lineRule="exact"/>
              <w:jc w:val="center"/>
              <w:textAlignment w:val="auto"/>
              <w:rPr>
                <w:rFonts w:hint="eastAsia" w:ascii="宋体" w:hAnsi="宋体" w:eastAsia="宋体" w:cs="宋体"/>
                <w:b/>
                <w:strike w:val="0"/>
                <w:dstrike w:val="0"/>
                <w:color w:val="auto"/>
                <w:sz w:val="21"/>
                <w:szCs w:val="21"/>
                <w:highlight w:val="none"/>
              </w:rPr>
            </w:pPr>
            <w:r>
              <w:rPr>
                <w:rFonts w:hint="eastAsia" w:ascii="宋体" w:hAnsi="宋体" w:eastAsia="宋体" w:cs="宋体"/>
                <w:b/>
                <w:bCs/>
                <w:strike w:val="0"/>
                <w:dstrike w:val="0"/>
                <w:color w:val="auto"/>
                <w:kern w:val="0"/>
                <w:sz w:val="21"/>
                <w:szCs w:val="21"/>
                <w:highlight w:val="none"/>
              </w:rPr>
              <w:t>服务内容及要求</w:t>
            </w:r>
          </w:p>
        </w:tc>
        <w:tc>
          <w:tcPr>
            <w:tcW w:w="971" w:type="dxa"/>
            <w:tcBorders>
              <w:top w:val="single" w:color="auto" w:sz="4" w:space="0"/>
              <w:left w:val="single" w:color="auto" w:sz="4" w:space="0"/>
              <w:bottom w:val="single" w:color="auto" w:sz="4" w:space="0"/>
              <w:right w:val="single" w:color="auto" w:sz="4" w:space="0"/>
            </w:tcBorders>
            <w:vAlign w:val="center"/>
          </w:tcPr>
          <w:p w14:paraId="286E6BB2">
            <w:pPr>
              <w:keepNext w:val="0"/>
              <w:keepLines w:val="0"/>
              <w:pageBreakBefore w:val="0"/>
              <w:kinsoku/>
              <w:wordWrap w:val="0"/>
              <w:overflowPunct/>
              <w:topLinePunct w:val="0"/>
              <w:autoSpaceDE/>
              <w:autoSpaceDN/>
              <w:bidi w:val="0"/>
              <w:spacing w:line="400" w:lineRule="exact"/>
              <w:jc w:val="center"/>
              <w:textAlignment w:val="auto"/>
              <w:rPr>
                <w:rFonts w:hint="eastAsia" w:ascii="宋体" w:hAnsi="宋体" w:eastAsia="宋体" w:cs="宋体"/>
                <w:b/>
                <w:bCs/>
                <w:strike w:val="0"/>
                <w:dstrike w:val="0"/>
                <w:color w:val="auto"/>
                <w:kern w:val="0"/>
                <w:sz w:val="21"/>
                <w:szCs w:val="21"/>
                <w:highlight w:val="none"/>
                <w:lang w:val="en-US" w:eastAsia="zh-CN"/>
              </w:rPr>
            </w:pPr>
            <w:r>
              <w:rPr>
                <w:rFonts w:hint="eastAsia" w:ascii="宋体" w:hAnsi="宋体" w:eastAsia="宋体" w:cs="宋体"/>
                <w:b/>
                <w:bCs/>
                <w:strike w:val="0"/>
                <w:dstrike w:val="0"/>
                <w:color w:val="auto"/>
                <w:kern w:val="0"/>
                <w:sz w:val="21"/>
                <w:szCs w:val="21"/>
                <w:highlight w:val="none"/>
                <w:lang w:val="en-US" w:eastAsia="zh-CN"/>
              </w:rPr>
              <w:t>分项最高限价（元）</w:t>
            </w:r>
          </w:p>
        </w:tc>
      </w:tr>
      <w:tr w14:paraId="359CD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14:paraId="4B281EC1">
            <w:pPr>
              <w:keepNext w:val="0"/>
              <w:keepLines w:val="0"/>
              <w:pageBreakBefore w:val="0"/>
              <w:kinsoku/>
              <w:wordWrap w:val="0"/>
              <w:overflowPunct/>
              <w:topLinePunct w:val="0"/>
              <w:autoSpaceDE/>
              <w:autoSpaceDN/>
              <w:bidi w:val="0"/>
              <w:spacing w:line="400" w:lineRule="exact"/>
              <w:jc w:val="center"/>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w:t>
            </w:r>
          </w:p>
        </w:tc>
        <w:tc>
          <w:tcPr>
            <w:tcW w:w="1223" w:type="dxa"/>
            <w:tcBorders>
              <w:top w:val="single" w:color="auto" w:sz="4" w:space="0"/>
              <w:left w:val="single" w:color="auto" w:sz="4" w:space="0"/>
              <w:bottom w:val="single" w:color="auto" w:sz="4" w:space="0"/>
              <w:right w:val="single" w:color="auto" w:sz="4" w:space="0"/>
            </w:tcBorders>
            <w:vAlign w:val="center"/>
          </w:tcPr>
          <w:p w14:paraId="2B1B8BC6">
            <w:pPr>
              <w:keepNext w:val="0"/>
              <w:keepLines w:val="0"/>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trike w:val="0"/>
                <w:dstrike w:val="0"/>
                <w:color w:val="auto"/>
                <w:kern w:val="0"/>
                <w:sz w:val="21"/>
                <w:szCs w:val="21"/>
                <w:highlight w:val="none"/>
              </w:rPr>
            </w:pPr>
            <w:r>
              <w:rPr>
                <w:rFonts w:hint="eastAsia" w:ascii="宋体" w:hAnsi="宋体" w:cs="宋体"/>
                <w:strike w:val="0"/>
                <w:dstrike w:val="0"/>
                <w:color w:val="auto"/>
                <w:kern w:val="0"/>
                <w:sz w:val="21"/>
                <w:szCs w:val="21"/>
                <w:highlight w:val="none"/>
                <w:lang w:eastAsia="zh-CN"/>
              </w:rPr>
              <w:t>广西集中式饮用水水源涉重金属环境安全隐患排查和试点水源地重金属污染精准溯源项目</w:t>
            </w:r>
          </w:p>
        </w:tc>
        <w:tc>
          <w:tcPr>
            <w:tcW w:w="361" w:type="dxa"/>
            <w:tcBorders>
              <w:top w:val="single" w:color="auto" w:sz="4" w:space="0"/>
              <w:left w:val="single" w:color="auto" w:sz="4" w:space="0"/>
              <w:bottom w:val="single" w:color="auto" w:sz="4" w:space="0"/>
              <w:right w:val="single" w:color="auto" w:sz="4" w:space="0"/>
            </w:tcBorders>
            <w:vAlign w:val="center"/>
          </w:tcPr>
          <w:p w14:paraId="053BB69A">
            <w:pPr>
              <w:keepNext w:val="0"/>
              <w:keepLines w:val="0"/>
              <w:pageBreakBefore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1</w:t>
            </w:r>
          </w:p>
        </w:tc>
        <w:tc>
          <w:tcPr>
            <w:tcW w:w="452" w:type="dxa"/>
            <w:tcBorders>
              <w:top w:val="single" w:color="auto" w:sz="4" w:space="0"/>
              <w:left w:val="single" w:color="auto" w:sz="4" w:space="0"/>
              <w:bottom w:val="single" w:color="auto" w:sz="4" w:space="0"/>
              <w:right w:val="single" w:color="auto" w:sz="4" w:space="0"/>
            </w:tcBorders>
            <w:vAlign w:val="center"/>
          </w:tcPr>
          <w:p w14:paraId="5006963D">
            <w:pPr>
              <w:keepNext w:val="0"/>
              <w:keepLines w:val="0"/>
              <w:pageBreakBefore w:val="0"/>
              <w:kinsoku/>
              <w:wordWrap w:val="0"/>
              <w:overflowPunct/>
              <w:topLinePunct w:val="0"/>
              <w:autoSpaceDE/>
              <w:autoSpaceDN/>
              <w:bidi w:val="0"/>
              <w:spacing w:line="400" w:lineRule="exact"/>
              <w:jc w:val="center"/>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项</w:t>
            </w:r>
          </w:p>
        </w:tc>
        <w:tc>
          <w:tcPr>
            <w:tcW w:w="5149" w:type="dxa"/>
            <w:tcBorders>
              <w:top w:val="single" w:color="auto" w:sz="4" w:space="0"/>
              <w:left w:val="single" w:color="auto" w:sz="4" w:space="0"/>
              <w:bottom w:val="single" w:color="auto" w:sz="4" w:space="0"/>
              <w:right w:val="single" w:color="auto" w:sz="4" w:space="0"/>
            </w:tcBorders>
            <w:shd w:val="clear" w:color="auto" w:fill="auto"/>
            <w:vAlign w:val="center"/>
          </w:tcPr>
          <w:p w14:paraId="412DF6D9">
            <w:pPr>
              <w:keepNext w:val="0"/>
              <w:keepLines w:val="0"/>
              <w:pageBreakBefore w:val="0"/>
              <w:kinsoku/>
              <w:wordWrap w:val="0"/>
              <w:overflowPunct/>
              <w:topLinePunct w:val="0"/>
              <w:autoSpaceDE/>
              <w:autoSpaceDN/>
              <w:bidi w:val="0"/>
              <w:adjustRightInd w:val="0"/>
              <w:snapToGrid w:val="0"/>
              <w:spacing w:line="400" w:lineRule="exact"/>
              <w:jc w:val="left"/>
              <w:textAlignment w:val="auto"/>
              <w:rPr>
                <w:rFonts w:hint="default" w:ascii="宋体" w:hAnsi="宋体" w:cs="宋体"/>
                <w:strike w:val="0"/>
                <w:dstrike w:val="0"/>
                <w:color w:val="auto"/>
                <w:kern w:val="0"/>
                <w:sz w:val="21"/>
                <w:szCs w:val="21"/>
                <w:highlight w:val="none"/>
                <w:lang w:eastAsia="zh-CN"/>
              </w:rPr>
            </w:pPr>
            <w:r>
              <w:rPr>
                <w:rFonts w:hint="default" w:ascii="宋体" w:hAnsi="宋体" w:cs="宋体"/>
                <w:strike w:val="0"/>
                <w:dstrike w:val="0"/>
                <w:color w:val="auto"/>
                <w:kern w:val="0"/>
                <w:sz w:val="21"/>
                <w:szCs w:val="21"/>
                <w:highlight w:val="none"/>
                <w:lang w:eastAsia="zh-CN"/>
              </w:rPr>
              <w:t>▲一、总体要求</w:t>
            </w:r>
          </w:p>
          <w:p w14:paraId="7BC2EB12">
            <w:pPr>
              <w:keepNext w:val="0"/>
              <w:keepLines w:val="0"/>
              <w:pageBreakBefore w:val="0"/>
              <w:kinsoku/>
              <w:wordWrap w:val="0"/>
              <w:overflowPunct/>
              <w:topLinePunct w:val="0"/>
              <w:autoSpaceDE/>
              <w:autoSpaceDN/>
              <w:bidi w:val="0"/>
              <w:adjustRightInd w:val="0"/>
              <w:snapToGrid w:val="0"/>
              <w:spacing w:line="400" w:lineRule="exact"/>
              <w:jc w:val="left"/>
              <w:textAlignment w:val="auto"/>
              <w:rPr>
                <w:rFonts w:hint="default" w:ascii="宋体" w:hAnsi="宋体" w:cs="宋体"/>
                <w:strike w:val="0"/>
                <w:dstrike w:val="0"/>
                <w:color w:val="auto"/>
                <w:kern w:val="0"/>
                <w:sz w:val="21"/>
                <w:szCs w:val="21"/>
                <w:highlight w:val="none"/>
                <w:lang w:eastAsia="zh-CN"/>
              </w:rPr>
            </w:pPr>
            <w:r>
              <w:rPr>
                <w:rFonts w:hint="default" w:ascii="宋体" w:hAnsi="宋体" w:cs="宋体"/>
                <w:strike w:val="0"/>
                <w:dstrike w:val="0"/>
                <w:color w:val="auto"/>
                <w:kern w:val="0"/>
                <w:sz w:val="21"/>
                <w:szCs w:val="21"/>
                <w:highlight w:val="none"/>
                <w:lang w:eastAsia="zh-CN"/>
              </w:rPr>
              <w:t>根据《中共中央 国务院关于全面加强生态环境保护坚决打好污染防治攻坚战的意见》（中发〔2018〕17号）、《广西壮族自治区人民政府办公厅关于印发〈广西水污染防治行动计划工作方案〉的通知》（桂政办发〔2015〕131号）、《环境保护部办公厅关于印发〈地表水环境质量评价办法（试行）〉的通知》（环办〔2011〕22号）、《全国集中式生活饮用水水源地水质监测实施方案》（环办函〔2012〕1266号）、《涉重金属环境安全隐患排查整治专项行动方案》、《广西深入打好涉重金属环境安全风险隐患排查整治攻坚行动方案（2025—2030年）》等有关要求，完成广西</w:t>
            </w:r>
            <w:r>
              <w:rPr>
                <w:rFonts w:hint="default" w:ascii="宋体" w:hAnsi="宋体" w:cs="宋体"/>
                <w:strike w:val="0"/>
                <w:dstrike w:val="0"/>
                <w:color w:val="auto"/>
                <w:kern w:val="0"/>
                <w:sz w:val="21"/>
                <w:szCs w:val="21"/>
                <w:highlight w:val="none"/>
                <w:lang w:val="en-US" w:eastAsia="zh-CN"/>
              </w:rPr>
              <w:t>300余个</w:t>
            </w:r>
            <w:r>
              <w:rPr>
                <w:rFonts w:hint="default" w:ascii="宋体" w:hAnsi="宋体" w:cs="宋体"/>
                <w:strike w:val="0"/>
                <w:dstrike w:val="0"/>
                <w:color w:val="auto"/>
                <w:kern w:val="0"/>
                <w:sz w:val="21"/>
                <w:szCs w:val="21"/>
                <w:highlight w:val="none"/>
                <w:lang w:eastAsia="zh-CN"/>
              </w:rPr>
              <w:t>农村“千吨万人”饮用水水源全指标监测（</w:t>
            </w:r>
            <w:r>
              <w:rPr>
                <w:rFonts w:hint="default" w:ascii="宋体" w:hAnsi="宋体" w:cs="宋体"/>
                <w:strike w:val="0"/>
                <w:dstrike w:val="0"/>
                <w:color w:val="auto"/>
                <w:kern w:val="0"/>
                <w:sz w:val="21"/>
                <w:szCs w:val="21"/>
                <w:highlight w:val="none"/>
                <w:lang w:val="en-US" w:eastAsia="zh-CN"/>
              </w:rPr>
              <w:t>《地表水环境质量标准》109项、《地下水质量标准》93项</w:t>
            </w:r>
            <w:r>
              <w:rPr>
                <w:rFonts w:hint="default" w:ascii="宋体" w:hAnsi="宋体" w:cs="宋体"/>
                <w:strike w:val="0"/>
                <w:dstrike w:val="0"/>
                <w:color w:val="auto"/>
                <w:kern w:val="0"/>
                <w:sz w:val="21"/>
                <w:szCs w:val="21"/>
                <w:highlight w:val="none"/>
                <w:lang w:eastAsia="zh-CN"/>
              </w:rPr>
              <w:t>），抽取</w:t>
            </w:r>
            <w:r>
              <w:rPr>
                <w:rFonts w:hint="eastAsia" w:ascii="宋体" w:hAnsi="宋体" w:cs="宋体"/>
                <w:strike w:val="0"/>
                <w:dstrike w:val="0"/>
                <w:color w:val="auto"/>
                <w:kern w:val="0"/>
                <w:sz w:val="21"/>
                <w:szCs w:val="21"/>
                <w:highlight w:val="none"/>
                <w:lang w:val="en-US" w:eastAsia="zh-CN"/>
              </w:rPr>
              <w:t>62个</w:t>
            </w:r>
            <w:r>
              <w:rPr>
                <w:rFonts w:hint="default" w:ascii="宋体" w:hAnsi="宋体" w:cs="宋体"/>
                <w:strike w:val="0"/>
                <w:dstrike w:val="0"/>
                <w:color w:val="auto"/>
                <w:kern w:val="0"/>
                <w:sz w:val="21"/>
                <w:szCs w:val="21"/>
                <w:highlight w:val="none"/>
                <w:lang w:eastAsia="zh-CN"/>
              </w:rPr>
              <w:t>“千吨万人”饮用水水源开展涉重金属环境风险隐患问题排查，分析评估饮用水水源重金属污染状况；开展南流江铊污染高风险水源地的试点研究，</w:t>
            </w:r>
            <w:r>
              <w:rPr>
                <w:rFonts w:hint="default" w:ascii="宋体" w:hAnsi="宋体" w:cs="宋体"/>
                <w:strike w:val="0"/>
                <w:dstrike w:val="0"/>
                <w:color w:val="auto"/>
                <w:kern w:val="0"/>
                <w:sz w:val="21"/>
                <w:szCs w:val="21"/>
                <w:highlight w:val="none"/>
                <w:lang w:val="en-US" w:eastAsia="zh-CN"/>
              </w:rPr>
              <w:t>开展污染源和地表水溯源监测，指标包含pH、色度、溶解氧、COD、氨氮、总磷、总氮、铊</w:t>
            </w:r>
            <w:r>
              <w:rPr>
                <w:rFonts w:hint="default" w:ascii="宋体" w:hAnsi="宋体" w:cs="宋体"/>
                <w:strike w:val="0"/>
                <w:dstrike w:val="0"/>
                <w:color w:val="auto"/>
                <w:kern w:val="0"/>
                <w:sz w:val="21"/>
                <w:szCs w:val="21"/>
                <w:highlight w:val="none"/>
                <w:lang w:eastAsia="zh-CN"/>
              </w:rPr>
              <w:t>，全面掌握铊污染特征、来源，构建南流江流域典型重金属尾矿库、典型涉重企业指纹图谱库、涉重金属尾矿库与企业污染源的特征数据库；开展供水厂原水处理工艺和应急处理措施的现状调查，借鉴广西和全国重金属污染应急治理的案例，梳理应急治理典型技术和措施，针对性提出风险防控的建议和系统性解决方案，有效提高全区饮用水水源管理水平，保障人民群众饮水安全。</w:t>
            </w:r>
          </w:p>
          <w:p w14:paraId="7D2B68C8">
            <w:pPr>
              <w:keepNext w:val="0"/>
              <w:keepLines w:val="0"/>
              <w:pageBreakBefore w:val="0"/>
              <w:kinsoku/>
              <w:wordWrap w:val="0"/>
              <w:overflowPunct/>
              <w:topLinePunct w:val="0"/>
              <w:autoSpaceDE/>
              <w:autoSpaceDN/>
              <w:bidi w:val="0"/>
              <w:adjustRightInd w:val="0"/>
              <w:snapToGrid w:val="0"/>
              <w:spacing w:line="400" w:lineRule="exact"/>
              <w:jc w:val="left"/>
              <w:textAlignment w:val="auto"/>
              <w:rPr>
                <w:rFonts w:hint="default" w:ascii="宋体" w:hAnsi="宋体" w:cs="宋体"/>
                <w:strike w:val="0"/>
                <w:dstrike w:val="0"/>
                <w:color w:val="auto"/>
                <w:kern w:val="0"/>
                <w:sz w:val="21"/>
                <w:szCs w:val="21"/>
                <w:highlight w:val="none"/>
                <w:lang w:eastAsia="zh-CN"/>
              </w:rPr>
            </w:pPr>
            <w:r>
              <w:rPr>
                <w:rFonts w:hint="default" w:ascii="宋体" w:hAnsi="宋体" w:cs="宋体"/>
                <w:strike w:val="0"/>
                <w:dstrike w:val="0"/>
                <w:color w:val="auto"/>
                <w:kern w:val="0"/>
                <w:sz w:val="21"/>
                <w:szCs w:val="21"/>
                <w:highlight w:val="none"/>
                <w:lang w:eastAsia="zh-CN"/>
              </w:rPr>
              <w:t>▲二、服务内容和技术要求</w:t>
            </w:r>
          </w:p>
          <w:p w14:paraId="132DAEE3">
            <w:pPr>
              <w:keepNext w:val="0"/>
              <w:keepLines w:val="0"/>
              <w:pageBreakBefore w:val="0"/>
              <w:kinsoku/>
              <w:wordWrap w:val="0"/>
              <w:overflowPunct/>
              <w:topLinePunct w:val="0"/>
              <w:autoSpaceDE/>
              <w:autoSpaceDN/>
              <w:bidi w:val="0"/>
              <w:adjustRightInd w:val="0"/>
              <w:snapToGrid w:val="0"/>
              <w:spacing w:line="400" w:lineRule="exact"/>
              <w:jc w:val="left"/>
              <w:textAlignment w:val="auto"/>
              <w:rPr>
                <w:rFonts w:hint="default" w:ascii="宋体" w:hAnsi="宋体" w:cs="宋体"/>
                <w:strike w:val="0"/>
                <w:dstrike w:val="0"/>
                <w:color w:val="auto"/>
                <w:kern w:val="0"/>
                <w:sz w:val="21"/>
                <w:szCs w:val="21"/>
                <w:highlight w:val="none"/>
                <w:lang w:eastAsia="zh-CN"/>
              </w:rPr>
            </w:pPr>
            <w:r>
              <w:rPr>
                <w:rFonts w:hint="default" w:ascii="宋体" w:hAnsi="宋体" w:cs="宋体"/>
                <w:strike w:val="0"/>
                <w:dstrike w:val="0"/>
                <w:color w:val="auto"/>
                <w:kern w:val="0"/>
                <w:sz w:val="21"/>
                <w:szCs w:val="21"/>
                <w:highlight w:val="none"/>
                <w:lang w:eastAsia="zh-CN"/>
              </w:rPr>
              <w:t>2.1 主要服务</w:t>
            </w:r>
          </w:p>
          <w:p w14:paraId="597729B7">
            <w:pPr>
              <w:keepNext w:val="0"/>
              <w:keepLines w:val="0"/>
              <w:pageBreakBefore w:val="0"/>
              <w:kinsoku/>
              <w:wordWrap w:val="0"/>
              <w:overflowPunct/>
              <w:topLinePunct w:val="0"/>
              <w:autoSpaceDE/>
              <w:autoSpaceDN/>
              <w:bidi w:val="0"/>
              <w:adjustRightInd w:val="0"/>
              <w:snapToGrid w:val="0"/>
              <w:spacing w:line="400" w:lineRule="exact"/>
              <w:jc w:val="left"/>
              <w:textAlignment w:val="auto"/>
              <w:rPr>
                <w:rFonts w:hint="default" w:ascii="宋体" w:hAnsi="宋体" w:cs="宋体"/>
                <w:strike w:val="0"/>
                <w:dstrike w:val="0"/>
                <w:color w:val="auto"/>
                <w:kern w:val="0"/>
                <w:sz w:val="21"/>
                <w:szCs w:val="21"/>
                <w:highlight w:val="none"/>
                <w:lang w:eastAsia="zh-CN"/>
              </w:rPr>
            </w:pPr>
            <w:r>
              <w:rPr>
                <w:rFonts w:hint="default" w:ascii="宋体" w:hAnsi="宋体" w:cs="宋体"/>
                <w:strike w:val="0"/>
                <w:dstrike w:val="0"/>
                <w:color w:val="auto"/>
                <w:kern w:val="0"/>
                <w:sz w:val="21"/>
                <w:szCs w:val="21"/>
                <w:highlight w:val="none"/>
                <w:lang w:eastAsia="zh-CN"/>
              </w:rPr>
              <w:t>2.1.1基础信息调查。</w:t>
            </w:r>
          </w:p>
          <w:p w14:paraId="1EF2BF18">
            <w:pPr>
              <w:keepNext w:val="0"/>
              <w:keepLines w:val="0"/>
              <w:pageBreakBefore w:val="0"/>
              <w:kinsoku/>
              <w:wordWrap w:val="0"/>
              <w:overflowPunct/>
              <w:topLinePunct w:val="0"/>
              <w:autoSpaceDE/>
              <w:autoSpaceDN/>
              <w:bidi w:val="0"/>
              <w:adjustRightInd w:val="0"/>
              <w:snapToGrid w:val="0"/>
              <w:spacing w:line="400" w:lineRule="exact"/>
              <w:jc w:val="left"/>
              <w:textAlignment w:val="auto"/>
              <w:rPr>
                <w:rFonts w:hint="default" w:ascii="宋体" w:hAnsi="宋体" w:cs="宋体"/>
                <w:strike w:val="0"/>
                <w:dstrike w:val="0"/>
                <w:color w:val="auto"/>
                <w:kern w:val="0"/>
                <w:sz w:val="21"/>
                <w:szCs w:val="21"/>
                <w:highlight w:val="none"/>
                <w:lang w:eastAsia="zh-CN"/>
              </w:rPr>
            </w:pPr>
            <w:r>
              <w:rPr>
                <w:rFonts w:hint="default" w:ascii="宋体" w:hAnsi="宋体" w:cs="宋体"/>
                <w:strike w:val="0"/>
                <w:dstrike w:val="0"/>
                <w:color w:val="auto"/>
                <w:kern w:val="0"/>
                <w:sz w:val="21"/>
                <w:szCs w:val="21"/>
                <w:highlight w:val="none"/>
                <w:lang w:eastAsia="zh-CN"/>
              </w:rPr>
              <w:t>开展资料收集、现场踏勘和人员访谈，</w:t>
            </w:r>
            <w:r>
              <w:rPr>
                <w:rFonts w:hint="default" w:ascii="宋体" w:hAnsi="宋体" w:cs="宋体"/>
                <w:strike w:val="0"/>
                <w:dstrike w:val="0"/>
                <w:color w:val="auto"/>
                <w:kern w:val="0"/>
                <w:sz w:val="21"/>
                <w:szCs w:val="21"/>
                <w:highlight w:val="none"/>
                <w:lang w:val="en-US" w:eastAsia="zh-CN"/>
              </w:rPr>
              <w:t>完成基础信息调查，熟悉已有的工作基础及数据资料，初步制定工作方案。</w:t>
            </w:r>
          </w:p>
          <w:p w14:paraId="19C83FA3">
            <w:pPr>
              <w:keepNext w:val="0"/>
              <w:keepLines w:val="0"/>
              <w:pageBreakBefore w:val="0"/>
              <w:kinsoku/>
              <w:wordWrap w:val="0"/>
              <w:overflowPunct/>
              <w:topLinePunct w:val="0"/>
              <w:autoSpaceDE/>
              <w:autoSpaceDN/>
              <w:bidi w:val="0"/>
              <w:adjustRightInd w:val="0"/>
              <w:snapToGrid w:val="0"/>
              <w:spacing w:line="400" w:lineRule="exact"/>
              <w:jc w:val="left"/>
              <w:textAlignment w:val="auto"/>
              <w:rPr>
                <w:rFonts w:hint="default" w:ascii="宋体" w:hAnsi="宋体" w:cs="宋体"/>
                <w:strike w:val="0"/>
                <w:dstrike w:val="0"/>
                <w:color w:val="auto"/>
                <w:kern w:val="0"/>
                <w:sz w:val="21"/>
                <w:szCs w:val="21"/>
                <w:highlight w:val="none"/>
                <w:lang w:val="en-US" w:eastAsia="zh-CN"/>
              </w:rPr>
            </w:pPr>
            <w:r>
              <w:rPr>
                <w:rFonts w:hint="default" w:ascii="宋体" w:hAnsi="宋体" w:cs="宋体"/>
                <w:strike w:val="0"/>
                <w:dstrike w:val="0"/>
                <w:color w:val="auto"/>
                <w:kern w:val="0"/>
                <w:sz w:val="21"/>
                <w:szCs w:val="21"/>
                <w:highlight w:val="none"/>
                <w:lang w:eastAsia="zh-CN"/>
              </w:rPr>
              <w:t>2.1.2开展</w:t>
            </w:r>
            <w:r>
              <w:rPr>
                <w:rFonts w:hint="default" w:ascii="宋体" w:hAnsi="宋体" w:cs="宋体"/>
                <w:strike w:val="0"/>
                <w:dstrike w:val="0"/>
                <w:color w:val="auto"/>
                <w:kern w:val="0"/>
                <w:sz w:val="21"/>
                <w:szCs w:val="21"/>
                <w:highlight w:val="none"/>
                <w:lang w:val="en-US" w:eastAsia="zh-CN"/>
              </w:rPr>
              <w:t>“千吨万人”饮用水水源涉重金属环境风险隐患问题排查</w:t>
            </w:r>
          </w:p>
          <w:p w14:paraId="59F5C3E6">
            <w:pPr>
              <w:keepNext w:val="0"/>
              <w:keepLines w:val="0"/>
              <w:pageBreakBefore w:val="0"/>
              <w:kinsoku/>
              <w:wordWrap w:val="0"/>
              <w:overflowPunct/>
              <w:topLinePunct w:val="0"/>
              <w:autoSpaceDE/>
              <w:autoSpaceDN/>
              <w:bidi w:val="0"/>
              <w:adjustRightInd w:val="0"/>
              <w:snapToGrid w:val="0"/>
              <w:spacing w:line="400" w:lineRule="exact"/>
              <w:jc w:val="left"/>
              <w:textAlignment w:val="auto"/>
              <w:rPr>
                <w:rFonts w:hint="default" w:ascii="宋体" w:hAnsi="宋体" w:cs="宋体"/>
                <w:strike w:val="0"/>
                <w:dstrike w:val="0"/>
                <w:color w:val="auto"/>
                <w:kern w:val="0"/>
                <w:sz w:val="21"/>
                <w:szCs w:val="21"/>
                <w:highlight w:val="none"/>
                <w:lang w:eastAsia="zh-CN"/>
              </w:rPr>
            </w:pPr>
            <w:r>
              <w:rPr>
                <w:rFonts w:hint="default" w:ascii="宋体" w:hAnsi="宋体" w:cs="宋体"/>
                <w:strike w:val="0"/>
                <w:dstrike w:val="0"/>
                <w:color w:val="auto"/>
                <w:kern w:val="0"/>
                <w:sz w:val="21"/>
                <w:szCs w:val="21"/>
                <w:highlight w:val="none"/>
                <w:lang w:val="en-US" w:eastAsia="zh-CN"/>
              </w:rPr>
              <w:t>对全区300余个“千吨万人”饮用水水源开展全指标监测</w:t>
            </w:r>
            <w:r>
              <w:rPr>
                <w:rFonts w:hint="default" w:ascii="宋体" w:hAnsi="宋体" w:cs="宋体"/>
                <w:strike w:val="0"/>
                <w:dstrike w:val="0"/>
                <w:color w:val="auto"/>
                <w:kern w:val="0"/>
                <w:sz w:val="21"/>
                <w:szCs w:val="21"/>
                <w:highlight w:val="none"/>
                <w:lang w:eastAsia="zh-CN"/>
              </w:rPr>
              <w:t>（</w:t>
            </w:r>
            <w:r>
              <w:rPr>
                <w:rFonts w:hint="default" w:ascii="宋体" w:hAnsi="宋体" w:cs="宋体"/>
                <w:strike w:val="0"/>
                <w:dstrike w:val="0"/>
                <w:color w:val="auto"/>
                <w:kern w:val="0"/>
                <w:sz w:val="21"/>
                <w:szCs w:val="21"/>
                <w:highlight w:val="none"/>
                <w:lang w:val="en-US" w:eastAsia="zh-CN"/>
              </w:rPr>
              <w:t>《地表水环境质量标准》109项、《地下水质量标准》93项</w:t>
            </w:r>
            <w:r>
              <w:rPr>
                <w:rFonts w:hint="default" w:ascii="宋体" w:hAnsi="宋体" w:cs="宋体"/>
                <w:strike w:val="0"/>
                <w:dstrike w:val="0"/>
                <w:color w:val="auto"/>
                <w:kern w:val="0"/>
                <w:sz w:val="21"/>
                <w:szCs w:val="21"/>
                <w:highlight w:val="none"/>
                <w:lang w:eastAsia="zh-CN"/>
              </w:rPr>
              <w:t>）</w:t>
            </w:r>
            <w:r>
              <w:rPr>
                <w:rFonts w:hint="default" w:ascii="宋体" w:hAnsi="宋体" w:cs="宋体"/>
                <w:strike w:val="0"/>
                <w:dstrike w:val="0"/>
                <w:color w:val="auto"/>
                <w:kern w:val="0"/>
                <w:sz w:val="21"/>
                <w:szCs w:val="21"/>
                <w:highlight w:val="none"/>
                <w:lang w:val="en-US" w:eastAsia="zh-CN"/>
              </w:rPr>
              <w:t>，评估饮用水水源重金属污染状况，形成风险水源清单。</w:t>
            </w:r>
            <w:r>
              <w:rPr>
                <w:rFonts w:hint="eastAsia" w:ascii="宋体" w:hAnsi="宋体" w:cs="宋体"/>
                <w:strike w:val="0"/>
                <w:dstrike w:val="0"/>
                <w:color w:val="auto"/>
                <w:kern w:val="0"/>
                <w:sz w:val="21"/>
                <w:szCs w:val="21"/>
                <w:highlight w:val="none"/>
                <w:lang w:val="en-US" w:eastAsia="zh-CN"/>
              </w:rPr>
              <w:t>选</w:t>
            </w:r>
            <w:r>
              <w:rPr>
                <w:rFonts w:hint="default" w:ascii="宋体" w:hAnsi="宋体" w:cs="宋体"/>
                <w:strike w:val="0"/>
                <w:dstrike w:val="0"/>
                <w:color w:val="auto"/>
                <w:kern w:val="0"/>
                <w:sz w:val="21"/>
                <w:szCs w:val="21"/>
                <w:highlight w:val="none"/>
                <w:lang w:val="en-US" w:eastAsia="zh-CN"/>
              </w:rPr>
              <w:t>取</w:t>
            </w:r>
            <w:r>
              <w:rPr>
                <w:rFonts w:hint="eastAsia" w:ascii="宋体" w:hAnsi="宋体" w:cs="宋体"/>
                <w:strike w:val="0"/>
                <w:dstrike w:val="0"/>
                <w:color w:val="auto"/>
                <w:kern w:val="0"/>
                <w:sz w:val="21"/>
                <w:szCs w:val="21"/>
                <w:highlight w:val="none"/>
                <w:lang w:val="en-US" w:eastAsia="zh-CN"/>
              </w:rPr>
              <w:t>62个</w:t>
            </w:r>
            <w:r>
              <w:rPr>
                <w:rFonts w:hint="default" w:ascii="宋体" w:hAnsi="宋体" w:cs="宋体"/>
                <w:strike w:val="0"/>
                <w:dstrike w:val="0"/>
                <w:color w:val="auto"/>
                <w:kern w:val="0"/>
                <w:sz w:val="21"/>
                <w:szCs w:val="21"/>
                <w:highlight w:val="none"/>
                <w:lang w:val="en-US" w:eastAsia="zh-CN"/>
              </w:rPr>
              <w:t>“千吨万人”饮用水水源开展环境风险隐患问题复核排查，</w:t>
            </w:r>
            <w:r>
              <w:rPr>
                <w:rFonts w:hint="eastAsia" w:ascii="宋体" w:hAnsi="宋体" w:cs="宋体"/>
                <w:strike w:val="0"/>
                <w:dstrike w:val="0"/>
                <w:color w:val="auto"/>
                <w:kern w:val="0"/>
                <w:sz w:val="21"/>
                <w:szCs w:val="21"/>
                <w:highlight w:val="none"/>
                <w:lang w:val="en-US" w:eastAsia="zh-CN"/>
              </w:rPr>
              <w:t>地表水型水源调查范围覆盖取水口上游20公里汇水范围，地下水型水源调查范围覆盖地下水源的补给、径流、排泄区域，以及相关的主要污染源分布的区域。</w:t>
            </w:r>
            <w:r>
              <w:rPr>
                <w:rFonts w:hint="default" w:ascii="宋体" w:hAnsi="宋体" w:cs="宋体"/>
                <w:strike w:val="0"/>
                <w:dstrike w:val="0"/>
                <w:color w:val="auto"/>
                <w:kern w:val="0"/>
                <w:sz w:val="21"/>
                <w:szCs w:val="21"/>
                <w:highlight w:val="none"/>
                <w:lang w:val="en-US" w:eastAsia="zh-CN"/>
              </w:rPr>
              <w:t>查明可能对饮用水水源造成环境污染影响的风险源，形成环境风险隐患问题清单。</w:t>
            </w:r>
          </w:p>
          <w:p w14:paraId="520CF5E0">
            <w:pPr>
              <w:keepNext w:val="0"/>
              <w:keepLines w:val="0"/>
              <w:pageBreakBefore w:val="0"/>
              <w:kinsoku/>
              <w:wordWrap w:val="0"/>
              <w:overflowPunct/>
              <w:topLinePunct w:val="0"/>
              <w:autoSpaceDE/>
              <w:autoSpaceDN/>
              <w:bidi w:val="0"/>
              <w:adjustRightInd w:val="0"/>
              <w:snapToGrid w:val="0"/>
              <w:spacing w:line="400" w:lineRule="exact"/>
              <w:jc w:val="left"/>
              <w:textAlignment w:val="auto"/>
              <w:rPr>
                <w:rFonts w:hint="default" w:ascii="宋体" w:hAnsi="宋体" w:cs="宋体"/>
                <w:strike w:val="0"/>
                <w:dstrike w:val="0"/>
                <w:color w:val="auto"/>
                <w:kern w:val="0"/>
                <w:sz w:val="21"/>
                <w:szCs w:val="21"/>
                <w:highlight w:val="none"/>
                <w:lang w:eastAsia="zh-CN"/>
              </w:rPr>
            </w:pPr>
            <w:r>
              <w:rPr>
                <w:rFonts w:hint="default" w:ascii="宋体" w:hAnsi="宋体" w:cs="宋体"/>
                <w:strike w:val="0"/>
                <w:dstrike w:val="0"/>
                <w:color w:val="auto"/>
                <w:kern w:val="0"/>
                <w:sz w:val="21"/>
                <w:szCs w:val="21"/>
                <w:highlight w:val="none"/>
                <w:lang w:eastAsia="zh-CN"/>
              </w:rPr>
              <w:t>2.1.3</w:t>
            </w:r>
            <w:r>
              <w:rPr>
                <w:rFonts w:hint="default" w:ascii="宋体" w:hAnsi="宋体" w:cs="宋体"/>
                <w:strike w:val="0"/>
                <w:dstrike w:val="0"/>
                <w:color w:val="auto"/>
                <w:kern w:val="0"/>
                <w:sz w:val="21"/>
                <w:szCs w:val="21"/>
                <w:highlight w:val="none"/>
                <w:lang w:val="en-US" w:eastAsia="zh-CN"/>
              </w:rPr>
              <w:t>开展南流江流域试点水源重金属污染溯源</w:t>
            </w:r>
          </w:p>
          <w:p w14:paraId="3357617E">
            <w:pPr>
              <w:keepNext w:val="0"/>
              <w:keepLines w:val="0"/>
              <w:pageBreakBefore w:val="0"/>
              <w:kinsoku/>
              <w:wordWrap w:val="0"/>
              <w:overflowPunct/>
              <w:topLinePunct w:val="0"/>
              <w:autoSpaceDE/>
              <w:autoSpaceDN/>
              <w:bidi w:val="0"/>
              <w:adjustRightInd w:val="0"/>
              <w:snapToGrid w:val="0"/>
              <w:spacing w:line="400" w:lineRule="exact"/>
              <w:jc w:val="left"/>
              <w:textAlignment w:val="auto"/>
              <w:rPr>
                <w:rFonts w:hint="default" w:ascii="宋体" w:hAnsi="宋体" w:cs="宋体"/>
                <w:strike w:val="0"/>
                <w:dstrike w:val="0"/>
                <w:color w:val="auto"/>
                <w:kern w:val="0"/>
                <w:sz w:val="21"/>
                <w:szCs w:val="21"/>
                <w:highlight w:val="none"/>
                <w:lang w:val="en-US" w:eastAsia="zh-CN"/>
              </w:rPr>
            </w:pPr>
            <w:r>
              <w:rPr>
                <w:rFonts w:hint="default" w:ascii="宋体" w:hAnsi="宋体" w:cs="宋体"/>
                <w:strike w:val="0"/>
                <w:dstrike w:val="0"/>
                <w:color w:val="auto"/>
                <w:kern w:val="0"/>
                <w:sz w:val="21"/>
                <w:szCs w:val="21"/>
                <w:highlight w:val="none"/>
                <w:lang w:val="en-US" w:eastAsia="zh-CN"/>
              </w:rPr>
              <w:t>对南流江流域</w:t>
            </w:r>
            <w:r>
              <w:rPr>
                <w:rFonts w:hint="eastAsia" w:ascii="宋体" w:hAnsi="宋体" w:cs="宋体"/>
                <w:strike w:val="0"/>
                <w:dstrike w:val="0"/>
                <w:color w:val="auto"/>
                <w:kern w:val="0"/>
                <w:sz w:val="21"/>
                <w:szCs w:val="21"/>
                <w:highlight w:val="none"/>
                <w:lang w:val="en-US" w:eastAsia="zh-CN"/>
              </w:rPr>
              <w:t>13个</w:t>
            </w:r>
            <w:r>
              <w:rPr>
                <w:rFonts w:hint="default" w:ascii="宋体" w:hAnsi="宋体" w:cs="宋体"/>
                <w:strike w:val="0"/>
                <w:dstrike w:val="0"/>
                <w:color w:val="auto"/>
                <w:kern w:val="0"/>
                <w:sz w:val="21"/>
                <w:szCs w:val="21"/>
                <w:highlight w:val="none"/>
                <w:lang w:val="en-US" w:eastAsia="zh-CN"/>
              </w:rPr>
              <w:t>县级及以上饮用水水源地</w:t>
            </w:r>
            <w:r>
              <w:rPr>
                <w:rFonts w:hint="eastAsia" w:ascii="宋体" w:hAnsi="宋体" w:cs="宋体"/>
                <w:strike w:val="0"/>
                <w:dstrike w:val="0"/>
                <w:color w:val="auto"/>
                <w:kern w:val="0"/>
                <w:sz w:val="21"/>
                <w:szCs w:val="21"/>
                <w:highlight w:val="none"/>
                <w:lang w:val="en-US" w:eastAsia="zh-CN"/>
              </w:rPr>
              <w:t>（包括在用、备用和应急）</w:t>
            </w:r>
            <w:r>
              <w:rPr>
                <w:rFonts w:hint="default" w:ascii="宋体" w:hAnsi="宋体" w:cs="宋体"/>
                <w:strike w:val="0"/>
                <w:dstrike w:val="0"/>
                <w:color w:val="auto"/>
                <w:kern w:val="0"/>
                <w:sz w:val="21"/>
                <w:szCs w:val="21"/>
                <w:highlight w:val="none"/>
                <w:lang w:val="en-US" w:eastAsia="zh-CN"/>
              </w:rPr>
              <w:t>历年的水质数据进行梳理和分析</w:t>
            </w:r>
            <w:r>
              <w:rPr>
                <w:rFonts w:hint="default" w:ascii="宋体" w:hAnsi="宋体" w:cs="宋体"/>
                <w:strike w:val="0"/>
                <w:dstrike w:val="0"/>
                <w:color w:val="auto"/>
                <w:kern w:val="0"/>
                <w:sz w:val="21"/>
                <w:szCs w:val="21"/>
                <w:highlight w:val="none"/>
                <w:lang w:eastAsia="zh-CN"/>
              </w:rPr>
              <w:t>，</w:t>
            </w:r>
            <w:r>
              <w:rPr>
                <w:rFonts w:hint="default" w:ascii="宋体" w:hAnsi="宋体" w:cs="宋体"/>
                <w:strike w:val="0"/>
                <w:dstrike w:val="0"/>
                <w:color w:val="auto"/>
                <w:kern w:val="0"/>
                <w:sz w:val="21"/>
                <w:szCs w:val="21"/>
                <w:highlight w:val="none"/>
                <w:lang w:val="en-US" w:eastAsia="zh-CN"/>
              </w:rPr>
              <w:t>开展饮用水水源地水质水文样品</w:t>
            </w:r>
            <w:r>
              <w:rPr>
                <w:rFonts w:hint="eastAsia" w:ascii="宋体" w:hAnsi="宋体" w:cs="宋体"/>
                <w:strike w:val="0"/>
                <w:dstrike w:val="0"/>
                <w:color w:val="auto"/>
                <w:kern w:val="0"/>
                <w:sz w:val="21"/>
                <w:szCs w:val="21"/>
                <w:highlight w:val="none"/>
                <w:lang w:val="en-US" w:eastAsia="zh-CN"/>
              </w:rPr>
              <w:t>监测，每季度开展一次，</w:t>
            </w:r>
            <w:r>
              <w:rPr>
                <w:rFonts w:hint="default" w:ascii="宋体" w:hAnsi="宋体" w:cs="宋体"/>
                <w:strike w:val="0"/>
                <w:dstrike w:val="0"/>
                <w:color w:val="auto"/>
                <w:kern w:val="0"/>
                <w:sz w:val="21"/>
                <w:szCs w:val="21"/>
                <w:highlight w:val="none"/>
                <w:lang w:val="en-US" w:eastAsia="zh-CN"/>
              </w:rPr>
              <w:t>指标包含pH、色度、溶解氧、COD、氨氮、总磷、总氮、铊</w:t>
            </w:r>
            <w:r>
              <w:rPr>
                <w:rFonts w:hint="eastAsia" w:ascii="宋体" w:hAnsi="宋体" w:cs="宋体"/>
                <w:strike w:val="0"/>
                <w:dstrike w:val="0"/>
                <w:color w:val="auto"/>
                <w:kern w:val="0"/>
                <w:sz w:val="21"/>
                <w:szCs w:val="21"/>
                <w:highlight w:val="none"/>
                <w:lang w:eastAsia="zh-CN"/>
              </w:rPr>
              <w:t>；</w:t>
            </w:r>
            <w:r>
              <w:rPr>
                <w:rFonts w:hint="eastAsia" w:ascii="宋体" w:hAnsi="宋体" w:cs="宋体"/>
                <w:strike w:val="0"/>
                <w:dstrike w:val="0"/>
                <w:color w:val="auto"/>
                <w:kern w:val="0"/>
                <w:sz w:val="21"/>
                <w:szCs w:val="21"/>
                <w:highlight w:val="none"/>
                <w:lang w:val="en-US" w:eastAsia="zh-CN"/>
              </w:rPr>
              <w:t>开展9个湖库型底泥沉积物监测，每季度开展一次，分析铊的浸出量；开展水源地周边污染源监测。</w:t>
            </w:r>
            <w:r>
              <w:rPr>
                <w:rFonts w:hint="default" w:ascii="宋体" w:hAnsi="宋体" w:cs="宋体"/>
                <w:strike w:val="0"/>
                <w:dstrike w:val="0"/>
                <w:color w:val="auto"/>
                <w:kern w:val="0"/>
                <w:sz w:val="21"/>
                <w:szCs w:val="21"/>
                <w:highlight w:val="none"/>
                <w:lang w:eastAsia="zh-CN"/>
              </w:rPr>
              <w:t>选取水质铊浓度较高的水源地进行溯源，</w:t>
            </w:r>
            <w:r>
              <w:rPr>
                <w:rFonts w:hint="eastAsia" w:ascii="宋体" w:hAnsi="宋体" w:cs="宋体"/>
                <w:strike w:val="0"/>
                <w:dstrike w:val="0"/>
                <w:color w:val="auto"/>
                <w:kern w:val="0"/>
                <w:sz w:val="21"/>
                <w:szCs w:val="21"/>
                <w:highlight w:val="none"/>
                <w:lang w:val="en-US" w:eastAsia="zh-CN"/>
              </w:rPr>
              <w:t>分析</w:t>
            </w:r>
            <w:r>
              <w:rPr>
                <w:rFonts w:hint="default" w:ascii="宋体" w:hAnsi="宋体" w:cs="宋体"/>
                <w:strike w:val="0"/>
                <w:dstrike w:val="0"/>
                <w:color w:val="auto"/>
                <w:kern w:val="0"/>
                <w:sz w:val="21"/>
                <w:szCs w:val="21"/>
                <w:highlight w:val="none"/>
                <w:lang w:val="en-US" w:eastAsia="zh-CN"/>
              </w:rPr>
              <w:t>评估南流江流域县级及以上集中式饮用水水源地</w:t>
            </w:r>
            <w:r>
              <w:rPr>
                <w:rFonts w:hint="default" w:ascii="宋体" w:hAnsi="宋体" w:cs="宋体"/>
                <w:strike w:val="0"/>
                <w:dstrike w:val="0"/>
                <w:color w:val="auto"/>
                <w:kern w:val="0"/>
                <w:sz w:val="21"/>
                <w:szCs w:val="21"/>
                <w:highlight w:val="none"/>
                <w:lang w:eastAsia="zh-CN"/>
              </w:rPr>
              <w:t>铊污染物的来源、迁移路径以及污染特征</w:t>
            </w:r>
            <w:r>
              <w:rPr>
                <w:rFonts w:hint="eastAsia" w:ascii="宋体" w:hAnsi="宋体" w:cs="宋体"/>
                <w:strike w:val="0"/>
                <w:dstrike w:val="0"/>
                <w:color w:val="auto"/>
                <w:kern w:val="0"/>
                <w:sz w:val="21"/>
                <w:szCs w:val="21"/>
                <w:highlight w:val="none"/>
                <w:lang w:eastAsia="zh-CN"/>
              </w:rPr>
              <w:t>，</w:t>
            </w:r>
            <w:r>
              <w:rPr>
                <w:rFonts w:hint="default" w:ascii="宋体" w:hAnsi="宋体" w:cs="宋体"/>
                <w:strike w:val="0"/>
                <w:dstrike w:val="0"/>
                <w:color w:val="auto"/>
                <w:kern w:val="0"/>
                <w:sz w:val="21"/>
                <w:szCs w:val="21"/>
                <w:highlight w:val="none"/>
                <w:lang w:eastAsia="zh-CN"/>
              </w:rPr>
              <w:t>提出铊污染治理的对策建议，</w:t>
            </w:r>
            <w:r>
              <w:rPr>
                <w:rFonts w:hint="default" w:ascii="宋体" w:hAnsi="宋体" w:cs="宋体"/>
                <w:strike w:val="0"/>
                <w:dstrike w:val="0"/>
                <w:color w:val="auto"/>
                <w:kern w:val="0"/>
                <w:sz w:val="21"/>
                <w:szCs w:val="21"/>
                <w:highlight w:val="none"/>
                <w:lang w:val="en-US" w:eastAsia="zh-CN"/>
              </w:rPr>
              <w:t>对不同污染源制定针对性防控措施。</w:t>
            </w:r>
          </w:p>
          <w:p w14:paraId="6BF2301A">
            <w:pPr>
              <w:keepNext w:val="0"/>
              <w:keepLines w:val="0"/>
              <w:pageBreakBefore w:val="0"/>
              <w:kinsoku/>
              <w:wordWrap w:val="0"/>
              <w:overflowPunct/>
              <w:topLinePunct w:val="0"/>
              <w:autoSpaceDE/>
              <w:autoSpaceDN/>
              <w:bidi w:val="0"/>
              <w:adjustRightInd w:val="0"/>
              <w:snapToGrid w:val="0"/>
              <w:spacing w:line="400" w:lineRule="exact"/>
              <w:jc w:val="left"/>
              <w:textAlignment w:val="auto"/>
              <w:rPr>
                <w:rFonts w:hint="default" w:ascii="宋体" w:hAnsi="宋体" w:cs="宋体"/>
                <w:strike w:val="0"/>
                <w:dstrike w:val="0"/>
                <w:color w:val="auto"/>
                <w:kern w:val="0"/>
                <w:sz w:val="21"/>
                <w:szCs w:val="21"/>
                <w:highlight w:val="none"/>
                <w:lang w:val="en-US" w:eastAsia="zh-CN"/>
              </w:rPr>
            </w:pPr>
            <w:r>
              <w:rPr>
                <w:rFonts w:hint="default" w:ascii="宋体" w:hAnsi="宋体" w:cs="宋体"/>
                <w:strike w:val="0"/>
                <w:dstrike w:val="0"/>
                <w:color w:val="auto"/>
                <w:kern w:val="0"/>
                <w:sz w:val="21"/>
                <w:szCs w:val="21"/>
                <w:highlight w:val="none"/>
                <w:lang w:eastAsia="zh-CN"/>
              </w:rPr>
              <w:t>2.1.</w:t>
            </w:r>
            <w:r>
              <w:rPr>
                <w:rFonts w:hint="default" w:ascii="宋体" w:hAnsi="宋体" w:cs="宋体"/>
                <w:strike w:val="0"/>
                <w:dstrike w:val="0"/>
                <w:color w:val="auto"/>
                <w:kern w:val="0"/>
                <w:sz w:val="21"/>
                <w:szCs w:val="21"/>
                <w:highlight w:val="none"/>
                <w:lang w:val="en-US" w:eastAsia="zh-CN"/>
              </w:rPr>
              <w:t>4开展供水设施重金属污染防控与应急能力调查</w:t>
            </w:r>
          </w:p>
          <w:p w14:paraId="0F50D3FF">
            <w:pPr>
              <w:keepNext w:val="0"/>
              <w:keepLines w:val="0"/>
              <w:pageBreakBefore w:val="0"/>
              <w:kinsoku/>
              <w:wordWrap w:val="0"/>
              <w:overflowPunct/>
              <w:topLinePunct w:val="0"/>
              <w:autoSpaceDE/>
              <w:autoSpaceDN/>
              <w:bidi w:val="0"/>
              <w:adjustRightInd w:val="0"/>
              <w:snapToGrid w:val="0"/>
              <w:spacing w:line="400" w:lineRule="exact"/>
              <w:jc w:val="left"/>
              <w:textAlignment w:val="auto"/>
              <w:rPr>
                <w:rFonts w:hint="default" w:ascii="宋体" w:hAnsi="宋体" w:cs="宋体"/>
                <w:strike w:val="0"/>
                <w:dstrike w:val="0"/>
                <w:color w:val="auto"/>
                <w:kern w:val="0"/>
                <w:sz w:val="21"/>
                <w:szCs w:val="21"/>
                <w:highlight w:val="none"/>
                <w:lang w:val="en-US" w:eastAsia="zh-CN"/>
              </w:rPr>
            </w:pPr>
            <w:r>
              <w:rPr>
                <w:rFonts w:hint="default" w:ascii="宋体" w:hAnsi="宋体" w:cs="宋体"/>
                <w:strike w:val="0"/>
                <w:dstrike w:val="0"/>
                <w:color w:val="auto"/>
                <w:kern w:val="0"/>
                <w:sz w:val="21"/>
                <w:szCs w:val="21"/>
                <w:highlight w:val="none"/>
                <w:lang w:val="en-US" w:eastAsia="zh-CN"/>
              </w:rPr>
              <w:t>分析广西典型饮用水水源水质历史监测数据，查找重金属污染特征规律，</w:t>
            </w:r>
            <w:r>
              <w:rPr>
                <w:rFonts w:hint="eastAsia" w:ascii="宋体" w:hAnsi="宋体" w:cs="宋体"/>
                <w:strike w:val="0"/>
                <w:dstrike w:val="0"/>
                <w:color w:val="auto"/>
                <w:kern w:val="0"/>
                <w:sz w:val="21"/>
                <w:szCs w:val="21"/>
                <w:highlight w:val="none"/>
                <w:lang w:val="en-US" w:eastAsia="zh-CN"/>
              </w:rPr>
              <w:t>选取14个供水厂（</w:t>
            </w:r>
            <w:r>
              <w:rPr>
                <w:rFonts w:hint="default" w:ascii="宋体" w:hAnsi="宋体" w:cs="宋体"/>
                <w:strike w:val="0"/>
                <w:dstrike w:val="0"/>
                <w:color w:val="auto"/>
                <w:kern w:val="0"/>
                <w:sz w:val="21"/>
                <w:szCs w:val="21"/>
                <w:highlight w:val="none"/>
                <w:lang w:val="en-US" w:eastAsia="zh-CN"/>
              </w:rPr>
              <w:t>每个市1个</w:t>
            </w:r>
            <w:r>
              <w:rPr>
                <w:rFonts w:hint="eastAsia" w:ascii="宋体" w:hAnsi="宋体" w:cs="宋体"/>
                <w:strike w:val="0"/>
                <w:dstrike w:val="0"/>
                <w:color w:val="auto"/>
                <w:kern w:val="0"/>
                <w:sz w:val="21"/>
                <w:szCs w:val="21"/>
                <w:highlight w:val="none"/>
                <w:lang w:val="en-US" w:eastAsia="zh-CN"/>
              </w:rPr>
              <w:t>）</w:t>
            </w:r>
            <w:r>
              <w:rPr>
                <w:rFonts w:hint="default" w:ascii="宋体" w:hAnsi="宋体" w:cs="宋体"/>
                <w:strike w:val="0"/>
                <w:dstrike w:val="0"/>
                <w:color w:val="auto"/>
                <w:kern w:val="0"/>
                <w:sz w:val="21"/>
                <w:szCs w:val="21"/>
                <w:highlight w:val="none"/>
                <w:lang w:val="en-US" w:eastAsia="zh-CN"/>
              </w:rPr>
              <w:t>开展典型饮用水源供水厂原水处理工艺和应急处理措施的现状调查，</w:t>
            </w:r>
            <w:r>
              <w:rPr>
                <w:rFonts w:hint="default" w:ascii="宋体" w:hAnsi="宋体" w:cs="宋体"/>
                <w:strike w:val="0"/>
                <w:dstrike w:val="0"/>
                <w:color w:val="auto"/>
                <w:kern w:val="0"/>
                <w:sz w:val="21"/>
                <w:szCs w:val="21"/>
                <w:highlight w:val="none"/>
                <w:lang w:eastAsia="zh-CN"/>
              </w:rPr>
              <w:t>借鉴广西和全国重金属污染应急治理的案例，梳理应急治理典型技术和措施，针对性提出风险防控的建议和系统性解决方案，有效提高全区饮用水水源管理水平，保障人民群众饮水安全。</w:t>
            </w:r>
          </w:p>
          <w:p w14:paraId="2639376B">
            <w:pPr>
              <w:keepNext w:val="0"/>
              <w:keepLines w:val="0"/>
              <w:pageBreakBefore w:val="0"/>
              <w:kinsoku/>
              <w:wordWrap w:val="0"/>
              <w:overflowPunct/>
              <w:topLinePunct w:val="0"/>
              <w:autoSpaceDE/>
              <w:autoSpaceDN/>
              <w:bidi w:val="0"/>
              <w:adjustRightInd w:val="0"/>
              <w:snapToGrid w:val="0"/>
              <w:spacing w:line="400" w:lineRule="exact"/>
              <w:jc w:val="left"/>
              <w:textAlignment w:val="auto"/>
              <w:rPr>
                <w:rFonts w:hint="default" w:ascii="宋体" w:hAnsi="宋体" w:cs="宋体"/>
                <w:strike w:val="0"/>
                <w:dstrike w:val="0"/>
                <w:color w:val="auto"/>
                <w:kern w:val="0"/>
                <w:sz w:val="21"/>
                <w:szCs w:val="21"/>
                <w:highlight w:val="none"/>
                <w:lang w:val="en-US" w:eastAsia="zh-CN"/>
              </w:rPr>
            </w:pPr>
            <w:r>
              <w:rPr>
                <w:rFonts w:hint="default" w:ascii="宋体" w:hAnsi="宋体" w:cs="宋体"/>
                <w:strike w:val="0"/>
                <w:dstrike w:val="0"/>
                <w:color w:val="auto"/>
                <w:kern w:val="0"/>
                <w:sz w:val="21"/>
                <w:szCs w:val="21"/>
                <w:highlight w:val="none"/>
                <w:lang w:val="en-US" w:eastAsia="zh-CN"/>
              </w:rPr>
              <w:t>2.1.5成果汇编</w:t>
            </w:r>
          </w:p>
          <w:p w14:paraId="4ECA2D5A">
            <w:pPr>
              <w:keepNext w:val="0"/>
              <w:keepLines w:val="0"/>
              <w:pageBreakBefore w:val="0"/>
              <w:kinsoku/>
              <w:wordWrap w:val="0"/>
              <w:overflowPunct/>
              <w:topLinePunct w:val="0"/>
              <w:autoSpaceDE/>
              <w:autoSpaceDN/>
              <w:bidi w:val="0"/>
              <w:adjustRightInd w:val="0"/>
              <w:snapToGrid w:val="0"/>
              <w:spacing w:line="400" w:lineRule="exact"/>
              <w:jc w:val="left"/>
              <w:textAlignment w:val="auto"/>
              <w:rPr>
                <w:rFonts w:hint="default" w:ascii="宋体" w:hAnsi="宋体" w:cs="宋体"/>
                <w:strike w:val="0"/>
                <w:dstrike w:val="0"/>
                <w:color w:val="auto"/>
                <w:kern w:val="0"/>
                <w:sz w:val="21"/>
                <w:szCs w:val="21"/>
                <w:highlight w:val="none"/>
                <w:lang w:val="en-US" w:eastAsia="zh-CN"/>
              </w:rPr>
            </w:pPr>
            <w:r>
              <w:rPr>
                <w:rFonts w:hint="default" w:ascii="宋体" w:hAnsi="宋体" w:cs="宋体"/>
                <w:strike w:val="0"/>
                <w:dstrike w:val="0"/>
                <w:color w:val="auto"/>
                <w:kern w:val="0"/>
                <w:sz w:val="21"/>
                <w:szCs w:val="21"/>
                <w:highlight w:val="none"/>
                <w:lang w:val="en-US" w:eastAsia="zh-CN"/>
              </w:rPr>
              <w:t>（1）完成全区“千吨万人”饮用水水源全指标监测分析，编制监测报告，编制全区“千吨万人”风险水源清单；抽查复核水源地环境风险隐患问题，编制《广西“千吨万人”饮用水水源涉重金属环境风险隐患问题抽样调查技术报告》。</w:t>
            </w:r>
          </w:p>
          <w:p w14:paraId="6A30C2D5">
            <w:pPr>
              <w:keepNext w:val="0"/>
              <w:keepLines w:val="0"/>
              <w:pageBreakBefore w:val="0"/>
              <w:kinsoku/>
              <w:wordWrap w:val="0"/>
              <w:overflowPunct/>
              <w:topLinePunct w:val="0"/>
              <w:autoSpaceDE/>
              <w:autoSpaceDN/>
              <w:bidi w:val="0"/>
              <w:adjustRightInd w:val="0"/>
              <w:snapToGrid w:val="0"/>
              <w:spacing w:line="400" w:lineRule="exact"/>
              <w:jc w:val="left"/>
              <w:textAlignment w:val="auto"/>
              <w:rPr>
                <w:rFonts w:hint="default" w:ascii="宋体" w:hAnsi="宋体" w:cs="宋体"/>
                <w:strike w:val="0"/>
                <w:dstrike w:val="0"/>
                <w:color w:val="auto"/>
                <w:kern w:val="0"/>
                <w:sz w:val="21"/>
                <w:szCs w:val="21"/>
                <w:highlight w:val="none"/>
                <w:lang w:val="en-US" w:eastAsia="zh-CN"/>
              </w:rPr>
            </w:pPr>
            <w:r>
              <w:rPr>
                <w:rFonts w:hint="default" w:ascii="宋体" w:hAnsi="宋体" w:cs="宋体"/>
                <w:strike w:val="0"/>
                <w:dstrike w:val="0"/>
                <w:color w:val="auto"/>
                <w:kern w:val="0"/>
                <w:sz w:val="21"/>
                <w:szCs w:val="21"/>
                <w:highlight w:val="none"/>
                <w:lang w:val="en-US" w:eastAsia="zh-CN"/>
              </w:rPr>
              <w:t>（2）完成南流江流域县级及以上饮用水水源重金属监测分析，完成重金属污染精准溯源，制作污染指纹图谱库，编制《南流江试点水源地重金属污染精准溯源研究报告》。</w:t>
            </w:r>
          </w:p>
          <w:p w14:paraId="486888E4">
            <w:pPr>
              <w:keepNext w:val="0"/>
              <w:keepLines w:val="0"/>
              <w:pageBreakBefore w:val="0"/>
              <w:kinsoku/>
              <w:wordWrap w:val="0"/>
              <w:overflowPunct/>
              <w:topLinePunct w:val="0"/>
              <w:autoSpaceDE/>
              <w:autoSpaceDN/>
              <w:bidi w:val="0"/>
              <w:adjustRightInd w:val="0"/>
              <w:snapToGrid w:val="0"/>
              <w:spacing w:line="400" w:lineRule="exact"/>
              <w:jc w:val="left"/>
              <w:textAlignment w:val="auto"/>
              <w:rPr>
                <w:rFonts w:hint="default" w:ascii="宋体" w:hAnsi="宋体" w:cs="宋体"/>
                <w:strike w:val="0"/>
                <w:dstrike w:val="0"/>
                <w:color w:val="auto"/>
                <w:kern w:val="0"/>
                <w:sz w:val="21"/>
                <w:szCs w:val="21"/>
                <w:highlight w:val="none"/>
                <w:lang w:val="en-US" w:eastAsia="zh-CN"/>
              </w:rPr>
            </w:pPr>
            <w:r>
              <w:rPr>
                <w:rFonts w:hint="default" w:ascii="宋体" w:hAnsi="宋体" w:cs="宋体"/>
                <w:strike w:val="0"/>
                <w:dstrike w:val="0"/>
                <w:color w:val="auto"/>
                <w:kern w:val="0"/>
                <w:sz w:val="21"/>
                <w:szCs w:val="21"/>
                <w:highlight w:val="none"/>
                <w:lang w:val="en-US" w:eastAsia="zh-CN"/>
              </w:rPr>
              <w:t>（3）编制《广西供水设施重金属污染防控与应急能力调查研究报告》，</w:t>
            </w:r>
            <w:r>
              <w:rPr>
                <w:rFonts w:hint="eastAsia" w:ascii="宋体" w:hAnsi="宋体" w:cs="宋体"/>
                <w:strike w:val="0"/>
                <w:dstrike w:val="0"/>
                <w:color w:val="auto"/>
                <w:kern w:val="0"/>
                <w:sz w:val="21"/>
                <w:szCs w:val="21"/>
                <w:highlight w:val="none"/>
                <w:lang w:val="en-US" w:eastAsia="zh-CN"/>
              </w:rPr>
              <w:t>针对14个供水厂</w:t>
            </w:r>
            <w:r>
              <w:rPr>
                <w:rFonts w:hint="default" w:ascii="宋体" w:hAnsi="宋体" w:cs="宋体"/>
                <w:strike w:val="0"/>
                <w:dstrike w:val="0"/>
                <w:color w:val="auto"/>
                <w:kern w:val="0"/>
                <w:sz w:val="21"/>
                <w:szCs w:val="21"/>
                <w:highlight w:val="none"/>
                <w:lang w:val="en-US" w:eastAsia="zh-CN"/>
              </w:rPr>
              <w:t>制定“一厂一策”重金属污染防治方案，包括供水厂原水重金属污染处理工艺改造、应急能力提升措施等。</w:t>
            </w:r>
          </w:p>
          <w:p w14:paraId="760B2A60">
            <w:pPr>
              <w:keepNext w:val="0"/>
              <w:keepLines w:val="0"/>
              <w:pageBreakBefore w:val="0"/>
              <w:kinsoku/>
              <w:wordWrap w:val="0"/>
              <w:overflowPunct/>
              <w:topLinePunct w:val="0"/>
              <w:autoSpaceDE/>
              <w:autoSpaceDN/>
              <w:bidi w:val="0"/>
              <w:adjustRightInd w:val="0"/>
              <w:snapToGrid w:val="0"/>
              <w:spacing w:line="400" w:lineRule="exact"/>
              <w:jc w:val="left"/>
              <w:textAlignment w:val="auto"/>
              <w:rPr>
                <w:rFonts w:hint="default" w:ascii="宋体" w:hAnsi="宋体" w:cs="宋体"/>
                <w:strike w:val="0"/>
                <w:dstrike w:val="0"/>
                <w:color w:val="auto"/>
                <w:kern w:val="0"/>
                <w:sz w:val="21"/>
                <w:szCs w:val="21"/>
                <w:highlight w:val="none"/>
                <w:lang w:eastAsia="zh-CN"/>
              </w:rPr>
            </w:pPr>
            <w:r>
              <w:rPr>
                <w:rFonts w:hint="default" w:ascii="宋体" w:hAnsi="宋体" w:cs="宋体"/>
                <w:strike w:val="0"/>
                <w:dstrike w:val="0"/>
                <w:color w:val="auto"/>
                <w:kern w:val="0"/>
                <w:sz w:val="21"/>
                <w:szCs w:val="21"/>
                <w:highlight w:val="none"/>
                <w:lang w:eastAsia="zh-CN"/>
              </w:rPr>
              <w:t>2.2工作质量控制要求</w:t>
            </w:r>
          </w:p>
          <w:p w14:paraId="4111CDAC">
            <w:pPr>
              <w:keepNext w:val="0"/>
              <w:keepLines w:val="0"/>
              <w:pageBreakBefore w:val="0"/>
              <w:kinsoku/>
              <w:wordWrap w:val="0"/>
              <w:overflowPunct/>
              <w:topLinePunct w:val="0"/>
              <w:autoSpaceDE/>
              <w:autoSpaceDN/>
              <w:bidi w:val="0"/>
              <w:adjustRightInd w:val="0"/>
              <w:snapToGrid w:val="0"/>
              <w:spacing w:line="400" w:lineRule="exact"/>
              <w:jc w:val="left"/>
              <w:textAlignment w:val="auto"/>
              <w:rPr>
                <w:rFonts w:hint="default" w:ascii="宋体" w:hAnsi="宋体" w:cs="宋体"/>
                <w:strike w:val="0"/>
                <w:dstrike w:val="0"/>
                <w:color w:val="auto"/>
                <w:kern w:val="0"/>
                <w:sz w:val="21"/>
                <w:szCs w:val="21"/>
                <w:highlight w:val="none"/>
                <w:lang w:eastAsia="zh-CN"/>
              </w:rPr>
            </w:pPr>
            <w:r>
              <w:rPr>
                <w:rFonts w:hint="eastAsia" w:ascii="宋体" w:hAnsi="宋体" w:cs="宋体"/>
                <w:strike w:val="0"/>
                <w:dstrike w:val="0"/>
                <w:color w:val="auto"/>
                <w:kern w:val="0"/>
                <w:sz w:val="21"/>
                <w:szCs w:val="21"/>
                <w:highlight w:val="none"/>
                <w:lang w:val="en-US" w:eastAsia="zh-CN"/>
              </w:rPr>
              <w:t>投标人须</w:t>
            </w:r>
            <w:r>
              <w:rPr>
                <w:rFonts w:hint="default" w:ascii="宋体" w:hAnsi="宋体" w:cs="宋体"/>
                <w:strike w:val="0"/>
                <w:dstrike w:val="0"/>
                <w:color w:val="auto"/>
                <w:kern w:val="0"/>
                <w:sz w:val="21"/>
                <w:szCs w:val="21"/>
                <w:highlight w:val="none"/>
                <w:lang w:eastAsia="zh-CN"/>
              </w:rPr>
              <w:t xml:space="preserve">严格根据《饮用水水源保护区划分技术规范》（HJ 338-2018）、《集中式地表水饮用水水源地风险源遥感调查技术规范（HJ 1236—2021）》、《地表水环境质量监测技术规范》（HJ/T </w:t>
            </w:r>
            <w:r>
              <w:rPr>
                <w:rFonts w:hint="default" w:ascii="宋体" w:hAnsi="宋体" w:cs="宋体"/>
                <w:strike w:val="0"/>
                <w:dstrike w:val="0"/>
                <w:color w:val="auto"/>
                <w:kern w:val="0"/>
                <w:sz w:val="21"/>
                <w:szCs w:val="21"/>
                <w:highlight w:val="none"/>
                <w:lang w:val="en-US" w:eastAsia="zh-CN"/>
              </w:rPr>
              <w:t>91.2</w:t>
            </w:r>
            <w:r>
              <w:rPr>
                <w:rFonts w:hint="default" w:ascii="宋体" w:hAnsi="宋体" w:cs="宋体"/>
                <w:strike w:val="0"/>
                <w:dstrike w:val="0"/>
                <w:color w:val="auto"/>
                <w:kern w:val="0"/>
                <w:sz w:val="21"/>
                <w:szCs w:val="21"/>
                <w:highlight w:val="none"/>
                <w:lang w:eastAsia="zh-CN"/>
              </w:rPr>
              <w:t>-202</w:t>
            </w:r>
            <w:r>
              <w:rPr>
                <w:rFonts w:hint="default" w:ascii="宋体" w:hAnsi="宋体" w:cs="宋体"/>
                <w:strike w:val="0"/>
                <w:dstrike w:val="0"/>
                <w:color w:val="auto"/>
                <w:kern w:val="0"/>
                <w:sz w:val="21"/>
                <w:szCs w:val="21"/>
                <w:highlight w:val="none"/>
                <w:lang w:val="en-US" w:eastAsia="zh-CN"/>
              </w:rPr>
              <w:t>2</w:t>
            </w:r>
            <w:r>
              <w:rPr>
                <w:rFonts w:hint="default" w:ascii="宋体" w:hAnsi="宋体" w:cs="宋体"/>
                <w:strike w:val="0"/>
                <w:dstrike w:val="0"/>
                <w:color w:val="auto"/>
                <w:kern w:val="0"/>
                <w:sz w:val="21"/>
                <w:szCs w:val="21"/>
                <w:highlight w:val="none"/>
                <w:lang w:eastAsia="zh-CN"/>
              </w:rPr>
              <w:t>）、地表水环境质量监测技术规范(HJ 91.2—2022部分代替 HJ/T 91—2002)、《土壤环境监测技术规范》（HJ/T 166-2004）等国家和自治区有关质量控制技术文件的有关要求开展质量控制工作，</w:t>
            </w:r>
            <w:r>
              <w:rPr>
                <w:rFonts w:hint="eastAsia" w:ascii="宋体" w:hAnsi="宋体" w:cs="宋体"/>
                <w:strike w:val="0"/>
                <w:dstrike w:val="0"/>
                <w:color w:val="auto"/>
                <w:kern w:val="0"/>
                <w:sz w:val="21"/>
                <w:szCs w:val="21"/>
                <w:highlight w:val="none"/>
                <w:lang w:val="en-US" w:eastAsia="zh-CN"/>
              </w:rPr>
              <w:t>所</w:t>
            </w:r>
            <w:r>
              <w:rPr>
                <w:rFonts w:hint="default" w:ascii="宋体" w:hAnsi="宋体" w:cs="宋体"/>
                <w:strike w:val="0"/>
                <w:dstrike w:val="0"/>
                <w:color w:val="auto"/>
                <w:kern w:val="0"/>
                <w:sz w:val="21"/>
                <w:szCs w:val="21"/>
                <w:highlight w:val="none"/>
                <w:lang w:eastAsia="zh-CN"/>
              </w:rPr>
              <w:t>提交成果</w:t>
            </w:r>
            <w:r>
              <w:rPr>
                <w:rFonts w:hint="eastAsia" w:ascii="宋体" w:hAnsi="宋体" w:cs="宋体"/>
                <w:strike w:val="0"/>
                <w:dstrike w:val="0"/>
                <w:color w:val="auto"/>
                <w:kern w:val="0"/>
                <w:sz w:val="21"/>
                <w:szCs w:val="21"/>
                <w:highlight w:val="none"/>
                <w:lang w:val="en-US" w:eastAsia="zh-CN"/>
              </w:rPr>
              <w:t>须</w:t>
            </w:r>
            <w:r>
              <w:rPr>
                <w:rFonts w:hint="default" w:ascii="宋体" w:hAnsi="宋体" w:cs="宋体"/>
                <w:strike w:val="0"/>
                <w:dstrike w:val="0"/>
                <w:color w:val="auto"/>
                <w:kern w:val="0"/>
                <w:sz w:val="21"/>
                <w:szCs w:val="21"/>
                <w:highlight w:val="none"/>
                <w:lang w:val="en-US" w:eastAsia="zh-CN"/>
              </w:rPr>
              <w:t>满足国家、自治区相关工作要求，并</w:t>
            </w:r>
            <w:r>
              <w:rPr>
                <w:rFonts w:hint="default" w:ascii="宋体" w:hAnsi="宋体" w:cs="宋体"/>
                <w:strike w:val="0"/>
                <w:dstrike w:val="0"/>
                <w:color w:val="auto"/>
                <w:kern w:val="0"/>
                <w:sz w:val="21"/>
                <w:szCs w:val="21"/>
                <w:highlight w:val="none"/>
                <w:lang w:eastAsia="zh-CN"/>
              </w:rPr>
              <w:t>经采购人验收备案。</w:t>
            </w:r>
          </w:p>
          <w:p w14:paraId="31AC5F3F">
            <w:pPr>
              <w:keepNext w:val="0"/>
              <w:keepLines w:val="0"/>
              <w:pageBreakBefore w:val="0"/>
              <w:kinsoku/>
              <w:wordWrap w:val="0"/>
              <w:overflowPunct/>
              <w:topLinePunct w:val="0"/>
              <w:autoSpaceDE/>
              <w:autoSpaceDN/>
              <w:bidi w:val="0"/>
              <w:adjustRightInd w:val="0"/>
              <w:snapToGrid w:val="0"/>
              <w:spacing w:line="400" w:lineRule="exact"/>
              <w:jc w:val="left"/>
              <w:textAlignment w:val="auto"/>
              <w:rPr>
                <w:rFonts w:hint="default" w:ascii="宋体" w:hAnsi="宋体" w:cs="宋体"/>
                <w:strike w:val="0"/>
                <w:dstrike w:val="0"/>
                <w:color w:val="auto"/>
                <w:kern w:val="0"/>
                <w:sz w:val="21"/>
                <w:szCs w:val="21"/>
                <w:highlight w:val="none"/>
                <w:lang w:eastAsia="zh-CN"/>
              </w:rPr>
            </w:pPr>
            <w:r>
              <w:rPr>
                <w:rFonts w:hint="default" w:ascii="宋体" w:hAnsi="宋体" w:cs="宋体"/>
                <w:strike w:val="0"/>
                <w:dstrike w:val="0"/>
                <w:color w:val="auto"/>
                <w:kern w:val="0"/>
                <w:sz w:val="21"/>
                <w:szCs w:val="21"/>
                <w:highlight w:val="none"/>
                <w:lang w:eastAsia="zh-CN"/>
              </w:rPr>
              <w:t>2.3数据资料归属及保密要求</w:t>
            </w:r>
          </w:p>
          <w:p w14:paraId="4BA8F888">
            <w:pPr>
              <w:keepNext w:val="0"/>
              <w:keepLines w:val="0"/>
              <w:pageBreakBefore w:val="0"/>
              <w:kinsoku/>
              <w:wordWrap w:val="0"/>
              <w:overflowPunct/>
              <w:topLinePunct w:val="0"/>
              <w:autoSpaceDE/>
              <w:autoSpaceDN/>
              <w:bidi w:val="0"/>
              <w:adjustRightInd w:val="0"/>
              <w:snapToGrid w:val="0"/>
              <w:spacing w:line="400" w:lineRule="exact"/>
              <w:jc w:val="left"/>
              <w:textAlignment w:val="auto"/>
              <w:rPr>
                <w:rFonts w:hint="default" w:ascii="宋体" w:hAnsi="宋体" w:cs="宋体"/>
                <w:strike w:val="0"/>
                <w:dstrike w:val="0"/>
                <w:color w:val="auto"/>
                <w:kern w:val="0"/>
                <w:sz w:val="21"/>
                <w:szCs w:val="21"/>
                <w:highlight w:val="none"/>
                <w:lang w:eastAsia="zh-CN"/>
              </w:rPr>
            </w:pPr>
            <w:r>
              <w:rPr>
                <w:rFonts w:hint="default" w:ascii="宋体" w:hAnsi="宋体" w:cs="宋体"/>
                <w:strike w:val="0"/>
                <w:dstrike w:val="0"/>
                <w:color w:val="auto"/>
                <w:kern w:val="0"/>
                <w:sz w:val="21"/>
                <w:szCs w:val="21"/>
                <w:highlight w:val="none"/>
                <w:lang w:eastAsia="zh-CN"/>
              </w:rPr>
              <w:t>本项目所形成的数据和报告归采购人所有。未经采购人授权，不得将数据和报告发送给任何第三方</w:t>
            </w:r>
            <w:r>
              <w:rPr>
                <w:rFonts w:hint="eastAsia" w:ascii="宋体" w:hAnsi="宋体" w:cs="宋体"/>
                <w:strike w:val="0"/>
                <w:dstrike w:val="0"/>
                <w:color w:val="auto"/>
                <w:kern w:val="0"/>
                <w:sz w:val="21"/>
                <w:szCs w:val="21"/>
                <w:highlight w:val="none"/>
                <w:lang w:eastAsia="zh-CN"/>
              </w:rPr>
              <w:t>，也不得以任何组织或个人的名义以任何形式发表。</w:t>
            </w:r>
            <w:r>
              <w:rPr>
                <w:rFonts w:hint="default" w:ascii="宋体" w:hAnsi="宋体" w:cs="宋体"/>
                <w:strike w:val="0"/>
                <w:dstrike w:val="0"/>
                <w:color w:val="auto"/>
                <w:kern w:val="0"/>
                <w:sz w:val="21"/>
                <w:szCs w:val="21"/>
                <w:highlight w:val="none"/>
                <w:lang w:eastAsia="zh-CN"/>
              </w:rPr>
              <w:t>严格执行项目实施过程中产生数据和报告等资料保密管理。</w:t>
            </w:r>
          </w:p>
          <w:p w14:paraId="4369F267">
            <w:pPr>
              <w:keepNext w:val="0"/>
              <w:keepLines w:val="0"/>
              <w:pageBreakBefore w:val="0"/>
              <w:kinsoku/>
              <w:wordWrap w:val="0"/>
              <w:overflowPunct/>
              <w:topLinePunct w:val="0"/>
              <w:autoSpaceDE/>
              <w:autoSpaceDN/>
              <w:bidi w:val="0"/>
              <w:adjustRightInd w:val="0"/>
              <w:snapToGrid w:val="0"/>
              <w:spacing w:line="400" w:lineRule="exact"/>
              <w:jc w:val="left"/>
              <w:textAlignment w:val="auto"/>
              <w:rPr>
                <w:rFonts w:hint="default" w:ascii="宋体" w:hAnsi="宋体" w:cs="宋体"/>
                <w:strike w:val="0"/>
                <w:dstrike w:val="0"/>
                <w:color w:val="auto"/>
                <w:kern w:val="0"/>
                <w:sz w:val="21"/>
                <w:szCs w:val="21"/>
                <w:highlight w:val="none"/>
                <w:lang w:eastAsia="zh-CN"/>
              </w:rPr>
            </w:pPr>
            <w:r>
              <w:rPr>
                <w:rFonts w:hint="default" w:ascii="宋体" w:hAnsi="宋体" w:cs="宋体"/>
                <w:strike w:val="0"/>
                <w:dstrike w:val="0"/>
                <w:color w:val="auto"/>
                <w:kern w:val="0"/>
                <w:sz w:val="21"/>
                <w:szCs w:val="21"/>
                <w:highlight w:val="none"/>
                <w:lang w:eastAsia="zh-CN"/>
              </w:rPr>
              <w:t>2.4成果提交及项目验收</w:t>
            </w:r>
          </w:p>
          <w:p w14:paraId="47A1DE06">
            <w:pPr>
              <w:keepNext w:val="0"/>
              <w:keepLines w:val="0"/>
              <w:pageBreakBefore w:val="0"/>
              <w:kinsoku/>
              <w:wordWrap w:val="0"/>
              <w:overflowPunct/>
              <w:topLinePunct w:val="0"/>
              <w:autoSpaceDE/>
              <w:autoSpaceDN/>
              <w:bidi w:val="0"/>
              <w:adjustRightInd w:val="0"/>
              <w:snapToGrid w:val="0"/>
              <w:spacing w:line="400" w:lineRule="exact"/>
              <w:jc w:val="left"/>
              <w:textAlignment w:val="auto"/>
              <w:rPr>
                <w:rFonts w:hint="default" w:ascii="宋体" w:hAnsi="宋体" w:cs="宋体"/>
                <w:strike w:val="0"/>
                <w:dstrike w:val="0"/>
                <w:color w:val="auto"/>
                <w:kern w:val="0"/>
                <w:sz w:val="21"/>
                <w:szCs w:val="21"/>
                <w:highlight w:val="none"/>
                <w:lang w:eastAsia="zh-CN"/>
              </w:rPr>
            </w:pPr>
            <w:r>
              <w:rPr>
                <w:rFonts w:hint="default" w:ascii="宋体" w:hAnsi="宋体" w:cs="宋体"/>
                <w:strike w:val="0"/>
                <w:dstrike w:val="0"/>
                <w:color w:val="auto"/>
                <w:kern w:val="0"/>
                <w:sz w:val="21"/>
                <w:szCs w:val="21"/>
                <w:highlight w:val="none"/>
                <w:lang w:eastAsia="zh-CN"/>
              </w:rPr>
              <w:t>所提交</w:t>
            </w:r>
            <w:r>
              <w:rPr>
                <w:rFonts w:hint="eastAsia" w:ascii="宋体" w:hAnsi="宋体" w:cs="宋体"/>
                <w:strike w:val="0"/>
                <w:dstrike w:val="0"/>
                <w:color w:val="auto"/>
                <w:kern w:val="0"/>
                <w:sz w:val="21"/>
                <w:szCs w:val="21"/>
                <w:highlight w:val="none"/>
                <w:lang w:eastAsia="zh-CN"/>
              </w:rPr>
              <w:t>的</w:t>
            </w:r>
            <w:r>
              <w:rPr>
                <w:rFonts w:hint="default" w:ascii="宋体" w:hAnsi="宋体" w:cs="宋体"/>
                <w:strike w:val="0"/>
                <w:dstrike w:val="0"/>
                <w:color w:val="auto"/>
                <w:kern w:val="0"/>
                <w:sz w:val="21"/>
                <w:szCs w:val="21"/>
                <w:highlight w:val="none"/>
                <w:lang w:eastAsia="zh-CN"/>
              </w:rPr>
              <w:t>成果</w:t>
            </w:r>
            <w:r>
              <w:rPr>
                <w:rFonts w:hint="eastAsia" w:ascii="宋体" w:hAnsi="宋体" w:cs="宋体"/>
                <w:strike w:val="0"/>
                <w:dstrike w:val="0"/>
                <w:color w:val="auto"/>
                <w:kern w:val="0"/>
                <w:sz w:val="21"/>
                <w:szCs w:val="21"/>
                <w:highlight w:val="none"/>
                <w:lang w:val="en-US" w:eastAsia="zh-CN"/>
              </w:rPr>
              <w:t>须同步</w:t>
            </w:r>
            <w:r>
              <w:rPr>
                <w:rFonts w:hint="default" w:ascii="宋体" w:hAnsi="宋体" w:cs="宋体"/>
                <w:strike w:val="0"/>
                <w:dstrike w:val="0"/>
                <w:color w:val="auto"/>
                <w:kern w:val="0"/>
                <w:sz w:val="21"/>
                <w:szCs w:val="21"/>
                <w:highlight w:val="none"/>
                <w:lang w:val="en-US" w:eastAsia="zh-CN"/>
              </w:rPr>
              <w:t>提交电子版并</w:t>
            </w:r>
            <w:r>
              <w:rPr>
                <w:rFonts w:hint="default" w:ascii="宋体" w:hAnsi="宋体" w:cs="宋体"/>
                <w:strike w:val="0"/>
                <w:dstrike w:val="0"/>
                <w:color w:val="auto"/>
                <w:kern w:val="0"/>
                <w:sz w:val="21"/>
                <w:szCs w:val="21"/>
                <w:highlight w:val="none"/>
                <w:lang w:eastAsia="zh-CN"/>
              </w:rPr>
              <w:t>通过采购人验收备案：</w:t>
            </w:r>
          </w:p>
          <w:p w14:paraId="2058C09D">
            <w:pPr>
              <w:keepNext w:val="0"/>
              <w:keepLines w:val="0"/>
              <w:pageBreakBefore w:val="0"/>
              <w:kinsoku/>
              <w:wordWrap w:val="0"/>
              <w:overflowPunct/>
              <w:topLinePunct w:val="0"/>
              <w:autoSpaceDE/>
              <w:autoSpaceDN/>
              <w:bidi w:val="0"/>
              <w:adjustRightInd w:val="0"/>
              <w:snapToGrid w:val="0"/>
              <w:spacing w:line="400" w:lineRule="exact"/>
              <w:jc w:val="left"/>
              <w:textAlignment w:val="auto"/>
              <w:rPr>
                <w:rFonts w:hint="default" w:ascii="宋体" w:hAnsi="宋体" w:cs="宋体"/>
                <w:strike w:val="0"/>
                <w:dstrike w:val="0"/>
                <w:color w:val="auto"/>
                <w:kern w:val="0"/>
                <w:sz w:val="21"/>
                <w:szCs w:val="21"/>
                <w:highlight w:val="none"/>
                <w:lang w:val="en-US" w:eastAsia="zh-CN"/>
              </w:rPr>
            </w:pPr>
            <w:r>
              <w:rPr>
                <w:rFonts w:hint="default" w:ascii="宋体" w:hAnsi="宋体" w:cs="宋体"/>
                <w:strike w:val="0"/>
                <w:dstrike w:val="0"/>
                <w:color w:val="auto"/>
                <w:kern w:val="0"/>
                <w:sz w:val="21"/>
                <w:szCs w:val="21"/>
                <w:highlight w:val="none"/>
                <w:lang w:val="en-US" w:eastAsia="zh-CN"/>
              </w:rPr>
              <w:t>（1）广西“千吨万人”饮用水水源全指标监测报告1份；</w:t>
            </w:r>
          </w:p>
          <w:p w14:paraId="7D780F2B">
            <w:pPr>
              <w:keepNext w:val="0"/>
              <w:keepLines w:val="0"/>
              <w:pageBreakBefore w:val="0"/>
              <w:kinsoku/>
              <w:wordWrap w:val="0"/>
              <w:overflowPunct/>
              <w:topLinePunct w:val="0"/>
              <w:autoSpaceDE/>
              <w:autoSpaceDN/>
              <w:bidi w:val="0"/>
              <w:adjustRightInd w:val="0"/>
              <w:snapToGrid w:val="0"/>
              <w:spacing w:line="400" w:lineRule="exact"/>
              <w:jc w:val="left"/>
              <w:textAlignment w:val="auto"/>
              <w:rPr>
                <w:rFonts w:hint="default" w:ascii="宋体" w:hAnsi="宋体" w:cs="宋体"/>
                <w:strike w:val="0"/>
                <w:dstrike w:val="0"/>
                <w:color w:val="auto"/>
                <w:kern w:val="0"/>
                <w:sz w:val="21"/>
                <w:szCs w:val="21"/>
                <w:highlight w:val="none"/>
                <w:lang w:val="en-US" w:eastAsia="zh-CN"/>
              </w:rPr>
            </w:pPr>
            <w:r>
              <w:rPr>
                <w:rFonts w:hint="default" w:ascii="宋体" w:hAnsi="宋体" w:cs="宋体"/>
                <w:strike w:val="0"/>
                <w:dstrike w:val="0"/>
                <w:color w:val="auto"/>
                <w:kern w:val="0"/>
                <w:sz w:val="21"/>
                <w:szCs w:val="21"/>
                <w:highlight w:val="none"/>
                <w:lang w:val="en-US" w:eastAsia="zh-CN"/>
              </w:rPr>
              <w:t>（2）编制广西“千吨万人”风险水源清单1份；</w:t>
            </w:r>
          </w:p>
          <w:p w14:paraId="62AEBE66">
            <w:pPr>
              <w:keepNext w:val="0"/>
              <w:keepLines w:val="0"/>
              <w:pageBreakBefore w:val="0"/>
              <w:kinsoku/>
              <w:wordWrap w:val="0"/>
              <w:overflowPunct/>
              <w:topLinePunct w:val="0"/>
              <w:autoSpaceDE/>
              <w:autoSpaceDN/>
              <w:bidi w:val="0"/>
              <w:adjustRightInd w:val="0"/>
              <w:snapToGrid w:val="0"/>
              <w:spacing w:line="400" w:lineRule="exact"/>
              <w:jc w:val="left"/>
              <w:textAlignment w:val="auto"/>
              <w:rPr>
                <w:rFonts w:hint="default" w:ascii="宋体" w:hAnsi="宋体" w:cs="宋体"/>
                <w:strike w:val="0"/>
                <w:dstrike w:val="0"/>
                <w:color w:val="auto"/>
                <w:kern w:val="0"/>
                <w:sz w:val="21"/>
                <w:szCs w:val="21"/>
                <w:highlight w:val="none"/>
                <w:lang w:val="en-US" w:eastAsia="zh-CN"/>
              </w:rPr>
            </w:pPr>
            <w:r>
              <w:rPr>
                <w:rFonts w:hint="default" w:ascii="宋体" w:hAnsi="宋体" w:cs="宋体"/>
                <w:strike w:val="0"/>
                <w:dstrike w:val="0"/>
                <w:color w:val="auto"/>
                <w:kern w:val="0"/>
                <w:sz w:val="21"/>
                <w:szCs w:val="21"/>
                <w:highlight w:val="none"/>
                <w:lang w:val="en-US" w:eastAsia="zh-CN"/>
              </w:rPr>
              <w:t>（3）广西“千吨万人”饮用水水源涉重金属环境风险隐患问题抽样调查技术报告1份；</w:t>
            </w:r>
          </w:p>
          <w:p w14:paraId="513DA126">
            <w:pPr>
              <w:keepNext w:val="0"/>
              <w:keepLines w:val="0"/>
              <w:pageBreakBefore w:val="0"/>
              <w:kinsoku/>
              <w:wordWrap w:val="0"/>
              <w:overflowPunct/>
              <w:topLinePunct w:val="0"/>
              <w:autoSpaceDE/>
              <w:autoSpaceDN/>
              <w:bidi w:val="0"/>
              <w:adjustRightInd w:val="0"/>
              <w:snapToGrid w:val="0"/>
              <w:spacing w:line="400" w:lineRule="exact"/>
              <w:jc w:val="left"/>
              <w:textAlignment w:val="auto"/>
              <w:rPr>
                <w:rFonts w:hint="default" w:ascii="宋体" w:hAnsi="宋体" w:cs="宋体"/>
                <w:strike w:val="0"/>
                <w:dstrike w:val="0"/>
                <w:color w:val="auto"/>
                <w:kern w:val="0"/>
                <w:sz w:val="21"/>
                <w:szCs w:val="21"/>
                <w:highlight w:val="none"/>
                <w:lang w:val="en-US" w:eastAsia="zh-CN"/>
              </w:rPr>
            </w:pPr>
            <w:r>
              <w:rPr>
                <w:rFonts w:hint="default" w:ascii="宋体" w:hAnsi="宋体" w:cs="宋体"/>
                <w:strike w:val="0"/>
                <w:dstrike w:val="0"/>
                <w:color w:val="auto"/>
                <w:kern w:val="0"/>
                <w:sz w:val="21"/>
                <w:szCs w:val="21"/>
                <w:highlight w:val="none"/>
                <w:lang w:val="en-US" w:eastAsia="zh-CN"/>
              </w:rPr>
              <w:t>（4）南流江流域污染溯源指纹图谱库1份；</w:t>
            </w:r>
          </w:p>
          <w:p w14:paraId="67F59A09">
            <w:pPr>
              <w:keepNext w:val="0"/>
              <w:keepLines w:val="0"/>
              <w:pageBreakBefore w:val="0"/>
              <w:kinsoku/>
              <w:wordWrap w:val="0"/>
              <w:overflowPunct/>
              <w:topLinePunct w:val="0"/>
              <w:autoSpaceDE/>
              <w:autoSpaceDN/>
              <w:bidi w:val="0"/>
              <w:adjustRightInd w:val="0"/>
              <w:snapToGrid w:val="0"/>
              <w:spacing w:line="400" w:lineRule="exact"/>
              <w:jc w:val="left"/>
              <w:textAlignment w:val="auto"/>
              <w:rPr>
                <w:rFonts w:hint="default" w:ascii="宋体" w:hAnsi="宋体" w:cs="宋体"/>
                <w:strike w:val="0"/>
                <w:dstrike w:val="0"/>
                <w:color w:val="auto"/>
                <w:kern w:val="0"/>
                <w:sz w:val="21"/>
                <w:szCs w:val="21"/>
                <w:highlight w:val="none"/>
                <w:lang w:val="en-US" w:eastAsia="zh-CN"/>
              </w:rPr>
            </w:pPr>
            <w:r>
              <w:rPr>
                <w:rFonts w:hint="default" w:ascii="宋体" w:hAnsi="宋体" w:cs="宋体"/>
                <w:strike w:val="0"/>
                <w:dstrike w:val="0"/>
                <w:color w:val="auto"/>
                <w:kern w:val="0"/>
                <w:sz w:val="21"/>
                <w:szCs w:val="21"/>
                <w:highlight w:val="none"/>
                <w:lang w:val="en-US" w:eastAsia="zh-CN"/>
              </w:rPr>
              <w:t>（5）南流江试点水源地重金属污染精准溯源研究报告1份；</w:t>
            </w:r>
          </w:p>
          <w:p w14:paraId="77C84BA4">
            <w:pPr>
              <w:keepNext w:val="0"/>
              <w:keepLines w:val="0"/>
              <w:pageBreakBefore w:val="0"/>
              <w:kinsoku/>
              <w:wordWrap w:val="0"/>
              <w:overflowPunct/>
              <w:topLinePunct w:val="0"/>
              <w:autoSpaceDE/>
              <w:autoSpaceDN/>
              <w:bidi w:val="0"/>
              <w:adjustRightInd w:val="0"/>
              <w:snapToGrid w:val="0"/>
              <w:spacing w:line="400" w:lineRule="exact"/>
              <w:jc w:val="left"/>
              <w:textAlignment w:val="auto"/>
              <w:rPr>
                <w:rFonts w:hint="default" w:ascii="宋体" w:hAnsi="宋体" w:cs="宋体"/>
                <w:strike w:val="0"/>
                <w:dstrike w:val="0"/>
                <w:color w:val="auto"/>
                <w:kern w:val="0"/>
                <w:sz w:val="21"/>
                <w:szCs w:val="21"/>
                <w:highlight w:val="none"/>
                <w:lang w:val="en-US" w:eastAsia="zh-CN"/>
              </w:rPr>
            </w:pPr>
            <w:r>
              <w:rPr>
                <w:rFonts w:hint="default" w:ascii="宋体" w:hAnsi="宋体" w:cs="宋体"/>
                <w:strike w:val="0"/>
                <w:dstrike w:val="0"/>
                <w:color w:val="auto"/>
                <w:kern w:val="0"/>
                <w:sz w:val="21"/>
                <w:szCs w:val="21"/>
                <w:highlight w:val="none"/>
                <w:lang w:val="en-US" w:eastAsia="zh-CN"/>
              </w:rPr>
              <w:t>（6）广西供水设施重金属污染防控与应急能力调查研究报告1份；</w:t>
            </w:r>
          </w:p>
          <w:p w14:paraId="3E686F5E">
            <w:pPr>
              <w:keepNext w:val="0"/>
              <w:keepLines w:val="0"/>
              <w:pageBreakBefore w:val="0"/>
              <w:kinsoku/>
              <w:wordWrap w:val="0"/>
              <w:overflowPunct/>
              <w:topLinePunct w:val="0"/>
              <w:autoSpaceDE/>
              <w:autoSpaceDN/>
              <w:bidi w:val="0"/>
              <w:adjustRightInd w:val="0"/>
              <w:snapToGrid w:val="0"/>
              <w:spacing w:line="400" w:lineRule="exact"/>
              <w:jc w:val="left"/>
              <w:textAlignment w:val="auto"/>
              <w:rPr>
                <w:rFonts w:hint="default" w:ascii="宋体" w:hAnsi="宋体" w:cs="宋体"/>
                <w:strike w:val="0"/>
                <w:dstrike w:val="0"/>
                <w:color w:val="auto"/>
                <w:kern w:val="0"/>
                <w:sz w:val="21"/>
                <w:szCs w:val="21"/>
                <w:highlight w:val="none"/>
                <w:lang w:val="en-US" w:eastAsia="zh-CN"/>
              </w:rPr>
            </w:pPr>
            <w:r>
              <w:rPr>
                <w:rFonts w:hint="default" w:ascii="宋体" w:hAnsi="宋体" w:cs="宋体"/>
                <w:strike w:val="0"/>
                <w:dstrike w:val="0"/>
                <w:color w:val="auto"/>
                <w:kern w:val="0"/>
                <w:sz w:val="21"/>
                <w:szCs w:val="21"/>
                <w:highlight w:val="none"/>
                <w:lang w:val="en-US" w:eastAsia="zh-CN"/>
              </w:rPr>
              <w:t>（7）供水厂“一厂一策”重金属污染防治方案14份；</w:t>
            </w:r>
          </w:p>
          <w:p w14:paraId="281A48BE">
            <w:pPr>
              <w:keepNext w:val="0"/>
              <w:keepLines w:val="0"/>
              <w:pageBreakBefore w:val="0"/>
              <w:kinsoku/>
              <w:wordWrap w:val="0"/>
              <w:overflowPunct/>
              <w:topLinePunct w:val="0"/>
              <w:autoSpaceDE/>
              <w:autoSpaceDN/>
              <w:bidi w:val="0"/>
              <w:adjustRightInd w:val="0"/>
              <w:snapToGrid w:val="0"/>
              <w:spacing w:line="400" w:lineRule="exact"/>
              <w:jc w:val="left"/>
              <w:textAlignment w:val="auto"/>
              <w:rPr>
                <w:rFonts w:hint="default" w:ascii="宋体" w:hAnsi="宋体" w:cs="宋体"/>
                <w:strike w:val="0"/>
                <w:dstrike w:val="0"/>
                <w:color w:val="auto"/>
                <w:kern w:val="0"/>
                <w:sz w:val="21"/>
                <w:szCs w:val="21"/>
                <w:highlight w:val="none"/>
                <w:lang w:val="en-US" w:eastAsia="zh-CN"/>
              </w:rPr>
            </w:pPr>
            <w:r>
              <w:rPr>
                <w:rFonts w:hint="default" w:ascii="宋体" w:hAnsi="宋体" w:cs="宋体"/>
                <w:strike w:val="0"/>
                <w:dstrike w:val="0"/>
                <w:color w:val="auto"/>
                <w:kern w:val="0"/>
                <w:sz w:val="21"/>
                <w:szCs w:val="21"/>
                <w:highlight w:val="none"/>
                <w:lang w:val="en-US" w:eastAsia="zh-CN"/>
              </w:rPr>
              <w:t>（8）</w:t>
            </w:r>
            <w:r>
              <w:rPr>
                <w:rFonts w:hint="default" w:ascii="宋体" w:hAnsi="宋体" w:cs="宋体"/>
                <w:strike w:val="0"/>
                <w:dstrike w:val="0"/>
                <w:color w:val="auto"/>
                <w:kern w:val="0"/>
                <w:sz w:val="21"/>
                <w:szCs w:val="21"/>
                <w:highlight w:val="none"/>
                <w:lang w:eastAsia="zh-CN"/>
              </w:rPr>
              <w:t>项目开展过程中，按采购人要求提供本项目的其他服务成果。</w:t>
            </w:r>
          </w:p>
          <w:p w14:paraId="3874D792">
            <w:pPr>
              <w:keepNext w:val="0"/>
              <w:keepLines w:val="0"/>
              <w:pageBreakBefore w:val="0"/>
              <w:kinsoku/>
              <w:wordWrap w:val="0"/>
              <w:overflowPunct/>
              <w:topLinePunct w:val="0"/>
              <w:autoSpaceDE/>
              <w:autoSpaceDN/>
              <w:bidi w:val="0"/>
              <w:adjustRightInd w:val="0"/>
              <w:snapToGrid w:val="0"/>
              <w:spacing w:line="400" w:lineRule="exact"/>
              <w:jc w:val="left"/>
              <w:textAlignment w:val="auto"/>
              <w:rPr>
                <w:rFonts w:hint="default" w:ascii="宋体" w:hAnsi="宋体" w:cs="宋体"/>
                <w:strike w:val="0"/>
                <w:dstrike w:val="0"/>
                <w:color w:val="auto"/>
                <w:kern w:val="0"/>
                <w:sz w:val="21"/>
                <w:szCs w:val="21"/>
                <w:highlight w:val="none"/>
                <w:lang w:eastAsia="zh-CN"/>
              </w:rPr>
            </w:pPr>
            <w:r>
              <w:rPr>
                <w:rFonts w:hint="default" w:ascii="宋体" w:hAnsi="宋体" w:cs="宋体"/>
                <w:strike w:val="0"/>
                <w:dstrike w:val="0"/>
                <w:color w:val="auto"/>
                <w:kern w:val="0"/>
                <w:sz w:val="21"/>
                <w:szCs w:val="21"/>
                <w:highlight w:val="none"/>
                <w:lang w:eastAsia="zh-CN"/>
              </w:rPr>
              <w:t>2.5仪器设备要求</w:t>
            </w:r>
          </w:p>
          <w:p w14:paraId="3A6A583D">
            <w:pPr>
              <w:keepNext w:val="0"/>
              <w:keepLines w:val="0"/>
              <w:pageBreakBefore w:val="0"/>
              <w:kinsoku/>
              <w:wordWrap w:val="0"/>
              <w:overflowPunct/>
              <w:topLinePunct w:val="0"/>
              <w:autoSpaceDE/>
              <w:autoSpaceDN/>
              <w:bidi w:val="0"/>
              <w:adjustRightInd w:val="0"/>
              <w:snapToGrid w:val="0"/>
              <w:spacing w:line="400" w:lineRule="exact"/>
              <w:jc w:val="left"/>
              <w:textAlignment w:val="auto"/>
              <w:rPr>
                <w:rFonts w:hint="default" w:ascii="宋体" w:hAnsi="宋体" w:cs="宋体"/>
                <w:strike w:val="0"/>
                <w:dstrike w:val="0"/>
                <w:color w:val="auto"/>
                <w:kern w:val="0"/>
                <w:sz w:val="21"/>
                <w:szCs w:val="21"/>
                <w:highlight w:val="none"/>
                <w:lang w:val="en-US" w:eastAsia="zh-CN"/>
              </w:rPr>
            </w:pPr>
            <w:r>
              <w:rPr>
                <w:rFonts w:hint="default" w:ascii="宋体" w:hAnsi="宋体" w:cs="宋体"/>
                <w:strike w:val="0"/>
                <w:dstrike w:val="0"/>
                <w:color w:val="auto"/>
                <w:kern w:val="0"/>
                <w:sz w:val="21"/>
                <w:szCs w:val="21"/>
                <w:highlight w:val="none"/>
                <w:lang w:val="en-US" w:eastAsia="zh-CN"/>
              </w:rPr>
              <w:t>无。</w:t>
            </w:r>
          </w:p>
          <w:p w14:paraId="42995D8D">
            <w:pPr>
              <w:keepNext w:val="0"/>
              <w:keepLines w:val="0"/>
              <w:pageBreakBefore w:val="0"/>
              <w:kinsoku/>
              <w:wordWrap w:val="0"/>
              <w:overflowPunct/>
              <w:topLinePunct w:val="0"/>
              <w:autoSpaceDE/>
              <w:autoSpaceDN/>
              <w:bidi w:val="0"/>
              <w:adjustRightInd w:val="0"/>
              <w:snapToGrid w:val="0"/>
              <w:spacing w:line="400" w:lineRule="exact"/>
              <w:jc w:val="left"/>
              <w:textAlignment w:val="auto"/>
              <w:rPr>
                <w:rFonts w:hint="eastAsia" w:ascii="宋体" w:hAnsi="宋体" w:cs="宋体"/>
                <w:strike w:val="0"/>
                <w:dstrike w:val="0"/>
                <w:color w:val="auto"/>
                <w:kern w:val="0"/>
                <w:sz w:val="21"/>
                <w:szCs w:val="21"/>
                <w:highlight w:val="none"/>
                <w:lang w:eastAsia="zh-CN"/>
              </w:rPr>
            </w:pPr>
            <w:r>
              <w:rPr>
                <w:rFonts w:hint="default" w:ascii="宋体" w:hAnsi="宋体" w:cs="宋体"/>
                <w:strike w:val="0"/>
                <w:dstrike w:val="0"/>
                <w:color w:val="auto"/>
                <w:kern w:val="0"/>
                <w:sz w:val="21"/>
                <w:szCs w:val="21"/>
                <w:highlight w:val="none"/>
                <w:lang w:eastAsia="zh-CN"/>
              </w:rPr>
              <w:t>2.</w:t>
            </w:r>
            <w:r>
              <w:rPr>
                <w:rFonts w:hint="eastAsia" w:ascii="宋体" w:hAnsi="宋体" w:cs="宋体"/>
                <w:strike w:val="0"/>
                <w:dstrike w:val="0"/>
                <w:color w:val="auto"/>
                <w:kern w:val="0"/>
                <w:sz w:val="21"/>
                <w:szCs w:val="21"/>
                <w:highlight w:val="none"/>
                <w:lang w:val="en-US" w:eastAsia="zh-CN"/>
              </w:rPr>
              <w:t>6</w:t>
            </w:r>
            <w:r>
              <w:rPr>
                <w:rFonts w:hint="eastAsia" w:ascii="宋体" w:hAnsi="宋体" w:cs="宋体"/>
                <w:strike w:val="0"/>
                <w:dstrike w:val="0"/>
                <w:color w:val="auto"/>
                <w:kern w:val="0"/>
                <w:sz w:val="21"/>
                <w:szCs w:val="21"/>
                <w:highlight w:val="none"/>
                <w:lang w:eastAsia="zh-CN"/>
              </w:rPr>
              <w:t>特定资格要求</w:t>
            </w:r>
          </w:p>
          <w:p w14:paraId="65184DD0">
            <w:pPr>
              <w:keepNext w:val="0"/>
              <w:keepLines w:val="0"/>
              <w:pageBreakBefore w:val="0"/>
              <w:kinsoku/>
              <w:wordWrap w:val="0"/>
              <w:overflowPunct/>
              <w:topLinePunct w:val="0"/>
              <w:autoSpaceDE/>
              <w:autoSpaceDN/>
              <w:bidi w:val="0"/>
              <w:adjustRightInd w:val="0"/>
              <w:snapToGrid w:val="0"/>
              <w:spacing w:line="400" w:lineRule="exact"/>
              <w:jc w:val="left"/>
              <w:textAlignment w:val="auto"/>
              <w:rPr>
                <w:rFonts w:hint="default" w:ascii="宋体" w:hAnsi="宋体" w:cs="宋体"/>
                <w:strike w:val="0"/>
                <w:dstrike w:val="0"/>
                <w:color w:val="auto"/>
                <w:kern w:val="0"/>
                <w:sz w:val="21"/>
                <w:szCs w:val="21"/>
                <w:highlight w:val="none"/>
                <w:lang w:val="en-US" w:eastAsia="zh-CN"/>
              </w:rPr>
            </w:pPr>
            <w:r>
              <w:rPr>
                <w:rFonts w:hint="eastAsia" w:ascii="宋体" w:hAnsi="宋体" w:cs="宋体"/>
                <w:strike w:val="0"/>
                <w:dstrike w:val="0"/>
                <w:color w:val="auto"/>
                <w:kern w:val="0"/>
                <w:sz w:val="21"/>
                <w:szCs w:val="21"/>
                <w:highlight w:val="none"/>
                <w:lang w:eastAsia="zh-CN"/>
              </w:rPr>
              <w:t>投标人须取得有效的检验检测机构资质认定证书（CMA）。</w:t>
            </w:r>
          </w:p>
          <w:p w14:paraId="277645C0">
            <w:pPr>
              <w:keepNext w:val="0"/>
              <w:keepLines w:val="0"/>
              <w:pageBreakBefore w:val="0"/>
              <w:kinsoku/>
              <w:wordWrap w:val="0"/>
              <w:overflowPunct/>
              <w:topLinePunct w:val="0"/>
              <w:autoSpaceDE/>
              <w:autoSpaceDN/>
              <w:bidi w:val="0"/>
              <w:adjustRightInd w:val="0"/>
              <w:snapToGrid w:val="0"/>
              <w:spacing w:line="400" w:lineRule="exact"/>
              <w:jc w:val="left"/>
              <w:textAlignment w:val="auto"/>
              <w:rPr>
                <w:rFonts w:hint="default" w:ascii="宋体" w:hAnsi="宋体" w:cs="宋体"/>
                <w:strike w:val="0"/>
                <w:dstrike w:val="0"/>
                <w:color w:val="auto"/>
                <w:kern w:val="0"/>
                <w:sz w:val="21"/>
                <w:szCs w:val="21"/>
                <w:highlight w:val="none"/>
                <w:lang w:eastAsia="zh-CN"/>
              </w:rPr>
            </w:pPr>
            <w:r>
              <w:rPr>
                <w:rFonts w:hint="default" w:ascii="宋体" w:hAnsi="宋体" w:cs="宋体"/>
                <w:strike w:val="0"/>
                <w:dstrike w:val="0"/>
                <w:color w:val="auto"/>
                <w:kern w:val="0"/>
                <w:sz w:val="21"/>
                <w:szCs w:val="21"/>
                <w:highlight w:val="none"/>
                <w:lang w:eastAsia="zh-CN"/>
              </w:rPr>
              <w:t>▲</w:t>
            </w:r>
            <w:r>
              <w:rPr>
                <w:rFonts w:hint="eastAsia" w:ascii="宋体" w:hAnsi="宋体" w:cs="宋体"/>
                <w:strike w:val="0"/>
                <w:dstrike w:val="0"/>
                <w:color w:val="auto"/>
                <w:kern w:val="0"/>
                <w:sz w:val="21"/>
                <w:szCs w:val="21"/>
                <w:highlight w:val="none"/>
                <w:lang w:val="en-US" w:eastAsia="zh-CN"/>
              </w:rPr>
              <w:t>三</w:t>
            </w:r>
            <w:r>
              <w:rPr>
                <w:rFonts w:hint="default" w:ascii="宋体" w:hAnsi="宋体" w:cs="宋体"/>
                <w:strike w:val="0"/>
                <w:dstrike w:val="0"/>
                <w:color w:val="auto"/>
                <w:kern w:val="0"/>
                <w:sz w:val="21"/>
                <w:szCs w:val="21"/>
                <w:highlight w:val="none"/>
                <w:lang w:eastAsia="zh-CN"/>
              </w:rPr>
              <w:t>、服务期限</w:t>
            </w:r>
          </w:p>
          <w:p w14:paraId="48F63E2D">
            <w:pPr>
              <w:keepNext w:val="0"/>
              <w:keepLines w:val="0"/>
              <w:pageBreakBefore w:val="0"/>
              <w:kinsoku/>
              <w:wordWrap w:val="0"/>
              <w:overflowPunct/>
              <w:topLinePunct w:val="0"/>
              <w:autoSpaceDE/>
              <w:autoSpaceDN/>
              <w:bidi w:val="0"/>
              <w:adjustRightInd w:val="0"/>
              <w:snapToGrid w:val="0"/>
              <w:spacing w:line="400" w:lineRule="exact"/>
              <w:jc w:val="left"/>
              <w:textAlignment w:val="auto"/>
              <w:rPr>
                <w:rFonts w:hint="default" w:ascii="宋体" w:hAnsi="宋体" w:cs="宋体"/>
                <w:strike w:val="0"/>
                <w:dstrike w:val="0"/>
                <w:color w:val="auto"/>
                <w:kern w:val="0"/>
                <w:sz w:val="21"/>
                <w:szCs w:val="21"/>
                <w:highlight w:val="none"/>
                <w:lang w:eastAsia="zh-CN"/>
              </w:rPr>
            </w:pPr>
            <w:r>
              <w:rPr>
                <w:rFonts w:hint="default" w:ascii="宋体" w:hAnsi="宋体" w:cs="宋体"/>
                <w:strike w:val="0"/>
                <w:dstrike w:val="0"/>
                <w:color w:val="auto"/>
                <w:kern w:val="0"/>
                <w:sz w:val="21"/>
                <w:szCs w:val="21"/>
                <w:highlight w:val="none"/>
                <w:lang w:eastAsia="zh-CN"/>
              </w:rPr>
              <w:t>自合同签订之日起至202</w:t>
            </w:r>
            <w:r>
              <w:rPr>
                <w:rFonts w:hint="default" w:ascii="宋体" w:hAnsi="宋体" w:cs="宋体"/>
                <w:strike w:val="0"/>
                <w:dstrike w:val="0"/>
                <w:color w:val="auto"/>
                <w:kern w:val="0"/>
                <w:sz w:val="21"/>
                <w:szCs w:val="21"/>
                <w:highlight w:val="none"/>
                <w:lang w:val="en-US" w:eastAsia="zh-CN"/>
              </w:rPr>
              <w:t>6</w:t>
            </w:r>
            <w:r>
              <w:rPr>
                <w:rFonts w:hint="default" w:ascii="宋体" w:hAnsi="宋体" w:cs="宋体"/>
                <w:strike w:val="0"/>
                <w:dstrike w:val="0"/>
                <w:color w:val="auto"/>
                <w:kern w:val="0"/>
                <w:sz w:val="21"/>
                <w:szCs w:val="21"/>
                <w:highlight w:val="none"/>
                <w:lang w:eastAsia="zh-CN"/>
              </w:rPr>
              <w:t>年</w:t>
            </w:r>
            <w:r>
              <w:rPr>
                <w:rFonts w:hint="default" w:ascii="宋体" w:hAnsi="宋体" w:cs="宋体"/>
                <w:strike w:val="0"/>
                <w:dstrike w:val="0"/>
                <w:color w:val="auto"/>
                <w:kern w:val="0"/>
                <w:sz w:val="21"/>
                <w:szCs w:val="21"/>
                <w:highlight w:val="none"/>
                <w:lang w:val="en-US" w:eastAsia="zh-CN"/>
              </w:rPr>
              <w:t>12</w:t>
            </w:r>
            <w:r>
              <w:rPr>
                <w:rFonts w:hint="default" w:ascii="宋体" w:hAnsi="宋体" w:cs="宋体"/>
                <w:strike w:val="0"/>
                <w:dstrike w:val="0"/>
                <w:color w:val="auto"/>
                <w:kern w:val="0"/>
                <w:sz w:val="21"/>
                <w:szCs w:val="21"/>
                <w:highlight w:val="none"/>
                <w:lang w:eastAsia="zh-CN"/>
              </w:rPr>
              <w:t>月31日。</w:t>
            </w:r>
          </w:p>
          <w:p w14:paraId="05D5D905">
            <w:pPr>
              <w:keepNext w:val="0"/>
              <w:keepLines w:val="0"/>
              <w:pageBreakBefore w:val="0"/>
              <w:kinsoku/>
              <w:wordWrap w:val="0"/>
              <w:overflowPunct/>
              <w:topLinePunct w:val="0"/>
              <w:autoSpaceDE/>
              <w:autoSpaceDN/>
              <w:bidi w:val="0"/>
              <w:adjustRightInd w:val="0"/>
              <w:snapToGrid w:val="0"/>
              <w:spacing w:line="400" w:lineRule="exact"/>
              <w:jc w:val="left"/>
              <w:textAlignment w:val="auto"/>
              <w:rPr>
                <w:rFonts w:hint="default" w:ascii="宋体" w:hAnsi="宋体" w:cs="宋体"/>
                <w:strike w:val="0"/>
                <w:dstrike w:val="0"/>
                <w:color w:val="auto"/>
                <w:kern w:val="0"/>
                <w:sz w:val="21"/>
                <w:szCs w:val="21"/>
                <w:highlight w:val="none"/>
                <w:lang w:eastAsia="zh-CN"/>
              </w:rPr>
            </w:pPr>
            <w:r>
              <w:rPr>
                <w:rFonts w:hint="default" w:ascii="宋体" w:hAnsi="宋体" w:cs="宋体"/>
                <w:strike w:val="0"/>
                <w:dstrike w:val="0"/>
                <w:color w:val="auto"/>
                <w:kern w:val="0"/>
                <w:sz w:val="21"/>
                <w:szCs w:val="21"/>
                <w:highlight w:val="none"/>
                <w:lang w:eastAsia="zh-CN"/>
              </w:rPr>
              <w:t>▲</w:t>
            </w:r>
            <w:r>
              <w:rPr>
                <w:rFonts w:hint="eastAsia" w:ascii="宋体" w:hAnsi="宋体" w:cs="宋体"/>
                <w:strike w:val="0"/>
                <w:dstrike w:val="0"/>
                <w:color w:val="auto"/>
                <w:kern w:val="0"/>
                <w:sz w:val="21"/>
                <w:szCs w:val="21"/>
                <w:highlight w:val="none"/>
                <w:lang w:val="en-US" w:eastAsia="zh-CN"/>
              </w:rPr>
              <w:t>四</w:t>
            </w:r>
            <w:r>
              <w:rPr>
                <w:rFonts w:hint="default" w:ascii="宋体" w:hAnsi="宋体" w:cs="宋体"/>
                <w:strike w:val="0"/>
                <w:dstrike w:val="0"/>
                <w:color w:val="auto"/>
                <w:kern w:val="0"/>
                <w:sz w:val="21"/>
                <w:szCs w:val="21"/>
                <w:highlight w:val="none"/>
                <w:lang w:eastAsia="zh-CN"/>
              </w:rPr>
              <w:t>、项目服务团队要求</w:t>
            </w:r>
          </w:p>
          <w:p w14:paraId="2E57CECD">
            <w:pPr>
              <w:keepNext w:val="0"/>
              <w:keepLines w:val="0"/>
              <w:pageBreakBefore w:val="0"/>
              <w:kinsoku/>
              <w:wordWrap w:val="0"/>
              <w:overflowPunct/>
              <w:topLinePunct w:val="0"/>
              <w:autoSpaceDE/>
              <w:autoSpaceDN/>
              <w:bidi w:val="0"/>
              <w:adjustRightInd w:val="0"/>
              <w:snapToGrid w:val="0"/>
              <w:spacing w:line="400" w:lineRule="exact"/>
              <w:jc w:val="left"/>
              <w:textAlignment w:val="auto"/>
              <w:rPr>
                <w:rFonts w:hint="default" w:ascii="宋体" w:hAnsi="宋体" w:cs="宋体"/>
                <w:strike w:val="0"/>
                <w:dstrike w:val="0"/>
                <w:color w:val="auto"/>
                <w:kern w:val="0"/>
                <w:sz w:val="21"/>
                <w:szCs w:val="21"/>
                <w:highlight w:val="none"/>
                <w:lang w:val="en-US" w:eastAsia="zh-CN"/>
              </w:rPr>
            </w:pPr>
            <w:r>
              <w:rPr>
                <w:rFonts w:hint="eastAsia" w:ascii="宋体" w:hAnsi="宋体" w:cs="宋体"/>
                <w:strike w:val="0"/>
                <w:dstrike w:val="0"/>
                <w:color w:val="auto"/>
                <w:kern w:val="0"/>
                <w:sz w:val="21"/>
                <w:szCs w:val="21"/>
                <w:highlight w:val="none"/>
                <w:lang w:val="en-US" w:eastAsia="zh-CN"/>
              </w:rPr>
              <w:t>1.</w:t>
            </w:r>
            <w:r>
              <w:rPr>
                <w:rFonts w:hint="default" w:ascii="宋体" w:hAnsi="宋体" w:cs="宋体"/>
                <w:strike w:val="0"/>
                <w:dstrike w:val="0"/>
                <w:color w:val="auto"/>
                <w:kern w:val="0"/>
                <w:sz w:val="21"/>
                <w:szCs w:val="21"/>
                <w:highlight w:val="none"/>
                <w:lang w:eastAsia="zh-CN"/>
              </w:rPr>
              <w:t>投标人配备与其承担技术服务工作的相关专业技术人员，</w:t>
            </w:r>
            <w:r>
              <w:rPr>
                <w:rFonts w:hint="default" w:ascii="宋体" w:hAnsi="宋体" w:cs="宋体"/>
                <w:strike w:val="0"/>
                <w:dstrike w:val="0"/>
                <w:color w:val="auto"/>
                <w:kern w:val="0"/>
                <w:sz w:val="21"/>
                <w:szCs w:val="21"/>
                <w:highlight w:val="none"/>
                <w:lang w:val="en-US" w:eastAsia="zh-CN"/>
              </w:rPr>
              <w:t>其中项目负责人</w:t>
            </w:r>
            <w:r>
              <w:rPr>
                <w:rFonts w:hint="eastAsia" w:ascii="宋体" w:hAnsi="宋体" w:cs="宋体"/>
                <w:strike w:val="0"/>
                <w:dstrike w:val="0"/>
                <w:color w:val="auto"/>
                <w:kern w:val="0"/>
                <w:sz w:val="21"/>
                <w:szCs w:val="21"/>
                <w:highlight w:val="none"/>
                <w:lang w:val="en-US" w:eastAsia="zh-CN"/>
              </w:rPr>
              <w:t>须</w:t>
            </w:r>
            <w:r>
              <w:rPr>
                <w:rFonts w:hint="default" w:ascii="宋体" w:hAnsi="宋体" w:cs="宋体"/>
                <w:strike w:val="0"/>
                <w:dstrike w:val="0"/>
                <w:color w:val="auto"/>
                <w:kern w:val="0"/>
                <w:sz w:val="21"/>
                <w:szCs w:val="21"/>
                <w:highlight w:val="none"/>
                <w:lang w:val="en-US" w:eastAsia="zh-CN"/>
              </w:rPr>
              <w:t>为高级职称（专业为环境类、生态类、水文类、监测类、化学类等相关专业），项目主要专业技术人员的数量和能力应满足技术服务工作任务的需要，拟投入本项目专业技术人员应不少于15人，其中具备高级职称不少于</w:t>
            </w:r>
            <w:r>
              <w:rPr>
                <w:rFonts w:hint="eastAsia" w:ascii="宋体" w:hAnsi="宋体" w:cs="宋体"/>
                <w:strike w:val="0"/>
                <w:dstrike w:val="0"/>
                <w:color w:val="auto"/>
                <w:kern w:val="0"/>
                <w:sz w:val="21"/>
                <w:szCs w:val="21"/>
                <w:highlight w:val="none"/>
                <w:lang w:val="en-US" w:eastAsia="zh-CN"/>
              </w:rPr>
              <w:t>3</w:t>
            </w:r>
            <w:r>
              <w:rPr>
                <w:rFonts w:hint="default" w:ascii="宋体" w:hAnsi="宋体" w:cs="宋体"/>
                <w:strike w:val="0"/>
                <w:dstrike w:val="0"/>
                <w:color w:val="auto"/>
                <w:kern w:val="0"/>
                <w:sz w:val="21"/>
                <w:szCs w:val="21"/>
                <w:highlight w:val="none"/>
                <w:lang w:val="en-US" w:eastAsia="zh-CN"/>
              </w:rPr>
              <w:t>人。</w:t>
            </w:r>
          </w:p>
          <w:p w14:paraId="642B8A35">
            <w:pPr>
              <w:keepNext w:val="0"/>
              <w:keepLines w:val="0"/>
              <w:pageBreakBefore w:val="0"/>
              <w:kinsoku/>
              <w:wordWrap w:val="0"/>
              <w:overflowPunct/>
              <w:topLinePunct w:val="0"/>
              <w:autoSpaceDE/>
              <w:autoSpaceDN/>
              <w:bidi w:val="0"/>
              <w:adjustRightInd w:val="0"/>
              <w:snapToGrid w:val="0"/>
              <w:spacing w:line="400" w:lineRule="exact"/>
              <w:jc w:val="left"/>
              <w:textAlignment w:val="auto"/>
              <w:rPr>
                <w:rFonts w:hint="default" w:ascii="宋体" w:hAnsi="宋体" w:cs="宋体"/>
                <w:strike w:val="0"/>
                <w:dstrike w:val="0"/>
                <w:color w:val="auto"/>
                <w:kern w:val="0"/>
                <w:sz w:val="21"/>
                <w:szCs w:val="21"/>
                <w:highlight w:val="none"/>
                <w:lang w:eastAsia="zh-CN"/>
              </w:rPr>
            </w:pPr>
            <w:r>
              <w:rPr>
                <w:rFonts w:hint="default" w:ascii="宋体" w:hAnsi="宋体" w:cs="宋体"/>
                <w:strike w:val="0"/>
                <w:dstrike w:val="0"/>
                <w:color w:val="auto"/>
                <w:kern w:val="0"/>
                <w:sz w:val="21"/>
                <w:szCs w:val="21"/>
                <w:highlight w:val="none"/>
                <w:lang w:eastAsia="zh-CN"/>
              </w:rPr>
              <w:t>注：拟投入本项目的以上人员均是投标人在职在岗正式员工，投标文件需提供人员职称证书证明材料复印件</w:t>
            </w:r>
            <w:r>
              <w:rPr>
                <w:rFonts w:hint="eastAsia" w:ascii="宋体" w:hAnsi="宋体" w:cs="宋体"/>
                <w:strike w:val="0"/>
                <w:dstrike w:val="0"/>
                <w:color w:val="auto"/>
                <w:kern w:val="0"/>
                <w:sz w:val="21"/>
                <w:szCs w:val="21"/>
                <w:highlight w:val="none"/>
                <w:lang w:val="en-US" w:eastAsia="zh-CN"/>
              </w:rPr>
              <w:t>、</w:t>
            </w:r>
            <w:r>
              <w:rPr>
                <w:rFonts w:hint="default" w:ascii="宋体" w:hAnsi="宋体" w:cs="宋体"/>
                <w:strike w:val="0"/>
                <w:dstrike w:val="0"/>
                <w:color w:val="auto"/>
                <w:kern w:val="0"/>
                <w:sz w:val="21"/>
                <w:szCs w:val="21"/>
                <w:highlight w:val="none"/>
                <w:lang w:eastAsia="zh-CN"/>
              </w:rPr>
              <w:t>项目实施人员劳动合同复印件或事业单位编制证明复印件</w:t>
            </w:r>
            <w:r>
              <w:rPr>
                <w:rFonts w:hint="default" w:ascii="宋体" w:hAnsi="宋体" w:cs="宋体"/>
                <w:strike w:val="0"/>
                <w:dstrike w:val="0"/>
                <w:color w:val="auto"/>
                <w:kern w:val="0"/>
                <w:sz w:val="21"/>
                <w:szCs w:val="21"/>
                <w:highlight w:val="none"/>
                <w:lang w:val="en-US" w:eastAsia="zh-CN"/>
              </w:rPr>
              <w:t>并加盖投标人公章（或电子签章）</w:t>
            </w:r>
            <w:r>
              <w:rPr>
                <w:rFonts w:hint="default" w:ascii="宋体" w:hAnsi="宋体" w:cs="宋体"/>
                <w:strike w:val="0"/>
                <w:dstrike w:val="0"/>
                <w:color w:val="auto"/>
                <w:kern w:val="0"/>
                <w:sz w:val="21"/>
                <w:szCs w:val="21"/>
                <w:highlight w:val="none"/>
                <w:lang w:eastAsia="zh-CN"/>
              </w:rPr>
              <w:t>。</w:t>
            </w:r>
          </w:p>
          <w:p w14:paraId="6E58F2E2">
            <w:pPr>
              <w:keepNext w:val="0"/>
              <w:keepLines w:val="0"/>
              <w:pageBreakBefore w:val="0"/>
              <w:kinsoku/>
              <w:wordWrap w:val="0"/>
              <w:overflowPunct/>
              <w:topLinePunct w:val="0"/>
              <w:autoSpaceDE/>
              <w:autoSpaceDN/>
              <w:bidi w:val="0"/>
              <w:adjustRightInd w:val="0"/>
              <w:snapToGrid w:val="0"/>
              <w:spacing w:line="400" w:lineRule="exact"/>
              <w:jc w:val="left"/>
              <w:textAlignment w:val="auto"/>
              <w:rPr>
                <w:rFonts w:hint="eastAsia" w:ascii="宋体" w:hAnsi="宋体" w:cs="宋体"/>
                <w:strike w:val="0"/>
                <w:dstrike w:val="0"/>
                <w:color w:val="auto"/>
                <w:kern w:val="0"/>
                <w:sz w:val="21"/>
                <w:szCs w:val="21"/>
                <w:highlight w:val="none"/>
                <w:lang w:val="en-US" w:eastAsia="zh-CN"/>
              </w:rPr>
            </w:pPr>
            <w:r>
              <w:rPr>
                <w:rFonts w:hint="eastAsia" w:ascii="宋体" w:hAnsi="宋体" w:cs="宋体"/>
                <w:strike w:val="0"/>
                <w:dstrike w:val="0"/>
                <w:color w:val="auto"/>
                <w:kern w:val="0"/>
                <w:sz w:val="21"/>
                <w:szCs w:val="21"/>
                <w:highlight w:val="none"/>
                <w:lang w:val="en-US" w:eastAsia="zh-CN"/>
              </w:rPr>
              <w:t>2.中标人拟投入的项目服务团队人员信息应提交至采购人备案，项目开展期间不得更换负责人，项目服务期限内项目负责人与采购人对接日常所有事宜。（联系方式须上报采购人备案，如有更改须及时通知采购人，以便联系和沟通。）</w:t>
            </w:r>
          </w:p>
        </w:tc>
        <w:tc>
          <w:tcPr>
            <w:tcW w:w="971" w:type="dxa"/>
            <w:tcBorders>
              <w:top w:val="single" w:color="auto" w:sz="4" w:space="0"/>
              <w:left w:val="single" w:color="auto" w:sz="4" w:space="0"/>
              <w:bottom w:val="single" w:color="auto" w:sz="4" w:space="0"/>
              <w:right w:val="single" w:color="auto" w:sz="4" w:space="0"/>
            </w:tcBorders>
            <w:vAlign w:val="center"/>
          </w:tcPr>
          <w:p w14:paraId="6AE2B999">
            <w:pPr>
              <w:pStyle w:val="112"/>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宋体" w:hAnsi="宋体" w:eastAsia="宋体" w:cs="宋体"/>
                <w:strike w:val="0"/>
                <w:dstrike w:val="0"/>
                <w:color w:val="auto"/>
                <w:sz w:val="21"/>
                <w:szCs w:val="21"/>
                <w:highlight w:val="none"/>
                <w:lang w:val="en-US" w:eastAsia="zh-CN"/>
              </w:rPr>
            </w:pPr>
            <w:r>
              <w:rPr>
                <w:rFonts w:hint="eastAsia" w:ascii="宋体" w:hAnsi="宋体" w:cs="宋体"/>
                <w:strike w:val="0"/>
                <w:dstrike w:val="0"/>
                <w:color w:val="auto"/>
                <w:sz w:val="21"/>
                <w:szCs w:val="21"/>
                <w:highlight w:val="none"/>
                <w:lang w:val="en-US" w:eastAsia="zh-CN"/>
              </w:rPr>
              <w:t>12700000.00</w:t>
            </w:r>
          </w:p>
        </w:tc>
      </w:tr>
      <w:tr w14:paraId="47E9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02" w:type="dxa"/>
            <w:gridSpan w:val="4"/>
            <w:tcBorders>
              <w:top w:val="single" w:color="auto" w:sz="4" w:space="0"/>
              <w:left w:val="single" w:color="auto" w:sz="4" w:space="0"/>
              <w:bottom w:val="single" w:color="auto" w:sz="4" w:space="0"/>
              <w:right w:val="single" w:color="auto" w:sz="4" w:space="0"/>
            </w:tcBorders>
            <w:vAlign w:val="center"/>
          </w:tcPr>
          <w:p w14:paraId="322F83BA">
            <w:pPr>
              <w:keepNext w:val="0"/>
              <w:keepLines w:val="0"/>
              <w:pageBreakBefore w:val="0"/>
              <w:kinsoku/>
              <w:wordWrap w:val="0"/>
              <w:overflowPunct/>
              <w:topLinePunct w:val="0"/>
              <w:autoSpaceDE/>
              <w:autoSpaceDN/>
              <w:bidi w:val="0"/>
              <w:spacing w:line="400" w:lineRule="exact"/>
              <w:jc w:val="center"/>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color w:val="auto"/>
                <w:sz w:val="21"/>
                <w:szCs w:val="21"/>
                <w:highlight w:val="none"/>
              </w:rPr>
              <w:t>最高限价合计</w:t>
            </w:r>
          </w:p>
        </w:tc>
        <w:tc>
          <w:tcPr>
            <w:tcW w:w="6120" w:type="dxa"/>
            <w:gridSpan w:val="2"/>
            <w:tcBorders>
              <w:top w:val="single" w:color="auto" w:sz="4" w:space="0"/>
              <w:left w:val="single" w:color="auto" w:sz="4" w:space="0"/>
              <w:bottom w:val="single" w:color="auto" w:sz="4" w:space="0"/>
              <w:right w:val="single" w:color="auto" w:sz="4" w:space="0"/>
            </w:tcBorders>
            <w:vAlign w:val="center"/>
          </w:tcPr>
          <w:p w14:paraId="18A18612">
            <w:pPr>
              <w:pStyle w:val="112"/>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宋体" w:hAnsi="宋体" w:eastAsia="宋体" w:cs="宋体"/>
                <w:strike w:val="0"/>
                <w:dstrike w:val="0"/>
                <w:color w:val="auto"/>
                <w:sz w:val="21"/>
                <w:szCs w:val="21"/>
                <w:highlight w:val="none"/>
                <w:lang w:val="en-US" w:eastAsia="en-US"/>
              </w:rPr>
            </w:pPr>
            <w:r>
              <w:rPr>
                <w:rFonts w:hint="eastAsia" w:ascii="宋体" w:hAnsi="宋体" w:cs="宋体"/>
                <w:strike w:val="0"/>
                <w:dstrike w:val="0"/>
                <w:color w:val="auto"/>
                <w:sz w:val="21"/>
                <w:szCs w:val="21"/>
                <w:highlight w:val="none"/>
                <w:lang w:val="en-US" w:eastAsia="zh-CN"/>
              </w:rPr>
              <w:t>12700000.00</w:t>
            </w:r>
            <w:r>
              <w:rPr>
                <w:rFonts w:hint="eastAsia" w:ascii="宋体" w:hAnsi="宋体" w:eastAsia="宋体" w:cs="宋体"/>
                <w:strike w:val="0"/>
                <w:dstrike w:val="0"/>
                <w:color w:val="auto"/>
                <w:sz w:val="21"/>
                <w:szCs w:val="21"/>
                <w:highlight w:val="none"/>
                <w:lang w:val="en-US" w:eastAsia="zh-CN"/>
              </w:rPr>
              <w:t>元</w:t>
            </w:r>
          </w:p>
        </w:tc>
      </w:tr>
      <w:tr w14:paraId="4C06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22" w:type="dxa"/>
            <w:gridSpan w:val="6"/>
            <w:tcBorders>
              <w:top w:val="single" w:color="auto" w:sz="4" w:space="0"/>
              <w:left w:val="single" w:color="auto" w:sz="4" w:space="0"/>
              <w:bottom w:val="single" w:color="auto" w:sz="4" w:space="0"/>
              <w:right w:val="single" w:color="auto" w:sz="4" w:space="0"/>
            </w:tcBorders>
            <w:vAlign w:val="center"/>
          </w:tcPr>
          <w:p w14:paraId="3B4F72FE">
            <w:pPr>
              <w:keepNext w:val="0"/>
              <w:keepLines w:val="0"/>
              <w:pageBreakBefore w:val="0"/>
              <w:kinsoku/>
              <w:wordWrap w:val="0"/>
              <w:overflowPunct/>
              <w:topLinePunct w:val="0"/>
              <w:autoSpaceDE/>
              <w:autoSpaceDN/>
              <w:bidi w:val="0"/>
              <w:adjustRightInd w:val="0"/>
              <w:snapToGrid w:val="0"/>
              <w:spacing w:line="400" w:lineRule="exact"/>
              <w:jc w:val="both"/>
              <w:textAlignment w:val="auto"/>
              <w:rPr>
                <w:rFonts w:hint="eastAsia" w:ascii="宋体" w:hAnsi="宋体" w:eastAsia="宋体" w:cs="宋体"/>
                <w:b/>
                <w:strike w:val="0"/>
                <w:dstrike w:val="0"/>
                <w:color w:val="auto"/>
                <w:kern w:val="0"/>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bCs/>
                <w:strike w:val="0"/>
                <w:dstrike w:val="0"/>
                <w:color w:val="auto"/>
                <w:sz w:val="21"/>
                <w:szCs w:val="21"/>
                <w:highlight w:val="none"/>
                <w:lang w:val="en-US" w:eastAsia="zh-CN"/>
              </w:rPr>
              <w:t>二、</w:t>
            </w:r>
            <w:r>
              <w:rPr>
                <w:rFonts w:hint="eastAsia" w:ascii="宋体" w:hAnsi="宋体" w:eastAsia="宋体" w:cs="宋体"/>
                <w:b/>
                <w:bCs/>
                <w:strike w:val="0"/>
                <w:dstrike w:val="0"/>
                <w:color w:val="auto"/>
                <w:sz w:val="21"/>
                <w:szCs w:val="21"/>
                <w:highlight w:val="none"/>
              </w:rPr>
              <w:t>商务要求</w:t>
            </w:r>
          </w:p>
        </w:tc>
      </w:tr>
      <w:tr w14:paraId="455C7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89" w:type="dxa"/>
            <w:gridSpan w:val="2"/>
            <w:tcBorders>
              <w:top w:val="single" w:color="auto" w:sz="4" w:space="0"/>
              <w:left w:val="single" w:color="auto" w:sz="4" w:space="0"/>
              <w:bottom w:val="single" w:color="auto" w:sz="4" w:space="0"/>
              <w:right w:val="single" w:color="auto" w:sz="4" w:space="0"/>
            </w:tcBorders>
            <w:vAlign w:val="center"/>
          </w:tcPr>
          <w:p w14:paraId="69EC50BC">
            <w:pPr>
              <w:pStyle w:val="112"/>
              <w:keepNext w:val="0"/>
              <w:keepLines w:val="0"/>
              <w:pageBreakBefore w:val="0"/>
              <w:kinsoku/>
              <w:wordWrap w:val="0"/>
              <w:overflowPunct/>
              <w:topLinePunct w:val="0"/>
              <w:autoSpaceDE/>
              <w:autoSpaceDN/>
              <w:bidi w:val="0"/>
              <w:spacing w:line="400" w:lineRule="exact"/>
              <w:textAlignment w:val="auto"/>
              <w:rPr>
                <w:rFonts w:hint="eastAsia" w:ascii="宋体" w:hAnsi="宋体" w:eastAsia="宋体" w:cs="宋体"/>
                <w:strike w:val="0"/>
                <w:dstrike w:val="0"/>
                <w:color w:val="auto"/>
                <w:kern w:val="0"/>
                <w:sz w:val="21"/>
                <w:szCs w:val="21"/>
                <w:highlight w:val="none"/>
              </w:rPr>
            </w:pPr>
            <w:r>
              <w:rPr>
                <w:rFonts w:hint="eastAsia" w:ascii="宋体" w:hAnsi="宋体" w:eastAsia="宋体" w:cs="宋体"/>
                <w:color w:val="auto"/>
                <w:sz w:val="21"/>
                <w:szCs w:val="21"/>
                <w:highlight w:val="none"/>
              </w:rPr>
              <w:t>（一）提交服务成果时间</w:t>
            </w:r>
          </w:p>
        </w:tc>
        <w:tc>
          <w:tcPr>
            <w:tcW w:w="6933" w:type="dxa"/>
            <w:gridSpan w:val="4"/>
            <w:tcBorders>
              <w:top w:val="single" w:color="auto" w:sz="4" w:space="0"/>
              <w:left w:val="single" w:color="auto" w:sz="4" w:space="0"/>
              <w:bottom w:val="single" w:color="auto" w:sz="4" w:space="0"/>
              <w:right w:val="single" w:color="auto" w:sz="4" w:space="0"/>
            </w:tcBorders>
            <w:vAlign w:val="center"/>
          </w:tcPr>
          <w:p w14:paraId="57728DF7">
            <w:pPr>
              <w:pStyle w:val="112"/>
              <w:keepNext w:val="0"/>
              <w:keepLines w:val="0"/>
              <w:pageBreakBefore w:val="0"/>
              <w:kinsoku/>
              <w:wordWrap w:val="0"/>
              <w:overflowPunct/>
              <w:topLinePunct w:val="0"/>
              <w:autoSpaceDE/>
              <w:autoSpaceDN/>
              <w:bidi w:val="0"/>
              <w:spacing w:line="400" w:lineRule="exact"/>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en-US"/>
              </w:rPr>
              <w:t>2026年12月31日前</w:t>
            </w:r>
            <w:r>
              <w:rPr>
                <w:rFonts w:hint="eastAsia" w:ascii="宋体" w:hAnsi="宋体" w:cs="宋体"/>
                <w:strike w:val="0"/>
                <w:dstrike w:val="0"/>
                <w:color w:val="auto"/>
                <w:sz w:val="21"/>
                <w:szCs w:val="21"/>
                <w:highlight w:val="none"/>
                <w:lang w:val="en-US" w:eastAsia="zh-CN"/>
              </w:rPr>
              <w:t>。</w:t>
            </w:r>
          </w:p>
        </w:tc>
      </w:tr>
      <w:tr w14:paraId="67AB5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89" w:type="dxa"/>
            <w:gridSpan w:val="2"/>
            <w:tcBorders>
              <w:top w:val="single" w:color="auto" w:sz="4" w:space="0"/>
              <w:left w:val="single" w:color="auto" w:sz="4" w:space="0"/>
              <w:bottom w:val="single" w:color="auto" w:sz="4" w:space="0"/>
              <w:right w:val="single" w:color="auto" w:sz="4" w:space="0"/>
            </w:tcBorders>
            <w:vAlign w:val="center"/>
          </w:tcPr>
          <w:p w14:paraId="1A05628E">
            <w:pPr>
              <w:pStyle w:val="112"/>
              <w:keepNext w:val="0"/>
              <w:keepLines w:val="0"/>
              <w:pageBreakBefore w:val="0"/>
              <w:kinsoku/>
              <w:wordWrap w:val="0"/>
              <w:overflowPunct/>
              <w:topLinePunct w:val="0"/>
              <w:autoSpaceDE/>
              <w:autoSpaceDN/>
              <w:bidi w:val="0"/>
              <w:spacing w:line="400" w:lineRule="exact"/>
              <w:textAlignment w:val="auto"/>
              <w:rPr>
                <w:rFonts w:hint="eastAsia" w:ascii="宋体" w:hAnsi="宋体" w:eastAsia="宋体" w:cs="宋体"/>
                <w:strike w:val="0"/>
                <w:dstrike w:val="0"/>
                <w:color w:val="auto"/>
                <w:kern w:val="0"/>
                <w:sz w:val="21"/>
                <w:szCs w:val="21"/>
                <w:highlight w:val="none"/>
              </w:rPr>
            </w:pPr>
            <w:r>
              <w:rPr>
                <w:rFonts w:hint="eastAsia" w:ascii="宋体" w:hAnsi="宋体" w:eastAsia="宋体" w:cs="宋体"/>
                <w:color w:val="auto"/>
                <w:sz w:val="21"/>
                <w:szCs w:val="21"/>
                <w:highlight w:val="none"/>
              </w:rPr>
              <w:t>（二）提交服务成果地点</w:t>
            </w:r>
          </w:p>
        </w:tc>
        <w:tc>
          <w:tcPr>
            <w:tcW w:w="6933" w:type="dxa"/>
            <w:gridSpan w:val="4"/>
            <w:tcBorders>
              <w:top w:val="single" w:color="auto" w:sz="4" w:space="0"/>
              <w:left w:val="single" w:color="auto" w:sz="4" w:space="0"/>
              <w:bottom w:val="single" w:color="auto" w:sz="4" w:space="0"/>
              <w:right w:val="single" w:color="auto" w:sz="4" w:space="0"/>
            </w:tcBorders>
            <w:vAlign w:val="center"/>
          </w:tcPr>
          <w:p w14:paraId="70135F01">
            <w:pPr>
              <w:pStyle w:val="112"/>
              <w:keepNext w:val="0"/>
              <w:keepLines w:val="0"/>
              <w:pageBreakBefore w:val="0"/>
              <w:kinsoku/>
              <w:wordWrap w:val="0"/>
              <w:overflowPunct/>
              <w:topLinePunct w:val="0"/>
              <w:autoSpaceDE/>
              <w:autoSpaceDN/>
              <w:bidi w:val="0"/>
              <w:spacing w:line="400" w:lineRule="exact"/>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en-US"/>
              </w:rPr>
              <w:t>采购人指定地点</w:t>
            </w:r>
            <w:r>
              <w:rPr>
                <w:rFonts w:hint="eastAsia" w:ascii="宋体" w:hAnsi="宋体" w:cs="宋体"/>
                <w:strike w:val="0"/>
                <w:dstrike w:val="0"/>
                <w:color w:val="auto"/>
                <w:sz w:val="21"/>
                <w:szCs w:val="21"/>
                <w:highlight w:val="none"/>
                <w:lang w:val="en-US" w:eastAsia="zh-CN"/>
              </w:rPr>
              <w:t>。</w:t>
            </w:r>
          </w:p>
        </w:tc>
      </w:tr>
      <w:tr w14:paraId="02BAE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89" w:type="dxa"/>
            <w:gridSpan w:val="2"/>
            <w:tcBorders>
              <w:top w:val="single" w:color="auto" w:sz="4" w:space="0"/>
              <w:left w:val="single" w:color="auto" w:sz="4" w:space="0"/>
              <w:bottom w:val="single" w:color="auto" w:sz="4" w:space="0"/>
              <w:right w:val="single" w:color="auto" w:sz="4" w:space="0"/>
            </w:tcBorders>
            <w:vAlign w:val="center"/>
          </w:tcPr>
          <w:p w14:paraId="3A44AC7D">
            <w:pPr>
              <w:pStyle w:val="112"/>
              <w:keepNext w:val="0"/>
              <w:keepLines w:val="0"/>
              <w:pageBreakBefore w:val="0"/>
              <w:kinsoku/>
              <w:wordWrap w:val="0"/>
              <w:overflowPunct/>
              <w:topLinePunct w:val="0"/>
              <w:autoSpaceDE/>
              <w:autoSpaceDN/>
              <w:bidi w:val="0"/>
              <w:spacing w:line="400" w:lineRule="exact"/>
              <w:textAlignment w:val="auto"/>
              <w:rPr>
                <w:rFonts w:hint="eastAsia" w:ascii="宋体" w:hAnsi="宋体" w:eastAsia="宋体" w:cs="宋体"/>
                <w:strike w:val="0"/>
                <w:dstrike w:val="0"/>
                <w:color w:val="auto"/>
                <w:kern w:val="0"/>
                <w:sz w:val="21"/>
                <w:szCs w:val="21"/>
                <w:highlight w:val="none"/>
              </w:rPr>
            </w:pPr>
            <w:r>
              <w:rPr>
                <w:rFonts w:hint="eastAsia" w:ascii="宋体" w:hAnsi="宋体" w:eastAsia="宋体" w:cs="宋体"/>
                <w:color w:val="auto"/>
                <w:sz w:val="21"/>
                <w:szCs w:val="21"/>
                <w:highlight w:val="none"/>
              </w:rPr>
              <w:t>（三）合同签订时间</w:t>
            </w:r>
          </w:p>
        </w:tc>
        <w:tc>
          <w:tcPr>
            <w:tcW w:w="6933" w:type="dxa"/>
            <w:gridSpan w:val="4"/>
            <w:tcBorders>
              <w:top w:val="single" w:color="auto" w:sz="4" w:space="0"/>
              <w:left w:val="single" w:color="auto" w:sz="4" w:space="0"/>
              <w:bottom w:val="single" w:color="auto" w:sz="4" w:space="0"/>
              <w:right w:val="single" w:color="auto" w:sz="4" w:space="0"/>
            </w:tcBorders>
            <w:vAlign w:val="center"/>
          </w:tcPr>
          <w:p w14:paraId="025971F2">
            <w:pPr>
              <w:pStyle w:val="112"/>
              <w:keepNext w:val="0"/>
              <w:keepLines w:val="0"/>
              <w:pageBreakBefore w:val="0"/>
              <w:kinsoku/>
              <w:wordWrap w:val="0"/>
              <w:overflowPunct/>
              <w:topLinePunct w:val="0"/>
              <w:autoSpaceDE/>
              <w:autoSpaceDN/>
              <w:bidi w:val="0"/>
              <w:spacing w:line="400" w:lineRule="exact"/>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自中标通知书发出之日起25日内</w:t>
            </w:r>
            <w:r>
              <w:rPr>
                <w:rFonts w:hint="eastAsia" w:ascii="宋体" w:hAnsi="宋体" w:cs="宋体"/>
                <w:strike w:val="0"/>
                <w:dstrike w:val="0"/>
                <w:color w:val="auto"/>
                <w:sz w:val="21"/>
                <w:szCs w:val="21"/>
                <w:highlight w:val="none"/>
                <w:lang w:val="en-US" w:eastAsia="zh-CN"/>
              </w:rPr>
              <w:t>。</w:t>
            </w:r>
          </w:p>
        </w:tc>
      </w:tr>
      <w:tr w14:paraId="665CA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89" w:type="dxa"/>
            <w:gridSpan w:val="2"/>
            <w:tcBorders>
              <w:top w:val="single" w:color="auto" w:sz="4" w:space="0"/>
              <w:left w:val="single" w:color="auto" w:sz="4" w:space="0"/>
              <w:bottom w:val="single" w:color="auto" w:sz="4" w:space="0"/>
              <w:right w:val="single" w:color="auto" w:sz="4" w:space="0"/>
            </w:tcBorders>
            <w:vAlign w:val="center"/>
          </w:tcPr>
          <w:p w14:paraId="4FA1FF6B">
            <w:pPr>
              <w:pStyle w:val="112"/>
              <w:keepNext w:val="0"/>
              <w:keepLines w:val="0"/>
              <w:pageBreakBefore w:val="0"/>
              <w:kinsoku/>
              <w:wordWrap w:val="0"/>
              <w:overflowPunct/>
              <w:topLinePunct w:val="0"/>
              <w:autoSpaceDE/>
              <w:autoSpaceDN/>
              <w:bidi w:val="0"/>
              <w:spacing w:line="400" w:lineRule="exact"/>
              <w:textAlignment w:val="auto"/>
              <w:rPr>
                <w:rFonts w:hint="eastAsia" w:ascii="宋体" w:hAnsi="宋体" w:eastAsia="宋体" w:cs="宋体"/>
                <w:strike w:val="0"/>
                <w:dstrike w:val="0"/>
                <w:color w:val="auto"/>
                <w:kern w:val="0"/>
                <w:sz w:val="21"/>
                <w:szCs w:val="21"/>
                <w:highlight w:val="none"/>
              </w:rPr>
            </w:pPr>
            <w:r>
              <w:rPr>
                <w:rFonts w:hint="eastAsia" w:ascii="宋体" w:hAnsi="宋体" w:eastAsia="宋体" w:cs="宋体"/>
                <w:color w:val="auto"/>
                <w:sz w:val="21"/>
                <w:szCs w:val="21"/>
                <w:highlight w:val="none"/>
              </w:rPr>
              <w:t>（四）服务标准</w:t>
            </w:r>
          </w:p>
        </w:tc>
        <w:tc>
          <w:tcPr>
            <w:tcW w:w="6933" w:type="dxa"/>
            <w:gridSpan w:val="4"/>
            <w:tcBorders>
              <w:top w:val="single" w:color="auto" w:sz="4" w:space="0"/>
              <w:left w:val="single" w:color="auto" w:sz="4" w:space="0"/>
              <w:bottom w:val="single" w:color="auto" w:sz="4" w:space="0"/>
              <w:right w:val="single" w:color="auto" w:sz="4" w:space="0"/>
            </w:tcBorders>
            <w:vAlign w:val="center"/>
          </w:tcPr>
          <w:p w14:paraId="453ACC2E">
            <w:pPr>
              <w:pStyle w:val="112"/>
              <w:keepNext w:val="0"/>
              <w:keepLines w:val="0"/>
              <w:pageBreakBefore w:val="0"/>
              <w:kinsoku/>
              <w:wordWrap w:val="0"/>
              <w:overflowPunct/>
              <w:topLinePunct w:val="0"/>
              <w:autoSpaceDE/>
              <w:autoSpaceDN/>
              <w:bidi w:val="0"/>
              <w:spacing w:line="400" w:lineRule="exact"/>
              <w:textAlignment w:val="auto"/>
              <w:rPr>
                <w:rFonts w:hint="eastAsia" w:ascii="宋体" w:hAnsi="宋体" w:eastAsia="宋体" w:cs="宋体"/>
                <w:strike w:val="0"/>
                <w:dstrike w:val="0"/>
                <w:color w:val="auto"/>
                <w:sz w:val="21"/>
                <w:szCs w:val="21"/>
                <w:highlight w:val="none"/>
                <w:lang w:val="en-US" w:eastAsia="en-US"/>
              </w:rPr>
            </w:pPr>
            <w:r>
              <w:rPr>
                <w:rFonts w:hint="eastAsia" w:ascii="宋体" w:hAnsi="宋体" w:eastAsia="宋体" w:cs="宋体"/>
                <w:strike w:val="0"/>
                <w:dstrike w:val="0"/>
                <w:color w:val="auto"/>
                <w:sz w:val="21"/>
                <w:szCs w:val="21"/>
                <w:highlight w:val="none"/>
                <w:lang w:val="en-US" w:eastAsia="en-US"/>
              </w:rPr>
              <w:t>符合现行国家相关标准、行业标准、地方标准及本项目要求。</w:t>
            </w:r>
          </w:p>
        </w:tc>
      </w:tr>
      <w:tr w14:paraId="26A1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84219B">
            <w:pPr>
              <w:pStyle w:val="112"/>
              <w:keepNext w:val="0"/>
              <w:keepLines w:val="0"/>
              <w:pageBreakBefore w:val="0"/>
              <w:kinsoku/>
              <w:wordWrap w:val="0"/>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w:t>
            </w:r>
            <w:r>
              <w:rPr>
                <w:rFonts w:hint="eastAsia" w:ascii="宋体" w:hAnsi="宋体" w:eastAsia="宋体" w:cs="宋体"/>
                <w:color w:val="auto"/>
                <w:sz w:val="21"/>
                <w:szCs w:val="21"/>
                <w:highlight w:val="none"/>
                <w:lang w:val="en-US" w:eastAsia="zh-CN"/>
              </w:rPr>
              <w:t>处理问题响应时间</w:t>
            </w:r>
          </w:p>
        </w:tc>
        <w:tc>
          <w:tcPr>
            <w:tcW w:w="693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5D408C3">
            <w:pPr>
              <w:pStyle w:val="112"/>
              <w:keepNext w:val="0"/>
              <w:keepLines w:val="0"/>
              <w:pageBreakBefore w:val="0"/>
              <w:kinsoku/>
              <w:wordWrap w:val="0"/>
              <w:overflowPunct/>
              <w:topLinePunct w:val="0"/>
              <w:autoSpaceDE/>
              <w:autoSpaceDN/>
              <w:bidi w:val="0"/>
              <w:spacing w:line="400" w:lineRule="exact"/>
              <w:jc w:val="both"/>
              <w:textAlignment w:val="auto"/>
              <w:rPr>
                <w:rFonts w:hint="eastAsia" w:ascii="宋体" w:hAnsi="宋体" w:eastAsia="宋体" w:cs="宋体"/>
                <w:strike w:val="0"/>
                <w:dstrike w:val="0"/>
                <w:color w:val="auto"/>
                <w:sz w:val="21"/>
                <w:szCs w:val="21"/>
                <w:highlight w:val="none"/>
                <w:lang w:val="en-US" w:eastAsia="en-US"/>
              </w:rPr>
            </w:pPr>
            <w:r>
              <w:rPr>
                <w:rFonts w:hint="eastAsia" w:ascii="宋体" w:hAnsi="宋体" w:eastAsia="宋体" w:cs="宋体"/>
                <w:strike w:val="0"/>
                <w:dstrike w:val="0"/>
                <w:color w:val="auto"/>
                <w:sz w:val="21"/>
                <w:szCs w:val="21"/>
                <w:highlight w:val="none"/>
                <w:lang w:val="en-US" w:eastAsia="en-US"/>
              </w:rPr>
              <w:t>接到采购人处理问题通知后4小时内到达采购人指定现场，8小时内提出解决方案，3个工作日内完成问题处理。</w:t>
            </w:r>
          </w:p>
        </w:tc>
      </w:tr>
      <w:tr w14:paraId="2378A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9CBEF3">
            <w:pPr>
              <w:pStyle w:val="112"/>
              <w:keepNext w:val="0"/>
              <w:keepLines w:val="0"/>
              <w:pageBreakBefore w:val="0"/>
              <w:kinsoku/>
              <w:wordWrap w:val="0"/>
              <w:overflowPunct/>
              <w:topLinePunct w:val="0"/>
              <w:autoSpaceDE/>
              <w:autoSpaceDN/>
              <w:bidi w:val="0"/>
              <w:spacing w:line="400" w:lineRule="exact"/>
              <w:textAlignment w:val="auto"/>
              <w:rPr>
                <w:rFonts w:hint="eastAsia" w:ascii="宋体" w:hAnsi="宋体" w:eastAsia="宋体" w:cs="宋体"/>
                <w:strike w:val="0"/>
                <w:dstrike w:val="0"/>
                <w:color w:val="auto"/>
                <w:kern w:val="0"/>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六</w:t>
            </w:r>
            <w:r>
              <w:rPr>
                <w:rFonts w:hint="eastAsia" w:ascii="宋体" w:hAnsi="宋体" w:eastAsia="宋体" w:cs="宋体"/>
                <w:color w:val="auto"/>
                <w:sz w:val="21"/>
                <w:szCs w:val="21"/>
                <w:highlight w:val="none"/>
              </w:rPr>
              <w:t>）付款方式</w:t>
            </w:r>
          </w:p>
        </w:tc>
        <w:tc>
          <w:tcPr>
            <w:tcW w:w="693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090BC55">
            <w:pPr>
              <w:pStyle w:val="112"/>
              <w:keepNext w:val="0"/>
              <w:keepLines w:val="0"/>
              <w:pageBreakBefore w:val="0"/>
              <w:kinsoku/>
              <w:wordWrap w:val="0"/>
              <w:overflowPunct/>
              <w:topLinePunct w:val="0"/>
              <w:autoSpaceDE/>
              <w:autoSpaceDN/>
              <w:bidi w:val="0"/>
              <w:spacing w:line="400" w:lineRule="exact"/>
              <w:jc w:val="both"/>
              <w:textAlignment w:val="auto"/>
              <w:rPr>
                <w:rFonts w:hint="default" w:ascii="宋体" w:hAnsi="宋体" w:eastAsia="宋体" w:cs="宋体"/>
                <w:strike w:val="0"/>
                <w:dstrike w:val="0"/>
                <w:color w:val="auto"/>
                <w:sz w:val="21"/>
                <w:szCs w:val="21"/>
                <w:highlight w:val="none"/>
                <w:lang w:val="en-US" w:eastAsia="en-US"/>
              </w:rPr>
            </w:pPr>
            <w:r>
              <w:rPr>
                <w:rFonts w:hint="default" w:ascii="宋体" w:hAnsi="宋体" w:eastAsia="宋体" w:cs="宋体"/>
                <w:strike w:val="0"/>
                <w:dstrike w:val="0"/>
                <w:color w:val="auto"/>
                <w:sz w:val="21"/>
                <w:szCs w:val="21"/>
                <w:highlight w:val="none"/>
                <w:lang w:val="en-US" w:eastAsia="en-US"/>
              </w:rPr>
              <w:t>1</w:t>
            </w:r>
            <w:r>
              <w:rPr>
                <w:rFonts w:hint="eastAsia" w:ascii="宋体" w:hAnsi="宋体" w:cs="宋体"/>
                <w:strike w:val="0"/>
                <w:dstrike w:val="0"/>
                <w:color w:val="auto"/>
                <w:sz w:val="21"/>
                <w:szCs w:val="21"/>
                <w:highlight w:val="none"/>
                <w:lang w:val="en-US" w:eastAsia="zh-CN"/>
              </w:rPr>
              <w:t>.</w:t>
            </w:r>
            <w:r>
              <w:rPr>
                <w:rFonts w:hint="default" w:ascii="宋体" w:hAnsi="宋体" w:eastAsia="宋体" w:cs="宋体"/>
                <w:strike w:val="0"/>
                <w:dstrike w:val="0"/>
                <w:color w:val="auto"/>
                <w:sz w:val="21"/>
                <w:szCs w:val="21"/>
                <w:highlight w:val="none"/>
                <w:lang w:val="en-US" w:eastAsia="en-US"/>
              </w:rPr>
              <w:t>合同生效之日起7个工作日内，</w:t>
            </w:r>
            <w:r>
              <w:rPr>
                <w:rFonts w:hint="eastAsia" w:ascii="宋体" w:hAnsi="宋体" w:eastAsia="宋体" w:cs="宋体"/>
                <w:strike w:val="0"/>
                <w:dstrike w:val="0"/>
                <w:color w:val="auto"/>
                <w:sz w:val="21"/>
                <w:szCs w:val="21"/>
                <w:highlight w:val="none"/>
                <w:lang w:val="en-US" w:eastAsia="zh-CN"/>
              </w:rPr>
              <w:t>采购人</w:t>
            </w:r>
            <w:r>
              <w:rPr>
                <w:rFonts w:hint="default" w:ascii="宋体" w:hAnsi="宋体" w:eastAsia="宋体" w:cs="宋体"/>
                <w:strike w:val="0"/>
                <w:dstrike w:val="0"/>
                <w:color w:val="auto"/>
                <w:sz w:val="21"/>
                <w:szCs w:val="21"/>
                <w:highlight w:val="none"/>
                <w:lang w:val="en-US" w:eastAsia="en-US"/>
              </w:rPr>
              <w:t>向</w:t>
            </w:r>
            <w:r>
              <w:rPr>
                <w:rFonts w:hint="eastAsia" w:ascii="宋体" w:hAnsi="宋体" w:eastAsia="宋体" w:cs="宋体"/>
                <w:strike w:val="0"/>
                <w:dstrike w:val="0"/>
                <w:color w:val="auto"/>
                <w:sz w:val="21"/>
                <w:szCs w:val="21"/>
                <w:highlight w:val="none"/>
                <w:lang w:val="en-US" w:eastAsia="zh-CN"/>
              </w:rPr>
              <w:t>中标人</w:t>
            </w:r>
            <w:r>
              <w:rPr>
                <w:rFonts w:hint="default" w:ascii="宋体" w:hAnsi="宋体" w:eastAsia="宋体" w:cs="宋体"/>
                <w:strike w:val="0"/>
                <w:dstrike w:val="0"/>
                <w:color w:val="auto"/>
                <w:sz w:val="21"/>
                <w:szCs w:val="21"/>
                <w:highlight w:val="none"/>
                <w:lang w:val="en-US" w:eastAsia="en-US"/>
              </w:rPr>
              <w:t>支付服务费总额</w:t>
            </w:r>
            <w:r>
              <w:rPr>
                <w:rFonts w:hint="default" w:ascii="宋体" w:hAnsi="宋体" w:eastAsia="宋体" w:cs="宋体"/>
                <w:strike w:val="0"/>
                <w:dstrike w:val="0"/>
                <w:color w:val="auto"/>
                <w:sz w:val="21"/>
                <w:szCs w:val="21"/>
                <w:highlight w:val="none"/>
                <w:lang w:val="en-US" w:eastAsia="zh-CN"/>
              </w:rPr>
              <w:t>50</w:t>
            </w:r>
            <w:r>
              <w:rPr>
                <w:rFonts w:hint="default" w:ascii="宋体" w:hAnsi="宋体" w:eastAsia="宋体" w:cs="宋体"/>
                <w:strike w:val="0"/>
                <w:dstrike w:val="0"/>
                <w:color w:val="auto"/>
                <w:sz w:val="21"/>
                <w:szCs w:val="21"/>
                <w:highlight w:val="none"/>
                <w:lang w:val="en-US" w:eastAsia="en-US"/>
              </w:rPr>
              <w:t>%；</w:t>
            </w:r>
          </w:p>
          <w:p w14:paraId="187D4137">
            <w:pPr>
              <w:pStyle w:val="112"/>
              <w:keepNext w:val="0"/>
              <w:keepLines w:val="0"/>
              <w:pageBreakBefore w:val="0"/>
              <w:kinsoku/>
              <w:wordWrap w:val="0"/>
              <w:overflowPunct/>
              <w:topLinePunct w:val="0"/>
              <w:autoSpaceDE/>
              <w:autoSpaceDN/>
              <w:bidi w:val="0"/>
              <w:spacing w:line="400" w:lineRule="exact"/>
              <w:jc w:val="both"/>
              <w:textAlignment w:val="auto"/>
              <w:rPr>
                <w:rFonts w:hint="default" w:ascii="宋体" w:hAnsi="宋体" w:eastAsia="宋体" w:cs="宋体"/>
                <w:strike w:val="0"/>
                <w:dstrike w:val="0"/>
                <w:color w:val="auto"/>
                <w:sz w:val="21"/>
                <w:szCs w:val="21"/>
                <w:highlight w:val="none"/>
                <w:lang w:val="en-US" w:eastAsia="en-US"/>
              </w:rPr>
            </w:pPr>
            <w:r>
              <w:rPr>
                <w:rFonts w:hint="default" w:ascii="宋体" w:hAnsi="宋体" w:eastAsia="宋体" w:cs="宋体"/>
                <w:strike w:val="0"/>
                <w:dstrike w:val="0"/>
                <w:color w:val="auto"/>
                <w:sz w:val="21"/>
                <w:szCs w:val="21"/>
                <w:highlight w:val="none"/>
                <w:lang w:val="en-US" w:eastAsia="en-US"/>
              </w:rPr>
              <w:t>2</w:t>
            </w:r>
            <w:r>
              <w:rPr>
                <w:rFonts w:hint="eastAsia" w:ascii="宋体" w:hAnsi="宋体" w:cs="宋体"/>
                <w:strike w:val="0"/>
                <w:dstrike w:val="0"/>
                <w:color w:val="auto"/>
                <w:sz w:val="21"/>
                <w:szCs w:val="21"/>
                <w:highlight w:val="none"/>
                <w:lang w:val="en-US" w:eastAsia="zh-CN"/>
              </w:rPr>
              <w:t>.</w:t>
            </w:r>
            <w:r>
              <w:rPr>
                <w:rFonts w:hint="eastAsia" w:ascii="宋体" w:hAnsi="宋体" w:eastAsia="宋体" w:cs="宋体"/>
                <w:strike w:val="0"/>
                <w:dstrike w:val="0"/>
                <w:color w:val="auto"/>
                <w:sz w:val="21"/>
                <w:szCs w:val="21"/>
                <w:highlight w:val="none"/>
                <w:lang w:val="en-US" w:eastAsia="zh-CN"/>
              </w:rPr>
              <w:t>中标人</w:t>
            </w:r>
            <w:r>
              <w:rPr>
                <w:rFonts w:hint="default" w:ascii="宋体" w:hAnsi="宋体" w:eastAsia="宋体" w:cs="宋体"/>
                <w:strike w:val="0"/>
                <w:dstrike w:val="0"/>
                <w:color w:val="auto"/>
                <w:sz w:val="21"/>
                <w:szCs w:val="21"/>
                <w:highlight w:val="none"/>
                <w:lang w:val="en-US" w:eastAsia="en-US"/>
              </w:rPr>
              <w:t>按照项目合同要求，</w:t>
            </w:r>
            <w:r>
              <w:rPr>
                <w:rFonts w:hint="default" w:ascii="宋体" w:hAnsi="宋体" w:eastAsia="宋体" w:cs="宋体"/>
                <w:strike w:val="0"/>
                <w:dstrike w:val="0"/>
                <w:color w:val="auto"/>
                <w:sz w:val="21"/>
                <w:szCs w:val="21"/>
                <w:highlight w:val="none"/>
                <w:lang w:val="en-US" w:eastAsia="zh-CN"/>
              </w:rPr>
              <w:t>完成广西“千吨万人”饮用水水源重金属环境风险隐患问题排查及复核、试点水源重金属污染溯源、供水设施重金属污染防控与应急能力调查等工作，并提交排查报告、监测结果、问题清单等相应成果</w:t>
            </w:r>
            <w:r>
              <w:rPr>
                <w:rFonts w:hint="default" w:ascii="宋体" w:hAnsi="宋体" w:eastAsia="宋体" w:cs="宋体"/>
                <w:strike w:val="0"/>
                <w:dstrike w:val="0"/>
                <w:color w:val="auto"/>
                <w:sz w:val="21"/>
                <w:szCs w:val="21"/>
                <w:highlight w:val="none"/>
                <w:lang w:val="en-US" w:eastAsia="en-US"/>
              </w:rPr>
              <w:t>后，</w:t>
            </w:r>
            <w:r>
              <w:rPr>
                <w:rFonts w:hint="eastAsia" w:ascii="宋体" w:hAnsi="宋体" w:eastAsia="宋体" w:cs="宋体"/>
                <w:strike w:val="0"/>
                <w:dstrike w:val="0"/>
                <w:color w:val="auto"/>
                <w:sz w:val="21"/>
                <w:szCs w:val="21"/>
                <w:highlight w:val="none"/>
                <w:lang w:val="en-US" w:eastAsia="zh-CN"/>
              </w:rPr>
              <w:t>采购人</w:t>
            </w:r>
            <w:r>
              <w:rPr>
                <w:rFonts w:hint="default" w:ascii="宋体" w:hAnsi="宋体" w:eastAsia="宋体" w:cs="宋体"/>
                <w:strike w:val="0"/>
                <w:dstrike w:val="0"/>
                <w:color w:val="auto"/>
                <w:sz w:val="21"/>
                <w:szCs w:val="21"/>
                <w:highlight w:val="none"/>
                <w:lang w:val="en-US" w:eastAsia="en-US"/>
              </w:rPr>
              <w:t>于7个工作日内向</w:t>
            </w:r>
            <w:r>
              <w:rPr>
                <w:rFonts w:hint="eastAsia" w:ascii="宋体" w:hAnsi="宋体" w:eastAsia="宋体" w:cs="宋体"/>
                <w:strike w:val="0"/>
                <w:dstrike w:val="0"/>
                <w:color w:val="auto"/>
                <w:sz w:val="21"/>
                <w:szCs w:val="21"/>
                <w:highlight w:val="none"/>
                <w:lang w:val="en-US" w:eastAsia="zh-CN"/>
              </w:rPr>
              <w:t>中标人</w:t>
            </w:r>
            <w:r>
              <w:rPr>
                <w:rFonts w:hint="default" w:ascii="宋体" w:hAnsi="宋体" w:eastAsia="宋体" w:cs="宋体"/>
                <w:strike w:val="0"/>
                <w:dstrike w:val="0"/>
                <w:color w:val="auto"/>
                <w:sz w:val="21"/>
                <w:szCs w:val="21"/>
                <w:highlight w:val="none"/>
                <w:lang w:val="en-US" w:eastAsia="en-US"/>
              </w:rPr>
              <w:t>支付服务费总额</w:t>
            </w:r>
            <w:r>
              <w:rPr>
                <w:rFonts w:hint="default" w:ascii="宋体" w:hAnsi="宋体" w:eastAsia="宋体" w:cs="宋体"/>
                <w:strike w:val="0"/>
                <w:dstrike w:val="0"/>
                <w:color w:val="auto"/>
                <w:sz w:val="21"/>
                <w:szCs w:val="21"/>
                <w:highlight w:val="none"/>
                <w:lang w:val="en-US" w:eastAsia="zh-CN"/>
              </w:rPr>
              <w:t>40</w:t>
            </w:r>
            <w:r>
              <w:rPr>
                <w:rFonts w:hint="default" w:ascii="宋体" w:hAnsi="宋体" w:eastAsia="宋体" w:cs="宋体"/>
                <w:strike w:val="0"/>
                <w:dstrike w:val="0"/>
                <w:color w:val="auto"/>
                <w:sz w:val="21"/>
                <w:szCs w:val="21"/>
                <w:highlight w:val="none"/>
                <w:lang w:val="en-US" w:eastAsia="en-US"/>
              </w:rPr>
              <w:t>%；</w:t>
            </w:r>
          </w:p>
          <w:p w14:paraId="6E0DB295">
            <w:pPr>
              <w:pStyle w:val="112"/>
              <w:keepNext w:val="0"/>
              <w:keepLines w:val="0"/>
              <w:pageBreakBefore w:val="0"/>
              <w:kinsoku/>
              <w:wordWrap w:val="0"/>
              <w:overflowPunct/>
              <w:topLinePunct w:val="0"/>
              <w:autoSpaceDE/>
              <w:autoSpaceDN/>
              <w:bidi w:val="0"/>
              <w:spacing w:line="400" w:lineRule="exact"/>
              <w:jc w:val="both"/>
              <w:textAlignment w:val="auto"/>
              <w:rPr>
                <w:rFonts w:hint="default" w:ascii="宋体" w:hAnsi="宋体" w:eastAsia="宋体" w:cs="宋体"/>
                <w:strike w:val="0"/>
                <w:dstrike w:val="0"/>
                <w:color w:val="auto"/>
                <w:sz w:val="21"/>
                <w:szCs w:val="21"/>
                <w:highlight w:val="none"/>
                <w:lang w:val="en-US" w:eastAsia="en-US"/>
              </w:rPr>
            </w:pPr>
            <w:r>
              <w:rPr>
                <w:rFonts w:hint="default" w:ascii="宋体" w:hAnsi="宋体" w:eastAsia="宋体" w:cs="宋体"/>
                <w:strike w:val="0"/>
                <w:dstrike w:val="0"/>
                <w:color w:val="auto"/>
                <w:sz w:val="21"/>
                <w:szCs w:val="21"/>
                <w:highlight w:val="none"/>
                <w:lang w:val="en-US" w:eastAsia="en-US"/>
              </w:rPr>
              <w:t>3</w:t>
            </w:r>
            <w:r>
              <w:rPr>
                <w:rFonts w:hint="eastAsia" w:ascii="宋体" w:hAnsi="宋体" w:cs="宋体"/>
                <w:strike w:val="0"/>
                <w:dstrike w:val="0"/>
                <w:color w:val="auto"/>
                <w:sz w:val="21"/>
                <w:szCs w:val="21"/>
                <w:highlight w:val="none"/>
                <w:lang w:val="en-US" w:eastAsia="zh-CN"/>
              </w:rPr>
              <w:t>.</w:t>
            </w:r>
            <w:r>
              <w:rPr>
                <w:rFonts w:hint="eastAsia" w:ascii="宋体" w:hAnsi="宋体" w:eastAsia="宋体" w:cs="宋体"/>
                <w:strike w:val="0"/>
                <w:dstrike w:val="0"/>
                <w:color w:val="auto"/>
                <w:sz w:val="21"/>
                <w:szCs w:val="21"/>
                <w:highlight w:val="none"/>
                <w:lang w:val="en-US" w:eastAsia="zh-CN"/>
              </w:rPr>
              <w:t>中标人</w:t>
            </w:r>
            <w:r>
              <w:rPr>
                <w:rFonts w:hint="default" w:ascii="宋体" w:hAnsi="宋体" w:eastAsia="宋体" w:cs="宋体"/>
                <w:strike w:val="0"/>
                <w:dstrike w:val="0"/>
                <w:color w:val="auto"/>
                <w:sz w:val="21"/>
                <w:szCs w:val="21"/>
                <w:highlight w:val="none"/>
                <w:lang w:val="en-US" w:eastAsia="en-US"/>
              </w:rPr>
              <w:t>按照项目合同要求完成所有服务并按照采购需求提交项目成果，经</w:t>
            </w:r>
            <w:r>
              <w:rPr>
                <w:rFonts w:hint="eastAsia" w:ascii="宋体" w:hAnsi="宋体" w:eastAsia="宋体" w:cs="宋体"/>
                <w:strike w:val="0"/>
                <w:dstrike w:val="0"/>
                <w:color w:val="auto"/>
                <w:sz w:val="21"/>
                <w:szCs w:val="21"/>
                <w:highlight w:val="none"/>
                <w:lang w:val="en-US" w:eastAsia="zh-CN"/>
              </w:rPr>
              <w:t>采购人</w:t>
            </w:r>
            <w:r>
              <w:rPr>
                <w:rFonts w:hint="default" w:ascii="宋体" w:hAnsi="宋体" w:eastAsia="宋体" w:cs="宋体"/>
                <w:strike w:val="0"/>
                <w:dstrike w:val="0"/>
                <w:color w:val="auto"/>
                <w:sz w:val="21"/>
                <w:szCs w:val="21"/>
                <w:highlight w:val="none"/>
                <w:lang w:val="en-US" w:eastAsia="en-US"/>
              </w:rPr>
              <w:t>验收合格后，</w:t>
            </w:r>
            <w:r>
              <w:rPr>
                <w:rFonts w:hint="eastAsia" w:ascii="宋体" w:hAnsi="宋体" w:eastAsia="宋体" w:cs="宋体"/>
                <w:strike w:val="0"/>
                <w:dstrike w:val="0"/>
                <w:color w:val="auto"/>
                <w:sz w:val="21"/>
                <w:szCs w:val="21"/>
                <w:highlight w:val="none"/>
                <w:lang w:val="en-US" w:eastAsia="zh-CN"/>
              </w:rPr>
              <w:t>采购人</w:t>
            </w:r>
            <w:r>
              <w:rPr>
                <w:rFonts w:hint="default" w:ascii="宋体" w:hAnsi="宋体" w:eastAsia="宋体" w:cs="宋体"/>
                <w:strike w:val="0"/>
                <w:dstrike w:val="0"/>
                <w:color w:val="auto"/>
                <w:sz w:val="21"/>
                <w:szCs w:val="21"/>
                <w:highlight w:val="none"/>
                <w:lang w:val="en-US" w:eastAsia="en-US"/>
              </w:rPr>
              <w:t>于7个工作日内支付剩余服务费总额1</w:t>
            </w:r>
            <w:r>
              <w:rPr>
                <w:rFonts w:hint="default" w:ascii="宋体" w:hAnsi="宋体" w:eastAsia="宋体" w:cs="宋体"/>
                <w:strike w:val="0"/>
                <w:dstrike w:val="0"/>
                <w:color w:val="auto"/>
                <w:sz w:val="21"/>
                <w:szCs w:val="21"/>
                <w:highlight w:val="none"/>
                <w:lang w:val="en-US" w:eastAsia="zh-CN"/>
              </w:rPr>
              <w:t>0</w:t>
            </w:r>
            <w:r>
              <w:rPr>
                <w:rFonts w:hint="default" w:ascii="宋体" w:hAnsi="宋体" w:eastAsia="宋体" w:cs="宋体"/>
                <w:strike w:val="0"/>
                <w:dstrike w:val="0"/>
                <w:color w:val="auto"/>
                <w:sz w:val="21"/>
                <w:szCs w:val="21"/>
                <w:highlight w:val="none"/>
                <w:lang w:val="en-US" w:eastAsia="en-US"/>
              </w:rPr>
              <w:t>%；</w:t>
            </w:r>
          </w:p>
          <w:p w14:paraId="51D6A8E1">
            <w:pPr>
              <w:pStyle w:val="112"/>
              <w:keepNext w:val="0"/>
              <w:keepLines w:val="0"/>
              <w:pageBreakBefore w:val="0"/>
              <w:kinsoku/>
              <w:wordWrap w:val="0"/>
              <w:overflowPunct/>
              <w:topLinePunct w:val="0"/>
              <w:autoSpaceDE/>
              <w:autoSpaceDN/>
              <w:bidi w:val="0"/>
              <w:spacing w:line="400" w:lineRule="exact"/>
              <w:jc w:val="both"/>
              <w:textAlignment w:val="auto"/>
              <w:rPr>
                <w:rFonts w:hint="eastAsia" w:ascii="宋体" w:hAnsi="宋体" w:eastAsia="宋体" w:cs="宋体"/>
                <w:strike w:val="0"/>
                <w:dstrike w:val="0"/>
                <w:color w:val="auto"/>
                <w:sz w:val="21"/>
                <w:szCs w:val="21"/>
                <w:highlight w:val="none"/>
                <w:lang w:val="en-US" w:eastAsia="en-US"/>
              </w:rPr>
            </w:pPr>
            <w:r>
              <w:rPr>
                <w:rFonts w:hint="default" w:ascii="宋体" w:hAnsi="宋体" w:eastAsia="宋体" w:cs="宋体"/>
                <w:strike w:val="0"/>
                <w:dstrike w:val="0"/>
                <w:color w:val="auto"/>
                <w:sz w:val="21"/>
                <w:szCs w:val="21"/>
                <w:highlight w:val="none"/>
                <w:lang w:val="en-US" w:eastAsia="en-US"/>
              </w:rPr>
              <w:t>4</w:t>
            </w:r>
            <w:r>
              <w:rPr>
                <w:rFonts w:hint="eastAsia" w:ascii="宋体" w:hAnsi="宋体" w:cs="宋体"/>
                <w:strike w:val="0"/>
                <w:dstrike w:val="0"/>
                <w:color w:val="auto"/>
                <w:sz w:val="21"/>
                <w:szCs w:val="21"/>
                <w:highlight w:val="none"/>
                <w:lang w:val="en-US" w:eastAsia="zh-CN"/>
              </w:rPr>
              <w:t>.</w:t>
            </w:r>
            <w:r>
              <w:rPr>
                <w:rFonts w:hint="eastAsia" w:ascii="宋体" w:hAnsi="宋体" w:eastAsia="宋体" w:cs="宋体"/>
                <w:strike w:val="0"/>
                <w:dstrike w:val="0"/>
                <w:color w:val="auto"/>
                <w:sz w:val="21"/>
                <w:szCs w:val="21"/>
                <w:highlight w:val="none"/>
                <w:lang w:val="en-US" w:eastAsia="zh-CN"/>
              </w:rPr>
              <w:t>中标人</w:t>
            </w:r>
            <w:r>
              <w:rPr>
                <w:rFonts w:hint="default" w:ascii="宋体" w:hAnsi="宋体" w:eastAsia="宋体" w:cs="宋体"/>
                <w:strike w:val="0"/>
                <w:dstrike w:val="0"/>
                <w:color w:val="auto"/>
                <w:sz w:val="21"/>
                <w:szCs w:val="21"/>
                <w:highlight w:val="none"/>
                <w:lang w:val="en-US" w:eastAsia="en-US"/>
              </w:rPr>
              <w:t>在</w:t>
            </w:r>
            <w:r>
              <w:rPr>
                <w:rFonts w:hint="eastAsia" w:ascii="宋体" w:hAnsi="宋体" w:eastAsia="宋体" w:cs="宋体"/>
                <w:strike w:val="0"/>
                <w:dstrike w:val="0"/>
                <w:color w:val="auto"/>
                <w:sz w:val="21"/>
                <w:szCs w:val="21"/>
                <w:highlight w:val="none"/>
                <w:lang w:val="en-US" w:eastAsia="zh-CN"/>
              </w:rPr>
              <w:t>采购人</w:t>
            </w:r>
            <w:r>
              <w:rPr>
                <w:rFonts w:hint="default" w:ascii="宋体" w:hAnsi="宋体" w:eastAsia="宋体" w:cs="宋体"/>
                <w:strike w:val="0"/>
                <w:dstrike w:val="0"/>
                <w:color w:val="auto"/>
                <w:sz w:val="21"/>
                <w:szCs w:val="21"/>
                <w:highlight w:val="none"/>
                <w:lang w:val="en-US" w:eastAsia="en-US"/>
              </w:rPr>
              <w:t>支付每笔款项后10个工作日内向</w:t>
            </w:r>
            <w:r>
              <w:rPr>
                <w:rFonts w:hint="eastAsia" w:ascii="宋体" w:hAnsi="宋体" w:eastAsia="宋体" w:cs="宋体"/>
                <w:strike w:val="0"/>
                <w:dstrike w:val="0"/>
                <w:color w:val="auto"/>
                <w:sz w:val="21"/>
                <w:szCs w:val="21"/>
                <w:highlight w:val="none"/>
                <w:lang w:val="en-US" w:eastAsia="zh-CN"/>
              </w:rPr>
              <w:t>采购人</w:t>
            </w:r>
            <w:r>
              <w:rPr>
                <w:rFonts w:hint="default" w:ascii="宋体" w:hAnsi="宋体" w:eastAsia="宋体" w:cs="宋体"/>
                <w:strike w:val="0"/>
                <w:dstrike w:val="0"/>
                <w:color w:val="auto"/>
                <w:sz w:val="21"/>
                <w:szCs w:val="21"/>
                <w:highlight w:val="none"/>
                <w:lang w:val="en-US" w:eastAsia="en-US"/>
              </w:rPr>
              <w:t>出具可供政府审计并且符合税务规定的正式发票</w:t>
            </w:r>
            <w:r>
              <w:rPr>
                <w:rFonts w:hint="eastAsia" w:ascii="宋体" w:hAnsi="宋体" w:eastAsia="宋体" w:cs="宋体"/>
                <w:strike w:val="0"/>
                <w:dstrike w:val="0"/>
                <w:color w:val="auto"/>
                <w:sz w:val="21"/>
                <w:szCs w:val="21"/>
                <w:highlight w:val="none"/>
                <w:lang w:val="en-US" w:eastAsia="zh-CN"/>
              </w:rPr>
              <w:t>，</w:t>
            </w:r>
            <w:r>
              <w:rPr>
                <w:rFonts w:hint="eastAsia" w:ascii="宋体" w:hAnsi="宋体" w:eastAsia="宋体" w:cs="宋体"/>
                <w:strike w:val="0"/>
                <w:dstrike w:val="0"/>
                <w:color w:val="auto"/>
                <w:sz w:val="21"/>
                <w:szCs w:val="21"/>
                <w:highlight w:val="none"/>
                <w:lang w:val="en-US" w:eastAsia="en-US"/>
              </w:rPr>
              <w:t>否则</w:t>
            </w:r>
            <w:r>
              <w:rPr>
                <w:rFonts w:hint="eastAsia" w:ascii="宋体" w:hAnsi="宋体" w:eastAsia="宋体" w:cs="宋体"/>
                <w:strike w:val="0"/>
                <w:dstrike w:val="0"/>
                <w:color w:val="auto"/>
                <w:sz w:val="21"/>
                <w:szCs w:val="21"/>
                <w:highlight w:val="none"/>
                <w:lang w:val="en-US" w:eastAsia="zh-CN"/>
              </w:rPr>
              <w:t>采购人</w:t>
            </w:r>
            <w:r>
              <w:rPr>
                <w:rFonts w:hint="eastAsia" w:ascii="宋体" w:hAnsi="宋体" w:eastAsia="宋体" w:cs="宋体"/>
                <w:strike w:val="0"/>
                <w:dstrike w:val="0"/>
                <w:color w:val="auto"/>
                <w:sz w:val="21"/>
                <w:szCs w:val="21"/>
                <w:highlight w:val="none"/>
                <w:lang w:val="en-US" w:eastAsia="en-US"/>
              </w:rPr>
              <w:t>有权拒付相应款项直至</w:t>
            </w:r>
            <w:r>
              <w:rPr>
                <w:rFonts w:hint="eastAsia" w:ascii="宋体" w:hAnsi="宋体" w:eastAsia="宋体" w:cs="宋体"/>
                <w:strike w:val="0"/>
                <w:dstrike w:val="0"/>
                <w:color w:val="auto"/>
                <w:sz w:val="21"/>
                <w:szCs w:val="21"/>
                <w:highlight w:val="none"/>
                <w:lang w:val="en-US" w:eastAsia="zh-CN"/>
              </w:rPr>
              <w:t>中标人</w:t>
            </w:r>
            <w:r>
              <w:rPr>
                <w:rFonts w:hint="eastAsia" w:ascii="宋体" w:hAnsi="宋体" w:eastAsia="宋体" w:cs="宋体"/>
                <w:strike w:val="0"/>
                <w:dstrike w:val="0"/>
                <w:color w:val="auto"/>
                <w:sz w:val="21"/>
                <w:szCs w:val="21"/>
                <w:highlight w:val="none"/>
                <w:lang w:val="en-US" w:eastAsia="en-US"/>
              </w:rPr>
              <w:t>能提供符合规定的发票为止</w:t>
            </w:r>
            <w:r>
              <w:rPr>
                <w:rFonts w:hint="eastAsia" w:ascii="宋体" w:hAnsi="宋体" w:eastAsia="宋体" w:cs="宋体"/>
                <w:strike w:val="0"/>
                <w:dstrike w:val="0"/>
                <w:color w:val="auto"/>
                <w:sz w:val="21"/>
                <w:szCs w:val="21"/>
                <w:highlight w:val="none"/>
                <w:lang w:val="en-US" w:eastAsia="zh-CN"/>
              </w:rPr>
              <w:t>，因中标人提供不符合采购人要求的发票导致付款逾期，采购人不构成违约，相应的付款期限自采购人收到中标人符合要求发票重新计算。</w:t>
            </w:r>
          </w:p>
        </w:tc>
      </w:tr>
      <w:tr w14:paraId="728B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89" w:type="dxa"/>
            <w:gridSpan w:val="2"/>
            <w:tcBorders>
              <w:top w:val="single" w:color="auto" w:sz="4" w:space="0"/>
              <w:left w:val="single" w:color="auto" w:sz="4" w:space="0"/>
              <w:bottom w:val="single" w:color="auto" w:sz="4" w:space="0"/>
              <w:right w:val="single" w:color="auto" w:sz="4" w:space="0"/>
            </w:tcBorders>
            <w:vAlign w:val="center"/>
          </w:tcPr>
          <w:p w14:paraId="4304D0BE">
            <w:pPr>
              <w:pStyle w:val="112"/>
              <w:keepNext w:val="0"/>
              <w:keepLines w:val="0"/>
              <w:pageBreakBefore w:val="0"/>
              <w:kinsoku/>
              <w:wordWrap w:val="0"/>
              <w:overflowPunct/>
              <w:topLinePunct w:val="0"/>
              <w:autoSpaceDE/>
              <w:autoSpaceDN/>
              <w:bidi w:val="0"/>
              <w:spacing w:line="400" w:lineRule="exact"/>
              <w:textAlignment w:val="auto"/>
              <w:rPr>
                <w:rFonts w:hint="eastAsia" w:ascii="宋体" w:hAnsi="宋体" w:eastAsia="宋体" w:cs="宋体"/>
                <w:strike w:val="0"/>
                <w:dstrike w:val="0"/>
                <w:color w:val="auto"/>
                <w:kern w:val="0"/>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七</w:t>
            </w:r>
            <w:r>
              <w:rPr>
                <w:rFonts w:hint="eastAsia" w:ascii="宋体" w:hAnsi="宋体" w:eastAsia="宋体" w:cs="宋体"/>
                <w:color w:val="auto"/>
                <w:sz w:val="21"/>
                <w:szCs w:val="21"/>
                <w:highlight w:val="none"/>
              </w:rPr>
              <w:t>）投标报价要求</w:t>
            </w:r>
          </w:p>
        </w:tc>
        <w:tc>
          <w:tcPr>
            <w:tcW w:w="693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8A29FF2">
            <w:pPr>
              <w:pStyle w:val="112"/>
              <w:keepNext w:val="0"/>
              <w:keepLines w:val="0"/>
              <w:pageBreakBefore w:val="0"/>
              <w:kinsoku/>
              <w:wordWrap w:val="0"/>
              <w:overflowPunct/>
              <w:topLinePunct w:val="0"/>
              <w:autoSpaceDE/>
              <w:autoSpaceDN/>
              <w:bidi w:val="0"/>
              <w:spacing w:line="400" w:lineRule="exact"/>
              <w:jc w:val="both"/>
              <w:textAlignment w:val="auto"/>
              <w:rPr>
                <w:rFonts w:hint="default" w:ascii="宋体" w:hAnsi="宋体" w:eastAsia="宋体" w:cs="宋体"/>
                <w:strike w:val="0"/>
                <w:dstrike w:val="0"/>
                <w:color w:val="auto"/>
                <w:sz w:val="21"/>
                <w:szCs w:val="21"/>
                <w:highlight w:val="none"/>
                <w:lang w:val="en-US" w:eastAsia="zh-CN"/>
              </w:rPr>
            </w:pPr>
            <w:r>
              <w:rPr>
                <w:rFonts w:hint="eastAsia" w:ascii="宋体" w:hAnsi="宋体" w:cs="宋体"/>
                <w:strike w:val="0"/>
                <w:dstrike w:val="0"/>
                <w:color w:val="auto"/>
                <w:sz w:val="21"/>
                <w:szCs w:val="21"/>
                <w:highlight w:val="none"/>
                <w:lang w:val="en-US" w:eastAsia="zh-CN"/>
              </w:rPr>
              <w:t>1.</w:t>
            </w:r>
            <w:r>
              <w:rPr>
                <w:rFonts w:hint="default" w:ascii="宋体" w:hAnsi="宋体" w:eastAsia="宋体" w:cs="宋体"/>
                <w:strike w:val="0"/>
                <w:dstrike w:val="0"/>
                <w:color w:val="auto"/>
                <w:sz w:val="21"/>
                <w:szCs w:val="21"/>
                <w:highlight w:val="none"/>
                <w:lang w:val="en-US" w:eastAsia="zh-CN"/>
              </w:rPr>
              <w:t>本项目按总包干报价，包括所有服务、技术支持、售后服务、差旅费、劳务费、样品采集和检测费、材料费、培训费、验收费、手续费、包装费、运输费、保险费和各项税金及由于市场价格波动增加的费用，以及不可预见费等全部费用。（采购人不再支付任何费用）；</w:t>
            </w:r>
          </w:p>
          <w:p w14:paraId="11FAD351">
            <w:pPr>
              <w:pStyle w:val="112"/>
              <w:keepNext w:val="0"/>
              <w:keepLines w:val="0"/>
              <w:pageBreakBefore w:val="0"/>
              <w:kinsoku/>
              <w:wordWrap w:val="0"/>
              <w:overflowPunct/>
              <w:topLinePunct w:val="0"/>
              <w:autoSpaceDE/>
              <w:autoSpaceDN/>
              <w:bidi w:val="0"/>
              <w:spacing w:line="400" w:lineRule="exact"/>
              <w:jc w:val="both"/>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2</w:t>
            </w:r>
            <w:r>
              <w:rPr>
                <w:rFonts w:hint="eastAsia" w:ascii="宋体" w:hAnsi="宋体" w:cs="宋体"/>
                <w:strike w:val="0"/>
                <w:dstrike w:val="0"/>
                <w:color w:val="auto"/>
                <w:sz w:val="21"/>
                <w:szCs w:val="21"/>
                <w:highlight w:val="none"/>
                <w:lang w:val="en-US" w:eastAsia="zh-CN"/>
              </w:rPr>
              <w:t>.</w:t>
            </w:r>
            <w:r>
              <w:rPr>
                <w:rFonts w:hint="eastAsia" w:ascii="宋体" w:hAnsi="宋体" w:eastAsia="宋体" w:cs="宋体"/>
                <w:strike w:val="0"/>
                <w:dstrike w:val="0"/>
                <w:color w:val="auto"/>
                <w:sz w:val="21"/>
                <w:szCs w:val="21"/>
                <w:highlight w:val="none"/>
                <w:lang w:val="en-US" w:eastAsia="zh-CN"/>
              </w:rPr>
              <w:t>如编制或审批过程（如：所提交的成果文件因国家标准、技术规范发生改变而需要中标人修改完善甚至返工的）发生额外费用的，中标人须予以配合，所产生的费用包含在中标人的报价中，采购人不再另行支付任何费用。</w:t>
            </w:r>
          </w:p>
          <w:p w14:paraId="6D334FD1">
            <w:pPr>
              <w:pStyle w:val="112"/>
              <w:keepNext w:val="0"/>
              <w:keepLines w:val="0"/>
              <w:pageBreakBefore w:val="0"/>
              <w:kinsoku/>
              <w:wordWrap w:val="0"/>
              <w:overflowPunct/>
              <w:topLinePunct w:val="0"/>
              <w:autoSpaceDE/>
              <w:autoSpaceDN/>
              <w:bidi w:val="0"/>
              <w:spacing w:line="400" w:lineRule="exact"/>
              <w:jc w:val="both"/>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3</w:t>
            </w:r>
            <w:r>
              <w:rPr>
                <w:rFonts w:hint="eastAsia" w:ascii="宋体" w:hAnsi="宋体" w:cs="宋体"/>
                <w:strike w:val="0"/>
                <w:dstrike w:val="0"/>
                <w:color w:val="auto"/>
                <w:sz w:val="21"/>
                <w:szCs w:val="21"/>
                <w:highlight w:val="none"/>
                <w:lang w:val="en-US" w:eastAsia="zh-CN"/>
              </w:rPr>
              <w:t>.</w:t>
            </w:r>
            <w:r>
              <w:rPr>
                <w:rFonts w:hint="default" w:ascii="宋体" w:hAnsi="宋体" w:eastAsia="宋体" w:cs="宋体"/>
                <w:strike w:val="0"/>
                <w:dstrike w:val="0"/>
                <w:color w:val="auto"/>
                <w:sz w:val="21"/>
                <w:szCs w:val="21"/>
                <w:highlight w:val="none"/>
                <w:lang w:val="en-US" w:eastAsia="zh-CN"/>
              </w:rPr>
              <w:t>为了确保采购质量和维护公平的竞争，根据《中华人民共和国政府采购法》第七十七条和《中华人民共和国反不正当竞争法》第十一条，经营者不得以排挤对手为目的，以低于成本的价格销售商品（服务）。采购人不能接受投标人的恶意低价的竞争。</w:t>
            </w:r>
            <w:r>
              <w:rPr>
                <w:rFonts w:hint="eastAsia" w:ascii="宋体" w:hAnsi="宋体" w:eastAsia="宋体" w:cs="宋体"/>
                <w:strike w:val="0"/>
                <w:dstrike w:val="0"/>
                <w:color w:val="auto"/>
                <w:sz w:val="21"/>
                <w:szCs w:val="21"/>
                <w:highlight w:val="none"/>
                <w:lang w:val="en-US" w:eastAsia="zh-CN"/>
              </w:rPr>
              <w:t>评标委员会认为</w:t>
            </w:r>
            <w:r>
              <w:rPr>
                <w:rFonts w:hint="default" w:ascii="宋体" w:hAnsi="宋体" w:eastAsia="宋体" w:cs="宋体"/>
                <w:strike w:val="0"/>
                <w:dstrike w:val="0"/>
                <w:color w:val="auto"/>
                <w:sz w:val="21"/>
                <w:szCs w:val="21"/>
                <w:highlight w:val="none"/>
                <w:lang w:val="en-US" w:eastAsia="zh-CN"/>
              </w:rPr>
              <w:t>投标人的报价明显低于其他通过符合性审查投标人的报价，有可能影响产品质量或者不能诚信履约的，评标委员会应当要求其在评标现场合理的时间内提供书面说明，必要时提交相关证明材料。</w:t>
            </w:r>
          </w:p>
        </w:tc>
      </w:tr>
      <w:tr w14:paraId="6F3E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04AAF0">
            <w:pPr>
              <w:pStyle w:val="112"/>
              <w:keepNext w:val="0"/>
              <w:keepLines w:val="0"/>
              <w:pageBreakBefore w:val="0"/>
              <w:kinsoku/>
              <w:wordWrap w:val="0"/>
              <w:overflowPunct/>
              <w:topLinePunct w:val="0"/>
              <w:autoSpaceDE/>
              <w:autoSpaceDN/>
              <w:bidi w:val="0"/>
              <w:spacing w:line="400" w:lineRule="exact"/>
              <w:textAlignment w:val="auto"/>
              <w:rPr>
                <w:rFonts w:hint="eastAsia" w:ascii="宋体" w:hAnsi="宋体" w:eastAsia="宋体" w:cs="宋体"/>
                <w:strike w:val="0"/>
                <w:dstrike w:val="0"/>
                <w:color w:val="auto"/>
                <w:kern w:val="0"/>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八</w:t>
            </w:r>
            <w:r>
              <w:rPr>
                <w:rFonts w:hint="eastAsia" w:ascii="宋体" w:hAnsi="宋体" w:eastAsia="宋体" w:cs="宋体"/>
                <w:color w:val="auto"/>
                <w:sz w:val="21"/>
                <w:szCs w:val="21"/>
                <w:highlight w:val="none"/>
              </w:rPr>
              <w:t>）其他要求</w:t>
            </w:r>
          </w:p>
        </w:tc>
        <w:tc>
          <w:tcPr>
            <w:tcW w:w="693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3C91CA0">
            <w:pPr>
              <w:pStyle w:val="112"/>
              <w:keepNext w:val="0"/>
              <w:keepLines w:val="0"/>
              <w:pageBreakBefore w:val="0"/>
              <w:kinsoku/>
              <w:wordWrap w:val="0"/>
              <w:overflowPunct/>
              <w:topLinePunct w:val="0"/>
              <w:autoSpaceDE/>
              <w:autoSpaceDN/>
              <w:bidi w:val="0"/>
              <w:spacing w:line="400" w:lineRule="exact"/>
              <w:jc w:val="both"/>
              <w:textAlignment w:val="auto"/>
              <w:rPr>
                <w:rFonts w:hint="default" w:ascii="宋体" w:hAnsi="宋体" w:eastAsia="宋体" w:cs="宋体"/>
                <w:strike w:val="0"/>
                <w:dstrike w:val="0"/>
                <w:color w:val="auto"/>
                <w:sz w:val="21"/>
                <w:szCs w:val="21"/>
                <w:highlight w:val="none"/>
                <w:lang w:val="en-US" w:eastAsia="zh-CN"/>
              </w:rPr>
            </w:pPr>
            <w:r>
              <w:rPr>
                <w:rFonts w:hint="default" w:ascii="宋体" w:hAnsi="宋体" w:eastAsia="宋体" w:cs="宋体"/>
                <w:strike w:val="0"/>
                <w:dstrike w:val="0"/>
                <w:color w:val="auto"/>
                <w:sz w:val="21"/>
                <w:szCs w:val="21"/>
                <w:highlight w:val="none"/>
                <w:lang w:val="en-US" w:eastAsia="zh-CN"/>
              </w:rPr>
              <w:t>1</w:t>
            </w:r>
            <w:r>
              <w:rPr>
                <w:rFonts w:hint="eastAsia" w:ascii="宋体" w:hAnsi="宋体" w:cs="宋体"/>
                <w:strike w:val="0"/>
                <w:dstrike w:val="0"/>
                <w:color w:val="auto"/>
                <w:sz w:val="21"/>
                <w:szCs w:val="21"/>
                <w:highlight w:val="none"/>
                <w:lang w:val="en-US" w:eastAsia="zh-CN"/>
              </w:rPr>
              <w:t>.</w:t>
            </w:r>
            <w:r>
              <w:rPr>
                <w:rFonts w:hint="default" w:ascii="宋体" w:hAnsi="宋体" w:eastAsia="宋体" w:cs="宋体"/>
                <w:strike w:val="0"/>
                <w:dstrike w:val="0"/>
                <w:color w:val="auto"/>
                <w:sz w:val="21"/>
                <w:szCs w:val="21"/>
                <w:highlight w:val="none"/>
                <w:lang w:val="en-US" w:eastAsia="zh-CN"/>
              </w:rPr>
              <w:t>因本项目需求需根据国家相关要求开展，最终开展工作内容需根据国家最新工作要求进行调整确定，投标人必须按照采购人要求配合作业、验收及结算等全部工作；</w:t>
            </w:r>
          </w:p>
          <w:p w14:paraId="1654828C">
            <w:pPr>
              <w:pStyle w:val="112"/>
              <w:keepNext w:val="0"/>
              <w:keepLines w:val="0"/>
              <w:pageBreakBefore w:val="0"/>
              <w:kinsoku/>
              <w:wordWrap w:val="0"/>
              <w:overflowPunct/>
              <w:topLinePunct w:val="0"/>
              <w:autoSpaceDE/>
              <w:autoSpaceDN/>
              <w:bidi w:val="0"/>
              <w:spacing w:line="400" w:lineRule="exact"/>
              <w:jc w:val="both"/>
              <w:textAlignment w:val="auto"/>
              <w:rPr>
                <w:rFonts w:hint="default" w:ascii="宋体" w:hAnsi="宋体" w:eastAsia="宋体" w:cs="宋体"/>
                <w:strike w:val="0"/>
                <w:dstrike w:val="0"/>
                <w:color w:val="auto"/>
                <w:sz w:val="21"/>
                <w:szCs w:val="21"/>
                <w:highlight w:val="none"/>
                <w:lang w:val="en-US" w:eastAsia="zh-CN"/>
              </w:rPr>
            </w:pPr>
            <w:r>
              <w:rPr>
                <w:rFonts w:hint="default" w:ascii="宋体" w:hAnsi="宋体" w:eastAsia="宋体" w:cs="宋体"/>
                <w:strike w:val="0"/>
                <w:dstrike w:val="0"/>
                <w:color w:val="auto"/>
                <w:sz w:val="21"/>
                <w:szCs w:val="21"/>
                <w:highlight w:val="none"/>
                <w:lang w:val="en-US" w:eastAsia="zh-CN"/>
              </w:rPr>
              <w:t>2</w:t>
            </w:r>
            <w:r>
              <w:rPr>
                <w:rFonts w:hint="eastAsia" w:ascii="宋体" w:hAnsi="宋体" w:cs="宋体"/>
                <w:strike w:val="0"/>
                <w:dstrike w:val="0"/>
                <w:color w:val="auto"/>
                <w:sz w:val="21"/>
                <w:szCs w:val="21"/>
                <w:highlight w:val="none"/>
                <w:lang w:val="en-US" w:eastAsia="zh-CN"/>
              </w:rPr>
              <w:t>.</w:t>
            </w:r>
            <w:r>
              <w:rPr>
                <w:rFonts w:hint="default" w:ascii="宋体" w:hAnsi="宋体" w:eastAsia="宋体" w:cs="宋体"/>
                <w:strike w:val="0"/>
                <w:dstrike w:val="0"/>
                <w:color w:val="auto"/>
                <w:sz w:val="21"/>
                <w:szCs w:val="21"/>
                <w:highlight w:val="none"/>
                <w:lang w:val="en-US" w:eastAsia="zh-CN"/>
              </w:rPr>
              <w:t>拟投入本项目的人员均是投标人在职在岗正式员工；</w:t>
            </w:r>
          </w:p>
          <w:p w14:paraId="5D09C230">
            <w:pPr>
              <w:pStyle w:val="112"/>
              <w:keepNext w:val="0"/>
              <w:keepLines w:val="0"/>
              <w:pageBreakBefore w:val="0"/>
              <w:kinsoku/>
              <w:wordWrap w:val="0"/>
              <w:overflowPunct/>
              <w:topLinePunct w:val="0"/>
              <w:autoSpaceDE/>
              <w:autoSpaceDN/>
              <w:bidi w:val="0"/>
              <w:spacing w:line="400" w:lineRule="exact"/>
              <w:jc w:val="both"/>
              <w:textAlignment w:val="auto"/>
              <w:rPr>
                <w:rFonts w:hint="default" w:ascii="宋体" w:hAnsi="宋体" w:eastAsia="宋体" w:cs="宋体"/>
                <w:strike w:val="0"/>
                <w:dstrike w:val="0"/>
                <w:color w:val="auto"/>
                <w:sz w:val="21"/>
                <w:szCs w:val="21"/>
                <w:highlight w:val="none"/>
                <w:lang w:val="en-US" w:eastAsia="zh-CN"/>
              </w:rPr>
            </w:pPr>
            <w:r>
              <w:rPr>
                <w:rFonts w:hint="default" w:ascii="宋体" w:hAnsi="宋体" w:eastAsia="宋体" w:cs="宋体"/>
                <w:strike w:val="0"/>
                <w:dstrike w:val="0"/>
                <w:color w:val="auto"/>
                <w:sz w:val="21"/>
                <w:szCs w:val="21"/>
                <w:highlight w:val="none"/>
                <w:lang w:val="en-US" w:eastAsia="zh-CN"/>
              </w:rPr>
              <w:t>3</w:t>
            </w:r>
            <w:r>
              <w:rPr>
                <w:rFonts w:hint="eastAsia" w:ascii="宋体" w:hAnsi="宋体" w:cs="宋体"/>
                <w:strike w:val="0"/>
                <w:dstrike w:val="0"/>
                <w:color w:val="auto"/>
                <w:sz w:val="21"/>
                <w:szCs w:val="21"/>
                <w:highlight w:val="none"/>
                <w:lang w:val="en-US" w:eastAsia="zh-CN"/>
              </w:rPr>
              <w:t>.</w:t>
            </w:r>
            <w:r>
              <w:rPr>
                <w:rFonts w:hint="default" w:ascii="宋体" w:hAnsi="宋体" w:eastAsia="宋体" w:cs="宋体"/>
                <w:strike w:val="0"/>
                <w:dstrike w:val="0"/>
                <w:color w:val="auto"/>
                <w:sz w:val="21"/>
                <w:szCs w:val="21"/>
                <w:highlight w:val="none"/>
                <w:lang w:val="en-US" w:eastAsia="zh-CN"/>
              </w:rPr>
              <w:t>如果投标人队伍发生重大变更导致无法按要求开展项目任务或者发生重大责任事故的，采购人有权终止委托；</w:t>
            </w:r>
          </w:p>
          <w:p w14:paraId="060185E9">
            <w:pPr>
              <w:pStyle w:val="112"/>
              <w:keepNext w:val="0"/>
              <w:keepLines w:val="0"/>
              <w:pageBreakBefore w:val="0"/>
              <w:kinsoku/>
              <w:wordWrap w:val="0"/>
              <w:overflowPunct/>
              <w:topLinePunct w:val="0"/>
              <w:autoSpaceDE/>
              <w:autoSpaceDN/>
              <w:bidi w:val="0"/>
              <w:spacing w:line="400" w:lineRule="exact"/>
              <w:jc w:val="both"/>
              <w:textAlignment w:val="auto"/>
              <w:rPr>
                <w:rFonts w:hint="default" w:ascii="宋体" w:hAnsi="宋体" w:eastAsia="宋体" w:cs="宋体"/>
                <w:strike w:val="0"/>
                <w:dstrike w:val="0"/>
                <w:color w:val="auto"/>
                <w:sz w:val="21"/>
                <w:szCs w:val="21"/>
                <w:highlight w:val="none"/>
                <w:lang w:val="en-US" w:eastAsia="zh-CN"/>
              </w:rPr>
            </w:pPr>
            <w:r>
              <w:rPr>
                <w:rFonts w:hint="default" w:ascii="宋体" w:hAnsi="宋体" w:eastAsia="宋体" w:cs="宋体"/>
                <w:strike w:val="0"/>
                <w:dstrike w:val="0"/>
                <w:color w:val="auto"/>
                <w:sz w:val="21"/>
                <w:szCs w:val="21"/>
                <w:highlight w:val="none"/>
                <w:lang w:val="en-US" w:eastAsia="zh-CN"/>
              </w:rPr>
              <w:t>4</w:t>
            </w:r>
            <w:r>
              <w:rPr>
                <w:rFonts w:hint="eastAsia" w:ascii="宋体" w:hAnsi="宋体" w:cs="宋体"/>
                <w:strike w:val="0"/>
                <w:dstrike w:val="0"/>
                <w:color w:val="auto"/>
                <w:sz w:val="21"/>
                <w:szCs w:val="21"/>
                <w:highlight w:val="none"/>
                <w:lang w:val="en-US" w:eastAsia="zh-CN"/>
              </w:rPr>
              <w:t>.</w:t>
            </w:r>
            <w:r>
              <w:rPr>
                <w:rFonts w:hint="default" w:ascii="宋体" w:hAnsi="宋体" w:eastAsia="宋体" w:cs="宋体"/>
                <w:strike w:val="0"/>
                <w:dstrike w:val="0"/>
                <w:color w:val="auto"/>
                <w:sz w:val="21"/>
                <w:szCs w:val="21"/>
                <w:highlight w:val="none"/>
                <w:lang w:val="en-US" w:eastAsia="zh-CN"/>
              </w:rPr>
              <w:t>本项目不得转包、分包；</w:t>
            </w:r>
          </w:p>
          <w:p w14:paraId="4E242462">
            <w:pPr>
              <w:pStyle w:val="112"/>
              <w:keepNext w:val="0"/>
              <w:keepLines w:val="0"/>
              <w:pageBreakBefore w:val="0"/>
              <w:kinsoku/>
              <w:wordWrap w:val="0"/>
              <w:overflowPunct/>
              <w:topLinePunct w:val="0"/>
              <w:autoSpaceDE/>
              <w:autoSpaceDN/>
              <w:bidi w:val="0"/>
              <w:spacing w:line="400" w:lineRule="exact"/>
              <w:jc w:val="both"/>
              <w:textAlignment w:val="auto"/>
              <w:rPr>
                <w:rFonts w:hint="eastAsia" w:ascii="宋体" w:hAnsi="宋体" w:eastAsia="宋体" w:cs="宋体"/>
                <w:strike w:val="0"/>
                <w:dstrike w:val="0"/>
                <w:color w:val="auto"/>
                <w:sz w:val="21"/>
                <w:szCs w:val="21"/>
                <w:highlight w:val="none"/>
                <w:lang w:val="en-US" w:eastAsia="zh-CN"/>
              </w:rPr>
            </w:pPr>
            <w:r>
              <w:rPr>
                <w:rFonts w:hint="default" w:ascii="宋体" w:hAnsi="宋体" w:eastAsia="宋体" w:cs="宋体"/>
                <w:strike w:val="0"/>
                <w:dstrike w:val="0"/>
                <w:color w:val="auto"/>
                <w:sz w:val="21"/>
                <w:szCs w:val="21"/>
                <w:highlight w:val="none"/>
                <w:lang w:val="en-US" w:eastAsia="zh-CN"/>
              </w:rPr>
              <w:t>5</w:t>
            </w:r>
            <w:r>
              <w:rPr>
                <w:rFonts w:hint="eastAsia" w:ascii="宋体" w:hAnsi="宋体" w:cs="宋体"/>
                <w:strike w:val="0"/>
                <w:dstrike w:val="0"/>
                <w:color w:val="auto"/>
                <w:sz w:val="21"/>
                <w:szCs w:val="21"/>
                <w:highlight w:val="none"/>
                <w:lang w:val="en-US" w:eastAsia="zh-CN"/>
              </w:rPr>
              <w:t>.</w:t>
            </w:r>
            <w:r>
              <w:rPr>
                <w:rFonts w:hint="default" w:ascii="宋体" w:hAnsi="宋体" w:eastAsia="宋体" w:cs="宋体"/>
                <w:strike w:val="0"/>
                <w:dstrike w:val="0"/>
                <w:color w:val="auto"/>
                <w:sz w:val="21"/>
                <w:szCs w:val="21"/>
                <w:highlight w:val="none"/>
                <w:lang w:val="en-US" w:eastAsia="zh-CN"/>
              </w:rPr>
              <w:t>数据资料归属及保密：本项目所形成的数据和报告归采购人所有。未经采购人授权，不得将数据和报告提供给任何第三方</w:t>
            </w:r>
            <w:r>
              <w:rPr>
                <w:rFonts w:hint="eastAsia" w:ascii="宋体" w:hAnsi="宋体" w:eastAsia="宋体" w:cs="宋体"/>
                <w:strike w:val="0"/>
                <w:dstrike w:val="0"/>
                <w:color w:val="auto"/>
                <w:sz w:val="21"/>
                <w:szCs w:val="21"/>
                <w:highlight w:val="none"/>
                <w:lang w:val="en-US" w:eastAsia="zh-CN"/>
              </w:rPr>
              <w:t>，不得以任何组织或个人的名义以任何形式发表。</w:t>
            </w:r>
          </w:p>
          <w:p w14:paraId="64D045D3">
            <w:pPr>
              <w:pStyle w:val="112"/>
              <w:keepNext w:val="0"/>
              <w:keepLines w:val="0"/>
              <w:pageBreakBefore w:val="0"/>
              <w:kinsoku/>
              <w:wordWrap w:val="0"/>
              <w:overflowPunct/>
              <w:topLinePunct w:val="0"/>
              <w:autoSpaceDE/>
              <w:autoSpaceDN/>
              <w:bidi w:val="0"/>
              <w:spacing w:line="400" w:lineRule="exact"/>
              <w:jc w:val="both"/>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6</w:t>
            </w:r>
            <w:r>
              <w:rPr>
                <w:rFonts w:hint="eastAsia" w:ascii="宋体" w:hAnsi="宋体" w:cs="宋体"/>
                <w:strike w:val="0"/>
                <w:dstrike w:val="0"/>
                <w:color w:val="auto"/>
                <w:sz w:val="21"/>
                <w:szCs w:val="21"/>
                <w:highlight w:val="none"/>
                <w:lang w:val="en-US" w:eastAsia="zh-CN"/>
              </w:rPr>
              <w:t>.</w:t>
            </w:r>
            <w:r>
              <w:rPr>
                <w:rFonts w:hint="eastAsia" w:ascii="宋体" w:hAnsi="宋体" w:eastAsia="宋体" w:cs="宋体"/>
                <w:strike w:val="0"/>
                <w:dstrike w:val="0"/>
                <w:color w:val="auto"/>
                <w:sz w:val="21"/>
                <w:szCs w:val="21"/>
                <w:highlight w:val="none"/>
                <w:lang w:val="en-US" w:eastAsia="zh-CN"/>
              </w:rPr>
              <w:t>知识产权：采购人在中华人民共和国境内使用中标人提供的产品及服务时免受第三方提出的侵犯其专利权或其它知识产权的起诉。如果第三方提出侵权指控，中标人承担由此而引起的一切法律责任和费用。</w:t>
            </w:r>
          </w:p>
          <w:p w14:paraId="3EDC533B">
            <w:pPr>
              <w:pStyle w:val="112"/>
              <w:keepNext w:val="0"/>
              <w:keepLines w:val="0"/>
              <w:pageBreakBefore w:val="0"/>
              <w:kinsoku/>
              <w:wordWrap w:val="0"/>
              <w:overflowPunct/>
              <w:topLinePunct w:val="0"/>
              <w:autoSpaceDE/>
              <w:autoSpaceDN/>
              <w:bidi w:val="0"/>
              <w:spacing w:line="400" w:lineRule="exact"/>
              <w:jc w:val="both"/>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7</w:t>
            </w:r>
            <w:r>
              <w:rPr>
                <w:rFonts w:hint="eastAsia" w:ascii="宋体" w:hAnsi="宋体" w:cs="宋体"/>
                <w:strike w:val="0"/>
                <w:dstrike w:val="0"/>
                <w:color w:val="auto"/>
                <w:sz w:val="21"/>
                <w:szCs w:val="21"/>
                <w:highlight w:val="none"/>
                <w:lang w:val="en-US" w:eastAsia="zh-CN"/>
              </w:rPr>
              <w:t>.</w:t>
            </w:r>
            <w:r>
              <w:rPr>
                <w:rFonts w:hint="eastAsia" w:ascii="宋体" w:hAnsi="宋体" w:eastAsia="宋体" w:cs="宋体"/>
                <w:strike w:val="0"/>
                <w:dstrike w:val="0"/>
                <w:color w:val="auto"/>
                <w:sz w:val="21"/>
                <w:szCs w:val="21"/>
                <w:highlight w:val="none"/>
                <w:lang w:val="en-US" w:eastAsia="zh-CN"/>
              </w:rPr>
              <w:t>一旦发现中标人出具虚假的调查结果严重失实，采购人有权上报政府采购监督管理部门同时追究中标人相应责任，由此而引起的一切法律责任和费用将由中标人承担。</w:t>
            </w:r>
          </w:p>
        </w:tc>
      </w:tr>
    </w:tbl>
    <w:p w14:paraId="1FBE05B4">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p w14:paraId="0E8D04D7">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p w14:paraId="38099858">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bookmarkEnd w:id="59"/>
    <w:bookmarkEnd w:id="60"/>
    <w:p w14:paraId="06409C9B">
      <w:pPr>
        <w:keepNext w:val="0"/>
        <w:keepLines w:val="0"/>
        <w:pageBreakBefore w:val="0"/>
        <w:kinsoku/>
        <w:topLinePunct w:val="0"/>
        <w:bidi w:val="0"/>
        <w:spacing w:line="400" w:lineRule="exact"/>
        <w:rPr>
          <w:rFonts w:hint="eastAsia" w:ascii="宋体" w:hAnsi="宋体" w:eastAsia="宋体" w:cs="宋体"/>
          <w:b/>
          <w:strike w:val="0"/>
          <w:dstrike w:val="0"/>
          <w:color w:val="auto"/>
          <w:sz w:val="21"/>
          <w:szCs w:val="21"/>
          <w:highlight w:val="none"/>
        </w:rPr>
      </w:pPr>
      <w:bookmarkStart w:id="66" w:name="OLE_LINK200"/>
      <w:r>
        <w:rPr>
          <w:rFonts w:hint="eastAsia" w:ascii="宋体" w:hAnsi="宋体" w:eastAsia="宋体" w:cs="宋体"/>
          <w:b/>
          <w:strike w:val="0"/>
          <w:dstrike w:val="0"/>
          <w:color w:val="auto"/>
          <w:sz w:val="21"/>
          <w:szCs w:val="21"/>
          <w:highlight w:val="none"/>
        </w:rPr>
        <w:br w:type="page"/>
      </w:r>
    </w:p>
    <w:p w14:paraId="1457EF37">
      <w:pPr>
        <w:keepNext w:val="0"/>
        <w:keepLines w:val="0"/>
        <w:pageBreakBefore w:val="0"/>
        <w:kinsoku/>
        <w:topLinePunct w:val="0"/>
        <w:bidi w:val="0"/>
        <w:spacing w:line="400" w:lineRule="exac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附件1：</w:t>
      </w:r>
    </w:p>
    <w:p w14:paraId="67099C4C">
      <w:pPr>
        <w:keepNext w:val="0"/>
        <w:keepLines w:val="0"/>
        <w:pageBreakBefore w:val="0"/>
        <w:kinsoku/>
        <w:topLinePunct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节能产品政府采购品目清单</w:t>
      </w:r>
    </w:p>
    <w:tbl>
      <w:tblPr>
        <w:tblStyle w:val="48"/>
        <w:tblW w:w="8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4"/>
        <w:gridCol w:w="1157"/>
        <w:gridCol w:w="9"/>
        <w:gridCol w:w="1800"/>
        <w:gridCol w:w="1270"/>
        <w:gridCol w:w="3873"/>
      </w:tblGrid>
      <w:tr w14:paraId="07CAC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jc w:val="center"/>
        </w:trPr>
        <w:tc>
          <w:tcPr>
            <w:tcW w:w="574" w:type="dxa"/>
            <w:vAlign w:val="center"/>
          </w:tcPr>
          <w:p w14:paraId="0D5529EA">
            <w:pPr>
              <w:keepNext w:val="0"/>
              <w:keepLines w:val="0"/>
              <w:pageBreakBefore w:val="0"/>
              <w:kinsoku/>
              <w:topLinePunct w:val="0"/>
              <w:bidi w:val="0"/>
              <w:spacing w:line="400" w:lineRule="exact"/>
              <w:jc w:val="center"/>
              <w:rPr>
                <w:rFonts w:hint="eastAsia" w:ascii="宋体" w:hAnsi="宋体" w:eastAsia="宋体" w:cs="宋体"/>
                <w:b/>
                <w:strike w:val="0"/>
                <w:dstrike w:val="0"/>
                <w:color w:val="auto"/>
                <w:kern w:val="0"/>
                <w:sz w:val="21"/>
                <w:szCs w:val="21"/>
                <w:highlight w:val="none"/>
                <w:lang w:eastAsia="en-US"/>
              </w:rPr>
            </w:pPr>
            <w:r>
              <w:rPr>
                <w:rFonts w:hint="eastAsia" w:ascii="宋体" w:hAnsi="宋体" w:eastAsia="宋体" w:cs="宋体"/>
                <w:b/>
                <w:strike w:val="0"/>
                <w:dstrike w:val="0"/>
                <w:color w:val="auto"/>
                <w:kern w:val="0"/>
                <w:sz w:val="21"/>
                <w:szCs w:val="21"/>
                <w:highlight w:val="none"/>
                <w:lang w:eastAsia="en-US"/>
              </w:rPr>
              <w:t>品目序号</w:t>
            </w:r>
          </w:p>
        </w:tc>
        <w:tc>
          <w:tcPr>
            <w:tcW w:w="4236" w:type="dxa"/>
            <w:gridSpan w:val="4"/>
            <w:vAlign w:val="center"/>
          </w:tcPr>
          <w:p w14:paraId="4F716BFA">
            <w:pPr>
              <w:keepNext w:val="0"/>
              <w:keepLines w:val="0"/>
              <w:pageBreakBefore w:val="0"/>
              <w:kinsoku/>
              <w:topLinePunct w:val="0"/>
              <w:bidi w:val="0"/>
              <w:spacing w:line="400" w:lineRule="exact"/>
              <w:jc w:val="center"/>
              <w:rPr>
                <w:rFonts w:hint="eastAsia" w:ascii="宋体" w:hAnsi="宋体" w:eastAsia="宋体" w:cs="宋体"/>
                <w:b/>
                <w:strike w:val="0"/>
                <w:dstrike w:val="0"/>
                <w:color w:val="auto"/>
                <w:kern w:val="0"/>
                <w:sz w:val="21"/>
                <w:szCs w:val="21"/>
                <w:highlight w:val="none"/>
                <w:lang w:eastAsia="en-US"/>
              </w:rPr>
            </w:pPr>
            <w:r>
              <w:rPr>
                <w:rFonts w:hint="eastAsia" w:ascii="宋体" w:hAnsi="宋体" w:eastAsia="宋体" w:cs="宋体"/>
                <w:b/>
                <w:strike w:val="0"/>
                <w:dstrike w:val="0"/>
                <w:color w:val="auto"/>
                <w:kern w:val="0"/>
                <w:sz w:val="21"/>
                <w:szCs w:val="21"/>
                <w:highlight w:val="none"/>
                <w:lang w:eastAsia="en-US"/>
              </w:rPr>
              <w:t>名称</w:t>
            </w:r>
          </w:p>
        </w:tc>
        <w:tc>
          <w:tcPr>
            <w:tcW w:w="3873" w:type="dxa"/>
            <w:vAlign w:val="center"/>
          </w:tcPr>
          <w:p w14:paraId="742868A5">
            <w:pPr>
              <w:keepNext w:val="0"/>
              <w:keepLines w:val="0"/>
              <w:pageBreakBefore w:val="0"/>
              <w:kinsoku/>
              <w:topLinePunct w:val="0"/>
              <w:bidi w:val="0"/>
              <w:spacing w:line="400" w:lineRule="exact"/>
              <w:jc w:val="center"/>
              <w:rPr>
                <w:rFonts w:hint="eastAsia" w:ascii="宋体" w:hAnsi="宋体" w:eastAsia="宋体" w:cs="宋体"/>
                <w:b/>
                <w:strike w:val="0"/>
                <w:dstrike w:val="0"/>
                <w:color w:val="auto"/>
                <w:kern w:val="0"/>
                <w:sz w:val="21"/>
                <w:szCs w:val="21"/>
                <w:highlight w:val="none"/>
                <w:lang w:eastAsia="en-US"/>
              </w:rPr>
            </w:pPr>
            <w:r>
              <w:rPr>
                <w:rFonts w:hint="eastAsia" w:ascii="宋体" w:hAnsi="宋体" w:eastAsia="宋体" w:cs="宋体"/>
                <w:b/>
                <w:strike w:val="0"/>
                <w:dstrike w:val="0"/>
                <w:color w:val="auto"/>
                <w:kern w:val="0"/>
                <w:sz w:val="21"/>
                <w:szCs w:val="21"/>
                <w:highlight w:val="none"/>
                <w:lang w:eastAsia="en-US"/>
              </w:rPr>
              <w:t>依据的标准</w:t>
            </w:r>
          </w:p>
        </w:tc>
      </w:tr>
      <w:tr w14:paraId="66E37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jc w:val="center"/>
        </w:trPr>
        <w:tc>
          <w:tcPr>
            <w:tcW w:w="574" w:type="dxa"/>
            <w:vMerge w:val="restart"/>
            <w:vAlign w:val="center"/>
          </w:tcPr>
          <w:p w14:paraId="3A8E56DB">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1</w:t>
            </w:r>
          </w:p>
        </w:tc>
        <w:tc>
          <w:tcPr>
            <w:tcW w:w="1166" w:type="dxa"/>
            <w:gridSpan w:val="2"/>
            <w:vMerge w:val="restart"/>
            <w:vAlign w:val="center"/>
          </w:tcPr>
          <w:p w14:paraId="0F7A42DA">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A020101计算机设备</w:t>
            </w:r>
          </w:p>
        </w:tc>
        <w:tc>
          <w:tcPr>
            <w:tcW w:w="1800" w:type="dxa"/>
            <w:vAlign w:val="center"/>
          </w:tcPr>
          <w:p w14:paraId="2F3B5660">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★A02010104台式计算机</w:t>
            </w:r>
          </w:p>
        </w:tc>
        <w:tc>
          <w:tcPr>
            <w:tcW w:w="1270" w:type="dxa"/>
            <w:vAlign w:val="center"/>
          </w:tcPr>
          <w:p w14:paraId="38B01925">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01F097E5">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《微型计算机能效限定值及能效等级》（GB28380）</w:t>
            </w:r>
          </w:p>
        </w:tc>
      </w:tr>
      <w:tr w14:paraId="4E1B4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574" w:type="dxa"/>
            <w:vMerge w:val="continue"/>
            <w:vAlign w:val="center"/>
          </w:tcPr>
          <w:p w14:paraId="75509023">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3A3854CE">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Align w:val="center"/>
          </w:tcPr>
          <w:p w14:paraId="50F2EC81">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★A02010105便携式计算机</w:t>
            </w:r>
          </w:p>
        </w:tc>
        <w:tc>
          <w:tcPr>
            <w:tcW w:w="1270" w:type="dxa"/>
            <w:vAlign w:val="center"/>
          </w:tcPr>
          <w:p w14:paraId="082588BD">
            <w:pPr>
              <w:keepNext w:val="0"/>
              <w:keepLines w:val="0"/>
              <w:pageBreakBefore w:val="0"/>
              <w:kinsoku/>
              <w:topLinePunct w:val="0"/>
              <w:bidi w:val="0"/>
              <w:spacing w:line="400" w:lineRule="exac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2FC08652">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《微型计算机能效限定值及能效等级》（GB28380）</w:t>
            </w:r>
          </w:p>
        </w:tc>
      </w:tr>
      <w:tr w14:paraId="7CD6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574" w:type="dxa"/>
            <w:vMerge w:val="continue"/>
            <w:vAlign w:val="center"/>
          </w:tcPr>
          <w:p w14:paraId="7253F67A">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6724FD49">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Align w:val="center"/>
          </w:tcPr>
          <w:p w14:paraId="6D1A47E8">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★A02010107平板式微型计算机</w:t>
            </w:r>
          </w:p>
        </w:tc>
        <w:tc>
          <w:tcPr>
            <w:tcW w:w="1270" w:type="dxa"/>
            <w:vAlign w:val="center"/>
          </w:tcPr>
          <w:p w14:paraId="1ED3B398">
            <w:pPr>
              <w:keepNext w:val="0"/>
              <w:keepLines w:val="0"/>
              <w:pageBreakBefore w:val="0"/>
              <w:kinsoku/>
              <w:topLinePunct w:val="0"/>
              <w:bidi w:val="0"/>
              <w:spacing w:line="400" w:lineRule="exact"/>
              <w:rPr>
                <w:rFonts w:hint="eastAsia" w:ascii="宋体" w:hAnsi="宋体" w:eastAsia="宋体" w:cs="宋体"/>
                <w:strike w:val="0"/>
                <w:dstrike w:val="0"/>
                <w:color w:val="auto"/>
                <w:kern w:val="0"/>
                <w:sz w:val="21"/>
                <w:szCs w:val="21"/>
                <w:highlight w:val="none"/>
              </w:rPr>
            </w:pPr>
          </w:p>
        </w:tc>
        <w:tc>
          <w:tcPr>
            <w:tcW w:w="3873" w:type="dxa"/>
            <w:vAlign w:val="center"/>
          </w:tcPr>
          <w:p w14:paraId="36C8F4F5">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《微型计算机能效限定值及能效等级》（GB28380）</w:t>
            </w:r>
          </w:p>
        </w:tc>
      </w:tr>
      <w:tr w14:paraId="20A07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574" w:type="dxa"/>
            <w:vMerge w:val="restart"/>
            <w:vAlign w:val="center"/>
          </w:tcPr>
          <w:p w14:paraId="2E08DEE2">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2</w:t>
            </w:r>
          </w:p>
        </w:tc>
        <w:tc>
          <w:tcPr>
            <w:tcW w:w="1166" w:type="dxa"/>
            <w:gridSpan w:val="2"/>
            <w:vMerge w:val="restart"/>
            <w:vAlign w:val="center"/>
          </w:tcPr>
          <w:p w14:paraId="44A85312">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A020106输入输出设备</w:t>
            </w:r>
          </w:p>
        </w:tc>
        <w:tc>
          <w:tcPr>
            <w:tcW w:w="1800" w:type="dxa"/>
            <w:vMerge w:val="restart"/>
            <w:vAlign w:val="center"/>
          </w:tcPr>
          <w:p w14:paraId="3197128C">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A02010601打印设备</w:t>
            </w:r>
          </w:p>
        </w:tc>
        <w:tc>
          <w:tcPr>
            <w:tcW w:w="1270" w:type="dxa"/>
            <w:vAlign w:val="center"/>
          </w:tcPr>
          <w:p w14:paraId="4DC83E15">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A0201060101喷墨打印机</w:t>
            </w:r>
          </w:p>
        </w:tc>
        <w:tc>
          <w:tcPr>
            <w:tcW w:w="3873" w:type="dxa"/>
            <w:vAlign w:val="center"/>
          </w:tcPr>
          <w:p w14:paraId="178072FA">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《复印机、打印机和传真机能效限定值及能效等级》（GB21521）</w:t>
            </w:r>
          </w:p>
        </w:tc>
      </w:tr>
      <w:tr w14:paraId="48CE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574" w:type="dxa"/>
            <w:vMerge w:val="continue"/>
            <w:vAlign w:val="center"/>
          </w:tcPr>
          <w:p w14:paraId="215D2557">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7382218C">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Merge w:val="continue"/>
            <w:vAlign w:val="center"/>
          </w:tcPr>
          <w:p w14:paraId="5DAE6855">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270" w:type="dxa"/>
            <w:vAlign w:val="center"/>
          </w:tcPr>
          <w:p w14:paraId="6E067C08">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★A0201060102激光打印机</w:t>
            </w:r>
          </w:p>
        </w:tc>
        <w:tc>
          <w:tcPr>
            <w:tcW w:w="3873" w:type="dxa"/>
            <w:vAlign w:val="center"/>
          </w:tcPr>
          <w:p w14:paraId="0344060D">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《复印机、打印机和传真机能效限定值及能效等级》（GB21521）</w:t>
            </w:r>
          </w:p>
        </w:tc>
      </w:tr>
      <w:tr w14:paraId="1B6C0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574" w:type="dxa"/>
            <w:vMerge w:val="continue"/>
            <w:vAlign w:val="center"/>
          </w:tcPr>
          <w:p w14:paraId="748052E7">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66931D23">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Merge w:val="continue"/>
            <w:vAlign w:val="center"/>
          </w:tcPr>
          <w:p w14:paraId="6C6FCD02">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270" w:type="dxa"/>
            <w:vAlign w:val="center"/>
          </w:tcPr>
          <w:p w14:paraId="7B7AA0C9">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★A0201060104针式打印机</w:t>
            </w:r>
          </w:p>
        </w:tc>
        <w:tc>
          <w:tcPr>
            <w:tcW w:w="3873" w:type="dxa"/>
            <w:vAlign w:val="center"/>
          </w:tcPr>
          <w:p w14:paraId="2B17CDC0">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《复印机、打印机和传真机能效限定值及能效等级》（GB21521）</w:t>
            </w:r>
          </w:p>
        </w:tc>
      </w:tr>
      <w:tr w14:paraId="6A355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6" w:hRule="atLeast"/>
          <w:jc w:val="center"/>
        </w:trPr>
        <w:tc>
          <w:tcPr>
            <w:tcW w:w="574" w:type="dxa"/>
            <w:vMerge w:val="continue"/>
            <w:vAlign w:val="center"/>
          </w:tcPr>
          <w:p w14:paraId="639D424F">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456FEBFB">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Align w:val="center"/>
          </w:tcPr>
          <w:p w14:paraId="00995961">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A02010604显示设备</w:t>
            </w:r>
          </w:p>
        </w:tc>
        <w:tc>
          <w:tcPr>
            <w:tcW w:w="1270" w:type="dxa"/>
            <w:vAlign w:val="center"/>
          </w:tcPr>
          <w:p w14:paraId="4FA90B7E">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★A0201060401液晶显示器</w:t>
            </w:r>
          </w:p>
        </w:tc>
        <w:tc>
          <w:tcPr>
            <w:tcW w:w="3873" w:type="dxa"/>
            <w:vAlign w:val="center"/>
          </w:tcPr>
          <w:p w14:paraId="2D72D0A2">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《计算机显示器能效限定值及能效等级》（GB21520）</w:t>
            </w:r>
          </w:p>
        </w:tc>
      </w:tr>
      <w:tr w14:paraId="033EA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6" w:hRule="atLeast"/>
          <w:jc w:val="center"/>
        </w:trPr>
        <w:tc>
          <w:tcPr>
            <w:tcW w:w="574" w:type="dxa"/>
            <w:vMerge w:val="continue"/>
            <w:vAlign w:val="center"/>
          </w:tcPr>
          <w:p w14:paraId="1C5555DD">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1FE5BB57">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Align w:val="center"/>
          </w:tcPr>
          <w:p w14:paraId="198B6771">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A02010609图形图像输入设备</w:t>
            </w:r>
          </w:p>
        </w:tc>
        <w:tc>
          <w:tcPr>
            <w:tcW w:w="1270" w:type="dxa"/>
            <w:vAlign w:val="center"/>
          </w:tcPr>
          <w:p w14:paraId="4440B3DD">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A0201060901扫描仪</w:t>
            </w:r>
          </w:p>
        </w:tc>
        <w:tc>
          <w:tcPr>
            <w:tcW w:w="3873" w:type="dxa"/>
            <w:vAlign w:val="center"/>
          </w:tcPr>
          <w:p w14:paraId="62DB3367">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参照《复印机、打印机和传真机能效限定值及能效等级》（GB21521）中打印速度为15页/分的针式打印机相关要求</w:t>
            </w:r>
          </w:p>
        </w:tc>
      </w:tr>
      <w:tr w14:paraId="24A1C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574" w:type="dxa"/>
            <w:vAlign w:val="center"/>
          </w:tcPr>
          <w:p w14:paraId="51B222DD">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3</w:t>
            </w:r>
          </w:p>
        </w:tc>
        <w:tc>
          <w:tcPr>
            <w:tcW w:w="1166" w:type="dxa"/>
            <w:gridSpan w:val="2"/>
            <w:vAlign w:val="center"/>
          </w:tcPr>
          <w:p w14:paraId="2E64E9B8">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A020202投影仪</w:t>
            </w:r>
          </w:p>
        </w:tc>
        <w:tc>
          <w:tcPr>
            <w:tcW w:w="1800" w:type="dxa"/>
            <w:vAlign w:val="center"/>
          </w:tcPr>
          <w:p w14:paraId="1C2F4AA6">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1270" w:type="dxa"/>
            <w:vAlign w:val="center"/>
          </w:tcPr>
          <w:p w14:paraId="60F53FB1">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6EE39BE8">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zh-CN"/>
              </w:rPr>
            </w:pPr>
            <w:r>
              <w:rPr>
                <w:rFonts w:hint="eastAsia" w:ascii="宋体" w:hAnsi="宋体" w:eastAsia="宋体" w:cs="宋体"/>
                <w:strike w:val="0"/>
                <w:dstrike w:val="0"/>
                <w:color w:val="auto"/>
                <w:kern w:val="0"/>
                <w:sz w:val="21"/>
                <w:szCs w:val="21"/>
                <w:highlight w:val="none"/>
              </w:rPr>
              <w:t>《投影机能效限定值及能效等级</w:t>
            </w:r>
            <w:r>
              <w:rPr>
                <w:rFonts w:hint="eastAsia" w:ascii="宋体" w:hAnsi="宋体" w:eastAsia="宋体" w:cs="宋体"/>
                <w:strike w:val="0"/>
                <w:dstrike w:val="0"/>
                <w:color w:val="auto"/>
                <w:kern w:val="0"/>
                <w:sz w:val="21"/>
                <w:szCs w:val="21"/>
                <w:highlight w:val="none"/>
                <w:lang w:eastAsia="zh-CN"/>
              </w:rPr>
              <w:t>》</w:t>
            </w:r>
          </w:p>
          <w:p w14:paraId="778075EE">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（GB32028）</w:t>
            </w:r>
          </w:p>
        </w:tc>
      </w:tr>
      <w:tr w14:paraId="70BD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574" w:type="dxa"/>
            <w:vAlign w:val="center"/>
          </w:tcPr>
          <w:p w14:paraId="65586690">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4</w:t>
            </w:r>
          </w:p>
        </w:tc>
        <w:tc>
          <w:tcPr>
            <w:tcW w:w="1166" w:type="dxa"/>
            <w:gridSpan w:val="2"/>
            <w:vAlign w:val="center"/>
          </w:tcPr>
          <w:p w14:paraId="184FC6B1">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A020204多功能一体机</w:t>
            </w:r>
          </w:p>
        </w:tc>
        <w:tc>
          <w:tcPr>
            <w:tcW w:w="1800" w:type="dxa"/>
            <w:vAlign w:val="center"/>
          </w:tcPr>
          <w:p w14:paraId="2F673163">
            <w:pPr>
              <w:keepNext w:val="0"/>
              <w:keepLines w:val="0"/>
              <w:pageBreakBefore w:val="0"/>
              <w:kinsoku/>
              <w:topLinePunct w:val="0"/>
              <w:bidi w:val="0"/>
              <w:spacing w:line="400" w:lineRule="exact"/>
              <w:rPr>
                <w:rFonts w:hint="eastAsia" w:ascii="宋体" w:hAnsi="宋体" w:eastAsia="宋体" w:cs="宋体"/>
                <w:strike w:val="0"/>
                <w:dstrike w:val="0"/>
                <w:color w:val="auto"/>
                <w:kern w:val="0"/>
                <w:sz w:val="21"/>
                <w:szCs w:val="21"/>
                <w:highlight w:val="none"/>
                <w:lang w:eastAsia="en-US"/>
              </w:rPr>
            </w:pPr>
          </w:p>
        </w:tc>
        <w:tc>
          <w:tcPr>
            <w:tcW w:w="1270" w:type="dxa"/>
            <w:vAlign w:val="center"/>
          </w:tcPr>
          <w:p w14:paraId="0DD7357B">
            <w:pPr>
              <w:keepNext w:val="0"/>
              <w:keepLines w:val="0"/>
              <w:pageBreakBefore w:val="0"/>
              <w:kinsoku/>
              <w:topLinePunct w:val="0"/>
              <w:bidi w:val="0"/>
              <w:spacing w:line="400" w:lineRule="exac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04FB4B03">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《复印机、打印机和传真机能效限定值及能效等级》（GB21521）</w:t>
            </w:r>
          </w:p>
        </w:tc>
      </w:tr>
      <w:tr w14:paraId="334F0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574" w:type="dxa"/>
            <w:vAlign w:val="center"/>
          </w:tcPr>
          <w:p w14:paraId="7FEEA6BA">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5</w:t>
            </w:r>
          </w:p>
        </w:tc>
        <w:tc>
          <w:tcPr>
            <w:tcW w:w="1166" w:type="dxa"/>
            <w:gridSpan w:val="2"/>
            <w:vAlign w:val="center"/>
          </w:tcPr>
          <w:p w14:paraId="5EAB988C">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A020519泵</w:t>
            </w:r>
          </w:p>
        </w:tc>
        <w:tc>
          <w:tcPr>
            <w:tcW w:w="1800" w:type="dxa"/>
            <w:vAlign w:val="center"/>
          </w:tcPr>
          <w:p w14:paraId="4F70FD57">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A02051901离心泵</w:t>
            </w:r>
          </w:p>
        </w:tc>
        <w:tc>
          <w:tcPr>
            <w:tcW w:w="1270" w:type="dxa"/>
            <w:vAlign w:val="center"/>
          </w:tcPr>
          <w:p w14:paraId="1BE40598">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020041E5">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《清水离心泵能效限定值及节能评价值》（GB19762）</w:t>
            </w:r>
          </w:p>
        </w:tc>
      </w:tr>
      <w:tr w14:paraId="3A71E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574" w:type="dxa"/>
            <w:vMerge w:val="restart"/>
            <w:vAlign w:val="center"/>
          </w:tcPr>
          <w:p w14:paraId="1096C26B">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6</w:t>
            </w:r>
          </w:p>
        </w:tc>
        <w:tc>
          <w:tcPr>
            <w:tcW w:w="1166" w:type="dxa"/>
            <w:gridSpan w:val="2"/>
            <w:vMerge w:val="restart"/>
            <w:vAlign w:val="center"/>
          </w:tcPr>
          <w:p w14:paraId="716DDB54">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A020523制冷空调设备</w:t>
            </w:r>
          </w:p>
        </w:tc>
        <w:tc>
          <w:tcPr>
            <w:tcW w:w="1800" w:type="dxa"/>
            <w:vMerge w:val="restart"/>
            <w:vAlign w:val="center"/>
          </w:tcPr>
          <w:p w14:paraId="2D420F20">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★A02052301制冷压缩机</w:t>
            </w:r>
          </w:p>
        </w:tc>
        <w:tc>
          <w:tcPr>
            <w:tcW w:w="1270" w:type="dxa"/>
            <w:vAlign w:val="center"/>
          </w:tcPr>
          <w:p w14:paraId="0656AB0B">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冷水机组</w:t>
            </w:r>
          </w:p>
        </w:tc>
        <w:tc>
          <w:tcPr>
            <w:tcW w:w="3873" w:type="dxa"/>
            <w:vAlign w:val="center"/>
          </w:tcPr>
          <w:p w14:paraId="6003BF01">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《冷水机组能效限定值及能效等级》（GB19577），《低环境温度空气源热泵（冷水）机组能效限定值及能效等级》（GB37480）</w:t>
            </w:r>
          </w:p>
        </w:tc>
      </w:tr>
      <w:tr w14:paraId="4FE32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74" w:type="dxa"/>
            <w:vMerge w:val="continue"/>
            <w:vAlign w:val="center"/>
          </w:tcPr>
          <w:p w14:paraId="192AE432">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16EE8889">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Merge w:val="continue"/>
            <w:vAlign w:val="center"/>
          </w:tcPr>
          <w:p w14:paraId="71E4883E">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270" w:type="dxa"/>
            <w:vAlign w:val="center"/>
          </w:tcPr>
          <w:p w14:paraId="34A9B336">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水源热泵机组</w:t>
            </w:r>
          </w:p>
        </w:tc>
        <w:tc>
          <w:tcPr>
            <w:tcW w:w="3873" w:type="dxa"/>
            <w:vAlign w:val="center"/>
          </w:tcPr>
          <w:p w14:paraId="3DCDC22E">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《水（地）源热泵机组能效限定值及能效等级》（GB30721）</w:t>
            </w:r>
          </w:p>
        </w:tc>
      </w:tr>
      <w:tr w14:paraId="1E6F5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574" w:type="dxa"/>
            <w:vMerge w:val="continue"/>
            <w:vAlign w:val="center"/>
          </w:tcPr>
          <w:p w14:paraId="03A80B2B">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608E167D">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Merge w:val="continue"/>
            <w:vAlign w:val="center"/>
          </w:tcPr>
          <w:p w14:paraId="63670FCC">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270" w:type="dxa"/>
            <w:vAlign w:val="center"/>
          </w:tcPr>
          <w:p w14:paraId="364A6FB5">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溴化锂吸收式冷水机组</w:t>
            </w:r>
          </w:p>
        </w:tc>
        <w:tc>
          <w:tcPr>
            <w:tcW w:w="3873" w:type="dxa"/>
            <w:vAlign w:val="center"/>
          </w:tcPr>
          <w:p w14:paraId="32C4D1AF">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《溴化锂吸收式冷水机组能效限定值及能效等级》（GB29540）</w:t>
            </w:r>
          </w:p>
        </w:tc>
      </w:tr>
      <w:tr w14:paraId="3FE5B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5" w:hRule="exact"/>
          <w:jc w:val="center"/>
        </w:trPr>
        <w:tc>
          <w:tcPr>
            <w:tcW w:w="574" w:type="dxa"/>
            <w:vMerge w:val="continue"/>
            <w:vAlign w:val="center"/>
          </w:tcPr>
          <w:p w14:paraId="3CB1BFB8">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6D102F8E">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Align w:val="center"/>
          </w:tcPr>
          <w:p w14:paraId="76E137B0">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★A02052305空调机组</w:t>
            </w:r>
          </w:p>
        </w:tc>
        <w:tc>
          <w:tcPr>
            <w:tcW w:w="1270" w:type="dxa"/>
            <w:vAlign w:val="center"/>
          </w:tcPr>
          <w:p w14:paraId="2FB78A19">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多联式空调（热泵）机组(制冷量＞14000W)</w:t>
            </w:r>
          </w:p>
        </w:tc>
        <w:tc>
          <w:tcPr>
            <w:tcW w:w="3873" w:type="dxa"/>
            <w:vAlign w:val="center"/>
          </w:tcPr>
          <w:p w14:paraId="1ECD55CF">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《多联式空调（热泵）机组能效限定值及能源效率等级》（GB21454）</w:t>
            </w:r>
          </w:p>
        </w:tc>
      </w:tr>
      <w:tr w14:paraId="035B2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574" w:type="dxa"/>
            <w:vMerge w:val="continue"/>
            <w:vAlign w:val="center"/>
          </w:tcPr>
          <w:p w14:paraId="3C2AD97C">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1A4EA1BE">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Align w:val="center"/>
          </w:tcPr>
          <w:p w14:paraId="03232723">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270" w:type="dxa"/>
            <w:vAlign w:val="center"/>
          </w:tcPr>
          <w:p w14:paraId="082A242F">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单元式空气调节机</w:t>
            </w:r>
          </w:p>
          <w:p w14:paraId="1A118927">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(制冷量＞14000W)</w:t>
            </w:r>
          </w:p>
        </w:tc>
        <w:tc>
          <w:tcPr>
            <w:tcW w:w="3873" w:type="dxa"/>
            <w:vAlign w:val="center"/>
          </w:tcPr>
          <w:p w14:paraId="53D26DC1">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《单元式空气调节机能效限定值及能效等级》（GB19576）《风管送风式空调机组能效限定值及能效等级》（GB37479）</w:t>
            </w:r>
          </w:p>
        </w:tc>
      </w:tr>
      <w:tr w14:paraId="3378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jc w:val="center"/>
        </w:trPr>
        <w:tc>
          <w:tcPr>
            <w:tcW w:w="574" w:type="dxa"/>
            <w:vMerge w:val="continue"/>
            <w:vAlign w:val="center"/>
          </w:tcPr>
          <w:p w14:paraId="24BC7EE4">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73C9FD16">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Align w:val="center"/>
          </w:tcPr>
          <w:p w14:paraId="0F105683">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★A02052309专用制冷、空调设备</w:t>
            </w:r>
          </w:p>
        </w:tc>
        <w:tc>
          <w:tcPr>
            <w:tcW w:w="1270" w:type="dxa"/>
            <w:vAlign w:val="center"/>
          </w:tcPr>
          <w:p w14:paraId="4DF5FAB9">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机房空调</w:t>
            </w:r>
          </w:p>
        </w:tc>
        <w:tc>
          <w:tcPr>
            <w:tcW w:w="3873" w:type="dxa"/>
            <w:vAlign w:val="center"/>
          </w:tcPr>
          <w:p w14:paraId="4E5E878B">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《单元式空气调节机能效限定值</w:t>
            </w:r>
          </w:p>
          <w:p w14:paraId="709094E3">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及能效等级》（GB19576）</w:t>
            </w:r>
          </w:p>
        </w:tc>
      </w:tr>
      <w:tr w14:paraId="49856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7" w:hRule="atLeast"/>
          <w:jc w:val="center"/>
        </w:trPr>
        <w:tc>
          <w:tcPr>
            <w:tcW w:w="574" w:type="dxa"/>
            <w:vMerge w:val="continue"/>
            <w:vAlign w:val="center"/>
          </w:tcPr>
          <w:p w14:paraId="5F4DBF1D">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33033A8C">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Align w:val="center"/>
          </w:tcPr>
          <w:p w14:paraId="5C0E8F23">
            <w:pPr>
              <w:keepNext w:val="0"/>
              <w:keepLines w:val="0"/>
              <w:pageBreakBefore w:val="0"/>
              <w:kinsoku/>
              <w:topLinePunct w:val="0"/>
              <w:bidi w:val="0"/>
              <w:spacing w:line="400" w:lineRule="exac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A02052399其他制冷空调设备</w:t>
            </w:r>
          </w:p>
        </w:tc>
        <w:tc>
          <w:tcPr>
            <w:tcW w:w="1270" w:type="dxa"/>
            <w:vAlign w:val="center"/>
          </w:tcPr>
          <w:p w14:paraId="0F3AD2D5">
            <w:pPr>
              <w:keepNext w:val="0"/>
              <w:keepLines w:val="0"/>
              <w:pageBreakBefore w:val="0"/>
              <w:kinsoku/>
              <w:topLinePunct w:val="0"/>
              <w:bidi w:val="0"/>
              <w:spacing w:line="400" w:lineRule="exac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冷却塔</w:t>
            </w:r>
          </w:p>
        </w:tc>
        <w:tc>
          <w:tcPr>
            <w:tcW w:w="3873" w:type="dxa"/>
            <w:vAlign w:val="center"/>
          </w:tcPr>
          <w:p w14:paraId="57FEA695">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《机械通风冷却塔第1部分：中小型开式冷却塔》（GB/T7190.1）《机械通风冷却塔第2部分：大型开式冷却塔》（GB/T7190.2）</w:t>
            </w:r>
          </w:p>
        </w:tc>
      </w:tr>
      <w:tr w14:paraId="3202C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574" w:type="dxa"/>
            <w:vAlign w:val="center"/>
          </w:tcPr>
          <w:p w14:paraId="6C5A348A">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7</w:t>
            </w:r>
          </w:p>
        </w:tc>
        <w:tc>
          <w:tcPr>
            <w:tcW w:w="1166" w:type="dxa"/>
            <w:gridSpan w:val="2"/>
            <w:vAlign w:val="center"/>
          </w:tcPr>
          <w:p w14:paraId="5C31840B">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A020601电机</w:t>
            </w:r>
          </w:p>
        </w:tc>
        <w:tc>
          <w:tcPr>
            <w:tcW w:w="1800" w:type="dxa"/>
            <w:vAlign w:val="center"/>
          </w:tcPr>
          <w:p w14:paraId="3894D992">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1270" w:type="dxa"/>
            <w:vAlign w:val="center"/>
          </w:tcPr>
          <w:p w14:paraId="5BC44428">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50736649">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《中小型三相异步电动机能效限定值及能效等级》（GB18613）</w:t>
            </w:r>
          </w:p>
        </w:tc>
      </w:tr>
      <w:tr w14:paraId="704B9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574" w:type="dxa"/>
            <w:vAlign w:val="center"/>
          </w:tcPr>
          <w:p w14:paraId="039EC3D9">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8</w:t>
            </w:r>
          </w:p>
        </w:tc>
        <w:tc>
          <w:tcPr>
            <w:tcW w:w="1166" w:type="dxa"/>
            <w:gridSpan w:val="2"/>
            <w:vAlign w:val="center"/>
          </w:tcPr>
          <w:p w14:paraId="60D79A61">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A020602变压器</w:t>
            </w:r>
          </w:p>
        </w:tc>
        <w:tc>
          <w:tcPr>
            <w:tcW w:w="1800" w:type="dxa"/>
            <w:vAlign w:val="center"/>
          </w:tcPr>
          <w:p w14:paraId="4CAAE906">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配电变压器</w:t>
            </w:r>
          </w:p>
        </w:tc>
        <w:tc>
          <w:tcPr>
            <w:tcW w:w="1270" w:type="dxa"/>
            <w:vAlign w:val="center"/>
          </w:tcPr>
          <w:p w14:paraId="6FD4C64B">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60DAB8E5">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《三相配电变压器能效限定值及能效等级》（GB20052）</w:t>
            </w:r>
          </w:p>
        </w:tc>
      </w:tr>
      <w:tr w14:paraId="272B0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574" w:type="dxa"/>
            <w:vAlign w:val="center"/>
          </w:tcPr>
          <w:p w14:paraId="7EE92E7D">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9</w:t>
            </w:r>
          </w:p>
        </w:tc>
        <w:tc>
          <w:tcPr>
            <w:tcW w:w="1166" w:type="dxa"/>
            <w:gridSpan w:val="2"/>
            <w:vAlign w:val="center"/>
          </w:tcPr>
          <w:p w14:paraId="045DFCF0">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★A020609镇流器</w:t>
            </w:r>
          </w:p>
        </w:tc>
        <w:tc>
          <w:tcPr>
            <w:tcW w:w="1800" w:type="dxa"/>
            <w:vAlign w:val="center"/>
          </w:tcPr>
          <w:p w14:paraId="797B94B0">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管型荧光灯镇流器</w:t>
            </w:r>
          </w:p>
        </w:tc>
        <w:tc>
          <w:tcPr>
            <w:tcW w:w="1270" w:type="dxa"/>
            <w:vAlign w:val="center"/>
          </w:tcPr>
          <w:p w14:paraId="242CDB02">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7FB3A746">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《管形荧光灯镇流器能效限定值及能效等级》（GB17896）</w:t>
            </w:r>
          </w:p>
        </w:tc>
      </w:tr>
      <w:tr w14:paraId="5C62B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 w:hRule="atLeast"/>
          <w:jc w:val="center"/>
        </w:trPr>
        <w:tc>
          <w:tcPr>
            <w:tcW w:w="574" w:type="dxa"/>
            <w:vMerge w:val="restart"/>
            <w:vAlign w:val="center"/>
          </w:tcPr>
          <w:p w14:paraId="6C7EFD47">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10</w:t>
            </w:r>
          </w:p>
        </w:tc>
        <w:tc>
          <w:tcPr>
            <w:tcW w:w="1166" w:type="dxa"/>
            <w:gridSpan w:val="2"/>
            <w:vMerge w:val="restart"/>
            <w:vAlign w:val="center"/>
          </w:tcPr>
          <w:p w14:paraId="5741055B">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A020618生活用电器</w:t>
            </w:r>
          </w:p>
        </w:tc>
        <w:tc>
          <w:tcPr>
            <w:tcW w:w="1800" w:type="dxa"/>
            <w:vAlign w:val="center"/>
          </w:tcPr>
          <w:p w14:paraId="3B93909A">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A0206180101电冰箱</w:t>
            </w:r>
          </w:p>
        </w:tc>
        <w:tc>
          <w:tcPr>
            <w:tcW w:w="1270" w:type="dxa"/>
            <w:vAlign w:val="center"/>
          </w:tcPr>
          <w:p w14:paraId="34481A54">
            <w:pPr>
              <w:keepNext w:val="0"/>
              <w:keepLines w:val="0"/>
              <w:pageBreakBefore w:val="0"/>
              <w:kinsoku/>
              <w:topLinePunct w:val="0"/>
              <w:bidi w:val="0"/>
              <w:spacing w:line="400" w:lineRule="exac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60A4002B">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《家用电冰箱耗电量限定值及能效等级》（GB12021.2）</w:t>
            </w:r>
          </w:p>
        </w:tc>
      </w:tr>
      <w:tr w14:paraId="5292D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5" w:hRule="atLeast"/>
          <w:jc w:val="center"/>
        </w:trPr>
        <w:tc>
          <w:tcPr>
            <w:tcW w:w="574" w:type="dxa"/>
            <w:vMerge w:val="continue"/>
            <w:vAlign w:val="center"/>
          </w:tcPr>
          <w:p w14:paraId="1A9E38A6">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669730F2">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Merge w:val="restart"/>
            <w:vAlign w:val="center"/>
          </w:tcPr>
          <w:p w14:paraId="0D021E5C">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★A0206180203空调机</w:t>
            </w:r>
          </w:p>
        </w:tc>
        <w:tc>
          <w:tcPr>
            <w:tcW w:w="1270" w:type="dxa"/>
            <w:vAlign w:val="center"/>
          </w:tcPr>
          <w:p w14:paraId="7C93B936">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房间空气调节器</w:t>
            </w:r>
          </w:p>
        </w:tc>
        <w:tc>
          <w:tcPr>
            <w:tcW w:w="3873" w:type="dxa"/>
            <w:vAlign w:val="center"/>
          </w:tcPr>
          <w:p w14:paraId="2BEA02C8">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《转速可控型房间空气调节器能效限定值及能效等级》（GB21455-2013），待2019年修订发布后，按《房间空气调节器能效限定值及能效等级》（GB21455-2019实施。</w:t>
            </w:r>
          </w:p>
        </w:tc>
      </w:tr>
      <w:tr w14:paraId="64737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3" w:hRule="exact"/>
          <w:jc w:val="center"/>
        </w:trPr>
        <w:tc>
          <w:tcPr>
            <w:tcW w:w="574" w:type="dxa"/>
            <w:vMerge w:val="continue"/>
            <w:vAlign w:val="center"/>
          </w:tcPr>
          <w:p w14:paraId="3C7CEEA4">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7CADE8B0">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Merge w:val="continue"/>
            <w:vAlign w:val="center"/>
          </w:tcPr>
          <w:p w14:paraId="68718575">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270" w:type="dxa"/>
            <w:vAlign w:val="center"/>
          </w:tcPr>
          <w:p w14:paraId="0DA80C32">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多联式空调（热泵）机组（制冷量≤14000W）</w:t>
            </w:r>
          </w:p>
        </w:tc>
        <w:tc>
          <w:tcPr>
            <w:tcW w:w="3873" w:type="dxa"/>
            <w:vAlign w:val="center"/>
          </w:tcPr>
          <w:p w14:paraId="270FF70D">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《多联式空调（热泵）机组能效限定值及能源效率等级》（GB21454）</w:t>
            </w:r>
          </w:p>
        </w:tc>
      </w:tr>
      <w:tr w14:paraId="1F04D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jc w:val="center"/>
        </w:trPr>
        <w:tc>
          <w:tcPr>
            <w:tcW w:w="574" w:type="dxa"/>
            <w:vMerge w:val="continue"/>
            <w:vAlign w:val="center"/>
          </w:tcPr>
          <w:p w14:paraId="16FB2944">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5E7E5CB6">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Merge w:val="continue"/>
            <w:vAlign w:val="center"/>
          </w:tcPr>
          <w:p w14:paraId="2326EB3C">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270" w:type="dxa"/>
            <w:vAlign w:val="center"/>
          </w:tcPr>
          <w:p w14:paraId="32522894">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单元式空气调节机</w:t>
            </w:r>
          </w:p>
        </w:tc>
        <w:tc>
          <w:tcPr>
            <w:tcW w:w="3873" w:type="dxa"/>
            <w:vMerge w:val="restart"/>
            <w:vAlign w:val="center"/>
          </w:tcPr>
          <w:p w14:paraId="33F6107B">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《单元式空气调节机能效限定值及能源效率等级》（GB19576）《风管送风式空调机组能效限定值及能效等级》（GB37479）</w:t>
            </w:r>
          </w:p>
        </w:tc>
      </w:tr>
      <w:tr w14:paraId="11B4B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74" w:type="dxa"/>
            <w:vMerge w:val="continue"/>
            <w:vAlign w:val="center"/>
          </w:tcPr>
          <w:p w14:paraId="3B46B61E">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2F403FC6">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Merge w:val="continue"/>
            <w:vAlign w:val="center"/>
          </w:tcPr>
          <w:p w14:paraId="356DF09F">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270" w:type="dxa"/>
            <w:vAlign w:val="center"/>
          </w:tcPr>
          <w:p w14:paraId="74767741">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(制冷量≤14000W)</w:t>
            </w:r>
          </w:p>
        </w:tc>
        <w:tc>
          <w:tcPr>
            <w:tcW w:w="3873" w:type="dxa"/>
            <w:vMerge w:val="continue"/>
            <w:vAlign w:val="center"/>
          </w:tcPr>
          <w:p w14:paraId="5540B24B">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r>
      <w:tr w14:paraId="77E98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574" w:type="dxa"/>
            <w:vMerge w:val="continue"/>
            <w:vAlign w:val="center"/>
          </w:tcPr>
          <w:p w14:paraId="7BF326CE">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1166" w:type="dxa"/>
            <w:gridSpan w:val="2"/>
            <w:vMerge w:val="continue"/>
            <w:vAlign w:val="center"/>
          </w:tcPr>
          <w:p w14:paraId="48B90DA3">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1800" w:type="dxa"/>
            <w:vAlign w:val="center"/>
          </w:tcPr>
          <w:p w14:paraId="2E299583">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A0206180301洗衣机</w:t>
            </w:r>
          </w:p>
        </w:tc>
        <w:tc>
          <w:tcPr>
            <w:tcW w:w="1270" w:type="dxa"/>
            <w:vAlign w:val="center"/>
          </w:tcPr>
          <w:p w14:paraId="7B408535">
            <w:pPr>
              <w:keepNext w:val="0"/>
              <w:keepLines w:val="0"/>
              <w:pageBreakBefore w:val="0"/>
              <w:kinsoku/>
              <w:topLinePunct w:val="0"/>
              <w:bidi w:val="0"/>
              <w:spacing w:line="400" w:lineRule="exac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343D594C">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《电动洗衣机能效水效限定值及等级》（GB12021.4）</w:t>
            </w:r>
          </w:p>
        </w:tc>
      </w:tr>
      <w:tr w14:paraId="7F5B0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exact"/>
          <w:jc w:val="center"/>
        </w:trPr>
        <w:tc>
          <w:tcPr>
            <w:tcW w:w="574" w:type="dxa"/>
            <w:vMerge w:val="continue"/>
            <w:vAlign w:val="center"/>
          </w:tcPr>
          <w:p w14:paraId="2EA3F65B">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646C3649">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Merge w:val="restart"/>
            <w:vAlign w:val="center"/>
          </w:tcPr>
          <w:p w14:paraId="3E511760">
            <w:pPr>
              <w:keepNext w:val="0"/>
              <w:keepLines w:val="0"/>
              <w:pageBreakBefore w:val="0"/>
              <w:kinsoku/>
              <w:topLinePunct w:val="0"/>
              <w:bidi w:val="0"/>
              <w:spacing w:line="400" w:lineRule="exac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A02061808热水器</w:t>
            </w:r>
          </w:p>
        </w:tc>
        <w:tc>
          <w:tcPr>
            <w:tcW w:w="1270" w:type="dxa"/>
            <w:vAlign w:val="center"/>
          </w:tcPr>
          <w:p w14:paraId="3E90DFE1">
            <w:pPr>
              <w:keepNext w:val="0"/>
              <w:keepLines w:val="0"/>
              <w:pageBreakBefore w:val="0"/>
              <w:kinsoku/>
              <w:topLinePunct w:val="0"/>
              <w:bidi w:val="0"/>
              <w:spacing w:line="400" w:lineRule="exac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★电热水器</w:t>
            </w:r>
          </w:p>
        </w:tc>
        <w:tc>
          <w:tcPr>
            <w:tcW w:w="3873" w:type="dxa"/>
            <w:vAlign w:val="center"/>
          </w:tcPr>
          <w:p w14:paraId="18E98B49">
            <w:pPr>
              <w:keepNext w:val="0"/>
              <w:keepLines w:val="0"/>
              <w:pageBreakBefore w:val="0"/>
              <w:tabs>
                <w:tab w:val="left" w:pos="1608"/>
              </w:tabs>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《储水式电热水器能效限定值及能效等级》（GB21519）</w:t>
            </w:r>
          </w:p>
        </w:tc>
      </w:tr>
      <w:tr w14:paraId="676A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3" w:hRule="exact"/>
          <w:jc w:val="center"/>
        </w:trPr>
        <w:tc>
          <w:tcPr>
            <w:tcW w:w="574" w:type="dxa"/>
            <w:vMerge w:val="continue"/>
            <w:vAlign w:val="center"/>
          </w:tcPr>
          <w:p w14:paraId="32388F2F">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23D58AC3">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Merge w:val="continue"/>
            <w:vAlign w:val="center"/>
          </w:tcPr>
          <w:p w14:paraId="720EBE41">
            <w:pPr>
              <w:keepNext w:val="0"/>
              <w:keepLines w:val="0"/>
              <w:pageBreakBefore w:val="0"/>
              <w:kinsoku/>
              <w:topLinePunct w:val="0"/>
              <w:bidi w:val="0"/>
              <w:spacing w:line="400" w:lineRule="exact"/>
              <w:rPr>
                <w:rFonts w:hint="eastAsia" w:ascii="宋体" w:hAnsi="宋体" w:eastAsia="宋体" w:cs="宋体"/>
                <w:strike w:val="0"/>
                <w:dstrike w:val="0"/>
                <w:color w:val="auto"/>
                <w:kern w:val="0"/>
                <w:sz w:val="21"/>
                <w:szCs w:val="21"/>
                <w:highlight w:val="none"/>
              </w:rPr>
            </w:pPr>
          </w:p>
        </w:tc>
        <w:tc>
          <w:tcPr>
            <w:tcW w:w="1270" w:type="dxa"/>
            <w:vAlign w:val="center"/>
          </w:tcPr>
          <w:p w14:paraId="0F16B500">
            <w:pPr>
              <w:keepNext w:val="0"/>
              <w:keepLines w:val="0"/>
              <w:pageBreakBefore w:val="0"/>
              <w:kinsoku/>
              <w:topLinePunct w:val="0"/>
              <w:bidi w:val="0"/>
              <w:spacing w:line="400" w:lineRule="exac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燃气热水器</w:t>
            </w:r>
          </w:p>
        </w:tc>
        <w:tc>
          <w:tcPr>
            <w:tcW w:w="3873" w:type="dxa"/>
            <w:vAlign w:val="center"/>
          </w:tcPr>
          <w:p w14:paraId="7A693ED4">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《家用燃气快速热水器和燃气采暖热水炉能效限定值及能效等级</w:t>
            </w:r>
          </w:p>
          <w:p w14:paraId="545A2424">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（GB20665）</w:t>
            </w:r>
          </w:p>
        </w:tc>
      </w:tr>
      <w:tr w14:paraId="08F5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574" w:type="dxa"/>
            <w:vMerge w:val="continue"/>
            <w:vAlign w:val="center"/>
          </w:tcPr>
          <w:p w14:paraId="79902D89">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1166" w:type="dxa"/>
            <w:gridSpan w:val="2"/>
            <w:vMerge w:val="continue"/>
            <w:vAlign w:val="center"/>
          </w:tcPr>
          <w:p w14:paraId="7BA7FE84">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1800" w:type="dxa"/>
            <w:vMerge w:val="continue"/>
            <w:vAlign w:val="center"/>
          </w:tcPr>
          <w:p w14:paraId="163FB91D">
            <w:pPr>
              <w:keepNext w:val="0"/>
              <w:keepLines w:val="0"/>
              <w:pageBreakBefore w:val="0"/>
              <w:kinsoku/>
              <w:topLinePunct w:val="0"/>
              <w:bidi w:val="0"/>
              <w:spacing w:line="400" w:lineRule="exact"/>
              <w:rPr>
                <w:rFonts w:hint="eastAsia" w:ascii="宋体" w:hAnsi="宋体" w:eastAsia="宋体" w:cs="宋体"/>
                <w:strike w:val="0"/>
                <w:dstrike w:val="0"/>
                <w:color w:val="auto"/>
                <w:kern w:val="0"/>
                <w:sz w:val="21"/>
                <w:szCs w:val="21"/>
                <w:highlight w:val="none"/>
                <w:lang w:eastAsia="en-US"/>
              </w:rPr>
            </w:pPr>
          </w:p>
        </w:tc>
        <w:tc>
          <w:tcPr>
            <w:tcW w:w="1270" w:type="dxa"/>
            <w:vAlign w:val="center"/>
          </w:tcPr>
          <w:p w14:paraId="1040D674">
            <w:pPr>
              <w:keepNext w:val="0"/>
              <w:keepLines w:val="0"/>
              <w:pageBreakBefore w:val="0"/>
              <w:kinsoku/>
              <w:topLinePunct w:val="0"/>
              <w:bidi w:val="0"/>
              <w:spacing w:line="400" w:lineRule="exac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热泵热水器</w:t>
            </w:r>
          </w:p>
        </w:tc>
        <w:tc>
          <w:tcPr>
            <w:tcW w:w="3873" w:type="dxa"/>
            <w:vAlign w:val="center"/>
          </w:tcPr>
          <w:p w14:paraId="01435AB3">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《热泵热水机（器）能效限定值及能效等级》（GB29541）</w:t>
            </w:r>
          </w:p>
        </w:tc>
      </w:tr>
      <w:tr w14:paraId="69C3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574" w:type="dxa"/>
            <w:vMerge w:val="continue"/>
            <w:vAlign w:val="center"/>
          </w:tcPr>
          <w:p w14:paraId="2AA2F11E">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24135CD4">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Merge w:val="continue"/>
            <w:vAlign w:val="center"/>
          </w:tcPr>
          <w:p w14:paraId="1F0E296A">
            <w:pPr>
              <w:keepNext w:val="0"/>
              <w:keepLines w:val="0"/>
              <w:pageBreakBefore w:val="0"/>
              <w:kinsoku/>
              <w:topLinePunct w:val="0"/>
              <w:bidi w:val="0"/>
              <w:spacing w:line="400" w:lineRule="exact"/>
              <w:rPr>
                <w:rFonts w:hint="eastAsia" w:ascii="宋体" w:hAnsi="宋体" w:eastAsia="宋体" w:cs="宋体"/>
                <w:strike w:val="0"/>
                <w:dstrike w:val="0"/>
                <w:color w:val="auto"/>
                <w:kern w:val="0"/>
                <w:sz w:val="21"/>
                <w:szCs w:val="21"/>
                <w:highlight w:val="none"/>
              </w:rPr>
            </w:pPr>
          </w:p>
        </w:tc>
        <w:tc>
          <w:tcPr>
            <w:tcW w:w="1270" w:type="dxa"/>
            <w:vAlign w:val="center"/>
          </w:tcPr>
          <w:p w14:paraId="4C551453">
            <w:pPr>
              <w:keepNext w:val="0"/>
              <w:keepLines w:val="0"/>
              <w:pageBreakBefore w:val="0"/>
              <w:kinsoku/>
              <w:topLinePunct w:val="0"/>
              <w:bidi w:val="0"/>
              <w:spacing w:line="400" w:lineRule="exac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太阳能热水系统</w:t>
            </w:r>
          </w:p>
        </w:tc>
        <w:tc>
          <w:tcPr>
            <w:tcW w:w="3873" w:type="dxa"/>
            <w:vAlign w:val="center"/>
          </w:tcPr>
          <w:p w14:paraId="62FCD3C0">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《家用太阳能热水系统能效限定值及能效等级》（GB26969）</w:t>
            </w:r>
          </w:p>
        </w:tc>
      </w:tr>
      <w:tr w14:paraId="048FA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exact"/>
          <w:jc w:val="center"/>
        </w:trPr>
        <w:tc>
          <w:tcPr>
            <w:tcW w:w="574" w:type="dxa"/>
            <w:vMerge w:val="restart"/>
            <w:vAlign w:val="center"/>
          </w:tcPr>
          <w:p w14:paraId="71E3C39C">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11</w:t>
            </w:r>
          </w:p>
        </w:tc>
        <w:tc>
          <w:tcPr>
            <w:tcW w:w="1166" w:type="dxa"/>
            <w:gridSpan w:val="2"/>
            <w:vMerge w:val="restart"/>
            <w:vAlign w:val="center"/>
          </w:tcPr>
          <w:p w14:paraId="12F60099">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A020619照明设备</w:t>
            </w:r>
          </w:p>
        </w:tc>
        <w:tc>
          <w:tcPr>
            <w:tcW w:w="1800" w:type="dxa"/>
            <w:vAlign w:val="center"/>
          </w:tcPr>
          <w:p w14:paraId="6AE30C0A">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★普通照明用双端荧光灯</w:t>
            </w:r>
          </w:p>
        </w:tc>
        <w:tc>
          <w:tcPr>
            <w:tcW w:w="1270" w:type="dxa"/>
            <w:vAlign w:val="center"/>
          </w:tcPr>
          <w:p w14:paraId="13F747A7">
            <w:pPr>
              <w:keepNext w:val="0"/>
              <w:keepLines w:val="0"/>
              <w:pageBreakBefore w:val="0"/>
              <w:kinsoku/>
              <w:topLinePunct w:val="0"/>
              <w:bidi w:val="0"/>
              <w:spacing w:line="400" w:lineRule="exact"/>
              <w:rPr>
                <w:rFonts w:hint="eastAsia" w:ascii="宋体" w:hAnsi="宋体" w:eastAsia="宋体" w:cs="宋体"/>
                <w:strike w:val="0"/>
                <w:dstrike w:val="0"/>
                <w:color w:val="auto"/>
                <w:kern w:val="0"/>
                <w:sz w:val="21"/>
                <w:szCs w:val="21"/>
                <w:highlight w:val="none"/>
              </w:rPr>
            </w:pPr>
          </w:p>
        </w:tc>
        <w:tc>
          <w:tcPr>
            <w:tcW w:w="3873" w:type="dxa"/>
            <w:vAlign w:val="center"/>
          </w:tcPr>
          <w:p w14:paraId="2B5BDDC6">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《普通照明用双端荧光灯能效限定值及能效等级》（GB19043）</w:t>
            </w:r>
          </w:p>
        </w:tc>
      </w:tr>
      <w:tr w14:paraId="2F61A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exact"/>
          <w:jc w:val="center"/>
        </w:trPr>
        <w:tc>
          <w:tcPr>
            <w:tcW w:w="574" w:type="dxa"/>
            <w:vMerge w:val="continue"/>
            <w:vAlign w:val="center"/>
          </w:tcPr>
          <w:p w14:paraId="059C4E8F">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636A5EC7">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Align w:val="center"/>
          </w:tcPr>
          <w:p w14:paraId="6E4500FB">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LED道路/隧道照明产品</w:t>
            </w:r>
          </w:p>
        </w:tc>
        <w:tc>
          <w:tcPr>
            <w:tcW w:w="1270" w:type="dxa"/>
            <w:vAlign w:val="center"/>
          </w:tcPr>
          <w:p w14:paraId="2F903D97">
            <w:pPr>
              <w:keepNext w:val="0"/>
              <w:keepLines w:val="0"/>
              <w:pageBreakBefore w:val="0"/>
              <w:kinsoku/>
              <w:topLinePunct w:val="0"/>
              <w:bidi w:val="0"/>
              <w:spacing w:line="400" w:lineRule="exac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7CCEB7DF">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《道路和隧道照明用LED灯具能效限定值及能效等级》（GB37478）</w:t>
            </w:r>
          </w:p>
        </w:tc>
      </w:tr>
      <w:tr w14:paraId="2163B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exact"/>
          <w:jc w:val="center"/>
        </w:trPr>
        <w:tc>
          <w:tcPr>
            <w:tcW w:w="574" w:type="dxa"/>
            <w:vMerge w:val="continue"/>
            <w:vAlign w:val="center"/>
          </w:tcPr>
          <w:p w14:paraId="02B2F8D5">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4FA83B69">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Align w:val="center"/>
          </w:tcPr>
          <w:p w14:paraId="2E6F3ABB">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LED筒灯</w:t>
            </w:r>
          </w:p>
        </w:tc>
        <w:tc>
          <w:tcPr>
            <w:tcW w:w="1270" w:type="dxa"/>
            <w:vAlign w:val="center"/>
          </w:tcPr>
          <w:p w14:paraId="0F27E557">
            <w:pPr>
              <w:keepNext w:val="0"/>
              <w:keepLines w:val="0"/>
              <w:pageBreakBefore w:val="0"/>
              <w:kinsoku/>
              <w:topLinePunct w:val="0"/>
              <w:bidi w:val="0"/>
              <w:spacing w:line="400" w:lineRule="exac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46E4F584">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《室内照明用LED产品能效限定值及能效等级》（GB30255）</w:t>
            </w:r>
          </w:p>
        </w:tc>
      </w:tr>
      <w:tr w14:paraId="4A6B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exact"/>
          <w:jc w:val="center"/>
        </w:trPr>
        <w:tc>
          <w:tcPr>
            <w:tcW w:w="574" w:type="dxa"/>
            <w:vMerge w:val="continue"/>
            <w:vAlign w:val="center"/>
          </w:tcPr>
          <w:p w14:paraId="174ECBF6">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05DA18C7">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Align w:val="center"/>
          </w:tcPr>
          <w:p w14:paraId="73B86E7D">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普通照明用非定向自镇流LED灯</w:t>
            </w:r>
          </w:p>
        </w:tc>
        <w:tc>
          <w:tcPr>
            <w:tcW w:w="1270" w:type="dxa"/>
            <w:vAlign w:val="center"/>
          </w:tcPr>
          <w:p w14:paraId="7F869482">
            <w:pPr>
              <w:keepNext w:val="0"/>
              <w:keepLines w:val="0"/>
              <w:pageBreakBefore w:val="0"/>
              <w:kinsoku/>
              <w:topLinePunct w:val="0"/>
              <w:bidi w:val="0"/>
              <w:spacing w:line="400" w:lineRule="exact"/>
              <w:rPr>
                <w:rFonts w:hint="eastAsia" w:ascii="宋体" w:hAnsi="宋体" w:eastAsia="宋体" w:cs="宋体"/>
                <w:strike w:val="0"/>
                <w:dstrike w:val="0"/>
                <w:color w:val="auto"/>
                <w:kern w:val="0"/>
                <w:sz w:val="21"/>
                <w:szCs w:val="21"/>
                <w:highlight w:val="none"/>
              </w:rPr>
            </w:pPr>
          </w:p>
        </w:tc>
        <w:tc>
          <w:tcPr>
            <w:tcW w:w="3873" w:type="dxa"/>
            <w:vAlign w:val="center"/>
          </w:tcPr>
          <w:p w14:paraId="7D278447">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《室内照明用LED产品能效限定值及能效等级》（GB30255）</w:t>
            </w:r>
          </w:p>
        </w:tc>
      </w:tr>
      <w:tr w14:paraId="04C4D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574" w:type="dxa"/>
            <w:vAlign w:val="center"/>
          </w:tcPr>
          <w:p w14:paraId="369E67F0">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12</w:t>
            </w:r>
          </w:p>
        </w:tc>
        <w:tc>
          <w:tcPr>
            <w:tcW w:w="1157" w:type="dxa"/>
            <w:vAlign w:val="center"/>
          </w:tcPr>
          <w:p w14:paraId="1A3E4F7F">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★A020910电视设备</w:t>
            </w:r>
          </w:p>
        </w:tc>
        <w:tc>
          <w:tcPr>
            <w:tcW w:w="1809" w:type="dxa"/>
            <w:gridSpan w:val="2"/>
            <w:vAlign w:val="center"/>
          </w:tcPr>
          <w:p w14:paraId="7931A4CD">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A02091001普通电视设备（电视机）</w:t>
            </w:r>
          </w:p>
        </w:tc>
        <w:tc>
          <w:tcPr>
            <w:tcW w:w="1270" w:type="dxa"/>
            <w:vAlign w:val="center"/>
          </w:tcPr>
          <w:p w14:paraId="3282FA83">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3873" w:type="dxa"/>
            <w:vAlign w:val="center"/>
          </w:tcPr>
          <w:p w14:paraId="66DF9A82">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《平板电视能效限定值及能效等级》（GB24850）</w:t>
            </w:r>
          </w:p>
        </w:tc>
      </w:tr>
      <w:tr w14:paraId="04F77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 w:hRule="atLeast"/>
          <w:jc w:val="center"/>
        </w:trPr>
        <w:tc>
          <w:tcPr>
            <w:tcW w:w="574" w:type="dxa"/>
            <w:vAlign w:val="center"/>
          </w:tcPr>
          <w:p w14:paraId="1EF147B3">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13</w:t>
            </w:r>
          </w:p>
        </w:tc>
        <w:tc>
          <w:tcPr>
            <w:tcW w:w="1157" w:type="dxa"/>
            <w:vAlign w:val="center"/>
          </w:tcPr>
          <w:p w14:paraId="20AC5A42">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★A020911视频设备</w:t>
            </w:r>
          </w:p>
        </w:tc>
        <w:tc>
          <w:tcPr>
            <w:tcW w:w="1809" w:type="dxa"/>
            <w:gridSpan w:val="2"/>
            <w:vAlign w:val="center"/>
          </w:tcPr>
          <w:p w14:paraId="66BA65B6">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A02091107视频监控设备</w:t>
            </w:r>
          </w:p>
        </w:tc>
        <w:tc>
          <w:tcPr>
            <w:tcW w:w="1270" w:type="dxa"/>
            <w:vAlign w:val="center"/>
          </w:tcPr>
          <w:p w14:paraId="1EFCC6C9">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监视器</w:t>
            </w:r>
          </w:p>
        </w:tc>
        <w:tc>
          <w:tcPr>
            <w:tcW w:w="3873" w:type="dxa"/>
            <w:vAlign w:val="center"/>
          </w:tcPr>
          <w:p w14:paraId="75C4B996">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以射频信号为主要信号输入的监视器应符合《平板电视能效限定值及能效等级》（GB24850），以数字信号为主要信号输入的监视器应符合《计算机显示器能效限定值及能效等级》（GB21520）</w:t>
            </w:r>
          </w:p>
        </w:tc>
      </w:tr>
      <w:tr w14:paraId="3AD3C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exact"/>
          <w:jc w:val="center"/>
        </w:trPr>
        <w:tc>
          <w:tcPr>
            <w:tcW w:w="574" w:type="dxa"/>
            <w:vAlign w:val="center"/>
          </w:tcPr>
          <w:p w14:paraId="3F77DA0D">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14</w:t>
            </w:r>
          </w:p>
        </w:tc>
        <w:tc>
          <w:tcPr>
            <w:tcW w:w="1157" w:type="dxa"/>
            <w:vAlign w:val="center"/>
          </w:tcPr>
          <w:p w14:paraId="2E23E8C5">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A031210饮食</w:t>
            </w:r>
          </w:p>
          <w:p w14:paraId="512C428C">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炊事机械</w:t>
            </w:r>
          </w:p>
        </w:tc>
        <w:tc>
          <w:tcPr>
            <w:tcW w:w="1809" w:type="dxa"/>
            <w:gridSpan w:val="2"/>
            <w:vAlign w:val="center"/>
          </w:tcPr>
          <w:p w14:paraId="7706D0F1">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商用燃气灶具</w:t>
            </w:r>
          </w:p>
        </w:tc>
        <w:tc>
          <w:tcPr>
            <w:tcW w:w="1270" w:type="dxa"/>
            <w:vAlign w:val="center"/>
          </w:tcPr>
          <w:p w14:paraId="269794EB">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15C22A7D">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《商用燃气灶具能效限定值及能效等级》（GB30531）</w:t>
            </w:r>
          </w:p>
        </w:tc>
      </w:tr>
      <w:tr w14:paraId="379A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74" w:type="dxa"/>
            <w:vMerge w:val="restart"/>
            <w:vAlign w:val="center"/>
          </w:tcPr>
          <w:p w14:paraId="1F8CD238">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15</w:t>
            </w:r>
          </w:p>
        </w:tc>
        <w:tc>
          <w:tcPr>
            <w:tcW w:w="1157" w:type="dxa"/>
            <w:vMerge w:val="restart"/>
            <w:vAlign w:val="center"/>
          </w:tcPr>
          <w:p w14:paraId="6D5E499F">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★A060805便器</w:t>
            </w:r>
          </w:p>
        </w:tc>
        <w:tc>
          <w:tcPr>
            <w:tcW w:w="1809" w:type="dxa"/>
            <w:gridSpan w:val="2"/>
            <w:vAlign w:val="center"/>
          </w:tcPr>
          <w:p w14:paraId="27EABB1C">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坐便器</w:t>
            </w:r>
          </w:p>
        </w:tc>
        <w:tc>
          <w:tcPr>
            <w:tcW w:w="1270" w:type="dxa"/>
            <w:vAlign w:val="center"/>
          </w:tcPr>
          <w:p w14:paraId="1C047793">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482B8EDD">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《坐便器水效限定值及水效等级</w:t>
            </w:r>
          </w:p>
          <w:p w14:paraId="1EF57B19">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（GB25502）</w:t>
            </w:r>
          </w:p>
        </w:tc>
      </w:tr>
      <w:tr w14:paraId="1229C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574" w:type="dxa"/>
            <w:vMerge w:val="continue"/>
            <w:vAlign w:val="center"/>
          </w:tcPr>
          <w:p w14:paraId="2D9E3400">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p>
        </w:tc>
        <w:tc>
          <w:tcPr>
            <w:tcW w:w="1157" w:type="dxa"/>
            <w:vMerge w:val="continue"/>
            <w:vAlign w:val="center"/>
          </w:tcPr>
          <w:p w14:paraId="40EEAFB2">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1809" w:type="dxa"/>
            <w:gridSpan w:val="2"/>
            <w:vAlign w:val="center"/>
          </w:tcPr>
          <w:p w14:paraId="1DA53613">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蹲便器</w:t>
            </w:r>
          </w:p>
        </w:tc>
        <w:tc>
          <w:tcPr>
            <w:tcW w:w="1270" w:type="dxa"/>
            <w:vAlign w:val="center"/>
          </w:tcPr>
          <w:p w14:paraId="759F44DA">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61246A10">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《蹲便器用水效率限定值及用水效率等级》（GB30717）</w:t>
            </w:r>
          </w:p>
        </w:tc>
      </w:tr>
      <w:tr w14:paraId="78B6B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4" w:type="dxa"/>
            <w:vMerge w:val="continue"/>
            <w:vAlign w:val="center"/>
          </w:tcPr>
          <w:p w14:paraId="2051004D">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157" w:type="dxa"/>
            <w:vMerge w:val="continue"/>
            <w:vAlign w:val="center"/>
          </w:tcPr>
          <w:p w14:paraId="3D8D07B4">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9" w:type="dxa"/>
            <w:gridSpan w:val="2"/>
            <w:vAlign w:val="center"/>
          </w:tcPr>
          <w:p w14:paraId="70ECC2EF">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小便器</w:t>
            </w:r>
          </w:p>
        </w:tc>
        <w:tc>
          <w:tcPr>
            <w:tcW w:w="1270" w:type="dxa"/>
            <w:vAlign w:val="center"/>
          </w:tcPr>
          <w:p w14:paraId="35488C56">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47F4775D">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《小便器用水效率限定值及用水效率等级》（GB28377）</w:t>
            </w:r>
          </w:p>
        </w:tc>
      </w:tr>
      <w:tr w14:paraId="6D392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jc w:val="center"/>
        </w:trPr>
        <w:tc>
          <w:tcPr>
            <w:tcW w:w="574" w:type="dxa"/>
            <w:vAlign w:val="center"/>
          </w:tcPr>
          <w:p w14:paraId="3F3097F0">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16</w:t>
            </w:r>
          </w:p>
        </w:tc>
        <w:tc>
          <w:tcPr>
            <w:tcW w:w="1157" w:type="dxa"/>
            <w:vAlign w:val="center"/>
          </w:tcPr>
          <w:p w14:paraId="31F228EA">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★A060806水嘴</w:t>
            </w:r>
          </w:p>
        </w:tc>
        <w:tc>
          <w:tcPr>
            <w:tcW w:w="1809" w:type="dxa"/>
            <w:gridSpan w:val="2"/>
            <w:vAlign w:val="center"/>
          </w:tcPr>
          <w:p w14:paraId="4DD7FB8C">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1270" w:type="dxa"/>
            <w:vAlign w:val="center"/>
          </w:tcPr>
          <w:p w14:paraId="4D48A5B7">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3195EAE2">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《水嘴用水效率限定值及用水效率等级》（GB25501）</w:t>
            </w:r>
          </w:p>
        </w:tc>
      </w:tr>
      <w:tr w14:paraId="36759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jc w:val="center"/>
        </w:trPr>
        <w:tc>
          <w:tcPr>
            <w:tcW w:w="574" w:type="dxa"/>
            <w:vAlign w:val="center"/>
          </w:tcPr>
          <w:p w14:paraId="3E5C8CAA">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17</w:t>
            </w:r>
          </w:p>
        </w:tc>
        <w:tc>
          <w:tcPr>
            <w:tcW w:w="1157" w:type="dxa"/>
            <w:vAlign w:val="center"/>
          </w:tcPr>
          <w:p w14:paraId="6AE84D66">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A060807便器冲洗阀</w:t>
            </w:r>
          </w:p>
        </w:tc>
        <w:tc>
          <w:tcPr>
            <w:tcW w:w="1809" w:type="dxa"/>
            <w:gridSpan w:val="2"/>
            <w:vAlign w:val="center"/>
          </w:tcPr>
          <w:p w14:paraId="32ECCB22">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1270" w:type="dxa"/>
            <w:vAlign w:val="center"/>
          </w:tcPr>
          <w:p w14:paraId="16833BF1">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7EE310A6">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《便器冲洗阀用水效率限定值及用水效率等级》（GB28379）</w:t>
            </w:r>
          </w:p>
        </w:tc>
      </w:tr>
      <w:tr w14:paraId="0DC7D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574" w:type="dxa"/>
            <w:vAlign w:val="center"/>
          </w:tcPr>
          <w:p w14:paraId="7485D7AB">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18</w:t>
            </w:r>
          </w:p>
        </w:tc>
        <w:tc>
          <w:tcPr>
            <w:tcW w:w="1157" w:type="dxa"/>
            <w:vAlign w:val="center"/>
          </w:tcPr>
          <w:p w14:paraId="7F9AD951">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A060810淋浴器</w:t>
            </w:r>
          </w:p>
        </w:tc>
        <w:tc>
          <w:tcPr>
            <w:tcW w:w="1809" w:type="dxa"/>
            <w:gridSpan w:val="2"/>
            <w:vAlign w:val="center"/>
          </w:tcPr>
          <w:p w14:paraId="7423CD35">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1270" w:type="dxa"/>
            <w:vAlign w:val="center"/>
          </w:tcPr>
          <w:p w14:paraId="24B83B52">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57413D51">
            <w:pPr>
              <w:keepNext w:val="0"/>
              <w:keepLines w:val="0"/>
              <w:pageBreakBefore w:val="0"/>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《淋浴器用水效率限定值及用水效率等级》（GB28378）</w:t>
            </w:r>
          </w:p>
        </w:tc>
      </w:tr>
    </w:tbl>
    <w:p w14:paraId="5AA84BBD">
      <w:pPr>
        <w:keepNext w:val="0"/>
        <w:keepLines w:val="0"/>
        <w:pageBreakBefore w:val="0"/>
        <w:kinsoku/>
        <w:topLinePunct w:val="0"/>
        <w:bidi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pacing w:val="-3"/>
          <w:sz w:val="21"/>
          <w:szCs w:val="21"/>
          <w:highlight w:val="none"/>
        </w:rPr>
        <w:t>注：1.节能产品认证应依据相关国家标准的最新版本，依据国家标准中二级能效（水效）</w:t>
      </w:r>
      <w:r>
        <w:rPr>
          <w:rFonts w:hint="eastAsia" w:ascii="宋体" w:hAnsi="宋体" w:eastAsia="宋体" w:cs="宋体"/>
          <w:strike w:val="0"/>
          <w:dstrike w:val="0"/>
          <w:color w:val="auto"/>
          <w:sz w:val="21"/>
          <w:szCs w:val="21"/>
          <w:highlight w:val="none"/>
        </w:rPr>
        <w:t>指标。</w:t>
      </w:r>
    </w:p>
    <w:p w14:paraId="33FDF392">
      <w:pPr>
        <w:keepNext w:val="0"/>
        <w:keepLines w:val="0"/>
        <w:pageBreakBefore w:val="0"/>
        <w:kinsoku/>
        <w:topLinePunct w:val="0"/>
        <w:bidi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2.以“★”标注的为政府强制采购产品。</w:t>
      </w:r>
    </w:p>
    <w:p w14:paraId="4F841CE6">
      <w:pPr>
        <w:keepNext w:val="0"/>
        <w:keepLines w:val="0"/>
        <w:pageBreakBefore w:val="0"/>
        <w:widowControl/>
        <w:kinsoku/>
        <w:topLinePunct w:val="0"/>
        <w:bidi w:val="0"/>
        <w:spacing w:line="400" w:lineRule="exact"/>
        <w:jc w:val="lef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br w:type="page"/>
      </w:r>
    </w:p>
    <w:p w14:paraId="063ADFE2">
      <w:pPr>
        <w:keepNext w:val="0"/>
        <w:keepLines w:val="0"/>
        <w:pageBreakBefore w:val="0"/>
        <w:kinsoku/>
        <w:topLinePunct w:val="0"/>
        <w:bidi w:val="0"/>
        <w:spacing w:line="400" w:lineRule="exac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附件2：</w:t>
      </w:r>
    </w:p>
    <w:p w14:paraId="2131214B">
      <w:pPr>
        <w:keepNext w:val="0"/>
        <w:keepLines w:val="0"/>
        <w:pageBreakBefore w:val="0"/>
        <w:kinsoku/>
        <w:topLinePunct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中小微企业划型标准</w:t>
      </w:r>
    </w:p>
    <w:tbl>
      <w:tblPr>
        <w:tblStyle w:val="48"/>
        <w:tblW w:w="8769" w:type="dxa"/>
        <w:jc w:val="center"/>
        <w:tblLayout w:type="fixed"/>
        <w:tblCellMar>
          <w:top w:w="0" w:type="dxa"/>
          <w:left w:w="108" w:type="dxa"/>
          <w:bottom w:w="0" w:type="dxa"/>
          <w:right w:w="108" w:type="dxa"/>
        </w:tblCellMar>
      </w:tblPr>
      <w:tblGrid>
        <w:gridCol w:w="1767"/>
        <w:gridCol w:w="1400"/>
        <w:gridCol w:w="1136"/>
        <w:gridCol w:w="1696"/>
        <w:gridCol w:w="1701"/>
        <w:gridCol w:w="1069"/>
      </w:tblGrid>
      <w:tr w14:paraId="75E08B81">
        <w:tblPrEx>
          <w:tblCellMar>
            <w:top w:w="0" w:type="dxa"/>
            <w:left w:w="108" w:type="dxa"/>
            <w:bottom w:w="0" w:type="dxa"/>
            <w:right w:w="108" w:type="dxa"/>
          </w:tblCellMar>
        </w:tblPrEx>
        <w:trPr>
          <w:trHeight w:val="285"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14:paraId="37DE0B7F">
            <w:pPr>
              <w:keepNext w:val="0"/>
              <w:keepLines w:val="0"/>
              <w:pageBreakBefore w:val="0"/>
              <w:widowControl/>
              <w:kinsoku/>
              <w:topLinePunct w:val="0"/>
              <w:bidi w:val="0"/>
              <w:spacing w:line="400" w:lineRule="exact"/>
              <w:jc w:val="center"/>
              <w:rPr>
                <w:rFonts w:hint="eastAsia" w:ascii="宋体" w:hAnsi="宋体" w:eastAsia="宋体" w:cs="宋体"/>
                <w:b/>
                <w:strike w:val="0"/>
                <w:dstrike w:val="0"/>
                <w:color w:val="auto"/>
                <w:kern w:val="0"/>
                <w:sz w:val="21"/>
                <w:szCs w:val="21"/>
                <w:highlight w:val="none"/>
              </w:rPr>
            </w:pPr>
            <w:r>
              <w:rPr>
                <w:rFonts w:hint="eastAsia" w:ascii="宋体" w:hAnsi="宋体" w:eastAsia="宋体" w:cs="宋体"/>
                <w:b/>
                <w:strike w:val="0"/>
                <w:dstrike w:val="0"/>
                <w:color w:val="auto"/>
                <w:kern w:val="0"/>
                <w:sz w:val="21"/>
                <w:szCs w:val="21"/>
                <w:highlight w:val="none"/>
              </w:rPr>
              <w:t>行业名称</w:t>
            </w:r>
          </w:p>
        </w:tc>
        <w:tc>
          <w:tcPr>
            <w:tcW w:w="1400" w:type="dxa"/>
            <w:tcBorders>
              <w:top w:val="single" w:color="auto" w:sz="4" w:space="0"/>
              <w:left w:val="nil"/>
              <w:bottom w:val="single" w:color="auto" w:sz="4" w:space="0"/>
              <w:right w:val="single" w:color="auto" w:sz="4" w:space="0"/>
            </w:tcBorders>
            <w:vAlign w:val="center"/>
          </w:tcPr>
          <w:p w14:paraId="2CD844FC">
            <w:pPr>
              <w:keepNext w:val="0"/>
              <w:keepLines w:val="0"/>
              <w:pageBreakBefore w:val="0"/>
              <w:widowControl/>
              <w:kinsoku/>
              <w:topLinePunct w:val="0"/>
              <w:bidi w:val="0"/>
              <w:spacing w:line="400" w:lineRule="exact"/>
              <w:jc w:val="center"/>
              <w:rPr>
                <w:rFonts w:hint="eastAsia" w:ascii="宋体" w:hAnsi="宋体" w:eastAsia="宋体" w:cs="宋体"/>
                <w:b/>
                <w:strike w:val="0"/>
                <w:dstrike w:val="0"/>
                <w:color w:val="auto"/>
                <w:kern w:val="0"/>
                <w:sz w:val="21"/>
                <w:szCs w:val="21"/>
                <w:highlight w:val="none"/>
              </w:rPr>
            </w:pPr>
            <w:r>
              <w:rPr>
                <w:rFonts w:hint="eastAsia" w:ascii="宋体" w:hAnsi="宋体" w:eastAsia="宋体" w:cs="宋体"/>
                <w:b/>
                <w:strike w:val="0"/>
                <w:dstrike w:val="0"/>
                <w:color w:val="auto"/>
                <w:kern w:val="0"/>
                <w:sz w:val="21"/>
                <w:szCs w:val="21"/>
                <w:highlight w:val="none"/>
              </w:rPr>
              <w:t>指标名称</w:t>
            </w:r>
          </w:p>
        </w:tc>
        <w:tc>
          <w:tcPr>
            <w:tcW w:w="1136" w:type="dxa"/>
            <w:tcBorders>
              <w:top w:val="single" w:color="auto" w:sz="4" w:space="0"/>
              <w:left w:val="nil"/>
              <w:bottom w:val="single" w:color="auto" w:sz="4" w:space="0"/>
              <w:right w:val="single" w:color="auto" w:sz="4" w:space="0"/>
            </w:tcBorders>
            <w:vAlign w:val="center"/>
          </w:tcPr>
          <w:p w14:paraId="285ADFAF">
            <w:pPr>
              <w:keepNext w:val="0"/>
              <w:keepLines w:val="0"/>
              <w:pageBreakBefore w:val="0"/>
              <w:widowControl/>
              <w:kinsoku/>
              <w:topLinePunct w:val="0"/>
              <w:bidi w:val="0"/>
              <w:spacing w:line="400" w:lineRule="exact"/>
              <w:jc w:val="center"/>
              <w:rPr>
                <w:rFonts w:hint="eastAsia" w:ascii="宋体" w:hAnsi="宋体" w:eastAsia="宋体" w:cs="宋体"/>
                <w:b/>
                <w:strike w:val="0"/>
                <w:dstrike w:val="0"/>
                <w:color w:val="auto"/>
                <w:kern w:val="0"/>
                <w:sz w:val="21"/>
                <w:szCs w:val="21"/>
                <w:highlight w:val="none"/>
              </w:rPr>
            </w:pPr>
            <w:r>
              <w:rPr>
                <w:rFonts w:hint="eastAsia" w:ascii="宋体" w:hAnsi="宋体" w:eastAsia="宋体" w:cs="宋体"/>
                <w:b/>
                <w:strike w:val="0"/>
                <w:dstrike w:val="0"/>
                <w:color w:val="auto"/>
                <w:kern w:val="0"/>
                <w:sz w:val="21"/>
                <w:szCs w:val="21"/>
                <w:highlight w:val="none"/>
              </w:rPr>
              <w:t>计量单位</w:t>
            </w:r>
          </w:p>
        </w:tc>
        <w:tc>
          <w:tcPr>
            <w:tcW w:w="1696" w:type="dxa"/>
            <w:tcBorders>
              <w:top w:val="single" w:color="auto" w:sz="4" w:space="0"/>
              <w:left w:val="nil"/>
              <w:bottom w:val="single" w:color="auto" w:sz="4" w:space="0"/>
              <w:right w:val="single" w:color="auto" w:sz="4" w:space="0"/>
            </w:tcBorders>
            <w:vAlign w:val="center"/>
          </w:tcPr>
          <w:p w14:paraId="19CA27C0">
            <w:pPr>
              <w:keepNext w:val="0"/>
              <w:keepLines w:val="0"/>
              <w:pageBreakBefore w:val="0"/>
              <w:widowControl/>
              <w:kinsoku/>
              <w:topLinePunct w:val="0"/>
              <w:bidi w:val="0"/>
              <w:spacing w:line="400" w:lineRule="exact"/>
              <w:jc w:val="center"/>
              <w:rPr>
                <w:rFonts w:hint="eastAsia" w:ascii="宋体" w:hAnsi="宋体" w:eastAsia="宋体" w:cs="宋体"/>
                <w:b/>
                <w:strike w:val="0"/>
                <w:dstrike w:val="0"/>
                <w:color w:val="auto"/>
                <w:kern w:val="0"/>
                <w:sz w:val="21"/>
                <w:szCs w:val="21"/>
                <w:highlight w:val="none"/>
              </w:rPr>
            </w:pPr>
            <w:r>
              <w:rPr>
                <w:rFonts w:hint="eastAsia" w:ascii="宋体" w:hAnsi="宋体" w:eastAsia="宋体" w:cs="宋体"/>
                <w:b/>
                <w:strike w:val="0"/>
                <w:dstrike w:val="0"/>
                <w:color w:val="auto"/>
                <w:kern w:val="0"/>
                <w:sz w:val="21"/>
                <w:szCs w:val="21"/>
                <w:highlight w:val="none"/>
              </w:rPr>
              <w:t>中型</w:t>
            </w:r>
          </w:p>
        </w:tc>
        <w:tc>
          <w:tcPr>
            <w:tcW w:w="1701" w:type="dxa"/>
            <w:tcBorders>
              <w:top w:val="single" w:color="auto" w:sz="4" w:space="0"/>
              <w:left w:val="nil"/>
              <w:bottom w:val="single" w:color="auto" w:sz="4" w:space="0"/>
              <w:right w:val="single" w:color="auto" w:sz="4" w:space="0"/>
            </w:tcBorders>
            <w:vAlign w:val="center"/>
          </w:tcPr>
          <w:p w14:paraId="6CA0070A">
            <w:pPr>
              <w:keepNext w:val="0"/>
              <w:keepLines w:val="0"/>
              <w:pageBreakBefore w:val="0"/>
              <w:widowControl/>
              <w:kinsoku/>
              <w:topLinePunct w:val="0"/>
              <w:bidi w:val="0"/>
              <w:spacing w:line="400" w:lineRule="exact"/>
              <w:jc w:val="center"/>
              <w:rPr>
                <w:rFonts w:hint="eastAsia" w:ascii="宋体" w:hAnsi="宋体" w:eastAsia="宋体" w:cs="宋体"/>
                <w:b/>
                <w:strike w:val="0"/>
                <w:dstrike w:val="0"/>
                <w:color w:val="auto"/>
                <w:kern w:val="0"/>
                <w:sz w:val="21"/>
                <w:szCs w:val="21"/>
                <w:highlight w:val="none"/>
              </w:rPr>
            </w:pPr>
            <w:r>
              <w:rPr>
                <w:rFonts w:hint="eastAsia" w:ascii="宋体" w:hAnsi="宋体" w:eastAsia="宋体" w:cs="宋体"/>
                <w:b/>
                <w:strike w:val="0"/>
                <w:dstrike w:val="0"/>
                <w:color w:val="auto"/>
                <w:kern w:val="0"/>
                <w:sz w:val="21"/>
                <w:szCs w:val="21"/>
                <w:highlight w:val="none"/>
              </w:rPr>
              <w:t>小型</w:t>
            </w:r>
          </w:p>
        </w:tc>
        <w:tc>
          <w:tcPr>
            <w:tcW w:w="1069" w:type="dxa"/>
            <w:tcBorders>
              <w:top w:val="single" w:color="auto" w:sz="4" w:space="0"/>
              <w:left w:val="nil"/>
              <w:bottom w:val="single" w:color="auto" w:sz="4" w:space="0"/>
              <w:right w:val="single" w:color="auto" w:sz="4" w:space="0"/>
            </w:tcBorders>
            <w:vAlign w:val="center"/>
          </w:tcPr>
          <w:p w14:paraId="7BAE8448">
            <w:pPr>
              <w:keepNext w:val="0"/>
              <w:keepLines w:val="0"/>
              <w:pageBreakBefore w:val="0"/>
              <w:widowControl/>
              <w:kinsoku/>
              <w:topLinePunct w:val="0"/>
              <w:bidi w:val="0"/>
              <w:spacing w:line="400" w:lineRule="exact"/>
              <w:jc w:val="center"/>
              <w:rPr>
                <w:rFonts w:hint="eastAsia" w:ascii="宋体" w:hAnsi="宋体" w:eastAsia="宋体" w:cs="宋体"/>
                <w:b/>
                <w:strike w:val="0"/>
                <w:dstrike w:val="0"/>
                <w:color w:val="auto"/>
                <w:kern w:val="0"/>
                <w:sz w:val="21"/>
                <w:szCs w:val="21"/>
                <w:highlight w:val="none"/>
              </w:rPr>
            </w:pPr>
            <w:r>
              <w:rPr>
                <w:rFonts w:hint="eastAsia" w:ascii="宋体" w:hAnsi="宋体" w:eastAsia="宋体" w:cs="宋体"/>
                <w:b/>
                <w:strike w:val="0"/>
                <w:dstrike w:val="0"/>
                <w:color w:val="auto"/>
                <w:kern w:val="0"/>
                <w:sz w:val="21"/>
                <w:szCs w:val="21"/>
                <w:highlight w:val="none"/>
              </w:rPr>
              <w:t>微型</w:t>
            </w:r>
          </w:p>
        </w:tc>
      </w:tr>
      <w:tr w14:paraId="02E5C7C7">
        <w:tblPrEx>
          <w:tblCellMar>
            <w:top w:w="0" w:type="dxa"/>
            <w:left w:w="108" w:type="dxa"/>
            <w:bottom w:w="0" w:type="dxa"/>
            <w:right w:w="108" w:type="dxa"/>
          </w:tblCellMar>
        </w:tblPrEx>
        <w:trPr>
          <w:trHeight w:val="225" w:hRule="atLeast"/>
          <w:jc w:val="center"/>
        </w:trPr>
        <w:tc>
          <w:tcPr>
            <w:tcW w:w="1767" w:type="dxa"/>
            <w:tcBorders>
              <w:top w:val="nil"/>
              <w:left w:val="single" w:color="auto" w:sz="4" w:space="0"/>
              <w:bottom w:val="single" w:color="auto" w:sz="4" w:space="0"/>
              <w:right w:val="single" w:color="auto" w:sz="4" w:space="0"/>
            </w:tcBorders>
            <w:vAlign w:val="center"/>
          </w:tcPr>
          <w:p w14:paraId="26CA0BF0">
            <w:pPr>
              <w:keepNext w:val="0"/>
              <w:keepLines w:val="0"/>
              <w:pageBreakBefore w:val="0"/>
              <w:widowControl/>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农、林、牧、渔</w:t>
            </w:r>
          </w:p>
        </w:tc>
        <w:tc>
          <w:tcPr>
            <w:tcW w:w="1400" w:type="dxa"/>
            <w:tcBorders>
              <w:top w:val="nil"/>
              <w:left w:val="nil"/>
              <w:bottom w:val="single" w:color="auto" w:sz="4" w:space="0"/>
              <w:right w:val="single" w:color="auto" w:sz="4" w:space="0"/>
            </w:tcBorders>
            <w:vAlign w:val="center"/>
          </w:tcPr>
          <w:p w14:paraId="7CE45AB1">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营业收入（Y）</w:t>
            </w:r>
          </w:p>
        </w:tc>
        <w:tc>
          <w:tcPr>
            <w:tcW w:w="1136" w:type="dxa"/>
            <w:tcBorders>
              <w:top w:val="nil"/>
              <w:left w:val="nil"/>
              <w:bottom w:val="single" w:color="auto" w:sz="4" w:space="0"/>
              <w:right w:val="single" w:color="auto" w:sz="4" w:space="0"/>
            </w:tcBorders>
            <w:vAlign w:val="center"/>
          </w:tcPr>
          <w:p w14:paraId="03E9C316">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万元</w:t>
            </w:r>
          </w:p>
        </w:tc>
        <w:tc>
          <w:tcPr>
            <w:tcW w:w="1696" w:type="dxa"/>
            <w:tcBorders>
              <w:top w:val="nil"/>
              <w:left w:val="nil"/>
              <w:bottom w:val="single" w:color="auto" w:sz="4" w:space="0"/>
              <w:right w:val="single" w:color="auto" w:sz="4" w:space="0"/>
            </w:tcBorders>
            <w:vAlign w:val="center"/>
          </w:tcPr>
          <w:p w14:paraId="2BAAB17E">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500≤Y＜20000</w:t>
            </w:r>
          </w:p>
        </w:tc>
        <w:tc>
          <w:tcPr>
            <w:tcW w:w="1701" w:type="dxa"/>
            <w:tcBorders>
              <w:top w:val="nil"/>
              <w:left w:val="nil"/>
              <w:bottom w:val="single" w:color="auto" w:sz="4" w:space="0"/>
              <w:right w:val="single" w:color="auto" w:sz="4" w:space="0"/>
            </w:tcBorders>
            <w:vAlign w:val="center"/>
          </w:tcPr>
          <w:p w14:paraId="27A0769D">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50≤Y＜500</w:t>
            </w:r>
          </w:p>
        </w:tc>
        <w:tc>
          <w:tcPr>
            <w:tcW w:w="1069" w:type="dxa"/>
            <w:tcBorders>
              <w:top w:val="nil"/>
              <w:left w:val="nil"/>
              <w:bottom w:val="single" w:color="auto" w:sz="4" w:space="0"/>
              <w:right w:val="single" w:color="auto" w:sz="4" w:space="0"/>
            </w:tcBorders>
            <w:vAlign w:val="center"/>
          </w:tcPr>
          <w:p w14:paraId="6A4AC391">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Y＜50</w:t>
            </w:r>
          </w:p>
        </w:tc>
      </w:tr>
      <w:tr w14:paraId="0096512E">
        <w:tblPrEx>
          <w:tblCellMar>
            <w:top w:w="0" w:type="dxa"/>
            <w:left w:w="108" w:type="dxa"/>
            <w:bottom w:w="0" w:type="dxa"/>
            <w:right w:w="108" w:type="dxa"/>
          </w:tblCellMar>
        </w:tblPrEx>
        <w:trPr>
          <w:trHeight w:val="225" w:hRule="atLeast"/>
          <w:jc w:val="center"/>
        </w:trPr>
        <w:tc>
          <w:tcPr>
            <w:tcW w:w="1767" w:type="dxa"/>
            <w:vMerge w:val="restart"/>
            <w:tcBorders>
              <w:top w:val="nil"/>
              <w:left w:val="single" w:color="auto" w:sz="4" w:space="0"/>
              <w:bottom w:val="single" w:color="auto" w:sz="4" w:space="0"/>
              <w:right w:val="single" w:color="auto" w:sz="4" w:space="0"/>
            </w:tcBorders>
            <w:vAlign w:val="center"/>
          </w:tcPr>
          <w:p w14:paraId="71C50C7E">
            <w:pPr>
              <w:keepNext w:val="0"/>
              <w:keepLines w:val="0"/>
              <w:pageBreakBefore w:val="0"/>
              <w:widowControl/>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工业</w:t>
            </w:r>
          </w:p>
        </w:tc>
        <w:tc>
          <w:tcPr>
            <w:tcW w:w="1400" w:type="dxa"/>
            <w:tcBorders>
              <w:top w:val="nil"/>
              <w:left w:val="nil"/>
              <w:bottom w:val="single" w:color="auto" w:sz="4" w:space="0"/>
              <w:right w:val="single" w:color="auto" w:sz="4" w:space="0"/>
            </w:tcBorders>
            <w:vAlign w:val="center"/>
          </w:tcPr>
          <w:p w14:paraId="2CBE8BF8">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从业人员（X）</w:t>
            </w:r>
          </w:p>
        </w:tc>
        <w:tc>
          <w:tcPr>
            <w:tcW w:w="1136" w:type="dxa"/>
            <w:tcBorders>
              <w:top w:val="nil"/>
              <w:left w:val="nil"/>
              <w:bottom w:val="single" w:color="auto" w:sz="4" w:space="0"/>
              <w:right w:val="single" w:color="auto" w:sz="4" w:space="0"/>
            </w:tcBorders>
            <w:vAlign w:val="center"/>
          </w:tcPr>
          <w:p w14:paraId="5B32E759">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人</w:t>
            </w:r>
          </w:p>
        </w:tc>
        <w:tc>
          <w:tcPr>
            <w:tcW w:w="1696" w:type="dxa"/>
            <w:tcBorders>
              <w:top w:val="nil"/>
              <w:left w:val="nil"/>
              <w:bottom w:val="single" w:color="auto" w:sz="4" w:space="0"/>
              <w:right w:val="single" w:color="auto" w:sz="4" w:space="0"/>
            </w:tcBorders>
            <w:vAlign w:val="center"/>
          </w:tcPr>
          <w:p w14:paraId="46EFC3AF">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300≤X＜1000</w:t>
            </w:r>
          </w:p>
        </w:tc>
        <w:tc>
          <w:tcPr>
            <w:tcW w:w="1701" w:type="dxa"/>
            <w:tcBorders>
              <w:top w:val="nil"/>
              <w:left w:val="nil"/>
              <w:bottom w:val="single" w:color="auto" w:sz="4" w:space="0"/>
              <w:right w:val="single" w:color="auto" w:sz="4" w:space="0"/>
            </w:tcBorders>
            <w:vAlign w:val="center"/>
          </w:tcPr>
          <w:p w14:paraId="76928A28">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20≤X＜300</w:t>
            </w:r>
          </w:p>
        </w:tc>
        <w:tc>
          <w:tcPr>
            <w:tcW w:w="1069" w:type="dxa"/>
            <w:tcBorders>
              <w:top w:val="nil"/>
              <w:left w:val="nil"/>
              <w:bottom w:val="single" w:color="auto" w:sz="4" w:space="0"/>
              <w:right w:val="single" w:color="auto" w:sz="4" w:space="0"/>
            </w:tcBorders>
            <w:vAlign w:val="center"/>
          </w:tcPr>
          <w:p w14:paraId="4BA31D00">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X＜20</w:t>
            </w:r>
          </w:p>
        </w:tc>
      </w:tr>
      <w:tr w14:paraId="5B6C29BD">
        <w:tblPrEx>
          <w:tblCellMar>
            <w:top w:w="0" w:type="dxa"/>
            <w:left w:w="108" w:type="dxa"/>
            <w:bottom w:w="0" w:type="dxa"/>
            <w:right w:w="108" w:type="dxa"/>
          </w:tblCellMar>
        </w:tblPrEx>
        <w:trPr>
          <w:trHeight w:val="225" w:hRule="atLeast"/>
          <w:jc w:val="center"/>
        </w:trPr>
        <w:tc>
          <w:tcPr>
            <w:tcW w:w="1767" w:type="dxa"/>
            <w:vMerge w:val="continue"/>
            <w:tcBorders>
              <w:top w:val="nil"/>
              <w:left w:val="single" w:color="auto" w:sz="4" w:space="0"/>
              <w:bottom w:val="single" w:color="auto" w:sz="4" w:space="0"/>
              <w:right w:val="single" w:color="auto" w:sz="4" w:space="0"/>
            </w:tcBorders>
            <w:vAlign w:val="center"/>
          </w:tcPr>
          <w:p w14:paraId="093AE63A">
            <w:pPr>
              <w:keepNext w:val="0"/>
              <w:keepLines w:val="0"/>
              <w:pageBreakBefore w:val="0"/>
              <w:widowControl/>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p>
        </w:tc>
        <w:tc>
          <w:tcPr>
            <w:tcW w:w="1400" w:type="dxa"/>
            <w:tcBorders>
              <w:top w:val="nil"/>
              <w:left w:val="nil"/>
              <w:bottom w:val="single" w:color="auto" w:sz="4" w:space="0"/>
              <w:right w:val="single" w:color="auto" w:sz="4" w:space="0"/>
            </w:tcBorders>
            <w:vAlign w:val="center"/>
          </w:tcPr>
          <w:p w14:paraId="24C3180F">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营业收入（Y）</w:t>
            </w:r>
          </w:p>
        </w:tc>
        <w:tc>
          <w:tcPr>
            <w:tcW w:w="1136" w:type="dxa"/>
            <w:tcBorders>
              <w:top w:val="nil"/>
              <w:left w:val="nil"/>
              <w:bottom w:val="single" w:color="auto" w:sz="4" w:space="0"/>
              <w:right w:val="single" w:color="auto" w:sz="4" w:space="0"/>
            </w:tcBorders>
            <w:vAlign w:val="center"/>
          </w:tcPr>
          <w:p w14:paraId="5E302E9F">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万元</w:t>
            </w:r>
          </w:p>
        </w:tc>
        <w:tc>
          <w:tcPr>
            <w:tcW w:w="1696" w:type="dxa"/>
            <w:tcBorders>
              <w:top w:val="nil"/>
              <w:left w:val="nil"/>
              <w:bottom w:val="single" w:color="auto" w:sz="4" w:space="0"/>
              <w:right w:val="single" w:color="auto" w:sz="4" w:space="0"/>
            </w:tcBorders>
            <w:vAlign w:val="center"/>
          </w:tcPr>
          <w:p w14:paraId="4C095E06">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2000≤Y＜40000</w:t>
            </w:r>
          </w:p>
        </w:tc>
        <w:tc>
          <w:tcPr>
            <w:tcW w:w="1701" w:type="dxa"/>
            <w:tcBorders>
              <w:top w:val="nil"/>
              <w:left w:val="nil"/>
              <w:bottom w:val="single" w:color="auto" w:sz="4" w:space="0"/>
              <w:right w:val="single" w:color="auto" w:sz="4" w:space="0"/>
            </w:tcBorders>
            <w:vAlign w:val="center"/>
          </w:tcPr>
          <w:p w14:paraId="1AF5F04A">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300≤Y＜2000</w:t>
            </w:r>
          </w:p>
        </w:tc>
        <w:tc>
          <w:tcPr>
            <w:tcW w:w="1069" w:type="dxa"/>
            <w:tcBorders>
              <w:top w:val="nil"/>
              <w:left w:val="nil"/>
              <w:bottom w:val="single" w:color="auto" w:sz="4" w:space="0"/>
              <w:right w:val="single" w:color="auto" w:sz="4" w:space="0"/>
            </w:tcBorders>
            <w:vAlign w:val="center"/>
          </w:tcPr>
          <w:p w14:paraId="736ADE46">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Y＜300</w:t>
            </w:r>
          </w:p>
        </w:tc>
      </w:tr>
      <w:tr w14:paraId="59DBA4AD">
        <w:tblPrEx>
          <w:tblCellMar>
            <w:top w:w="0" w:type="dxa"/>
            <w:left w:w="108" w:type="dxa"/>
            <w:bottom w:w="0" w:type="dxa"/>
            <w:right w:w="108" w:type="dxa"/>
          </w:tblCellMar>
        </w:tblPrEx>
        <w:trPr>
          <w:trHeight w:val="225" w:hRule="atLeast"/>
          <w:jc w:val="center"/>
        </w:trPr>
        <w:tc>
          <w:tcPr>
            <w:tcW w:w="1767" w:type="dxa"/>
            <w:vMerge w:val="restart"/>
            <w:tcBorders>
              <w:top w:val="nil"/>
              <w:left w:val="single" w:color="auto" w:sz="4" w:space="0"/>
              <w:bottom w:val="single" w:color="auto" w:sz="4" w:space="0"/>
              <w:right w:val="single" w:color="auto" w:sz="4" w:space="0"/>
            </w:tcBorders>
            <w:vAlign w:val="center"/>
          </w:tcPr>
          <w:p w14:paraId="6F92C827">
            <w:pPr>
              <w:keepNext w:val="0"/>
              <w:keepLines w:val="0"/>
              <w:pageBreakBefore w:val="0"/>
              <w:widowControl/>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建筑业</w:t>
            </w:r>
          </w:p>
        </w:tc>
        <w:tc>
          <w:tcPr>
            <w:tcW w:w="1400" w:type="dxa"/>
            <w:tcBorders>
              <w:top w:val="nil"/>
              <w:left w:val="nil"/>
              <w:bottom w:val="single" w:color="auto" w:sz="4" w:space="0"/>
              <w:right w:val="single" w:color="auto" w:sz="4" w:space="0"/>
            </w:tcBorders>
            <w:vAlign w:val="center"/>
          </w:tcPr>
          <w:p w14:paraId="26037190">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营业收入（Y）</w:t>
            </w:r>
          </w:p>
        </w:tc>
        <w:tc>
          <w:tcPr>
            <w:tcW w:w="1136" w:type="dxa"/>
            <w:tcBorders>
              <w:top w:val="nil"/>
              <w:left w:val="nil"/>
              <w:bottom w:val="single" w:color="auto" w:sz="4" w:space="0"/>
              <w:right w:val="single" w:color="auto" w:sz="4" w:space="0"/>
            </w:tcBorders>
            <w:vAlign w:val="center"/>
          </w:tcPr>
          <w:p w14:paraId="49DD03C9">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万元</w:t>
            </w:r>
          </w:p>
        </w:tc>
        <w:tc>
          <w:tcPr>
            <w:tcW w:w="1696" w:type="dxa"/>
            <w:tcBorders>
              <w:top w:val="nil"/>
              <w:left w:val="nil"/>
              <w:bottom w:val="single" w:color="auto" w:sz="4" w:space="0"/>
              <w:right w:val="single" w:color="auto" w:sz="4" w:space="0"/>
            </w:tcBorders>
            <w:vAlign w:val="center"/>
          </w:tcPr>
          <w:p w14:paraId="55E7B9E4">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6000≤Y＜80000</w:t>
            </w:r>
          </w:p>
        </w:tc>
        <w:tc>
          <w:tcPr>
            <w:tcW w:w="1701" w:type="dxa"/>
            <w:tcBorders>
              <w:top w:val="nil"/>
              <w:left w:val="nil"/>
              <w:bottom w:val="single" w:color="auto" w:sz="4" w:space="0"/>
              <w:right w:val="single" w:color="auto" w:sz="4" w:space="0"/>
            </w:tcBorders>
            <w:vAlign w:val="center"/>
          </w:tcPr>
          <w:p w14:paraId="793F5BF5">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300≤Y＜6000</w:t>
            </w:r>
          </w:p>
        </w:tc>
        <w:tc>
          <w:tcPr>
            <w:tcW w:w="1069" w:type="dxa"/>
            <w:tcBorders>
              <w:top w:val="nil"/>
              <w:left w:val="nil"/>
              <w:bottom w:val="single" w:color="auto" w:sz="4" w:space="0"/>
              <w:right w:val="single" w:color="auto" w:sz="4" w:space="0"/>
            </w:tcBorders>
            <w:vAlign w:val="center"/>
          </w:tcPr>
          <w:p w14:paraId="06494261">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Y＜300</w:t>
            </w:r>
          </w:p>
        </w:tc>
      </w:tr>
      <w:tr w14:paraId="0C01DC84">
        <w:tblPrEx>
          <w:tblCellMar>
            <w:top w:w="0" w:type="dxa"/>
            <w:left w:w="108" w:type="dxa"/>
            <w:bottom w:w="0" w:type="dxa"/>
            <w:right w:w="108" w:type="dxa"/>
          </w:tblCellMar>
        </w:tblPrEx>
        <w:trPr>
          <w:trHeight w:val="225" w:hRule="atLeast"/>
          <w:jc w:val="center"/>
        </w:trPr>
        <w:tc>
          <w:tcPr>
            <w:tcW w:w="1767" w:type="dxa"/>
            <w:vMerge w:val="continue"/>
            <w:tcBorders>
              <w:top w:val="nil"/>
              <w:left w:val="single" w:color="auto" w:sz="4" w:space="0"/>
              <w:bottom w:val="single" w:color="auto" w:sz="4" w:space="0"/>
              <w:right w:val="single" w:color="auto" w:sz="4" w:space="0"/>
            </w:tcBorders>
            <w:vAlign w:val="center"/>
          </w:tcPr>
          <w:p w14:paraId="49109E61">
            <w:pPr>
              <w:keepNext w:val="0"/>
              <w:keepLines w:val="0"/>
              <w:pageBreakBefore w:val="0"/>
              <w:widowControl/>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p>
        </w:tc>
        <w:tc>
          <w:tcPr>
            <w:tcW w:w="1400" w:type="dxa"/>
            <w:tcBorders>
              <w:top w:val="nil"/>
              <w:left w:val="nil"/>
              <w:bottom w:val="single" w:color="auto" w:sz="4" w:space="0"/>
              <w:right w:val="single" w:color="auto" w:sz="4" w:space="0"/>
            </w:tcBorders>
            <w:vAlign w:val="center"/>
          </w:tcPr>
          <w:p w14:paraId="24401A9A">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资产总额（Z）</w:t>
            </w:r>
          </w:p>
        </w:tc>
        <w:tc>
          <w:tcPr>
            <w:tcW w:w="1136" w:type="dxa"/>
            <w:tcBorders>
              <w:top w:val="nil"/>
              <w:left w:val="nil"/>
              <w:bottom w:val="single" w:color="auto" w:sz="4" w:space="0"/>
              <w:right w:val="single" w:color="auto" w:sz="4" w:space="0"/>
            </w:tcBorders>
            <w:vAlign w:val="center"/>
          </w:tcPr>
          <w:p w14:paraId="4820532A">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万元</w:t>
            </w:r>
          </w:p>
        </w:tc>
        <w:tc>
          <w:tcPr>
            <w:tcW w:w="1696" w:type="dxa"/>
            <w:tcBorders>
              <w:top w:val="nil"/>
              <w:left w:val="nil"/>
              <w:bottom w:val="single" w:color="auto" w:sz="4" w:space="0"/>
              <w:right w:val="single" w:color="auto" w:sz="4" w:space="0"/>
            </w:tcBorders>
            <w:vAlign w:val="center"/>
          </w:tcPr>
          <w:p w14:paraId="33B56E5E">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5000≤Z＜80000</w:t>
            </w:r>
          </w:p>
        </w:tc>
        <w:tc>
          <w:tcPr>
            <w:tcW w:w="1701" w:type="dxa"/>
            <w:tcBorders>
              <w:top w:val="nil"/>
              <w:left w:val="nil"/>
              <w:bottom w:val="single" w:color="auto" w:sz="4" w:space="0"/>
              <w:right w:val="single" w:color="auto" w:sz="4" w:space="0"/>
            </w:tcBorders>
            <w:vAlign w:val="center"/>
          </w:tcPr>
          <w:p w14:paraId="4BC47562">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300≤Z＜5000</w:t>
            </w:r>
          </w:p>
        </w:tc>
        <w:tc>
          <w:tcPr>
            <w:tcW w:w="1069" w:type="dxa"/>
            <w:tcBorders>
              <w:top w:val="nil"/>
              <w:left w:val="nil"/>
              <w:bottom w:val="single" w:color="auto" w:sz="4" w:space="0"/>
              <w:right w:val="single" w:color="auto" w:sz="4" w:space="0"/>
            </w:tcBorders>
            <w:vAlign w:val="center"/>
          </w:tcPr>
          <w:p w14:paraId="3C57BA90">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Z＜300</w:t>
            </w:r>
          </w:p>
        </w:tc>
      </w:tr>
      <w:tr w14:paraId="4A1376B1">
        <w:tblPrEx>
          <w:tblCellMar>
            <w:top w:w="0" w:type="dxa"/>
            <w:left w:w="108" w:type="dxa"/>
            <w:bottom w:w="0" w:type="dxa"/>
            <w:right w:w="108" w:type="dxa"/>
          </w:tblCellMar>
        </w:tblPrEx>
        <w:trPr>
          <w:trHeight w:val="225" w:hRule="atLeast"/>
          <w:jc w:val="center"/>
        </w:trPr>
        <w:tc>
          <w:tcPr>
            <w:tcW w:w="1767" w:type="dxa"/>
            <w:vMerge w:val="restart"/>
            <w:tcBorders>
              <w:top w:val="nil"/>
              <w:left w:val="single" w:color="auto" w:sz="4" w:space="0"/>
              <w:bottom w:val="single" w:color="auto" w:sz="4" w:space="0"/>
              <w:right w:val="single" w:color="auto" w:sz="4" w:space="0"/>
            </w:tcBorders>
            <w:vAlign w:val="center"/>
          </w:tcPr>
          <w:p w14:paraId="5663BE8C">
            <w:pPr>
              <w:keepNext w:val="0"/>
              <w:keepLines w:val="0"/>
              <w:pageBreakBefore w:val="0"/>
              <w:widowControl/>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批发业</w:t>
            </w:r>
          </w:p>
        </w:tc>
        <w:tc>
          <w:tcPr>
            <w:tcW w:w="1400" w:type="dxa"/>
            <w:tcBorders>
              <w:top w:val="nil"/>
              <w:left w:val="nil"/>
              <w:bottom w:val="single" w:color="auto" w:sz="4" w:space="0"/>
              <w:right w:val="single" w:color="auto" w:sz="4" w:space="0"/>
            </w:tcBorders>
            <w:vAlign w:val="center"/>
          </w:tcPr>
          <w:p w14:paraId="0F5FB483">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从业人员（X）</w:t>
            </w:r>
          </w:p>
        </w:tc>
        <w:tc>
          <w:tcPr>
            <w:tcW w:w="1136" w:type="dxa"/>
            <w:tcBorders>
              <w:top w:val="nil"/>
              <w:left w:val="nil"/>
              <w:bottom w:val="single" w:color="auto" w:sz="4" w:space="0"/>
              <w:right w:val="single" w:color="auto" w:sz="4" w:space="0"/>
            </w:tcBorders>
            <w:vAlign w:val="center"/>
          </w:tcPr>
          <w:p w14:paraId="5C6C010B">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人</w:t>
            </w:r>
          </w:p>
        </w:tc>
        <w:tc>
          <w:tcPr>
            <w:tcW w:w="1696" w:type="dxa"/>
            <w:tcBorders>
              <w:top w:val="nil"/>
              <w:left w:val="nil"/>
              <w:bottom w:val="single" w:color="auto" w:sz="4" w:space="0"/>
              <w:right w:val="single" w:color="auto" w:sz="4" w:space="0"/>
            </w:tcBorders>
            <w:vAlign w:val="center"/>
          </w:tcPr>
          <w:p w14:paraId="3A2383EB">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20≤X＜200</w:t>
            </w:r>
          </w:p>
        </w:tc>
        <w:tc>
          <w:tcPr>
            <w:tcW w:w="1701" w:type="dxa"/>
            <w:tcBorders>
              <w:top w:val="nil"/>
              <w:left w:val="nil"/>
              <w:bottom w:val="single" w:color="auto" w:sz="4" w:space="0"/>
              <w:right w:val="single" w:color="auto" w:sz="4" w:space="0"/>
            </w:tcBorders>
            <w:vAlign w:val="center"/>
          </w:tcPr>
          <w:p w14:paraId="452AC2A3">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5≤X＜20</w:t>
            </w:r>
          </w:p>
        </w:tc>
        <w:tc>
          <w:tcPr>
            <w:tcW w:w="1069" w:type="dxa"/>
            <w:tcBorders>
              <w:top w:val="nil"/>
              <w:left w:val="nil"/>
              <w:bottom w:val="single" w:color="auto" w:sz="4" w:space="0"/>
              <w:right w:val="single" w:color="auto" w:sz="4" w:space="0"/>
            </w:tcBorders>
            <w:vAlign w:val="center"/>
          </w:tcPr>
          <w:p w14:paraId="1F59AADD">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X＜5</w:t>
            </w:r>
          </w:p>
        </w:tc>
      </w:tr>
      <w:tr w14:paraId="10EA32BB">
        <w:tblPrEx>
          <w:tblCellMar>
            <w:top w:w="0" w:type="dxa"/>
            <w:left w:w="108" w:type="dxa"/>
            <w:bottom w:w="0" w:type="dxa"/>
            <w:right w:w="108" w:type="dxa"/>
          </w:tblCellMar>
        </w:tblPrEx>
        <w:trPr>
          <w:trHeight w:val="225" w:hRule="atLeast"/>
          <w:jc w:val="center"/>
        </w:trPr>
        <w:tc>
          <w:tcPr>
            <w:tcW w:w="1767" w:type="dxa"/>
            <w:vMerge w:val="continue"/>
            <w:tcBorders>
              <w:top w:val="nil"/>
              <w:left w:val="single" w:color="auto" w:sz="4" w:space="0"/>
              <w:bottom w:val="single" w:color="auto" w:sz="4" w:space="0"/>
              <w:right w:val="single" w:color="auto" w:sz="4" w:space="0"/>
            </w:tcBorders>
            <w:vAlign w:val="center"/>
          </w:tcPr>
          <w:p w14:paraId="01632647">
            <w:pPr>
              <w:keepNext w:val="0"/>
              <w:keepLines w:val="0"/>
              <w:pageBreakBefore w:val="0"/>
              <w:widowControl/>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p>
        </w:tc>
        <w:tc>
          <w:tcPr>
            <w:tcW w:w="1400" w:type="dxa"/>
            <w:tcBorders>
              <w:top w:val="nil"/>
              <w:left w:val="nil"/>
              <w:bottom w:val="single" w:color="auto" w:sz="4" w:space="0"/>
              <w:right w:val="single" w:color="auto" w:sz="4" w:space="0"/>
            </w:tcBorders>
            <w:vAlign w:val="center"/>
          </w:tcPr>
          <w:p w14:paraId="765E20FA">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营业收入（Y）</w:t>
            </w:r>
          </w:p>
        </w:tc>
        <w:tc>
          <w:tcPr>
            <w:tcW w:w="1136" w:type="dxa"/>
            <w:tcBorders>
              <w:top w:val="nil"/>
              <w:left w:val="nil"/>
              <w:bottom w:val="single" w:color="auto" w:sz="4" w:space="0"/>
              <w:right w:val="single" w:color="auto" w:sz="4" w:space="0"/>
            </w:tcBorders>
            <w:vAlign w:val="center"/>
          </w:tcPr>
          <w:p w14:paraId="0B98C2DC">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万元</w:t>
            </w:r>
          </w:p>
        </w:tc>
        <w:tc>
          <w:tcPr>
            <w:tcW w:w="1696" w:type="dxa"/>
            <w:tcBorders>
              <w:top w:val="nil"/>
              <w:left w:val="nil"/>
              <w:bottom w:val="single" w:color="auto" w:sz="4" w:space="0"/>
              <w:right w:val="single" w:color="auto" w:sz="4" w:space="0"/>
            </w:tcBorders>
            <w:vAlign w:val="center"/>
          </w:tcPr>
          <w:p w14:paraId="49DFA83C">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5000≤Y＜40000</w:t>
            </w:r>
          </w:p>
        </w:tc>
        <w:tc>
          <w:tcPr>
            <w:tcW w:w="1701" w:type="dxa"/>
            <w:tcBorders>
              <w:top w:val="nil"/>
              <w:left w:val="nil"/>
              <w:bottom w:val="single" w:color="auto" w:sz="4" w:space="0"/>
              <w:right w:val="single" w:color="auto" w:sz="4" w:space="0"/>
            </w:tcBorders>
            <w:vAlign w:val="center"/>
          </w:tcPr>
          <w:p w14:paraId="2FDD3B7B">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1000≤Y＜5000</w:t>
            </w:r>
          </w:p>
        </w:tc>
        <w:tc>
          <w:tcPr>
            <w:tcW w:w="1069" w:type="dxa"/>
            <w:tcBorders>
              <w:top w:val="nil"/>
              <w:left w:val="nil"/>
              <w:bottom w:val="single" w:color="auto" w:sz="4" w:space="0"/>
              <w:right w:val="single" w:color="auto" w:sz="4" w:space="0"/>
            </w:tcBorders>
            <w:vAlign w:val="center"/>
          </w:tcPr>
          <w:p w14:paraId="6A44BE6D">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Y＜1000</w:t>
            </w:r>
          </w:p>
        </w:tc>
      </w:tr>
      <w:tr w14:paraId="5A4D1958">
        <w:tblPrEx>
          <w:tblCellMar>
            <w:top w:w="0" w:type="dxa"/>
            <w:left w:w="108" w:type="dxa"/>
            <w:bottom w:w="0" w:type="dxa"/>
            <w:right w:w="108" w:type="dxa"/>
          </w:tblCellMar>
        </w:tblPrEx>
        <w:trPr>
          <w:trHeight w:val="225" w:hRule="atLeast"/>
          <w:jc w:val="center"/>
        </w:trPr>
        <w:tc>
          <w:tcPr>
            <w:tcW w:w="1767" w:type="dxa"/>
            <w:vMerge w:val="restart"/>
            <w:tcBorders>
              <w:top w:val="nil"/>
              <w:left w:val="single" w:color="auto" w:sz="4" w:space="0"/>
              <w:bottom w:val="single" w:color="auto" w:sz="4" w:space="0"/>
              <w:right w:val="single" w:color="auto" w:sz="4" w:space="0"/>
            </w:tcBorders>
            <w:vAlign w:val="center"/>
          </w:tcPr>
          <w:p w14:paraId="3FC1678B">
            <w:pPr>
              <w:keepNext w:val="0"/>
              <w:keepLines w:val="0"/>
              <w:pageBreakBefore w:val="0"/>
              <w:widowControl/>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零售业</w:t>
            </w:r>
          </w:p>
        </w:tc>
        <w:tc>
          <w:tcPr>
            <w:tcW w:w="1400" w:type="dxa"/>
            <w:tcBorders>
              <w:top w:val="nil"/>
              <w:left w:val="nil"/>
              <w:bottom w:val="single" w:color="auto" w:sz="4" w:space="0"/>
              <w:right w:val="single" w:color="auto" w:sz="4" w:space="0"/>
            </w:tcBorders>
            <w:vAlign w:val="center"/>
          </w:tcPr>
          <w:p w14:paraId="39DE32C3">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从业人员（X）</w:t>
            </w:r>
          </w:p>
        </w:tc>
        <w:tc>
          <w:tcPr>
            <w:tcW w:w="1136" w:type="dxa"/>
            <w:tcBorders>
              <w:top w:val="nil"/>
              <w:left w:val="nil"/>
              <w:bottom w:val="single" w:color="auto" w:sz="4" w:space="0"/>
              <w:right w:val="single" w:color="auto" w:sz="4" w:space="0"/>
            </w:tcBorders>
            <w:vAlign w:val="center"/>
          </w:tcPr>
          <w:p w14:paraId="3C6D4C9C">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人</w:t>
            </w:r>
          </w:p>
        </w:tc>
        <w:tc>
          <w:tcPr>
            <w:tcW w:w="1696" w:type="dxa"/>
            <w:tcBorders>
              <w:top w:val="nil"/>
              <w:left w:val="nil"/>
              <w:bottom w:val="single" w:color="auto" w:sz="4" w:space="0"/>
              <w:right w:val="single" w:color="auto" w:sz="4" w:space="0"/>
            </w:tcBorders>
            <w:vAlign w:val="center"/>
          </w:tcPr>
          <w:p w14:paraId="20D755F4">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50≤X＜300</w:t>
            </w:r>
          </w:p>
        </w:tc>
        <w:tc>
          <w:tcPr>
            <w:tcW w:w="1701" w:type="dxa"/>
            <w:tcBorders>
              <w:top w:val="nil"/>
              <w:left w:val="nil"/>
              <w:bottom w:val="single" w:color="auto" w:sz="4" w:space="0"/>
              <w:right w:val="single" w:color="auto" w:sz="4" w:space="0"/>
            </w:tcBorders>
            <w:vAlign w:val="center"/>
          </w:tcPr>
          <w:p w14:paraId="3845E229">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10≤X＜50</w:t>
            </w:r>
          </w:p>
        </w:tc>
        <w:tc>
          <w:tcPr>
            <w:tcW w:w="1069" w:type="dxa"/>
            <w:tcBorders>
              <w:top w:val="nil"/>
              <w:left w:val="nil"/>
              <w:bottom w:val="single" w:color="auto" w:sz="4" w:space="0"/>
              <w:right w:val="single" w:color="auto" w:sz="4" w:space="0"/>
            </w:tcBorders>
            <w:vAlign w:val="center"/>
          </w:tcPr>
          <w:p w14:paraId="720DF73E">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X＜10</w:t>
            </w:r>
          </w:p>
        </w:tc>
      </w:tr>
      <w:tr w14:paraId="7B5F551C">
        <w:tblPrEx>
          <w:tblCellMar>
            <w:top w:w="0" w:type="dxa"/>
            <w:left w:w="108" w:type="dxa"/>
            <w:bottom w:w="0" w:type="dxa"/>
            <w:right w:w="108" w:type="dxa"/>
          </w:tblCellMar>
        </w:tblPrEx>
        <w:trPr>
          <w:trHeight w:val="225" w:hRule="atLeast"/>
          <w:jc w:val="center"/>
        </w:trPr>
        <w:tc>
          <w:tcPr>
            <w:tcW w:w="1767" w:type="dxa"/>
            <w:vMerge w:val="continue"/>
            <w:tcBorders>
              <w:top w:val="nil"/>
              <w:left w:val="single" w:color="auto" w:sz="4" w:space="0"/>
              <w:bottom w:val="single" w:color="auto" w:sz="4" w:space="0"/>
              <w:right w:val="single" w:color="auto" w:sz="4" w:space="0"/>
            </w:tcBorders>
            <w:vAlign w:val="center"/>
          </w:tcPr>
          <w:p w14:paraId="04697A57">
            <w:pPr>
              <w:keepNext w:val="0"/>
              <w:keepLines w:val="0"/>
              <w:pageBreakBefore w:val="0"/>
              <w:widowControl/>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p>
        </w:tc>
        <w:tc>
          <w:tcPr>
            <w:tcW w:w="1400" w:type="dxa"/>
            <w:tcBorders>
              <w:top w:val="nil"/>
              <w:left w:val="nil"/>
              <w:bottom w:val="single" w:color="auto" w:sz="4" w:space="0"/>
              <w:right w:val="single" w:color="auto" w:sz="4" w:space="0"/>
            </w:tcBorders>
            <w:vAlign w:val="center"/>
          </w:tcPr>
          <w:p w14:paraId="769E9100">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营业收入（Y）</w:t>
            </w:r>
          </w:p>
        </w:tc>
        <w:tc>
          <w:tcPr>
            <w:tcW w:w="1136" w:type="dxa"/>
            <w:tcBorders>
              <w:top w:val="nil"/>
              <w:left w:val="nil"/>
              <w:bottom w:val="single" w:color="auto" w:sz="4" w:space="0"/>
              <w:right w:val="single" w:color="auto" w:sz="4" w:space="0"/>
            </w:tcBorders>
            <w:vAlign w:val="center"/>
          </w:tcPr>
          <w:p w14:paraId="08DBA668">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万元</w:t>
            </w:r>
          </w:p>
        </w:tc>
        <w:tc>
          <w:tcPr>
            <w:tcW w:w="1696" w:type="dxa"/>
            <w:tcBorders>
              <w:top w:val="nil"/>
              <w:left w:val="nil"/>
              <w:bottom w:val="single" w:color="auto" w:sz="4" w:space="0"/>
              <w:right w:val="single" w:color="auto" w:sz="4" w:space="0"/>
            </w:tcBorders>
            <w:vAlign w:val="center"/>
          </w:tcPr>
          <w:p w14:paraId="4AC139C3">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500≤Y＜20000</w:t>
            </w:r>
          </w:p>
        </w:tc>
        <w:tc>
          <w:tcPr>
            <w:tcW w:w="1701" w:type="dxa"/>
            <w:tcBorders>
              <w:top w:val="nil"/>
              <w:left w:val="nil"/>
              <w:bottom w:val="single" w:color="auto" w:sz="4" w:space="0"/>
              <w:right w:val="single" w:color="auto" w:sz="4" w:space="0"/>
            </w:tcBorders>
            <w:vAlign w:val="center"/>
          </w:tcPr>
          <w:p w14:paraId="7ACE4FBE">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100≤Y＜500</w:t>
            </w:r>
          </w:p>
        </w:tc>
        <w:tc>
          <w:tcPr>
            <w:tcW w:w="1069" w:type="dxa"/>
            <w:tcBorders>
              <w:top w:val="nil"/>
              <w:left w:val="nil"/>
              <w:bottom w:val="single" w:color="auto" w:sz="4" w:space="0"/>
              <w:right w:val="single" w:color="auto" w:sz="4" w:space="0"/>
            </w:tcBorders>
            <w:vAlign w:val="center"/>
          </w:tcPr>
          <w:p w14:paraId="21C19712">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Y＜100</w:t>
            </w:r>
          </w:p>
        </w:tc>
      </w:tr>
      <w:tr w14:paraId="313B544D">
        <w:tblPrEx>
          <w:tblCellMar>
            <w:top w:w="0" w:type="dxa"/>
            <w:left w:w="108" w:type="dxa"/>
            <w:bottom w:w="0" w:type="dxa"/>
            <w:right w:w="108" w:type="dxa"/>
          </w:tblCellMar>
        </w:tblPrEx>
        <w:trPr>
          <w:trHeight w:val="225" w:hRule="atLeast"/>
          <w:jc w:val="center"/>
        </w:trPr>
        <w:tc>
          <w:tcPr>
            <w:tcW w:w="1767" w:type="dxa"/>
            <w:vMerge w:val="restart"/>
            <w:tcBorders>
              <w:top w:val="nil"/>
              <w:left w:val="single" w:color="auto" w:sz="4" w:space="0"/>
              <w:bottom w:val="single" w:color="auto" w:sz="4" w:space="0"/>
              <w:right w:val="single" w:color="auto" w:sz="4" w:space="0"/>
            </w:tcBorders>
            <w:vAlign w:val="center"/>
          </w:tcPr>
          <w:p w14:paraId="4EB6872C">
            <w:pPr>
              <w:keepNext w:val="0"/>
              <w:keepLines w:val="0"/>
              <w:pageBreakBefore w:val="0"/>
              <w:widowControl/>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交通运输业</w:t>
            </w:r>
          </w:p>
        </w:tc>
        <w:tc>
          <w:tcPr>
            <w:tcW w:w="1400" w:type="dxa"/>
            <w:tcBorders>
              <w:top w:val="nil"/>
              <w:left w:val="nil"/>
              <w:bottom w:val="single" w:color="auto" w:sz="4" w:space="0"/>
              <w:right w:val="single" w:color="auto" w:sz="4" w:space="0"/>
            </w:tcBorders>
            <w:vAlign w:val="center"/>
          </w:tcPr>
          <w:p w14:paraId="47C268AA">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从业人员（X）</w:t>
            </w:r>
          </w:p>
        </w:tc>
        <w:tc>
          <w:tcPr>
            <w:tcW w:w="1136" w:type="dxa"/>
            <w:tcBorders>
              <w:top w:val="nil"/>
              <w:left w:val="nil"/>
              <w:bottom w:val="single" w:color="auto" w:sz="4" w:space="0"/>
              <w:right w:val="single" w:color="auto" w:sz="4" w:space="0"/>
            </w:tcBorders>
            <w:vAlign w:val="center"/>
          </w:tcPr>
          <w:p w14:paraId="0DF195A3">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人</w:t>
            </w:r>
          </w:p>
        </w:tc>
        <w:tc>
          <w:tcPr>
            <w:tcW w:w="1696" w:type="dxa"/>
            <w:tcBorders>
              <w:top w:val="nil"/>
              <w:left w:val="nil"/>
              <w:bottom w:val="single" w:color="auto" w:sz="4" w:space="0"/>
              <w:right w:val="single" w:color="auto" w:sz="4" w:space="0"/>
            </w:tcBorders>
            <w:vAlign w:val="center"/>
          </w:tcPr>
          <w:p w14:paraId="61550681">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300≤X＜1000</w:t>
            </w:r>
          </w:p>
        </w:tc>
        <w:tc>
          <w:tcPr>
            <w:tcW w:w="1701" w:type="dxa"/>
            <w:tcBorders>
              <w:top w:val="nil"/>
              <w:left w:val="nil"/>
              <w:bottom w:val="single" w:color="auto" w:sz="4" w:space="0"/>
              <w:right w:val="single" w:color="auto" w:sz="4" w:space="0"/>
            </w:tcBorders>
            <w:vAlign w:val="center"/>
          </w:tcPr>
          <w:p w14:paraId="4D6B2242">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20≤X＜300</w:t>
            </w:r>
          </w:p>
        </w:tc>
        <w:tc>
          <w:tcPr>
            <w:tcW w:w="1069" w:type="dxa"/>
            <w:tcBorders>
              <w:top w:val="nil"/>
              <w:left w:val="nil"/>
              <w:bottom w:val="single" w:color="auto" w:sz="4" w:space="0"/>
              <w:right w:val="single" w:color="auto" w:sz="4" w:space="0"/>
            </w:tcBorders>
            <w:vAlign w:val="center"/>
          </w:tcPr>
          <w:p w14:paraId="2B5D6A11">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X＜20</w:t>
            </w:r>
          </w:p>
        </w:tc>
      </w:tr>
      <w:tr w14:paraId="7B4AE04F">
        <w:tblPrEx>
          <w:tblCellMar>
            <w:top w:w="0" w:type="dxa"/>
            <w:left w:w="108" w:type="dxa"/>
            <w:bottom w:w="0" w:type="dxa"/>
            <w:right w:w="108" w:type="dxa"/>
          </w:tblCellMar>
        </w:tblPrEx>
        <w:trPr>
          <w:trHeight w:val="225" w:hRule="atLeast"/>
          <w:jc w:val="center"/>
        </w:trPr>
        <w:tc>
          <w:tcPr>
            <w:tcW w:w="1767" w:type="dxa"/>
            <w:vMerge w:val="continue"/>
            <w:tcBorders>
              <w:top w:val="nil"/>
              <w:left w:val="single" w:color="auto" w:sz="4" w:space="0"/>
              <w:bottom w:val="single" w:color="auto" w:sz="4" w:space="0"/>
              <w:right w:val="single" w:color="auto" w:sz="4" w:space="0"/>
            </w:tcBorders>
            <w:vAlign w:val="center"/>
          </w:tcPr>
          <w:p w14:paraId="185C4C87">
            <w:pPr>
              <w:keepNext w:val="0"/>
              <w:keepLines w:val="0"/>
              <w:pageBreakBefore w:val="0"/>
              <w:widowControl/>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p>
        </w:tc>
        <w:tc>
          <w:tcPr>
            <w:tcW w:w="1400" w:type="dxa"/>
            <w:tcBorders>
              <w:top w:val="nil"/>
              <w:left w:val="nil"/>
              <w:bottom w:val="single" w:color="auto" w:sz="4" w:space="0"/>
              <w:right w:val="single" w:color="auto" w:sz="4" w:space="0"/>
            </w:tcBorders>
            <w:vAlign w:val="center"/>
          </w:tcPr>
          <w:p w14:paraId="1E396DDE">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营业收入（Y）</w:t>
            </w:r>
          </w:p>
        </w:tc>
        <w:tc>
          <w:tcPr>
            <w:tcW w:w="1136" w:type="dxa"/>
            <w:tcBorders>
              <w:top w:val="nil"/>
              <w:left w:val="nil"/>
              <w:bottom w:val="single" w:color="auto" w:sz="4" w:space="0"/>
              <w:right w:val="single" w:color="auto" w:sz="4" w:space="0"/>
            </w:tcBorders>
            <w:vAlign w:val="center"/>
          </w:tcPr>
          <w:p w14:paraId="2556FB18">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万元</w:t>
            </w:r>
          </w:p>
        </w:tc>
        <w:tc>
          <w:tcPr>
            <w:tcW w:w="1696" w:type="dxa"/>
            <w:tcBorders>
              <w:top w:val="nil"/>
              <w:left w:val="nil"/>
              <w:bottom w:val="single" w:color="auto" w:sz="4" w:space="0"/>
              <w:right w:val="single" w:color="auto" w:sz="4" w:space="0"/>
            </w:tcBorders>
            <w:vAlign w:val="center"/>
          </w:tcPr>
          <w:p w14:paraId="72BE4D1D">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3000≤Y＜30000</w:t>
            </w:r>
          </w:p>
        </w:tc>
        <w:tc>
          <w:tcPr>
            <w:tcW w:w="1701" w:type="dxa"/>
            <w:tcBorders>
              <w:top w:val="nil"/>
              <w:left w:val="nil"/>
              <w:bottom w:val="single" w:color="auto" w:sz="4" w:space="0"/>
              <w:right w:val="single" w:color="auto" w:sz="4" w:space="0"/>
            </w:tcBorders>
            <w:vAlign w:val="center"/>
          </w:tcPr>
          <w:p w14:paraId="383020B9">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200≤Y＜3000</w:t>
            </w:r>
          </w:p>
        </w:tc>
        <w:tc>
          <w:tcPr>
            <w:tcW w:w="1069" w:type="dxa"/>
            <w:tcBorders>
              <w:top w:val="nil"/>
              <w:left w:val="nil"/>
              <w:bottom w:val="single" w:color="auto" w:sz="4" w:space="0"/>
              <w:right w:val="single" w:color="auto" w:sz="4" w:space="0"/>
            </w:tcBorders>
            <w:vAlign w:val="center"/>
          </w:tcPr>
          <w:p w14:paraId="2A43E233">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Y＜200</w:t>
            </w:r>
          </w:p>
        </w:tc>
      </w:tr>
      <w:tr w14:paraId="2FC618AD">
        <w:tblPrEx>
          <w:tblCellMar>
            <w:top w:w="0" w:type="dxa"/>
            <w:left w:w="108" w:type="dxa"/>
            <w:bottom w:w="0" w:type="dxa"/>
            <w:right w:w="108" w:type="dxa"/>
          </w:tblCellMar>
        </w:tblPrEx>
        <w:trPr>
          <w:trHeight w:val="225" w:hRule="atLeast"/>
          <w:jc w:val="center"/>
        </w:trPr>
        <w:tc>
          <w:tcPr>
            <w:tcW w:w="1767" w:type="dxa"/>
            <w:vMerge w:val="restart"/>
            <w:tcBorders>
              <w:top w:val="nil"/>
              <w:left w:val="single" w:color="auto" w:sz="4" w:space="0"/>
              <w:bottom w:val="single" w:color="auto" w:sz="4" w:space="0"/>
              <w:right w:val="single" w:color="auto" w:sz="4" w:space="0"/>
            </w:tcBorders>
            <w:vAlign w:val="center"/>
          </w:tcPr>
          <w:p w14:paraId="33F33440">
            <w:pPr>
              <w:keepNext w:val="0"/>
              <w:keepLines w:val="0"/>
              <w:pageBreakBefore w:val="0"/>
              <w:widowControl/>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仓储业</w:t>
            </w:r>
          </w:p>
        </w:tc>
        <w:tc>
          <w:tcPr>
            <w:tcW w:w="1400" w:type="dxa"/>
            <w:tcBorders>
              <w:top w:val="nil"/>
              <w:left w:val="nil"/>
              <w:bottom w:val="single" w:color="auto" w:sz="4" w:space="0"/>
              <w:right w:val="single" w:color="auto" w:sz="4" w:space="0"/>
            </w:tcBorders>
            <w:vAlign w:val="center"/>
          </w:tcPr>
          <w:p w14:paraId="363541A9">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从业人员（X）</w:t>
            </w:r>
          </w:p>
        </w:tc>
        <w:tc>
          <w:tcPr>
            <w:tcW w:w="1136" w:type="dxa"/>
            <w:tcBorders>
              <w:top w:val="nil"/>
              <w:left w:val="nil"/>
              <w:bottom w:val="single" w:color="auto" w:sz="4" w:space="0"/>
              <w:right w:val="single" w:color="auto" w:sz="4" w:space="0"/>
            </w:tcBorders>
            <w:vAlign w:val="center"/>
          </w:tcPr>
          <w:p w14:paraId="200849C3">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人</w:t>
            </w:r>
          </w:p>
        </w:tc>
        <w:tc>
          <w:tcPr>
            <w:tcW w:w="1696" w:type="dxa"/>
            <w:tcBorders>
              <w:top w:val="nil"/>
              <w:left w:val="nil"/>
              <w:bottom w:val="single" w:color="auto" w:sz="4" w:space="0"/>
              <w:right w:val="single" w:color="auto" w:sz="4" w:space="0"/>
            </w:tcBorders>
            <w:vAlign w:val="center"/>
          </w:tcPr>
          <w:p w14:paraId="572338C7">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100≤X＜200</w:t>
            </w:r>
          </w:p>
        </w:tc>
        <w:tc>
          <w:tcPr>
            <w:tcW w:w="1701" w:type="dxa"/>
            <w:tcBorders>
              <w:top w:val="nil"/>
              <w:left w:val="nil"/>
              <w:bottom w:val="single" w:color="auto" w:sz="4" w:space="0"/>
              <w:right w:val="single" w:color="auto" w:sz="4" w:space="0"/>
            </w:tcBorders>
            <w:vAlign w:val="center"/>
          </w:tcPr>
          <w:p w14:paraId="7813DAC7">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20≤X＜100</w:t>
            </w:r>
          </w:p>
        </w:tc>
        <w:tc>
          <w:tcPr>
            <w:tcW w:w="1069" w:type="dxa"/>
            <w:tcBorders>
              <w:top w:val="nil"/>
              <w:left w:val="nil"/>
              <w:bottom w:val="single" w:color="auto" w:sz="4" w:space="0"/>
              <w:right w:val="single" w:color="auto" w:sz="4" w:space="0"/>
            </w:tcBorders>
            <w:vAlign w:val="center"/>
          </w:tcPr>
          <w:p w14:paraId="268552F3">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X＜20</w:t>
            </w:r>
          </w:p>
        </w:tc>
      </w:tr>
      <w:tr w14:paraId="056D1192">
        <w:tblPrEx>
          <w:tblCellMar>
            <w:top w:w="0" w:type="dxa"/>
            <w:left w:w="108" w:type="dxa"/>
            <w:bottom w:w="0" w:type="dxa"/>
            <w:right w:w="108" w:type="dxa"/>
          </w:tblCellMar>
        </w:tblPrEx>
        <w:trPr>
          <w:trHeight w:val="225" w:hRule="atLeast"/>
          <w:jc w:val="center"/>
        </w:trPr>
        <w:tc>
          <w:tcPr>
            <w:tcW w:w="1767" w:type="dxa"/>
            <w:vMerge w:val="continue"/>
            <w:tcBorders>
              <w:top w:val="nil"/>
              <w:left w:val="single" w:color="auto" w:sz="4" w:space="0"/>
              <w:bottom w:val="single" w:color="auto" w:sz="4" w:space="0"/>
              <w:right w:val="single" w:color="auto" w:sz="4" w:space="0"/>
            </w:tcBorders>
            <w:vAlign w:val="center"/>
          </w:tcPr>
          <w:p w14:paraId="77EF821E">
            <w:pPr>
              <w:keepNext w:val="0"/>
              <w:keepLines w:val="0"/>
              <w:pageBreakBefore w:val="0"/>
              <w:widowControl/>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p>
        </w:tc>
        <w:tc>
          <w:tcPr>
            <w:tcW w:w="1400" w:type="dxa"/>
            <w:tcBorders>
              <w:top w:val="nil"/>
              <w:left w:val="nil"/>
              <w:bottom w:val="single" w:color="auto" w:sz="4" w:space="0"/>
              <w:right w:val="single" w:color="auto" w:sz="4" w:space="0"/>
            </w:tcBorders>
            <w:vAlign w:val="center"/>
          </w:tcPr>
          <w:p w14:paraId="5252B475">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营业收入（Y）</w:t>
            </w:r>
          </w:p>
        </w:tc>
        <w:tc>
          <w:tcPr>
            <w:tcW w:w="1136" w:type="dxa"/>
            <w:tcBorders>
              <w:top w:val="nil"/>
              <w:left w:val="nil"/>
              <w:bottom w:val="single" w:color="auto" w:sz="4" w:space="0"/>
              <w:right w:val="single" w:color="auto" w:sz="4" w:space="0"/>
            </w:tcBorders>
            <w:vAlign w:val="center"/>
          </w:tcPr>
          <w:p w14:paraId="3EDB2681">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万元</w:t>
            </w:r>
          </w:p>
        </w:tc>
        <w:tc>
          <w:tcPr>
            <w:tcW w:w="1696" w:type="dxa"/>
            <w:tcBorders>
              <w:top w:val="nil"/>
              <w:left w:val="nil"/>
              <w:bottom w:val="single" w:color="auto" w:sz="4" w:space="0"/>
              <w:right w:val="single" w:color="auto" w:sz="4" w:space="0"/>
            </w:tcBorders>
            <w:vAlign w:val="center"/>
          </w:tcPr>
          <w:p w14:paraId="025BAB17">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1000≤Y＜30000</w:t>
            </w:r>
          </w:p>
        </w:tc>
        <w:tc>
          <w:tcPr>
            <w:tcW w:w="1701" w:type="dxa"/>
            <w:tcBorders>
              <w:top w:val="nil"/>
              <w:left w:val="nil"/>
              <w:bottom w:val="single" w:color="auto" w:sz="4" w:space="0"/>
              <w:right w:val="single" w:color="auto" w:sz="4" w:space="0"/>
            </w:tcBorders>
            <w:vAlign w:val="center"/>
          </w:tcPr>
          <w:p w14:paraId="24FFB2B4">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100≤Y＜1000</w:t>
            </w:r>
          </w:p>
        </w:tc>
        <w:tc>
          <w:tcPr>
            <w:tcW w:w="1069" w:type="dxa"/>
            <w:tcBorders>
              <w:top w:val="nil"/>
              <w:left w:val="nil"/>
              <w:bottom w:val="single" w:color="auto" w:sz="4" w:space="0"/>
              <w:right w:val="single" w:color="auto" w:sz="4" w:space="0"/>
            </w:tcBorders>
            <w:vAlign w:val="center"/>
          </w:tcPr>
          <w:p w14:paraId="735810A3">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Y＜100</w:t>
            </w:r>
          </w:p>
        </w:tc>
      </w:tr>
      <w:tr w14:paraId="7C3B6873">
        <w:tblPrEx>
          <w:tblCellMar>
            <w:top w:w="0" w:type="dxa"/>
            <w:left w:w="108" w:type="dxa"/>
            <w:bottom w:w="0" w:type="dxa"/>
            <w:right w:w="108" w:type="dxa"/>
          </w:tblCellMar>
        </w:tblPrEx>
        <w:trPr>
          <w:trHeight w:val="225" w:hRule="atLeast"/>
          <w:jc w:val="center"/>
        </w:trPr>
        <w:tc>
          <w:tcPr>
            <w:tcW w:w="1767" w:type="dxa"/>
            <w:vMerge w:val="restart"/>
            <w:tcBorders>
              <w:top w:val="nil"/>
              <w:left w:val="single" w:color="auto" w:sz="4" w:space="0"/>
              <w:bottom w:val="single" w:color="auto" w:sz="4" w:space="0"/>
              <w:right w:val="single" w:color="auto" w:sz="4" w:space="0"/>
            </w:tcBorders>
            <w:vAlign w:val="center"/>
          </w:tcPr>
          <w:p w14:paraId="678D8903">
            <w:pPr>
              <w:keepNext w:val="0"/>
              <w:keepLines w:val="0"/>
              <w:pageBreakBefore w:val="0"/>
              <w:widowControl/>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邮政业</w:t>
            </w:r>
          </w:p>
        </w:tc>
        <w:tc>
          <w:tcPr>
            <w:tcW w:w="1400" w:type="dxa"/>
            <w:tcBorders>
              <w:top w:val="nil"/>
              <w:left w:val="nil"/>
              <w:bottom w:val="single" w:color="auto" w:sz="4" w:space="0"/>
              <w:right w:val="single" w:color="auto" w:sz="4" w:space="0"/>
            </w:tcBorders>
            <w:vAlign w:val="center"/>
          </w:tcPr>
          <w:p w14:paraId="7219E40E">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从业人员（X）</w:t>
            </w:r>
          </w:p>
        </w:tc>
        <w:tc>
          <w:tcPr>
            <w:tcW w:w="1136" w:type="dxa"/>
            <w:tcBorders>
              <w:top w:val="nil"/>
              <w:left w:val="nil"/>
              <w:bottom w:val="single" w:color="auto" w:sz="4" w:space="0"/>
              <w:right w:val="single" w:color="auto" w:sz="4" w:space="0"/>
            </w:tcBorders>
            <w:vAlign w:val="center"/>
          </w:tcPr>
          <w:p w14:paraId="78E02496">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人</w:t>
            </w:r>
          </w:p>
        </w:tc>
        <w:tc>
          <w:tcPr>
            <w:tcW w:w="1696" w:type="dxa"/>
            <w:tcBorders>
              <w:top w:val="nil"/>
              <w:left w:val="nil"/>
              <w:bottom w:val="single" w:color="auto" w:sz="4" w:space="0"/>
              <w:right w:val="single" w:color="auto" w:sz="4" w:space="0"/>
            </w:tcBorders>
            <w:vAlign w:val="center"/>
          </w:tcPr>
          <w:p w14:paraId="7C126742">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300≤X＜1000</w:t>
            </w:r>
          </w:p>
        </w:tc>
        <w:tc>
          <w:tcPr>
            <w:tcW w:w="1701" w:type="dxa"/>
            <w:tcBorders>
              <w:top w:val="nil"/>
              <w:left w:val="nil"/>
              <w:bottom w:val="single" w:color="auto" w:sz="4" w:space="0"/>
              <w:right w:val="single" w:color="auto" w:sz="4" w:space="0"/>
            </w:tcBorders>
            <w:vAlign w:val="center"/>
          </w:tcPr>
          <w:p w14:paraId="33A4C92C">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20≤X＜300</w:t>
            </w:r>
          </w:p>
        </w:tc>
        <w:tc>
          <w:tcPr>
            <w:tcW w:w="1069" w:type="dxa"/>
            <w:tcBorders>
              <w:top w:val="nil"/>
              <w:left w:val="nil"/>
              <w:bottom w:val="single" w:color="auto" w:sz="4" w:space="0"/>
              <w:right w:val="single" w:color="auto" w:sz="4" w:space="0"/>
            </w:tcBorders>
            <w:vAlign w:val="center"/>
          </w:tcPr>
          <w:p w14:paraId="374A073C">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X＜20</w:t>
            </w:r>
          </w:p>
        </w:tc>
      </w:tr>
      <w:tr w14:paraId="41E54589">
        <w:tblPrEx>
          <w:tblCellMar>
            <w:top w:w="0" w:type="dxa"/>
            <w:left w:w="108" w:type="dxa"/>
            <w:bottom w:w="0" w:type="dxa"/>
            <w:right w:w="108" w:type="dxa"/>
          </w:tblCellMar>
        </w:tblPrEx>
        <w:trPr>
          <w:trHeight w:val="225" w:hRule="atLeast"/>
          <w:jc w:val="center"/>
        </w:trPr>
        <w:tc>
          <w:tcPr>
            <w:tcW w:w="1767" w:type="dxa"/>
            <w:vMerge w:val="continue"/>
            <w:tcBorders>
              <w:top w:val="nil"/>
              <w:left w:val="single" w:color="auto" w:sz="4" w:space="0"/>
              <w:bottom w:val="single" w:color="auto" w:sz="4" w:space="0"/>
              <w:right w:val="single" w:color="auto" w:sz="4" w:space="0"/>
            </w:tcBorders>
            <w:vAlign w:val="center"/>
          </w:tcPr>
          <w:p w14:paraId="6F63111D">
            <w:pPr>
              <w:keepNext w:val="0"/>
              <w:keepLines w:val="0"/>
              <w:pageBreakBefore w:val="0"/>
              <w:widowControl/>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p>
        </w:tc>
        <w:tc>
          <w:tcPr>
            <w:tcW w:w="1400" w:type="dxa"/>
            <w:tcBorders>
              <w:top w:val="nil"/>
              <w:left w:val="nil"/>
              <w:bottom w:val="single" w:color="auto" w:sz="4" w:space="0"/>
              <w:right w:val="single" w:color="auto" w:sz="4" w:space="0"/>
            </w:tcBorders>
            <w:vAlign w:val="center"/>
          </w:tcPr>
          <w:p w14:paraId="2A7A57A0">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营业收入（Y）</w:t>
            </w:r>
          </w:p>
        </w:tc>
        <w:tc>
          <w:tcPr>
            <w:tcW w:w="1136" w:type="dxa"/>
            <w:tcBorders>
              <w:top w:val="nil"/>
              <w:left w:val="nil"/>
              <w:bottom w:val="single" w:color="auto" w:sz="4" w:space="0"/>
              <w:right w:val="single" w:color="auto" w:sz="4" w:space="0"/>
            </w:tcBorders>
            <w:vAlign w:val="center"/>
          </w:tcPr>
          <w:p w14:paraId="7784AD60">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万元</w:t>
            </w:r>
          </w:p>
        </w:tc>
        <w:tc>
          <w:tcPr>
            <w:tcW w:w="1696" w:type="dxa"/>
            <w:tcBorders>
              <w:top w:val="nil"/>
              <w:left w:val="nil"/>
              <w:bottom w:val="single" w:color="auto" w:sz="4" w:space="0"/>
              <w:right w:val="single" w:color="auto" w:sz="4" w:space="0"/>
            </w:tcBorders>
            <w:vAlign w:val="center"/>
          </w:tcPr>
          <w:p w14:paraId="6B5F1077">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2000≤Y＜30000</w:t>
            </w:r>
          </w:p>
        </w:tc>
        <w:tc>
          <w:tcPr>
            <w:tcW w:w="1701" w:type="dxa"/>
            <w:tcBorders>
              <w:top w:val="nil"/>
              <w:left w:val="nil"/>
              <w:bottom w:val="single" w:color="auto" w:sz="4" w:space="0"/>
              <w:right w:val="single" w:color="auto" w:sz="4" w:space="0"/>
            </w:tcBorders>
            <w:vAlign w:val="center"/>
          </w:tcPr>
          <w:p w14:paraId="41FA1556">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100≤Y＜2000</w:t>
            </w:r>
          </w:p>
        </w:tc>
        <w:tc>
          <w:tcPr>
            <w:tcW w:w="1069" w:type="dxa"/>
            <w:tcBorders>
              <w:top w:val="nil"/>
              <w:left w:val="nil"/>
              <w:bottom w:val="single" w:color="auto" w:sz="4" w:space="0"/>
              <w:right w:val="single" w:color="auto" w:sz="4" w:space="0"/>
            </w:tcBorders>
            <w:vAlign w:val="center"/>
          </w:tcPr>
          <w:p w14:paraId="69A50EA8">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Y＜100</w:t>
            </w:r>
          </w:p>
        </w:tc>
      </w:tr>
      <w:tr w14:paraId="3E2D349C">
        <w:tblPrEx>
          <w:tblCellMar>
            <w:top w:w="0" w:type="dxa"/>
            <w:left w:w="108" w:type="dxa"/>
            <w:bottom w:w="0" w:type="dxa"/>
            <w:right w:w="108" w:type="dxa"/>
          </w:tblCellMar>
        </w:tblPrEx>
        <w:trPr>
          <w:trHeight w:val="225" w:hRule="atLeast"/>
          <w:jc w:val="center"/>
        </w:trPr>
        <w:tc>
          <w:tcPr>
            <w:tcW w:w="1767" w:type="dxa"/>
            <w:vMerge w:val="restart"/>
            <w:tcBorders>
              <w:top w:val="nil"/>
              <w:left w:val="single" w:color="auto" w:sz="4" w:space="0"/>
              <w:bottom w:val="single" w:color="auto" w:sz="4" w:space="0"/>
              <w:right w:val="single" w:color="auto" w:sz="4" w:space="0"/>
            </w:tcBorders>
            <w:vAlign w:val="center"/>
          </w:tcPr>
          <w:p w14:paraId="0744718E">
            <w:pPr>
              <w:keepNext w:val="0"/>
              <w:keepLines w:val="0"/>
              <w:pageBreakBefore w:val="0"/>
              <w:widowControl/>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住宿业</w:t>
            </w:r>
          </w:p>
        </w:tc>
        <w:tc>
          <w:tcPr>
            <w:tcW w:w="1400" w:type="dxa"/>
            <w:tcBorders>
              <w:top w:val="nil"/>
              <w:left w:val="nil"/>
              <w:bottom w:val="single" w:color="auto" w:sz="4" w:space="0"/>
              <w:right w:val="single" w:color="auto" w:sz="4" w:space="0"/>
            </w:tcBorders>
            <w:vAlign w:val="center"/>
          </w:tcPr>
          <w:p w14:paraId="069DD5A7">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从业人员（X）</w:t>
            </w:r>
          </w:p>
        </w:tc>
        <w:tc>
          <w:tcPr>
            <w:tcW w:w="1136" w:type="dxa"/>
            <w:tcBorders>
              <w:top w:val="nil"/>
              <w:left w:val="nil"/>
              <w:bottom w:val="single" w:color="auto" w:sz="4" w:space="0"/>
              <w:right w:val="single" w:color="auto" w:sz="4" w:space="0"/>
            </w:tcBorders>
            <w:vAlign w:val="center"/>
          </w:tcPr>
          <w:p w14:paraId="47747FD2">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人</w:t>
            </w:r>
          </w:p>
        </w:tc>
        <w:tc>
          <w:tcPr>
            <w:tcW w:w="1696" w:type="dxa"/>
            <w:tcBorders>
              <w:top w:val="nil"/>
              <w:left w:val="nil"/>
              <w:bottom w:val="single" w:color="auto" w:sz="4" w:space="0"/>
              <w:right w:val="single" w:color="auto" w:sz="4" w:space="0"/>
            </w:tcBorders>
            <w:vAlign w:val="center"/>
          </w:tcPr>
          <w:p w14:paraId="64911C73">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100≤X＜300</w:t>
            </w:r>
          </w:p>
        </w:tc>
        <w:tc>
          <w:tcPr>
            <w:tcW w:w="1701" w:type="dxa"/>
            <w:tcBorders>
              <w:top w:val="nil"/>
              <w:left w:val="nil"/>
              <w:bottom w:val="single" w:color="auto" w:sz="4" w:space="0"/>
              <w:right w:val="single" w:color="auto" w:sz="4" w:space="0"/>
            </w:tcBorders>
            <w:vAlign w:val="center"/>
          </w:tcPr>
          <w:p w14:paraId="40D68A96">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10≤X＜100</w:t>
            </w:r>
          </w:p>
        </w:tc>
        <w:tc>
          <w:tcPr>
            <w:tcW w:w="1069" w:type="dxa"/>
            <w:tcBorders>
              <w:top w:val="nil"/>
              <w:left w:val="nil"/>
              <w:bottom w:val="single" w:color="auto" w:sz="4" w:space="0"/>
              <w:right w:val="single" w:color="auto" w:sz="4" w:space="0"/>
            </w:tcBorders>
            <w:vAlign w:val="center"/>
          </w:tcPr>
          <w:p w14:paraId="300E31CD">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X＜10</w:t>
            </w:r>
          </w:p>
        </w:tc>
      </w:tr>
      <w:tr w14:paraId="52FC5B3B">
        <w:tblPrEx>
          <w:tblCellMar>
            <w:top w:w="0" w:type="dxa"/>
            <w:left w:w="108" w:type="dxa"/>
            <w:bottom w:w="0" w:type="dxa"/>
            <w:right w:w="108" w:type="dxa"/>
          </w:tblCellMar>
        </w:tblPrEx>
        <w:trPr>
          <w:trHeight w:val="225" w:hRule="atLeast"/>
          <w:jc w:val="center"/>
        </w:trPr>
        <w:tc>
          <w:tcPr>
            <w:tcW w:w="1767" w:type="dxa"/>
            <w:vMerge w:val="continue"/>
            <w:tcBorders>
              <w:top w:val="nil"/>
              <w:left w:val="single" w:color="auto" w:sz="4" w:space="0"/>
              <w:bottom w:val="single" w:color="auto" w:sz="4" w:space="0"/>
              <w:right w:val="single" w:color="auto" w:sz="4" w:space="0"/>
            </w:tcBorders>
            <w:vAlign w:val="center"/>
          </w:tcPr>
          <w:p w14:paraId="5D9D2E15">
            <w:pPr>
              <w:keepNext w:val="0"/>
              <w:keepLines w:val="0"/>
              <w:pageBreakBefore w:val="0"/>
              <w:widowControl/>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p>
        </w:tc>
        <w:tc>
          <w:tcPr>
            <w:tcW w:w="1400" w:type="dxa"/>
            <w:tcBorders>
              <w:top w:val="nil"/>
              <w:left w:val="nil"/>
              <w:bottom w:val="single" w:color="auto" w:sz="4" w:space="0"/>
              <w:right w:val="single" w:color="auto" w:sz="4" w:space="0"/>
            </w:tcBorders>
            <w:vAlign w:val="center"/>
          </w:tcPr>
          <w:p w14:paraId="2E6714DA">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营业收入（Y）</w:t>
            </w:r>
          </w:p>
        </w:tc>
        <w:tc>
          <w:tcPr>
            <w:tcW w:w="1136" w:type="dxa"/>
            <w:tcBorders>
              <w:top w:val="nil"/>
              <w:left w:val="nil"/>
              <w:bottom w:val="single" w:color="auto" w:sz="4" w:space="0"/>
              <w:right w:val="single" w:color="auto" w:sz="4" w:space="0"/>
            </w:tcBorders>
            <w:vAlign w:val="center"/>
          </w:tcPr>
          <w:p w14:paraId="77CBC9C6">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万元</w:t>
            </w:r>
          </w:p>
        </w:tc>
        <w:tc>
          <w:tcPr>
            <w:tcW w:w="1696" w:type="dxa"/>
            <w:tcBorders>
              <w:top w:val="nil"/>
              <w:left w:val="nil"/>
              <w:bottom w:val="single" w:color="auto" w:sz="4" w:space="0"/>
              <w:right w:val="single" w:color="auto" w:sz="4" w:space="0"/>
            </w:tcBorders>
            <w:vAlign w:val="center"/>
          </w:tcPr>
          <w:p w14:paraId="50CF80BF">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2000≤Y＜10000</w:t>
            </w:r>
          </w:p>
        </w:tc>
        <w:tc>
          <w:tcPr>
            <w:tcW w:w="1701" w:type="dxa"/>
            <w:tcBorders>
              <w:top w:val="nil"/>
              <w:left w:val="nil"/>
              <w:bottom w:val="single" w:color="auto" w:sz="4" w:space="0"/>
              <w:right w:val="single" w:color="auto" w:sz="4" w:space="0"/>
            </w:tcBorders>
            <w:vAlign w:val="center"/>
          </w:tcPr>
          <w:p w14:paraId="392D1E76">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100≤Y＜2000</w:t>
            </w:r>
          </w:p>
        </w:tc>
        <w:tc>
          <w:tcPr>
            <w:tcW w:w="1069" w:type="dxa"/>
            <w:tcBorders>
              <w:top w:val="nil"/>
              <w:left w:val="nil"/>
              <w:bottom w:val="single" w:color="auto" w:sz="4" w:space="0"/>
              <w:right w:val="single" w:color="auto" w:sz="4" w:space="0"/>
            </w:tcBorders>
            <w:vAlign w:val="center"/>
          </w:tcPr>
          <w:p w14:paraId="1E53D9E1">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Y＜100</w:t>
            </w:r>
          </w:p>
        </w:tc>
      </w:tr>
      <w:tr w14:paraId="35EB884B">
        <w:tblPrEx>
          <w:tblCellMar>
            <w:top w:w="0" w:type="dxa"/>
            <w:left w:w="108" w:type="dxa"/>
            <w:bottom w:w="0" w:type="dxa"/>
            <w:right w:w="108" w:type="dxa"/>
          </w:tblCellMar>
        </w:tblPrEx>
        <w:trPr>
          <w:trHeight w:val="225" w:hRule="atLeast"/>
          <w:jc w:val="center"/>
        </w:trPr>
        <w:tc>
          <w:tcPr>
            <w:tcW w:w="1767" w:type="dxa"/>
            <w:vMerge w:val="restart"/>
            <w:tcBorders>
              <w:top w:val="nil"/>
              <w:left w:val="single" w:color="auto" w:sz="4" w:space="0"/>
              <w:bottom w:val="single" w:color="auto" w:sz="4" w:space="0"/>
              <w:right w:val="single" w:color="auto" w:sz="4" w:space="0"/>
            </w:tcBorders>
            <w:vAlign w:val="center"/>
          </w:tcPr>
          <w:p w14:paraId="6EFE6C8E">
            <w:pPr>
              <w:keepNext w:val="0"/>
              <w:keepLines w:val="0"/>
              <w:pageBreakBefore w:val="0"/>
              <w:widowControl/>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餐饮业</w:t>
            </w:r>
          </w:p>
        </w:tc>
        <w:tc>
          <w:tcPr>
            <w:tcW w:w="1400" w:type="dxa"/>
            <w:tcBorders>
              <w:top w:val="nil"/>
              <w:left w:val="nil"/>
              <w:bottom w:val="single" w:color="auto" w:sz="4" w:space="0"/>
              <w:right w:val="single" w:color="auto" w:sz="4" w:space="0"/>
            </w:tcBorders>
            <w:vAlign w:val="center"/>
          </w:tcPr>
          <w:p w14:paraId="58A430AB">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从业人员（X）</w:t>
            </w:r>
          </w:p>
        </w:tc>
        <w:tc>
          <w:tcPr>
            <w:tcW w:w="1136" w:type="dxa"/>
            <w:tcBorders>
              <w:top w:val="nil"/>
              <w:left w:val="nil"/>
              <w:bottom w:val="single" w:color="auto" w:sz="4" w:space="0"/>
              <w:right w:val="single" w:color="auto" w:sz="4" w:space="0"/>
            </w:tcBorders>
            <w:vAlign w:val="center"/>
          </w:tcPr>
          <w:p w14:paraId="0C8D0186">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人</w:t>
            </w:r>
          </w:p>
        </w:tc>
        <w:tc>
          <w:tcPr>
            <w:tcW w:w="1696" w:type="dxa"/>
            <w:tcBorders>
              <w:top w:val="nil"/>
              <w:left w:val="nil"/>
              <w:bottom w:val="single" w:color="auto" w:sz="4" w:space="0"/>
              <w:right w:val="single" w:color="auto" w:sz="4" w:space="0"/>
            </w:tcBorders>
            <w:vAlign w:val="center"/>
          </w:tcPr>
          <w:p w14:paraId="39565258">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100≤X＜300</w:t>
            </w:r>
          </w:p>
        </w:tc>
        <w:tc>
          <w:tcPr>
            <w:tcW w:w="1701" w:type="dxa"/>
            <w:tcBorders>
              <w:top w:val="nil"/>
              <w:left w:val="nil"/>
              <w:bottom w:val="single" w:color="auto" w:sz="4" w:space="0"/>
              <w:right w:val="single" w:color="auto" w:sz="4" w:space="0"/>
            </w:tcBorders>
            <w:vAlign w:val="center"/>
          </w:tcPr>
          <w:p w14:paraId="27DF38F3">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10≤X＜100</w:t>
            </w:r>
          </w:p>
        </w:tc>
        <w:tc>
          <w:tcPr>
            <w:tcW w:w="1069" w:type="dxa"/>
            <w:tcBorders>
              <w:top w:val="nil"/>
              <w:left w:val="nil"/>
              <w:bottom w:val="single" w:color="auto" w:sz="4" w:space="0"/>
              <w:right w:val="single" w:color="auto" w:sz="4" w:space="0"/>
            </w:tcBorders>
            <w:vAlign w:val="center"/>
          </w:tcPr>
          <w:p w14:paraId="61472865">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X＜10</w:t>
            </w:r>
          </w:p>
        </w:tc>
      </w:tr>
      <w:tr w14:paraId="361BEF71">
        <w:tblPrEx>
          <w:tblCellMar>
            <w:top w:w="0" w:type="dxa"/>
            <w:left w:w="108" w:type="dxa"/>
            <w:bottom w:w="0" w:type="dxa"/>
            <w:right w:w="108" w:type="dxa"/>
          </w:tblCellMar>
        </w:tblPrEx>
        <w:trPr>
          <w:trHeight w:val="225" w:hRule="atLeast"/>
          <w:jc w:val="center"/>
        </w:trPr>
        <w:tc>
          <w:tcPr>
            <w:tcW w:w="1767" w:type="dxa"/>
            <w:vMerge w:val="continue"/>
            <w:tcBorders>
              <w:top w:val="nil"/>
              <w:left w:val="single" w:color="auto" w:sz="4" w:space="0"/>
              <w:bottom w:val="single" w:color="auto" w:sz="4" w:space="0"/>
              <w:right w:val="single" w:color="auto" w:sz="4" w:space="0"/>
            </w:tcBorders>
            <w:vAlign w:val="center"/>
          </w:tcPr>
          <w:p w14:paraId="18B99E07">
            <w:pPr>
              <w:keepNext w:val="0"/>
              <w:keepLines w:val="0"/>
              <w:pageBreakBefore w:val="0"/>
              <w:widowControl/>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p>
        </w:tc>
        <w:tc>
          <w:tcPr>
            <w:tcW w:w="1400" w:type="dxa"/>
            <w:tcBorders>
              <w:top w:val="nil"/>
              <w:left w:val="nil"/>
              <w:bottom w:val="single" w:color="auto" w:sz="4" w:space="0"/>
              <w:right w:val="single" w:color="auto" w:sz="4" w:space="0"/>
            </w:tcBorders>
            <w:vAlign w:val="center"/>
          </w:tcPr>
          <w:p w14:paraId="33C2F578">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营业收入（Y）</w:t>
            </w:r>
          </w:p>
        </w:tc>
        <w:tc>
          <w:tcPr>
            <w:tcW w:w="1136" w:type="dxa"/>
            <w:tcBorders>
              <w:top w:val="nil"/>
              <w:left w:val="nil"/>
              <w:bottom w:val="single" w:color="auto" w:sz="4" w:space="0"/>
              <w:right w:val="single" w:color="auto" w:sz="4" w:space="0"/>
            </w:tcBorders>
            <w:vAlign w:val="center"/>
          </w:tcPr>
          <w:p w14:paraId="6C87E485">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万元</w:t>
            </w:r>
          </w:p>
        </w:tc>
        <w:tc>
          <w:tcPr>
            <w:tcW w:w="1696" w:type="dxa"/>
            <w:tcBorders>
              <w:top w:val="nil"/>
              <w:left w:val="nil"/>
              <w:bottom w:val="single" w:color="auto" w:sz="4" w:space="0"/>
              <w:right w:val="single" w:color="auto" w:sz="4" w:space="0"/>
            </w:tcBorders>
            <w:vAlign w:val="center"/>
          </w:tcPr>
          <w:p w14:paraId="10889B61">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2000≤Y＜10000</w:t>
            </w:r>
          </w:p>
        </w:tc>
        <w:tc>
          <w:tcPr>
            <w:tcW w:w="1701" w:type="dxa"/>
            <w:tcBorders>
              <w:top w:val="nil"/>
              <w:left w:val="nil"/>
              <w:bottom w:val="single" w:color="auto" w:sz="4" w:space="0"/>
              <w:right w:val="single" w:color="auto" w:sz="4" w:space="0"/>
            </w:tcBorders>
            <w:vAlign w:val="center"/>
          </w:tcPr>
          <w:p w14:paraId="14003F3D">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100≤Y＜2000</w:t>
            </w:r>
          </w:p>
        </w:tc>
        <w:tc>
          <w:tcPr>
            <w:tcW w:w="1069" w:type="dxa"/>
            <w:tcBorders>
              <w:top w:val="nil"/>
              <w:left w:val="nil"/>
              <w:bottom w:val="single" w:color="auto" w:sz="4" w:space="0"/>
              <w:right w:val="single" w:color="auto" w:sz="4" w:space="0"/>
            </w:tcBorders>
            <w:vAlign w:val="center"/>
          </w:tcPr>
          <w:p w14:paraId="552A67AA">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Y＜100</w:t>
            </w:r>
          </w:p>
        </w:tc>
      </w:tr>
      <w:tr w14:paraId="60FF52BB">
        <w:tblPrEx>
          <w:tblCellMar>
            <w:top w:w="0" w:type="dxa"/>
            <w:left w:w="108" w:type="dxa"/>
            <w:bottom w:w="0" w:type="dxa"/>
            <w:right w:w="108" w:type="dxa"/>
          </w:tblCellMar>
        </w:tblPrEx>
        <w:trPr>
          <w:trHeight w:val="225" w:hRule="atLeast"/>
          <w:jc w:val="center"/>
        </w:trPr>
        <w:tc>
          <w:tcPr>
            <w:tcW w:w="1767" w:type="dxa"/>
            <w:vMerge w:val="restart"/>
            <w:tcBorders>
              <w:top w:val="nil"/>
              <w:left w:val="single" w:color="auto" w:sz="4" w:space="0"/>
              <w:bottom w:val="single" w:color="auto" w:sz="4" w:space="0"/>
              <w:right w:val="single" w:color="auto" w:sz="4" w:space="0"/>
            </w:tcBorders>
            <w:vAlign w:val="center"/>
          </w:tcPr>
          <w:p w14:paraId="32C535DC">
            <w:pPr>
              <w:keepNext w:val="0"/>
              <w:keepLines w:val="0"/>
              <w:pageBreakBefore w:val="0"/>
              <w:widowControl/>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信息传输业</w:t>
            </w:r>
          </w:p>
        </w:tc>
        <w:tc>
          <w:tcPr>
            <w:tcW w:w="1400" w:type="dxa"/>
            <w:tcBorders>
              <w:top w:val="nil"/>
              <w:left w:val="nil"/>
              <w:bottom w:val="single" w:color="auto" w:sz="4" w:space="0"/>
              <w:right w:val="single" w:color="auto" w:sz="4" w:space="0"/>
            </w:tcBorders>
            <w:vAlign w:val="center"/>
          </w:tcPr>
          <w:p w14:paraId="7836A92D">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从业人员（X）</w:t>
            </w:r>
          </w:p>
        </w:tc>
        <w:tc>
          <w:tcPr>
            <w:tcW w:w="1136" w:type="dxa"/>
            <w:tcBorders>
              <w:top w:val="nil"/>
              <w:left w:val="nil"/>
              <w:bottom w:val="single" w:color="auto" w:sz="4" w:space="0"/>
              <w:right w:val="single" w:color="auto" w:sz="4" w:space="0"/>
            </w:tcBorders>
            <w:vAlign w:val="center"/>
          </w:tcPr>
          <w:p w14:paraId="0E1D681C">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人</w:t>
            </w:r>
          </w:p>
        </w:tc>
        <w:tc>
          <w:tcPr>
            <w:tcW w:w="1696" w:type="dxa"/>
            <w:tcBorders>
              <w:top w:val="nil"/>
              <w:left w:val="nil"/>
              <w:bottom w:val="single" w:color="auto" w:sz="4" w:space="0"/>
              <w:right w:val="single" w:color="auto" w:sz="4" w:space="0"/>
            </w:tcBorders>
            <w:vAlign w:val="center"/>
          </w:tcPr>
          <w:p w14:paraId="688A5645">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100≤X＜2000</w:t>
            </w:r>
          </w:p>
        </w:tc>
        <w:tc>
          <w:tcPr>
            <w:tcW w:w="1701" w:type="dxa"/>
            <w:tcBorders>
              <w:top w:val="nil"/>
              <w:left w:val="nil"/>
              <w:bottom w:val="single" w:color="auto" w:sz="4" w:space="0"/>
              <w:right w:val="single" w:color="auto" w:sz="4" w:space="0"/>
            </w:tcBorders>
            <w:vAlign w:val="center"/>
          </w:tcPr>
          <w:p w14:paraId="6BDEDB41">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10≤X＜100</w:t>
            </w:r>
          </w:p>
        </w:tc>
        <w:tc>
          <w:tcPr>
            <w:tcW w:w="1069" w:type="dxa"/>
            <w:tcBorders>
              <w:top w:val="nil"/>
              <w:left w:val="nil"/>
              <w:bottom w:val="single" w:color="auto" w:sz="4" w:space="0"/>
              <w:right w:val="single" w:color="auto" w:sz="4" w:space="0"/>
            </w:tcBorders>
            <w:vAlign w:val="center"/>
          </w:tcPr>
          <w:p w14:paraId="4BE77DDB">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X＜10</w:t>
            </w:r>
          </w:p>
        </w:tc>
      </w:tr>
      <w:tr w14:paraId="10876B86">
        <w:tblPrEx>
          <w:tblCellMar>
            <w:top w:w="0" w:type="dxa"/>
            <w:left w:w="108" w:type="dxa"/>
            <w:bottom w:w="0" w:type="dxa"/>
            <w:right w:w="108" w:type="dxa"/>
          </w:tblCellMar>
        </w:tblPrEx>
        <w:trPr>
          <w:trHeight w:val="225" w:hRule="atLeast"/>
          <w:jc w:val="center"/>
        </w:trPr>
        <w:tc>
          <w:tcPr>
            <w:tcW w:w="1767" w:type="dxa"/>
            <w:vMerge w:val="continue"/>
            <w:tcBorders>
              <w:top w:val="nil"/>
              <w:left w:val="single" w:color="auto" w:sz="4" w:space="0"/>
              <w:bottom w:val="single" w:color="auto" w:sz="4" w:space="0"/>
              <w:right w:val="single" w:color="auto" w:sz="4" w:space="0"/>
            </w:tcBorders>
            <w:vAlign w:val="center"/>
          </w:tcPr>
          <w:p w14:paraId="588E3DAA">
            <w:pPr>
              <w:keepNext w:val="0"/>
              <w:keepLines w:val="0"/>
              <w:pageBreakBefore w:val="0"/>
              <w:widowControl/>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p>
        </w:tc>
        <w:tc>
          <w:tcPr>
            <w:tcW w:w="1400" w:type="dxa"/>
            <w:tcBorders>
              <w:top w:val="nil"/>
              <w:left w:val="nil"/>
              <w:bottom w:val="single" w:color="auto" w:sz="4" w:space="0"/>
              <w:right w:val="single" w:color="auto" w:sz="4" w:space="0"/>
            </w:tcBorders>
            <w:vAlign w:val="center"/>
          </w:tcPr>
          <w:p w14:paraId="31D849E1">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营业收入（Y）</w:t>
            </w:r>
          </w:p>
        </w:tc>
        <w:tc>
          <w:tcPr>
            <w:tcW w:w="1136" w:type="dxa"/>
            <w:tcBorders>
              <w:top w:val="nil"/>
              <w:left w:val="nil"/>
              <w:bottom w:val="single" w:color="auto" w:sz="4" w:space="0"/>
              <w:right w:val="single" w:color="auto" w:sz="4" w:space="0"/>
            </w:tcBorders>
            <w:vAlign w:val="center"/>
          </w:tcPr>
          <w:p w14:paraId="2D7217AA">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万元</w:t>
            </w:r>
          </w:p>
        </w:tc>
        <w:tc>
          <w:tcPr>
            <w:tcW w:w="1696" w:type="dxa"/>
            <w:tcBorders>
              <w:top w:val="nil"/>
              <w:left w:val="nil"/>
              <w:bottom w:val="single" w:color="auto" w:sz="4" w:space="0"/>
              <w:right w:val="single" w:color="auto" w:sz="4" w:space="0"/>
            </w:tcBorders>
            <w:vAlign w:val="center"/>
          </w:tcPr>
          <w:p w14:paraId="7FB2518A">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1000≤Y＜100000</w:t>
            </w:r>
          </w:p>
        </w:tc>
        <w:tc>
          <w:tcPr>
            <w:tcW w:w="1701" w:type="dxa"/>
            <w:tcBorders>
              <w:top w:val="nil"/>
              <w:left w:val="nil"/>
              <w:bottom w:val="single" w:color="auto" w:sz="4" w:space="0"/>
              <w:right w:val="single" w:color="auto" w:sz="4" w:space="0"/>
            </w:tcBorders>
            <w:vAlign w:val="center"/>
          </w:tcPr>
          <w:p w14:paraId="7610453A">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100≤Y＜1000</w:t>
            </w:r>
          </w:p>
        </w:tc>
        <w:tc>
          <w:tcPr>
            <w:tcW w:w="1069" w:type="dxa"/>
            <w:tcBorders>
              <w:top w:val="nil"/>
              <w:left w:val="nil"/>
              <w:bottom w:val="single" w:color="auto" w:sz="4" w:space="0"/>
              <w:right w:val="single" w:color="auto" w:sz="4" w:space="0"/>
            </w:tcBorders>
            <w:vAlign w:val="center"/>
          </w:tcPr>
          <w:p w14:paraId="67982061">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Y＜100</w:t>
            </w:r>
          </w:p>
        </w:tc>
      </w:tr>
      <w:tr w14:paraId="7DC68C0E">
        <w:tblPrEx>
          <w:tblCellMar>
            <w:top w:w="0" w:type="dxa"/>
            <w:left w:w="108" w:type="dxa"/>
            <w:bottom w:w="0" w:type="dxa"/>
            <w:right w:w="108" w:type="dxa"/>
          </w:tblCellMar>
        </w:tblPrEx>
        <w:trPr>
          <w:trHeight w:val="225" w:hRule="atLeast"/>
          <w:jc w:val="center"/>
        </w:trPr>
        <w:tc>
          <w:tcPr>
            <w:tcW w:w="1767" w:type="dxa"/>
            <w:vMerge w:val="restart"/>
            <w:tcBorders>
              <w:top w:val="nil"/>
              <w:left w:val="single" w:color="auto" w:sz="4" w:space="0"/>
              <w:bottom w:val="single" w:color="auto" w:sz="4" w:space="0"/>
              <w:right w:val="single" w:color="auto" w:sz="4" w:space="0"/>
            </w:tcBorders>
            <w:vAlign w:val="center"/>
          </w:tcPr>
          <w:p w14:paraId="1F9C2598">
            <w:pPr>
              <w:keepNext w:val="0"/>
              <w:keepLines w:val="0"/>
              <w:pageBreakBefore w:val="0"/>
              <w:widowControl/>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软件和信息技术服务业</w:t>
            </w:r>
          </w:p>
        </w:tc>
        <w:tc>
          <w:tcPr>
            <w:tcW w:w="1400" w:type="dxa"/>
            <w:tcBorders>
              <w:top w:val="nil"/>
              <w:left w:val="nil"/>
              <w:bottom w:val="single" w:color="auto" w:sz="4" w:space="0"/>
              <w:right w:val="single" w:color="auto" w:sz="4" w:space="0"/>
            </w:tcBorders>
            <w:vAlign w:val="center"/>
          </w:tcPr>
          <w:p w14:paraId="16E1DC75">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从业人员（X）</w:t>
            </w:r>
          </w:p>
        </w:tc>
        <w:tc>
          <w:tcPr>
            <w:tcW w:w="1136" w:type="dxa"/>
            <w:tcBorders>
              <w:top w:val="nil"/>
              <w:left w:val="nil"/>
              <w:bottom w:val="single" w:color="auto" w:sz="4" w:space="0"/>
              <w:right w:val="single" w:color="auto" w:sz="4" w:space="0"/>
            </w:tcBorders>
            <w:vAlign w:val="center"/>
          </w:tcPr>
          <w:p w14:paraId="5B5E6B2F">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人</w:t>
            </w:r>
          </w:p>
        </w:tc>
        <w:tc>
          <w:tcPr>
            <w:tcW w:w="1696" w:type="dxa"/>
            <w:tcBorders>
              <w:top w:val="nil"/>
              <w:left w:val="nil"/>
              <w:bottom w:val="single" w:color="auto" w:sz="4" w:space="0"/>
              <w:right w:val="single" w:color="auto" w:sz="4" w:space="0"/>
            </w:tcBorders>
            <w:vAlign w:val="center"/>
          </w:tcPr>
          <w:p w14:paraId="47CCE609">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100≤X＜300</w:t>
            </w:r>
          </w:p>
        </w:tc>
        <w:tc>
          <w:tcPr>
            <w:tcW w:w="1701" w:type="dxa"/>
            <w:tcBorders>
              <w:top w:val="nil"/>
              <w:left w:val="nil"/>
              <w:bottom w:val="single" w:color="auto" w:sz="4" w:space="0"/>
              <w:right w:val="single" w:color="auto" w:sz="4" w:space="0"/>
            </w:tcBorders>
            <w:vAlign w:val="center"/>
          </w:tcPr>
          <w:p w14:paraId="5E0CF998">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10≤X＜100</w:t>
            </w:r>
          </w:p>
        </w:tc>
        <w:tc>
          <w:tcPr>
            <w:tcW w:w="1069" w:type="dxa"/>
            <w:tcBorders>
              <w:top w:val="nil"/>
              <w:left w:val="nil"/>
              <w:bottom w:val="single" w:color="auto" w:sz="4" w:space="0"/>
              <w:right w:val="single" w:color="auto" w:sz="4" w:space="0"/>
            </w:tcBorders>
            <w:vAlign w:val="center"/>
          </w:tcPr>
          <w:p w14:paraId="6303347B">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X＜10</w:t>
            </w:r>
          </w:p>
        </w:tc>
      </w:tr>
      <w:tr w14:paraId="2D5724DF">
        <w:tblPrEx>
          <w:tblCellMar>
            <w:top w:w="0" w:type="dxa"/>
            <w:left w:w="108" w:type="dxa"/>
            <w:bottom w:w="0" w:type="dxa"/>
            <w:right w:w="108" w:type="dxa"/>
          </w:tblCellMar>
        </w:tblPrEx>
        <w:trPr>
          <w:trHeight w:val="225" w:hRule="atLeast"/>
          <w:jc w:val="center"/>
        </w:trPr>
        <w:tc>
          <w:tcPr>
            <w:tcW w:w="1767" w:type="dxa"/>
            <w:vMerge w:val="continue"/>
            <w:tcBorders>
              <w:top w:val="nil"/>
              <w:left w:val="single" w:color="auto" w:sz="4" w:space="0"/>
              <w:bottom w:val="single" w:color="auto" w:sz="4" w:space="0"/>
              <w:right w:val="single" w:color="auto" w:sz="4" w:space="0"/>
            </w:tcBorders>
            <w:vAlign w:val="center"/>
          </w:tcPr>
          <w:p w14:paraId="3E45DE1F">
            <w:pPr>
              <w:keepNext w:val="0"/>
              <w:keepLines w:val="0"/>
              <w:pageBreakBefore w:val="0"/>
              <w:widowControl/>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p>
        </w:tc>
        <w:tc>
          <w:tcPr>
            <w:tcW w:w="1400" w:type="dxa"/>
            <w:tcBorders>
              <w:top w:val="nil"/>
              <w:left w:val="nil"/>
              <w:bottom w:val="single" w:color="auto" w:sz="4" w:space="0"/>
              <w:right w:val="single" w:color="auto" w:sz="4" w:space="0"/>
            </w:tcBorders>
            <w:vAlign w:val="center"/>
          </w:tcPr>
          <w:p w14:paraId="3E6BBF9A">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营业收入（Y）</w:t>
            </w:r>
          </w:p>
        </w:tc>
        <w:tc>
          <w:tcPr>
            <w:tcW w:w="1136" w:type="dxa"/>
            <w:tcBorders>
              <w:top w:val="nil"/>
              <w:left w:val="nil"/>
              <w:bottom w:val="single" w:color="auto" w:sz="4" w:space="0"/>
              <w:right w:val="single" w:color="auto" w:sz="4" w:space="0"/>
            </w:tcBorders>
            <w:vAlign w:val="center"/>
          </w:tcPr>
          <w:p w14:paraId="12A2805F">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万元</w:t>
            </w:r>
          </w:p>
        </w:tc>
        <w:tc>
          <w:tcPr>
            <w:tcW w:w="1696" w:type="dxa"/>
            <w:tcBorders>
              <w:top w:val="nil"/>
              <w:left w:val="nil"/>
              <w:bottom w:val="single" w:color="auto" w:sz="4" w:space="0"/>
              <w:right w:val="single" w:color="auto" w:sz="4" w:space="0"/>
            </w:tcBorders>
            <w:vAlign w:val="center"/>
          </w:tcPr>
          <w:p w14:paraId="07758AD1">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1000≤Y＜10000</w:t>
            </w:r>
          </w:p>
        </w:tc>
        <w:tc>
          <w:tcPr>
            <w:tcW w:w="1701" w:type="dxa"/>
            <w:tcBorders>
              <w:top w:val="nil"/>
              <w:left w:val="nil"/>
              <w:bottom w:val="single" w:color="auto" w:sz="4" w:space="0"/>
              <w:right w:val="single" w:color="auto" w:sz="4" w:space="0"/>
            </w:tcBorders>
            <w:vAlign w:val="center"/>
          </w:tcPr>
          <w:p w14:paraId="63D302EC">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50≤Y＜1000</w:t>
            </w:r>
          </w:p>
        </w:tc>
        <w:tc>
          <w:tcPr>
            <w:tcW w:w="1069" w:type="dxa"/>
            <w:tcBorders>
              <w:top w:val="nil"/>
              <w:left w:val="nil"/>
              <w:bottom w:val="single" w:color="auto" w:sz="4" w:space="0"/>
              <w:right w:val="single" w:color="auto" w:sz="4" w:space="0"/>
            </w:tcBorders>
            <w:vAlign w:val="center"/>
          </w:tcPr>
          <w:p w14:paraId="3D2D4E8E">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Y＜50</w:t>
            </w:r>
          </w:p>
        </w:tc>
      </w:tr>
      <w:tr w14:paraId="49DB20A4">
        <w:tblPrEx>
          <w:tblCellMar>
            <w:top w:w="0" w:type="dxa"/>
            <w:left w:w="108" w:type="dxa"/>
            <w:bottom w:w="0" w:type="dxa"/>
            <w:right w:w="108" w:type="dxa"/>
          </w:tblCellMar>
        </w:tblPrEx>
        <w:trPr>
          <w:trHeight w:val="225" w:hRule="atLeast"/>
          <w:jc w:val="center"/>
        </w:trPr>
        <w:tc>
          <w:tcPr>
            <w:tcW w:w="1767" w:type="dxa"/>
            <w:vMerge w:val="restart"/>
            <w:tcBorders>
              <w:top w:val="nil"/>
              <w:left w:val="single" w:color="auto" w:sz="4" w:space="0"/>
              <w:bottom w:val="single" w:color="auto" w:sz="4" w:space="0"/>
              <w:right w:val="single" w:color="auto" w:sz="4" w:space="0"/>
            </w:tcBorders>
            <w:vAlign w:val="center"/>
          </w:tcPr>
          <w:p w14:paraId="1733F67F">
            <w:pPr>
              <w:keepNext w:val="0"/>
              <w:keepLines w:val="0"/>
              <w:pageBreakBefore w:val="0"/>
              <w:widowControl/>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房地产开发经营</w:t>
            </w:r>
          </w:p>
        </w:tc>
        <w:tc>
          <w:tcPr>
            <w:tcW w:w="1400" w:type="dxa"/>
            <w:tcBorders>
              <w:top w:val="nil"/>
              <w:left w:val="nil"/>
              <w:bottom w:val="single" w:color="auto" w:sz="4" w:space="0"/>
              <w:right w:val="single" w:color="auto" w:sz="4" w:space="0"/>
            </w:tcBorders>
            <w:vAlign w:val="center"/>
          </w:tcPr>
          <w:p w14:paraId="77EDAE4F">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营业收入（Y）</w:t>
            </w:r>
          </w:p>
        </w:tc>
        <w:tc>
          <w:tcPr>
            <w:tcW w:w="1136" w:type="dxa"/>
            <w:tcBorders>
              <w:top w:val="nil"/>
              <w:left w:val="nil"/>
              <w:bottom w:val="single" w:color="auto" w:sz="4" w:space="0"/>
              <w:right w:val="single" w:color="auto" w:sz="4" w:space="0"/>
            </w:tcBorders>
            <w:vAlign w:val="center"/>
          </w:tcPr>
          <w:p w14:paraId="606D4EB7">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万元</w:t>
            </w:r>
          </w:p>
        </w:tc>
        <w:tc>
          <w:tcPr>
            <w:tcW w:w="1696" w:type="dxa"/>
            <w:tcBorders>
              <w:top w:val="nil"/>
              <w:left w:val="nil"/>
              <w:bottom w:val="single" w:color="auto" w:sz="4" w:space="0"/>
              <w:right w:val="single" w:color="auto" w:sz="4" w:space="0"/>
            </w:tcBorders>
            <w:vAlign w:val="center"/>
          </w:tcPr>
          <w:p w14:paraId="76153D4F">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1000≤Y＜200000</w:t>
            </w:r>
          </w:p>
        </w:tc>
        <w:tc>
          <w:tcPr>
            <w:tcW w:w="1701" w:type="dxa"/>
            <w:tcBorders>
              <w:top w:val="nil"/>
              <w:left w:val="nil"/>
              <w:bottom w:val="single" w:color="auto" w:sz="4" w:space="0"/>
              <w:right w:val="single" w:color="auto" w:sz="4" w:space="0"/>
            </w:tcBorders>
            <w:vAlign w:val="center"/>
          </w:tcPr>
          <w:p w14:paraId="7ECFF59B">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100≤X＜1000</w:t>
            </w:r>
          </w:p>
        </w:tc>
        <w:tc>
          <w:tcPr>
            <w:tcW w:w="1069" w:type="dxa"/>
            <w:tcBorders>
              <w:top w:val="nil"/>
              <w:left w:val="nil"/>
              <w:bottom w:val="single" w:color="auto" w:sz="4" w:space="0"/>
              <w:right w:val="single" w:color="auto" w:sz="4" w:space="0"/>
            </w:tcBorders>
            <w:vAlign w:val="center"/>
          </w:tcPr>
          <w:p w14:paraId="1D02124F">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X＜100</w:t>
            </w:r>
          </w:p>
        </w:tc>
      </w:tr>
      <w:tr w14:paraId="33B4E003">
        <w:tblPrEx>
          <w:tblCellMar>
            <w:top w:w="0" w:type="dxa"/>
            <w:left w:w="108" w:type="dxa"/>
            <w:bottom w:w="0" w:type="dxa"/>
            <w:right w:w="108" w:type="dxa"/>
          </w:tblCellMar>
        </w:tblPrEx>
        <w:trPr>
          <w:trHeight w:val="225" w:hRule="atLeast"/>
          <w:jc w:val="center"/>
        </w:trPr>
        <w:tc>
          <w:tcPr>
            <w:tcW w:w="1767" w:type="dxa"/>
            <w:vMerge w:val="continue"/>
            <w:tcBorders>
              <w:top w:val="nil"/>
              <w:left w:val="single" w:color="auto" w:sz="4" w:space="0"/>
              <w:bottom w:val="single" w:color="auto" w:sz="4" w:space="0"/>
              <w:right w:val="single" w:color="auto" w:sz="4" w:space="0"/>
            </w:tcBorders>
            <w:vAlign w:val="center"/>
          </w:tcPr>
          <w:p w14:paraId="6BE28718">
            <w:pPr>
              <w:keepNext w:val="0"/>
              <w:keepLines w:val="0"/>
              <w:pageBreakBefore w:val="0"/>
              <w:widowControl/>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p>
        </w:tc>
        <w:tc>
          <w:tcPr>
            <w:tcW w:w="1400" w:type="dxa"/>
            <w:tcBorders>
              <w:top w:val="nil"/>
              <w:left w:val="nil"/>
              <w:bottom w:val="single" w:color="auto" w:sz="4" w:space="0"/>
              <w:right w:val="single" w:color="auto" w:sz="4" w:space="0"/>
            </w:tcBorders>
            <w:vAlign w:val="center"/>
          </w:tcPr>
          <w:p w14:paraId="4F76E707">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资产总额（Z）</w:t>
            </w:r>
          </w:p>
        </w:tc>
        <w:tc>
          <w:tcPr>
            <w:tcW w:w="1136" w:type="dxa"/>
            <w:tcBorders>
              <w:top w:val="nil"/>
              <w:left w:val="nil"/>
              <w:bottom w:val="single" w:color="auto" w:sz="4" w:space="0"/>
              <w:right w:val="single" w:color="auto" w:sz="4" w:space="0"/>
            </w:tcBorders>
            <w:vAlign w:val="center"/>
          </w:tcPr>
          <w:p w14:paraId="42AEA2EE">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万元</w:t>
            </w:r>
          </w:p>
        </w:tc>
        <w:tc>
          <w:tcPr>
            <w:tcW w:w="1696" w:type="dxa"/>
            <w:tcBorders>
              <w:top w:val="nil"/>
              <w:left w:val="nil"/>
              <w:bottom w:val="single" w:color="auto" w:sz="4" w:space="0"/>
              <w:right w:val="single" w:color="auto" w:sz="4" w:space="0"/>
            </w:tcBorders>
            <w:vAlign w:val="center"/>
          </w:tcPr>
          <w:p w14:paraId="18901334">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5000≤Z＜10000</w:t>
            </w:r>
          </w:p>
        </w:tc>
        <w:tc>
          <w:tcPr>
            <w:tcW w:w="1701" w:type="dxa"/>
            <w:tcBorders>
              <w:top w:val="nil"/>
              <w:left w:val="nil"/>
              <w:bottom w:val="single" w:color="auto" w:sz="4" w:space="0"/>
              <w:right w:val="single" w:color="auto" w:sz="4" w:space="0"/>
            </w:tcBorders>
            <w:vAlign w:val="center"/>
          </w:tcPr>
          <w:p w14:paraId="72419CB0">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2000≤Y＜5000</w:t>
            </w:r>
          </w:p>
        </w:tc>
        <w:tc>
          <w:tcPr>
            <w:tcW w:w="1069" w:type="dxa"/>
            <w:tcBorders>
              <w:top w:val="nil"/>
              <w:left w:val="nil"/>
              <w:bottom w:val="single" w:color="auto" w:sz="4" w:space="0"/>
              <w:right w:val="single" w:color="auto" w:sz="4" w:space="0"/>
            </w:tcBorders>
            <w:vAlign w:val="center"/>
          </w:tcPr>
          <w:p w14:paraId="127262FC">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Y＜2000</w:t>
            </w:r>
          </w:p>
        </w:tc>
      </w:tr>
      <w:tr w14:paraId="7380F70F">
        <w:tblPrEx>
          <w:tblCellMar>
            <w:top w:w="0" w:type="dxa"/>
            <w:left w:w="108" w:type="dxa"/>
            <w:bottom w:w="0" w:type="dxa"/>
            <w:right w:w="108" w:type="dxa"/>
          </w:tblCellMar>
        </w:tblPrEx>
        <w:trPr>
          <w:trHeight w:val="225" w:hRule="atLeast"/>
          <w:jc w:val="center"/>
        </w:trPr>
        <w:tc>
          <w:tcPr>
            <w:tcW w:w="1767" w:type="dxa"/>
            <w:vMerge w:val="restart"/>
            <w:tcBorders>
              <w:top w:val="nil"/>
              <w:left w:val="single" w:color="auto" w:sz="4" w:space="0"/>
              <w:bottom w:val="single" w:color="auto" w:sz="4" w:space="0"/>
              <w:right w:val="single" w:color="auto" w:sz="4" w:space="0"/>
            </w:tcBorders>
            <w:vAlign w:val="center"/>
          </w:tcPr>
          <w:p w14:paraId="005368A3">
            <w:pPr>
              <w:keepNext w:val="0"/>
              <w:keepLines w:val="0"/>
              <w:pageBreakBefore w:val="0"/>
              <w:widowControl/>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物业管理</w:t>
            </w:r>
          </w:p>
        </w:tc>
        <w:tc>
          <w:tcPr>
            <w:tcW w:w="1400" w:type="dxa"/>
            <w:tcBorders>
              <w:top w:val="nil"/>
              <w:left w:val="nil"/>
              <w:bottom w:val="single" w:color="auto" w:sz="4" w:space="0"/>
              <w:right w:val="single" w:color="auto" w:sz="4" w:space="0"/>
            </w:tcBorders>
            <w:vAlign w:val="center"/>
          </w:tcPr>
          <w:p w14:paraId="3C937DAA">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从业人员（X）</w:t>
            </w:r>
          </w:p>
        </w:tc>
        <w:tc>
          <w:tcPr>
            <w:tcW w:w="1136" w:type="dxa"/>
            <w:tcBorders>
              <w:top w:val="nil"/>
              <w:left w:val="nil"/>
              <w:bottom w:val="single" w:color="auto" w:sz="4" w:space="0"/>
              <w:right w:val="single" w:color="auto" w:sz="4" w:space="0"/>
            </w:tcBorders>
            <w:vAlign w:val="center"/>
          </w:tcPr>
          <w:p w14:paraId="45EA2896">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人</w:t>
            </w:r>
          </w:p>
        </w:tc>
        <w:tc>
          <w:tcPr>
            <w:tcW w:w="1696" w:type="dxa"/>
            <w:tcBorders>
              <w:top w:val="nil"/>
              <w:left w:val="nil"/>
              <w:bottom w:val="single" w:color="auto" w:sz="4" w:space="0"/>
              <w:right w:val="single" w:color="auto" w:sz="4" w:space="0"/>
            </w:tcBorders>
            <w:vAlign w:val="center"/>
          </w:tcPr>
          <w:p w14:paraId="65A9B2BE">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300≤X＜1000</w:t>
            </w:r>
          </w:p>
        </w:tc>
        <w:tc>
          <w:tcPr>
            <w:tcW w:w="1701" w:type="dxa"/>
            <w:tcBorders>
              <w:top w:val="nil"/>
              <w:left w:val="nil"/>
              <w:bottom w:val="single" w:color="auto" w:sz="4" w:space="0"/>
              <w:right w:val="single" w:color="auto" w:sz="4" w:space="0"/>
            </w:tcBorders>
            <w:vAlign w:val="center"/>
          </w:tcPr>
          <w:p w14:paraId="706E1889">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100≤X＜300</w:t>
            </w:r>
          </w:p>
        </w:tc>
        <w:tc>
          <w:tcPr>
            <w:tcW w:w="1069" w:type="dxa"/>
            <w:tcBorders>
              <w:top w:val="nil"/>
              <w:left w:val="nil"/>
              <w:bottom w:val="single" w:color="auto" w:sz="4" w:space="0"/>
              <w:right w:val="single" w:color="auto" w:sz="4" w:space="0"/>
            </w:tcBorders>
            <w:vAlign w:val="center"/>
          </w:tcPr>
          <w:p w14:paraId="670378C4">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X＜100</w:t>
            </w:r>
          </w:p>
        </w:tc>
      </w:tr>
      <w:tr w14:paraId="6A235A5A">
        <w:tblPrEx>
          <w:tblCellMar>
            <w:top w:w="0" w:type="dxa"/>
            <w:left w:w="108" w:type="dxa"/>
            <w:bottom w:w="0" w:type="dxa"/>
            <w:right w:w="108" w:type="dxa"/>
          </w:tblCellMar>
        </w:tblPrEx>
        <w:trPr>
          <w:trHeight w:val="225" w:hRule="atLeast"/>
          <w:jc w:val="center"/>
        </w:trPr>
        <w:tc>
          <w:tcPr>
            <w:tcW w:w="1767" w:type="dxa"/>
            <w:vMerge w:val="continue"/>
            <w:tcBorders>
              <w:top w:val="nil"/>
              <w:left w:val="single" w:color="auto" w:sz="4" w:space="0"/>
              <w:bottom w:val="single" w:color="auto" w:sz="4" w:space="0"/>
              <w:right w:val="single" w:color="auto" w:sz="4" w:space="0"/>
            </w:tcBorders>
            <w:vAlign w:val="center"/>
          </w:tcPr>
          <w:p w14:paraId="7BD223A0">
            <w:pPr>
              <w:keepNext w:val="0"/>
              <w:keepLines w:val="0"/>
              <w:pageBreakBefore w:val="0"/>
              <w:widowControl/>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p>
        </w:tc>
        <w:tc>
          <w:tcPr>
            <w:tcW w:w="1400" w:type="dxa"/>
            <w:tcBorders>
              <w:top w:val="nil"/>
              <w:left w:val="nil"/>
              <w:bottom w:val="single" w:color="auto" w:sz="4" w:space="0"/>
              <w:right w:val="single" w:color="auto" w:sz="4" w:space="0"/>
            </w:tcBorders>
            <w:vAlign w:val="center"/>
          </w:tcPr>
          <w:p w14:paraId="692D689A">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营业收入（Y）</w:t>
            </w:r>
          </w:p>
        </w:tc>
        <w:tc>
          <w:tcPr>
            <w:tcW w:w="1136" w:type="dxa"/>
            <w:tcBorders>
              <w:top w:val="nil"/>
              <w:left w:val="nil"/>
              <w:bottom w:val="single" w:color="auto" w:sz="4" w:space="0"/>
              <w:right w:val="single" w:color="auto" w:sz="4" w:space="0"/>
            </w:tcBorders>
            <w:vAlign w:val="center"/>
          </w:tcPr>
          <w:p w14:paraId="5152538C">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万元</w:t>
            </w:r>
          </w:p>
        </w:tc>
        <w:tc>
          <w:tcPr>
            <w:tcW w:w="1696" w:type="dxa"/>
            <w:tcBorders>
              <w:top w:val="nil"/>
              <w:left w:val="nil"/>
              <w:bottom w:val="single" w:color="auto" w:sz="4" w:space="0"/>
              <w:right w:val="single" w:color="auto" w:sz="4" w:space="0"/>
            </w:tcBorders>
            <w:vAlign w:val="center"/>
          </w:tcPr>
          <w:p w14:paraId="2070820E">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1000≤Y＜5000</w:t>
            </w:r>
          </w:p>
        </w:tc>
        <w:tc>
          <w:tcPr>
            <w:tcW w:w="1701" w:type="dxa"/>
            <w:tcBorders>
              <w:top w:val="nil"/>
              <w:left w:val="nil"/>
              <w:bottom w:val="single" w:color="auto" w:sz="4" w:space="0"/>
              <w:right w:val="single" w:color="auto" w:sz="4" w:space="0"/>
            </w:tcBorders>
            <w:vAlign w:val="center"/>
          </w:tcPr>
          <w:p w14:paraId="4AC25372">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500≤Y＜1000</w:t>
            </w:r>
          </w:p>
        </w:tc>
        <w:tc>
          <w:tcPr>
            <w:tcW w:w="1069" w:type="dxa"/>
            <w:tcBorders>
              <w:top w:val="nil"/>
              <w:left w:val="nil"/>
              <w:bottom w:val="single" w:color="auto" w:sz="4" w:space="0"/>
              <w:right w:val="single" w:color="auto" w:sz="4" w:space="0"/>
            </w:tcBorders>
            <w:vAlign w:val="center"/>
          </w:tcPr>
          <w:p w14:paraId="1E6500EF">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Y＜500</w:t>
            </w:r>
          </w:p>
        </w:tc>
      </w:tr>
      <w:tr w14:paraId="50F2DF32">
        <w:tblPrEx>
          <w:tblCellMar>
            <w:top w:w="0" w:type="dxa"/>
            <w:left w:w="108" w:type="dxa"/>
            <w:bottom w:w="0" w:type="dxa"/>
            <w:right w:w="108" w:type="dxa"/>
          </w:tblCellMar>
        </w:tblPrEx>
        <w:trPr>
          <w:trHeight w:val="225" w:hRule="atLeast"/>
          <w:jc w:val="center"/>
        </w:trPr>
        <w:tc>
          <w:tcPr>
            <w:tcW w:w="1767" w:type="dxa"/>
            <w:vMerge w:val="restart"/>
            <w:tcBorders>
              <w:top w:val="nil"/>
              <w:left w:val="single" w:color="auto" w:sz="4" w:space="0"/>
              <w:bottom w:val="single" w:color="auto" w:sz="4" w:space="0"/>
              <w:right w:val="single" w:color="auto" w:sz="4" w:space="0"/>
            </w:tcBorders>
            <w:vAlign w:val="center"/>
          </w:tcPr>
          <w:p w14:paraId="7C98898F">
            <w:pPr>
              <w:keepNext w:val="0"/>
              <w:keepLines w:val="0"/>
              <w:pageBreakBefore w:val="0"/>
              <w:widowControl/>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租赁和商务服务业</w:t>
            </w:r>
          </w:p>
        </w:tc>
        <w:tc>
          <w:tcPr>
            <w:tcW w:w="1400" w:type="dxa"/>
            <w:tcBorders>
              <w:top w:val="nil"/>
              <w:left w:val="nil"/>
              <w:bottom w:val="single" w:color="auto" w:sz="4" w:space="0"/>
              <w:right w:val="single" w:color="auto" w:sz="4" w:space="0"/>
            </w:tcBorders>
            <w:vAlign w:val="center"/>
          </w:tcPr>
          <w:p w14:paraId="11B437B3">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从业人员（X）</w:t>
            </w:r>
          </w:p>
        </w:tc>
        <w:tc>
          <w:tcPr>
            <w:tcW w:w="1136" w:type="dxa"/>
            <w:tcBorders>
              <w:top w:val="nil"/>
              <w:left w:val="nil"/>
              <w:bottom w:val="single" w:color="auto" w:sz="4" w:space="0"/>
              <w:right w:val="single" w:color="auto" w:sz="4" w:space="0"/>
            </w:tcBorders>
            <w:vAlign w:val="center"/>
          </w:tcPr>
          <w:p w14:paraId="29F9DAF1">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人</w:t>
            </w:r>
          </w:p>
        </w:tc>
        <w:tc>
          <w:tcPr>
            <w:tcW w:w="1696" w:type="dxa"/>
            <w:tcBorders>
              <w:top w:val="nil"/>
              <w:left w:val="nil"/>
              <w:bottom w:val="single" w:color="auto" w:sz="4" w:space="0"/>
              <w:right w:val="single" w:color="auto" w:sz="4" w:space="0"/>
            </w:tcBorders>
            <w:vAlign w:val="center"/>
          </w:tcPr>
          <w:p w14:paraId="1C4C14EB">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100≤X＜300</w:t>
            </w:r>
          </w:p>
        </w:tc>
        <w:tc>
          <w:tcPr>
            <w:tcW w:w="1701" w:type="dxa"/>
            <w:tcBorders>
              <w:top w:val="nil"/>
              <w:left w:val="nil"/>
              <w:bottom w:val="single" w:color="auto" w:sz="4" w:space="0"/>
              <w:right w:val="single" w:color="auto" w:sz="4" w:space="0"/>
            </w:tcBorders>
            <w:vAlign w:val="center"/>
          </w:tcPr>
          <w:p w14:paraId="02C0C222">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10≤X＜100</w:t>
            </w:r>
          </w:p>
        </w:tc>
        <w:tc>
          <w:tcPr>
            <w:tcW w:w="1069" w:type="dxa"/>
            <w:tcBorders>
              <w:top w:val="nil"/>
              <w:left w:val="nil"/>
              <w:bottom w:val="single" w:color="auto" w:sz="4" w:space="0"/>
              <w:right w:val="single" w:color="auto" w:sz="4" w:space="0"/>
            </w:tcBorders>
            <w:vAlign w:val="center"/>
          </w:tcPr>
          <w:p w14:paraId="22621AFD">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X＜10</w:t>
            </w:r>
          </w:p>
        </w:tc>
      </w:tr>
      <w:tr w14:paraId="0FB8CA64">
        <w:tblPrEx>
          <w:tblCellMar>
            <w:top w:w="0" w:type="dxa"/>
            <w:left w:w="108" w:type="dxa"/>
            <w:bottom w:w="0" w:type="dxa"/>
            <w:right w:w="108" w:type="dxa"/>
          </w:tblCellMar>
        </w:tblPrEx>
        <w:trPr>
          <w:trHeight w:val="225" w:hRule="atLeast"/>
          <w:jc w:val="center"/>
        </w:trPr>
        <w:tc>
          <w:tcPr>
            <w:tcW w:w="1767" w:type="dxa"/>
            <w:vMerge w:val="continue"/>
            <w:tcBorders>
              <w:top w:val="nil"/>
              <w:left w:val="single" w:color="auto" w:sz="4" w:space="0"/>
              <w:bottom w:val="single" w:color="auto" w:sz="4" w:space="0"/>
              <w:right w:val="single" w:color="auto" w:sz="4" w:space="0"/>
            </w:tcBorders>
            <w:vAlign w:val="center"/>
          </w:tcPr>
          <w:p w14:paraId="34260A6C">
            <w:pPr>
              <w:keepNext w:val="0"/>
              <w:keepLines w:val="0"/>
              <w:pageBreakBefore w:val="0"/>
              <w:widowControl/>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p>
        </w:tc>
        <w:tc>
          <w:tcPr>
            <w:tcW w:w="1400" w:type="dxa"/>
            <w:tcBorders>
              <w:top w:val="nil"/>
              <w:left w:val="nil"/>
              <w:bottom w:val="single" w:color="auto" w:sz="4" w:space="0"/>
              <w:right w:val="single" w:color="auto" w:sz="4" w:space="0"/>
            </w:tcBorders>
            <w:vAlign w:val="center"/>
          </w:tcPr>
          <w:p w14:paraId="712EB6EA">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资产总额（Z）</w:t>
            </w:r>
          </w:p>
        </w:tc>
        <w:tc>
          <w:tcPr>
            <w:tcW w:w="1136" w:type="dxa"/>
            <w:tcBorders>
              <w:top w:val="nil"/>
              <w:left w:val="nil"/>
              <w:bottom w:val="single" w:color="auto" w:sz="4" w:space="0"/>
              <w:right w:val="single" w:color="auto" w:sz="4" w:space="0"/>
            </w:tcBorders>
            <w:vAlign w:val="center"/>
          </w:tcPr>
          <w:p w14:paraId="35E5CDEA">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万元</w:t>
            </w:r>
          </w:p>
        </w:tc>
        <w:tc>
          <w:tcPr>
            <w:tcW w:w="1696" w:type="dxa"/>
            <w:tcBorders>
              <w:top w:val="nil"/>
              <w:left w:val="nil"/>
              <w:bottom w:val="single" w:color="auto" w:sz="4" w:space="0"/>
              <w:right w:val="single" w:color="auto" w:sz="4" w:space="0"/>
            </w:tcBorders>
            <w:vAlign w:val="center"/>
          </w:tcPr>
          <w:p w14:paraId="74C7DE65">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8000≤Z＜120000</w:t>
            </w:r>
          </w:p>
        </w:tc>
        <w:tc>
          <w:tcPr>
            <w:tcW w:w="1701" w:type="dxa"/>
            <w:tcBorders>
              <w:top w:val="nil"/>
              <w:left w:val="nil"/>
              <w:bottom w:val="single" w:color="auto" w:sz="4" w:space="0"/>
              <w:right w:val="single" w:color="auto" w:sz="4" w:space="0"/>
            </w:tcBorders>
            <w:vAlign w:val="center"/>
          </w:tcPr>
          <w:p w14:paraId="737FBDFC">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100≤Z＜8000</w:t>
            </w:r>
          </w:p>
        </w:tc>
        <w:tc>
          <w:tcPr>
            <w:tcW w:w="1069" w:type="dxa"/>
            <w:tcBorders>
              <w:top w:val="nil"/>
              <w:left w:val="nil"/>
              <w:bottom w:val="single" w:color="auto" w:sz="4" w:space="0"/>
              <w:right w:val="single" w:color="auto" w:sz="4" w:space="0"/>
            </w:tcBorders>
            <w:vAlign w:val="center"/>
          </w:tcPr>
          <w:p w14:paraId="5D4E99B0">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Y＜100</w:t>
            </w:r>
          </w:p>
        </w:tc>
      </w:tr>
      <w:tr w14:paraId="6DF92C49">
        <w:tblPrEx>
          <w:tblCellMar>
            <w:top w:w="0" w:type="dxa"/>
            <w:left w:w="108" w:type="dxa"/>
            <w:bottom w:w="0" w:type="dxa"/>
            <w:right w:w="108" w:type="dxa"/>
          </w:tblCellMar>
        </w:tblPrEx>
        <w:trPr>
          <w:trHeight w:val="225" w:hRule="atLeast"/>
          <w:jc w:val="center"/>
        </w:trPr>
        <w:tc>
          <w:tcPr>
            <w:tcW w:w="1767" w:type="dxa"/>
            <w:tcBorders>
              <w:top w:val="nil"/>
              <w:left w:val="single" w:color="auto" w:sz="4" w:space="0"/>
              <w:bottom w:val="single" w:color="auto" w:sz="4" w:space="0"/>
              <w:right w:val="single" w:color="auto" w:sz="4" w:space="0"/>
            </w:tcBorders>
            <w:vAlign w:val="center"/>
          </w:tcPr>
          <w:p w14:paraId="37BAC11A">
            <w:pPr>
              <w:keepNext w:val="0"/>
              <w:keepLines w:val="0"/>
              <w:pageBreakBefore w:val="0"/>
              <w:widowControl/>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其他未列明行业</w:t>
            </w:r>
          </w:p>
        </w:tc>
        <w:tc>
          <w:tcPr>
            <w:tcW w:w="1400" w:type="dxa"/>
            <w:tcBorders>
              <w:top w:val="nil"/>
              <w:left w:val="nil"/>
              <w:bottom w:val="single" w:color="auto" w:sz="4" w:space="0"/>
              <w:right w:val="single" w:color="auto" w:sz="4" w:space="0"/>
            </w:tcBorders>
            <w:vAlign w:val="center"/>
          </w:tcPr>
          <w:p w14:paraId="301C8F5E">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从业人员（X）</w:t>
            </w:r>
          </w:p>
        </w:tc>
        <w:tc>
          <w:tcPr>
            <w:tcW w:w="1136" w:type="dxa"/>
            <w:tcBorders>
              <w:top w:val="nil"/>
              <w:left w:val="nil"/>
              <w:bottom w:val="single" w:color="auto" w:sz="4" w:space="0"/>
              <w:right w:val="single" w:color="auto" w:sz="4" w:space="0"/>
            </w:tcBorders>
            <w:vAlign w:val="center"/>
          </w:tcPr>
          <w:p w14:paraId="79FBA979">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人</w:t>
            </w:r>
          </w:p>
        </w:tc>
        <w:tc>
          <w:tcPr>
            <w:tcW w:w="1696" w:type="dxa"/>
            <w:tcBorders>
              <w:top w:val="nil"/>
              <w:left w:val="nil"/>
              <w:bottom w:val="single" w:color="auto" w:sz="4" w:space="0"/>
              <w:right w:val="single" w:color="auto" w:sz="4" w:space="0"/>
            </w:tcBorders>
            <w:vAlign w:val="center"/>
          </w:tcPr>
          <w:p w14:paraId="286A51A1">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100≤X＜300</w:t>
            </w:r>
          </w:p>
        </w:tc>
        <w:tc>
          <w:tcPr>
            <w:tcW w:w="1701" w:type="dxa"/>
            <w:tcBorders>
              <w:top w:val="nil"/>
              <w:left w:val="nil"/>
              <w:bottom w:val="single" w:color="auto" w:sz="4" w:space="0"/>
              <w:right w:val="single" w:color="auto" w:sz="4" w:space="0"/>
            </w:tcBorders>
            <w:vAlign w:val="center"/>
          </w:tcPr>
          <w:p w14:paraId="7B55494C">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10≤X＜100</w:t>
            </w:r>
          </w:p>
        </w:tc>
        <w:tc>
          <w:tcPr>
            <w:tcW w:w="1069" w:type="dxa"/>
            <w:tcBorders>
              <w:top w:val="nil"/>
              <w:left w:val="nil"/>
              <w:bottom w:val="single" w:color="auto" w:sz="4" w:space="0"/>
              <w:right w:val="single" w:color="auto" w:sz="4" w:space="0"/>
            </w:tcBorders>
            <w:vAlign w:val="center"/>
          </w:tcPr>
          <w:p w14:paraId="7D9E2786">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X＜10</w:t>
            </w:r>
          </w:p>
        </w:tc>
      </w:tr>
    </w:tbl>
    <w:p w14:paraId="0746727A">
      <w:pPr>
        <w:keepNext w:val="0"/>
        <w:keepLines w:val="0"/>
        <w:pageBreakBefore w:val="0"/>
        <w:widowControl/>
        <w:kinsoku/>
        <w:topLinePunct w:val="0"/>
        <w:bidi w:val="0"/>
        <w:spacing w:line="400" w:lineRule="exact"/>
        <w:ind w:firstLine="420" w:firstLineChars="200"/>
        <w:jc w:val="left"/>
        <w:rPr>
          <w:rFonts w:hint="eastAsia" w:ascii="宋体" w:hAnsi="宋体" w:eastAsia="宋体" w:cs="宋体"/>
          <w:iCs/>
          <w:strike w:val="0"/>
          <w:dstrike w:val="0"/>
          <w:color w:val="auto"/>
          <w:sz w:val="21"/>
          <w:szCs w:val="21"/>
          <w:highlight w:val="none"/>
        </w:rPr>
      </w:pPr>
      <w:r>
        <w:rPr>
          <w:rFonts w:hint="eastAsia" w:ascii="宋体" w:hAnsi="宋体" w:eastAsia="宋体" w:cs="宋体"/>
          <w:iCs/>
          <w:strike w:val="0"/>
          <w:dstrike w:val="0"/>
          <w:color w:val="auto"/>
          <w:sz w:val="21"/>
          <w:szCs w:val="21"/>
          <w:highlight w:val="none"/>
        </w:rPr>
        <w:t>说明：上述标准参照《关于印发中小企业划型标准规定的通知》（工信部联企业[2011]300号），大型、中型和小型企业须同时满足所列指标的下限，否则下划一档；微型企业</w:t>
      </w:r>
      <w:r>
        <w:rPr>
          <w:rFonts w:hint="eastAsia" w:ascii="宋体" w:hAnsi="宋体" w:eastAsia="宋体" w:cs="宋体"/>
          <w:iCs/>
          <w:strike w:val="0"/>
          <w:dstrike w:val="0"/>
          <w:color w:val="auto"/>
          <w:sz w:val="21"/>
          <w:szCs w:val="21"/>
          <w:highlight w:val="none"/>
          <w:lang w:eastAsia="zh-CN"/>
        </w:rPr>
        <w:t>只需</w:t>
      </w:r>
      <w:r>
        <w:rPr>
          <w:rFonts w:hint="eastAsia" w:ascii="宋体" w:hAnsi="宋体" w:eastAsia="宋体" w:cs="宋体"/>
          <w:iCs/>
          <w:strike w:val="0"/>
          <w:dstrike w:val="0"/>
          <w:color w:val="auto"/>
          <w:sz w:val="21"/>
          <w:szCs w:val="21"/>
          <w:highlight w:val="none"/>
        </w:rPr>
        <w:t>满足所列指标中的一项即可。</w:t>
      </w:r>
    </w:p>
    <w:p w14:paraId="2464B90A">
      <w:pPr>
        <w:pStyle w:val="21"/>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p w14:paraId="1A0086BB">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sectPr>
          <w:footerReference r:id="rId12" w:type="first"/>
          <w:footerReference r:id="rId11" w:type="default"/>
          <w:pgSz w:w="11906" w:h="16838"/>
          <w:pgMar w:top="1440" w:right="1800" w:bottom="1440" w:left="1800" w:header="737" w:footer="680" w:gutter="113"/>
          <w:pgNumType w:fmt="decimal"/>
          <w:cols w:space="720" w:num="1"/>
          <w:titlePg/>
          <w:docGrid w:linePitch="312" w:charSpace="0"/>
        </w:sectPr>
      </w:pPr>
    </w:p>
    <w:bookmarkEnd w:id="64"/>
    <w:bookmarkEnd w:id="65"/>
    <w:bookmarkEnd w:id="66"/>
    <w:p w14:paraId="25F13A62">
      <w:pPr>
        <w:pStyle w:val="3"/>
        <w:keepNext w:val="0"/>
        <w:keepLines w:val="0"/>
        <w:pageBreakBefore w:val="0"/>
        <w:tabs>
          <w:tab w:val="left" w:pos="0"/>
          <w:tab w:val="left" w:pos="3165"/>
          <w:tab w:val="center" w:pos="4153"/>
        </w:tabs>
        <w:kinsoku/>
        <w:topLinePunct w:val="0"/>
        <w:autoSpaceDE w:val="0"/>
        <w:autoSpaceDN w:val="0"/>
        <w:bidi w:val="0"/>
        <w:adjustRightInd w:val="0"/>
        <w:spacing w:before="0" w:after="0" w:line="400" w:lineRule="exact"/>
        <w:rPr>
          <w:rFonts w:hint="eastAsia" w:ascii="方正小标宋_GBK" w:hAnsi="方正小标宋_GBK" w:eastAsia="方正小标宋_GBK" w:cs="方正小标宋_GBK"/>
          <w:strike w:val="0"/>
          <w:dstrike w:val="0"/>
          <w:color w:val="auto"/>
          <w:sz w:val="21"/>
          <w:szCs w:val="21"/>
          <w:highlight w:val="none"/>
        </w:rPr>
      </w:pPr>
      <w:bookmarkStart w:id="67" w:name="_Toc146612289"/>
      <w:r>
        <w:rPr>
          <w:rFonts w:hint="eastAsia" w:ascii="方正小标宋_GBK" w:hAnsi="方正小标宋_GBK" w:eastAsia="方正小标宋_GBK" w:cs="方正小标宋_GBK"/>
          <w:strike w:val="0"/>
          <w:dstrike w:val="0"/>
          <w:color w:val="auto"/>
          <w:sz w:val="21"/>
          <w:szCs w:val="21"/>
          <w:highlight w:val="none"/>
        </w:rPr>
        <w:t>第三章 投标人须知</w:t>
      </w:r>
      <w:bookmarkEnd w:id="67"/>
    </w:p>
    <w:p w14:paraId="4E6B2A16">
      <w:pPr>
        <w:keepNext w:val="0"/>
        <w:keepLines w:val="0"/>
        <w:pageBreakBefore w:val="0"/>
        <w:kinsoku/>
        <w:topLinePunct w:val="0"/>
        <w:bidi w:val="0"/>
        <w:spacing w:line="400" w:lineRule="exact"/>
        <w:jc w:val="center"/>
        <w:outlineLvl w:val="1"/>
        <w:rPr>
          <w:rFonts w:hint="eastAsia" w:ascii="宋体" w:hAnsi="宋体" w:eastAsia="宋体" w:cs="宋体"/>
          <w:b/>
          <w:strike w:val="0"/>
          <w:dstrike w:val="0"/>
          <w:color w:val="auto"/>
          <w:kern w:val="0"/>
          <w:sz w:val="21"/>
          <w:szCs w:val="21"/>
          <w:highlight w:val="none"/>
        </w:rPr>
      </w:pPr>
      <w:bookmarkStart w:id="68" w:name="_Toc254970667"/>
      <w:bookmarkStart w:id="69" w:name="_Toc254970526"/>
      <w:r>
        <w:rPr>
          <w:rFonts w:hint="eastAsia" w:ascii="宋体" w:hAnsi="宋体" w:eastAsia="宋体" w:cs="宋体"/>
          <w:b/>
          <w:strike w:val="0"/>
          <w:dstrike w:val="0"/>
          <w:color w:val="auto"/>
          <w:kern w:val="0"/>
          <w:sz w:val="21"/>
          <w:szCs w:val="21"/>
          <w:highlight w:val="none"/>
        </w:rPr>
        <w:t>投标人须知前附表</w:t>
      </w:r>
      <w:bookmarkEnd w:id="68"/>
      <w:bookmarkEnd w:id="69"/>
    </w:p>
    <w:tbl>
      <w:tblPr>
        <w:tblStyle w:val="48"/>
        <w:tblW w:w="89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009"/>
      </w:tblGrid>
      <w:tr w14:paraId="601565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D64D7FA">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条款号</w:t>
            </w:r>
          </w:p>
        </w:tc>
        <w:tc>
          <w:tcPr>
            <w:tcW w:w="8009" w:type="dxa"/>
            <w:tcBorders>
              <w:top w:val="single" w:color="auto" w:sz="4" w:space="0"/>
              <w:left w:val="single" w:color="auto" w:sz="4" w:space="0"/>
              <w:bottom w:val="single" w:color="auto" w:sz="4" w:space="0"/>
              <w:right w:val="single" w:color="auto" w:sz="4" w:space="0"/>
            </w:tcBorders>
            <w:vAlign w:val="center"/>
          </w:tcPr>
          <w:p w14:paraId="67EF5BAE">
            <w:pPr>
              <w:keepNext w:val="0"/>
              <w:keepLines w:val="0"/>
              <w:pageBreakBefore w:val="0"/>
              <w:widowControl w:val="0"/>
              <w:kinsoku/>
              <w:wordWrap w:val="0"/>
              <w:overflowPunct/>
              <w:topLinePunct w:val="0"/>
              <w:bidi w:val="0"/>
              <w:adjustRightInd/>
              <w:snapToGrid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编列内容</w:t>
            </w:r>
          </w:p>
        </w:tc>
      </w:tr>
      <w:tr w14:paraId="2A4772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11E5AB8">
            <w:pPr>
              <w:keepNext w:val="0"/>
              <w:keepLines w:val="0"/>
              <w:pageBreakBefore w:val="0"/>
              <w:widowControl w:val="0"/>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w:t>
            </w:r>
          </w:p>
        </w:tc>
        <w:tc>
          <w:tcPr>
            <w:tcW w:w="8009" w:type="dxa"/>
            <w:tcBorders>
              <w:top w:val="single" w:color="auto" w:sz="4" w:space="0"/>
              <w:left w:val="single" w:color="auto" w:sz="4" w:space="0"/>
              <w:bottom w:val="single" w:color="auto" w:sz="4" w:space="0"/>
              <w:right w:val="single" w:color="auto" w:sz="4" w:space="0"/>
            </w:tcBorders>
            <w:vAlign w:val="center"/>
          </w:tcPr>
          <w:p w14:paraId="4BE4591F">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申请人的资格要求：详见“招标公告”。</w:t>
            </w:r>
          </w:p>
        </w:tc>
      </w:tr>
      <w:tr w14:paraId="7789F3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B44C651">
            <w:pPr>
              <w:keepNext w:val="0"/>
              <w:keepLines w:val="0"/>
              <w:pageBreakBefore w:val="0"/>
              <w:widowControl w:val="0"/>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bookmarkStart w:id="70" w:name="_8.1"/>
            <w:bookmarkEnd w:id="70"/>
            <w:bookmarkStart w:id="71" w:name="_9.2"/>
            <w:bookmarkEnd w:id="71"/>
            <w:bookmarkStart w:id="72" w:name="_5"/>
            <w:bookmarkEnd w:id="72"/>
            <w:r>
              <w:rPr>
                <w:rFonts w:hint="eastAsia" w:ascii="宋体" w:hAnsi="宋体" w:eastAsia="宋体" w:cs="宋体"/>
                <w:strike w:val="0"/>
                <w:dstrike w:val="0"/>
                <w:color w:val="auto"/>
                <w:sz w:val="21"/>
                <w:szCs w:val="21"/>
                <w:highlight w:val="none"/>
              </w:rPr>
              <w:t>6.1</w:t>
            </w:r>
          </w:p>
        </w:tc>
        <w:tc>
          <w:tcPr>
            <w:tcW w:w="8009" w:type="dxa"/>
            <w:tcBorders>
              <w:top w:val="single" w:color="auto" w:sz="4" w:space="0"/>
              <w:left w:val="single" w:color="auto" w:sz="4" w:space="0"/>
              <w:bottom w:val="single" w:color="auto" w:sz="4" w:space="0"/>
              <w:right w:val="single" w:color="auto" w:sz="4" w:space="0"/>
            </w:tcBorders>
            <w:vAlign w:val="center"/>
          </w:tcPr>
          <w:p w14:paraId="6E693656">
            <w:pPr>
              <w:pStyle w:val="19"/>
              <w:keepNext w:val="0"/>
              <w:keepLines w:val="0"/>
              <w:pageBreakBefore w:val="0"/>
              <w:widowControl w:val="0"/>
              <w:kinsoku/>
              <w:wordWrap w:val="0"/>
              <w:overflowPunct/>
              <w:topLinePunct w:val="0"/>
              <w:bidi w:val="0"/>
              <w:adjustRightInd/>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本</w:t>
            </w:r>
            <w:r>
              <w:rPr>
                <w:rFonts w:hint="eastAsia" w:ascii="宋体" w:hAnsi="宋体" w:eastAsia="宋体" w:cs="宋体"/>
                <w:strike w:val="0"/>
                <w:dstrike w:val="0"/>
                <w:color w:val="auto"/>
                <w:sz w:val="21"/>
                <w:szCs w:val="21"/>
                <w:highlight w:val="none"/>
                <w:lang w:val="en-US" w:eastAsia="zh-CN"/>
              </w:rPr>
              <w:t>项目</w:t>
            </w:r>
            <w:r>
              <w:rPr>
                <w:rFonts w:hint="eastAsia" w:ascii="宋体" w:hAnsi="宋体" w:eastAsia="宋体" w:cs="宋体"/>
                <w:b/>
                <w:bCs/>
                <w:strike w:val="0"/>
                <w:dstrike w:val="0"/>
                <w:color w:val="auto"/>
                <w:sz w:val="21"/>
                <w:szCs w:val="21"/>
                <w:highlight w:val="none"/>
                <w:lang w:val="en-US" w:eastAsia="zh-CN"/>
              </w:rPr>
              <w:t>接受</w:t>
            </w:r>
            <w:r>
              <w:rPr>
                <w:rFonts w:hint="eastAsia" w:ascii="宋体" w:hAnsi="宋体" w:eastAsia="宋体" w:cs="宋体"/>
                <w:strike w:val="0"/>
                <w:dstrike w:val="0"/>
                <w:color w:val="auto"/>
                <w:sz w:val="21"/>
                <w:szCs w:val="21"/>
                <w:highlight w:val="none"/>
                <w:lang w:val="en-US" w:eastAsia="zh-CN"/>
              </w:rPr>
              <w:t>联合体投标，联合体组成单位不得超过3家。</w:t>
            </w:r>
          </w:p>
        </w:tc>
      </w:tr>
      <w:tr w14:paraId="72392E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F983DE2">
            <w:pPr>
              <w:keepNext w:val="0"/>
              <w:keepLines w:val="0"/>
              <w:pageBreakBefore w:val="0"/>
              <w:widowControl w:val="0"/>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6.2</w:t>
            </w:r>
          </w:p>
        </w:tc>
        <w:tc>
          <w:tcPr>
            <w:tcW w:w="8009" w:type="dxa"/>
            <w:tcBorders>
              <w:top w:val="single" w:color="auto" w:sz="4" w:space="0"/>
              <w:left w:val="single" w:color="auto" w:sz="4" w:space="0"/>
              <w:bottom w:val="single" w:color="auto" w:sz="4" w:space="0"/>
              <w:right w:val="single" w:color="auto" w:sz="4" w:space="0"/>
            </w:tcBorders>
            <w:vAlign w:val="center"/>
          </w:tcPr>
          <w:p w14:paraId="6CD36057">
            <w:pPr>
              <w:pStyle w:val="19"/>
              <w:keepNext w:val="0"/>
              <w:keepLines w:val="0"/>
              <w:pageBreakBefore w:val="0"/>
              <w:widowControl w:val="0"/>
              <w:kinsoku/>
              <w:wordWrap w:val="0"/>
              <w:overflowPunct/>
              <w:topLinePunct w:val="0"/>
              <w:bidi w:val="0"/>
              <w:adjustRightInd/>
              <w:spacing w:line="400" w:lineRule="exact"/>
              <w:rPr>
                <w:rFonts w:hint="eastAsia" w:ascii="宋体" w:hAnsi="宋体" w:eastAsia="宋体" w:cs="宋体"/>
                <w:b/>
                <w:strike w:val="0"/>
                <w:dstrike w:val="0"/>
                <w:color w:val="auto"/>
                <w:sz w:val="21"/>
                <w:szCs w:val="21"/>
                <w:highlight w:val="none"/>
              </w:rPr>
            </w:pPr>
            <w:bookmarkStart w:id="73" w:name="_Hlk54105293"/>
            <w:r>
              <w:rPr>
                <w:rFonts w:hint="eastAsia" w:ascii="宋体" w:hAnsi="宋体" w:eastAsia="宋体" w:cs="宋体"/>
                <w:b/>
                <w:strike w:val="0"/>
                <w:dstrike w:val="0"/>
                <w:color w:val="auto"/>
                <w:sz w:val="21"/>
                <w:szCs w:val="21"/>
                <w:highlight w:val="none"/>
              </w:rPr>
              <w:t>如接受联合体投标，</w:t>
            </w:r>
            <w:bookmarkEnd w:id="73"/>
            <w:r>
              <w:rPr>
                <w:rFonts w:hint="eastAsia" w:ascii="宋体" w:hAnsi="宋体" w:eastAsia="宋体" w:cs="宋体"/>
                <w:b/>
                <w:strike w:val="0"/>
                <w:dstrike w:val="0"/>
                <w:color w:val="auto"/>
                <w:sz w:val="21"/>
                <w:szCs w:val="21"/>
                <w:highlight w:val="none"/>
              </w:rPr>
              <w:t>联合体投标要求如下：</w:t>
            </w:r>
          </w:p>
          <w:p w14:paraId="018C5A09">
            <w:pPr>
              <w:pStyle w:val="19"/>
              <w:keepNext w:val="0"/>
              <w:keepLines w:val="0"/>
              <w:pageBreakBefore w:val="0"/>
              <w:widowControl w:val="0"/>
              <w:kinsoku/>
              <w:wordWrap w:val="0"/>
              <w:overflowPunct/>
              <w:topLinePunct w:val="0"/>
              <w:bidi w:val="0"/>
              <w:adjustRightInd/>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1.两个以上投标人可以组成一个投标联合体，以一个投标人的身份共同参加投标。联合体投标的，须提供《联合体投标协议书》（格式后附）。</w:t>
            </w:r>
          </w:p>
          <w:p w14:paraId="4F263F89">
            <w:pPr>
              <w:pStyle w:val="19"/>
              <w:keepNext w:val="0"/>
              <w:keepLines w:val="0"/>
              <w:pageBreakBefore w:val="0"/>
              <w:widowControl w:val="0"/>
              <w:kinsoku/>
              <w:wordWrap w:val="0"/>
              <w:overflowPunct/>
              <w:topLinePunct w:val="0"/>
              <w:bidi w:val="0"/>
              <w:adjustRightInd/>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37DD19E9">
            <w:pPr>
              <w:pStyle w:val="19"/>
              <w:keepNext w:val="0"/>
              <w:keepLines w:val="0"/>
              <w:pageBreakBefore w:val="0"/>
              <w:widowControl w:val="0"/>
              <w:kinsoku/>
              <w:wordWrap w:val="0"/>
              <w:overflowPunct/>
              <w:topLinePunct w:val="0"/>
              <w:bidi w:val="0"/>
              <w:adjustRightInd/>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3.联合体各方之间必须签订联合投标协议，协议书</w:t>
            </w:r>
            <w:r>
              <w:rPr>
                <w:rFonts w:hint="eastAsia" w:ascii="宋体" w:hAnsi="宋体" w:eastAsia="宋体" w:cs="宋体"/>
                <w:b/>
                <w:strike w:val="0"/>
                <w:dstrike w:val="0"/>
                <w:color w:val="auto"/>
                <w:sz w:val="21"/>
                <w:szCs w:val="21"/>
                <w:highlight w:val="none"/>
              </w:rPr>
              <w:t>必须明确主体方（或者牵头方）并明确约定联合体各方承担的工作和相应的责任（各方承担责任与义务的分工必须符合采购需求，否则，联合体投标无效）</w:t>
            </w:r>
            <w:r>
              <w:rPr>
                <w:rFonts w:hint="eastAsia" w:ascii="宋体" w:hAnsi="宋体" w:eastAsia="宋体" w:cs="宋体"/>
                <w:strike w:val="0"/>
                <w:dstrike w:val="0"/>
                <w:color w:val="auto"/>
                <w:sz w:val="21"/>
                <w:szCs w:val="21"/>
                <w:highlight w:val="none"/>
              </w:rPr>
              <w:t>，并将联合投标协议放入投标文件。联合体各方必须共同与采购人签订采购合同，就采购合同约定的事项对采购人承担连带责任。</w:t>
            </w:r>
          </w:p>
          <w:p w14:paraId="7004D4BA">
            <w:pPr>
              <w:pStyle w:val="19"/>
              <w:keepNext w:val="0"/>
              <w:keepLines w:val="0"/>
              <w:pageBreakBefore w:val="0"/>
              <w:widowControl w:val="0"/>
              <w:kinsoku/>
              <w:wordWrap w:val="0"/>
              <w:overflowPunct/>
              <w:topLinePunct w:val="0"/>
              <w:bidi w:val="0"/>
              <w:adjustRightInd/>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4.以联合体形式参加政府采购活动的，联合体各方不得再单独参加或者与其他投标人另外组成联合体参加同一合同项下的政府采购活动。</w:t>
            </w:r>
          </w:p>
          <w:p w14:paraId="3D97649B">
            <w:pPr>
              <w:pStyle w:val="19"/>
              <w:keepNext w:val="0"/>
              <w:keepLines w:val="0"/>
              <w:pageBreakBefore w:val="0"/>
              <w:widowControl w:val="0"/>
              <w:kinsoku/>
              <w:wordWrap w:val="0"/>
              <w:overflowPunct/>
              <w:topLinePunct w:val="0"/>
              <w:bidi w:val="0"/>
              <w:adjustRightInd/>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5.联合体中有同类资质的投标人按照联合体分工承担相同工作的，应当按照资质等级较低的投标人确定资质等级。</w:t>
            </w:r>
          </w:p>
          <w:p w14:paraId="493785F8">
            <w:pPr>
              <w:pStyle w:val="19"/>
              <w:keepNext w:val="0"/>
              <w:keepLines w:val="0"/>
              <w:pageBreakBefore w:val="0"/>
              <w:widowControl w:val="0"/>
              <w:kinsoku/>
              <w:wordWrap w:val="0"/>
              <w:overflowPunct/>
              <w:topLinePunct w:val="0"/>
              <w:bidi w:val="0"/>
              <w:adjustRightInd/>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6.联合体投标业绩、履约能力按照联合体各方叠加计算（招标文件另有规定的除外）。</w:t>
            </w:r>
          </w:p>
          <w:p w14:paraId="2F50934A">
            <w:pPr>
              <w:pStyle w:val="19"/>
              <w:keepNext w:val="0"/>
              <w:keepLines w:val="0"/>
              <w:pageBreakBefore w:val="0"/>
              <w:widowControl w:val="0"/>
              <w:kinsoku/>
              <w:wordWrap w:val="0"/>
              <w:overflowPunct/>
              <w:topLinePunct w:val="0"/>
              <w:bidi w:val="0"/>
              <w:adjustRightInd/>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7.投标人为联合体的，可以由联合体中的一方或者多方共同交纳投标保证金，其交纳的保证金对联合体各方均具有约束力。</w:t>
            </w:r>
          </w:p>
          <w:p w14:paraId="2E41B917">
            <w:pPr>
              <w:pStyle w:val="19"/>
              <w:keepNext w:val="0"/>
              <w:keepLines w:val="0"/>
              <w:pageBreakBefore w:val="0"/>
              <w:widowControl w:val="0"/>
              <w:kinsoku/>
              <w:wordWrap w:val="0"/>
              <w:overflowPunct/>
              <w:topLinePunct w:val="0"/>
              <w:bidi w:val="0"/>
              <w:adjustRightInd/>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8.联合体各方均应按照招标文件的规定提交资格证明文件。</w:t>
            </w:r>
          </w:p>
        </w:tc>
      </w:tr>
      <w:tr w14:paraId="66866E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1041E48">
            <w:pPr>
              <w:keepNext w:val="0"/>
              <w:keepLines w:val="0"/>
              <w:pageBreakBefore w:val="0"/>
              <w:widowControl w:val="0"/>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7.2</w:t>
            </w:r>
          </w:p>
        </w:tc>
        <w:tc>
          <w:tcPr>
            <w:tcW w:w="8009" w:type="dxa"/>
            <w:tcBorders>
              <w:top w:val="single" w:color="auto" w:sz="4" w:space="0"/>
              <w:left w:val="single" w:color="auto" w:sz="4" w:space="0"/>
              <w:bottom w:val="single" w:color="auto" w:sz="4" w:space="0"/>
              <w:right w:val="single" w:color="auto" w:sz="4" w:space="0"/>
            </w:tcBorders>
            <w:vAlign w:val="center"/>
          </w:tcPr>
          <w:p w14:paraId="0C1C48A7">
            <w:pPr>
              <w:pStyle w:val="19"/>
              <w:keepNext w:val="0"/>
              <w:keepLines w:val="0"/>
              <w:pageBreakBefore w:val="0"/>
              <w:widowControl w:val="0"/>
              <w:kinsoku/>
              <w:wordWrap w:val="0"/>
              <w:overflowPunct/>
              <w:topLinePunct w:val="0"/>
              <w:bidi w:val="0"/>
              <w:adjustRightInd/>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☑不允许分包</w:t>
            </w:r>
          </w:p>
          <w:p w14:paraId="379EE512">
            <w:pPr>
              <w:pStyle w:val="19"/>
              <w:keepNext w:val="0"/>
              <w:keepLines w:val="0"/>
              <w:pageBreakBefore w:val="0"/>
              <w:widowControl w:val="0"/>
              <w:kinsoku/>
              <w:wordWrap w:val="0"/>
              <w:overflowPunct/>
              <w:topLinePunct w:val="0"/>
              <w:bidi w:val="0"/>
              <w:adjustRightInd/>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□允许分包</w:t>
            </w:r>
          </w:p>
          <w:p w14:paraId="66456237">
            <w:pPr>
              <w:pStyle w:val="19"/>
              <w:keepNext w:val="0"/>
              <w:keepLines w:val="0"/>
              <w:pageBreakBefore w:val="0"/>
              <w:widowControl w:val="0"/>
              <w:kinsoku/>
              <w:wordWrap w:val="0"/>
              <w:overflowPunct/>
              <w:topLinePunct w:val="0"/>
              <w:bidi w:val="0"/>
              <w:adjustRightInd/>
              <w:spacing w:line="400" w:lineRule="exact"/>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分包内容：</w:t>
            </w:r>
            <w:r>
              <w:rPr>
                <w:rFonts w:hint="eastAsia" w:ascii="宋体" w:hAnsi="宋体" w:eastAsia="宋体" w:cs="宋体"/>
                <w:strike w:val="0"/>
                <w:dstrike w:val="0"/>
                <w:color w:val="auto"/>
                <w:sz w:val="21"/>
                <w:szCs w:val="21"/>
                <w:highlight w:val="none"/>
                <w:u w:val="single"/>
              </w:rPr>
              <w:t xml:space="preserve">                        </w:t>
            </w:r>
          </w:p>
          <w:p w14:paraId="5D3525FD">
            <w:pPr>
              <w:pStyle w:val="19"/>
              <w:keepNext w:val="0"/>
              <w:keepLines w:val="0"/>
              <w:pageBreakBefore w:val="0"/>
              <w:widowControl w:val="0"/>
              <w:kinsoku/>
              <w:wordWrap w:val="0"/>
              <w:overflowPunct/>
              <w:topLinePunct w:val="0"/>
              <w:bidi w:val="0"/>
              <w:adjustRightInd/>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分包金额或者比例：</w:t>
            </w:r>
            <w:r>
              <w:rPr>
                <w:rFonts w:hint="eastAsia" w:ascii="宋体" w:hAnsi="宋体" w:eastAsia="宋体" w:cs="宋体"/>
                <w:strike w:val="0"/>
                <w:dstrike w:val="0"/>
                <w:color w:val="auto"/>
                <w:sz w:val="21"/>
                <w:szCs w:val="21"/>
                <w:highlight w:val="none"/>
                <w:u w:val="single"/>
              </w:rPr>
              <w:t xml:space="preserve">                </w:t>
            </w:r>
          </w:p>
        </w:tc>
      </w:tr>
      <w:tr w14:paraId="2D94BC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 w:hRule="atLeast"/>
          <w:jc w:val="center"/>
        </w:trPr>
        <w:tc>
          <w:tcPr>
            <w:tcW w:w="895" w:type="dxa"/>
            <w:tcBorders>
              <w:top w:val="single" w:color="auto" w:sz="4" w:space="0"/>
              <w:left w:val="single" w:color="auto" w:sz="4" w:space="0"/>
              <w:right w:val="single" w:color="auto" w:sz="4" w:space="0"/>
            </w:tcBorders>
            <w:vAlign w:val="center"/>
          </w:tcPr>
          <w:p w14:paraId="4EFE18CA">
            <w:pPr>
              <w:keepNext w:val="0"/>
              <w:keepLines w:val="0"/>
              <w:pageBreakBefore w:val="0"/>
              <w:widowControl w:val="0"/>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11.2</w:t>
            </w:r>
          </w:p>
        </w:tc>
        <w:tc>
          <w:tcPr>
            <w:tcW w:w="8009" w:type="dxa"/>
            <w:tcBorders>
              <w:top w:val="single" w:color="auto" w:sz="4" w:space="0"/>
              <w:left w:val="single" w:color="auto" w:sz="4" w:space="0"/>
              <w:bottom w:val="single" w:color="auto" w:sz="4" w:space="0"/>
              <w:right w:val="single" w:color="auto" w:sz="4" w:space="0"/>
            </w:tcBorders>
            <w:vAlign w:val="center"/>
          </w:tcPr>
          <w:p w14:paraId="0AC3A622">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☑不组织现场考察</w:t>
            </w:r>
          </w:p>
          <w:p w14:paraId="6C0FB5AB">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□组织现场考察：</w:t>
            </w:r>
          </w:p>
          <w:p w14:paraId="494AE3BA">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集中时间：</w:t>
            </w:r>
            <w:r>
              <w:rPr>
                <w:rFonts w:hint="eastAsia" w:ascii="宋体" w:hAnsi="宋体" w:eastAsia="宋体" w:cs="宋体"/>
                <w:strike w:val="0"/>
                <w:dstrike w:val="0"/>
                <w:color w:val="auto"/>
                <w:sz w:val="21"/>
                <w:szCs w:val="21"/>
                <w:highlight w:val="none"/>
                <w:u w:val="none"/>
                <w:lang w:val="en-US" w:eastAsia="zh-CN"/>
              </w:rPr>
              <w:t xml:space="preserve">  </w:t>
            </w:r>
            <w:r>
              <w:rPr>
                <w:rFonts w:hint="eastAsia" w:ascii="宋体" w:hAnsi="宋体" w:eastAsia="宋体" w:cs="宋体"/>
                <w:strike w:val="0"/>
                <w:dstrike w:val="0"/>
                <w:color w:val="auto"/>
                <w:sz w:val="21"/>
                <w:szCs w:val="21"/>
                <w:highlight w:val="none"/>
                <w:u w:val="none"/>
              </w:rPr>
              <w:t>年</w:t>
            </w:r>
            <w:r>
              <w:rPr>
                <w:rFonts w:hint="eastAsia" w:ascii="宋体" w:hAnsi="宋体" w:eastAsia="宋体" w:cs="宋体"/>
                <w:strike w:val="0"/>
                <w:dstrike w:val="0"/>
                <w:color w:val="auto"/>
                <w:sz w:val="21"/>
                <w:szCs w:val="21"/>
                <w:highlight w:val="none"/>
                <w:u w:val="none"/>
                <w:lang w:val="en-US" w:eastAsia="zh-CN"/>
              </w:rPr>
              <w:t xml:space="preserve">  </w:t>
            </w:r>
            <w:r>
              <w:rPr>
                <w:rFonts w:hint="eastAsia" w:ascii="宋体" w:hAnsi="宋体" w:eastAsia="宋体" w:cs="宋体"/>
                <w:strike w:val="0"/>
                <w:dstrike w:val="0"/>
                <w:color w:val="auto"/>
                <w:sz w:val="21"/>
                <w:szCs w:val="21"/>
                <w:highlight w:val="none"/>
                <w:u w:val="none"/>
              </w:rPr>
              <w:t>月</w:t>
            </w:r>
            <w:r>
              <w:rPr>
                <w:rFonts w:hint="eastAsia" w:ascii="宋体" w:hAnsi="宋体" w:eastAsia="宋体" w:cs="宋体"/>
                <w:strike w:val="0"/>
                <w:dstrike w:val="0"/>
                <w:color w:val="auto"/>
                <w:sz w:val="21"/>
                <w:szCs w:val="21"/>
                <w:highlight w:val="none"/>
                <w:u w:val="none"/>
                <w:lang w:val="en-US" w:eastAsia="zh-CN"/>
              </w:rPr>
              <w:t xml:space="preserve">  </w:t>
            </w:r>
            <w:r>
              <w:rPr>
                <w:rFonts w:hint="eastAsia" w:ascii="宋体" w:hAnsi="宋体" w:eastAsia="宋体" w:cs="宋体"/>
                <w:strike w:val="0"/>
                <w:dstrike w:val="0"/>
                <w:color w:val="auto"/>
                <w:sz w:val="21"/>
                <w:szCs w:val="21"/>
                <w:highlight w:val="none"/>
                <w:u w:val="none"/>
              </w:rPr>
              <w:t>日</w:t>
            </w:r>
            <w:r>
              <w:rPr>
                <w:rFonts w:hint="eastAsia" w:ascii="宋体" w:hAnsi="宋体" w:eastAsia="宋体" w:cs="宋体"/>
                <w:strike w:val="0"/>
                <w:dstrike w:val="0"/>
                <w:color w:val="auto"/>
                <w:sz w:val="21"/>
                <w:szCs w:val="21"/>
                <w:highlight w:val="none"/>
                <w:u w:val="none"/>
                <w:lang w:val="en-US" w:eastAsia="zh-CN"/>
              </w:rPr>
              <w:t xml:space="preserve">  </w:t>
            </w:r>
            <w:r>
              <w:rPr>
                <w:rFonts w:hint="eastAsia" w:ascii="宋体" w:hAnsi="宋体" w:eastAsia="宋体" w:cs="宋体"/>
                <w:strike w:val="0"/>
                <w:dstrike w:val="0"/>
                <w:color w:val="auto"/>
                <w:sz w:val="21"/>
                <w:szCs w:val="21"/>
                <w:highlight w:val="none"/>
                <w:u w:val="none"/>
              </w:rPr>
              <w:t>时</w:t>
            </w:r>
            <w:r>
              <w:rPr>
                <w:rFonts w:hint="eastAsia" w:ascii="宋体" w:hAnsi="宋体" w:eastAsia="宋体" w:cs="宋体"/>
                <w:strike w:val="0"/>
                <w:dstrike w:val="0"/>
                <w:color w:val="auto"/>
                <w:sz w:val="21"/>
                <w:szCs w:val="21"/>
                <w:highlight w:val="none"/>
                <w:u w:val="none"/>
                <w:lang w:val="en-US" w:eastAsia="zh-CN"/>
              </w:rPr>
              <w:t xml:space="preserve">  </w:t>
            </w:r>
            <w:r>
              <w:rPr>
                <w:rFonts w:hint="eastAsia" w:ascii="宋体" w:hAnsi="宋体" w:eastAsia="宋体" w:cs="宋体"/>
                <w:strike w:val="0"/>
                <w:dstrike w:val="0"/>
                <w:color w:val="auto"/>
                <w:sz w:val="21"/>
                <w:szCs w:val="21"/>
                <w:highlight w:val="none"/>
                <w:u w:val="none"/>
              </w:rPr>
              <w:t>分</w:t>
            </w:r>
            <w:r>
              <w:rPr>
                <w:rFonts w:hint="eastAsia" w:ascii="宋体" w:hAnsi="宋体" w:eastAsia="宋体" w:cs="宋体"/>
                <w:strike w:val="0"/>
                <w:dstrike w:val="0"/>
                <w:color w:val="auto"/>
                <w:sz w:val="21"/>
                <w:szCs w:val="21"/>
                <w:highlight w:val="none"/>
              </w:rPr>
              <w:t>，逾期后果自负。集中地点：</w:t>
            </w:r>
          </w:p>
          <w:p w14:paraId="59797369">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联系人：</w:t>
            </w:r>
            <w:r>
              <w:rPr>
                <w:rFonts w:hint="eastAsia" w:ascii="宋体" w:hAnsi="宋体" w:eastAsia="宋体" w:cs="宋体"/>
                <w:strike w:val="0"/>
                <w:dstrike w:val="0"/>
                <w:color w:val="auto"/>
                <w:sz w:val="21"/>
                <w:szCs w:val="21"/>
                <w:highlight w:val="none"/>
                <w:lang w:val="en-US" w:eastAsia="zh-CN"/>
              </w:rPr>
              <w:t xml:space="preserve">   </w:t>
            </w:r>
            <w:r>
              <w:rPr>
                <w:rFonts w:hint="eastAsia" w:ascii="宋体" w:hAnsi="宋体" w:eastAsia="宋体" w:cs="宋体"/>
                <w:strike w:val="0"/>
                <w:dstrike w:val="0"/>
                <w:color w:val="auto"/>
                <w:sz w:val="21"/>
                <w:szCs w:val="21"/>
                <w:highlight w:val="none"/>
              </w:rPr>
              <w:t>；联系电话：</w:t>
            </w:r>
          </w:p>
          <w:p w14:paraId="7AFF5797">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☑不组织召开开标前答疑会</w:t>
            </w:r>
          </w:p>
          <w:p w14:paraId="3C9354E7">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□组织召开开标前答疑会</w:t>
            </w:r>
          </w:p>
          <w:p w14:paraId="1AB557A1">
            <w:pPr>
              <w:keepNext w:val="0"/>
              <w:keepLines w:val="0"/>
              <w:pageBreakBefore w:val="0"/>
              <w:widowControl w:val="0"/>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 xml:space="preserve">会议开始时间：  年  月  日  时  </w:t>
            </w:r>
            <w:r>
              <w:rPr>
                <w:rFonts w:hint="eastAsia" w:ascii="宋体" w:hAnsi="宋体" w:eastAsia="宋体" w:cs="宋体"/>
                <w:strike w:val="0"/>
                <w:dstrike w:val="0"/>
                <w:color w:val="auto"/>
                <w:sz w:val="21"/>
                <w:szCs w:val="21"/>
                <w:highlight w:val="none"/>
                <w:u w:val="none"/>
              </w:rPr>
              <w:t>分</w:t>
            </w:r>
            <w:r>
              <w:rPr>
                <w:rFonts w:hint="eastAsia" w:ascii="宋体" w:hAnsi="宋体" w:eastAsia="宋体" w:cs="宋体"/>
                <w:strike w:val="0"/>
                <w:dstrike w:val="0"/>
                <w:color w:val="auto"/>
                <w:sz w:val="21"/>
                <w:szCs w:val="21"/>
                <w:highlight w:val="none"/>
              </w:rPr>
              <w:t>，逾期后果自负。会议地点：</w:t>
            </w:r>
          </w:p>
        </w:tc>
      </w:tr>
      <w:tr w14:paraId="688887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restart"/>
            <w:tcBorders>
              <w:top w:val="single" w:color="auto" w:sz="4" w:space="0"/>
              <w:left w:val="single" w:color="auto" w:sz="4" w:space="0"/>
              <w:right w:val="single" w:color="auto" w:sz="4" w:space="0"/>
            </w:tcBorders>
            <w:vAlign w:val="center"/>
          </w:tcPr>
          <w:p w14:paraId="41FA5E8D">
            <w:pPr>
              <w:keepNext w:val="0"/>
              <w:keepLines w:val="0"/>
              <w:pageBreakBefore w:val="0"/>
              <w:widowControl w:val="0"/>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bookmarkStart w:id="74" w:name="_13.1"/>
            <w:bookmarkEnd w:id="74"/>
            <w:r>
              <w:rPr>
                <w:rFonts w:hint="eastAsia" w:ascii="宋体" w:hAnsi="宋体" w:eastAsia="宋体" w:cs="宋体"/>
                <w:strike w:val="0"/>
                <w:dstrike w:val="0"/>
                <w:color w:val="auto"/>
                <w:sz w:val="21"/>
                <w:szCs w:val="21"/>
                <w:highlight w:val="none"/>
              </w:rPr>
              <w:t>13</w:t>
            </w:r>
          </w:p>
        </w:tc>
        <w:tc>
          <w:tcPr>
            <w:tcW w:w="8009" w:type="dxa"/>
            <w:tcBorders>
              <w:top w:val="single" w:color="auto" w:sz="4" w:space="0"/>
              <w:left w:val="single" w:color="auto" w:sz="4" w:space="0"/>
              <w:bottom w:val="single" w:color="auto" w:sz="4" w:space="0"/>
              <w:right w:val="single" w:color="auto" w:sz="4" w:space="0"/>
            </w:tcBorders>
            <w:vAlign w:val="center"/>
          </w:tcPr>
          <w:p w14:paraId="1B954DFC">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报价文件：</w:t>
            </w:r>
          </w:p>
          <w:p w14:paraId="505398FD">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b/>
                <w:strike w:val="0"/>
                <w:dstrike w:val="0"/>
                <w:color w:val="auto"/>
                <w:sz w:val="21"/>
                <w:szCs w:val="21"/>
                <w:highlight w:val="none"/>
              </w:rPr>
            </w:pPr>
            <w:bookmarkStart w:id="75" w:name="OLE_LINK106"/>
            <w:bookmarkStart w:id="76" w:name="OLE_LINK105"/>
            <w:r>
              <w:rPr>
                <w:rFonts w:hint="eastAsia" w:ascii="宋体" w:hAnsi="宋体" w:eastAsia="宋体" w:cs="宋体"/>
                <w:strike w:val="0"/>
                <w:dstrike w:val="0"/>
                <w:color w:val="auto"/>
                <w:sz w:val="21"/>
                <w:szCs w:val="21"/>
                <w:highlight w:val="none"/>
              </w:rPr>
              <w:t>1.投标函（格式后附）；</w:t>
            </w:r>
            <w:bookmarkEnd w:id="75"/>
            <w:bookmarkEnd w:id="76"/>
            <w:r>
              <w:rPr>
                <w:rFonts w:hint="eastAsia" w:ascii="宋体" w:hAnsi="宋体" w:eastAsia="宋体" w:cs="宋体"/>
                <w:b/>
                <w:strike w:val="0"/>
                <w:dstrike w:val="0"/>
                <w:color w:val="auto"/>
                <w:sz w:val="21"/>
                <w:szCs w:val="21"/>
                <w:highlight w:val="none"/>
              </w:rPr>
              <w:t>（必须提供，否则作无效投标处理）</w:t>
            </w:r>
          </w:p>
          <w:p w14:paraId="0329E3C6">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bookmarkStart w:id="77" w:name="OLE_LINK108"/>
            <w:bookmarkStart w:id="78" w:name="OLE_LINK107"/>
            <w:r>
              <w:rPr>
                <w:rFonts w:hint="eastAsia" w:ascii="宋体" w:hAnsi="宋体" w:eastAsia="宋体" w:cs="宋体"/>
                <w:strike w:val="0"/>
                <w:dstrike w:val="0"/>
                <w:color w:val="auto"/>
                <w:sz w:val="21"/>
                <w:szCs w:val="21"/>
                <w:highlight w:val="none"/>
              </w:rPr>
              <w:t>2.开标一览表（格式后附）；</w:t>
            </w:r>
            <w:bookmarkEnd w:id="77"/>
            <w:bookmarkEnd w:id="78"/>
            <w:bookmarkStart w:id="79" w:name="OLE_LINK104"/>
            <w:bookmarkStart w:id="80" w:name="OLE_LINK103"/>
            <w:r>
              <w:rPr>
                <w:rFonts w:hint="eastAsia" w:ascii="宋体" w:hAnsi="宋体" w:eastAsia="宋体" w:cs="宋体"/>
                <w:b/>
                <w:strike w:val="0"/>
                <w:dstrike w:val="0"/>
                <w:color w:val="auto"/>
                <w:sz w:val="21"/>
                <w:szCs w:val="21"/>
                <w:highlight w:val="none"/>
              </w:rPr>
              <w:t>（必须提供，否则作无效投标处理）</w:t>
            </w:r>
            <w:bookmarkEnd w:id="79"/>
            <w:bookmarkEnd w:id="80"/>
          </w:p>
          <w:p w14:paraId="28B424FC">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w:t>
            </w:r>
            <w:bookmarkStart w:id="81" w:name="OLE_LINK16"/>
            <w:bookmarkStart w:id="82" w:name="OLE_LINK17"/>
            <w:r>
              <w:rPr>
                <w:rFonts w:hint="eastAsia" w:ascii="宋体" w:hAnsi="宋体" w:eastAsia="宋体" w:cs="宋体"/>
                <w:strike w:val="0"/>
                <w:dstrike w:val="0"/>
                <w:color w:val="auto"/>
                <w:sz w:val="21"/>
                <w:szCs w:val="21"/>
                <w:highlight w:val="none"/>
              </w:rPr>
              <w:t>投标人针对报价需要说明的其他文件（如中小企业声明函、残疾人福利性单位声明函、监狱企业声明函等）和说明（格式自拟）。</w:t>
            </w:r>
            <w:bookmarkEnd w:id="81"/>
            <w:bookmarkEnd w:id="82"/>
            <w:r>
              <w:rPr>
                <w:rFonts w:hint="eastAsia" w:ascii="宋体" w:hAnsi="宋体" w:eastAsia="宋体" w:cs="宋体"/>
                <w:b/>
                <w:strike w:val="0"/>
                <w:dstrike w:val="0"/>
                <w:color w:val="auto"/>
                <w:sz w:val="21"/>
                <w:szCs w:val="21"/>
                <w:highlight w:val="none"/>
              </w:rPr>
              <w:t>（根据投标人自身情况自行提供，部分格式详见招标文件）</w:t>
            </w:r>
          </w:p>
          <w:p w14:paraId="2A573548">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注：以上标明“必须提供”的材料属于复印件的扫描件的，必须加盖投标人公章（或电子签章）</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联合体投标时，由联合体牵头人加盖公章或电子签章</w:t>
            </w:r>
            <w:r>
              <w:rPr>
                <w:rFonts w:hint="eastAsia" w:ascii="宋体" w:hAnsi="宋体" w:eastAsia="宋体" w:cs="宋体"/>
                <w:b/>
                <w:color w:val="auto"/>
                <w:sz w:val="21"/>
                <w:szCs w:val="21"/>
                <w:highlight w:val="none"/>
                <w:lang w:eastAsia="zh-CN"/>
              </w:rPr>
              <w:t>）</w:t>
            </w:r>
            <w:r>
              <w:rPr>
                <w:rFonts w:hint="eastAsia" w:ascii="宋体" w:hAnsi="宋体" w:eastAsia="宋体" w:cs="宋体"/>
                <w:b/>
                <w:strike w:val="0"/>
                <w:dstrike w:val="0"/>
                <w:color w:val="auto"/>
                <w:sz w:val="21"/>
                <w:szCs w:val="21"/>
                <w:highlight w:val="none"/>
              </w:rPr>
              <w:t>，否则作无效投标处理。</w:t>
            </w:r>
          </w:p>
        </w:tc>
      </w:tr>
      <w:tr w14:paraId="54B632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140E5E63">
            <w:pPr>
              <w:keepNext w:val="0"/>
              <w:keepLines w:val="0"/>
              <w:pageBreakBefore w:val="0"/>
              <w:widowControl w:val="0"/>
              <w:kinsoku/>
              <w:wordWrap w:val="0"/>
              <w:overflowPunct/>
              <w:topLinePunct w:val="0"/>
              <w:bidi w:val="0"/>
              <w:adjustRightInd/>
              <w:spacing w:line="400" w:lineRule="exact"/>
              <w:rPr>
                <w:rFonts w:hint="eastAsia" w:ascii="宋体" w:hAnsi="宋体" w:eastAsia="宋体" w:cs="宋体"/>
                <w:strike w:val="0"/>
                <w:dstrike w:val="0"/>
                <w:color w:val="auto"/>
                <w:sz w:val="21"/>
                <w:szCs w:val="21"/>
                <w:highlight w:val="none"/>
              </w:rPr>
            </w:pPr>
            <w:bookmarkStart w:id="83" w:name="_13.2"/>
            <w:bookmarkEnd w:id="83"/>
          </w:p>
        </w:tc>
        <w:tc>
          <w:tcPr>
            <w:tcW w:w="8009" w:type="dxa"/>
            <w:tcBorders>
              <w:top w:val="single" w:color="auto" w:sz="4" w:space="0"/>
              <w:left w:val="single" w:color="auto" w:sz="4" w:space="0"/>
              <w:bottom w:val="single" w:color="auto" w:sz="4" w:space="0"/>
              <w:right w:val="single" w:color="auto" w:sz="4" w:space="0"/>
            </w:tcBorders>
            <w:vAlign w:val="center"/>
          </w:tcPr>
          <w:p w14:paraId="4CC048AF">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资格证明文件</w:t>
            </w:r>
          </w:p>
          <w:p w14:paraId="2FC25150">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bookmarkStart w:id="84" w:name="OLE_LINK64"/>
            <w:bookmarkStart w:id="85" w:name="OLE_LINK65"/>
            <w:r>
              <w:rPr>
                <w:rFonts w:hint="eastAsia" w:ascii="宋体" w:hAnsi="宋体" w:eastAsia="宋体" w:cs="宋体"/>
                <w:strike w:val="0"/>
                <w:dstrike w:val="0"/>
                <w:color w:val="auto"/>
                <w:sz w:val="21"/>
                <w:szCs w:val="21"/>
                <w:highlight w:val="none"/>
              </w:rPr>
              <w:t>1.</w:t>
            </w:r>
            <w:bookmarkStart w:id="86" w:name="OLE_LINK62"/>
            <w:bookmarkStart w:id="87" w:name="OLE_LINK63"/>
            <w:r>
              <w:rPr>
                <w:rFonts w:hint="eastAsia" w:ascii="宋体" w:hAnsi="宋体" w:eastAsia="宋体" w:cs="宋体"/>
                <w:strike w:val="0"/>
                <w:dstrike w:val="0"/>
                <w:color w:val="auto"/>
                <w:sz w:val="21"/>
                <w:szCs w:val="21"/>
                <w:highlight w:val="none"/>
              </w:rPr>
              <w:t>投标人为法人或者其他组织的，提供营业执照等证明文件（如营业执照或者事业单位法人证书或者</w:t>
            </w:r>
            <w:r>
              <w:rPr>
                <w:rFonts w:hint="eastAsia" w:ascii="宋体" w:hAnsi="宋体" w:eastAsia="宋体" w:cs="宋体"/>
                <w:strike w:val="0"/>
                <w:dstrike w:val="0"/>
                <w:color w:val="auto"/>
                <w:sz w:val="21"/>
                <w:szCs w:val="21"/>
                <w:highlight w:val="none"/>
                <w:lang w:val="zh-CN" w:bidi="zh-CN"/>
              </w:rPr>
              <w:t>执业许可证</w:t>
            </w:r>
            <w:r>
              <w:rPr>
                <w:rFonts w:hint="eastAsia" w:ascii="宋体" w:hAnsi="宋体" w:eastAsia="宋体" w:cs="宋体"/>
                <w:strike w:val="0"/>
                <w:dstrike w:val="0"/>
                <w:color w:val="auto"/>
                <w:sz w:val="21"/>
                <w:szCs w:val="21"/>
                <w:highlight w:val="none"/>
              </w:rPr>
              <w:t>等），投标人为自然人的，提供身份证复印件；</w:t>
            </w:r>
            <w:bookmarkEnd w:id="84"/>
            <w:bookmarkEnd w:id="85"/>
            <w:bookmarkEnd w:id="86"/>
            <w:bookmarkEnd w:id="87"/>
            <w:bookmarkStart w:id="88" w:name="OLE_LINK67"/>
            <w:bookmarkStart w:id="89" w:name="OLE_LINK66"/>
            <w:r>
              <w:rPr>
                <w:rFonts w:hint="eastAsia" w:ascii="宋体" w:hAnsi="宋体" w:eastAsia="宋体" w:cs="宋体"/>
                <w:strike w:val="0"/>
                <w:dstrike w:val="0"/>
                <w:color w:val="auto"/>
                <w:sz w:val="21"/>
                <w:szCs w:val="21"/>
                <w:highlight w:val="none"/>
              </w:rPr>
              <w:t>（</w:t>
            </w:r>
            <w:r>
              <w:rPr>
                <w:rFonts w:hint="eastAsia" w:ascii="宋体" w:hAnsi="宋体" w:eastAsia="宋体" w:cs="宋体"/>
                <w:b/>
                <w:strike w:val="0"/>
                <w:dstrike w:val="0"/>
                <w:color w:val="auto"/>
                <w:sz w:val="21"/>
                <w:szCs w:val="21"/>
                <w:highlight w:val="none"/>
              </w:rPr>
              <w:t>必须提供，否则作无效投标处理</w:t>
            </w:r>
            <w:r>
              <w:rPr>
                <w:rFonts w:hint="eastAsia" w:ascii="宋体" w:hAnsi="宋体" w:eastAsia="宋体" w:cs="宋体"/>
                <w:strike w:val="0"/>
                <w:dstrike w:val="0"/>
                <w:color w:val="auto"/>
                <w:sz w:val="21"/>
                <w:szCs w:val="21"/>
                <w:highlight w:val="none"/>
              </w:rPr>
              <w:t>）</w:t>
            </w:r>
          </w:p>
          <w:bookmarkEnd w:id="88"/>
          <w:bookmarkEnd w:id="89"/>
          <w:p w14:paraId="1D1DA309">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bookmarkStart w:id="90" w:name="OLE_LINK76"/>
            <w:bookmarkStart w:id="91" w:name="OLE_LINK74"/>
            <w:bookmarkStart w:id="92" w:name="OLE_LINK83"/>
            <w:r>
              <w:rPr>
                <w:rFonts w:hint="eastAsia" w:ascii="宋体" w:hAnsi="宋体" w:eastAsia="宋体" w:cs="宋体"/>
                <w:strike w:val="0"/>
                <w:dstrike w:val="0"/>
                <w:color w:val="auto"/>
                <w:sz w:val="21"/>
                <w:szCs w:val="21"/>
                <w:highlight w:val="none"/>
              </w:rPr>
              <w:t>2.投标人依法缴纳税收的相关材料（</w:t>
            </w:r>
            <w:bookmarkStart w:id="93" w:name="OLE_LINK266"/>
            <w:bookmarkStart w:id="94" w:name="OLE_LINK258"/>
            <w:bookmarkStart w:id="95" w:name="OLE_LINK259"/>
            <w:r>
              <w:rPr>
                <w:rFonts w:hint="eastAsia" w:ascii="宋体" w:hAnsi="宋体" w:eastAsia="宋体" w:cs="宋体"/>
                <w:strike w:val="0"/>
                <w:dstrike w:val="0"/>
                <w:color w:val="auto"/>
                <w:sz w:val="21"/>
                <w:szCs w:val="21"/>
                <w:highlight w:val="none"/>
                <w:u w:val="single"/>
              </w:rPr>
              <w:t>202</w:t>
            </w:r>
            <w:r>
              <w:rPr>
                <w:rFonts w:hint="eastAsia" w:ascii="宋体" w:hAnsi="宋体" w:eastAsia="宋体" w:cs="宋体"/>
                <w:strike w:val="0"/>
                <w:dstrike w:val="0"/>
                <w:color w:val="auto"/>
                <w:sz w:val="21"/>
                <w:szCs w:val="21"/>
                <w:highlight w:val="none"/>
                <w:u w:val="single"/>
                <w:lang w:val="en-US" w:eastAsia="zh-CN"/>
              </w:rPr>
              <w:t>5</w:t>
            </w:r>
            <w:r>
              <w:rPr>
                <w:rFonts w:hint="eastAsia" w:ascii="宋体" w:hAnsi="宋体" w:eastAsia="宋体" w:cs="宋体"/>
                <w:strike w:val="0"/>
                <w:dstrike w:val="0"/>
                <w:color w:val="auto"/>
                <w:sz w:val="21"/>
                <w:szCs w:val="21"/>
                <w:highlight w:val="none"/>
              </w:rPr>
              <w:t>年</w:t>
            </w:r>
            <w:r>
              <w:rPr>
                <w:rFonts w:hint="eastAsia" w:ascii="宋体" w:hAnsi="宋体" w:cs="宋体"/>
                <w:strike w:val="0"/>
                <w:dstrike w:val="0"/>
                <w:color w:val="auto"/>
                <w:sz w:val="21"/>
                <w:szCs w:val="21"/>
                <w:highlight w:val="none"/>
                <w:u w:val="single"/>
                <w:lang w:val="en-US" w:eastAsia="zh-CN"/>
              </w:rPr>
              <w:t>8</w:t>
            </w:r>
            <w:r>
              <w:rPr>
                <w:rFonts w:hint="eastAsia" w:ascii="宋体" w:hAnsi="宋体" w:eastAsia="宋体" w:cs="宋体"/>
                <w:strike w:val="0"/>
                <w:dstrike w:val="0"/>
                <w:color w:val="auto"/>
                <w:sz w:val="21"/>
                <w:szCs w:val="21"/>
                <w:highlight w:val="none"/>
              </w:rPr>
              <w:t>月至</w:t>
            </w:r>
            <w:r>
              <w:rPr>
                <w:rFonts w:hint="eastAsia" w:ascii="宋体" w:hAnsi="宋体" w:eastAsia="宋体" w:cs="宋体"/>
                <w:strike w:val="0"/>
                <w:dstrike w:val="0"/>
                <w:color w:val="auto"/>
                <w:sz w:val="21"/>
                <w:szCs w:val="21"/>
                <w:highlight w:val="none"/>
                <w:u w:val="single"/>
              </w:rPr>
              <w:t>202</w:t>
            </w:r>
            <w:r>
              <w:rPr>
                <w:rFonts w:hint="eastAsia" w:ascii="宋体" w:hAnsi="宋体" w:cs="宋体"/>
                <w:strike w:val="0"/>
                <w:dstrike w:val="0"/>
                <w:color w:val="auto"/>
                <w:sz w:val="21"/>
                <w:szCs w:val="21"/>
                <w:highlight w:val="none"/>
                <w:u w:val="single"/>
                <w:lang w:val="en-US" w:eastAsia="zh-CN"/>
              </w:rPr>
              <w:t>6</w:t>
            </w:r>
            <w:r>
              <w:rPr>
                <w:rFonts w:hint="eastAsia" w:ascii="宋体" w:hAnsi="宋体" w:eastAsia="宋体" w:cs="宋体"/>
                <w:strike w:val="0"/>
                <w:dstrike w:val="0"/>
                <w:color w:val="auto"/>
                <w:sz w:val="21"/>
                <w:szCs w:val="21"/>
                <w:highlight w:val="none"/>
              </w:rPr>
              <w:t>年</w:t>
            </w:r>
            <w:r>
              <w:rPr>
                <w:rFonts w:hint="eastAsia" w:ascii="宋体" w:hAnsi="宋体" w:eastAsia="宋体" w:cs="宋体"/>
                <w:strike w:val="0"/>
                <w:dstrike w:val="0"/>
                <w:color w:val="auto"/>
                <w:sz w:val="21"/>
                <w:szCs w:val="21"/>
                <w:highlight w:val="none"/>
                <w:u w:val="single"/>
              </w:rPr>
              <w:t xml:space="preserve"> </w:t>
            </w:r>
            <w:r>
              <w:rPr>
                <w:rFonts w:hint="eastAsia" w:ascii="宋体" w:hAnsi="宋体" w:cs="宋体"/>
                <w:strike w:val="0"/>
                <w:dstrike w:val="0"/>
                <w:color w:val="auto"/>
                <w:sz w:val="21"/>
                <w:szCs w:val="21"/>
                <w:highlight w:val="none"/>
                <w:u w:val="single"/>
                <w:lang w:val="en-US" w:eastAsia="zh-CN"/>
              </w:rPr>
              <w:t>1</w:t>
            </w:r>
            <w:r>
              <w:rPr>
                <w:rFonts w:hint="eastAsia" w:ascii="宋体" w:hAnsi="宋体" w:eastAsia="宋体" w:cs="宋体"/>
                <w:strike w:val="0"/>
                <w:dstrike w:val="0"/>
                <w:color w:val="auto"/>
                <w:sz w:val="21"/>
                <w:szCs w:val="21"/>
                <w:highlight w:val="none"/>
                <w:u w:val="single"/>
                <w:lang w:val="en-US" w:eastAsia="zh-CN"/>
              </w:rPr>
              <w:t xml:space="preserve"> </w:t>
            </w:r>
            <w:r>
              <w:rPr>
                <w:rFonts w:hint="eastAsia" w:ascii="宋体" w:hAnsi="宋体" w:eastAsia="宋体" w:cs="宋体"/>
                <w:strike w:val="0"/>
                <w:dstrike w:val="0"/>
                <w:color w:val="auto"/>
                <w:sz w:val="21"/>
                <w:szCs w:val="21"/>
                <w:highlight w:val="none"/>
              </w:rPr>
              <w:t>月内任意连续</w:t>
            </w:r>
            <w:r>
              <w:rPr>
                <w:rFonts w:hint="eastAsia" w:ascii="宋体" w:hAnsi="宋体" w:eastAsia="宋体" w:cs="宋体"/>
                <w:strike w:val="0"/>
                <w:dstrike w:val="0"/>
                <w:color w:val="auto"/>
                <w:sz w:val="21"/>
                <w:szCs w:val="21"/>
                <w:highlight w:val="none"/>
                <w:u w:val="single"/>
              </w:rPr>
              <w:t>3个</w:t>
            </w:r>
            <w:r>
              <w:rPr>
                <w:rFonts w:hint="eastAsia" w:ascii="宋体" w:hAnsi="宋体" w:eastAsia="宋体" w:cs="宋体"/>
                <w:strike w:val="0"/>
                <w:dstrike w:val="0"/>
                <w:color w:val="auto"/>
                <w:sz w:val="21"/>
                <w:szCs w:val="21"/>
                <w:highlight w:val="none"/>
              </w:rPr>
              <w:t>月</w:t>
            </w:r>
            <w:bookmarkEnd w:id="93"/>
            <w:bookmarkEnd w:id="94"/>
            <w:bookmarkEnd w:id="95"/>
            <w:r>
              <w:rPr>
                <w:rFonts w:hint="eastAsia" w:ascii="宋体" w:hAnsi="宋体" w:eastAsia="宋体" w:cs="宋体"/>
                <w:strike w:val="0"/>
                <w:dstrike w:val="0"/>
                <w:color w:val="auto"/>
                <w:sz w:val="21"/>
                <w:szCs w:val="21"/>
                <w:highlight w:val="none"/>
              </w:rPr>
              <w:t>的</w:t>
            </w:r>
            <w:r>
              <w:rPr>
                <w:rFonts w:hint="eastAsia" w:ascii="宋体" w:hAnsi="宋体" w:eastAsia="宋体" w:cs="宋体"/>
                <w:b/>
                <w:bCs/>
                <w:strike w:val="0"/>
                <w:dstrike w:val="0"/>
                <w:color w:val="auto"/>
                <w:sz w:val="21"/>
                <w:szCs w:val="21"/>
                <w:highlight w:val="none"/>
                <w:u w:val="single"/>
              </w:rPr>
              <w:t>依法缴纳税收的凭据复印件</w:t>
            </w:r>
            <w:r>
              <w:rPr>
                <w:rFonts w:hint="eastAsia" w:ascii="宋体" w:hAnsi="宋体" w:eastAsia="宋体" w:cs="宋体"/>
                <w:strike w:val="0"/>
                <w:dstrike w:val="0"/>
                <w:color w:val="auto"/>
                <w:sz w:val="21"/>
                <w:szCs w:val="21"/>
                <w:highlight w:val="none"/>
              </w:rPr>
              <w:t>；依法免税的投标人，必须提供相应文件证明其依法免税。从取得营业执照时间起到投标文件提交截止时间为止不足要求月数的，只需提供从取得营业执照起的依法缴纳税收相应证明文件）；</w:t>
            </w:r>
            <w:bookmarkEnd w:id="90"/>
            <w:bookmarkEnd w:id="91"/>
            <w:bookmarkEnd w:id="92"/>
            <w:bookmarkStart w:id="96" w:name="OLE_LINK77"/>
            <w:bookmarkStart w:id="97" w:name="OLE_LINK78"/>
            <w:r>
              <w:rPr>
                <w:rFonts w:hint="eastAsia" w:ascii="宋体" w:hAnsi="宋体" w:eastAsia="宋体" w:cs="宋体"/>
                <w:strike w:val="0"/>
                <w:dstrike w:val="0"/>
                <w:color w:val="auto"/>
                <w:sz w:val="21"/>
                <w:szCs w:val="21"/>
                <w:highlight w:val="none"/>
              </w:rPr>
              <w:t>（</w:t>
            </w:r>
            <w:r>
              <w:rPr>
                <w:rFonts w:hint="eastAsia" w:ascii="宋体" w:hAnsi="宋体" w:eastAsia="宋体" w:cs="宋体"/>
                <w:b/>
                <w:strike w:val="0"/>
                <w:dstrike w:val="0"/>
                <w:color w:val="auto"/>
                <w:sz w:val="21"/>
                <w:szCs w:val="21"/>
                <w:highlight w:val="none"/>
              </w:rPr>
              <w:t>必须提供，否则作无效投标处理</w:t>
            </w:r>
            <w:r>
              <w:rPr>
                <w:rFonts w:hint="eastAsia" w:ascii="宋体" w:hAnsi="宋体" w:eastAsia="宋体" w:cs="宋体"/>
                <w:strike w:val="0"/>
                <w:dstrike w:val="0"/>
                <w:color w:val="auto"/>
                <w:sz w:val="21"/>
                <w:szCs w:val="21"/>
                <w:highlight w:val="none"/>
              </w:rPr>
              <w:t>）</w:t>
            </w:r>
            <w:bookmarkEnd w:id="96"/>
            <w:bookmarkEnd w:id="97"/>
          </w:p>
          <w:p w14:paraId="2303E20D">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bookmarkStart w:id="98" w:name="OLE_LINK82"/>
            <w:bookmarkStart w:id="99" w:name="OLE_LINK84"/>
            <w:bookmarkStart w:id="100" w:name="OLE_LINK81"/>
            <w:bookmarkStart w:id="101" w:name="OLE_LINK79"/>
            <w:bookmarkStart w:id="102" w:name="OLE_LINK80"/>
            <w:r>
              <w:rPr>
                <w:rFonts w:hint="eastAsia" w:ascii="宋体" w:hAnsi="宋体" w:eastAsia="宋体" w:cs="宋体"/>
                <w:strike w:val="0"/>
                <w:dstrike w:val="0"/>
                <w:color w:val="auto"/>
                <w:sz w:val="21"/>
                <w:szCs w:val="21"/>
                <w:highlight w:val="none"/>
              </w:rPr>
              <w:t>3.投标人依法缴纳社会保障资金的相关材料[</w:t>
            </w:r>
            <w:r>
              <w:rPr>
                <w:rFonts w:hint="eastAsia" w:ascii="宋体" w:hAnsi="宋体" w:eastAsia="宋体" w:cs="宋体"/>
                <w:strike w:val="0"/>
                <w:dstrike w:val="0"/>
                <w:color w:val="auto"/>
                <w:sz w:val="21"/>
                <w:szCs w:val="21"/>
                <w:highlight w:val="none"/>
                <w:u w:val="single"/>
              </w:rPr>
              <w:t>202</w:t>
            </w:r>
            <w:r>
              <w:rPr>
                <w:rFonts w:hint="eastAsia" w:ascii="宋体" w:hAnsi="宋体" w:eastAsia="宋体" w:cs="宋体"/>
                <w:strike w:val="0"/>
                <w:dstrike w:val="0"/>
                <w:color w:val="auto"/>
                <w:sz w:val="21"/>
                <w:szCs w:val="21"/>
                <w:highlight w:val="none"/>
                <w:u w:val="single"/>
                <w:lang w:val="en-US" w:eastAsia="zh-CN"/>
              </w:rPr>
              <w:t>5</w:t>
            </w:r>
            <w:r>
              <w:rPr>
                <w:rFonts w:hint="eastAsia" w:ascii="宋体" w:hAnsi="宋体" w:eastAsia="宋体" w:cs="宋体"/>
                <w:strike w:val="0"/>
                <w:dstrike w:val="0"/>
                <w:color w:val="auto"/>
                <w:sz w:val="21"/>
                <w:szCs w:val="21"/>
                <w:highlight w:val="none"/>
              </w:rPr>
              <w:t>年</w:t>
            </w:r>
            <w:r>
              <w:rPr>
                <w:rFonts w:hint="eastAsia" w:ascii="宋体" w:hAnsi="宋体" w:cs="宋体"/>
                <w:strike w:val="0"/>
                <w:dstrike w:val="0"/>
                <w:color w:val="auto"/>
                <w:sz w:val="21"/>
                <w:szCs w:val="21"/>
                <w:highlight w:val="none"/>
                <w:u w:val="single"/>
                <w:lang w:val="en-US" w:eastAsia="zh-CN"/>
              </w:rPr>
              <w:t>8</w:t>
            </w:r>
            <w:r>
              <w:rPr>
                <w:rFonts w:hint="eastAsia" w:ascii="宋体" w:hAnsi="宋体" w:eastAsia="宋体" w:cs="宋体"/>
                <w:strike w:val="0"/>
                <w:dstrike w:val="0"/>
                <w:color w:val="auto"/>
                <w:sz w:val="21"/>
                <w:szCs w:val="21"/>
                <w:highlight w:val="none"/>
              </w:rPr>
              <w:t>月至</w:t>
            </w:r>
            <w:r>
              <w:rPr>
                <w:rFonts w:hint="eastAsia" w:ascii="宋体" w:hAnsi="宋体" w:eastAsia="宋体" w:cs="宋体"/>
                <w:strike w:val="0"/>
                <w:dstrike w:val="0"/>
                <w:color w:val="auto"/>
                <w:sz w:val="21"/>
                <w:szCs w:val="21"/>
                <w:highlight w:val="none"/>
                <w:u w:val="single"/>
              </w:rPr>
              <w:t>202</w:t>
            </w:r>
            <w:r>
              <w:rPr>
                <w:rFonts w:hint="eastAsia" w:ascii="宋体" w:hAnsi="宋体" w:cs="宋体"/>
                <w:strike w:val="0"/>
                <w:dstrike w:val="0"/>
                <w:color w:val="auto"/>
                <w:sz w:val="21"/>
                <w:szCs w:val="21"/>
                <w:highlight w:val="none"/>
                <w:u w:val="single"/>
                <w:lang w:val="en-US" w:eastAsia="zh-CN"/>
              </w:rPr>
              <w:t>6</w:t>
            </w:r>
            <w:r>
              <w:rPr>
                <w:rFonts w:hint="eastAsia" w:ascii="宋体" w:hAnsi="宋体" w:eastAsia="宋体" w:cs="宋体"/>
                <w:strike w:val="0"/>
                <w:dstrike w:val="0"/>
                <w:color w:val="auto"/>
                <w:sz w:val="21"/>
                <w:szCs w:val="21"/>
                <w:highlight w:val="none"/>
              </w:rPr>
              <w:t>年</w:t>
            </w:r>
            <w:r>
              <w:rPr>
                <w:rFonts w:hint="eastAsia" w:ascii="宋体" w:hAnsi="宋体" w:eastAsia="宋体" w:cs="宋体"/>
                <w:strike w:val="0"/>
                <w:dstrike w:val="0"/>
                <w:color w:val="auto"/>
                <w:sz w:val="21"/>
                <w:szCs w:val="21"/>
                <w:highlight w:val="none"/>
                <w:u w:val="single"/>
              </w:rPr>
              <w:t xml:space="preserve"> </w:t>
            </w:r>
            <w:r>
              <w:rPr>
                <w:rFonts w:hint="eastAsia" w:ascii="宋体" w:hAnsi="宋体" w:cs="宋体"/>
                <w:strike w:val="0"/>
                <w:dstrike w:val="0"/>
                <w:color w:val="auto"/>
                <w:sz w:val="21"/>
                <w:szCs w:val="21"/>
                <w:highlight w:val="none"/>
                <w:u w:val="single"/>
                <w:lang w:val="en-US" w:eastAsia="zh-CN"/>
              </w:rPr>
              <w:t>1</w:t>
            </w:r>
            <w:r>
              <w:rPr>
                <w:rFonts w:hint="eastAsia" w:ascii="宋体" w:hAnsi="宋体" w:eastAsia="宋体" w:cs="宋体"/>
                <w:strike w:val="0"/>
                <w:dstrike w:val="0"/>
                <w:color w:val="auto"/>
                <w:sz w:val="21"/>
                <w:szCs w:val="21"/>
                <w:highlight w:val="none"/>
                <w:u w:val="single"/>
                <w:lang w:val="en-US" w:eastAsia="zh-CN"/>
              </w:rPr>
              <w:t xml:space="preserve"> </w:t>
            </w:r>
            <w:r>
              <w:rPr>
                <w:rFonts w:hint="eastAsia" w:ascii="宋体" w:hAnsi="宋体" w:eastAsia="宋体" w:cs="宋体"/>
                <w:strike w:val="0"/>
                <w:dstrike w:val="0"/>
                <w:color w:val="auto"/>
                <w:sz w:val="21"/>
                <w:szCs w:val="21"/>
                <w:highlight w:val="none"/>
              </w:rPr>
              <w:t>月内任意连续</w:t>
            </w:r>
            <w:r>
              <w:rPr>
                <w:rFonts w:hint="eastAsia" w:ascii="宋体" w:hAnsi="宋体" w:eastAsia="宋体" w:cs="宋体"/>
                <w:strike w:val="0"/>
                <w:dstrike w:val="0"/>
                <w:color w:val="auto"/>
                <w:sz w:val="21"/>
                <w:szCs w:val="21"/>
                <w:highlight w:val="none"/>
                <w:u w:val="single"/>
              </w:rPr>
              <w:t>3个</w:t>
            </w:r>
            <w:r>
              <w:rPr>
                <w:rFonts w:hint="eastAsia" w:ascii="宋体" w:hAnsi="宋体" w:eastAsia="宋体" w:cs="宋体"/>
                <w:strike w:val="0"/>
                <w:dstrike w:val="0"/>
                <w:color w:val="auto"/>
                <w:sz w:val="21"/>
                <w:szCs w:val="21"/>
                <w:highlight w:val="none"/>
              </w:rPr>
              <w:t>月的</w:t>
            </w:r>
            <w:r>
              <w:rPr>
                <w:rFonts w:hint="eastAsia" w:ascii="宋体" w:hAnsi="宋体" w:eastAsia="宋体" w:cs="宋体"/>
                <w:b/>
                <w:strike w:val="0"/>
                <w:dstrike w:val="0"/>
                <w:color w:val="auto"/>
                <w:sz w:val="21"/>
                <w:szCs w:val="21"/>
                <w:highlight w:val="none"/>
                <w:u w:val="single"/>
              </w:rPr>
              <w:t>依法缴纳社会保障资金的缴费凭证</w:t>
            </w:r>
            <w:r>
              <w:rPr>
                <w:rFonts w:hint="eastAsia" w:ascii="宋体" w:hAnsi="宋体" w:eastAsia="宋体" w:cs="宋体"/>
                <w:strike w:val="0"/>
                <w:dstrike w:val="0"/>
                <w:color w:val="auto"/>
                <w:sz w:val="21"/>
                <w:szCs w:val="21"/>
                <w:highlight w:val="none"/>
              </w:rPr>
              <w:t>（专用收据或者社会保险缴纳清单）复印件；依法不需要缴纳社会保障资金的投标人，必须提供相应文件证明不需要缴纳社会保障资金。从取得营业执照时间起到投标文件提交截止时间为止不足要求月数的只需提供从取得营业执照起的依法缴纳社会保障资金的相应证明文件]；</w:t>
            </w:r>
            <w:bookmarkEnd w:id="98"/>
            <w:bookmarkEnd w:id="99"/>
            <w:bookmarkEnd w:id="100"/>
            <w:r>
              <w:rPr>
                <w:rFonts w:hint="eastAsia" w:ascii="宋体" w:hAnsi="宋体" w:eastAsia="宋体" w:cs="宋体"/>
                <w:strike w:val="0"/>
                <w:dstrike w:val="0"/>
                <w:color w:val="auto"/>
                <w:sz w:val="21"/>
                <w:szCs w:val="21"/>
                <w:highlight w:val="none"/>
              </w:rPr>
              <w:t>（</w:t>
            </w:r>
            <w:r>
              <w:rPr>
                <w:rFonts w:hint="eastAsia" w:ascii="宋体" w:hAnsi="宋体" w:eastAsia="宋体" w:cs="宋体"/>
                <w:b/>
                <w:strike w:val="0"/>
                <w:dstrike w:val="0"/>
                <w:color w:val="auto"/>
                <w:sz w:val="21"/>
                <w:szCs w:val="21"/>
                <w:highlight w:val="none"/>
              </w:rPr>
              <w:t>必须提供，否则作无效投标处理</w:t>
            </w:r>
            <w:r>
              <w:rPr>
                <w:rFonts w:hint="eastAsia" w:ascii="宋体" w:hAnsi="宋体" w:eastAsia="宋体" w:cs="宋体"/>
                <w:strike w:val="0"/>
                <w:dstrike w:val="0"/>
                <w:color w:val="auto"/>
                <w:sz w:val="21"/>
                <w:szCs w:val="21"/>
                <w:highlight w:val="none"/>
              </w:rPr>
              <w:t>）</w:t>
            </w:r>
          </w:p>
          <w:p w14:paraId="6F444744">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bookmarkStart w:id="103" w:name="OLE_LINK85"/>
            <w:bookmarkStart w:id="104" w:name="OLE_LINK86"/>
            <w:r>
              <w:rPr>
                <w:rFonts w:hint="eastAsia" w:ascii="宋体" w:hAnsi="宋体" w:eastAsia="宋体" w:cs="宋体"/>
                <w:strike w:val="0"/>
                <w:dstrike w:val="0"/>
                <w:color w:val="auto"/>
                <w:sz w:val="21"/>
                <w:szCs w:val="21"/>
                <w:highlight w:val="none"/>
              </w:rPr>
              <w:t>4.投标人</w:t>
            </w:r>
            <w:bookmarkStart w:id="105" w:name="OLE_LINK52"/>
            <w:bookmarkStart w:id="106" w:name="OLE_LINK51"/>
            <w:r>
              <w:rPr>
                <w:rFonts w:hint="eastAsia" w:ascii="宋体" w:hAnsi="宋体" w:eastAsia="宋体" w:cs="宋体"/>
                <w:strike w:val="0"/>
                <w:dstrike w:val="0"/>
                <w:color w:val="auto"/>
                <w:sz w:val="21"/>
                <w:szCs w:val="21"/>
                <w:highlight w:val="none"/>
              </w:rPr>
              <w:t>[</w:t>
            </w:r>
            <w:bookmarkEnd w:id="105"/>
            <w:bookmarkEnd w:id="106"/>
            <w:r>
              <w:rPr>
                <w:rFonts w:hint="eastAsia" w:ascii="宋体" w:hAnsi="宋体" w:eastAsia="宋体" w:cs="宋体"/>
                <w:strike w:val="0"/>
                <w:dstrike w:val="0"/>
                <w:color w:val="auto"/>
                <w:sz w:val="21"/>
                <w:szCs w:val="21"/>
                <w:highlight w:val="none"/>
                <w:u w:val="single"/>
                <w:lang w:val="en-US" w:eastAsia="zh-CN"/>
              </w:rPr>
              <w:t>2024年</w:t>
            </w:r>
            <w:r>
              <w:rPr>
                <w:rFonts w:hint="eastAsia" w:ascii="宋体" w:hAnsi="宋体" w:eastAsia="宋体" w:cs="宋体"/>
                <w:strike w:val="0"/>
                <w:dstrike w:val="0"/>
                <w:color w:val="auto"/>
                <w:sz w:val="21"/>
                <w:szCs w:val="21"/>
                <w:highlight w:val="none"/>
                <w:u w:val="single"/>
              </w:rPr>
              <w:t>]</w:t>
            </w:r>
            <w:r>
              <w:rPr>
                <w:rFonts w:hint="eastAsia" w:ascii="宋体" w:hAnsi="宋体" w:eastAsia="宋体" w:cs="宋体"/>
                <w:strike w:val="0"/>
                <w:dstrike w:val="0"/>
                <w:color w:val="auto"/>
                <w:sz w:val="21"/>
                <w:szCs w:val="21"/>
                <w:highlight w:val="none"/>
              </w:rPr>
              <w:t>财务状况报告复印件（成立不满一年的应按提供投标文件提交截止时间上一个月的财务状况报告复印件）或者其银行出具的资信证明（注明有效期的，应在有效期内；未注明有效期的，出具时间至投标截止时间不超过一年）]。（上述财务状况报告包括：</w:t>
            </w:r>
            <w:r>
              <w:rPr>
                <w:rFonts w:hint="eastAsia" w:ascii="宋体" w:hAnsi="宋体" w:eastAsia="宋体" w:cs="宋体"/>
                <w:b/>
                <w:strike w:val="0"/>
                <w:dstrike w:val="0"/>
                <w:color w:val="auto"/>
                <w:sz w:val="21"/>
                <w:szCs w:val="21"/>
                <w:highlight w:val="none"/>
              </w:rPr>
              <w:t>投标人执行《企业会计准则》的，提供资产负债表、利润表、现金流量表、所有者权益变动表及其附注（以下称“四表一注”）；投标人执行《小企业会计准则》的，提供资产负债表、利润表、现金流量表及其附注（以下称“三表一注”）；投标人执行《政府会计制度》的，提供资产负债表、收入费用表和净资产变动表及其附注)</w:t>
            </w:r>
            <w:r>
              <w:rPr>
                <w:rFonts w:hint="eastAsia" w:ascii="宋体" w:hAnsi="宋体" w:eastAsia="宋体" w:cs="宋体"/>
                <w:strike w:val="0"/>
                <w:dstrike w:val="0"/>
                <w:color w:val="auto"/>
                <w:sz w:val="21"/>
                <w:szCs w:val="21"/>
                <w:highlight w:val="none"/>
              </w:rPr>
              <w:t>；</w:t>
            </w:r>
            <w:bookmarkEnd w:id="101"/>
            <w:bookmarkEnd w:id="102"/>
            <w:bookmarkEnd w:id="103"/>
            <w:bookmarkEnd w:id="104"/>
            <w:bookmarkStart w:id="107" w:name="OLE_LINK88"/>
            <w:bookmarkStart w:id="108" w:name="OLE_LINK87"/>
            <w:r>
              <w:rPr>
                <w:rFonts w:hint="eastAsia" w:ascii="宋体" w:hAnsi="宋体" w:eastAsia="宋体" w:cs="宋体"/>
                <w:b/>
                <w:bCs/>
                <w:strike w:val="0"/>
                <w:dstrike w:val="0"/>
                <w:color w:val="auto"/>
                <w:sz w:val="21"/>
                <w:szCs w:val="21"/>
                <w:highlight w:val="none"/>
              </w:rPr>
              <w:t>（</w:t>
            </w:r>
            <w:r>
              <w:rPr>
                <w:rFonts w:hint="eastAsia" w:ascii="宋体" w:hAnsi="宋体" w:eastAsia="宋体" w:cs="宋体"/>
                <w:b/>
                <w:strike w:val="0"/>
                <w:dstrike w:val="0"/>
                <w:color w:val="auto"/>
                <w:sz w:val="21"/>
                <w:szCs w:val="21"/>
                <w:highlight w:val="none"/>
              </w:rPr>
              <w:t>必须提供，否则作无效投标处理</w:t>
            </w:r>
            <w:r>
              <w:rPr>
                <w:rFonts w:hint="eastAsia" w:ascii="宋体" w:hAnsi="宋体" w:eastAsia="宋体" w:cs="宋体"/>
                <w:strike w:val="0"/>
                <w:dstrike w:val="0"/>
                <w:color w:val="auto"/>
                <w:sz w:val="21"/>
                <w:szCs w:val="21"/>
                <w:highlight w:val="none"/>
              </w:rPr>
              <w:t>）</w:t>
            </w:r>
          </w:p>
          <w:bookmarkEnd w:id="107"/>
          <w:bookmarkEnd w:id="108"/>
          <w:p w14:paraId="7DE57F94">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bookmarkStart w:id="109" w:name="OLE_LINK93"/>
            <w:bookmarkStart w:id="110" w:name="OLE_LINK94"/>
            <w:r>
              <w:rPr>
                <w:rFonts w:hint="eastAsia" w:ascii="宋体" w:hAnsi="宋体" w:eastAsia="宋体" w:cs="宋体"/>
                <w:strike w:val="0"/>
                <w:dstrike w:val="0"/>
                <w:color w:val="auto"/>
                <w:sz w:val="21"/>
                <w:szCs w:val="21"/>
                <w:highlight w:val="none"/>
              </w:rPr>
              <w:t>5.投标人直接控股股东信息表、投标人直接管理关系信息表（格式后附）；</w:t>
            </w:r>
            <w:bookmarkEnd w:id="109"/>
            <w:bookmarkEnd w:id="110"/>
            <w:r>
              <w:rPr>
                <w:rFonts w:hint="eastAsia" w:ascii="宋体" w:hAnsi="宋体" w:eastAsia="宋体" w:cs="宋体"/>
                <w:strike w:val="0"/>
                <w:dstrike w:val="0"/>
                <w:color w:val="auto"/>
                <w:sz w:val="21"/>
                <w:szCs w:val="21"/>
                <w:highlight w:val="none"/>
              </w:rPr>
              <w:t>（</w:t>
            </w:r>
            <w:r>
              <w:rPr>
                <w:rFonts w:hint="eastAsia" w:ascii="宋体" w:hAnsi="宋体" w:eastAsia="宋体" w:cs="宋体"/>
                <w:b/>
                <w:strike w:val="0"/>
                <w:dstrike w:val="0"/>
                <w:color w:val="auto"/>
                <w:sz w:val="21"/>
                <w:szCs w:val="21"/>
                <w:highlight w:val="none"/>
              </w:rPr>
              <w:t>必须提供，否则作无效投标处理</w:t>
            </w:r>
            <w:r>
              <w:rPr>
                <w:rFonts w:hint="eastAsia" w:ascii="宋体" w:hAnsi="宋体" w:eastAsia="宋体" w:cs="宋体"/>
                <w:strike w:val="0"/>
                <w:dstrike w:val="0"/>
                <w:color w:val="auto"/>
                <w:sz w:val="21"/>
                <w:szCs w:val="21"/>
                <w:highlight w:val="none"/>
              </w:rPr>
              <w:t>）</w:t>
            </w:r>
          </w:p>
          <w:p w14:paraId="6576F244">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bookmarkStart w:id="111" w:name="OLE_LINK92"/>
            <w:bookmarkStart w:id="112" w:name="OLE_LINK89"/>
            <w:r>
              <w:rPr>
                <w:rFonts w:hint="eastAsia" w:ascii="宋体" w:hAnsi="宋体" w:eastAsia="宋体" w:cs="宋体"/>
                <w:strike w:val="0"/>
                <w:dstrike w:val="0"/>
                <w:color w:val="auto"/>
                <w:sz w:val="21"/>
                <w:szCs w:val="21"/>
                <w:highlight w:val="none"/>
              </w:rPr>
              <w:t>6.投标资格声明函（格式后附）</w:t>
            </w:r>
            <w:bookmarkEnd w:id="111"/>
            <w:bookmarkEnd w:id="112"/>
            <w:r>
              <w:rPr>
                <w:rFonts w:hint="eastAsia" w:ascii="宋体" w:hAnsi="宋体" w:eastAsia="宋体" w:cs="宋体"/>
                <w:strike w:val="0"/>
                <w:dstrike w:val="0"/>
                <w:color w:val="auto"/>
                <w:sz w:val="21"/>
                <w:szCs w:val="21"/>
                <w:highlight w:val="none"/>
              </w:rPr>
              <w:t>；</w:t>
            </w:r>
            <w:r>
              <w:rPr>
                <w:rFonts w:hint="eastAsia" w:ascii="宋体" w:hAnsi="宋体" w:eastAsia="宋体" w:cs="宋体"/>
                <w:b/>
                <w:bCs/>
                <w:strike w:val="0"/>
                <w:dstrike w:val="0"/>
                <w:color w:val="auto"/>
                <w:sz w:val="21"/>
                <w:szCs w:val="21"/>
                <w:highlight w:val="none"/>
              </w:rPr>
              <w:t>（必须提供，否则作无效投标处理）</w:t>
            </w:r>
          </w:p>
          <w:p w14:paraId="5972C5E1">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bookmarkStart w:id="113" w:name="OLE_LINK96"/>
            <w:bookmarkStart w:id="114" w:name="OLE_LINK95"/>
            <w:r>
              <w:rPr>
                <w:rFonts w:hint="eastAsia" w:ascii="宋体" w:hAnsi="宋体" w:eastAsia="宋体" w:cs="宋体"/>
                <w:strike w:val="0"/>
                <w:dstrike w:val="0"/>
                <w:color w:val="auto"/>
                <w:sz w:val="21"/>
                <w:szCs w:val="21"/>
                <w:highlight w:val="none"/>
              </w:rPr>
              <w:t>7.联合体协议书（格式后附）；</w:t>
            </w:r>
            <w:bookmarkStart w:id="115" w:name="OLE_LINK98"/>
            <w:bookmarkStart w:id="116" w:name="OLE_LINK97"/>
            <w:r>
              <w:rPr>
                <w:rFonts w:hint="eastAsia" w:ascii="宋体" w:hAnsi="宋体" w:eastAsia="宋体" w:cs="宋体"/>
                <w:strike w:val="0"/>
                <w:dstrike w:val="0"/>
                <w:color w:val="auto"/>
                <w:sz w:val="21"/>
                <w:szCs w:val="21"/>
                <w:highlight w:val="none"/>
              </w:rPr>
              <w:t>（</w:t>
            </w:r>
            <w:bookmarkEnd w:id="113"/>
            <w:bookmarkEnd w:id="114"/>
            <w:r>
              <w:rPr>
                <w:rFonts w:hint="eastAsia" w:ascii="宋体" w:hAnsi="宋体" w:eastAsia="宋体" w:cs="宋体"/>
                <w:b/>
                <w:strike w:val="0"/>
                <w:dstrike w:val="0"/>
                <w:color w:val="auto"/>
                <w:sz w:val="21"/>
                <w:szCs w:val="21"/>
                <w:highlight w:val="none"/>
              </w:rPr>
              <w:t>联合体投标时必须提供，否则按无效投标处理</w:t>
            </w:r>
            <w:r>
              <w:rPr>
                <w:rFonts w:hint="eastAsia" w:ascii="宋体" w:hAnsi="宋体" w:eastAsia="宋体" w:cs="宋体"/>
                <w:strike w:val="0"/>
                <w:dstrike w:val="0"/>
                <w:color w:val="auto"/>
                <w:sz w:val="21"/>
                <w:szCs w:val="21"/>
                <w:highlight w:val="none"/>
              </w:rPr>
              <w:t>）</w:t>
            </w:r>
            <w:bookmarkEnd w:id="115"/>
            <w:bookmarkEnd w:id="116"/>
          </w:p>
          <w:p w14:paraId="375BAA66">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b w:val="0"/>
                <w:bCs w:val="0"/>
                <w:strike w:val="0"/>
                <w:dstrike w:val="0"/>
                <w:color w:val="auto"/>
                <w:sz w:val="21"/>
                <w:szCs w:val="21"/>
                <w:highlight w:val="none"/>
                <w:lang w:val="en-US" w:eastAsia="zh-CN"/>
              </w:rPr>
            </w:pPr>
            <w:bookmarkStart w:id="117" w:name="OLE_LINK99"/>
            <w:bookmarkStart w:id="118" w:name="OLE_LINK100"/>
            <w:r>
              <w:rPr>
                <w:rFonts w:hint="eastAsia" w:ascii="宋体" w:hAnsi="宋体" w:eastAsia="宋体" w:cs="宋体"/>
                <w:strike w:val="0"/>
                <w:dstrike w:val="0"/>
                <w:color w:val="auto"/>
                <w:sz w:val="21"/>
                <w:szCs w:val="21"/>
                <w:highlight w:val="none"/>
                <w:lang w:val="en-US" w:eastAsia="zh-CN"/>
              </w:rPr>
              <w:t>8.本项目的特定资格要求：</w:t>
            </w:r>
            <w:r>
              <w:rPr>
                <w:rFonts w:hint="eastAsia" w:ascii="宋体" w:hAnsi="宋体" w:eastAsia="宋体" w:cs="宋体"/>
                <w:strike w:val="0"/>
                <w:dstrike w:val="0"/>
                <w:color w:val="auto"/>
                <w:sz w:val="21"/>
                <w:szCs w:val="21"/>
                <w:highlight w:val="none"/>
              </w:rPr>
              <w:t>投标人须取得有效的检验检测机构资质认定证书（CMA）。联合体投标时，联合体各方中至少有一方必须符合招标文件规定的特定资格文件且接受最多三个投标人组成一个投标联合体参与投标，联合体各方中承担分析检测任务的单位必须具有CMA资质</w:t>
            </w:r>
            <w:r>
              <w:rPr>
                <w:rFonts w:hint="eastAsia" w:ascii="宋体" w:hAnsi="宋体" w:eastAsia="宋体" w:cs="宋体"/>
                <w:b w:val="0"/>
                <w:bCs w:val="0"/>
                <w:strike w:val="0"/>
                <w:dstrike w:val="0"/>
                <w:color w:val="auto"/>
                <w:sz w:val="21"/>
                <w:szCs w:val="21"/>
                <w:highlight w:val="none"/>
                <w:lang w:val="en-US" w:eastAsia="zh-CN"/>
              </w:rPr>
              <w:t>；</w:t>
            </w:r>
            <w:r>
              <w:rPr>
                <w:rFonts w:hint="eastAsia" w:ascii="宋体" w:hAnsi="宋体" w:eastAsia="宋体" w:cs="宋体"/>
                <w:b/>
                <w:bCs/>
                <w:strike w:val="0"/>
                <w:dstrike w:val="0"/>
                <w:color w:val="auto"/>
                <w:sz w:val="21"/>
                <w:szCs w:val="21"/>
                <w:highlight w:val="none"/>
              </w:rPr>
              <w:t>（必须提供，否则作无效投标处理）</w:t>
            </w:r>
          </w:p>
          <w:p w14:paraId="1AAC4E8F">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b/>
                <w:bCs/>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9</w:t>
            </w:r>
            <w:r>
              <w:rPr>
                <w:rFonts w:hint="eastAsia" w:ascii="宋体" w:hAnsi="宋体" w:eastAsia="宋体" w:cs="宋体"/>
                <w:strike w:val="0"/>
                <w:dstrike w:val="0"/>
                <w:color w:val="auto"/>
                <w:sz w:val="21"/>
                <w:szCs w:val="21"/>
                <w:highlight w:val="none"/>
              </w:rPr>
              <w:t>.</w:t>
            </w:r>
            <w:bookmarkEnd w:id="117"/>
            <w:bookmarkEnd w:id="118"/>
            <w:r>
              <w:rPr>
                <w:rFonts w:hint="eastAsia" w:ascii="宋体" w:hAnsi="宋体" w:eastAsia="宋体" w:cs="宋体"/>
                <w:b w:val="0"/>
                <w:bCs w:val="0"/>
                <w:strike w:val="0"/>
                <w:dstrike w:val="0"/>
                <w:color w:val="auto"/>
                <w:sz w:val="21"/>
                <w:szCs w:val="21"/>
                <w:highlight w:val="none"/>
                <w:lang w:val="en-US" w:eastAsia="zh-CN"/>
              </w:rPr>
              <w:t>除招标文件规定必须提供以外，投标人认为需要提供的其他证明材料。</w:t>
            </w:r>
          </w:p>
          <w:p w14:paraId="1D0CFC41">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b/>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rPr>
              <w:t>注：1.以上标明“必须提供”的材料属于复印件</w:t>
            </w:r>
            <w:r>
              <w:rPr>
                <w:rFonts w:hint="eastAsia" w:ascii="宋体" w:hAnsi="宋体" w:eastAsia="宋体" w:cs="宋体"/>
                <w:b/>
                <w:bCs/>
                <w:strike w:val="0"/>
                <w:dstrike w:val="0"/>
                <w:color w:val="auto"/>
                <w:sz w:val="21"/>
                <w:szCs w:val="21"/>
                <w:highlight w:val="none"/>
                <w:lang w:val="en-US" w:eastAsia="zh-CN"/>
              </w:rPr>
              <w:t>和扫描件</w:t>
            </w:r>
            <w:r>
              <w:rPr>
                <w:rFonts w:hint="eastAsia" w:ascii="宋体" w:hAnsi="宋体" w:eastAsia="宋体" w:cs="宋体"/>
                <w:b/>
                <w:bCs/>
                <w:strike w:val="0"/>
                <w:dstrike w:val="0"/>
                <w:color w:val="auto"/>
                <w:sz w:val="21"/>
                <w:szCs w:val="21"/>
                <w:highlight w:val="none"/>
              </w:rPr>
              <w:t>的，</w:t>
            </w:r>
            <w:r>
              <w:rPr>
                <w:rFonts w:hint="eastAsia" w:ascii="宋体" w:hAnsi="宋体" w:eastAsia="宋体" w:cs="宋体"/>
                <w:b/>
                <w:strike w:val="0"/>
                <w:dstrike w:val="0"/>
                <w:color w:val="auto"/>
                <w:sz w:val="21"/>
                <w:szCs w:val="21"/>
                <w:highlight w:val="none"/>
              </w:rPr>
              <w:t>必须加盖投标人公章（或电子签章）</w:t>
            </w:r>
            <w:r>
              <w:rPr>
                <w:rFonts w:hint="eastAsia" w:ascii="宋体" w:hAnsi="宋体" w:eastAsia="宋体" w:cs="宋体"/>
                <w:b/>
                <w:bCs/>
                <w:strike w:val="0"/>
                <w:dstrike w:val="0"/>
                <w:color w:val="auto"/>
                <w:sz w:val="21"/>
                <w:szCs w:val="21"/>
                <w:highlight w:val="none"/>
              </w:rPr>
              <w:t>，否则按无效投标</w:t>
            </w:r>
            <w:r>
              <w:rPr>
                <w:rFonts w:hint="eastAsia" w:ascii="宋体" w:hAnsi="宋体" w:eastAsia="宋体" w:cs="宋体"/>
                <w:b/>
                <w:strike w:val="0"/>
                <w:dstrike w:val="0"/>
                <w:color w:val="auto"/>
                <w:sz w:val="21"/>
                <w:szCs w:val="21"/>
                <w:highlight w:val="none"/>
              </w:rPr>
              <w:t>处理。</w:t>
            </w:r>
          </w:p>
          <w:p w14:paraId="3AD42093">
            <w:pPr>
              <w:pStyle w:val="21"/>
              <w:keepNext w:val="0"/>
              <w:keepLines w:val="0"/>
              <w:pageBreakBefore w:val="0"/>
              <w:widowControl w:val="0"/>
              <w:kinsoku/>
              <w:wordWrap w:val="0"/>
              <w:overflowPunct/>
              <w:topLinePunct w:val="0"/>
              <w:bidi w:val="0"/>
              <w:adjustRightInd/>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rPr>
              <w:t>2.联合体投标时，第1-5项资格证明文件联合体各方均必须分别提供，</w:t>
            </w:r>
            <w:r>
              <w:rPr>
                <w:rFonts w:hint="eastAsia" w:ascii="宋体" w:hAnsi="宋体" w:eastAsia="宋体" w:cs="宋体"/>
                <w:b/>
                <w:bCs/>
                <w:color w:val="auto"/>
                <w:kern w:val="2"/>
                <w:sz w:val="21"/>
                <w:szCs w:val="21"/>
                <w:highlight w:val="none"/>
              </w:rPr>
              <w:t>并由联合体牵头人加盖电子签章，规定签字处签字（或者电子签名），否则按无效投标处理。</w:t>
            </w:r>
          </w:p>
        </w:tc>
      </w:tr>
      <w:tr w14:paraId="230568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0A9D6BE9">
            <w:pPr>
              <w:keepNext w:val="0"/>
              <w:keepLines w:val="0"/>
              <w:pageBreakBefore w:val="0"/>
              <w:widowControl w:val="0"/>
              <w:kinsoku/>
              <w:wordWrap w:val="0"/>
              <w:overflowPunct/>
              <w:topLinePunct w:val="0"/>
              <w:bidi w:val="0"/>
              <w:adjustRightInd/>
              <w:spacing w:line="400" w:lineRule="exact"/>
              <w:rPr>
                <w:rFonts w:hint="eastAsia" w:ascii="宋体" w:hAnsi="宋体" w:eastAsia="宋体" w:cs="宋体"/>
                <w:strike w:val="0"/>
                <w:dstrike w:val="0"/>
                <w:color w:val="auto"/>
                <w:sz w:val="21"/>
                <w:szCs w:val="21"/>
                <w:highlight w:val="none"/>
              </w:rPr>
            </w:pPr>
            <w:bookmarkStart w:id="119" w:name="_13.3"/>
            <w:bookmarkEnd w:id="119"/>
          </w:p>
        </w:tc>
        <w:tc>
          <w:tcPr>
            <w:tcW w:w="8009" w:type="dxa"/>
            <w:tcBorders>
              <w:top w:val="single" w:color="auto" w:sz="4" w:space="0"/>
              <w:left w:val="single" w:color="auto" w:sz="4" w:space="0"/>
              <w:bottom w:val="single" w:color="auto" w:sz="4" w:space="0"/>
              <w:right w:val="single" w:color="auto" w:sz="4" w:space="0"/>
            </w:tcBorders>
            <w:vAlign w:val="center"/>
          </w:tcPr>
          <w:p w14:paraId="2F859222">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b/>
                <w:strike w:val="0"/>
                <w:dstrike w:val="0"/>
                <w:color w:val="auto"/>
                <w:sz w:val="21"/>
                <w:szCs w:val="21"/>
                <w:highlight w:val="none"/>
              </w:rPr>
            </w:pPr>
            <w:bookmarkStart w:id="120" w:name="OLE_LINK7"/>
            <w:bookmarkStart w:id="121" w:name="OLE_LINK6"/>
            <w:r>
              <w:rPr>
                <w:rFonts w:hint="eastAsia" w:ascii="宋体" w:hAnsi="宋体" w:eastAsia="宋体" w:cs="宋体"/>
                <w:b/>
                <w:strike w:val="0"/>
                <w:dstrike w:val="0"/>
                <w:color w:val="auto"/>
                <w:sz w:val="21"/>
                <w:szCs w:val="21"/>
                <w:highlight w:val="none"/>
              </w:rPr>
              <w:t>商务文件</w:t>
            </w:r>
            <w:bookmarkEnd w:id="120"/>
            <w:bookmarkEnd w:id="121"/>
            <w:r>
              <w:rPr>
                <w:rFonts w:hint="eastAsia" w:ascii="宋体" w:hAnsi="宋体" w:eastAsia="宋体" w:cs="宋体"/>
                <w:b/>
                <w:strike w:val="0"/>
                <w:dstrike w:val="0"/>
                <w:color w:val="auto"/>
                <w:sz w:val="21"/>
                <w:szCs w:val="21"/>
                <w:highlight w:val="none"/>
              </w:rPr>
              <w:t>：</w:t>
            </w:r>
          </w:p>
          <w:p w14:paraId="0A141267">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1.无串通投标行为的承诺函（格式后附）；</w:t>
            </w:r>
            <w:r>
              <w:rPr>
                <w:rFonts w:hint="eastAsia" w:ascii="宋体" w:hAnsi="宋体" w:eastAsia="宋体" w:cs="宋体"/>
                <w:b/>
                <w:bCs/>
                <w:strike w:val="0"/>
                <w:dstrike w:val="0"/>
                <w:color w:val="auto"/>
                <w:sz w:val="21"/>
                <w:szCs w:val="21"/>
                <w:highlight w:val="none"/>
              </w:rPr>
              <w:t>（必须提供，否则作无效投标处理）</w:t>
            </w:r>
          </w:p>
          <w:p w14:paraId="1442E95E">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bookmarkStart w:id="122" w:name="OLE_LINK111"/>
            <w:bookmarkStart w:id="123" w:name="OLE_LINK112"/>
            <w:r>
              <w:rPr>
                <w:rFonts w:hint="eastAsia" w:ascii="宋体" w:hAnsi="宋体" w:eastAsia="宋体" w:cs="宋体"/>
                <w:strike w:val="0"/>
                <w:dstrike w:val="0"/>
                <w:color w:val="auto"/>
                <w:sz w:val="21"/>
                <w:szCs w:val="21"/>
                <w:highlight w:val="none"/>
              </w:rPr>
              <w:t>2.投标保证金</w:t>
            </w:r>
            <w:r>
              <w:rPr>
                <w:rFonts w:hint="eastAsia" w:ascii="宋体" w:hAnsi="宋体" w:eastAsia="宋体" w:cs="宋体"/>
                <w:strike w:val="0"/>
                <w:dstrike w:val="0"/>
                <w:color w:val="auto"/>
                <w:sz w:val="21"/>
                <w:szCs w:val="21"/>
                <w:highlight w:val="none"/>
                <w:lang w:val="en-US" w:eastAsia="zh-CN"/>
              </w:rPr>
              <w:t>交纳</w:t>
            </w:r>
            <w:r>
              <w:rPr>
                <w:rFonts w:hint="eastAsia" w:ascii="宋体" w:hAnsi="宋体" w:eastAsia="宋体" w:cs="宋体"/>
                <w:strike w:val="0"/>
                <w:dstrike w:val="0"/>
                <w:color w:val="auto"/>
                <w:sz w:val="21"/>
                <w:szCs w:val="21"/>
                <w:highlight w:val="none"/>
              </w:rPr>
              <w:t>凭证；</w:t>
            </w:r>
            <w:bookmarkEnd w:id="122"/>
            <w:bookmarkEnd w:id="123"/>
            <w:r>
              <w:rPr>
                <w:rFonts w:hint="eastAsia" w:ascii="宋体" w:hAnsi="宋体" w:eastAsia="宋体" w:cs="宋体"/>
                <w:b/>
                <w:strike w:val="0"/>
                <w:dstrike w:val="0"/>
                <w:color w:val="auto"/>
                <w:sz w:val="21"/>
                <w:szCs w:val="21"/>
                <w:highlight w:val="none"/>
              </w:rPr>
              <w:t>（按照公告要求提供，否则作无效投标处理）</w:t>
            </w:r>
          </w:p>
          <w:p w14:paraId="4681CFAD">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bookmarkStart w:id="124" w:name="OLE_LINK113"/>
            <w:bookmarkStart w:id="125" w:name="OLE_LINK114"/>
            <w:r>
              <w:rPr>
                <w:rFonts w:hint="eastAsia" w:ascii="宋体" w:hAnsi="宋体" w:eastAsia="宋体" w:cs="宋体"/>
                <w:strike w:val="0"/>
                <w:dstrike w:val="0"/>
                <w:color w:val="auto"/>
                <w:sz w:val="21"/>
                <w:szCs w:val="21"/>
                <w:highlight w:val="none"/>
              </w:rPr>
              <w:t>3.法定代表人身份证明及法定代表人有效身份证正反面复印件（格式后附）；</w:t>
            </w:r>
            <w:bookmarkEnd w:id="124"/>
            <w:bookmarkEnd w:id="125"/>
            <w:bookmarkStart w:id="126" w:name="OLE_LINK115"/>
            <w:bookmarkStart w:id="127" w:name="OLE_LINK116"/>
            <w:r>
              <w:rPr>
                <w:rFonts w:hint="eastAsia" w:ascii="宋体" w:hAnsi="宋体" w:eastAsia="宋体" w:cs="宋体"/>
                <w:b/>
                <w:bCs/>
                <w:strike w:val="0"/>
                <w:dstrike w:val="0"/>
                <w:color w:val="auto"/>
                <w:sz w:val="21"/>
                <w:szCs w:val="21"/>
                <w:highlight w:val="none"/>
              </w:rPr>
              <w:t>（除自然人投标外必须提供，否则作无效投标处理）</w:t>
            </w:r>
            <w:bookmarkEnd w:id="126"/>
            <w:bookmarkEnd w:id="127"/>
          </w:p>
          <w:p w14:paraId="0D134BF5">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bookmarkStart w:id="128" w:name="OLE_LINK117"/>
            <w:bookmarkStart w:id="129" w:name="OLE_LINK118"/>
            <w:r>
              <w:rPr>
                <w:rFonts w:hint="eastAsia" w:ascii="宋体" w:hAnsi="宋体" w:eastAsia="宋体" w:cs="宋体"/>
                <w:strike w:val="0"/>
                <w:dstrike w:val="0"/>
                <w:color w:val="auto"/>
                <w:sz w:val="21"/>
                <w:szCs w:val="21"/>
                <w:highlight w:val="none"/>
              </w:rPr>
              <w:t>4.法定代表人授权委托书及委托代理人有效身份证正反面复印件（格式后附）；</w:t>
            </w:r>
            <w:bookmarkStart w:id="130" w:name="OLE_LINK119"/>
            <w:bookmarkStart w:id="131" w:name="OLE_LINK120"/>
            <w:r>
              <w:rPr>
                <w:rFonts w:hint="eastAsia" w:ascii="宋体" w:hAnsi="宋体" w:eastAsia="宋体" w:cs="宋体"/>
                <w:b/>
                <w:bCs/>
                <w:strike w:val="0"/>
                <w:dstrike w:val="0"/>
                <w:color w:val="auto"/>
                <w:sz w:val="21"/>
                <w:szCs w:val="21"/>
                <w:highlight w:val="none"/>
              </w:rPr>
              <w:t>（</w:t>
            </w:r>
            <w:bookmarkEnd w:id="128"/>
            <w:bookmarkEnd w:id="129"/>
            <w:r>
              <w:rPr>
                <w:rFonts w:hint="eastAsia" w:ascii="宋体" w:hAnsi="宋体" w:eastAsia="宋体" w:cs="宋体"/>
                <w:b/>
                <w:bCs/>
                <w:strike w:val="0"/>
                <w:dstrike w:val="0"/>
                <w:color w:val="auto"/>
                <w:sz w:val="21"/>
                <w:szCs w:val="21"/>
                <w:highlight w:val="none"/>
              </w:rPr>
              <w:t>委托时必须提供，否则作无效投标处理）</w:t>
            </w:r>
            <w:bookmarkEnd w:id="130"/>
            <w:bookmarkEnd w:id="131"/>
          </w:p>
          <w:p w14:paraId="500E1716">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bookmarkStart w:id="132" w:name="OLE_LINK122"/>
            <w:bookmarkStart w:id="133" w:name="OLE_LINK121"/>
            <w:r>
              <w:rPr>
                <w:rFonts w:hint="eastAsia" w:ascii="宋体" w:hAnsi="宋体" w:eastAsia="宋体" w:cs="宋体"/>
                <w:strike w:val="0"/>
                <w:dstrike w:val="0"/>
                <w:color w:val="auto"/>
                <w:sz w:val="21"/>
                <w:szCs w:val="21"/>
                <w:highlight w:val="none"/>
              </w:rPr>
              <w:t>5.商务条款偏离表（格式后附）；</w:t>
            </w:r>
            <w:bookmarkEnd w:id="132"/>
            <w:bookmarkEnd w:id="133"/>
            <w:bookmarkStart w:id="134" w:name="OLE_LINK123"/>
            <w:bookmarkStart w:id="135" w:name="OLE_LINK124"/>
            <w:r>
              <w:rPr>
                <w:rFonts w:hint="eastAsia" w:ascii="宋体" w:hAnsi="宋体" w:eastAsia="宋体" w:cs="宋体"/>
                <w:strike w:val="0"/>
                <w:dstrike w:val="0"/>
                <w:color w:val="auto"/>
                <w:sz w:val="21"/>
                <w:szCs w:val="21"/>
                <w:highlight w:val="none"/>
              </w:rPr>
              <w:t>（</w:t>
            </w:r>
            <w:r>
              <w:rPr>
                <w:rFonts w:hint="eastAsia" w:ascii="宋体" w:hAnsi="宋体" w:eastAsia="宋体" w:cs="宋体"/>
                <w:b/>
                <w:strike w:val="0"/>
                <w:dstrike w:val="0"/>
                <w:color w:val="auto"/>
                <w:sz w:val="21"/>
                <w:szCs w:val="21"/>
                <w:highlight w:val="none"/>
              </w:rPr>
              <w:t>必须提供，否则作无效投标处理</w:t>
            </w:r>
            <w:r>
              <w:rPr>
                <w:rFonts w:hint="eastAsia" w:ascii="宋体" w:hAnsi="宋体" w:eastAsia="宋体" w:cs="宋体"/>
                <w:strike w:val="0"/>
                <w:dstrike w:val="0"/>
                <w:color w:val="auto"/>
                <w:sz w:val="21"/>
                <w:szCs w:val="21"/>
                <w:highlight w:val="none"/>
              </w:rPr>
              <w:t>）</w:t>
            </w:r>
            <w:bookmarkEnd w:id="134"/>
            <w:bookmarkEnd w:id="135"/>
          </w:p>
          <w:p w14:paraId="7332A13D">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bookmarkStart w:id="136" w:name="OLE_LINK125"/>
            <w:bookmarkStart w:id="137" w:name="OLE_LINK126"/>
            <w:r>
              <w:rPr>
                <w:rFonts w:hint="eastAsia" w:ascii="宋体" w:hAnsi="宋体" w:eastAsia="宋体" w:cs="宋体"/>
                <w:strike w:val="0"/>
                <w:dstrike w:val="0"/>
                <w:color w:val="auto"/>
                <w:sz w:val="21"/>
                <w:szCs w:val="21"/>
                <w:highlight w:val="none"/>
              </w:rPr>
              <w:t>6.项目服务承诺（格式自拟）；</w:t>
            </w:r>
            <w:bookmarkEnd w:id="136"/>
            <w:bookmarkEnd w:id="137"/>
            <w:bookmarkStart w:id="138" w:name="OLE_LINK128"/>
            <w:bookmarkStart w:id="139" w:name="OLE_LINK127"/>
            <w:r>
              <w:rPr>
                <w:rFonts w:hint="eastAsia" w:ascii="宋体" w:hAnsi="宋体" w:eastAsia="宋体" w:cs="宋体"/>
                <w:strike w:val="0"/>
                <w:dstrike w:val="0"/>
                <w:color w:val="auto"/>
                <w:sz w:val="21"/>
                <w:szCs w:val="21"/>
                <w:highlight w:val="none"/>
              </w:rPr>
              <w:t>（</w:t>
            </w:r>
            <w:r>
              <w:rPr>
                <w:rFonts w:hint="eastAsia" w:ascii="宋体" w:hAnsi="宋体" w:eastAsia="宋体" w:cs="宋体"/>
                <w:b/>
                <w:strike w:val="0"/>
                <w:dstrike w:val="0"/>
                <w:color w:val="auto"/>
                <w:sz w:val="21"/>
                <w:szCs w:val="21"/>
                <w:highlight w:val="none"/>
              </w:rPr>
              <w:t>必须提供，否则作无效投标处理</w:t>
            </w:r>
            <w:r>
              <w:rPr>
                <w:rFonts w:hint="eastAsia" w:ascii="宋体" w:hAnsi="宋体" w:eastAsia="宋体" w:cs="宋体"/>
                <w:strike w:val="0"/>
                <w:dstrike w:val="0"/>
                <w:color w:val="auto"/>
                <w:sz w:val="21"/>
                <w:szCs w:val="21"/>
                <w:highlight w:val="none"/>
              </w:rPr>
              <w:t>）</w:t>
            </w:r>
            <w:bookmarkEnd w:id="138"/>
            <w:bookmarkEnd w:id="139"/>
          </w:p>
          <w:p w14:paraId="651C39E9">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bookmarkStart w:id="140" w:name="OLE_LINK129"/>
            <w:bookmarkStart w:id="141" w:name="OLE_LINK130"/>
            <w:r>
              <w:rPr>
                <w:rFonts w:hint="eastAsia" w:ascii="宋体" w:hAnsi="宋体" w:eastAsia="宋体" w:cs="宋体"/>
                <w:strike w:val="0"/>
                <w:dstrike w:val="0"/>
                <w:color w:val="auto"/>
                <w:sz w:val="21"/>
                <w:szCs w:val="21"/>
                <w:highlight w:val="none"/>
              </w:rPr>
              <w:t>7.投标人情况介绍（格式自拟）；</w:t>
            </w:r>
          </w:p>
          <w:bookmarkEnd w:id="140"/>
          <w:bookmarkEnd w:id="141"/>
          <w:p w14:paraId="30E5EB3A">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bookmarkStart w:id="142" w:name="OLE_LINK132"/>
            <w:bookmarkStart w:id="143" w:name="OLE_LINK131"/>
            <w:r>
              <w:rPr>
                <w:rFonts w:hint="eastAsia" w:ascii="宋体" w:hAnsi="宋体" w:eastAsia="宋体" w:cs="宋体"/>
                <w:strike w:val="0"/>
                <w:dstrike w:val="0"/>
                <w:color w:val="auto"/>
                <w:sz w:val="21"/>
                <w:szCs w:val="21"/>
                <w:highlight w:val="none"/>
              </w:rPr>
              <w:t>8.</w:t>
            </w:r>
            <w:bookmarkEnd w:id="142"/>
            <w:bookmarkEnd w:id="143"/>
            <w:r>
              <w:rPr>
                <w:rFonts w:hint="eastAsia" w:ascii="宋体" w:hAnsi="宋体" w:eastAsia="宋体" w:cs="宋体"/>
                <w:strike w:val="0"/>
                <w:dstrike w:val="0"/>
                <w:color w:val="auto"/>
                <w:sz w:val="21"/>
                <w:szCs w:val="21"/>
                <w:highlight w:val="none"/>
              </w:rPr>
              <w:t>除招标文件规定必须提供以外，投标人认为需要提供的其他证明材料（格式自拟）。（投标人根据“第二章采购需求”及“第四章评标方法及评标标准”提供有关证明材料）。</w:t>
            </w:r>
          </w:p>
          <w:p w14:paraId="7C896C14">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b/>
                <w:bCs/>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rPr>
              <w:t>注：1.法定代表人授权委托书必须由法定代表人及委托代理人签字</w:t>
            </w:r>
            <w:r>
              <w:rPr>
                <w:rFonts w:hint="eastAsia" w:ascii="宋体" w:hAnsi="宋体" w:eastAsia="宋体" w:cs="宋体"/>
                <w:b/>
                <w:bCs/>
                <w:strike w:val="0"/>
                <w:dstrike w:val="0"/>
                <w:color w:val="auto"/>
                <w:sz w:val="21"/>
                <w:szCs w:val="21"/>
                <w:highlight w:val="none"/>
                <w:lang w:eastAsia="zh-CN"/>
              </w:rPr>
              <w:t>（</w:t>
            </w:r>
            <w:r>
              <w:rPr>
                <w:rFonts w:hint="eastAsia" w:ascii="宋体" w:hAnsi="宋体" w:eastAsia="宋体" w:cs="宋体"/>
                <w:b/>
                <w:bCs/>
                <w:strike w:val="0"/>
                <w:dstrike w:val="0"/>
                <w:color w:val="auto"/>
                <w:sz w:val="21"/>
                <w:szCs w:val="21"/>
                <w:highlight w:val="none"/>
                <w:lang w:val="en-US" w:eastAsia="zh-CN"/>
              </w:rPr>
              <w:t>或电子签名</w:t>
            </w:r>
            <w:r>
              <w:rPr>
                <w:rFonts w:hint="eastAsia" w:ascii="宋体" w:hAnsi="宋体" w:eastAsia="宋体" w:cs="宋体"/>
                <w:b/>
                <w:bCs/>
                <w:strike w:val="0"/>
                <w:dstrike w:val="0"/>
                <w:color w:val="auto"/>
                <w:sz w:val="21"/>
                <w:szCs w:val="21"/>
                <w:highlight w:val="none"/>
                <w:lang w:eastAsia="zh-CN"/>
              </w:rPr>
              <w:t>）</w:t>
            </w:r>
            <w:r>
              <w:rPr>
                <w:rFonts w:hint="eastAsia" w:ascii="宋体" w:hAnsi="宋体" w:eastAsia="宋体" w:cs="宋体"/>
                <w:b/>
                <w:bCs/>
                <w:strike w:val="0"/>
                <w:dstrike w:val="0"/>
                <w:color w:val="auto"/>
                <w:sz w:val="21"/>
                <w:szCs w:val="21"/>
                <w:highlight w:val="none"/>
              </w:rPr>
              <w:t>，并加盖投标人公章</w:t>
            </w:r>
            <w:r>
              <w:rPr>
                <w:rFonts w:hint="eastAsia" w:ascii="宋体" w:hAnsi="宋体" w:eastAsia="宋体" w:cs="宋体"/>
                <w:b/>
                <w:strike w:val="0"/>
                <w:dstrike w:val="0"/>
                <w:color w:val="auto"/>
                <w:sz w:val="21"/>
                <w:szCs w:val="21"/>
                <w:highlight w:val="none"/>
              </w:rPr>
              <w:t>（或电子签章）</w:t>
            </w:r>
            <w:r>
              <w:rPr>
                <w:rFonts w:hint="eastAsia" w:ascii="宋体" w:hAnsi="宋体" w:eastAsia="宋体" w:cs="宋体"/>
                <w:b/>
                <w:bCs/>
                <w:strike w:val="0"/>
                <w:dstrike w:val="0"/>
                <w:color w:val="auto"/>
                <w:sz w:val="21"/>
                <w:szCs w:val="21"/>
                <w:highlight w:val="none"/>
              </w:rPr>
              <w:t>，否则作无效投标处理。</w:t>
            </w:r>
          </w:p>
          <w:p w14:paraId="20056D96">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rPr>
              <w:t>2. 以上标明“必须提供”的材料属于复印件的</w:t>
            </w:r>
            <w:r>
              <w:rPr>
                <w:rFonts w:hint="eastAsia" w:ascii="宋体" w:hAnsi="宋体" w:eastAsia="宋体" w:cs="宋体"/>
                <w:b/>
                <w:bCs/>
                <w:strike w:val="0"/>
                <w:dstrike w:val="0"/>
                <w:color w:val="auto"/>
                <w:sz w:val="21"/>
                <w:szCs w:val="21"/>
                <w:highlight w:val="none"/>
                <w:lang w:val="en-US" w:eastAsia="zh-CN"/>
              </w:rPr>
              <w:t>扫描件的</w:t>
            </w:r>
            <w:r>
              <w:rPr>
                <w:rFonts w:hint="eastAsia" w:ascii="宋体" w:hAnsi="宋体" w:eastAsia="宋体" w:cs="宋体"/>
                <w:b/>
                <w:bCs/>
                <w:strike w:val="0"/>
                <w:dstrike w:val="0"/>
                <w:color w:val="auto"/>
                <w:sz w:val="21"/>
                <w:szCs w:val="21"/>
                <w:highlight w:val="none"/>
              </w:rPr>
              <w:t>，必须加盖投标人</w:t>
            </w:r>
            <w:r>
              <w:rPr>
                <w:rFonts w:hint="eastAsia" w:ascii="宋体" w:hAnsi="宋体" w:eastAsia="宋体" w:cs="宋体"/>
                <w:b/>
                <w:strike w:val="0"/>
                <w:dstrike w:val="0"/>
                <w:color w:val="auto"/>
                <w:sz w:val="21"/>
                <w:szCs w:val="21"/>
                <w:highlight w:val="none"/>
              </w:rPr>
              <w:t>公章（或电子签章）</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联合体投标时，由联合体牵头人加盖公章或电子签章</w:t>
            </w:r>
            <w:r>
              <w:rPr>
                <w:rFonts w:hint="eastAsia" w:ascii="宋体" w:hAnsi="宋体" w:eastAsia="宋体" w:cs="宋体"/>
                <w:b/>
                <w:color w:val="auto"/>
                <w:sz w:val="21"/>
                <w:szCs w:val="21"/>
                <w:highlight w:val="none"/>
                <w:lang w:eastAsia="zh-CN"/>
              </w:rPr>
              <w:t>）</w:t>
            </w:r>
            <w:r>
              <w:rPr>
                <w:rFonts w:hint="eastAsia" w:ascii="宋体" w:hAnsi="宋体" w:eastAsia="宋体" w:cs="宋体"/>
                <w:b/>
                <w:bCs/>
                <w:strike w:val="0"/>
                <w:dstrike w:val="0"/>
                <w:color w:val="auto"/>
                <w:sz w:val="21"/>
                <w:szCs w:val="21"/>
                <w:highlight w:val="none"/>
              </w:rPr>
              <w:t>，否则</w:t>
            </w:r>
            <w:r>
              <w:rPr>
                <w:rFonts w:hint="eastAsia" w:ascii="宋体" w:hAnsi="宋体" w:eastAsia="宋体" w:cs="宋体"/>
                <w:b/>
                <w:strike w:val="0"/>
                <w:dstrike w:val="0"/>
                <w:color w:val="auto"/>
                <w:sz w:val="21"/>
                <w:szCs w:val="21"/>
                <w:highlight w:val="none"/>
              </w:rPr>
              <w:t>作无效投标处理</w:t>
            </w:r>
            <w:r>
              <w:rPr>
                <w:rFonts w:hint="eastAsia" w:ascii="宋体" w:hAnsi="宋体" w:eastAsia="宋体" w:cs="宋体"/>
                <w:b/>
                <w:bCs/>
                <w:strike w:val="0"/>
                <w:dstrike w:val="0"/>
                <w:color w:val="auto"/>
                <w:sz w:val="21"/>
                <w:szCs w:val="21"/>
                <w:highlight w:val="none"/>
              </w:rPr>
              <w:t>。</w:t>
            </w:r>
          </w:p>
        </w:tc>
      </w:tr>
      <w:tr w14:paraId="2A5DA9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bottom w:val="single" w:color="auto" w:sz="4" w:space="0"/>
              <w:right w:val="single" w:color="auto" w:sz="4" w:space="0"/>
            </w:tcBorders>
            <w:vAlign w:val="center"/>
          </w:tcPr>
          <w:p w14:paraId="5B0D7BC1">
            <w:pPr>
              <w:keepNext w:val="0"/>
              <w:keepLines w:val="0"/>
              <w:pageBreakBefore w:val="0"/>
              <w:widowControl w:val="0"/>
              <w:kinsoku/>
              <w:wordWrap w:val="0"/>
              <w:overflowPunct/>
              <w:topLinePunct w:val="0"/>
              <w:bidi w:val="0"/>
              <w:adjustRightInd/>
              <w:spacing w:line="400" w:lineRule="exact"/>
              <w:rPr>
                <w:rFonts w:hint="eastAsia" w:ascii="宋体" w:hAnsi="宋体" w:eastAsia="宋体" w:cs="宋体"/>
                <w:strike w:val="0"/>
                <w:dstrike w:val="0"/>
                <w:color w:val="auto"/>
                <w:sz w:val="21"/>
                <w:szCs w:val="21"/>
                <w:highlight w:val="none"/>
              </w:rPr>
            </w:pPr>
            <w:bookmarkStart w:id="144" w:name="_13.4"/>
            <w:bookmarkEnd w:id="144"/>
          </w:p>
        </w:tc>
        <w:tc>
          <w:tcPr>
            <w:tcW w:w="8009" w:type="dxa"/>
            <w:tcBorders>
              <w:top w:val="single" w:color="auto" w:sz="4" w:space="0"/>
              <w:left w:val="single" w:color="auto" w:sz="4" w:space="0"/>
              <w:bottom w:val="single" w:color="auto" w:sz="4" w:space="0"/>
              <w:right w:val="single" w:color="auto" w:sz="4" w:space="0"/>
            </w:tcBorders>
            <w:vAlign w:val="center"/>
          </w:tcPr>
          <w:p w14:paraId="14830F68">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技术文件：</w:t>
            </w:r>
          </w:p>
          <w:p w14:paraId="4DFCD49E">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1.服务需求偏离表（格式后附）；</w:t>
            </w:r>
            <w:r>
              <w:rPr>
                <w:rFonts w:hint="eastAsia" w:ascii="宋体" w:hAnsi="宋体" w:eastAsia="宋体" w:cs="宋体"/>
                <w:b/>
                <w:bCs/>
                <w:strike w:val="0"/>
                <w:dstrike w:val="0"/>
                <w:color w:val="auto"/>
                <w:sz w:val="21"/>
                <w:szCs w:val="21"/>
                <w:highlight w:val="none"/>
              </w:rPr>
              <w:t>（必须提供，否则按无效投标处理）</w:t>
            </w:r>
          </w:p>
          <w:p w14:paraId="0866907F">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2.服务承诺函（主要服务内容承诺，格式自拟）；</w:t>
            </w:r>
            <w:r>
              <w:rPr>
                <w:rFonts w:hint="eastAsia" w:ascii="宋体" w:hAnsi="宋体" w:eastAsia="宋体" w:cs="宋体"/>
                <w:b/>
                <w:bCs/>
                <w:strike w:val="0"/>
                <w:dstrike w:val="0"/>
                <w:color w:val="auto"/>
                <w:sz w:val="21"/>
                <w:szCs w:val="21"/>
                <w:highlight w:val="none"/>
              </w:rPr>
              <w:t>（必须提供，否则按无效投标处理）</w:t>
            </w:r>
          </w:p>
          <w:p w14:paraId="79144D22">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3.</w:t>
            </w:r>
            <w:r>
              <w:rPr>
                <w:rFonts w:hint="eastAsia" w:ascii="宋体" w:hAnsi="宋体" w:eastAsia="宋体" w:cs="宋体"/>
                <w:strike w:val="0"/>
                <w:dstrike w:val="0"/>
                <w:color w:val="auto"/>
                <w:sz w:val="21"/>
                <w:szCs w:val="21"/>
                <w:highlight w:val="none"/>
                <w:lang w:val="en-US" w:eastAsia="zh-CN"/>
              </w:rPr>
              <w:t>服务</w:t>
            </w:r>
            <w:r>
              <w:rPr>
                <w:rFonts w:hint="eastAsia" w:ascii="宋体" w:hAnsi="宋体" w:eastAsia="宋体" w:cs="宋体"/>
                <w:strike w:val="0"/>
                <w:dstrike w:val="0"/>
                <w:color w:val="auto"/>
                <w:sz w:val="21"/>
                <w:szCs w:val="21"/>
                <w:highlight w:val="none"/>
              </w:rPr>
              <w:t>方案【例如：项目前期准备、项目实施计划（人员构成、技术服务、技术培训、售后服务的内容和措施等内容）】；</w:t>
            </w:r>
            <w:bookmarkStart w:id="145" w:name="OLE_LINK135"/>
            <w:bookmarkStart w:id="146" w:name="OLE_LINK136"/>
            <w:r>
              <w:rPr>
                <w:rFonts w:hint="eastAsia" w:ascii="宋体" w:hAnsi="宋体" w:eastAsia="宋体" w:cs="宋体"/>
                <w:b/>
                <w:strike w:val="0"/>
                <w:dstrike w:val="0"/>
                <w:color w:val="auto"/>
                <w:sz w:val="21"/>
                <w:szCs w:val="21"/>
                <w:highlight w:val="none"/>
              </w:rPr>
              <w:t>（视项目需求情况及评分办法设置提供）</w:t>
            </w:r>
            <w:bookmarkEnd w:id="145"/>
            <w:bookmarkEnd w:id="146"/>
          </w:p>
          <w:p w14:paraId="45269202">
            <w:pPr>
              <w:keepNext w:val="0"/>
              <w:keepLines w:val="0"/>
              <w:pageBreakBefore w:val="0"/>
              <w:widowControl w:val="0"/>
              <w:numPr>
                <w:ilvl w:val="255"/>
                <w:numId w:val="0"/>
              </w:numP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bookmarkStart w:id="147" w:name="OLE_LINK138"/>
            <w:bookmarkStart w:id="148" w:name="OLE_LINK137"/>
            <w:r>
              <w:rPr>
                <w:rFonts w:hint="eastAsia" w:ascii="宋体" w:hAnsi="宋体" w:eastAsia="宋体" w:cs="宋体"/>
                <w:strike w:val="0"/>
                <w:dstrike w:val="0"/>
                <w:color w:val="auto"/>
                <w:sz w:val="21"/>
                <w:szCs w:val="21"/>
                <w:highlight w:val="none"/>
              </w:rPr>
              <w:t>4.质量控制方案（按要求</w:t>
            </w:r>
            <w:r>
              <w:rPr>
                <w:rFonts w:hint="eastAsia" w:ascii="宋体" w:hAnsi="宋体" w:eastAsia="宋体" w:cs="宋体"/>
                <w:strike w:val="0"/>
                <w:dstrike w:val="0"/>
                <w:color w:val="auto"/>
                <w:sz w:val="21"/>
                <w:szCs w:val="21"/>
                <w:highlight w:val="none"/>
                <w:lang w:val="en-US" w:eastAsia="zh-CN"/>
              </w:rPr>
              <w:t>视情况</w:t>
            </w:r>
            <w:r>
              <w:rPr>
                <w:rFonts w:hint="eastAsia" w:ascii="宋体" w:hAnsi="宋体" w:eastAsia="宋体" w:cs="宋体"/>
                <w:strike w:val="0"/>
                <w:dstrike w:val="0"/>
                <w:color w:val="auto"/>
                <w:sz w:val="21"/>
                <w:szCs w:val="21"/>
                <w:highlight w:val="none"/>
              </w:rPr>
              <w:t>提供）；</w:t>
            </w:r>
          </w:p>
          <w:p w14:paraId="6FB2C7CB">
            <w:pPr>
              <w:keepNext w:val="0"/>
              <w:keepLines w:val="0"/>
              <w:pageBreakBefore w:val="0"/>
              <w:widowControl w:val="0"/>
              <w:numPr>
                <w:ilvl w:val="255"/>
                <w:numId w:val="0"/>
              </w:numP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5.项目实施人员一览表（格式后附）；</w:t>
            </w:r>
            <w:bookmarkEnd w:id="147"/>
            <w:bookmarkEnd w:id="148"/>
            <w:bookmarkStart w:id="149" w:name="OLE_LINK139"/>
            <w:bookmarkStart w:id="150" w:name="OLE_LINK140"/>
            <w:r>
              <w:rPr>
                <w:rFonts w:hint="eastAsia" w:ascii="宋体" w:hAnsi="宋体" w:eastAsia="宋体" w:cs="宋体"/>
                <w:strike w:val="0"/>
                <w:dstrike w:val="0"/>
                <w:color w:val="auto"/>
                <w:sz w:val="21"/>
                <w:szCs w:val="21"/>
                <w:highlight w:val="none"/>
              </w:rPr>
              <w:t>（</w:t>
            </w:r>
            <w:r>
              <w:rPr>
                <w:rFonts w:hint="eastAsia" w:ascii="宋体" w:hAnsi="宋体" w:eastAsia="宋体" w:cs="宋体"/>
                <w:b/>
                <w:strike w:val="0"/>
                <w:dstrike w:val="0"/>
                <w:color w:val="auto"/>
                <w:sz w:val="21"/>
                <w:szCs w:val="21"/>
                <w:highlight w:val="none"/>
              </w:rPr>
              <w:t>必须提供，否则按无效投标处理</w:t>
            </w:r>
            <w:r>
              <w:rPr>
                <w:rFonts w:hint="eastAsia" w:ascii="宋体" w:hAnsi="宋体" w:eastAsia="宋体" w:cs="宋体"/>
                <w:strike w:val="0"/>
                <w:dstrike w:val="0"/>
                <w:color w:val="auto"/>
                <w:sz w:val="21"/>
                <w:szCs w:val="21"/>
                <w:highlight w:val="none"/>
              </w:rPr>
              <w:t>）</w:t>
            </w:r>
            <w:bookmarkEnd w:id="149"/>
            <w:bookmarkEnd w:id="150"/>
          </w:p>
          <w:p w14:paraId="7022DD38">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lang w:eastAsia="zh-CN"/>
              </w:rPr>
            </w:pPr>
            <w:r>
              <w:rPr>
                <w:rFonts w:hint="eastAsia" w:ascii="宋体" w:hAnsi="宋体" w:eastAsia="宋体" w:cs="宋体"/>
                <w:strike w:val="0"/>
                <w:dstrike w:val="0"/>
                <w:color w:val="auto"/>
                <w:sz w:val="21"/>
                <w:szCs w:val="21"/>
                <w:highlight w:val="none"/>
              </w:rPr>
              <w:t>6.除招标文件规定必须提供以外，投标人需要说明的其他文件和说明（格式自拟）。（投标人根据“第二章采购需求”及“第四章评标方法及评标标准”提供有关证明材料）</w:t>
            </w:r>
            <w:r>
              <w:rPr>
                <w:rFonts w:hint="eastAsia" w:ascii="宋体" w:hAnsi="宋体" w:eastAsia="宋体" w:cs="宋体"/>
                <w:strike w:val="0"/>
                <w:dstrike w:val="0"/>
                <w:color w:val="auto"/>
                <w:sz w:val="21"/>
                <w:szCs w:val="21"/>
                <w:highlight w:val="none"/>
                <w:lang w:eastAsia="zh-CN"/>
              </w:rPr>
              <w:t>。</w:t>
            </w:r>
          </w:p>
          <w:p w14:paraId="269B2F4C">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b/>
                <w:bCs/>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rPr>
              <w:t>注：以上标明“必须提供”的材料属于复印件的</w:t>
            </w:r>
            <w:r>
              <w:rPr>
                <w:rFonts w:hint="eastAsia" w:ascii="宋体" w:hAnsi="宋体" w:eastAsia="宋体" w:cs="宋体"/>
                <w:b/>
                <w:bCs/>
                <w:strike w:val="0"/>
                <w:dstrike w:val="0"/>
                <w:color w:val="auto"/>
                <w:sz w:val="21"/>
                <w:szCs w:val="21"/>
                <w:highlight w:val="none"/>
                <w:lang w:val="en-US" w:eastAsia="zh-CN"/>
              </w:rPr>
              <w:t>扫描件的</w:t>
            </w:r>
            <w:r>
              <w:rPr>
                <w:rFonts w:hint="eastAsia" w:ascii="宋体" w:hAnsi="宋体" w:eastAsia="宋体" w:cs="宋体"/>
                <w:b/>
                <w:bCs/>
                <w:strike w:val="0"/>
                <w:dstrike w:val="0"/>
                <w:color w:val="auto"/>
                <w:sz w:val="21"/>
                <w:szCs w:val="21"/>
                <w:highlight w:val="none"/>
              </w:rPr>
              <w:t>，必须加盖投标人</w:t>
            </w:r>
            <w:r>
              <w:rPr>
                <w:rFonts w:hint="eastAsia" w:ascii="宋体" w:hAnsi="宋体" w:eastAsia="宋体" w:cs="宋体"/>
                <w:b/>
                <w:strike w:val="0"/>
                <w:dstrike w:val="0"/>
                <w:color w:val="auto"/>
                <w:sz w:val="21"/>
                <w:szCs w:val="21"/>
                <w:highlight w:val="none"/>
              </w:rPr>
              <w:t>公章（或电子签章）</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联合体投标时，由联合体牵头人加盖公章或电子签章</w:t>
            </w:r>
            <w:r>
              <w:rPr>
                <w:rFonts w:hint="eastAsia" w:ascii="宋体" w:hAnsi="宋体" w:eastAsia="宋体" w:cs="宋体"/>
                <w:b/>
                <w:color w:val="auto"/>
                <w:sz w:val="21"/>
                <w:szCs w:val="21"/>
                <w:highlight w:val="none"/>
                <w:lang w:eastAsia="zh-CN"/>
              </w:rPr>
              <w:t>）</w:t>
            </w:r>
            <w:r>
              <w:rPr>
                <w:rFonts w:hint="eastAsia" w:ascii="宋体" w:hAnsi="宋体" w:eastAsia="宋体" w:cs="宋体"/>
                <w:b/>
                <w:bCs/>
                <w:strike w:val="0"/>
                <w:dstrike w:val="0"/>
                <w:color w:val="auto"/>
                <w:sz w:val="21"/>
                <w:szCs w:val="21"/>
                <w:highlight w:val="none"/>
              </w:rPr>
              <w:t>，否则按无效投标</w:t>
            </w:r>
            <w:r>
              <w:rPr>
                <w:rFonts w:hint="eastAsia" w:ascii="宋体" w:hAnsi="宋体" w:eastAsia="宋体" w:cs="宋体"/>
                <w:b/>
                <w:strike w:val="0"/>
                <w:dstrike w:val="0"/>
                <w:color w:val="auto"/>
                <w:sz w:val="21"/>
                <w:szCs w:val="21"/>
                <w:highlight w:val="none"/>
              </w:rPr>
              <w:t>处理</w:t>
            </w:r>
            <w:r>
              <w:rPr>
                <w:rFonts w:hint="eastAsia" w:ascii="宋体" w:hAnsi="宋体" w:eastAsia="宋体" w:cs="宋体"/>
                <w:b/>
                <w:bCs/>
                <w:strike w:val="0"/>
                <w:dstrike w:val="0"/>
                <w:color w:val="auto"/>
                <w:sz w:val="21"/>
                <w:szCs w:val="21"/>
                <w:highlight w:val="none"/>
              </w:rPr>
              <w:t>。</w:t>
            </w:r>
          </w:p>
        </w:tc>
      </w:tr>
      <w:tr w14:paraId="6FE7A0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B59AD72">
            <w:pPr>
              <w:keepNext w:val="0"/>
              <w:keepLines w:val="0"/>
              <w:pageBreakBefore w:val="0"/>
              <w:widowControl w:val="0"/>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bookmarkStart w:id="151" w:name="_16.2"/>
            <w:bookmarkEnd w:id="151"/>
            <w:bookmarkStart w:id="152" w:name="_13.5"/>
            <w:bookmarkEnd w:id="152"/>
            <w:r>
              <w:rPr>
                <w:rFonts w:hint="eastAsia" w:ascii="宋体" w:hAnsi="宋体" w:eastAsia="宋体" w:cs="宋体"/>
                <w:strike w:val="0"/>
                <w:dstrike w:val="0"/>
                <w:color w:val="auto"/>
                <w:sz w:val="21"/>
                <w:szCs w:val="21"/>
                <w:highlight w:val="none"/>
              </w:rPr>
              <w:t>16</w:t>
            </w:r>
            <w:bookmarkStart w:id="153" w:name="_Hlt19693759"/>
            <w:bookmarkStart w:id="154" w:name="_Hlt19194066"/>
            <w:bookmarkStart w:id="155" w:name="_Hlt19194067"/>
            <w:bookmarkStart w:id="156" w:name="_Hlt19693758"/>
            <w:r>
              <w:rPr>
                <w:rFonts w:hint="eastAsia" w:ascii="宋体" w:hAnsi="宋体" w:eastAsia="宋体" w:cs="宋体"/>
                <w:strike w:val="0"/>
                <w:dstrike w:val="0"/>
                <w:color w:val="auto"/>
                <w:sz w:val="21"/>
                <w:szCs w:val="21"/>
                <w:highlight w:val="none"/>
              </w:rPr>
              <w:t>.</w:t>
            </w:r>
            <w:bookmarkEnd w:id="153"/>
            <w:bookmarkEnd w:id="154"/>
            <w:bookmarkEnd w:id="155"/>
            <w:bookmarkEnd w:id="156"/>
            <w:r>
              <w:rPr>
                <w:rFonts w:hint="eastAsia" w:ascii="宋体" w:hAnsi="宋体" w:eastAsia="宋体" w:cs="宋体"/>
                <w:strike w:val="0"/>
                <w:dstrike w:val="0"/>
                <w:color w:val="auto"/>
                <w:sz w:val="21"/>
                <w:szCs w:val="21"/>
                <w:highlight w:val="none"/>
              </w:rPr>
              <w:t>2</w:t>
            </w:r>
          </w:p>
        </w:tc>
        <w:tc>
          <w:tcPr>
            <w:tcW w:w="8009" w:type="dxa"/>
            <w:tcBorders>
              <w:top w:val="single" w:color="auto" w:sz="4" w:space="0"/>
              <w:left w:val="single" w:color="auto" w:sz="4" w:space="0"/>
              <w:bottom w:val="single" w:color="auto" w:sz="4" w:space="0"/>
              <w:right w:val="single" w:color="auto" w:sz="4" w:space="0"/>
            </w:tcBorders>
            <w:vAlign w:val="center"/>
          </w:tcPr>
          <w:p w14:paraId="07694981">
            <w:pPr>
              <w:keepNext w:val="0"/>
              <w:keepLines w:val="0"/>
              <w:pageBreakBefore w:val="0"/>
              <w:widowControl w:val="0"/>
              <w:kinsoku/>
              <w:wordWrap w:val="0"/>
              <w:overflowPunct/>
              <w:topLinePunct w:val="0"/>
              <w:bidi w:val="0"/>
              <w:adjustRightInd/>
              <w:snapToGrid w:val="0"/>
              <w:spacing w:line="400" w:lineRule="exact"/>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投标报价是履行合同的最终价格，包括：</w:t>
            </w:r>
            <w:r>
              <w:rPr>
                <w:rFonts w:hint="eastAsia" w:ascii="宋体" w:hAnsi="宋体" w:eastAsia="宋体" w:cs="宋体"/>
                <w:b w:val="0"/>
                <w:bCs/>
                <w:strike w:val="0"/>
                <w:dstrike w:val="0"/>
                <w:color w:val="auto"/>
                <w:sz w:val="21"/>
                <w:szCs w:val="21"/>
                <w:highlight w:val="none"/>
              </w:rPr>
              <w:t>现场勘察、协调、实验研究、技术处理、方案编制、报批、项目评审费等工作所需的一切人工、机械、材料、利润、税金、保险等相关的费用</w:t>
            </w:r>
            <w:r>
              <w:rPr>
                <w:rFonts w:hint="eastAsia" w:ascii="宋体" w:hAnsi="宋体" w:eastAsia="宋体" w:cs="宋体"/>
                <w:b w:val="0"/>
                <w:bCs/>
                <w:strike w:val="0"/>
                <w:dstrike w:val="0"/>
                <w:color w:val="auto"/>
                <w:sz w:val="21"/>
                <w:szCs w:val="21"/>
                <w:highlight w:val="none"/>
                <w:lang w:val="en-US" w:eastAsia="zh-CN"/>
              </w:rPr>
              <w:t>；差旅费、劳务费、专家咨询费、培训费、手续费、包装费、运输费、安装费及由于市场价格波动增加的费用、不可预见费以及验收费用相关费用等全部费用。</w:t>
            </w:r>
            <w:r>
              <w:rPr>
                <w:rFonts w:hint="eastAsia" w:ascii="宋体" w:hAnsi="宋体" w:eastAsia="宋体" w:cs="宋体"/>
                <w:b/>
                <w:bCs/>
                <w:strike w:val="0"/>
                <w:dstrike w:val="0"/>
                <w:color w:val="auto"/>
                <w:sz w:val="21"/>
                <w:szCs w:val="21"/>
                <w:highlight w:val="none"/>
              </w:rPr>
              <w:t>（采购需求另有</w:t>
            </w:r>
            <w:r>
              <w:rPr>
                <w:rFonts w:hint="eastAsia" w:ascii="宋体" w:hAnsi="宋体" w:eastAsia="宋体" w:cs="宋体"/>
                <w:b/>
                <w:bCs/>
                <w:strike w:val="0"/>
                <w:dstrike w:val="0"/>
                <w:color w:val="auto"/>
                <w:sz w:val="21"/>
                <w:szCs w:val="21"/>
                <w:highlight w:val="none"/>
                <w:lang w:val="en-US" w:eastAsia="zh-CN"/>
              </w:rPr>
              <w:t>其他</w:t>
            </w:r>
            <w:r>
              <w:rPr>
                <w:rFonts w:hint="eastAsia" w:ascii="宋体" w:hAnsi="宋体" w:eastAsia="宋体" w:cs="宋体"/>
                <w:b/>
                <w:bCs/>
                <w:strike w:val="0"/>
                <w:dstrike w:val="0"/>
                <w:color w:val="auto"/>
                <w:sz w:val="21"/>
                <w:szCs w:val="21"/>
                <w:highlight w:val="none"/>
              </w:rPr>
              <w:t>约定的，从其约定）</w:t>
            </w:r>
          </w:p>
        </w:tc>
      </w:tr>
      <w:tr w14:paraId="72A079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898861E">
            <w:pPr>
              <w:keepNext w:val="0"/>
              <w:keepLines w:val="0"/>
              <w:pageBreakBefore w:val="0"/>
              <w:widowControl w:val="0"/>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bookmarkStart w:id="157" w:name="_17.1"/>
            <w:bookmarkEnd w:id="157"/>
            <w:r>
              <w:rPr>
                <w:rFonts w:hint="eastAsia" w:ascii="宋体" w:hAnsi="宋体" w:eastAsia="宋体" w:cs="宋体"/>
                <w:strike w:val="0"/>
                <w:dstrike w:val="0"/>
                <w:color w:val="auto"/>
                <w:sz w:val="21"/>
                <w:szCs w:val="21"/>
                <w:highlight w:val="none"/>
              </w:rPr>
              <w:t>17.2</w:t>
            </w:r>
          </w:p>
        </w:tc>
        <w:tc>
          <w:tcPr>
            <w:tcW w:w="8009" w:type="dxa"/>
            <w:tcBorders>
              <w:top w:val="single" w:color="auto" w:sz="4" w:space="0"/>
              <w:left w:val="single" w:color="auto" w:sz="4" w:space="0"/>
              <w:bottom w:val="single" w:color="auto" w:sz="4" w:space="0"/>
              <w:right w:val="single" w:color="auto" w:sz="4" w:space="0"/>
            </w:tcBorders>
            <w:vAlign w:val="center"/>
          </w:tcPr>
          <w:p w14:paraId="2EBD861D">
            <w:pPr>
              <w:keepNext w:val="0"/>
              <w:keepLines w:val="0"/>
              <w:pageBreakBefore w:val="0"/>
              <w:widowControl w:val="0"/>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投标有效期：自投标截止之日起</w:t>
            </w:r>
            <w:r>
              <w:rPr>
                <w:rFonts w:hint="eastAsia" w:ascii="宋体" w:hAnsi="宋体" w:eastAsia="宋体" w:cs="宋体"/>
                <w:strike w:val="0"/>
                <w:dstrike w:val="0"/>
                <w:color w:val="auto"/>
                <w:sz w:val="21"/>
                <w:szCs w:val="21"/>
                <w:highlight w:val="none"/>
                <w:u w:val="single"/>
                <w:lang w:val="en-US" w:eastAsia="zh-CN"/>
              </w:rPr>
              <w:t>120</w:t>
            </w:r>
            <w:r>
              <w:rPr>
                <w:rFonts w:hint="eastAsia" w:ascii="宋体" w:hAnsi="宋体" w:eastAsia="宋体" w:cs="宋体"/>
                <w:strike w:val="0"/>
                <w:dstrike w:val="0"/>
                <w:color w:val="auto"/>
                <w:sz w:val="21"/>
                <w:szCs w:val="21"/>
                <w:highlight w:val="none"/>
              </w:rPr>
              <w:t>日。</w:t>
            </w:r>
          </w:p>
        </w:tc>
      </w:tr>
      <w:tr w14:paraId="7A3284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4707610">
            <w:pPr>
              <w:keepNext w:val="0"/>
              <w:keepLines w:val="0"/>
              <w:pageBreakBefore w:val="0"/>
              <w:widowControl w:val="0"/>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bookmarkStart w:id="158" w:name="_18"/>
            <w:bookmarkEnd w:id="158"/>
            <w:r>
              <w:rPr>
                <w:rFonts w:hint="eastAsia" w:ascii="宋体" w:hAnsi="宋体" w:eastAsia="宋体" w:cs="宋体"/>
                <w:strike w:val="0"/>
                <w:dstrike w:val="0"/>
                <w:color w:val="auto"/>
                <w:sz w:val="21"/>
                <w:szCs w:val="21"/>
                <w:highlight w:val="none"/>
              </w:rPr>
              <w:t>18.1</w:t>
            </w:r>
          </w:p>
        </w:tc>
        <w:tc>
          <w:tcPr>
            <w:tcW w:w="8009" w:type="dxa"/>
            <w:tcBorders>
              <w:top w:val="single" w:color="auto" w:sz="4" w:space="0"/>
              <w:left w:val="single" w:color="auto" w:sz="4" w:space="0"/>
              <w:bottom w:val="single" w:color="auto" w:sz="4" w:space="0"/>
              <w:right w:val="single" w:color="auto" w:sz="4" w:space="0"/>
            </w:tcBorders>
            <w:vAlign w:val="center"/>
          </w:tcPr>
          <w:p w14:paraId="137EC879">
            <w:pPr>
              <w:keepNext w:val="0"/>
              <w:keepLines w:val="0"/>
              <w:pageBreakBefore w:val="0"/>
              <w:widowControl w:val="0"/>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□本项目不收取投标保证金。</w:t>
            </w:r>
          </w:p>
          <w:p w14:paraId="76ABCD4B">
            <w:pPr>
              <w:keepNext w:val="0"/>
              <w:keepLines w:val="0"/>
              <w:pageBreakBefore w:val="0"/>
              <w:widowControl w:val="0"/>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☑本项目收取投标保证金，具体规定如下：</w:t>
            </w:r>
          </w:p>
          <w:p w14:paraId="0D440484">
            <w:pPr>
              <w:keepNext w:val="0"/>
              <w:keepLines w:val="0"/>
              <w:pageBreakBefore w:val="0"/>
              <w:widowControl w:val="0"/>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1.</w:t>
            </w:r>
            <w:r>
              <w:rPr>
                <w:rFonts w:hint="eastAsia" w:ascii="宋体" w:hAnsi="宋体" w:eastAsia="宋体" w:cs="宋体"/>
                <w:bCs/>
                <w:strike w:val="0"/>
                <w:dstrike w:val="0"/>
                <w:color w:val="auto"/>
                <w:sz w:val="21"/>
                <w:szCs w:val="21"/>
                <w:highlight w:val="none"/>
              </w:rPr>
              <w:t>投标保证金（须足额交纳）：</w:t>
            </w:r>
            <w:r>
              <w:rPr>
                <w:rFonts w:hint="eastAsia" w:ascii="宋体" w:hAnsi="宋体" w:cs="宋体"/>
                <w:strike w:val="0"/>
                <w:dstrike w:val="0"/>
                <w:color w:val="auto"/>
                <w:sz w:val="21"/>
                <w:szCs w:val="21"/>
                <w:highlight w:val="none"/>
                <w:lang w:val="en-US" w:eastAsia="zh-CN"/>
              </w:rPr>
              <w:t>120000</w:t>
            </w:r>
            <w:r>
              <w:rPr>
                <w:rFonts w:hint="eastAsia" w:ascii="宋体" w:hAnsi="宋体" w:eastAsia="宋体" w:cs="宋体"/>
                <w:strike w:val="0"/>
                <w:dstrike w:val="0"/>
                <w:color w:val="auto"/>
                <w:sz w:val="21"/>
                <w:szCs w:val="21"/>
                <w:highlight w:val="none"/>
                <w:lang w:val="en-US" w:eastAsia="zh-CN"/>
              </w:rPr>
              <w:t>.00元</w:t>
            </w:r>
            <w:r>
              <w:rPr>
                <w:rFonts w:hint="eastAsia" w:ascii="宋体" w:hAnsi="宋体" w:eastAsia="宋体" w:cs="宋体"/>
                <w:strike w:val="0"/>
                <w:dstrike w:val="0"/>
                <w:color w:val="auto"/>
                <w:sz w:val="21"/>
                <w:szCs w:val="21"/>
                <w:highlight w:val="none"/>
              </w:rPr>
              <w:t>。</w:t>
            </w:r>
          </w:p>
          <w:p w14:paraId="07B06D22">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2.投标保证金的交纳方式：银行转账、支票、汇票、本票或者金融、担保机构出具的保函，禁止采用现钞方式。采用银行转账方式的，在投标截止时间前交至采购代理机构指定账户并且到账【开户名称：广西邕政采购代理有限公司，开户银行：交行南宁嘉园支行，银行账号：451060702018160082066，银行行号：301611000742。】；采用支票、汇票、本票或者保函等方式的，投标人应于提交投标文件截止时间前递交（或邮寄）单独密封的支票、汇票、本票或者保函原件（电子保函除外）至我公司。否则视为无效投标保证金。地址：南宁市青秀区民族大道180号（威壮大厦）22层2210～2217室，联系人：黄秋梅、罗霞、丰薇，联系电话：0771-2225338。</w:t>
            </w:r>
          </w:p>
          <w:p w14:paraId="0526ECE7">
            <w:pPr>
              <w:keepNext w:val="0"/>
              <w:keepLines w:val="0"/>
              <w:pageBreakBefore w:val="0"/>
              <w:widowControl w:val="0"/>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相关要求：</w:t>
            </w:r>
          </w:p>
          <w:p w14:paraId="0BFB43EE">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1.投标保证金采用银行转账交纳方式的，在投标截止时间前交至采购代理机构指定账户并且到账，投标人应将银行转账底单的复印件作为投标保证金提交凭证，放置于商务文件中，</w:t>
            </w:r>
            <w:r>
              <w:rPr>
                <w:rFonts w:hint="eastAsia" w:ascii="宋体" w:hAnsi="宋体" w:eastAsia="宋体" w:cs="宋体"/>
                <w:b/>
                <w:bCs/>
                <w:strike w:val="0"/>
                <w:dstrike w:val="0"/>
                <w:color w:val="auto"/>
                <w:sz w:val="21"/>
                <w:szCs w:val="21"/>
                <w:highlight w:val="none"/>
                <w:lang w:val="en-US" w:eastAsia="zh-CN"/>
              </w:rPr>
              <w:t>否则投标无效。</w:t>
            </w:r>
          </w:p>
          <w:p w14:paraId="6290CA97">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val="en-US" w:eastAsia="zh-CN"/>
              </w:rPr>
              <w:t>2</w:t>
            </w:r>
            <w:r>
              <w:rPr>
                <w:rFonts w:hint="eastAsia" w:ascii="宋体" w:hAnsi="宋体" w:eastAsia="宋体" w:cs="宋体"/>
                <w:strike w:val="0"/>
                <w:dstrike w:val="0"/>
                <w:color w:val="auto"/>
                <w:sz w:val="21"/>
                <w:szCs w:val="21"/>
                <w:highlight w:val="none"/>
              </w:rPr>
              <w:t>.投标保证金采用支票、汇票、本票或者金融机构、担保机构、保险机构出具的保函、保险单交纳方式的，投标人应将支票、汇票、本票或者金融机构、担保机构、保险机构出具的保函、保险单的复印件作为投标保证金提交凭证，放置于商务文件中，</w:t>
            </w:r>
            <w:r>
              <w:rPr>
                <w:rFonts w:hint="eastAsia" w:ascii="宋体" w:hAnsi="宋体" w:eastAsia="宋体" w:cs="宋体"/>
                <w:b/>
                <w:strike w:val="0"/>
                <w:dstrike w:val="0"/>
                <w:color w:val="auto"/>
                <w:sz w:val="21"/>
                <w:szCs w:val="21"/>
                <w:highlight w:val="none"/>
              </w:rPr>
              <w:t>否则投标无效</w:t>
            </w:r>
            <w:r>
              <w:rPr>
                <w:rFonts w:hint="eastAsia" w:ascii="宋体" w:hAnsi="宋体" w:eastAsia="宋体" w:cs="宋体"/>
                <w:strike w:val="0"/>
                <w:dstrike w:val="0"/>
                <w:color w:val="auto"/>
                <w:sz w:val="21"/>
                <w:szCs w:val="21"/>
                <w:highlight w:val="none"/>
              </w:rPr>
              <w:t>。投标人必须于递交投标文件时将支票、汇票、本票或者金融机构、担保机构、保险机构出具的保函、保险单原件提交给采购人或者采购代理机构，并妥善保管。</w:t>
            </w:r>
          </w:p>
          <w:p w14:paraId="462CE327">
            <w:pPr>
              <w:keepNext w:val="0"/>
              <w:keepLines w:val="0"/>
              <w:pageBreakBefore w:val="0"/>
              <w:widowControl w:val="0"/>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val="en-US" w:eastAsia="zh-CN"/>
              </w:rPr>
              <w:t>3</w:t>
            </w:r>
            <w:r>
              <w:rPr>
                <w:rFonts w:hint="eastAsia" w:ascii="宋体" w:hAnsi="宋体" w:eastAsia="宋体" w:cs="宋体"/>
                <w:strike w:val="0"/>
                <w:dstrike w:val="0"/>
                <w:color w:val="auto"/>
                <w:sz w:val="21"/>
                <w:szCs w:val="21"/>
                <w:highlight w:val="none"/>
              </w:rPr>
              <w:t>.投标人为联合体的，可以由联合体中的一方或者多方共同交纳投标保证金，其交纳的保证金对联合体各方均具有约束力。</w:t>
            </w:r>
          </w:p>
          <w:p w14:paraId="32BBBD66">
            <w:pPr>
              <w:keepNext w:val="0"/>
              <w:keepLines w:val="0"/>
              <w:pageBreakBefore w:val="0"/>
              <w:widowControl w:val="0"/>
              <w:kinsoku/>
              <w:wordWrap w:val="0"/>
              <w:overflowPunct/>
              <w:topLinePunct w:val="0"/>
              <w:bidi w:val="0"/>
              <w:adjustRightInd/>
              <w:snapToGrid w:val="0"/>
              <w:spacing w:line="400" w:lineRule="exac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备注：1. 投标保证金在投标截止时间后提交的，或者不按规定交纳方式交纳的，或者未足额交纳的（包含保函额度不足的），视为无效投标保证金。</w:t>
            </w:r>
          </w:p>
          <w:p w14:paraId="145F6883">
            <w:pPr>
              <w:keepNext w:val="0"/>
              <w:keepLines w:val="0"/>
              <w:pageBreakBefore w:val="0"/>
              <w:widowControl w:val="0"/>
              <w:kinsoku/>
              <w:wordWrap w:val="0"/>
              <w:overflowPunct/>
              <w:topLinePunct w:val="0"/>
              <w:bidi w:val="0"/>
              <w:adjustRightInd/>
              <w:snapToGrid w:val="0"/>
              <w:spacing w:line="400" w:lineRule="exac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2.投标人采用现钞方式或者从个人账户（自然人投标除外）转出的投标保证金，视为无效投标保证金。</w:t>
            </w:r>
          </w:p>
          <w:p w14:paraId="195B0E98">
            <w:pPr>
              <w:keepNext w:val="0"/>
              <w:keepLines w:val="0"/>
              <w:pageBreakBefore w:val="0"/>
              <w:widowControl w:val="0"/>
              <w:kinsoku/>
              <w:wordWrap w:val="0"/>
              <w:overflowPunct/>
              <w:topLinePunct w:val="0"/>
              <w:bidi w:val="0"/>
              <w:adjustRightInd/>
              <w:snapToGrid w:val="0"/>
              <w:spacing w:line="400" w:lineRule="exac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3.支票、汇票或者本票出现无效或者背书情形的，视为无效投标保证金。</w:t>
            </w:r>
          </w:p>
          <w:p w14:paraId="6586119A">
            <w:pPr>
              <w:keepNext w:val="0"/>
              <w:keepLines w:val="0"/>
              <w:pageBreakBefore w:val="0"/>
              <w:widowControl w:val="0"/>
              <w:kinsoku/>
              <w:wordWrap w:val="0"/>
              <w:overflowPunct/>
              <w:topLinePunct w:val="0"/>
              <w:bidi w:val="0"/>
              <w:adjustRightInd/>
              <w:snapToGrid w:val="0"/>
              <w:spacing w:line="400" w:lineRule="exac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4.保函有效期低于投标有效期的，视为无效投标保证金。</w:t>
            </w:r>
          </w:p>
          <w:p w14:paraId="197208C8">
            <w:pPr>
              <w:keepNext w:val="0"/>
              <w:keepLines w:val="0"/>
              <w:pageBreakBefore w:val="0"/>
              <w:widowControl w:val="0"/>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5.采用金融、担保机构出具保函的，必须为无条件保函，否则视为无效投标保证金。</w:t>
            </w:r>
          </w:p>
        </w:tc>
      </w:tr>
      <w:tr w14:paraId="119E42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F678099">
            <w:pPr>
              <w:keepNext w:val="0"/>
              <w:keepLines w:val="0"/>
              <w:pageBreakBefore w:val="0"/>
              <w:widowControl w:val="0"/>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bookmarkStart w:id="159" w:name="_19.2"/>
            <w:bookmarkEnd w:id="159"/>
            <w:r>
              <w:rPr>
                <w:rFonts w:hint="eastAsia" w:ascii="宋体" w:hAnsi="宋体" w:eastAsia="宋体" w:cs="宋体"/>
                <w:strike w:val="0"/>
                <w:dstrike w:val="0"/>
                <w:color w:val="auto"/>
                <w:sz w:val="21"/>
                <w:szCs w:val="21"/>
                <w:highlight w:val="none"/>
              </w:rPr>
              <w:t>20</w:t>
            </w:r>
          </w:p>
        </w:tc>
        <w:tc>
          <w:tcPr>
            <w:tcW w:w="8009" w:type="dxa"/>
            <w:tcBorders>
              <w:top w:val="single" w:color="auto" w:sz="4" w:space="0"/>
              <w:left w:val="single" w:color="auto" w:sz="4" w:space="0"/>
              <w:bottom w:val="single" w:color="auto" w:sz="4" w:space="0"/>
              <w:right w:val="single" w:color="auto" w:sz="4" w:space="0"/>
            </w:tcBorders>
            <w:vAlign w:val="center"/>
          </w:tcPr>
          <w:p w14:paraId="4E86E8F8">
            <w:pPr>
              <w:keepNext w:val="0"/>
              <w:keepLines w:val="0"/>
              <w:pageBreakBefore w:val="0"/>
              <w:widowControl w:val="0"/>
              <w:kinsoku/>
              <w:wordWrap w:val="0"/>
              <w:overflowPunct/>
              <w:topLinePunct w:val="0"/>
              <w:autoSpaceDE w:val="0"/>
              <w:autoSpaceDN w:val="0"/>
              <w:bidi w:val="0"/>
              <w:adjustRightInd/>
              <w:snapToGrid w:val="0"/>
              <w:spacing w:line="400" w:lineRule="exact"/>
              <w:textAlignment w:val="bottom"/>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本项目不接受电子备份投标文件。</w:t>
            </w:r>
          </w:p>
        </w:tc>
      </w:tr>
      <w:tr w14:paraId="0EE437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2"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3FB15E39">
            <w:pPr>
              <w:keepNext w:val="0"/>
              <w:keepLines w:val="0"/>
              <w:pageBreakBefore w:val="0"/>
              <w:widowControl w:val="0"/>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bookmarkStart w:id="160" w:name="_21.1"/>
            <w:bookmarkEnd w:id="160"/>
            <w:r>
              <w:rPr>
                <w:rFonts w:hint="eastAsia" w:ascii="宋体" w:hAnsi="宋体" w:eastAsia="宋体" w:cs="宋体"/>
                <w:strike w:val="0"/>
                <w:dstrike w:val="0"/>
                <w:color w:val="auto"/>
                <w:sz w:val="21"/>
                <w:szCs w:val="21"/>
                <w:highlight w:val="none"/>
              </w:rPr>
              <w:t>21.1</w:t>
            </w:r>
          </w:p>
        </w:tc>
        <w:tc>
          <w:tcPr>
            <w:tcW w:w="8009" w:type="dxa"/>
            <w:tcBorders>
              <w:top w:val="single" w:color="auto" w:sz="4" w:space="0"/>
              <w:left w:val="single" w:color="auto" w:sz="4" w:space="0"/>
              <w:bottom w:val="single" w:color="auto" w:sz="4" w:space="0"/>
              <w:right w:val="single" w:color="auto" w:sz="4" w:space="0"/>
            </w:tcBorders>
            <w:vAlign w:val="center"/>
          </w:tcPr>
          <w:p w14:paraId="628C4CCB">
            <w:pPr>
              <w:keepNext w:val="0"/>
              <w:keepLines w:val="0"/>
              <w:pageBreakBefore w:val="0"/>
              <w:widowControl w:val="0"/>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1.投标文件提交截止时间：详见招标公告</w:t>
            </w:r>
          </w:p>
          <w:p w14:paraId="4DF18B84">
            <w:pPr>
              <w:keepNext w:val="0"/>
              <w:keepLines w:val="0"/>
              <w:pageBreakBefore w:val="0"/>
              <w:widowControl w:val="0"/>
              <w:kinsoku/>
              <w:wordWrap w:val="0"/>
              <w:overflowPunct/>
              <w:topLinePunct w:val="0"/>
              <w:bidi w:val="0"/>
              <w:adjustRightInd/>
              <w:snapToGrid w:val="0"/>
              <w:spacing w:line="400" w:lineRule="exact"/>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2.投标地点：详见招标公告</w:t>
            </w:r>
          </w:p>
        </w:tc>
      </w:tr>
      <w:tr w14:paraId="487784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2C9FC0C">
            <w:pPr>
              <w:keepNext w:val="0"/>
              <w:keepLines w:val="0"/>
              <w:pageBreakBefore w:val="0"/>
              <w:widowControl w:val="0"/>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bookmarkStart w:id="161" w:name="_23"/>
            <w:bookmarkEnd w:id="161"/>
            <w:r>
              <w:rPr>
                <w:rFonts w:hint="eastAsia" w:ascii="宋体" w:hAnsi="宋体" w:eastAsia="宋体" w:cs="宋体"/>
                <w:strike w:val="0"/>
                <w:dstrike w:val="0"/>
                <w:color w:val="auto"/>
                <w:sz w:val="21"/>
                <w:szCs w:val="21"/>
                <w:highlight w:val="none"/>
              </w:rPr>
              <w:t>23</w:t>
            </w:r>
          </w:p>
        </w:tc>
        <w:tc>
          <w:tcPr>
            <w:tcW w:w="8009" w:type="dxa"/>
            <w:tcBorders>
              <w:top w:val="single" w:color="auto" w:sz="4" w:space="0"/>
              <w:left w:val="single" w:color="auto" w:sz="4" w:space="0"/>
              <w:bottom w:val="single" w:color="auto" w:sz="4" w:space="0"/>
              <w:right w:val="single" w:color="auto" w:sz="4" w:space="0"/>
            </w:tcBorders>
            <w:vAlign w:val="center"/>
          </w:tcPr>
          <w:p w14:paraId="4DDB0957">
            <w:pPr>
              <w:keepNext w:val="0"/>
              <w:keepLines w:val="0"/>
              <w:pageBreakBefore w:val="0"/>
              <w:widowControl w:val="0"/>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1.开标时间：详见招标公告</w:t>
            </w:r>
          </w:p>
          <w:p w14:paraId="0757D628">
            <w:pPr>
              <w:keepNext w:val="0"/>
              <w:keepLines w:val="0"/>
              <w:pageBreakBefore w:val="0"/>
              <w:widowControl w:val="0"/>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2.开标地点：详见招标公告</w:t>
            </w:r>
          </w:p>
        </w:tc>
      </w:tr>
      <w:tr w14:paraId="6D61C1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5D85512">
            <w:pPr>
              <w:keepNext w:val="0"/>
              <w:keepLines w:val="0"/>
              <w:pageBreakBefore w:val="0"/>
              <w:widowControl w:val="0"/>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24.3（1）</w:t>
            </w:r>
          </w:p>
        </w:tc>
        <w:tc>
          <w:tcPr>
            <w:tcW w:w="8009" w:type="dxa"/>
            <w:tcBorders>
              <w:top w:val="single" w:color="auto" w:sz="4" w:space="0"/>
              <w:left w:val="single" w:color="auto" w:sz="4" w:space="0"/>
              <w:bottom w:val="single" w:color="auto" w:sz="4" w:space="0"/>
              <w:right w:val="single" w:color="auto" w:sz="4" w:space="0"/>
            </w:tcBorders>
            <w:vAlign w:val="center"/>
          </w:tcPr>
          <w:p w14:paraId="724B5EEC">
            <w:pPr>
              <w:keepNext w:val="0"/>
              <w:keepLines w:val="0"/>
              <w:pageBreakBefore w:val="0"/>
              <w:widowControl w:val="0"/>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电子投标文件解密时间：</w:t>
            </w:r>
            <w:r>
              <w:rPr>
                <w:rFonts w:hint="eastAsia" w:ascii="宋体" w:hAnsi="宋体" w:eastAsia="宋体" w:cs="宋体"/>
                <w:strike w:val="0"/>
                <w:dstrike w:val="0"/>
                <w:color w:val="auto"/>
                <w:sz w:val="21"/>
                <w:szCs w:val="21"/>
                <w:highlight w:val="none"/>
                <w:u w:val="single"/>
              </w:rPr>
              <w:t>30</w:t>
            </w:r>
            <w:r>
              <w:rPr>
                <w:rFonts w:hint="eastAsia" w:ascii="宋体" w:hAnsi="宋体" w:eastAsia="宋体" w:cs="宋体"/>
                <w:strike w:val="0"/>
                <w:dstrike w:val="0"/>
                <w:color w:val="auto"/>
                <w:sz w:val="21"/>
                <w:szCs w:val="21"/>
                <w:highlight w:val="none"/>
              </w:rPr>
              <w:t>分钟</w:t>
            </w:r>
          </w:p>
        </w:tc>
      </w:tr>
      <w:tr w14:paraId="68023D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06530A4">
            <w:pPr>
              <w:keepNext w:val="0"/>
              <w:keepLines w:val="0"/>
              <w:pageBreakBefore w:val="0"/>
              <w:widowControl w:val="0"/>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24.3（2）</w:t>
            </w:r>
          </w:p>
        </w:tc>
        <w:tc>
          <w:tcPr>
            <w:tcW w:w="8009" w:type="dxa"/>
            <w:tcBorders>
              <w:top w:val="single" w:color="auto" w:sz="4" w:space="0"/>
              <w:left w:val="single" w:color="auto" w:sz="4" w:space="0"/>
              <w:bottom w:val="single" w:color="auto" w:sz="4" w:space="0"/>
              <w:right w:val="single" w:color="auto" w:sz="4" w:space="0"/>
            </w:tcBorders>
            <w:vAlign w:val="center"/>
          </w:tcPr>
          <w:p w14:paraId="7991A3FE">
            <w:pPr>
              <w:keepNext w:val="0"/>
              <w:keepLines w:val="0"/>
              <w:pageBreakBefore w:val="0"/>
              <w:widowControl w:val="0"/>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宣布的内容：投标人名称、投标价格、交付时间（具体按</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系统执行）</w:t>
            </w:r>
          </w:p>
        </w:tc>
      </w:tr>
      <w:tr w14:paraId="254BA9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8167036">
            <w:pPr>
              <w:keepNext w:val="0"/>
              <w:keepLines w:val="0"/>
              <w:pageBreakBefore w:val="0"/>
              <w:widowControl w:val="0"/>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bookmarkStart w:id="162" w:name="_25.3"/>
            <w:bookmarkEnd w:id="162"/>
            <w:r>
              <w:rPr>
                <w:rFonts w:hint="eastAsia" w:ascii="宋体" w:hAnsi="宋体" w:eastAsia="宋体" w:cs="宋体"/>
                <w:strike w:val="0"/>
                <w:dstrike w:val="0"/>
                <w:color w:val="auto"/>
                <w:sz w:val="21"/>
                <w:szCs w:val="21"/>
                <w:highlight w:val="none"/>
              </w:rPr>
              <w:t>25.3（2）</w:t>
            </w:r>
          </w:p>
        </w:tc>
        <w:tc>
          <w:tcPr>
            <w:tcW w:w="8009" w:type="dxa"/>
            <w:tcBorders>
              <w:top w:val="single" w:color="auto" w:sz="4" w:space="0"/>
              <w:left w:val="single" w:color="auto" w:sz="4" w:space="0"/>
              <w:bottom w:val="single" w:color="auto" w:sz="4" w:space="0"/>
              <w:right w:val="single" w:color="auto" w:sz="4" w:space="0"/>
            </w:tcBorders>
            <w:vAlign w:val="center"/>
          </w:tcPr>
          <w:p w14:paraId="4C677917">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采购人或者采购代理机构在资格审查结束前，对投标人进行信用查询。</w:t>
            </w:r>
          </w:p>
          <w:p w14:paraId="77BAEE7D">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查询渠道：“信用中国”网站（www.creditchina.gov.cn）、中国政府采购网（</w:t>
            </w:r>
            <w:r>
              <w:rPr>
                <w:rFonts w:hint="eastAsia" w:ascii="宋体" w:hAnsi="宋体" w:eastAsia="宋体" w:cs="宋体"/>
                <w:strike w:val="0"/>
                <w:dstrike w:val="0"/>
                <w:color w:val="auto"/>
                <w:sz w:val="21"/>
                <w:szCs w:val="21"/>
                <w:highlight w:val="none"/>
                <w:lang w:eastAsia="zh-CN"/>
              </w:rPr>
              <w:t>www.ccgp.gov.cn</w:t>
            </w:r>
            <w:r>
              <w:rPr>
                <w:rFonts w:hint="eastAsia" w:ascii="宋体" w:hAnsi="宋体" w:eastAsia="宋体" w:cs="宋体"/>
                <w:strike w:val="0"/>
                <w:dstrike w:val="0"/>
                <w:color w:val="auto"/>
                <w:sz w:val="21"/>
                <w:szCs w:val="21"/>
                <w:highlight w:val="none"/>
              </w:rPr>
              <w:t>）。</w:t>
            </w:r>
          </w:p>
          <w:p w14:paraId="0976AD32">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bookmarkStart w:id="163" w:name="OLE_LINK57"/>
            <w:bookmarkStart w:id="164" w:name="OLE_LINK58"/>
            <w:r>
              <w:rPr>
                <w:rFonts w:hint="eastAsia" w:ascii="宋体" w:hAnsi="宋体" w:eastAsia="宋体" w:cs="宋体"/>
                <w:strike w:val="0"/>
                <w:dstrike w:val="0"/>
                <w:color w:val="auto"/>
                <w:sz w:val="21"/>
                <w:szCs w:val="21"/>
                <w:highlight w:val="none"/>
              </w:rPr>
              <w:t>信用查询截止时点：资格审查结束前</w:t>
            </w:r>
          </w:p>
          <w:p w14:paraId="45442CDC">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查询记录和证据留存方式：在查询网站中直接打印查询记录，打印材料作为评审资料保存。</w:t>
            </w:r>
          </w:p>
          <w:bookmarkEnd w:id="163"/>
          <w:bookmarkEnd w:id="164"/>
          <w:p w14:paraId="29185139">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信用信息使用规则：对在“信用中国”网站（www.creditchina.gov.cn）、中国政府采购网（</w:t>
            </w:r>
            <w:r>
              <w:rPr>
                <w:rFonts w:hint="eastAsia" w:ascii="宋体" w:hAnsi="宋体" w:eastAsia="宋体" w:cs="宋体"/>
                <w:strike w:val="0"/>
                <w:dstrike w:val="0"/>
                <w:color w:val="auto"/>
                <w:sz w:val="21"/>
                <w:szCs w:val="21"/>
                <w:highlight w:val="none"/>
                <w:lang w:eastAsia="zh-CN"/>
              </w:rPr>
              <w:t>www.ccgp.gov.cn</w:t>
            </w:r>
            <w:r>
              <w:rPr>
                <w:rFonts w:hint="eastAsia" w:ascii="宋体" w:hAnsi="宋体" w:eastAsia="宋体" w:cs="宋体"/>
                <w:strike w:val="0"/>
                <w:dstrike w:val="0"/>
                <w:color w:val="auto"/>
                <w:sz w:val="21"/>
                <w:szCs w:val="21"/>
                <w:highlight w:val="none"/>
              </w:rPr>
              <w:t>）被列入失信被执行人、重大税收违法失信主体、政府采购严重违法失信行为记录名单及其他不符合《中华人民共和国政府采购法》第二十二条规定条件的投标人，采购人或者采购代理机构应当拒绝其参与政府采购活动。两个以上的自然人、法人或者其他组织组成一个联合体，以一个投标人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投标人）的，视同联合体存在不良信用记录。</w:t>
            </w:r>
          </w:p>
        </w:tc>
      </w:tr>
      <w:tr w14:paraId="1A281B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91A96B6">
            <w:pPr>
              <w:keepNext w:val="0"/>
              <w:keepLines w:val="0"/>
              <w:pageBreakBefore w:val="0"/>
              <w:widowControl w:val="0"/>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bookmarkStart w:id="165" w:name="_26"/>
            <w:bookmarkEnd w:id="165"/>
            <w:r>
              <w:rPr>
                <w:rFonts w:hint="eastAsia" w:ascii="宋体" w:hAnsi="宋体" w:eastAsia="宋体" w:cs="宋体"/>
                <w:strike w:val="0"/>
                <w:dstrike w:val="0"/>
                <w:color w:val="auto"/>
                <w:sz w:val="21"/>
                <w:szCs w:val="21"/>
                <w:highlight w:val="none"/>
              </w:rPr>
              <w:t>26.1</w:t>
            </w:r>
          </w:p>
        </w:tc>
        <w:tc>
          <w:tcPr>
            <w:tcW w:w="8009" w:type="dxa"/>
            <w:tcBorders>
              <w:top w:val="single" w:color="auto" w:sz="4" w:space="0"/>
              <w:left w:val="single" w:color="auto" w:sz="4" w:space="0"/>
              <w:bottom w:val="single" w:color="auto" w:sz="4" w:space="0"/>
              <w:right w:val="single" w:color="auto" w:sz="4" w:space="0"/>
            </w:tcBorders>
            <w:vAlign w:val="center"/>
          </w:tcPr>
          <w:p w14:paraId="63C0207E">
            <w:pPr>
              <w:keepNext w:val="0"/>
              <w:keepLines w:val="0"/>
              <w:pageBreakBefore w:val="0"/>
              <w:widowControl w:val="0"/>
              <w:kinsoku/>
              <w:wordWrap w:val="0"/>
              <w:overflowPunct/>
              <w:topLinePunct w:val="0"/>
              <w:autoSpaceDE w:val="0"/>
              <w:autoSpaceDN w:val="0"/>
              <w:bidi w:val="0"/>
              <w:adjustRightInd/>
              <w:snapToGrid w:val="0"/>
              <w:spacing w:line="400" w:lineRule="exact"/>
              <w:textAlignment w:val="bottom"/>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评标委员会的人数：</w:t>
            </w:r>
            <w:r>
              <w:rPr>
                <w:rFonts w:hint="eastAsia" w:ascii="宋体" w:hAnsi="宋体" w:cs="宋体"/>
                <w:strike w:val="0"/>
                <w:dstrike w:val="0"/>
                <w:color w:val="auto"/>
                <w:sz w:val="21"/>
                <w:szCs w:val="21"/>
                <w:highlight w:val="none"/>
                <w:u w:val="single"/>
                <w:lang w:val="en-US" w:eastAsia="zh-CN"/>
              </w:rPr>
              <w:t>7</w:t>
            </w:r>
            <w:r>
              <w:rPr>
                <w:rFonts w:hint="eastAsia" w:ascii="宋体" w:hAnsi="宋体" w:eastAsia="宋体" w:cs="宋体"/>
                <w:strike w:val="0"/>
                <w:dstrike w:val="0"/>
                <w:color w:val="auto"/>
                <w:sz w:val="21"/>
                <w:szCs w:val="21"/>
                <w:highlight w:val="none"/>
              </w:rPr>
              <w:t>人</w:t>
            </w:r>
          </w:p>
        </w:tc>
      </w:tr>
      <w:tr w14:paraId="3B4C3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5F3C7B2">
            <w:pPr>
              <w:keepNext w:val="0"/>
              <w:keepLines w:val="0"/>
              <w:pageBreakBefore w:val="0"/>
              <w:widowControl w:val="0"/>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bookmarkStart w:id="166" w:name="_28.3"/>
            <w:bookmarkEnd w:id="166"/>
            <w:r>
              <w:rPr>
                <w:rFonts w:hint="eastAsia" w:ascii="宋体" w:hAnsi="宋体" w:eastAsia="宋体" w:cs="宋体"/>
                <w:strike w:val="0"/>
                <w:dstrike w:val="0"/>
                <w:color w:val="auto"/>
                <w:sz w:val="21"/>
                <w:szCs w:val="21"/>
                <w:highlight w:val="none"/>
              </w:rPr>
              <w:t>29.1</w:t>
            </w:r>
          </w:p>
        </w:tc>
        <w:tc>
          <w:tcPr>
            <w:tcW w:w="8009" w:type="dxa"/>
            <w:tcBorders>
              <w:top w:val="single" w:color="auto" w:sz="4" w:space="0"/>
              <w:left w:val="single" w:color="auto" w:sz="4" w:space="0"/>
              <w:bottom w:val="single" w:color="auto" w:sz="4" w:space="0"/>
              <w:right w:val="single" w:color="auto" w:sz="4" w:space="0"/>
            </w:tcBorders>
            <w:vAlign w:val="center"/>
          </w:tcPr>
          <w:p w14:paraId="6E33B246">
            <w:pPr>
              <w:keepNext w:val="0"/>
              <w:keepLines w:val="0"/>
              <w:pageBreakBefore w:val="0"/>
              <w:widowControl w:val="0"/>
              <w:kinsoku/>
              <w:wordWrap w:val="0"/>
              <w:overflowPunct/>
              <w:topLinePunct w:val="0"/>
              <w:autoSpaceDE w:val="0"/>
              <w:autoSpaceDN w:val="0"/>
              <w:bidi w:val="0"/>
              <w:adjustRightInd/>
              <w:snapToGrid w:val="0"/>
              <w:spacing w:line="400" w:lineRule="exact"/>
              <w:textAlignment w:val="bottom"/>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评标方法：</w:t>
            </w:r>
          </w:p>
          <w:p w14:paraId="54D2E594">
            <w:pPr>
              <w:keepNext w:val="0"/>
              <w:keepLines w:val="0"/>
              <w:pageBreakBefore w:val="0"/>
              <w:widowControl w:val="0"/>
              <w:kinsoku/>
              <w:wordWrap w:val="0"/>
              <w:overflowPunct/>
              <w:topLinePunct w:val="0"/>
              <w:autoSpaceDE w:val="0"/>
              <w:autoSpaceDN w:val="0"/>
              <w:bidi w:val="0"/>
              <w:adjustRightInd/>
              <w:snapToGrid w:val="0"/>
              <w:spacing w:line="400" w:lineRule="exact"/>
              <w:textAlignment w:val="bottom"/>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☑综合评分法</w:t>
            </w:r>
          </w:p>
          <w:p w14:paraId="12AF03B7">
            <w:pPr>
              <w:keepNext w:val="0"/>
              <w:keepLines w:val="0"/>
              <w:pageBreakBefore w:val="0"/>
              <w:widowControl w:val="0"/>
              <w:kinsoku/>
              <w:wordWrap w:val="0"/>
              <w:overflowPunct/>
              <w:topLinePunct w:val="0"/>
              <w:autoSpaceDE w:val="0"/>
              <w:autoSpaceDN w:val="0"/>
              <w:bidi w:val="0"/>
              <w:adjustRightInd/>
              <w:snapToGrid w:val="0"/>
              <w:spacing w:line="400" w:lineRule="exact"/>
              <w:textAlignment w:val="bottom"/>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□最低评标价法</w:t>
            </w:r>
          </w:p>
        </w:tc>
      </w:tr>
      <w:tr w14:paraId="7EDEC8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64E39AE9">
            <w:pPr>
              <w:keepNext w:val="0"/>
              <w:keepLines w:val="0"/>
              <w:pageBreakBefore w:val="0"/>
              <w:widowControl w:val="0"/>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bookmarkStart w:id="167" w:name="_29.2.2（2）"/>
            <w:bookmarkEnd w:id="167"/>
            <w:r>
              <w:rPr>
                <w:rFonts w:hint="eastAsia" w:ascii="宋体" w:hAnsi="宋体" w:eastAsia="宋体" w:cs="宋体"/>
                <w:strike w:val="0"/>
                <w:dstrike w:val="0"/>
                <w:color w:val="auto"/>
                <w:sz w:val="21"/>
                <w:szCs w:val="21"/>
                <w:highlight w:val="none"/>
              </w:rPr>
              <w:t>29.2</w:t>
            </w:r>
          </w:p>
        </w:tc>
        <w:tc>
          <w:tcPr>
            <w:tcW w:w="8009" w:type="dxa"/>
            <w:tcBorders>
              <w:top w:val="single" w:color="auto" w:sz="4" w:space="0"/>
              <w:left w:val="single" w:color="auto" w:sz="4" w:space="0"/>
              <w:right w:val="single" w:color="auto" w:sz="4" w:space="0"/>
            </w:tcBorders>
            <w:vAlign w:val="center"/>
          </w:tcPr>
          <w:p w14:paraId="37309B66">
            <w:pPr>
              <w:keepNext w:val="0"/>
              <w:keepLines w:val="0"/>
              <w:pageBreakBefore w:val="0"/>
              <w:widowControl w:val="0"/>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bookmarkStart w:id="168" w:name="OLE_LINK8"/>
            <w:r>
              <w:rPr>
                <w:rFonts w:hint="eastAsia" w:ascii="宋体" w:hAnsi="宋体" w:eastAsia="宋体" w:cs="宋体"/>
                <w:strike w:val="0"/>
                <w:dstrike w:val="0"/>
                <w:color w:val="auto"/>
                <w:sz w:val="21"/>
                <w:szCs w:val="21"/>
                <w:highlight w:val="none"/>
              </w:rPr>
              <w:t>商务要求评审中允许负偏离的条款数</w:t>
            </w:r>
            <w:r>
              <w:rPr>
                <w:rFonts w:hint="eastAsia" w:ascii="宋体" w:hAnsi="宋体" w:eastAsia="宋体" w:cs="宋体"/>
                <w:strike w:val="0"/>
                <w:dstrike w:val="0"/>
                <w:color w:val="auto"/>
                <w:sz w:val="21"/>
                <w:szCs w:val="21"/>
                <w:highlight w:val="none"/>
                <w:u w:val="single"/>
                <w:lang w:val="en-US" w:eastAsia="zh-CN"/>
              </w:rPr>
              <w:t>/</w:t>
            </w:r>
            <w:r>
              <w:rPr>
                <w:rFonts w:hint="eastAsia" w:ascii="宋体" w:hAnsi="宋体" w:eastAsia="宋体" w:cs="宋体"/>
                <w:strike w:val="0"/>
                <w:dstrike w:val="0"/>
                <w:color w:val="auto"/>
                <w:sz w:val="21"/>
                <w:szCs w:val="21"/>
                <w:highlight w:val="none"/>
                <w:u w:val="single"/>
              </w:rPr>
              <w:t>项</w:t>
            </w:r>
            <w:r>
              <w:rPr>
                <w:rFonts w:hint="eastAsia" w:ascii="宋体" w:hAnsi="宋体" w:eastAsia="宋体" w:cs="宋体"/>
                <w:strike w:val="0"/>
                <w:dstrike w:val="0"/>
                <w:color w:val="auto"/>
                <w:sz w:val="21"/>
                <w:szCs w:val="21"/>
                <w:highlight w:val="none"/>
              </w:rPr>
              <w:t>。</w:t>
            </w:r>
          </w:p>
          <w:p w14:paraId="7F74B4B0">
            <w:pPr>
              <w:keepNext w:val="0"/>
              <w:keepLines w:val="0"/>
              <w:pageBreakBefore w:val="0"/>
              <w:widowControl w:val="0"/>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技术（服务）需求评审中允许负偏离的条款数</w:t>
            </w:r>
            <w:r>
              <w:rPr>
                <w:rFonts w:hint="eastAsia" w:ascii="宋体" w:hAnsi="宋体" w:eastAsia="宋体" w:cs="宋体"/>
                <w:strike w:val="0"/>
                <w:dstrike w:val="0"/>
                <w:color w:val="auto"/>
                <w:sz w:val="21"/>
                <w:szCs w:val="21"/>
                <w:highlight w:val="none"/>
                <w:u w:val="single"/>
                <w:lang w:val="en-US" w:eastAsia="zh-CN"/>
              </w:rPr>
              <w:t>/</w:t>
            </w:r>
            <w:r>
              <w:rPr>
                <w:rFonts w:hint="eastAsia" w:ascii="宋体" w:hAnsi="宋体" w:eastAsia="宋体" w:cs="宋体"/>
                <w:strike w:val="0"/>
                <w:dstrike w:val="0"/>
                <w:color w:val="auto"/>
                <w:sz w:val="21"/>
                <w:szCs w:val="21"/>
                <w:highlight w:val="none"/>
                <w:u w:val="single"/>
              </w:rPr>
              <w:t>项</w:t>
            </w:r>
            <w:r>
              <w:rPr>
                <w:rFonts w:hint="eastAsia" w:ascii="宋体" w:hAnsi="宋体" w:eastAsia="宋体" w:cs="宋体"/>
                <w:strike w:val="0"/>
                <w:dstrike w:val="0"/>
                <w:color w:val="auto"/>
                <w:sz w:val="21"/>
                <w:szCs w:val="21"/>
                <w:highlight w:val="none"/>
              </w:rPr>
              <w:t>。</w:t>
            </w:r>
            <w:bookmarkEnd w:id="168"/>
          </w:p>
        </w:tc>
      </w:tr>
      <w:tr w14:paraId="7D29E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4BD85752">
            <w:pPr>
              <w:keepNext w:val="0"/>
              <w:keepLines w:val="0"/>
              <w:pageBreakBefore w:val="0"/>
              <w:widowControl w:val="0"/>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29.3</w:t>
            </w:r>
          </w:p>
        </w:tc>
        <w:tc>
          <w:tcPr>
            <w:tcW w:w="8009" w:type="dxa"/>
            <w:tcBorders>
              <w:top w:val="single" w:color="auto" w:sz="4" w:space="0"/>
              <w:left w:val="single" w:color="auto" w:sz="4" w:space="0"/>
              <w:right w:val="single" w:color="auto" w:sz="4" w:space="0"/>
            </w:tcBorders>
            <w:vAlign w:val="center"/>
          </w:tcPr>
          <w:p w14:paraId="36E47085">
            <w:pPr>
              <w:keepNext w:val="0"/>
              <w:keepLines w:val="0"/>
              <w:pageBreakBefore w:val="0"/>
              <w:widowControl w:val="0"/>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中标候选人推荐数量：</w:t>
            </w:r>
            <w:r>
              <w:rPr>
                <w:rFonts w:hint="eastAsia" w:ascii="宋体" w:hAnsi="宋体" w:eastAsia="宋体" w:cs="宋体"/>
                <w:strike w:val="0"/>
                <w:dstrike w:val="0"/>
                <w:color w:val="auto"/>
                <w:sz w:val="21"/>
                <w:szCs w:val="21"/>
                <w:highlight w:val="none"/>
                <w:u w:val="single"/>
              </w:rPr>
              <w:t>3</w:t>
            </w:r>
            <w:r>
              <w:rPr>
                <w:rFonts w:hint="eastAsia" w:ascii="宋体" w:hAnsi="宋体" w:eastAsia="宋体" w:cs="宋体"/>
                <w:strike w:val="0"/>
                <w:dstrike w:val="0"/>
                <w:color w:val="auto"/>
                <w:sz w:val="21"/>
                <w:szCs w:val="21"/>
                <w:highlight w:val="none"/>
              </w:rPr>
              <w:t>名</w:t>
            </w:r>
          </w:p>
        </w:tc>
      </w:tr>
      <w:tr w14:paraId="260E98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13F24F5">
            <w:pPr>
              <w:keepNext w:val="0"/>
              <w:keepLines w:val="0"/>
              <w:pageBreakBefore w:val="0"/>
              <w:widowControl w:val="0"/>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30.1</w:t>
            </w:r>
          </w:p>
        </w:tc>
        <w:tc>
          <w:tcPr>
            <w:tcW w:w="8009" w:type="dxa"/>
            <w:tcBorders>
              <w:top w:val="single" w:color="auto" w:sz="4" w:space="0"/>
              <w:left w:val="single" w:color="auto" w:sz="4" w:space="0"/>
              <w:bottom w:val="single" w:color="auto" w:sz="4" w:space="0"/>
              <w:right w:val="single" w:color="auto" w:sz="4" w:space="0"/>
            </w:tcBorders>
            <w:vAlign w:val="center"/>
          </w:tcPr>
          <w:p w14:paraId="73C0C4D4">
            <w:pPr>
              <w:keepNext w:val="0"/>
              <w:keepLines w:val="0"/>
              <w:pageBreakBefore w:val="0"/>
              <w:widowControl w:val="0"/>
              <w:kinsoku/>
              <w:wordWrap w:val="0"/>
              <w:overflowPunct/>
              <w:topLinePunct w:val="0"/>
              <w:autoSpaceDE w:val="0"/>
              <w:autoSpaceDN w:val="0"/>
              <w:bidi w:val="0"/>
              <w:adjustRightInd/>
              <w:snapToGrid w:val="0"/>
              <w:spacing w:line="400" w:lineRule="exact"/>
              <w:textAlignment w:val="bottom"/>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采用综合评分法的采购项目，采购人确定中标人时，出现中标候选人并列的情形，采购人按以下的方式确定中标人：</w:t>
            </w:r>
          </w:p>
          <w:p w14:paraId="15AA79EC">
            <w:pPr>
              <w:keepNext w:val="0"/>
              <w:keepLines w:val="0"/>
              <w:pageBreakBefore w:val="0"/>
              <w:widowControl w:val="0"/>
              <w:kinsoku/>
              <w:wordWrap w:val="0"/>
              <w:overflowPunct/>
              <w:topLinePunct w:val="0"/>
              <w:autoSpaceDE w:val="0"/>
              <w:autoSpaceDN w:val="0"/>
              <w:bidi w:val="0"/>
              <w:adjustRightInd/>
              <w:snapToGrid w:val="0"/>
              <w:spacing w:line="400" w:lineRule="exact"/>
              <w:textAlignment w:val="bottom"/>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□政策分得分高的优先、技术评分高的优先、商务评分高的优先、项目质保期长优先、交货期短优先、故障响应时间短优先的顺序；</w:t>
            </w:r>
          </w:p>
          <w:p w14:paraId="0A3D06D2">
            <w:pPr>
              <w:keepNext w:val="0"/>
              <w:keepLines w:val="0"/>
              <w:pageBreakBefore w:val="0"/>
              <w:widowControl w:val="0"/>
              <w:kinsoku/>
              <w:wordWrap w:val="0"/>
              <w:overflowPunct/>
              <w:topLinePunct w:val="0"/>
              <w:autoSpaceDE w:val="0"/>
              <w:autoSpaceDN w:val="0"/>
              <w:bidi w:val="0"/>
              <w:adjustRightInd/>
              <w:snapToGrid w:val="0"/>
              <w:spacing w:line="400" w:lineRule="exact"/>
              <w:textAlignment w:val="bottom"/>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☑依次按技术评分高的优先、商务评分高的优先</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投标报价低的优先的顺序确定；若以上相同的，由评标委员会采用不记名投票决定，票数高的优先推荐。</w:t>
            </w:r>
          </w:p>
          <w:p w14:paraId="7655B664">
            <w:pPr>
              <w:keepNext w:val="0"/>
              <w:keepLines w:val="0"/>
              <w:pageBreakBefore w:val="0"/>
              <w:widowControl w:val="0"/>
              <w:kinsoku/>
              <w:wordWrap w:val="0"/>
              <w:overflowPunct/>
              <w:topLinePunct w:val="0"/>
              <w:autoSpaceDE w:val="0"/>
              <w:autoSpaceDN w:val="0"/>
              <w:bidi w:val="0"/>
              <w:adjustRightInd/>
              <w:snapToGrid w:val="0"/>
              <w:spacing w:line="400" w:lineRule="exact"/>
              <w:textAlignment w:val="bottom"/>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□随机抽取</w:t>
            </w:r>
          </w:p>
        </w:tc>
      </w:tr>
      <w:tr w14:paraId="1291C8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17B9005B">
            <w:pPr>
              <w:keepNext w:val="0"/>
              <w:keepLines w:val="0"/>
              <w:pageBreakBefore w:val="0"/>
              <w:widowControl w:val="0"/>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bookmarkStart w:id="169" w:name="_39.1"/>
            <w:bookmarkEnd w:id="169"/>
            <w:r>
              <w:rPr>
                <w:rFonts w:hint="eastAsia" w:ascii="宋体" w:hAnsi="宋体" w:eastAsia="宋体" w:cs="宋体"/>
                <w:strike w:val="0"/>
                <w:dstrike w:val="0"/>
                <w:color w:val="auto"/>
                <w:sz w:val="21"/>
                <w:szCs w:val="21"/>
                <w:highlight w:val="none"/>
              </w:rPr>
              <w:t>35.1</w:t>
            </w:r>
          </w:p>
        </w:tc>
        <w:tc>
          <w:tcPr>
            <w:tcW w:w="8009" w:type="dxa"/>
            <w:tcBorders>
              <w:top w:val="single" w:color="auto" w:sz="4" w:space="0"/>
              <w:left w:val="single" w:color="auto" w:sz="4" w:space="0"/>
              <w:bottom w:val="single" w:color="auto" w:sz="4" w:space="0"/>
              <w:right w:val="single" w:color="auto" w:sz="4" w:space="0"/>
            </w:tcBorders>
            <w:vAlign w:val="center"/>
          </w:tcPr>
          <w:p w14:paraId="767C5E79">
            <w:pPr>
              <w:keepNext w:val="0"/>
              <w:keepLines w:val="0"/>
              <w:pageBreakBefore w:val="0"/>
              <w:widowControl w:val="0"/>
              <w:kinsoku/>
              <w:wordWrap w:val="0"/>
              <w:overflowPunct/>
              <w:topLinePunct w:val="0"/>
              <w:autoSpaceDE w:val="0"/>
              <w:autoSpaceDN w:val="0"/>
              <w:bidi w:val="0"/>
              <w:adjustRightInd/>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color w:val="auto"/>
                <w:sz w:val="21"/>
                <w:szCs w:val="21"/>
                <w:highlight w:val="none"/>
              </w:rPr>
              <w:t>本项目不收取履约保证金。</w:t>
            </w:r>
          </w:p>
          <w:p w14:paraId="07BC269D">
            <w:pPr>
              <w:keepNext w:val="0"/>
              <w:keepLines w:val="0"/>
              <w:pageBreakBefore w:val="0"/>
              <w:widowControl w:val="0"/>
              <w:kinsoku/>
              <w:wordWrap w:val="0"/>
              <w:overflowPunct/>
              <w:topLinePunct w:val="0"/>
              <w:autoSpaceDE w:val="0"/>
              <w:autoSpaceDN w:val="0"/>
              <w:bidi w:val="0"/>
              <w:adjustRightInd/>
              <w:snapToGrid w:val="0"/>
              <w:spacing w:line="400" w:lineRule="exact"/>
              <w:jc w:val="left"/>
              <w:textAlignment w:val="bottom"/>
              <w:rPr>
                <w:rFonts w:hint="eastAsia" w:ascii="宋体" w:hAnsi="宋体" w:eastAsia="宋体" w:cs="宋体"/>
                <w:strike w:val="0"/>
                <w:dstrike w:val="0"/>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rPr>
              <w:t>本项目收取履约保证金，具体规定如下：</w:t>
            </w:r>
          </w:p>
          <w:p w14:paraId="5B7DBA72">
            <w:pPr>
              <w:keepNext w:val="0"/>
              <w:keepLines w:val="0"/>
              <w:pageBreakBefore w:val="0"/>
              <w:widowControl w:val="0"/>
              <w:kinsoku/>
              <w:wordWrap w:val="0"/>
              <w:overflowPunct/>
              <w:topLinePunct w:val="0"/>
              <w:autoSpaceDE w:val="0"/>
              <w:autoSpaceDN w:val="0"/>
              <w:bidi w:val="0"/>
              <w:adjustRightInd/>
              <w:snapToGrid w:val="0"/>
              <w:spacing w:line="400" w:lineRule="exact"/>
              <w:jc w:val="left"/>
              <w:textAlignment w:val="bottom"/>
              <w:rPr>
                <w:rFonts w:hint="eastAsia" w:ascii="宋体" w:hAnsi="宋体" w:eastAsia="宋体" w:cs="宋体"/>
                <w:strike w:val="0"/>
                <w:dstrike w:val="0"/>
                <w:color w:val="auto"/>
                <w:sz w:val="21"/>
                <w:szCs w:val="21"/>
                <w:highlight w:val="none"/>
                <w:lang w:eastAsia="zh-CN"/>
              </w:rPr>
            </w:pPr>
            <w:r>
              <w:rPr>
                <w:rFonts w:hint="eastAsia" w:ascii="宋体" w:hAnsi="宋体" w:eastAsia="宋体" w:cs="宋体"/>
                <w:strike w:val="0"/>
                <w:dstrike w:val="0"/>
                <w:color w:val="auto"/>
                <w:sz w:val="21"/>
                <w:szCs w:val="21"/>
                <w:highlight w:val="none"/>
              </w:rPr>
              <w:t>1）履约保证金金额：</w:t>
            </w:r>
            <w:r>
              <w:rPr>
                <w:rFonts w:hint="eastAsia" w:ascii="宋体" w:hAnsi="宋体" w:cs="宋体"/>
                <w:strike w:val="0"/>
                <w:dstrike w:val="0"/>
                <w:color w:val="auto"/>
                <w:sz w:val="21"/>
                <w:szCs w:val="21"/>
                <w:highlight w:val="none"/>
                <w:u w:val="single"/>
                <w:lang w:val="en-US" w:eastAsia="zh-CN"/>
              </w:rPr>
              <w:t>合同金额</w:t>
            </w:r>
            <w:r>
              <w:rPr>
                <w:rFonts w:hint="eastAsia" w:ascii="宋体" w:hAnsi="宋体" w:cs="宋体"/>
                <w:strike w:val="0"/>
                <w:dstrike w:val="0"/>
                <w:color w:val="auto"/>
                <w:sz w:val="21"/>
                <w:szCs w:val="21"/>
                <w:highlight w:val="none"/>
                <w:u w:val="single"/>
                <w:lang w:eastAsia="zh-CN"/>
              </w:rPr>
              <w:t>5%（中小企业缴纳</w:t>
            </w:r>
            <w:r>
              <w:rPr>
                <w:rFonts w:hint="eastAsia" w:ascii="宋体" w:hAnsi="宋体" w:cs="宋体"/>
                <w:strike w:val="0"/>
                <w:dstrike w:val="0"/>
                <w:color w:val="auto"/>
                <w:sz w:val="21"/>
                <w:szCs w:val="21"/>
                <w:highlight w:val="none"/>
                <w:u w:val="single"/>
                <w:lang w:val="en-US" w:eastAsia="zh-CN"/>
              </w:rPr>
              <w:t>合同</w:t>
            </w:r>
            <w:r>
              <w:rPr>
                <w:rFonts w:hint="eastAsia" w:ascii="宋体" w:hAnsi="宋体" w:cs="宋体"/>
                <w:strike w:val="0"/>
                <w:dstrike w:val="0"/>
                <w:color w:val="auto"/>
                <w:sz w:val="21"/>
                <w:szCs w:val="21"/>
                <w:highlight w:val="none"/>
                <w:u w:val="single"/>
                <w:lang w:eastAsia="zh-CN"/>
              </w:rPr>
              <w:t>金额2%）</w:t>
            </w:r>
            <w:r>
              <w:rPr>
                <w:rFonts w:hint="eastAsia" w:ascii="宋体" w:hAnsi="宋体" w:eastAsia="宋体" w:cs="宋体"/>
                <w:strike w:val="0"/>
                <w:dstrike w:val="0"/>
                <w:color w:val="auto"/>
                <w:sz w:val="21"/>
                <w:szCs w:val="21"/>
                <w:highlight w:val="none"/>
                <w:u w:val="single"/>
                <w:lang w:eastAsia="zh-CN"/>
              </w:rPr>
              <w:t>。</w:t>
            </w:r>
          </w:p>
          <w:p w14:paraId="36B05A4B">
            <w:pPr>
              <w:keepNext w:val="0"/>
              <w:keepLines w:val="0"/>
              <w:pageBreakBefore w:val="0"/>
              <w:widowControl w:val="0"/>
              <w:kinsoku/>
              <w:wordWrap w:val="0"/>
              <w:overflowPunct/>
              <w:topLinePunct w:val="0"/>
              <w:autoSpaceDE w:val="0"/>
              <w:autoSpaceDN w:val="0"/>
              <w:bidi w:val="0"/>
              <w:adjustRightInd/>
              <w:snapToGrid w:val="0"/>
              <w:spacing w:line="400" w:lineRule="exact"/>
              <w:jc w:val="left"/>
              <w:textAlignment w:val="bottom"/>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2）履约保证金递交方式：</w:t>
            </w:r>
            <w:r>
              <w:rPr>
                <w:rFonts w:hint="eastAsia" w:ascii="宋体" w:hAnsi="宋体" w:eastAsia="宋体" w:cs="宋体"/>
                <w:strike w:val="0"/>
                <w:dstrike w:val="0"/>
                <w:color w:val="auto"/>
                <w:sz w:val="21"/>
                <w:szCs w:val="21"/>
                <w:highlight w:val="none"/>
                <w:u w:val="single"/>
              </w:rPr>
              <w:t>支票、汇票、本票或者金融机构出具的保函等非现金方式。</w:t>
            </w:r>
          </w:p>
          <w:p w14:paraId="5F1EE795">
            <w:pPr>
              <w:keepNext w:val="0"/>
              <w:keepLines w:val="0"/>
              <w:pageBreakBefore w:val="0"/>
              <w:widowControl w:val="0"/>
              <w:kinsoku/>
              <w:wordWrap w:val="0"/>
              <w:overflowPunct/>
              <w:topLinePunct w:val="0"/>
              <w:autoSpaceDE w:val="0"/>
              <w:autoSpaceDN w:val="0"/>
              <w:bidi w:val="0"/>
              <w:adjustRightInd/>
              <w:snapToGrid w:val="0"/>
              <w:spacing w:line="400" w:lineRule="exact"/>
              <w:jc w:val="left"/>
              <w:textAlignment w:val="bottom"/>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3）履约保证金退付方式、时间及条件：</w:t>
            </w:r>
            <w:r>
              <w:rPr>
                <w:rFonts w:hint="eastAsia" w:ascii="宋体" w:hAnsi="宋体" w:eastAsia="宋体" w:cs="宋体"/>
                <w:strike w:val="0"/>
                <w:dstrike w:val="0"/>
                <w:color w:val="auto"/>
                <w:sz w:val="21"/>
                <w:szCs w:val="21"/>
                <w:highlight w:val="none"/>
                <w:u w:val="single"/>
              </w:rPr>
              <w:t>由</w:t>
            </w:r>
            <w:r>
              <w:rPr>
                <w:rFonts w:hint="eastAsia" w:ascii="宋体" w:hAnsi="宋体" w:eastAsia="宋体" w:cs="宋体"/>
                <w:strike w:val="0"/>
                <w:dstrike w:val="0"/>
                <w:color w:val="auto"/>
                <w:sz w:val="21"/>
                <w:szCs w:val="21"/>
                <w:highlight w:val="none"/>
                <w:u w:val="single"/>
                <w:lang w:val="en-US" w:eastAsia="zh-CN"/>
              </w:rPr>
              <w:t>中标人</w:t>
            </w:r>
            <w:r>
              <w:rPr>
                <w:rFonts w:hint="eastAsia" w:ascii="宋体" w:hAnsi="宋体" w:eastAsia="宋体" w:cs="宋体"/>
                <w:strike w:val="0"/>
                <w:dstrike w:val="0"/>
                <w:color w:val="auto"/>
                <w:sz w:val="21"/>
                <w:szCs w:val="21"/>
                <w:highlight w:val="none"/>
                <w:u w:val="single"/>
              </w:rPr>
              <w:t>向</w:t>
            </w:r>
            <w:r>
              <w:rPr>
                <w:rFonts w:hint="eastAsia" w:ascii="宋体" w:hAnsi="宋体" w:eastAsia="宋体" w:cs="宋体"/>
                <w:strike w:val="0"/>
                <w:dstrike w:val="0"/>
                <w:color w:val="auto"/>
                <w:sz w:val="21"/>
                <w:szCs w:val="21"/>
                <w:highlight w:val="none"/>
                <w:u w:val="single"/>
                <w:lang w:val="en-US" w:eastAsia="zh-CN"/>
              </w:rPr>
              <w:t>采购人</w:t>
            </w:r>
            <w:r>
              <w:rPr>
                <w:rFonts w:hint="eastAsia" w:ascii="宋体" w:hAnsi="宋体" w:eastAsia="宋体" w:cs="宋体"/>
                <w:strike w:val="0"/>
                <w:dstrike w:val="0"/>
                <w:color w:val="auto"/>
                <w:sz w:val="21"/>
                <w:szCs w:val="21"/>
                <w:highlight w:val="none"/>
                <w:u w:val="single"/>
              </w:rPr>
              <w:t>提供《广西壮族自治区政府采购项目合同验收书》及《政府采购项目履约保证金退付意见书》，</w:t>
            </w:r>
            <w:r>
              <w:rPr>
                <w:rFonts w:hint="eastAsia" w:ascii="宋体" w:hAnsi="宋体" w:eastAsia="宋体" w:cs="宋体"/>
                <w:strike w:val="0"/>
                <w:dstrike w:val="0"/>
                <w:color w:val="auto"/>
                <w:sz w:val="21"/>
                <w:szCs w:val="21"/>
                <w:highlight w:val="none"/>
                <w:u w:val="single"/>
                <w:lang w:val="en-US" w:eastAsia="zh-CN"/>
              </w:rPr>
              <w:t>采购人</w:t>
            </w:r>
            <w:r>
              <w:rPr>
                <w:rFonts w:hint="eastAsia" w:ascii="宋体" w:hAnsi="宋体" w:eastAsia="宋体" w:cs="宋体"/>
                <w:strike w:val="0"/>
                <w:dstrike w:val="0"/>
                <w:color w:val="auto"/>
                <w:sz w:val="21"/>
                <w:szCs w:val="21"/>
                <w:highlight w:val="none"/>
                <w:u w:val="single"/>
              </w:rPr>
              <w:t>在收到合格材料后五个工作日内办理退还手续（不计利息）。</w:t>
            </w:r>
          </w:p>
          <w:p w14:paraId="04631313">
            <w:pPr>
              <w:keepNext w:val="0"/>
              <w:keepLines w:val="0"/>
              <w:pageBreakBefore w:val="0"/>
              <w:widowControl w:val="0"/>
              <w:kinsoku/>
              <w:wordWrap w:val="0"/>
              <w:overflowPunct/>
              <w:topLinePunct w:val="0"/>
              <w:autoSpaceDE w:val="0"/>
              <w:autoSpaceDN w:val="0"/>
              <w:bidi w:val="0"/>
              <w:adjustRightInd/>
              <w:snapToGrid w:val="0"/>
              <w:spacing w:line="400" w:lineRule="exact"/>
              <w:jc w:val="left"/>
              <w:textAlignment w:val="bottom"/>
              <w:rPr>
                <w:rFonts w:hint="eastAsia" w:ascii="宋体" w:hAnsi="宋体" w:eastAsia="宋体" w:cs="宋体"/>
                <w:strike w:val="0"/>
                <w:dstrike w:val="0"/>
                <w:color w:val="auto"/>
                <w:sz w:val="21"/>
                <w:szCs w:val="21"/>
                <w:highlight w:val="none"/>
                <w:u w:val="single"/>
                <w:lang w:val="en-US" w:eastAsia="zh-CN"/>
              </w:rPr>
            </w:pPr>
            <w:r>
              <w:rPr>
                <w:rFonts w:hint="eastAsia" w:ascii="宋体" w:hAnsi="宋体" w:eastAsia="宋体" w:cs="宋体"/>
                <w:strike w:val="0"/>
                <w:dstrike w:val="0"/>
                <w:color w:val="auto"/>
                <w:sz w:val="21"/>
                <w:szCs w:val="21"/>
                <w:highlight w:val="none"/>
                <w:lang w:val="en-US" w:eastAsia="zh-CN"/>
              </w:rPr>
              <w:t>4）</w:t>
            </w:r>
            <w:r>
              <w:rPr>
                <w:rFonts w:hint="eastAsia" w:ascii="宋体" w:hAnsi="宋体" w:eastAsia="宋体" w:cs="宋体"/>
                <w:strike w:val="0"/>
                <w:dstrike w:val="0"/>
                <w:color w:val="auto"/>
                <w:sz w:val="21"/>
                <w:szCs w:val="21"/>
                <w:highlight w:val="none"/>
              </w:rPr>
              <w:t>履约保证金</w:t>
            </w:r>
            <w:r>
              <w:rPr>
                <w:rFonts w:hint="eastAsia" w:ascii="宋体" w:hAnsi="宋体" w:eastAsia="宋体" w:cs="宋体"/>
                <w:strike w:val="0"/>
                <w:dstrike w:val="0"/>
                <w:color w:val="auto"/>
                <w:sz w:val="21"/>
                <w:szCs w:val="21"/>
                <w:highlight w:val="none"/>
                <w:lang w:val="en-US" w:eastAsia="zh-CN"/>
              </w:rPr>
              <w:t>缴纳期限：</w:t>
            </w:r>
            <w:r>
              <w:rPr>
                <w:rFonts w:hint="eastAsia" w:ascii="宋体" w:hAnsi="宋体" w:eastAsia="宋体" w:cs="宋体"/>
                <w:strike w:val="0"/>
                <w:dstrike w:val="0"/>
                <w:color w:val="auto"/>
                <w:sz w:val="21"/>
                <w:szCs w:val="21"/>
                <w:highlight w:val="none"/>
                <w:u w:val="single"/>
              </w:rPr>
              <w:t>签订合同后</w:t>
            </w:r>
            <w:r>
              <w:rPr>
                <w:rFonts w:hint="eastAsia" w:ascii="宋体" w:hAnsi="宋体" w:eastAsia="宋体" w:cs="宋体"/>
                <w:strike w:val="0"/>
                <w:dstrike w:val="0"/>
                <w:color w:val="auto"/>
                <w:sz w:val="21"/>
                <w:szCs w:val="21"/>
                <w:highlight w:val="none"/>
                <w:u w:val="single"/>
                <w:lang w:val="en-US" w:eastAsia="zh-CN"/>
              </w:rPr>
              <w:t>10</w:t>
            </w:r>
            <w:r>
              <w:rPr>
                <w:rFonts w:hint="eastAsia" w:ascii="宋体" w:hAnsi="宋体" w:eastAsia="宋体" w:cs="宋体"/>
                <w:strike w:val="0"/>
                <w:dstrike w:val="0"/>
                <w:color w:val="auto"/>
                <w:sz w:val="21"/>
                <w:szCs w:val="21"/>
                <w:highlight w:val="none"/>
                <w:u w:val="single"/>
              </w:rPr>
              <w:t>个工作日内</w:t>
            </w:r>
            <w:r>
              <w:rPr>
                <w:rFonts w:hint="eastAsia" w:ascii="宋体" w:hAnsi="宋体" w:eastAsia="宋体" w:cs="宋体"/>
                <w:strike w:val="0"/>
                <w:dstrike w:val="0"/>
                <w:color w:val="auto"/>
                <w:sz w:val="21"/>
                <w:szCs w:val="21"/>
                <w:highlight w:val="none"/>
                <w:u w:val="single"/>
                <w:lang w:eastAsia="zh-CN"/>
              </w:rPr>
              <w:t>。</w:t>
            </w:r>
          </w:p>
          <w:p w14:paraId="5854EF05">
            <w:pPr>
              <w:keepNext w:val="0"/>
              <w:keepLines w:val="0"/>
              <w:pageBreakBefore w:val="0"/>
              <w:widowControl w:val="0"/>
              <w:kinsoku/>
              <w:wordWrap w:val="0"/>
              <w:overflowPunct/>
              <w:topLinePunct w:val="0"/>
              <w:autoSpaceDE w:val="0"/>
              <w:autoSpaceDN w:val="0"/>
              <w:bidi w:val="0"/>
              <w:adjustRightInd/>
              <w:snapToGrid w:val="0"/>
              <w:spacing w:line="400" w:lineRule="exact"/>
              <w:jc w:val="left"/>
              <w:textAlignment w:val="bottom"/>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履约保证金指定账户：</w:t>
            </w:r>
          </w:p>
          <w:p w14:paraId="4A884231">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开户名称：</w:t>
            </w:r>
            <w:r>
              <w:rPr>
                <w:rFonts w:hint="eastAsia" w:ascii="宋体" w:hAnsi="宋体" w:eastAsia="宋体" w:cs="宋体"/>
                <w:strike w:val="0"/>
                <w:dstrike w:val="0"/>
                <w:color w:val="auto"/>
                <w:sz w:val="21"/>
                <w:szCs w:val="21"/>
                <w:highlight w:val="none"/>
                <w:u w:val="single"/>
              </w:rPr>
              <w:t xml:space="preserve">        /        </w:t>
            </w:r>
            <w:r>
              <w:rPr>
                <w:rFonts w:hint="eastAsia" w:ascii="宋体" w:hAnsi="宋体" w:eastAsia="宋体" w:cs="宋体"/>
                <w:strike w:val="0"/>
                <w:dstrike w:val="0"/>
                <w:color w:val="auto"/>
                <w:sz w:val="21"/>
                <w:szCs w:val="21"/>
                <w:highlight w:val="none"/>
              </w:rPr>
              <w:t>开户银行：</w:t>
            </w:r>
            <w:r>
              <w:rPr>
                <w:rFonts w:hint="eastAsia" w:ascii="宋体" w:hAnsi="宋体" w:eastAsia="宋体" w:cs="宋体"/>
                <w:strike w:val="0"/>
                <w:dstrike w:val="0"/>
                <w:color w:val="auto"/>
                <w:sz w:val="21"/>
                <w:szCs w:val="21"/>
                <w:highlight w:val="none"/>
                <w:u w:val="single"/>
              </w:rPr>
              <w:t xml:space="preserve">        /        </w:t>
            </w:r>
          </w:p>
          <w:p w14:paraId="4A80533A">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开户行行号：</w:t>
            </w:r>
            <w:r>
              <w:rPr>
                <w:rFonts w:hint="eastAsia" w:ascii="宋体" w:hAnsi="宋体" w:eastAsia="宋体" w:cs="宋体"/>
                <w:strike w:val="0"/>
                <w:dstrike w:val="0"/>
                <w:color w:val="auto"/>
                <w:sz w:val="21"/>
                <w:szCs w:val="21"/>
                <w:highlight w:val="none"/>
                <w:u w:val="single"/>
              </w:rPr>
              <w:t xml:space="preserve">        /      </w:t>
            </w:r>
            <w:r>
              <w:rPr>
                <w:rFonts w:hint="eastAsia" w:ascii="宋体" w:hAnsi="宋体" w:eastAsia="宋体" w:cs="宋体"/>
                <w:strike w:val="0"/>
                <w:dstrike w:val="0"/>
                <w:color w:val="auto"/>
                <w:sz w:val="21"/>
                <w:szCs w:val="21"/>
                <w:highlight w:val="none"/>
              </w:rPr>
              <w:t>银行账号：</w:t>
            </w:r>
            <w:r>
              <w:rPr>
                <w:rFonts w:hint="eastAsia" w:ascii="宋体" w:hAnsi="宋体" w:eastAsia="宋体" w:cs="宋体"/>
                <w:strike w:val="0"/>
                <w:dstrike w:val="0"/>
                <w:color w:val="auto"/>
                <w:sz w:val="21"/>
                <w:szCs w:val="21"/>
                <w:highlight w:val="none"/>
                <w:u w:val="single"/>
              </w:rPr>
              <w:t xml:space="preserve">        /        </w:t>
            </w:r>
          </w:p>
          <w:p w14:paraId="0E7AB795">
            <w:pPr>
              <w:keepNext w:val="0"/>
              <w:keepLines w:val="0"/>
              <w:pageBreakBefore w:val="0"/>
              <w:widowControl w:val="0"/>
              <w:kinsoku/>
              <w:wordWrap w:val="0"/>
              <w:overflowPunct/>
              <w:topLinePunct w:val="0"/>
              <w:autoSpaceDE w:val="0"/>
              <w:autoSpaceDN w:val="0"/>
              <w:bidi w:val="0"/>
              <w:adjustRightInd/>
              <w:snapToGrid w:val="0"/>
              <w:spacing w:line="400" w:lineRule="exact"/>
              <w:textAlignment w:val="bottom"/>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备注：</w:t>
            </w:r>
          </w:p>
          <w:p w14:paraId="07CDD0C2">
            <w:pPr>
              <w:keepNext w:val="0"/>
              <w:keepLines w:val="0"/>
              <w:pageBreakBefore w:val="0"/>
              <w:widowControl w:val="0"/>
              <w:kinsoku/>
              <w:wordWrap w:val="0"/>
              <w:overflowPunct/>
              <w:topLinePunct w:val="0"/>
              <w:autoSpaceDE w:val="0"/>
              <w:autoSpaceDN w:val="0"/>
              <w:bidi w:val="0"/>
              <w:adjustRightInd/>
              <w:snapToGrid w:val="0"/>
              <w:spacing w:line="400" w:lineRule="exact"/>
              <w:textAlignment w:val="bottom"/>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1.</w:t>
            </w:r>
            <w:bookmarkStart w:id="170" w:name="_Hlk54170335"/>
            <w:r>
              <w:rPr>
                <w:rFonts w:hint="eastAsia" w:ascii="宋体" w:hAnsi="宋体" w:eastAsia="宋体" w:cs="宋体"/>
                <w:b/>
                <w:strike w:val="0"/>
                <w:dstrike w:val="0"/>
                <w:color w:val="auto"/>
                <w:sz w:val="21"/>
                <w:szCs w:val="21"/>
                <w:highlight w:val="none"/>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5%。</w:t>
            </w:r>
            <w:bookmarkEnd w:id="170"/>
            <w:r>
              <w:rPr>
                <w:rFonts w:hint="eastAsia" w:ascii="宋体" w:hAnsi="宋体" w:eastAsia="宋体" w:cs="宋体"/>
                <w:b/>
                <w:strike w:val="0"/>
                <w:dstrike w:val="0"/>
                <w:color w:val="auto"/>
                <w:sz w:val="21"/>
                <w:szCs w:val="21"/>
                <w:highlight w:val="none"/>
              </w:rPr>
              <w:br w:type="textWrapping"/>
            </w:r>
            <w:r>
              <w:rPr>
                <w:rFonts w:hint="eastAsia" w:ascii="宋体" w:hAnsi="宋体" w:eastAsia="宋体" w:cs="宋体"/>
                <w:b/>
                <w:strike w:val="0"/>
                <w:dstrike w:val="0"/>
                <w:color w:val="auto"/>
                <w:sz w:val="21"/>
                <w:szCs w:val="21"/>
                <w:highlight w:val="none"/>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hint="eastAsia" w:ascii="宋体" w:hAnsi="宋体" w:eastAsia="宋体" w:cs="宋体"/>
                <w:b/>
                <w:strike w:val="0"/>
                <w:dstrike w:val="0"/>
                <w:color w:val="auto"/>
                <w:sz w:val="21"/>
                <w:szCs w:val="21"/>
                <w:highlight w:val="none"/>
              </w:rPr>
              <w:br w:type="textWrapping"/>
            </w:r>
            <w:r>
              <w:rPr>
                <w:rFonts w:hint="eastAsia" w:ascii="宋体" w:hAnsi="宋体" w:eastAsia="宋体" w:cs="宋体"/>
                <w:b/>
                <w:strike w:val="0"/>
                <w:dstrike w:val="0"/>
                <w:color w:val="auto"/>
                <w:sz w:val="21"/>
                <w:szCs w:val="21"/>
                <w:highlight w:val="none"/>
              </w:rPr>
              <w:t>3.采用金融、担保机构出具的保函的，必须为无条件保函，否则不予签订合同。</w:t>
            </w:r>
          </w:p>
          <w:p w14:paraId="3A870278">
            <w:pPr>
              <w:keepNext w:val="0"/>
              <w:keepLines w:val="0"/>
              <w:pageBreakBefore w:val="0"/>
              <w:widowControl w:val="0"/>
              <w:kinsoku/>
              <w:wordWrap w:val="0"/>
              <w:overflowPunct/>
              <w:topLinePunct w:val="0"/>
              <w:autoSpaceDE w:val="0"/>
              <w:autoSpaceDN w:val="0"/>
              <w:bidi w:val="0"/>
              <w:adjustRightInd/>
              <w:snapToGrid w:val="0"/>
              <w:spacing w:line="400" w:lineRule="exact"/>
              <w:textAlignment w:val="bottom"/>
              <w:rPr>
                <w:rFonts w:hint="eastAsia" w:ascii="宋体" w:hAnsi="宋体" w:eastAsia="宋体" w:cs="宋体"/>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4.投标人为联合体的，由联合体其中一方按规定提交的履约保证金，视为有效履约保证金。</w:t>
            </w:r>
          </w:p>
        </w:tc>
      </w:tr>
      <w:tr w14:paraId="3E6934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BFBACA2">
            <w:pPr>
              <w:keepNext w:val="0"/>
              <w:keepLines w:val="0"/>
              <w:pageBreakBefore w:val="0"/>
              <w:widowControl w:val="0"/>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bookmarkStart w:id="171" w:name="_40.1"/>
            <w:bookmarkEnd w:id="171"/>
            <w:r>
              <w:rPr>
                <w:rFonts w:hint="eastAsia" w:ascii="宋体" w:hAnsi="宋体" w:eastAsia="宋体" w:cs="宋体"/>
                <w:strike w:val="0"/>
                <w:dstrike w:val="0"/>
                <w:color w:val="auto"/>
                <w:sz w:val="21"/>
                <w:szCs w:val="21"/>
                <w:highlight w:val="none"/>
              </w:rPr>
              <w:t>36.1</w:t>
            </w:r>
          </w:p>
        </w:tc>
        <w:tc>
          <w:tcPr>
            <w:tcW w:w="8009" w:type="dxa"/>
            <w:tcBorders>
              <w:top w:val="single" w:color="auto" w:sz="4" w:space="0"/>
              <w:left w:val="single" w:color="auto" w:sz="4" w:space="0"/>
              <w:bottom w:val="single" w:color="auto" w:sz="4" w:space="0"/>
              <w:right w:val="single" w:color="auto" w:sz="4" w:space="0"/>
            </w:tcBorders>
            <w:vAlign w:val="center"/>
          </w:tcPr>
          <w:p w14:paraId="0B59D216">
            <w:pPr>
              <w:keepNext w:val="0"/>
              <w:keepLines w:val="0"/>
              <w:pageBreakBefore w:val="0"/>
              <w:widowControl w:val="0"/>
              <w:kinsoku/>
              <w:wordWrap w:val="0"/>
              <w:overflowPunct/>
              <w:topLinePunct w:val="0"/>
              <w:autoSpaceDE w:val="0"/>
              <w:autoSpaceDN w:val="0"/>
              <w:bidi w:val="0"/>
              <w:adjustRightInd/>
              <w:snapToGrid w:val="0"/>
              <w:spacing w:line="400" w:lineRule="exact"/>
              <w:textAlignment w:val="bottom"/>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签订合同携带的证明材料：委托代理人负责签订合同的，须携带授权委托书及委托代理人身份证原件等其他资格证件；法定代表人负责签订合同的，须携带法定代表人身份证明原件及身份证原件等其他证明材料。</w:t>
            </w:r>
          </w:p>
        </w:tc>
      </w:tr>
      <w:tr w14:paraId="4918F6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C37870A">
            <w:pPr>
              <w:keepNext w:val="0"/>
              <w:keepLines w:val="0"/>
              <w:pageBreakBefore w:val="0"/>
              <w:widowControl w:val="0"/>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38.2</w:t>
            </w:r>
          </w:p>
        </w:tc>
        <w:tc>
          <w:tcPr>
            <w:tcW w:w="8009" w:type="dxa"/>
            <w:tcBorders>
              <w:top w:val="single" w:color="auto" w:sz="4" w:space="0"/>
              <w:left w:val="single" w:color="auto" w:sz="4" w:space="0"/>
              <w:bottom w:val="single" w:color="auto" w:sz="4" w:space="0"/>
              <w:right w:val="single" w:color="auto" w:sz="4" w:space="0"/>
            </w:tcBorders>
            <w:vAlign w:val="center"/>
          </w:tcPr>
          <w:p w14:paraId="729408C2">
            <w:pPr>
              <w:keepNext w:val="0"/>
              <w:keepLines w:val="0"/>
              <w:pageBreakBefore w:val="0"/>
              <w:widowControl w:val="0"/>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接收质疑函方式：</w:t>
            </w:r>
            <w:r>
              <w:rPr>
                <w:rFonts w:hint="eastAsia" w:ascii="宋体" w:hAnsi="宋体" w:eastAsia="宋体" w:cs="宋体"/>
                <w:strike w:val="0"/>
                <w:dstrike w:val="0"/>
                <w:color w:val="auto"/>
                <w:sz w:val="21"/>
                <w:szCs w:val="21"/>
                <w:highlight w:val="none"/>
                <w:u w:val="single"/>
              </w:rPr>
              <w:t>以书面形式</w:t>
            </w:r>
          </w:p>
          <w:p w14:paraId="2AA8EBC2">
            <w:pPr>
              <w:keepNext w:val="0"/>
              <w:keepLines w:val="0"/>
              <w:pageBreakBefore w:val="0"/>
              <w:widowControl w:val="0"/>
              <w:kinsoku/>
              <w:wordWrap w:val="0"/>
              <w:overflowPunct/>
              <w:topLinePunct w:val="0"/>
              <w:bidi w:val="0"/>
              <w:adjustRightInd/>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质疑联系部门及联系方式：</w:t>
            </w:r>
            <w:r>
              <w:rPr>
                <w:rFonts w:hint="eastAsia" w:ascii="宋体" w:hAnsi="宋体" w:eastAsia="宋体" w:cs="宋体"/>
                <w:strike w:val="0"/>
                <w:dstrike w:val="0"/>
                <w:color w:val="auto"/>
                <w:sz w:val="21"/>
                <w:szCs w:val="21"/>
                <w:highlight w:val="none"/>
                <w:u w:val="single"/>
                <w:lang w:eastAsia="zh-CN"/>
              </w:rPr>
              <w:t>广西邕政采购代理有限公司</w:t>
            </w:r>
            <w:r>
              <w:rPr>
                <w:rFonts w:hint="eastAsia" w:ascii="宋体" w:hAnsi="宋体" w:eastAsia="宋体" w:cs="宋体"/>
                <w:strike w:val="0"/>
                <w:dstrike w:val="0"/>
                <w:color w:val="auto"/>
                <w:sz w:val="21"/>
                <w:szCs w:val="21"/>
                <w:highlight w:val="none"/>
              </w:rPr>
              <w:t>，联系电话：</w:t>
            </w:r>
            <w:r>
              <w:rPr>
                <w:rFonts w:hint="eastAsia" w:ascii="宋体" w:hAnsi="宋体" w:eastAsia="宋体" w:cs="宋体"/>
                <w:strike w:val="0"/>
                <w:dstrike w:val="0"/>
                <w:color w:val="auto"/>
                <w:sz w:val="21"/>
                <w:szCs w:val="21"/>
                <w:highlight w:val="none"/>
                <w:u w:val="single"/>
              </w:rPr>
              <w:t>0771-2</w:t>
            </w:r>
            <w:r>
              <w:rPr>
                <w:rFonts w:hint="eastAsia" w:ascii="宋体" w:hAnsi="宋体" w:eastAsia="宋体" w:cs="宋体"/>
                <w:strike w:val="0"/>
                <w:dstrike w:val="0"/>
                <w:color w:val="auto"/>
                <w:sz w:val="21"/>
                <w:szCs w:val="21"/>
                <w:highlight w:val="none"/>
                <w:u w:val="single"/>
                <w:lang w:val="en-US" w:eastAsia="zh-CN"/>
              </w:rPr>
              <w:t>225338</w:t>
            </w:r>
            <w:r>
              <w:rPr>
                <w:rFonts w:hint="eastAsia" w:ascii="宋体" w:hAnsi="宋体" w:eastAsia="宋体" w:cs="宋体"/>
                <w:strike w:val="0"/>
                <w:dstrike w:val="0"/>
                <w:color w:val="auto"/>
                <w:sz w:val="21"/>
                <w:szCs w:val="21"/>
                <w:highlight w:val="none"/>
              </w:rPr>
              <w:t>，通讯地址：</w:t>
            </w:r>
            <w:r>
              <w:rPr>
                <w:rFonts w:hint="eastAsia" w:ascii="宋体" w:hAnsi="宋体" w:eastAsia="宋体" w:cs="宋体"/>
                <w:strike w:val="0"/>
                <w:dstrike w:val="0"/>
                <w:color w:val="auto"/>
                <w:sz w:val="21"/>
                <w:szCs w:val="21"/>
                <w:highlight w:val="none"/>
                <w:u w:val="single"/>
              </w:rPr>
              <w:t>南宁市青秀区民族大道180号（</w:t>
            </w:r>
            <w:r>
              <w:rPr>
                <w:rFonts w:hint="eastAsia" w:ascii="宋体" w:hAnsi="宋体" w:eastAsia="宋体" w:cs="宋体"/>
                <w:strike w:val="0"/>
                <w:dstrike w:val="0"/>
                <w:color w:val="auto"/>
                <w:sz w:val="21"/>
                <w:szCs w:val="21"/>
                <w:highlight w:val="none"/>
                <w:u w:val="single"/>
                <w:lang w:eastAsia="zh-CN"/>
              </w:rPr>
              <w:t>威壮大厦</w:t>
            </w:r>
            <w:r>
              <w:rPr>
                <w:rFonts w:hint="eastAsia" w:ascii="宋体" w:hAnsi="宋体" w:eastAsia="宋体" w:cs="宋体"/>
                <w:strike w:val="0"/>
                <w:dstrike w:val="0"/>
                <w:color w:val="auto"/>
                <w:sz w:val="21"/>
                <w:szCs w:val="21"/>
                <w:highlight w:val="none"/>
                <w:u w:val="single"/>
              </w:rPr>
              <w:t>）22层2210～2217室</w:t>
            </w:r>
            <w:r>
              <w:rPr>
                <w:rFonts w:hint="eastAsia" w:ascii="宋体" w:hAnsi="宋体" w:eastAsia="宋体" w:cs="宋体"/>
                <w:strike w:val="0"/>
                <w:dstrike w:val="0"/>
                <w:color w:val="auto"/>
                <w:sz w:val="21"/>
                <w:szCs w:val="21"/>
                <w:highlight w:val="none"/>
              </w:rPr>
              <w:t>。</w:t>
            </w:r>
          </w:p>
          <w:p w14:paraId="585C74B0">
            <w:pPr>
              <w:keepNext w:val="0"/>
              <w:keepLines w:val="0"/>
              <w:pageBreakBefore w:val="0"/>
              <w:widowControl w:val="0"/>
              <w:kinsoku/>
              <w:wordWrap w:val="0"/>
              <w:overflowPunct/>
              <w:topLinePunct w:val="0"/>
              <w:autoSpaceDE w:val="0"/>
              <w:autoSpaceDN w:val="0"/>
              <w:bidi w:val="0"/>
              <w:adjustRightInd/>
              <w:snapToGrid w:val="0"/>
              <w:spacing w:line="400" w:lineRule="exact"/>
              <w:textAlignment w:val="bottom"/>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现场提交质疑办理业务时间：工作日每天上午</w:t>
            </w:r>
            <w:r>
              <w:rPr>
                <w:rFonts w:hint="eastAsia" w:ascii="宋体" w:hAnsi="宋体" w:eastAsia="宋体" w:cs="宋体"/>
                <w:strike w:val="0"/>
                <w:dstrike w:val="0"/>
                <w:color w:val="auto"/>
                <w:sz w:val="21"/>
                <w:szCs w:val="21"/>
                <w:highlight w:val="none"/>
                <w:lang w:val="en-US" w:eastAsia="zh-CN"/>
              </w:rPr>
              <w:t>9</w:t>
            </w:r>
            <w:r>
              <w:rPr>
                <w:rFonts w:hint="eastAsia" w:ascii="宋体" w:hAnsi="宋体" w:eastAsia="宋体" w:cs="宋体"/>
                <w:strike w:val="0"/>
                <w:dstrike w:val="0"/>
                <w:color w:val="auto"/>
                <w:sz w:val="21"/>
                <w:szCs w:val="21"/>
                <w:highlight w:val="none"/>
              </w:rPr>
              <w:t>时00分到12时00分，下午</w:t>
            </w:r>
            <w:r>
              <w:rPr>
                <w:rFonts w:hint="eastAsia" w:ascii="宋体" w:hAnsi="宋体" w:eastAsia="宋体" w:cs="宋体"/>
                <w:strike w:val="0"/>
                <w:dstrike w:val="0"/>
                <w:color w:val="auto"/>
                <w:sz w:val="21"/>
                <w:szCs w:val="21"/>
                <w:highlight w:val="none"/>
                <w:lang w:val="en-US" w:eastAsia="zh-CN"/>
              </w:rPr>
              <w:t>15</w:t>
            </w:r>
            <w:r>
              <w:rPr>
                <w:rFonts w:hint="eastAsia" w:ascii="宋体" w:hAnsi="宋体" w:eastAsia="宋体" w:cs="宋体"/>
                <w:strike w:val="0"/>
                <w:dstrike w:val="0"/>
                <w:color w:val="auto"/>
                <w:sz w:val="21"/>
                <w:szCs w:val="21"/>
                <w:highlight w:val="none"/>
              </w:rPr>
              <w:t>时00分到</w:t>
            </w:r>
            <w:r>
              <w:rPr>
                <w:rFonts w:hint="eastAsia" w:ascii="宋体" w:hAnsi="宋体" w:eastAsia="宋体" w:cs="宋体"/>
                <w:strike w:val="0"/>
                <w:dstrike w:val="0"/>
                <w:color w:val="auto"/>
                <w:sz w:val="21"/>
                <w:szCs w:val="21"/>
                <w:highlight w:val="none"/>
                <w:lang w:val="en-US" w:eastAsia="zh-CN"/>
              </w:rPr>
              <w:t>18</w:t>
            </w:r>
            <w:r>
              <w:rPr>
                <w:rFonts w:hint="eastAsia" w:ascii="宋体" w:hAnsi="宋体" w:eastAsia="宋体" w:cs="宋体"/>
                <w:strike w:val="0"/>
                <w:dstrike w:val="0"/>
                <w:color w:val="auto"/>
                <w:sz w:val="21"/>
                <w:szCs w:val="21"/>
                <w:highlight w:val="none"/>
              </w:rPr>
              <w:t>时00分，业务时间以外、双休日和法定节假日不办理业务。</w:t>
            </w:r>
          </w:p>
        </w:tc>
      </w:tr>
      <w:tr w14:paraId="728AD7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BE2DB15">
            <w:pPr>
              <w:keepNext w:val="0"/>
              <w:keepLines w:val="0"/>
              <w:pageBreakBefore w:val="0"/>
              <w:widowControl w:val="0"/>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38.5</w:t>
            </w:r>
          </w:p>
        </w:tc>
        <w:tc>
          <w:tcPr>
            <w:tcW w:w="8009" w:type="dxa"/>
            <w:tcBorders>
              <w:top w:val="single" w:color="auto" w:sz="4" w:space="0"/>
              <w:left w:val="single" w:color="auto" w:sz="4" w:space="0"/>
              <w:bottom w:val="single" w:color="auto" w:sz="4" w:space="0"/>
              <w:right w:val="single" w:color="auto" w:sz="4" w:space="0"/>
            </w:tcBorders>
            <w:vAlign w:val="center"/>
          </w:tcPr>
          <w:p w14:paraId="2A9936F1">
            <w:pPr>
              <w:keepNext w:val="0"/>
              <w:keepLines w:val="0"/>
              <w:pageBreakBefore w:val="0"/>
              <w:widowControl w:val="0"/>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1.受理方式：纸质方式受理，投诉书正、副本（经过质疑的事项才可投诉）。</w:t>
            </w:r>
          </w:p>
          <w:p w14:paraId="7249CF83">
            <w:pPr>
              <w:keepNext w:val="0"/>
              <w:keepLines w:val="0"/>
              <w:pageBreakBefore w:val="0"/>
              <w:widowControl w:val="0"/>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rPr>
              <w:t>2.监督部门联系方式：广西壮族自治区财政厅政府采购监督管理处 0771-5331810</w:t>
            </w:r>
            <w:r>
              <w:rPr>
                <w:rFonts w:hint="eastAsia" w:ascii="宋体" w:hAnsi="宋体" w:eastAsia="宋体" w:cs="宋体"/>
                <w:strike w:val="0"/>
                <w:dstrike w:val="0"/>
                <w:color w:val="auto"/>
                <w:sz w:val="21"/>
                <w:szCs w:val="21"/>
                <w:highlight w:val="none"/>
                <w:lang w:eastAsia="zh-CN"/>
              </w:rPr>
              <w:t>。</w:t>
            </w:r>
          </w:p>
        </w:tc>
      </w:tr>
      <w:tr w14:paraId="57712C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8E8A04C">
            <w:pPr>
              <w:keepNext w:val="0"/>
              <w:keepLines w:val="0"/>
              <w:pageBreakBefore w:val="0"/>
              <w:widowControl w:val="0"/>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bookmarkStart w:id="172" w:name="_41"/>
            <w:bookmarkEnd w:id="172"/>
            <w:bookmarkStart w:id="173" w:name="_42"/>
            <w:bookmarkEnd w:id="173"/>
            <w:bookmarkStart w:id="174" w:name="_Hlt17709148"/>
            <w:r>
              <w:rPr>
                <w:rFonts w:hint="eastAsia" w:ascii="宋体" w:hAnsi="宋体" w:eastAsia="宋体" w:cs="宋体"/>
                <w:strike w:val="0"/>
                <w:dstrike w:val="0"/>
                <w:color w:val="auto"/>
                <w:sz w:val="21"/>
                <w:szCs w:val="21"/>
                <w:highlight w:val="none"/>
              </w:rPr>
              <w:t>3</w:t>
            </w:r>
            <w:bookmarkEnd w:id="174"/>
            <w:r>
              <w:rPr>
                <w:rFonts w:hint="eastAsia" w:ascii="宋体" w:hAnsi="宋体" w:eastAsia="宋体" w:cs="宋体"/>
                <w:strike w:val="0"/>
                <w:dstrike w:val="0"/>
                <w:color w:val="auto"/>
                <w:sz w:val="21"/>
                <w:szCs w:val="21"/>
                <w:highlight w:val="none"/>
              </w:rPr>
              <w:t>9.1</w:t>
            </w:r>
          </w:p>
        </w:tc>
        <w:tc>
          <w:tcPr>
            <w:tcW w:w="8009" w:type="dxa"/>
            <w:tcBorders>
              <w:top w:val="single" w:color="auto" w:sz="4" w:space="0"/>
              <w:left w:val="single" w:color="auto" w:sz="4" w:space="0"/>
              <w:bottom w:val="single" w:color="auto" w:sz="4" w:space="0"/>
              <w:right w:val="single" w:color="auto" w:sz="4" w:space="0"/>
            </w:tcBorders>
            <w:vAlign w:val="center"/>
          </w:tcPr>
          <w:p w14:paraId="41E4AD0D">
            <w:pPr>
              <w:pStyle w:val="28"/>
              <w:keepNext w:val="0"/>
              <w:keepLines w:val="0"/>
              <w:pageBreakBefore w:val="0"/>
              <w:widowControl w:val="0"/>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1.采购代理费支付方式：</w:t>
            </w:r>
          </w:p>
          <w:p w14:paraId="41F7E7BC">
            <w:pPr>
              <w:pStyle w:val="28"/>
              <w:keepNext w:val="0"/>
              <w:keepLines w:val="0"/>
              <w:pageBreakBefore w:val="0"/>
              <w:widowControl w:val="0"/>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本项目代理服务费由</w:t>
            </w:r>
            <w:r>
              <w:rPr>
                <w:rFonts w:hint="eastAsia" w:ascii="宋体" w:hAnsi="宋体" w:eastAsia="宋体" w:cs="宋体"/>
                <w:strike w:val="0"/>
                <w:dstrike w:val="0"/>
                <w:color w:val="auto"/>
                <w:sz w:val="21"/>
                <w:szCs w:val="21"/>
                <w:highlight w:val="none"/>
                <w:u w:val="single"/>
              </w:rPr>
              <w:t>中标人</w:t>
            </w:r>
            <w:r>
              <w:rPr>
                <w:rFonts w:hint="eastAsia" w:ascii="宋体" w:hAnsi="宋体" w:eastAsia="宋体" w:cs="宋体"/>
                <w:strike w:val="0"/>
                <w:dstrike w:val="0"/>
                <w:color w:val="auto"/>
                <w:sz w:val="21"/>
                <w:szCs w:val="21"/>
                <w:highlight w:val="none"/>
              </w:rPr>
              <w:t>在领取中标通知书前，一次性向采购代理机构支付。</w:t>
            </w:r>
          </w:p>
          <w:p w14:paraId="0ABFAFE9">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2.采购代理费收取标准：</w:t>
            </w:r>
          </w:p>
          <w:p w14:paraId="1F7CAD63">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kern w:val="0"/>
                <w:sz w:val="21"/>
                <w:szCs w:val="21"/>
                <w:highlight w:val="none"/>
              </w:rPr>
              <w:t>以</w:t>
            </w:r>
            <w:r>
              <w:rPr>
                <w:rFonts w:hint="eastAsia" w:ascii="宋体" w:hAnsi="宋体" w:eastAsia="宋体" w:cs="宋体"/>
                <w:strike w:val="0"/>
                <w:dstrike w:val="0"/>
                <w:color w:val="auto"/>
                <w:kern w:val="0"/>
                <w:sz w:val="21"/>
                <w:szCs w:val="21"/>
                <w:highlight w:val="none"/>
                <w:lang w:val="en-US" w:eastAsia="zh-CN"/>
              </w:rPr>
              <w:t>项目</w:t>
            </w:r>
            <w:r>
              <w:rPr>
                <w:rFonts w:hint="eastAsia" w:ascii="宋体" w:hAnsi="宋体" w:eastAsia="宋体" w:cs="宋体"/>
                <w:strike w:val="0"/>
                <w:dstrike w:val="0"/>
                <w:color w:val="auto"/>
                <w:kern w:val="0"/>
                <w:sz w:val="21"/>
                <w:szCs w:val="21"/>
                <w:highlight w:val="none"/>
              </w:rPr>
              <w:t>（</w:t>
            </w: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kern w:val="0"/>
                <w:sz w:val="21"/>
                <w:szCs w:val="21"/>
                <w:highlight w:val="none"/>
              </w:rPr>
              <w:t>中标金额/□采购预算/□暂定中标金额/□其他）为计费额，参照《计价格〔2002〕1980号》和《发改办价格[2003]857号》规定的收费计算标准（□货物招标/</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kern w:val="0"/>
                <w:sz w:val="21"/>
                <w:szCs w:val="21"/>
                <w:highlight w:val="none"/>
              </w:rPr>
              <w:t>服务招标/□工程招标）采用差额定率累进法计算出收费基准价格，采购代理收费以（</w:t>
            </w:r>
            <w:r>
              <w:rPr>
                <w:rFonts w:hint="eastAsia" w:ascii="宋体" w:hAnsi="宋体" w:cs="宋体"/>
                <w:strike w:val="0"/>
                <w:dstrike w:val="0"/>
                <w:color w:val="auto"/>
                <w:sz w:val="21"/>
                <w:szCs w:val="21"/>
                <w:highlight w:val="none"/>
                <w:lang w:eastAsia="zh-CN"/>
              </w:rPr>
              <w:t>☑</w:t>
            </w:r>
            <w:r>
              <w:rPr>
                <w:rFonts w:hint="eastAsia" w:ascii="宋体" w:hAnsi="宋体" w:eastAsia="宋体" w:cs="宋体"/>
                <w:strike w:val="0"/>
                <w:dstrike w:val="0"/>
                <w:color w:val="auto"/>
                <w:kern w:val="0"/>
                <w:sz w:val="21"/>
                <w:szCs w:val="21"/>
                <w:highlight w:val="none"/>
              </w:rPr>
              <w:t>收费基准价格/</w:t>
            </w:r>
            <w:r>
              <w:rPr>
                <w:rFonts w:hint="eastAsia" w:ascii="宋体" w:hAnsi="宋体" w:cs="宋体"/>
                <w:strike w:val="0"/>
                <w:dstrike w:val="0"/>
                <w:color w:val="auto"/>
                <w:kern w:val="0"/>
                <w:sz w:val="21"/>
                <w:szCs w:val="21"/>
                <w:highlight w:val="none"/>
                <w:lang w:eastAsia="zh-CN"/>
              </w:rPr>
              <w:t>□</w:t>
            </w:r>
            <w:r>
              <w:rPr>
                <w:rFonts w:hint="eastAsia" w:ascii="宋体" w:hAnsi="宋体" w:eastAsia="宋体" w:cs="宋体"/>
                <w:strike w:val="0"/>
                <w:dstrike w:val="0"/>
                <w:color w:val="auto"/>
                <w:kern w:val="0"/>
                <w:sz w:val="21"/>
                <w:szCs w:val="21"/>
                <w:highlight w:val="none"/>
              </w:rPr>
              <w:t>收费基准价格下浮</w:t>
            </w:r>
            <w:r>
              <w:rPr>
                <w:rFonts w:hint="eastAsia" w:ascii="宋体" w:hAnsi="宋体" w:eastAsia="宋体" w:cs="宋体"/>
                <w:strike w:val="0"/>
                <w:dstrike w:val="0"/>
                <w:color w:val="auto"/>
                <w:kern w:val="0"/>
                <w:sz w:val="21"/>
                <w:szCs w:val="21"/>
                <w:highlight w:val="none"/>
                <w:u w:val="single"/>
              </w:rPr>
              <w:t xml:space="preserve"> %</w:t>
            </w:r>
            <w:r>
              <w:rPr>
                <w:rFonts w:hint="eastAsia" w:ascii="宋体" w:hAnsi="宋体" w:eastAsia="宋体" w:cs="宋体"/>
                <w:strike w:val="0"/>
                <w:dstrike w:val="0"/>
                <w:color w:val="auto"/>
                <w:kern w:val="0"/>
                <w:sz w:val="21"/>
                <w:szCs w:val="21"/>
                <w:highlight w:val="none"/>
              </w:rPr>
              <w:t>/</w:t>
            </w:r>
            <w:r>
              <w:rPr>
                <w:rFonts w:hint="eastAsia" w:ascii="宋体" w:hAnsi="宋体" w:eastAsia="宋体" w:cs="宋体"/>
                <w:strike w:val="0"/>
                <w:dstrike w:val="0"/>
                <w:color w:val="auto"/>
                <w:kern w:val="0"/>
                <w:sz w:val="21"/>
                <w:szCs w:val="21"/>
                <w:highlight w:val="none"/>
                <w:lang w:eastAsia="zh-CN"/>
              </w:rPr>
              <w:t>□</w:t>
            </w:r>
            <w:r>
              <w:rPr>
                <w:rFonts w:hint="eastAsia" w:ascii="宋体" w:hAnsi="宋体" w:eastAsia="宋体" w:cs="宋体"/>
                <w:strike w:val="0"/>
                <w:dstrike w:val="0"/>
                <w:color w:val="auto"/>
                <w:kern w:val="0"/>
                <w:sz w:val="21"/>
                <w:szCs w:val="21"/>
                <w:highlight w:val="none"/>
              </w:rPr>
              <w:t>收费基准价格上浮</w:t>
            </w:r>
            <w:r>
              <w:rPr>
                <w:rFonts w:hint="eastAsia" w:ascii="宋体" w:hAnsi="宋体" w:eastAsia="宋体" w:cs="宋体"/>
                <w:strike w:val="0"/>
                <w:dstrike w:val="0"/>
                <w:color w:val="auto"/>
                <w:kern w:val="0"/>
                <w:sz w:val="21"/>
                <w:szCs w:val="21"/>
                <w:highlight w:val="none"/>
                <w:u w:val="single"/>
              </w:rPr>
              <w:t xml:space="preserve"> %</w:t>
            </w:r>
            <w:r>
              <w:rPr>
                <w:rFonts w:hint="eastAsia" w:ascii="宋体" w:hAnsi="宋体" w:eastAsia="宋体" w:cs="宋体"/>
                <w:strike w:val="0"/>
                <w:dstrike w:val="0"/>
                <w:color w:val="auto"/>
                <w:kern w:val="0"/>
                <w:sz w:val="21"/>
                <w:szCs w:val="21"/>
                <w:highlight w:val="none"/>
              </w:rPr>
              <w:t>）收取。</w:t>
            </w:r>
          </w:p>
          <w:p w14:paraId="3F0FA87C">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3.采购代理费收取银行账户：</w:t>
            </w:r>
          </w:p>
          <w:p w14:paraId="50EC154C">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开户名称：广西邕政采购代理有限公司</w:t>
            </w:r>
          </w:p>
          <w:p w14:paraId="2152DC04">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开户银行：交通银行南宁东葛西支行</w:t>
            </w:r>
          </w:p>
          <w:p w14:paraId="55D9E21D">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xml:space="preserve">银行账号：4510 6070 1018 1602 32818 </w:t>
            </w:r>
          </w:p>
          <w:p w14:paraId="1A2A200D">
            <w:pPr>
              <w:keepNext w:val="0"/>
              <w:keepLines w:val="0"/>
              <w:pageBreakBefore w:val="0"/>
              <w:widowControl w:val="0"/>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kern w:val="0"/>
                <w:sz w:val="21"/>
                <w:szCs w:val="21"/>
                <w:highlight w:val="none"/>
              </w:rPr>
              <w:t xml:space="preserve">开户行行号：301611000718 </w:t>
            </w:r>
          </w:p>
        </w:tc>
      </w:tr>
      <w:tr w14:paraId="688BA9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D18A515">
            <w:pPr>
              <w:keepNext w:val="0"/>
              <w:keepLines w:val="0"/>
              <w:pageBreakBefore w:val="0"/>
              <w:widowControl w:val="0"/>
              <w:kinsoku/>
              <w:wordWrap w:val="0"/>
              <w:overflowPunct/>
              <w:topLinePunct w:val="0"/>
              <w:bidi w:val="0"/>
              <w:adjustRightInd/>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40.1</w:t>
            </w:r>
          </w:p>
        </w:tc>
        <w:tc>
          <w:tcPr>
            <w:tcW w:w="8009" w:type="dxa"/>
            <w:tcBorders>
              <w:top w:val="single" w:color="auto" w:sz="4" w:space="0"/>
              <w:left w:val="single" w:color="auto" w:sz="4" w:space="0"/>
              <w:bottom w:val="single" w:color="auto" w:sz="4" w:space="0"/>
              <w:right w:val="single" w:color="auto" w:sz="4" w:space="0"/>
            </w:tcBorders>
            <w:vAlign w:val="center"/>
          </w:tcPr>
          <w:p w14:paraId="3EBDC06D">
            <w:pPr>
              <w:keepNext w:val="0"/>
              <w:keepLines w:val="0"/>
              <w:pageBreakBefore w:val="0"/>
              <w:widowControl w:val="0"/>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p w14:paraId="251916D1">
            <w:pPr>
              <w:keepNext w:val="0"/>
              <w:keepLines w:val="0"/>
              <w:pageBreakBefore w:val="0"/>
              <w:widowControl w:val="0"/>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法律责任：本采购文件根据《中华人民共和国政府采购法》、《中华人民共和国民法典》；《中华人民共和国政府采购法实施条例》等有关</w:t>
            </w:r>
            <w:r>
              <w:rPr>
                <w:rFonts w:hint="eastAsia" w:ascii="宋体" w:hAnsi="宋体" w:eastAsia="宋体" w:cs="宋体"/>
                <w:strike w:val="0"/>
                <w:dstrike w:val="0"/>
                <w:color w:val="auto"/>
                <w:sz w:val="21"/>
                <w:szCs w:val="21"/>
                <w:highlight w:val="none"/>
                <w:lang w:eastAsia="zh-CN"/>
              </w:rPr>
              <w:t>法律法规</w:t>
            </w:r>
            <w:r>
              <w:rPr>
                <w:rFonts w:hint="eastAsia" w:ascii="宋体" w:hAnsi="宋体" w:eastAsia="宋体" w:cs="宋体"/>
                <w:strike w:val="0"/>
                <w:dstrike w:val="0"/>
                <w:color w:val="auto"/>
                <w:sz w:val="21"/>
                <w:szCs w:val="21"/>
                <w:highlight w:val="none"/>
              </w:rPr>
              <w:t>编制，参与本项目的各政府采购当事人依法享有上述法律法规所赋予的权利与义务。</w:t>
            </w:r>
          </w:p>
        </w:tc>
      </w:tr>
      <w:tr w14:paraId="6A0DF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369B852">
            <w:pPr>
              <w:keepNext w:val="0"/>
              <w:keepLines w:val="0"/>
              <w:pageBreakBefore w:val="0"/>
              <w:widowControl w:val="0"/>
              <w:kinsoku/>
              <w:wordWrap w:val="0"/>
              <w:overflowPunct/>
              <w:topLinePunct w:val="0"/>
              <w:bidi w:val="0"/>
              <w:adjustRightInd/>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40.2</w:t>
            </w:r>
          </w:p>
        </w:tc>
        <w:tc>
          <w:tcPr>
            <w:tcW w:w="8009" w:type="dxa"/>
            <w:tcBorders>
              <w:top w:val="single" w:color="auto" w:sz="4" w:space="0"/>
              <w:left w:val="single" w:color="auto" w:sz="4" w:space="0"/>
              <w:bottom w:val="single" w:color="auto" w:sz="4" w:space="0"/>
              <w:right w:val="single" w:color="auto" w:sz="4" w:space="0"/>
            </w:tcBorders>
            <w:vAlign w:val="center"/>
          </w:tcPr>
          <w:p w14:paraId="176660B8">
            <w:pPr>
              <w:pStyle w:val="28"/>
              <w:keepNext w:val="0"/>
              <w:keepLines w:val="0"/>
              <w:pageBreakBefore w:val="0"/>
              <w:widowControl w:val="0"/>
              <w:kinsoku/>
              <w:wordWrap w:val="0"/>
              <w:overflowPunct/>
              <w:topLinePunct w:val="0"/>
              <w:bidi w:val="0"/>
              <w:adjustRightInd/>
              <w:snapToGrid w:val="0"/>
              <w:spacing w:line="400" w:lineRule="exac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78F8AC6E">
            <w:pPr>
              <w:pStyle w:val="28"/>
              <w:keepNext w:val="0"/>
              <w:keepLines w:val="0"/>
              <w:pageBreakBefore w:val="0"/>
              <w:widowControl w:val="0"/>
              <w:kinsoku/>
              <w:wordWrap w:val="0"/>
              <w:overflowPunct/>
              <w:topLinePunct w:val="0"/>
              <w:bidi w:val="0"/>
              <w:adjustRightInd/>
              <w:snapToGrid w:val="0"/>
              <w:spacing w:line="400" w:lineRule="exac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2.本招标文件所称的“</w:t>
            </w:r>
            <w:r>
              <w:rPr>
                <w:rFonts w:hint="eastAsia" w:ascii="宋体" w:hAnsi="宋体" w:eastAsia="宋体" w:cs="宋体"/>
                <w:strike w:val="0"/>
                <w:dstrike w:val="0"/>
                <w:color w:val="auto"/>
                <w:sz w:val="21"/>
                <w:szCs w:val="21"/>
                <w:highlight w:val="none"/>
              </w:rPr>
              <w:t>电子签章</w:t>
            </w:r>
            <w:r>
              <w:rPr>
                <w:rFonts w:hint="eastAsia" w:ascii="宋体" w:hAnsi="宋体" w:eastAsia="宋体" w:cs="宋体"/>
                <w:bCs/>
                <w:strike w:val="0"/>
                <w:dstrike w:val="0"/>
                <w:color w:val="auto"/>
                <w:sz w:val="21"/>
                <w:szCs w:val="21"/>
                <w:highlight w:val="none"/>
              </w:rPr>
              <w:t>”、“电子签名”</w:t>
            </w:r>
            <w:r>
              <w:rPr>
                <w:rFonts w:hint="eastAsia" w:ascii="宋体" w:hAnsi="宋体" w:eastAsia="宋体" w:cs="宋体"/>
                <w:strike w:val="0"/>
                <w:dstrike w:val="0"/>
                <w:color w:val="auto"/>
                <w:sz w:val="21"/>
                <w:szCs w:val="21"/>
                <w:highlight w:val="none"/>
              </w:rPr>
              <w:t>，是指经</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认可的CA认证的电子签名数据为表现形式的印章，可用于签署电子投标文件，电子印章与实物印章具有同等法律效力，不因其采用电子化表现形式而否定其法律效力。</w:t>
            </w:r>
          </w:p>
          <w:p w14:paraId="51731CEE">
            <w:pPr>
              <w:pStyle w:val="28"/>
              <w:keepNext w:val="0"/>
              <w:keepLines w:val="0"/>
              <w:pageBreakBefore w:val="0"/>
              <w:widowControl w:val="0"/>
              <w:kinsoku/>
              <w:wordWrap w:val="0"/>
              <w:overflowPunct/>
              <w:topLinePunct w:val="0"/>
              <w:bidi w:val="0"/>
              <w:adjustRightInd/>
              <w:snapToGrid w:val="0"/>
              <w:spacing w:line="400" w:lineRule="exac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6DDDD63B">
            <w:pPr>
              <w:pStyle w:val="28"/>
              <w:keepNext w:val="0"/>
              <w:keepLines w:val="0"/>
              <w:pageBreakBefore w:val="0"/>
              <w:widowControl w:val="0"/>
              <w:kinsoku/>
              <w:wordWrap w:val="0"/>
              <w:overflowPunct/>
              <w:topLinePunct w:val="0"/>
              <w:bidi w:val="0"/>
              <w:adjustRightInd/>
              <w:snapToGrid w:val="0"/>
              <w:spacing w:line="400" w:lineRule="exac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70C32400">
            <w:pPr>
              <w:pStyle w:val="28"/>
              <w:keepNext w:val="0"/>
              <w:keepLines w:val="0"/>
              <w:pageBreakBefore w:val="0"/>
              <w:widowControl w:val="0"/>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5.本招标文件所称的“以上”“以下”“以内”“届满”，包括本数；所称的“不满”“超过”“以外”，不包括本数。</w:t>
            </w:r>
          </w:p>
        </w:tc>
      </w:tr>
    </w:tbl>
    <w:p w14:paraId="289A01A8">
      <w:pPr>
        <w:keepNext w:val="0"/>
        <w:keepLines w:val="0"/>
        <w:pageBreakBefore w:val="0"/>
        <w:kinsoku/>
        <w:topLinePunct w:val="0"/>
        <w:bidi w:val="0"/>
        <w:snapToGrid w:val="0"/>
        <w:spacing w:line="400" w:lineRule="exact"/>
        <w:rPr>
          <w:rFonts w:hint="eastAsia" w:ascii="宋体" w:hAnsi="宋体" w:eastAsia="宋体" w:cs="宋体"/>
          <w:strike w:val="0"/>
          <w:dstrike w:val="0"/>
          <w:color w:val="auto"/>
          <w:sz w:val="21"/>
          <w:szCs w:val="21"/>
          <w:highlight w:val="none"/>
        </w:rPr>
      </w:pPr>
    </w:p>
    <w:p w14:paraId="3D022229">
      <w:pPr>
        <w:keepNext w:val="0"/>
        <w:keepLines w:val="0"/>
        <w:pageBreakBefore w:val="0"/>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br w:type="page"/>
      </w:r>
      <w:r>
        <w:rPr>
          <w:rFonts w:hint="eastAsia" w:ascii="宋体" w:hAnsi="宋体" w:eastAsia="宋体" w:cs="宋体"/>
          <w:b/>
          <w:strike w:val="0"/>
          <w:dstrike w:val="0"/>
          <w:color w:val="auto"/>
          <w:sz w:val="21"/>
          <w:szCs w:val="21"/>
          <w:highlight w:val="none"/>
        </w:rPr>
        <w:t>投标人须知正文</w:t>
      </w:r>
    </w:p>
    <w:p w14:paraId="37B56D1D">
      <w:pPr>
        <w:keepNext w:val="0"/>
        <w:keepLines w:val="0"/>
        <w:pageBreakBefore w:val="0"/>
        <w:kinsoku/>
        <w:topLinePunct w:val="0"/>
        <w:bidi w:val="0"/>
        <w:spacing w:beforeLines="50" w:line="400" w:lineRule="exact"/>
        <w:jc w:val="center"/>
        <w:outlineLvl w:val="1"/>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一、总则</w:t>
      </w:r>
    </w:p>
    <w:p w14:paraId="059138CE">
      <w:pPr>
        <w:pStyle w:val="7"/>
        <w:keepNext w:val="0"/>
        <w:keepLines w:val="0"/>
        <w:pageBreakBefore w:val="0"/>
        <w:numPr>
          <w:ilvl w:val="4"/>
          <w:numId w:val="4"/>
        </w:numPr>
        <w:kinsoku/>
        <w:topLinePunct w:val="0"/>
        <w:bidi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bookmarkStart w:id="175" w:name="_Toc254970527"/>
      <w:bookmarkStart w:id="176" w:name="_Toc254970668"/>
      <w:r>
        <w:rPr>
          <w:rFonts w:hint="eastAsia" w:ascii="宋体" w:hAnsi="宋体" w:eastAsia="宋体" w:cs="宋体"/>
          <w:strike w:val="0"/>
          <w:dstrike w:val="0"/>
          <w:color w:val="auto"/>
          <w:sz w:val="21"/>
          <w:szCs w:val="21"/>
          <w:highlight w:val="none"/>
        </w:rPr>
        <w:t>1.适用范围</w:t>
      </w:r>
      <w:bookmarkEnd w:id="175"/>
      <w:bookmarkEnd w:id="176"/>
    </w:p>
    <w:p w14:paraId="19F12F56">
      <w:pPr>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19AC82EE">
      <w:pPr>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pacing w:val="-6"/>
          <w:sz w:val="21"/>
          <w:szCs w:val="21"/>
          <w:highlight w:val="none"/>
        </w:rPr>
      </w:pPr>
      <w:r>
        <w:rPr>
          <w:rFonts w:hint="eastAsia" w:ascii="宋体" w:hAnsi="宋体" w:eastAsia="宋体" w:cs="宋体"/>
          <w:strike w:val="0"/>
          <w:dstrike w:val="0"/>
          <w:color w:val="auto"/>
          <w:sz w:val="21"/>
          <w:szCs w:val="21"/>
          <w:highlight w:val="none"/>
        </w:rPr>
        <w:t>1.2本招标文件</w:t>
      </w:r>
      <w:r>
        <w:rPr>
          <w:rFonts w:hint="eastAsia" w:ascii="宋体" w:hAnsi="宋体" w:eastAsia="宋体" w:cs="宋体"/>
          <w:strike w:val="0"/>
          <w:dstrike w:val="0"/>
          <w:color w:val="auto"/>
          <w:spacing w:val="-6"/>
          <w:sz w:val="21"/>
          <w:szCs w:val="21"/>
          <w:highlight w:val="none"/>
        </w:rPr>
        <w:t>适用于本项目的所有采购程序和环节（</w:t>
      </w:r>
      <w:r>
        <w:rPr>
          <w:rFonts w:hint="eastAsia" w:ascii="宋体" w:hAnsi="宋体" w:eastAsia="宋体" w:cs="宋体"/>
          <w:strike w:val="0"/>
          <w:dstrike w:val="0"/>
          <w:color w:val="auto"/>
          <w:spacing w:val="-6"/>
          <w:sz w:val="21"/>
          <w:szCs w:val="21"/>
          <w:highlight w:val="none"/>
          <w:lang w:eastAsia="zh-CN"/>
        </w:rPr>
        <w:t>法律法规</w:t>
      </w:r>
      <w:r>
        <w:rPr>
          <w:rFonts w:hint="eastAsia" w:ascii="宋体" w:hAnsi="宋体" w:eastAsia="宋体" w:cs="宋体"/>
          <w:strike w:val="0"/>
          <w:dstrike w:val="0"/>
          <w:color w:val="auto"/>
          <w:spacing w:val="-6"/>
          <w:sz w:val="21"/>
          <w:szCs w:val="21"/>
          <w:highlight w:val="none"/>
        </w:rPr>
        <w:t>另有规定的，从其规定）。</w:t>
      </w:r>
    </w:p>
    <w:p w14:paraId="1D2D0ACE">
      <w:pPr>
        <w:pStyle w:val="7"/>
        <w:keepNext w:val="0"/>
        <w:keepLines w:val="0"/>
        <w:pageBreakBefore w:val="0"/>
        <w:numPr>
          <w:ilvl w:val="4"/>
          <w:numId w:val="4"/>
        </w:numPr>
        <w:kinsoku/>
        <w:topLinePunct w:val="0"/>
        <w:bidi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bookmarkStart w:id="177" w:name="_Toc254970669"/>
      <w:bookmarkStart w:id="178" w:name="_Toc254970528"/>
      <w:r>
        <w:rPr>
          <w:rFonts w:hint="eastAsia" w:ascii="宋体" w:hAnsi="宋体" w:eastAsia="宋体" w:cs="宋体"/>
          <w:strike w:val="0"/>
          <w:dstrike w:val="0"/>
          <w:color w:val="auto"/>
          <w:sz w:val="21"/>
          <w:szCs w:val="21"/>
          <w:highlight w:val="none"/>
        </w:rPr>
        <w:t>2.定义</w:t>
      </w:r>
      <w:bookmarkEnd w:id="177"/>
      <w:bookmarkEnd w:id="178"/>
    </w:p>
    <w:p w14:paraId="1F62AF15">
      <w:pPr>
        <w:pStyle w:val="7"/>
        <w:keepNext w:val="0"/>
        <w:keepLines w:val="0"/>
        <w:pageBreakBefore w:val="0"/>
        <w:numPr>
          <w:ilvl w:val="4"/>
          <w:numId w:val="4"/>
        </w:numP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2.1“采购人”是指依法进行政府采购的国家机关、事业单位、团体组织。</w:t>
      </w:r>
    </w:p>
    <w:p w14:paraId="73C37D15">
      <w:pPr>
        <w:pStyle w:val="7"/>
        <w:keepNext w:val="0"/>
        <w:keepLines w:val="0"/>
        <w:pageBreakBefore w:val="0"/>
        <w:numPr>
          <w:ilvl w:val="4"/>
          <w:numId w:val="4"/>
        </w:numP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2.2“采购代理机构”是指政府采购集中采购机构和集中采购机构以外的采购代理机构。</w:t>
      </w:r>
    </w:p>
    <w:p w14:paraId="749DFA7F">
      <w:pPr>
        <w:pStyle w:val="7"/>
        <w:keepNext w:val="0"/>
        <w:keepLines w:val="0"/>
        <w:pageBreakBefore w:val="0"/>
        <w:numPr>
          <w:ilvl w:val="4"/>
          <w:numId w:val="4"/>
        </w:numP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2.3“</w:t>
      </w:r>
      <w:r>
        <w:rPr>
          <w:rFonts w:hint="eastAsia" w:ascii="宋体" w:hAnsi="宋体" w:eastAsia="宋体" w:cs="宋体"/>
          <w:b w:val="0"/>
          <w:strike w:val="0"/>
          <w:dstrike w:val="0"/>
          <w:color w:val="auto"/>
          <w:sz w:val="21"/>
          <w:szCs w:val="21"/>
          <w:highlight w:val="none"/>
          <w:lang w:eastAsia="zh-CN"/>
        </w:rPr>
        <w:t>投标人</w:t>
      </w:r>
      <w:r>
        <w:rPr>
          <w:rFonts w:hint="eastAsia" w:ascii="宋体" w:hAnsi="宋体" w:eastAsia="宋体" w:cs="宋体"/>
          <w:b w:val="0"/>
          <w:strike w:val="0"/>
          <w:dstrike w:val="0"/>
          <w:color w:val="auto"/>
          <w:sz w:val="21"/>
          <w:szCs w:val="21"/>
          <w:highlight w:val="none"/>
        </w:rPr>
        <w:t>”是指向采购人提供货物、工程或者服务的法人、其他组织或者自然人。</w:t>
      </w:r>
    </w:p>
    <w:p w14:paraId="00608946">
      <w:pPr>
        <w:pStyle w:val="7"/>
        <w:keepNext w:val="0"/>
        <w:keepLines w:val="0"/>
        <w:pageBreakBefore w:val="0"/>
        <w:numPr>
          <w:ilvl w:val="4"/>
          <w:numId w:val="4"/>
        </w:numP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2.4“投标人”是指响应招标、参加投标竞争的法人、非法人组织或者自然人。</w:t>
      </w:r>
    </w:p>
    <w:p w14:paraId="6DC678D4">
      <w:pPr>
        <w:pStyle w:val="7"/>
        <w:keepNext w:val="0"/>
        <w:keepLines w:val="0"/>
        <w:pageBreakBefore w:val="0"/>
        <w:numPr>
          <w:ilvl w:val="4"/>
          <w:numId w:val="4"/>
        </w:numP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2.5“服务”是指除货物和工程以外的其他政府采购对象。</w:t>
      </w:r>
    </w:p>
    <w:p w14:paraId="719F8E1B">
      <w:pPr>
        <w:pStyle w:val="7"/>
        <w:keepNext w:val="0"/>
        <w:keepLines w:val="0"/>
        <w:pageBreakBefore w:val="0"/>
        <w:numPr>
          <w:ilvl w:val="4"/>
          <w:numId w:val="4"/>
        </w:numP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2.6“售后服务”是指商品出售以后所提供的各种服务，包含但不限于投标人须承担的备品备件、包装、运输、装卸、保险、货到就位以及安装、调试、培训、保修以及其他各种服务。</w:t>
      </w:r>
    </w:p>
    <w:p w14:paraId="500E69F0">
      <w:pPr>
        <w:pStyle w:val="7"/>
        <w:keepNext w:val="0"/>
        <w:keepLines w:val="0"/>
        <w:pageBreakBefore w:val="0"/>
        <w:numPr>
          <w:ilvl w:val="4"/>
          <w:numId w:val="4"/>
        </w:numP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2.7“书面形式”是指合同书、信件和数据电文（包括电报、电传、传真、电子数据交换和电子邮件）等可以有形地表现所载内容的形式。</w:t>
      </w:r>
    </w:p>
    <w:p w14:paraId="79A7CF1C">
      <w:pPr>
        <w:pStyle w:val="7"/>
        <w:keepNext w:val="0"/>
        <w:keepLines w:val="0"/>
        <w:pageBreakBefore w:val="0"/>
        <w:numPr>
          <w:ilvl w:val="4"/>
          <w:numId w:val="4"/>
        </w:numP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2.8“实质性要求”是指招标文件中已经指明不满足则投标无效的条款，或者</w:t>
      </w:r>
      <w:r>
        <w:rPr>
          <w:rFonts w:hint="eastAsia" w:ascii="宋体" w:hAnsi="宋体" w:eastAsia="宋体" w:cs="宋体"/>
          <w:b w:val="0"/>
          <w:strike w:val="0"/>
          <w:dstrike w:val="0"/>
          <w:color w:val="auto"/>
          <w:sz w:val="21"/>
          <w:szCs w:val="21"/>
          <w:highlight w:val="none"/>
          <w:lang w:eastAsia="zh-CN"/>
        </w:rPr>
        <w:t>不能</w:t>
      </w:r>
      <w:r>
        <w:rPr>
          <w:rFonts w:hint="eastAsia" w:ascii="宋体" w:hAnsi="宋体" w:eastAsia="宋体" w:cs="宋体"/>
          <w:b w:val="0"/>
          <w:strike w:val="0"/>
          <w:dstrike w:val="0"/>
          <w:color w:val="auto"/>
          <w:sz w:val="21"/>
          <w:szCs w:val="21"/>
          <w:highlight w:val="none"/>
        </w:rPr>
        <w:t>偏离的条款，或者采购需求中带“▲”的条款。</w:t>
      </w:r>
    </w:p>
    <w:p w14:paraId="24DC2547">
      <w:pPr>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2.9 “正偏离”，是指投标文件对招标文件“采购需求”中有关条款作出的响应优于条款要求并有利于采购人的情形。</w:t>
      </w:r>
    </w:p>
    <w:p w14:paraId="47B40A2F">
      <w:pPr>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2.10“负偏离”，是指投标文件对招标文件“采购需求”中有关条款作出的响应不满足条款要求，导致采购人要求不能得到满足的情形。</w:t>
      </w:r>
    </w:p>
    <w:p w14:paraId="7E737DC4">
      <w:pPr>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2.11“允许负偏离的条款”是指采购需求中的不属于“实质性要求”的条款。</w:t>
      </w:r>
      <w:bookmarkStart w:id="179" w:name="_Toc254970670"/>
      <w:bookmarkStart w:id="180" w:name="_Toc254970529"/>
    </w:p>
    <w:p w14:paraId="0F7BB0A2">
      <w:pPr>
        <w:pStyle w:val="7"/>
        <w:keepNext w:val="0"/>
        <w:keepLines w:val="0"/>
        <w:pageBreakBefore w:val="0"/>
        <w:numPr>
          <w:ilvl w:val="4"/>
          <w:numId w:val="4"/>
        </w:numPr>
        <w:kinsoku/>
        <w:topLinePunct w:val="0"/>
        <w:bidi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w:t>
      </w:r>
      <w:bookmarkEnd w:id="179"/>
      <w:bookmarkEnd w:id="180"/>
      <w:r>
        <w:rPr>
          <w:rFonts w:hint="eastAsia" w:ascii="宋体" w:hAnsi="宋体" w:eastAsia="宋体" w:cs="宋体"/>
          <w:strike w:val="0"/>
          <w:dstrike w:val="0"/>
          <w:color w:val="auto"/>
          <w:sz w:val="21"/>
          <w:szCs w:val="21"/>
          <w:highlight w:val="none"/>
        </w:rPr>
        <w:t>申请人的资格要求：</w:t>
      </w:r>
    </w:p>
    <w:p w14:paraId="3418D0AF">
      <w:pPr>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申请人的资格要求详见“招标公告”。</w:t>
      </w:r>
    </w:p>
    <w:p w14:paraId="17BFC6E7">
      <w:pPr>
        <w:pStyle w:val="7"/>
        <w:keepNext w:val="0"/>
        <w:keepLines w:val="0"/>
        <w:pageBreakBefore w:val="0"/>
        <w:numPr>
          <w:ilvl w:val="4"/>
          <w:numId w:val="4"/>
        </w:numPr>
        <w:kinsoku/>
        <w:topLinePunct w:val="0"/>
        <w:bidi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bookmarkStart w:id="181" w:name="_Toc254970671"/>
      <w:bookmarkStart w:id="182" w:name="_Toc254970530"/>
      <w:r>
        <w:rPr>
          <w:rFonts w:hint="eastAsia" w:ascii="宋体" w:hAnsi="宋体" w:eastAsia="宋体" w:cs="宋体"/>
          <w:strike w:val="0"/>
          <w:dstrike w:val="0"/>
          <w:color w:val="auto"/>
          <w:sz w:val="21"/>
          <w:szCs w:val="21"/>
          <w:highlight w:val="none"/>
        </w:rPr>
        <w:t>4.投标委托</w:t>
      </w:r>
      <w:bookmarkEnd w:id="181"/>
      <w:bookmarkEnd w:id="182"/>
    </w:p>
    <w:p w14:paraId="2ABE9E17">
      <w:pPr>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投标人代表参加投标活动过程中必须携带个人有效身份证件。如投标人代表不是法定代表人，须持有授权委托书（按第六章要求格式填写）。</w:t>
      </w:r>
    </w:p>
    <w:p w14:paraId="71F73C73">
      <w:pPr>
        <w:pStyle w:val="7"/>
        <w:keepNext w:val="0"/>
        <w:keepLines w:val="0"/>
        <w:pageBreakBefore w:val="0"/>
        <w:numPr>
          <w:ilvl w:val="4"/>
          <w:numId w:val="4"/>
        </w:numPr>
        <w:kinsoku/>
        <w:topLinePunct w:val="0"/>
        <w:bidi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bookmarkStart w:id="183" w:name="_5.投标费用"/>
      <w:bookmarkEnd w:id="183"/>
      <w:bookmarkStart w:id="184" w:name="_Toc254970531"/>
      <w:bookmarkStart w:id="185" w:name="_Toc254970672"/>
      <w:r>
        <w:rPr>
          <w:rFonts w:hint="eastAsia" w:ascii="宋体" w:hAnsi="宋体" w:eastAsia="宋体" w:cs="宋体"/>
          <w:strike w:val="0"/>
          <w:dstrike w:val="0"/>
          <w:color w:val="auto"/>
          <w:sz w:val="21"/>
          <w:szCs w:val="21"/>
          <w:highlight w:val="none"/>
        </w:rPr>
        <w:t>5.投标费用</w:t>
      </w:r>
      <w:bookmarkEnd w:id="184"/>
      <w:bookmarkEnd w:id="185"/>
    </w:p>
    <w:p w14:paraId="508BA9DA">
      <w:pPr>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047747F4">
      <w:pPr>
        <w:pStyle w:val="7"/>
        <w:keepNext w:val="0"/>
        <w:keepLines w:val="0"/>
        <w:pageBreakBefore w:val="0"/>
        <w:numPr>
          <w:ilvl w:val="4"/>
          <w:numId w:val="4"/>
        </w:numPr>
        <w:kinsoku/>
        <w:topLinePunct w:val="0"/>
        <w:bidi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6.联合体投标</w:t>
      </w:r>
    </w:p>
    <w:p w14:paraId="5475DC8F">
      <w:pPr>
        <w:keepNext w:val="0"/>
        <w:keepLines w:val="0"/>
        <w:pageBreakBefore w:val="0"/>
        <w:kinsoku/>
        <w:topLinePunct w:val="0"/>
        <w:bidi w:val="0"/>
        <w:snapToGrid w:val="0"/>
        <w:spacing w:line="400" w:lineRule="exact"/>
        <w:ind w:firstLine="420" w:firstLineChars="200"/>
        <w:jc w:val="left"/>
        <w:outlineLvl w:val="3"/>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6.1本项目是否接受联合体投标，详见“投标人须知前附表”。</w:t>
      </w:r>
    </w:p>
    <w:p w14:paraId="66A7C704">
      <w:pPr>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6.2如接受联合体投标，联合体投标要求详见“投标人须知前附表”。</w:t>
      </w:r>
    </w:p>
    <w:p w14:paraId="633EF650">
      <w:pPr>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6.3根据《政府采购促进中小企业发展管理办法》（财库[2020]46号）</w:t>
      </w:r>
      <w:r>
        <w:rPr>
          <w:rFonts w:hint="eastAsia" w:ascii="宋体" w:hAnsi="宋体" w:eastAsia="宋体" w:cs="宋体"/>
          <w:bCs/>
          <w:strike w:val="0"/>
          <w:dstrike w:val="0"/>
          <w:color w:val="auto"/>
          <w:sz w:val="21"/>
          <w:szCs w:val="21"/>
          <w:highlight w:val="none"/>
          <w:lang w:eastAsia="zh-CN"/>
        </w:rPr>
        <w:t>第九条，</w:t>
      </w:r>
      <w:r>
        <w:rPr>
          <w:rFonts w:hint="eastAsia" w:ascii="宋体" w:hAnsi="宋体" w:eastAsia="宋体" w:cs="宋体"/>
          <w:bCs/>
          <w:strike w:val="0"/>
          <w:dstrike w:val="0"/>
          <w:color w:val="auto"/>
          <w:sz w:val="21"/>
          <w:szCs w:val="21"/>
          <w:highlight w:val="none"/>
        </w:rPr>
        <w:t>《广西壮族自治区财政厅关于进一步发挥政府采购政策功能促进企业发展的通知》（桂财采〔2022〕30号）及《广西壮族自治区财政厅 广西壮族自治区工业和信息化厅转发财政部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14913532">
      <w:pPr>
        <w:pStyle w:val="7"/>
        <w:keepNext w:val="0"/>
        <w:keepLines w:val="0"/>
        <w:pageBreakBefore w:val="0"/>
        <w:numPr>
          <w:ilvl w:val="4"/>
          <w:numId w:val="4"/>
        </w:numPr>
        <w:kinsoku/>
        <w:topLinePunct w:val="0"/>
        <w:bidi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7.转包与分包</w:t>
      </w:r>
    </w:p>
    <w:p w14:paraId="289BF72F">
      <w:pPr>
        <w:pStyle w:val="7"/>
        <w:keepNext w:val="0"/>
        <w:keepLines w:val="0"/>
        <w:pageBreakBefore w:val="0"/>
        <w:numPr>
          <w:ilvl w:val="4"/>
          <w:numId w:val="4"/>
        </w:numP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7.1本项目不允许转包。</w:t>
      </w:r>
    </w:p>
    <w:p w14:paraId="2FBD17D8">
      <w:pPr>
        <w:pStyle w:val="7"/>
        <w:keepNext w:val="0"/>
        <w:keepLines w:val="0"/>
        <w:pageBreakBefore w:val="0"/>
        <w:numPr>
          <w:ilvl w:val="4"/>
          <w:numId w:val="4"/>
        </w:numP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25664C88">
      <w:pPr>
        <w:pStyle w:val="7"/>
        <w:keepNext w:val="0"/>
        <w:keepLines w:val="0"/>
        <w:pageBreakBefore w:val="0"/>
        <w:numPr>
          <w:ilvl w:val="4"/>
          <w:numId w:val="4"/>
        </w:numP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3D7F241E">
      <w:pPr>
        <w:pStyle w:val="7"/>
        <w:keepNext w:val="0"/>
        <w:keepLines w:val="0"/>
        <w:pageBreakBefore w:val="0"/>
        <w:numPr>
          <w:ilvl w:val="4"/>
          <w:numId w:val="4"/>
        </w:numP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7.4根据《政府采购促进中小企业发展管理办法》（财库[2020]46号）第九条规定，允许大中型企业向一家或者多家小微企业分包的采购项目，对于分包意向协议约定小微企业的合同份额占到合同总金额30%以上的，采购人、采购代理机构应当对大中型企业的报价给予 4%-6%的扣除，用扣除后的价格参加评审。接受分包的小微企业与分包企业之间存在直接控股、管理关系的，不享受价格扣除优惠政策。</w:t>
      </w:r>
    </w:p>
    <w:p w14:paraId="6298DE31">
      <w:pPr>
        <w:pStyle w:val="7"/>
        <w:keepNext w:val="0"/>
        <w:keepLines w:val="0"/>
        <w:pageBreakBefore w:val="0"/>
        <w:numPr>
          <w:ilvl w:val="4"/>
          <w:numId w:val="4"/>
        </w:numPr>
        <w:kinsoku/>
        <w:topLinePunct w:val="0"/>
        <w:bidi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bookmarkStart w:id="186" w:name="_Toc254970673"/>
      <w:bookmarkStart w:id="187" w:name="_Toc254970532"/>
      <w:r>
        <w:rPr>
          <w:rFonts w:hint="eastAsia" w:ascii="宋体" w:hAnsi="宋体" w:eastAsia="宋体" w:cs="宋体"/>
          <w:strike w:val="0"/>
          <w:dstrike w:val="0"/>
          <w:color w:val="auto"/>
          <w:sz w:val="21"/>
          <w:szCs w:val="21"/>
          <w:highlight w:val="none"/>
        </w:rPr>
        <w:t>8.特别说明</w:t>
      </w:r>
      <w:bookmarkEnd w:id="186"/>
      <w:bookmarkEnd w:id="187"/>
    </w:p>
    <w:p w14:paraId="1B94B979">
      <w:pPr>
        <w:pStyle w:val="7"/>
        <w:keepNext w:val="0"/>
        <w:keepLines w:val="0"/>
        <w:pageBreakBefore w:val="0"/>
        <w:numPr>
          <w:ilvl w:val="4"/>
          <w:numId w:val="4"/>
        </w:numP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bookmarkStart w:id="188" w:name="_8.1提供相同品牌产品且通过资格审查、符合性审查的不同投标人参加同一合"/>
      <w:bookmarkEnd w:id="188"/>
      <w:r>
        <w:rPr>
          <w:rFonts w:hint="eastAsia" w:ascii="宋体" w:hAnsi="宋体" w:eastAsia="宋体" w:cs="宋体"/>
          <w:b w:val="0"/>
          <w:strike w:val="0"/>
          <w:dstrike w:val="0"/>
          <w:color w:val="auto"/>
          <w:sz w:val="21"/>
          <w:szCs w:val="21"/>
          <w:highlight w:val="none"/>
        </w:rPr>
        <w:t>8.1如果本招标文件要求提供投标人或制造商的资格、信誉、荣誉、业绩与企业认证等材料的，资格、信誉、荣誉、业绩与企业认证等必须为投标人或者制造商所拥有或自身获得。</w:t>
      </w:r>
    </w:p>
    <w:p w14:paraId="32F3ED6F">
      <w:pPr>
        <w:pStyle w:val="7"/>
        <w:keepNext w:val="0"/>
        <w:keepLines w:val="0"/>
        <w:pageBreakBefore w:val="0"/>
        <w:numPr>
          <w:ilvl w:val="4"/>
          <w:numId w:val="4"/>
        </w:numP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8.2投标人应仔细阅读招标文件的所有内容，按照招标文件的要求提交投标文件，并对所提供的全部资料的真实性承担法律责任。</w:t>
      </w:r>
    </w:p>
    <w:p w14:paraId="1085B0BE">
      <w:pPr>
        <w:pStyle w:val="7"/>
        <w:keepNext w:val="0"/>
        <w:keepLines w:val="0"/>
        <w:pageBreakBefore w:val="0"/>
        <w:numPr>
          <w:ilvl w:val="4"/>
          <w:numId w:val="4"/>
        </w:numP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30E52852">
      <w:pPr>
        <w:pStyle w:val="7"/>
        <w:keepNext w:val="0"/>
        <w:keepLines w:val="0"/>
        <w:pageBreakBefore w:val="0"/>
        <w:numPr>
          <w:ilvl w:val="4"/>
          <w:numId w:val="4"/>
        </w:numPr>
        <w:kinsoku/>
        <w:topLinePunct w:val="0"/>
        <w:bidi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9.回避与串通投标</w:t>
      </w:r>
    </w:p>
    <w:p w14:paraId="3DEF5E86">
      <w:pPr>
        <w:pStyle w:val="7"/>
        <w:keepNext w:val="0"/>
        <w:keepLines w:val="0"/>
        <w:pageBreakBefore w:val="0"/>
        <w:numPr>
          <w:ilvl w:val="4"/>
          <w:numId w:val="4"/>
        </w:numP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9.1在政府采购活动中，采购人员及相关人员与投标人有下列利害关系之一的，应当回避：</w:t>
      </w:r>
    </w:p>
    <w:p w14:paraId="5A8400BC">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（1）参加采购活动前3年内与投标人存在劳动关系；</w:t>
      </w:r>
    </w:p>
    <w:p w14:paraId="4062AAD9">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（2）参加采购活动前3年内担任投标人的董事、监事；</w:t>
      </w:r>
    </w:p>
    <w:p w14:paraId="09E18FBC">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（3）参加采购活动前3年内是投标人的控股股东或者实际控制人；</w:t>
      </w:r>
    </w:p>
    <w:p w14:paraId="4F29D584">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（4）与投标人的法定代表人或者负责人有夫妻、直系血亲、三代以内旁系血亲或者近姻亲关系；</w:t>
      </w:r>
    </w:p>
    <w:p w14:paraId="772D0D2A">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（5）与投标人有其他可能影响政府采购活动公平、公正进行的关系。</w:t>
      </w:r>
    </w:p>
    <w:p w14:paraId="49C8D14C">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p>
    <w:p w14:paraId="32BDAE29">
      <w:pPr>
        <w:pStyle w:val="7"/>
        <w:keepNext w:val="0"/>
        <w:keepLines w:val="0"/>
        <w:pageBreakBefore w:val="0"/>
        <w:numPr>
          <w:ilvl w:val="4"/>
          <w:numId w:val="4"/>
        </w:numP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9.2有下列情形之一的视为投标人相互串通投标，投标文件将被视为无效：</w:t>
      </w:r>
    </w:p>
    <w:p w14:paraId="34131BFD">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（1）不同投标人的投标文件由同一单位或者个人编制；或者不同投标人报名的IP地址一致的；或者编制标书硬件设备CPU编号、硬盘编号、网卡地址一致的情况；</w:t>
      </w:r>
    </w:p>
    <w:p w14:paraId="4BC25703">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（2）不同投标人委托同一单位或者个人办理投标事宜；</w:t>
      </w:r>
    </w:p>
    <w:p w14:paraId="10AFA224">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（3）不同的投标人的投标文件载明的项目管理员为同一个人；</w:t>
      </w:r>
    </w:p>
    <w:p w14:paraId="47A305F0">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（4）不同投标人的投标文件异常一致或者投标报价呈规律性差异；</w:t>
      </w:r>
    </w:p>
    <w:p w14:paraId="417ED7BD">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（5）不同投标人的投标文件相互混装；</w:t>
      </w:r>
    </w:p>
    <w:p w14:paraId="241CEEBD">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（6）不同投标人的投标保证金从同一单位或者个人账户转出。</w:t>
      </w:r>
    </w:p>
    <w:p w14:paraId="559B1BE4">
      <w:pPr>
        <w:pStyle w:val="7"/>
        <w:keepNext w:val="0"/>
        <w:keepLines w:val="0"/>
        <w:pageBreakBefore w:val="0"/>
        <w:numPr>
          <w:ilvl w:val="4"/>
          <w:numId w:val="4"/>
        </w:numP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9.3投标人有下列情形之一的，属于恶意串通行为，将报同级监督管理部门：</w:t>
      </w:r>
    </w:p>
    <w:p w14:paraId="4490E60A">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（1）投标人直接或者间接从采购人或者采购代理机构处获得其他投标人的相关信息并修改其投标文件或者</w:t>
      </w:r>
      <w:r>
        <w:rPr>
          <w:rFonts w:hint="eastAsia" w:ascii="宋体" w:hAnsi="宋体" w:eastAsia="宋体" w:cs="宋体"/>
          <w:strike w:val="0"/>
          <w:dstrike w:val="0"/>
          <w:color w:val="auto"/>
          <w:kern w:val="2"/>
          <w:sz w:val="21"/>
          <w:szCs w:val="21"/>
          <w:highlight w:val="none"/>
          <w:lang w:eastAsia="zh-CN"/>
        </w:rPr>
        <w:t>投标文件</w:t>
      </w:r>
      <w:r>
        <w:rPr>
          <w:rFonts w:hint="eastAsia" w:ascii="宋体" w:hAnsi="宋体" w:eastAsia="宋体" w:cs="宋体"/>
          <w:strike w:val="0"/>
          <w:dstrike w:val="0"/>
          <w:color w:val="auto"/>
          <w:kern w:val="2"/>
          <w:sz w:val="21"/>
          <w:szCs w:val="21"/>
          <w:highlight w:val="none"/>
        </w:rPr>
        <w:t>；</w:t>
      </w:r>
    </w:p>
    <w:p w14:paraId="0A7A0186">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（2）投标人按照采购人或者采购代理机构的授意撤换、修改投标文件或者</w:t>
      </w:r>
      <w:r>
        <w:rPr>
          <w:rFonts w:hint="eastAsia" w:ascii="宋体" w:hAnsi="宋体" w:eastAsia="宋体" w:cs="宋体"/>
          <w:strike w:val="0"/>
          <w:dstrike w:val="0"/>
          <w:color w:val="auto"/>
          <w:kern w:val="2"/>
          <w:sz w:val="21"/>
          <w:szCs w:val="21"/>
          <w:highlight w:val="none"/>
          <w:lang w:eastAsia="zh-CN"/>
        </w:rPr>
        <w:t>投标文件</w:t>
      </w:r>
      <w:r>
        <w:rPr>
          <w:rFonts w:hint="eastAsia" w:ascii="宋体" w:hAnsi="宋体" w:eastAsia="宋体" w:cs="宋体"/>
          <w:strike w:val="0"/>
          <w:dstrike w:val="0"/>
          <w:color w:val="auto"/>
          <w:kern w:val="2"/>
          <w:sz w:val="21"/>
          <w:szCs w:val="21"/>
          <w:highlight w:val="none"/>
        </w:rPr>
        <w:t>；</w:t>
      </w:r>
    </w:p>
    <w:p w14:paraId="304ECDFA">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（3）投标人之间协商报价、技术方案等投标文件或者</w:t>
      </w:r>
      <w:r>
        <w:rPr>
          <w:rFonts w:hint="eastAsia" w:ascii="宋体" w:hAnsi="宋体" w:eastAsia="宋体" w:cs="宋体"/>
          <w:strike w:val="0"/>
          <w:dstrike w:val="0"/>
          <w:color w:val="auto"/>
          <w:kern w:val="2"/>
          <w:sz w:val="21"/>
          <w:szCs w:val="21"/>
          <w:highlight w:val="none"/>
          <w:lang w:eastAsia="zh-CN"/>
        </w:rPr>
        <w:t>投标文件</w:t>
      </w:r>
      <w:r>
        <w:rPr>
          <w:rFonts w:hint="eastAsia" w:ascii="宋体" w:hAnsi="宋体" w:eastAsia="宋体" w:cs="宋体"/>
          <w:strike w:val="0"/>
          <w:dstrike w:val="0"/>
          <w:color w:val="auto"/>
          <w:kern w:val="2"/>
          <w:sz w:val="21"/>
          <w:szCs w:val="21"/>
          <w:highlight w:val="none"/>
        </w:rPr>
        <w:t>的实质性内容；</w:t>
      </w:r>
    </w:p>
    <w:p w14:paraId="5B4A9291">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（4）属于同一集团、协会、商会等组织成员的投标人按照该组织要求协同参加政府采购活动；</w:t>
      </w:r>
    </w:p>
    <w:p w14:paraId="0D28EFFA">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（5）投标人之间事先约定一致抬高或者压低投标报价，或者在招标项目中事先约定轮流以高价位或者低价位中标，或者事先约定由某一特定投标人中标，然后再参加投标；</w:t>
      </w:r>
    </w:p>
    <w:p w14:paraId="44DABB19">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（6）投标人之间商定部分投标人放弃参加政府采购活动或者放弃中标；</w:t>
      </w:r>
    </w:p>
    <w:p w14:paraId="13949C8A">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（7）投标人与采购人或者采购代理机构之间、投标人相互之间，为谋求特定投标人中标或者排斥其他投标人的其他串通行为。</w:t>
      </w:r>
    </w:p>
    <w:p w14:paraId="227705C1">
      <w:pPr>
        <w:keepNext w:val="0"/>
        <w:keepLines w:val="0"/>
        <w:pageBreakBefore w:val="0"/>
        <w:kinsoku/>
        <w:topLinePunct w:val="0"/>
        <w:bidi w:val="0"/>
        <w:spacing w:beforeLines="50" w:line="400" w:lineRule="exact"/>
        <w:jc w:val="center"/>
        <w:outlineLvl w:val="1"/>
        <w:rPr>
          <w:rFonts w:hint="eastAsia" w:ascii="宋体" w:hAnsi="宋体" w:eastAsia="宋体" w:cs="宋体"/>
          <w:b/>
          <w:strike w:val="0"/>
          <w:dstrike w:val="0"/>
          <w:color w:val="auto"/>
          <w:sz w:val="21"/>
          <w:szCs w:val="21"/>
          <w:highlight w:val="none"/>
        </w:rPr>
      </w:pPr>
      <w:bookmarkStart w:id="189" w:name="_Toc254970675"/>
      <w:bookmarkStart w:id="190" w:name="_Toc254970534"/>
      <w:r>
        <w:rPr>
          <w:rFonts w:hint="eastAsia" w:ascii="宋体" w:hAnsi="宋体" w:eastAsia="宋体" w:cs="宋体"/>
          <w:b/>
          <w:strike w:val="0"/>
          <w:dstrike w:val="0"/>
          <w:color w:val="auto"/>
          <w:sz w:val="21"/>
          <w:szCs w:val="21"/>
          <w:highlight w:val="none"/>
        </w:rPr>
        <w:t>二、招标文件</w:t>
      </w:r>
      <w:bookmarkEnd w:id="189"/>
      <w:bookmarkEnd w:id="190"/>
    </w:p>
    <w:p w14:paraId="3700B0BE">
      <w:pPr>
        <w:pStyle w:val="7"/>
        <w:keepNext w:val="0"/>
        <w:keepLines w:val="0"/>
        <w:pageBreakBefore w:val="0"/>
        <w:numPr>
          <w:ilvl w:val="4"/>
          <w:numId w:val="4"/>
        </w:numPr>
        <w:kinsoku/>
        <w:topLinePunct w:val="0"/>
        <w:bidi w:val="0"/>
        <w:spacing w:before="0" w:after="0" w:line="400" w:lineRule="exact"/>
        <w:ind w:firstLine="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10.招标文件的组成</w:t>
      </w:r>
    </w:p>
    <w:p w14:paraId="6D5CB735">
      <w:pPr>
        <w:keepNext w:val="0"/>
        <w:keepLines w:val="0"/>
        <w:pageBreakBefore w:val="0"/>
        <w:kinsoku/>
        <w:topLinePunct w:val="0"/>
        <w:bidi w:val="0"/>
        <w:snapToGrid w:val="0"/>
        <w:spacing w:line="400" w:lineRule="exact"/>
        <w:ind w:firstLine="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（1）招标公告；</w:t>
      </w:r>
    </w:p>
    <w:p w14:paraId="3A40BE55">
      <w:pPr>
        <w:keepNext w:val="0"/>
        <w:keepLines w:val="0"/>
        <w:pageBreakBefore w:val="0"/>
        <w:kinsoku/>
        <w:topLinePunct w:val="0"/>
        <w:bidi w:val="0"/>
        <w:snapToGrid w:val="0"/>
        <w:spacing w:line="400" w:lineRule="exact"/>
        <w:ind w:firstLine="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（2）采购需求；</w:t>
      </w:r>
    </w:p>
    <w:p w14:paraId="5E15EF61">
      <w:pPr>
        <w:keepNext w:val="0"/>
        <w:keepLines w:val="0"/>
        <w:pageBreakBefore w:val="0"/>
        <w:kinsoku/>
        <w:topLinePunct w:val="0"/>
        <w:bidi w:val="0"/>
        <w:snapToGrid w:val="0"/>
        <w:spacing w:line="400" w:lineRule="exact"/>
        <w:ind w:firstLine="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（3）投标人须知；</w:t>
      </w:r>
    </w:p>
    <w:p w14:paraId="0D7421C2">
      <w:pPr>
        <w:keepNext w:val="0"/>
        <w:keepLines w:val="0"/>
        <w:pageBreakBefore w:val="0"/>
        <w:kinsoku/>
        <w:topLinePunct w:val="0"/>
        <w:bidi w:val="0"/>
        <w:snapToGrid w:val="0"/>
        <w:spacing w:line="400" w:lineRule="exact"/>
        <w:ind w:firstLine="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（4）评标方法及评标标准；</w:t>
      </w:r>
    </w:p>
    <w:p w14:paraId="3E02678C">
      <w:pPr>
        <w:keepNext w:val="0"/>
        <w:keepLines w:val="0"/>
        <w:pageBreakBefore w:val="0"/>
        <w:kinsoku/>
        <w:topLinePunct w:val="0"/>
        <w:bidi w:val="0"/>
        <w:snapToGrid w:val="0"/>
        <w:spacing w:line="400" w:lineRule="exact"/>
        <w:ind w:firstLine="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（5）拟签订的合同文本；</w:t>
      </w:r>
    </w:p>
    <w:p w14:paraId="6FE56A8A">
      <w:pPr>
        <w:keepNext w:val="0"/>
        <w:keepLines w:val="0"/>
        <w:pageBreakBefore w:val="0"/>
        <w:kinsoku/>
        <w:topLinePunct w:val="0"/>
        <w:bidi w:val="0"/>
        <w:snapToGrid w:val="0"/>
        <w:spacing w:line="400" w:lineRule="exact"/>
        <w:ind w:firstLine="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（6）投标文件格式。</w:t>
      </w:r>
    </w:p>
    <w:p w14:paraId="59E29492">
      <w:pPr>
        <w:pStyle w:val="7"/>
        <w:keepNext w:val="0"/>
        <w:keepLines w:val="0"/>
        <w:pageBreakBefore w:val="0"/>
        <w:numPr>
          <w:ilvl w:val="4"/>
          <w:numId w:val="4"/>
        </w:numPr>
        <w:kinsoku/>
        <w:topLinePunct w:val="0"/>
        <w:bidi w:val="0"/>
        <w:spacing w:before="0" w:after="0" w:line="400" w:lineRule="exact"/>
        <w:ind w:firstLine="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11.招标文件的澄清、修改、现场考察和答疑会</w:t>
      </w:r>
    </w:p>
    <w:p w14:paraId="47FD90FA">
      <w:pPr>
        <w:pStyle w:val="7"/>
        <w:keepNext w:val="0"/>
        <w:keepLines w:val="0"/>
        <w:pageBreakBefore w:val="0"/>
        <w:numPr>
          <w:ilvl w:val="4"/>
          <w:numId w:val="4"/>
        </w:numPr>
        <w:kinsoku/>
        <w:topLinePunct w:val="0"/>
        <w:bidi w:val="0"/>
        <w:spacing w:before="0" w:after="0" w:line="400" w:lineRule="exact"/>
        <w:ind w:firstLine="315" w:firstLineChars="15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1FBDC92F">
      <w:pPr>
        <w:pStyle w:val="7"/>
        <w:keepNext w:val="0"/>
        <w:keepLines w:val="0"/>
        <w:pageBreakBefore w:val="0"/>
        <w:numPr>
          <w:ilvl w:val="4"/>
          <w:numId w:val="4"/>
        </w:numPr>
        <w:kinsoku/>
        <w:topLinePunct w:val="0"/>
        <w:bidi w:val="0"/>
        <w:spacing w:before="0" w:after="0" w:line="400" w:lineRule="exact"/>
        <w:ind w:firstLine="315" w:firstLineChars="15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澄清或者修改的内容可能影响投标文件编制的，采购人或者采购代理机构应当在投标截止时间至少15日前，以书面形式通知(在“投标人须知前附表”规定的政府采购信息发布媒体上发布更正公告或平台短信通知)所有获取招标文件的潜在投标人；不足15日的，采购人或者采购代理机构应当顺延提交投标文件的截止时间。</w:t>
      </w:r>
    </w:p>
    <w:p w14:paraId="119CA8DF">
      <w:pPr>
        <w:pStyle w:val="7"/>
        <w:keepNext w:val="0"/>
        <w:keepLines w:val="0"/>
        <w:pageBreakBefore w:val="0"/>
        <w:numPr>
          <w:ilvl w:val="4"/>
          <w:numId w:val="4"/>
        </w:numPr>
        <w:kinsoku/>
        <w:topLinePunct w:val="0"/>
        <w:bidi w:val="0"/>
        <w:spacing w:before="0" w:after="0" w:line="400" w:lineRule="exact"/>
        <w:ind w:firstLine="315" w:firstLineChars="15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11.2</w:t>
      </w:r>
      <w:bookmarkStart w:id="191" w:name="_Hlk53134511"/>
      <w:r>
        <w:rPr>
          <w:rFonts w:hint="eastAsia" w:ascii="宋体" w:hAnsi="宋体" w:eastAsia="宋体" w:cs="宋体"/>
          <w:b w:val="0"/>
          <w:strike w:val="0"/>
          <w:dstrike w:val="0"/>
          <w:color w:val="auto"/>
          <w:sz w:val="21"/>
          <w:szCs w:val="21"/>
          <w:highlight w:val="none"/>
        </w:rPr>
        <w:t>采购人或者采购代理机构可以在招标文件提供期限截止后，组织已获取招标文件的潜在投标人现场考察或者召开开标前答疑会，具体详见“投标人须知前附表”。</w:t>
      </w:r>
      <w:bookmarkEnd w:id="191"/>
    </w:p>
    <w:p w14:paraId="4CB94187">
      <w:pPr>
        <w:keepNext w:val="0"/>
        <w:keepLines w:val="0"/>
        <w:pageBreakBefore w:val="0"/>
        <w:kinsoku/>
        <w:topLinePunct w:val="0"/>
        <w:bidi w:val="0"/>
        <w:spacing w:beforeLines="50" w:line="400" w:lineRule="exact"/>
        <w:jc w:val="center"/>
        <w:outlineLvl w:val="1"/>
        <w:rPr>
          <w:rFonts w:hint="eastAsia" w:ascii="宋体" w:hAnsi="宋体" w:eastAsia="宋体" w:cs="宋体"/>
          <w:b/>
          <w:strike w:val="0"/>
          <w:dstrike w:val="0"/>
          <w:color w:val="auto"/>
          <w:sz w:val="21"/>
          <w:szCs w:val="21"/>
          <w:highlight w:val="none"/>
        </w:rPr>
      </w:pPr>
      <w:bookmarkStart w:id="192" w:name="_Toc254970676"/>
      <w:bookmarkStart w:id="193" w:name="_Toc254970535"/>
      <w:r>
        <w:rPr>
          <w:rFonts w:hint="eastAsia" w:ascii="宋体" w:hAnsi="宋体" w:eastAsia="宋体" w:cs="宋体"/>
          <w:b/>
          <w:strike w:val="0"/>
          <w:dstrike w:val="0"/>
          <w:color w:val="auto"/>
          <w:sz w:val="21"/>
          <w:szCs w:val="21"/>
          <w:highlight w:val="none"/>
        </w:rPr>
        <w:t>三、投标文件的编制</w:t>
      </w:r>
      <w:bookmarkEnd w:id="192"/>
      <w:bookmarkEnd w:id="193"/>
    </w:p>
    <w:p w14:paraId="51427FDE">
      <w:pPr>
        <w:pStyle w:val="7"/>
        <w:keepNext w:val="0"/>
        <w:keepLines w:val="0"/>
        <w:pageBreakBefore w:val="0"/>
        <w:kinsoku/>
        <w:topLinePunct w:val="0"/>
        <w:bidi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bookmarkStart w:id="194" w:name="_Toc254970677"/>
      <w:bookmarkStart w:id="195" w:name="_Toc254970536"/>
      <w:r>
        <w:rPr>
          <w:rFonts w:hint="eastAsia" w:ascii="宋体" w:hAnsi="宋体" w:eastAsia="宋体" w:cs="宋体"/>
          <w:strike w:val="0"/>
          <w:dstrike w:val="0"/>
          <w:color w:val="auto"/>
          <w:sz w:val="21"/>
          <w:szCs w:val="21"/>
          <w:highlight w:val="none"/>
        </w:rPr>
        <w:t>12.投标文件的编制原则</w:t>
      </w:r>
    </w:p>
    <w:p w14:paraId="61147D83">
      <w:pPr>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12.1投标人必须按照招标文件的要求编制投标文件。投标文件必须对招标文件提出的要求和条件作出明确响应。</w:t>
      </w:r>
    </w:p>
    <w:p w14:paraId="626F9862">
      <w:pPr>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77563C87">
      <w:pPr>
        <w:pStyle w:val="7"/>
        <w:keepNext w:val="0"/>
        <w:keepLines w:val="0"/>
        <w:pageBreakBefore w:val="0"/>
        <w:kinsoku/>
        <w:topLinePunct w:val="0"/>
        <w:bidi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13.投标文件的组成</w:t>
      </w:r>
    </w:p>
    <w:p w14:paraId="367E4868">
      <w:pPr>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投标文件由报价文件、资格证明文件、商务文件、技术文件四部分组成。</w:t>
      </w:r>
    </w:p>
    <w:p w14:paraId="1E287D89">
      <w:pPr>
        <w:pStyle w:val="7"/>
        <w:keepNext w:val="0"/>
        <w:keepLines w:val="0"/>
        <w:pageBreakBefore w:val="0"/>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（1）报价文件：具体材料见“投标人须知前附表”。</w:t>
      </w:r>
    </w:p>
    <w:p w14:paraId="3C9D3119">
      <w:pPr>
        <w:pStyle w:val="7"/>
        <w:keepNext w:val="0"/>
        <w:keepLines w:val="0"/>
        <w:pageBreakBefore w:val="0"/>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（2）资格证明文件：具体材料见“投标人须知前附表”。</w:t>
      </w:r>
    </w:p>
    <w:p w14:paraId="74A84223">
      <w:pPr>
        <w:pStyle w:val="7"/>
        <w:keepNext w:val="0"/>
        <w:keepLines w:val="0"/>
        <w:pageBreakBefore w:val="0"/>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（3）商务文件：具体材料见“投标人须知前附表”。</w:t>
      </w:r>
    </w:p>
    <w:p w14:paraId="7A680FAE">
      <w:pPr>
        <w:pStyle w:val="7"/>
        <w:keepNext w:val="0"/>
        <w:keepLines w:val="0"/>
        <w:pageBreakBefore w:val="0"/>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（4）技术文件：具体材料见“投标人须知前附表”。</w:t>
      </w:r>
    </w:p>
    <w:p w14:paraId="687048B1">
      <w:pPr>
        <w:pStyle w:val="7"/>
        <w:keepNext w:val="0"/>
        <w:keepLines w:val="0"/>
        <w:pageBreakBefore w:val="0"/>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投标文件电子版：具体要求见投标文件编制。</w:t>
      </w:r>
    </w:p>
    <w:p w14:paraId="50996721">
      <w:pPr>
        <w:pStyle w:val="7"/>
        <w:keepNext w:val="0"/>
        <w:keepLines w:val="0"/>
        <w:pageBreakBefore w:val="0"/>
        <w:kinsoku/>
        <w:topLinePunct w:val="0"/>
        <w:bidi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14.投标文件的语言及计量</w:t>
      </w:r>
    </w:p>
    <w:p w14:paraId="6D6BBF18">
      <w:pPr>
        <w:pStyle w:val="28"/>
        <w:keepNext w:val="0"/>
        <w:keepLines w:val="0"/>
        <w:pageBreakBefore w:val="0"/>
        <w:kinsoku/>
        <w:topLinePunct w:val="0"/>
        <w:bidi w:val="0"/>
        <w:snapToGrid w:val="0"/>
        <w:spacing w:line="400" w:lineRule="exact"/>
        <w:ind w:firstLine="420" w:firstLineChars="200"/>
        <w:jc w:val="left"/>
        <w:outlineLvl w:val="3"/>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14.1语言文字</w:t>
      </w:r>
    </w:p>
    <w:p w14:paraId="33E04844">
      <w:pPr>
        <w:pStyle w:val="7"/>
        <w:keepNext w:val="0"/>
        <w:keepLines w:val="0"/>
        <w:pageBreakBefore w:val="0"/>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31628990">
      <w:pPr>
        <w:pStyle w:val="7"/>
        <w:keepNext w:val="0"/>
        <w:keepLines w:val="0"/>
        <w:pageBreakBefore w:val="0"/>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14.2投标计量单位</w:t>
      </w:r>
    </w:p>
    <w:p w14:paraId="196E2CFC">
      <w:pPr>
        <w:pStyle w:val="7"/>
        <w:keepNext w:val="0"/>
        <w:keepLines w:val="0"/>
        <w:pageBreakBefore w:val="0"/>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招标文件已有明确规定的，使用招标文件规定的计量单位；招标文件没有规定的，应采用中华人民共和国法定计量单位，货币种类为人民币，否则视同未响应。</w:t>
      </w:r>
    </w:p>
    <w:p w14:paraId="68B10C60">
      <w:pPr>
        <w:pStyle w:val="7"/>
        <w:keepNext w:val="0"/>
        <w:keepLines w:val="0"/>
        <w:pageBreakBefore w:val="0"/>
        <w:kinsoku/>
        <w:topLinePunct w:val="0"/>
        <w:bidi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15.投标的风险</w:t>
      </w:r>
    </w:p>
    <w:p w14:paraId="45CC773D">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各投标人在编制投标文件时请按照招标文件规定的格式进行，混乱的编排导致投标文件被误读或评标委员会查找不到有效文件是投标人的风险。</w:t>
      </w:r>
    </w:p>
    <w:p w14:paraId="785D2146">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投标文件</w:t>
      </w:r>
      <w:bookmarkStart w:id="196" w:name="OLE_LINK109"/>
      <w:bookmarkStart w:id="197" w:name="OLE_LINK110"/>
      <w:r>
        <w:rPr>
          <w:rFonts w:hint="eastAsia" w:ascii="宋体" w:hAnsi="宋体" w:eastAsia="宋体" w:cs="宋体"/>
          <w:strike w:val="0"/>
          <w:dstrike w:val="0"/>
          <w:color w:val="auto"/>
          <w:sz w:val="21"/>
          <w:szCs w:val="21"/>
          <w:highlight w:val="none"/>
        </w:rPr>
        <w:t>未</w:t>
      </w:r>
      <w:bookmarkEnd w:id="196"/>
      <w:bookmarkEnd w:id="197"/>
      <w:r>
        <w:rPr>
          <w:rFonts w:hint="eastAsia" w:ascii="宋体" w:hAnsi="宋体" w:eastAsia="宋体" w:cs="宋体"/>
          <w:strike w:val="0"/>
          <w:dstrike w:val="0"/>
          <w:color w:val="auto"/>
          <w:sz w:val="21"/>
          <w:szCs w:val="21"/>
          <w:highlight w:val="none"/>
        </w:rPr>
        <w:t>按规定的格式编制的、未按照招标文件要求提供全部资料、未对招标文件作出实质性响应，投标无效；</w:t>
      </w:r>
    </w:p>
    <w:p w14:paraId="4ABC5007">
      <w:pPr>
        <w:pStyle w:val="7"/>
        <w:keepNext w:val="0"/>
        <w:keepLines w:val="0"/>
        <w:pageBreakBefore w:val="0"/>
        <w:kinsoku/>
        <w:topLinePunct w:val="0"/>
        <w:bidi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16.投标报价</w:t>
      </w:r>
    </w:p>
    <w:p w14:paraId="42ACF0F1">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16.1投标报价应按“第六章　投标文件格式”中“开标一览表”格式填写。</w:t>
      </w:r>
    </w:p>
    <w:p w14:paraId="02B4790A">
      <w:pPr>
        <w:pStyle w:val="28"/>
        <w:keepNext w:val="0"/>
        <w:keepLines w:val="0"/>
        <w:pageBreakBefore w:val="0"/>
        <w:kinsoku/>
        <w:topLinePunct w:val="0"/>
        <w:bidi w:val="0"/>
        <w:snapToGrid w:val="0"/>
        <w:spacing w:line="400" w:lineRule="exact"/>
        <w:ind w:firstLine="420" w:firstLineChars="200"/>
        <w:jc w:val="left"/>
        <w:outlineLvl w:val="3"/>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16.2投标报价具体包括内容详见“投标人须知前附表”。</w:t>
      </w:r>
    </w:p>
    <w:p w14:paraId="40D93BEE">
      <w:pPr>
        <w:pStyle w:val="7"/>
        <w:keepNext w:val="0"/>
        <w:keepLines w:val="0"/>
        <w:pageBreakBefore w:val="0"/>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16.3投标人必须就所投每个</w:t>
      </w:r>
      <w:r>
        <w:rPr>
          <w:rFonts w:hint="eastAsia" w:ascii="宋体" w:hAnsi="宋体" w:eastAsia="宋体" w:cs="宋体"/>
          <w:b w:val="0"/>
          <w:strike w:val="0"/>
          <w:dstrike w:val="0"/>
          <w:color w:val="auto"/>
          <w:sz w:val="21"/>
          <w:szCs w:val="21"/>
          <w:highlight w:val="none"/>
          <w:lang w:val="en-US" w:eastAsia="zh-CN"/>
        </w:rPr>
        <w:t>分包</w:t>
      </w:r>
      <w:r>
        <w:rPr>
          <w:rFonts w:hint="eastAsia" w:ascii="宋体" w:hAnsi="宋体" w:eastAsia="宋体" w:cs="宋体"/>
          <w:b w:val="0"/>
          <w:strike w:val="0"/>
          <w:dstrike w:val="0"/>
          <w:color w:val="auto"/>
          <w:sz w:val="21"/>
          <w:szCs w:val="21"/>
          <w:highlight w:val="none"/>
        </w:rPr>
        <w:t>的全部内容分别作完整唯一总价报价，不得存在漏项报价；投标人必须就所投</w:t>
      </w:r>
      <w:r>
        <w:rPr>
          <w:rFonts w:hint="eastAsia" w:ascii="宋体" w:hAnsi="宋体" w:eastAsia="宋体" w:cs="宋体"/>
          <w:b w:val="0"/>
          <w:strike w:val="0"/>
          <w:dstrike w:val="0"/>
          <w:color w:val="auto"/>
          <w:sz w:val="21"/>
          <w:szCs w:val="21"/>
          <w:highlight w:val="none"/>
          <w:lang w:val="en-US" w:eastAsia="zh-CN"/>
        </w:rPr>
        <w:t>分包</w:t>
      </w:r>
      <w:r>
        <w:rPr>
          <w:rFonts w:hint="eastAsia" w:ascii="宋体" w:hAnsi="宋体" w:eastAsia="宋体" w:cs="宋体"/>
          <w:b w:val="0"/>
          <w:strike w:val="0"/>
          <w:dstrike w:val="0"/>
          <w:color w:val="auto"/>
          <w:sz w:val="21"/>
          <w:szCs w:val="21"/>
          <w:highlight w:val="none"/>
        </w:rPr>
        <w:t>的单项内容作唯一报价。</w:t>
      </w:r>
    </w:p>
    <w:p w14:paraId="6E69EFF1">
      <w:pPr>
        <w:pStyle w:val="7"/>
        <w:keepNext w:val="0"/>
        <w:keepLines w:val="0"/>
        <w:pageBreakBefore w:val="0"/>
        <w:kinsoku/>
        <w:topLinePunct w:val="0"/>
        <w:bidi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17.投标有效期</w:t>
      </w:r>
    </w:p>
    <w:p w14:paraId="28277B68">
      <w:pPr>
        <w:pStyle w:val="7"/>
        <w:keepNext w:val="0"/>
        <w:keepLines w:val="0"/>
        <w:pageBreakBefore w:val="0"/>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350234DB">
      <w:pPr>
        <w:pStyle w:val="7"/>
        <w:keepNext w:val="0"/>
        <w:keepLines w:val="0"/>
        <w:pageBreakBefore w:val="0"/>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17.2投标有效期应按规定的期限作出承诺，具体详见“投标人须知前附表”。</w:t>
      </w:r>
    </w:p>
    <w:p w14:paraId="1C95BE7A">
      <w:pPr>
        <w:pStyle w:val="7"/>
        <w:keepNext w:val="0"/>
        <w:keepLines w:val="0"/>
        <w:pageBreakBefore w:val="0"/>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17.3投标人的投标文件在投标有效期内均保持有效。</w:t>
      </w:r>
    </w:p>
    <w:p w14:paraId="1A65C871">
      <w:pPr>
        <w:pStyle w:val="7"/>
        <w:keepNext w:val="0"/>
        <w:keepLines w:val="0"/>
        <w:pageBreakBefore w:val="0"/>
        <w:kinsoku/>
        <w:topLinePunct w:val="0"/>
        <w:bidi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18.投标保证金</w:t>
      </w:r>
    </w:p>
    <w:p w14:paraId="01CDE3B9">
      <w:pPr>
        <w:pStyle w:val="7"/>
        <w:keepNext w:val="0"/>
        <w:keepLines w:val="0"/>
        <w:pageBreakBefore w:val="0"/>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18.1投标人须按“投标人须知前附表”的规定提交投标保证金。</w:t>
      </w:r>
    </w:p>
    <w:p w14:paraId="6EAD93F6">
      <w:pPr>
        <w:pStyle w:val="7"/>
        <w:keepNext w:val="0"/>
        <w:keepLines w:val="0"/>
        <w:pageBreakBefore w:val="0"/>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18.2投标保证金的退还</w:t>
      </w:r>
    </w:p>
    <w:p w14:paraId="3734D088">
      <w:pPr>
        <w:pStyle w:val="7"/>
        <w:keepNext w:val="0"/>
        <w:keepLines w:val="0"/>
        <w:pageBreakBefore w:val="0"/>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未中标人的投标保证金自中标通知书发出之日起</w:t>
      </w:r>
      <w:r>
        <w:rPr>
          <w:rFonts w:hint="eastAsia" w:ascii="宋体" w:hAnsi="宋体" w:eastAsia="宋体" w:cs="宋体"/>
          <w:b w:val="0"/>
          <w:strike w:val="0"/>
          <w:dstrike w:val="0"/>
          <w:color w:val="auto"/>
          <w:sz w:val="21"/>
          <w:szCs w:val="21"/>
          <w:highlight w:val="none"/>
          <w:lang w:val="en-US" w:eastAsia="zh-CN"/>
        </w:rPr>
        <w:t>5</w:t>
      </w:r>
      <w:r>
        <w:rPr>
          <w:rFonts w:hint="eastAsia" w:ascii="宋体" w:hAnsi="宋体" w:eastAsia="宋体" w:cs="宋体"/>
          <w:b w:val="0"/>
          <w:strike w:val="0"/>
          <w:dstrike w:val="0"/>
          <w:color w:val="auto"/>
          <w:sz w:val="21"/>
          <w:szCs w:val="21"/>
          <w:highlight w:val="none"/>
        </w:rPr>
        <w:t>个工作日内退还；中标人的投标保证金自政府采购合同签订之日起</w:t>
      </w:r>
      <w:r>
        <w:rPr>
          <w:rFonts w:hint="eastAsia" w:ascii="宋体" w:hAnsi="宋体" w:eastAsia="宋体" w:cs="宋体"/>
          <w:b w:val="0"/>
          <w:strike w:val="0"/>
          <w:dstrike w:val="0"/>
          <w:color w:val="auto"/>
          <w:sz w:val="21"/>
          <w:szCs w:val="21"/>
          <w:highlight w:val="none"/>
          <w:lang w:val="en-US" w:eastAsia="zh-CN"/>
        </w:rPr>
        <w:t>5</w:t>
      </w:r>
      <w:r>
        <w:rPr>
          <w:rFonts w:hint="eastAsia" w:ascii="宋体" w:hAnsi="宋体" w:eastAsia="宋体" w:cs="宋体"/>
          <w:b w:val="0"/>
          <w:strike w:val="0"/>
          <w:dstrike w:val="0"/>
          <w:color w:val="auto"/>
          <w:sz w:val="21"/>
          <w:szCs w:val="21"/>
          <w:highlight w:val="none"/>
        </w:rPr>
        <w:t>个工作日内退还。</w:t>
      </w:r>
    </w:p>
    <w:p w14:paraId="0ADD82FD">
      <w:pPr>
        <w:pStyle w:val="7"/>
        <w:keepNext w:val="0"/>
        <w:keepLines w:val="0"/>
        <w:pageBreakBefore w:val="0"/>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18.3除逾期退还投标保证金和终止招标的情形以外，投标保证金不计息。</w:t>
      </w:r>
    </w:p>
    <w:p w14:paraId="704FCA97">
      <w:pPr>
        <w:pStyle w:val="7"/>
        <w:keepNext w:val="0"/>
        <w:keepLines w:val="0"/>
        <w:pageBreakBefore w:val="0"/>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18.4投标人有下列情形之一的，投标保证金将不予退还：</w:t>
      </w:r>
    </w:p>
    <w:p w14:paraId="7C36798A">
      <w:pPr>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（1）投标人在投标有效期内撤销投标文件的；</w:t>
      </w:r>
    </w:p>
    <w:p w14:paraId="570174D2">
      <w:pPr>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（2）未按规定提交履约保证金的；</w:t>
      </w:r>
    </w:p>
    <w:p w14:paraId="3A38BD9A">
      <w:pPr>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（3）投标人在投标过程中弄虚作假，提供虚假材料的；</w:t>
      </w:r>
    </w:p>
    <w:p w14:paraId="352C8BCA">
      <w:pPr>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（4）中标人无正当理由不与采购人签订合同的；</w:t>
      </w:r>
    </w:p>
    <w:p w14:paraId="1C945D5F">
      <w:pPr>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（5）投标人出现本章第9.2、9.3情形的；</w:t>
      </w:r>
    </w:p>
    <w:p w14:paraId="2178770C">
      <w:pPr>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（6）法律法规规定的其他情形。</w:t>
      </w:r>
    </w:p>
    <w:p w14:paraId="57DD9750">
      <w:pPr>
        <w:pStyle w:val="7"/>
        <w:keepNext w:val="0"/>
        <w:keepLines w:val="0"/>
        <w:pageBreakBefore w:val="0"/>
        <w:kinsoku/>
        <w:topLinePunct w:val="0"/>
        <w:bidi w:val="0"/>
        <w:spacing w:before="0" w:after="0" w:line="400" w:lineRule="exact"/>
        <w:ind w:firstLine="422"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strike w:val="0"/>
          <w:dstrike w:val="0"/>
          <w:color w:val="auto"/>
          <w:sz w:val="21"/>
          <w:szCs w:val="21"/>
          <w:highlight w:val="none"/>
        </w:rPr>
        <w:t>19.投标文件的编制</w:t>
      </w:r>
    </w:p>
    <w:p w14:paraId="47F4C9A0">
      <w:pPr>
        <w:pStyle w:val="7"/>
        <w:keepNext w:val="0"/>
        <w:keepLines w:val="0"/>
        <w:pageBreakBefore w:val="0"/>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p>
    <w:p w14:paraId="079314AA">
      <w:pPr>
        <w:pStyle w:val="7"/>
        <w:keepNext w:val="0"/>
        <w:keepLines w:val="0"/>
        <w:pageBreakBefore w:val="0"/>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19.2为确保网上操作合法、有效和安全，投标人应当在投标截止时间前完成在</w:t>
      </w:r>
      <w:r>
        <w:rPr>
          <w:rFonts w:hint="eastAsia" w:ascii="宋体" w:hAnsi="宋体" w:eastAsia="宋体" w:cs="宋体"/>
          <w:b w:val="0"/>
          <w:strike w:val="0"/>
          <w:dstrike w:val="0"/>
          <w:color w:val="auto"/>
          <w:sz w:val="21"/>
          <w:szCs w:val="21"/>
          <w:highlight w:val="none"/>
          <w:lang w:eastAsia="zh-CN"/>
        </w:rPr>
        <w:t>广西政府采购云平台</w:t>
      </w:r>
      <w:r>
        <w:rPr>
          <w:rFonts w:hint="eastAsia" w:ascii="宋体" w:hAnsi="宋体" w:eastAsia="宋体" w:cs="宋体"/>
          <w:b w:val="0"/>
          <w:strike w:val="0"/>
          <w:dstrike w:val="0"/>
          <w:color w:val="auto"/>
          <w:sz w:val="21"/>
          <w:szCs w:val="21"/>
          <w:highlight w:val="none"/>
        </w:rPr>
        <w:t>的身份认证，确保在电子投标过程中能够对相关数据电文进行加密和使用电子签章。</w:t>
      </w:r>
    </w:p>
    <w:p w14:paraId="5A3B7783">
      <w:pPr>
        <w:pStyle w:val="7"/>
        <w:keepNext w:val="0"/>
        <w:keepLines w:val="0"/>
        <w:pageBreakBefore w:val="0"/>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19.3投标文件须由投标人在规定位置签字（或者电子签名）、盖章（具体以投标人须知前附表或投标文件格式规定为准），</w:t>
      </w:r>
      <w:r>
        <w:rPr>
          <w:rFonts w:hint="eastAsia" w:ascii="宋体" w:hAnsi="宋体" w:eastAsia="宋体" w:cs="宋体"/>
          <w:bCs/>
          <w:strike w:val="0"/>
          <w:dstrike w:val="0"/>
          <w:color w:val="auto"/>
          <w:sz w:val="21"/>
          <w:szCs w:val="21"/>
          <w:highlight w:val="none"/>
        </w:rPr>
        <w:t>否则按无效投标处理</w:t>
      </w:r>
      <w:r>
        <w:rPr>
          <w:rFonts w:hint="eastAsia" w:ascii="宋体" w:hAnsi="宋体" w:eastAsia="宋体" w:cs="宋体"/>
          <w:b w:val="0"/>
          <w:strike w:val="0"/>
          <w:dstrike w:val="0"/>
          <w:color w:val="auto"/>
          <w:sz w:val="21"/>
          <w:szCs w:val="21"/>
          <w:highlight w:val="none"/>
        </w:rPr>
        <w:t>。骑缝盖公章不视为在规定位置盖章。</w:t>
      </w:r>
    </w:p>
    <w:p w14:paraId="32CF18D0">
      <w:pPr>
        <w:pStyle w:val="7"/>
        <w:keepNext w:val="0"/>
        <w:keepLines w:val="0"/>
        <w:pageBreakBefore w:val="0"/>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19.4投标文件中标注的投标人名称应与主体资格证明（如营业执照或者事业单位法人证书或者执业许可证或者登记证书等）及公章一致，并与“</w:t>
      </w:r>
      <w:r>
        <w:rPr>
          <w:rFonts w:hint="eastAsia" w:ascii="宋体" w:hAnsi="宋体" w:eastAsia="宋体" w:cs="宋体"/>
          <w:b w:val="0"/>
          <w:strike w:val="0"/>
          <w:dstrike w:val="0"/>
          <w:color w:val="auto"/>
          <w:sz w:val="21"/>
          <w:szCs w:val="21"/>
          <w:highlight w:val="none"/>
          <w:lang w:eastAsia="zh-CN"/>
        </w:rPr>
        <w:t>广西政府采购云平台</w:t>
      </w:r>
      <w:r>
        <w:rPr>
          <w:rFonts w:hint="eastAsia" w:ascii="宋体" w:hAnsi="宋体" w:eastAsia="宋体" w:cs="宋体"/>
          <w:b w:val="0"/>
          <w:strike w:val="0"/>
          <w:dstrike w:val="0"/>
          <w:color w:val="auto"/>
          <w:sz w:val="21"/>
          <w:szCs w:val="21"/>
          <w:highlight w:val="none"/>
        </w:rPr>
        <w:t>”中获取招标文件的投标人名称一致，投标人为自然人的，标注的投标人名称应与身份证姓名及签名一致，</w:t>
      </w:r>
      <w:r>
        <w:rPr>
          <w:rFonts w:hint="eastAsia" w:ascii="宋体" w:hAnsi="宋体" w:eastAsia="宋体" w:cs="宋体"/>
          <w:strike w:val="0"/>
          <w:dstrike w:val="0"/>
          <w:color w:val="auto"/>
          <w:sz w:val="21"/>
          <w:szCs w:val="21"/>
          <w:highlight w:val="none"/>
        </w:rPr>
        <w:t>否则按无效投标处理</w:t>
      </w:r>
      <w:r>
        <w:rPr>
          <w:rFonts w:hint="eastAsia" w:ascii="宋体" w:hAnsi="宋体" w:eastAsia="宋体" w:cs="宋体"/>
          <w:b w:val="0"/>
          <w:strike w:val="0"/>
          <w:dstrike w:val="0"/>
          <w:color w:val="auto"/>
          <w:sz w:val="21"/>
          <w:szCs w:val="21"/>
          <w:highlight w:val="none"/>
        </w:rPr>
        <w:t>。</w:t>
      </w:r>
    </w:p>
    <w:p w14:paraId="74D1230C">
      <w:pPr>
        <w:pStyle w:val="7"/>
        <w:keepNext w:val="0"/>
        <w:keepLines w:val="0"/>
        <w:pageBreakBefore w:val="0"/>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67CB81E9">
      <w:pPr>
        <w:pStyle w:val="7"/>
        <w:keepNext w:val="0"/>
        <w:keepLines w:val="0"/>
        <w:pageBreakBefore w:val="0"/>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19.6 对招标文件的实质性要求和条件作出响应是指投标人必须对招标文件中标注为实质性要求和条件的服务内容及要求、商务条款</w:t>
      </w:r>
      <w:r>
        <w:rPr>
          <w:rFonts w:hint="eastAsia" w:ascii="宋体" w:hAnsi="宋体" w:eastAsia="宋体" w:cs="宋体"/>
          <w:b w:val="0"/>
          <w:strike w:val="0"/>
          <w:dstrike w:val="0"/>
          <w:color w:val="auto"/>
          <w:sz w:val="21"/>
          <w:szCs w:val="21"/>
          <w:highlight w:val="none"/>
          <w:lang w:eastAsia="zh-CN"/>
        </w:rPr>
        <w:t>及其他</w:t>
      </w:r>
      <w:r>
        <w:rPr>
          <w:rFonts w:hint="eastAsia" w:ascii="宋体" w:hAnsi="宋体" w:eastAsia="宋体" w:cs="宋体"/>
          <w:b w:val="0"/>
          <w:strike w:val="0"/>
          <w:dstrike w:val="0"/>
          <w:color w:val="auto"/>
          <w:sz w:val="21"/>
          <w:szCs w:val="21"/>
          <w:highlight w:val="none"/>
        </w:rPr>
        <w:t>内容作出满足或者优于原要求和条件的承诺。</w:t>
      </w:r>
    </w:p>
    <w:p w14:paraId="4E4B7844">
      <w:pPr>
        <w:pStyle w:val="7"/>
        <w:keepNext w:val="0"/>
        <w:keepLines w:val="0"/>
        <w:pageBreakBefore w:val="0"/>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19.7本项目为全流程电子化项目，异常情况见“第二节 投标人须知正文”中开标程序。</w:t>
      </w:r>
    </w:p>
    <w:p w14:paraId="55A3FA1D">
      <w:pPr>
        <w:pStyle w:val="7"/>
        <w:keepNext w:val="0"/>
        <w:keepLines w:val="0"/>
        <w:pageBreakBefore w:val="0"/>
        <w:kinsoku/>
        <w:topLinePunct w:val="0"/>
        <w:bidi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20.电子备份投标文件</w:t>
      </w:r>
    </w:p>
    <w:p w14:paraId="357528CE">
      <w:pPr>
        <w:keepNext w:val="0"/>
        <w:keepLines w:val="0"/>
        <w:pageBreakBefore w:val="0"/>
        <w:kinsoku/>
        <w:topLinePunct w:val="0"/>
        <w:bidi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电子备份投标文件是指通过“</w:t>
      </w:r>
      <w:r>
        <w:rPr>
          <w:rFonts w:hint="eastAsia" w:ascii="宋体" w:hAnsi="宋体" w:eastAsia="宋体" w:cs="宋体"/>
          <w:bCs/>
          <w:strike w:val="0"/>
          <w:dstrike w:val="0"/>
          <w:color w:val="auto"/>
          <w:sz w:val="21"/>
          <w:szCs w:val="21"/>
          <w:highlight w:val="none"/>
          <w:lang w:eastAsia="zh-CN"/>
        </w:rPr>
        <w:t>广西政府采购云平台</w:t>
      </w:r>
      <w:r>
        <w:rPr>
          <w:rFonts w:hint="eastAsia" w:ascii="宋体" w:hAnsi="宋体" w:eastAsia="宋体" w:cs="宋体"/>
          <w:bCs/>
          <w:strike w:val="0"/>
          <w:dstrike w:val="0"/>
          <w:color w:val="auto"/>
          <w:sz w:val="21"/>
          <w:szCs w:val="21"/>
          <w:highlight w:val="none"/>
        </w:rPr>
        <w:t>电子投标客户端”在线编制生成且后缀名为“bfbs”的文件，是否接受电子备份投标文件详见在“投标人须知前附表”。</w:t>
      </w:r>
    </w:p>
    <w:p w14:paraId="3F8B1BE6">
      <w:pPr>
        <w:pStyle w:val="7"/>
        <w:keepNext w:val="0"/>
        <w:keepLines w:val="0"/>
        <w:pageBreakBefore w:val="0"/>
        <w:kinsoku/>
        <w:topLinePunct w:val="0"/>
        <w:bidi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21.投标文件的提交</w:t>
      </w:r>
    </w:p>
    <w:p w14:paraId="64708095">
      <w:pPr>
        <w:pStyle w:val="121"/>
        <w:keepNext w:val="0"/>
        <w:keepLines w:val="0"/>
        <w:pageBreakBefore w:val="0"/>
        <w:kinsoku/>
        <w:topLinePunct w:val="0"/>
        <w:bidi w:val="0"/>
        <w:spacing w:before="0" w:line="400" w:lineRule="exact"/>
        <w:ind w:firstLine="42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w:t>
      </w:r>
    </w:p>
    <w:p w14:paraId="682C5776">
      <w:pPr>
        <w:pStyle w:val="121"/>
        <w:keepNext w:val="0"/>
        <w:keepLines w:val="0"/>
        <w:pageBreakBefore w:val="0"/>
        <w:kinsoku/>
        <w:topLinePunct w:val="0"/>
        <w:bidi w:val="0"/>
        <w:spacing w:before="0" w:line="400" w:lineRule="exact"/>
        <w:ind w:firstLine="422"/>
        <w:jc w:val="lef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21.2未在规定时间内提交或者未按照招标文件要求加密的电子投标文件，</w:t>
      </w:r>
      <w:r>
        <w:rPr>
          <w:rFonts w:hint="eastAsia" w:ascii="宋体" w:hAnsi="宋体" w:eastAsia="宋体" w:cs="宋体"/>
          <w:b/>
          <w:strike w:val="0"/>
          <w:dstrike w:val="0"/>
          <w:color w:val="auto"/>
          <w:sz w:val="21"/>
          <w:szCs w:val="21"/>
          <w:highlight w:val="none"/>
          <w:lang w:eastAsia="zh-CN"/>
        </w:rPr>
        <w:t>广西政府采购云平台</w:t>
      </w:r>
      <w:r>
        <w:rPr>
          <w:rFonts w:hint="eastAsia" w:ascii="宋体" w:hAnsi="宋体" w:eastAsia="宋体" w:cs="宋体"/>
          <w:b/>
          <w:strike w:val="0"/>
          <w:dstrike w:val="0"/>
          <w:color w:val="auto"/>
          <w:sz w:val="21"/>
          <w:szCs w:val="21"/>
          <w:highlight w:val="none"/>
        </w:rPr>
        <w:t>将拒收。</w:t>
      </w:r>
    </w:p>
    <w:p w14:paraId="764B1BFC">
      <w:pPr>
        <w:pStyle w:val="121"/>
        <w:keepNext w:val="0"/>
        <w:keepLines w:val="0"/>
        <w:pageBreakBefore w:val="0"/>
        <w:kinsoku/>
        <w:topLinePunct w:val="0"/>
        <w:bidi w:val="0"/>
        <w:spacing w:before="0" w:line="400" w:lineRule="exact"/>
        <w:ind w:firstLine="42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21.3电子版投标文件提交方式见“招标公告”中“四、提交投标文件截止时间、开标时间和地点” 。</w:t>
      </w:r>
    </w:p>
    <w:p w14:paraId="3D3F008F">
      <w:pPr>
        <w:pStyle w:val="7"/>
        <w:keepNext w:val="0"/>
        <w:keepLines w:val="0"/>
        <w:pageBreakBefore w:val="0"/>
        <w:kinsoku/>
        <w:topLinePunct w:val="0"/>
        <w:bidi w:val="0"/>
        <w:snapToGrid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22. 投标文件的补充、修改、撤回与退回</w:t>
      </w:r>
    </w:p>
    <w:p w14:paraId="357AB136">
      <w:pPr>
        <w:pStyle w:val="121"/>
        <w:keepNext w:val="0"/>
        <w:keepLines w:val="0"/>
        <w:pageBreakBefore w:val="0"/>
        <w:kinsoku/>
        <w:topLinePunct w:val="0"/>
        <w:bidi w:val="0"/>
        <w:spacing w:before="0" w:line="400" w:lineRule="exact"/>
        <w:ind w:firstLine="42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22.1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将予以拒收。（补充、修改或者撤回方式</w:t>
      </w:r>
      <w:r>
        <w:rPr>
          <w:rFonts w:hint="eastAsia" w:ascii="宋体" w:hAnsi="宋体" w:eastAsia="宋体" w:cs="宋体"/>
          <w:strike w:val="0"/>
          <w:dstrike w:val="0"/>
          <w:color w:val="auto"/>
          <w:sz w:val="21"/>
          <w:szCs w:val="21"/>
          <w:highlight w:val="none"/>
          <w:lang w:eastAsia="zh-CN"/>
        </w:rPr>
        <w:t>可登录广西政府采购云平台</w:t>
      </w:r>
      <w:r>
        <w:rPr>
          <w:rFonts w:hint="eastAsia" w:ascii="宋体" w:hAnsi="宋体" w:eastAsia="宋体" w:cs="宋体"/>
          <w:strike w:val="0"/>
          <w:dstrike w:val="0"/>
          <w:color w:val="auto"/>
          <w:sz w:val="21"/>
          <w:szCs w:val="21"/>
          <w:highlight w:val="none"/>
        </w:rPr>
        <w:t>，进入“服务中心”中查看“电子投标文件制作与投送教程”）</w:t>
      </w:r>
    </w:p>
    <w:p w14:paraId="714B23D0">
      <w:pPr>
        <w:pStyle w:val="121"/>
        <w:keepNext w:val="0"/>
        <w:keepLines w:val="0"/>
        <w:pageBreakBefore w:val="0"/>
        <w:kinsoku/>
        <w:topLinePunct w:val="0"/>
        <w:bidi w:val="0"/>
        <w:spacing w:before="0" w:line="400" w:lineRule="exact"/>
        <w:ind w:firstLine="42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22.2</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收到投标文件后向投标人发出确认回执通知。在投标截止时间前，除投标人补充、修改或者撤回投标文件外，任何单位和个人不得解密或提取投标文件。</w:t>
      </w:r>
    </w:p>
    <w:p w14:paraId="58DF84FF">
      <w:pPr>
        <w:keepNext w:val="0"/>
        <w:keepLines w:val="0"/>
        <w:pageBreakBefore w:val="0"/>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22.3在投标截止时间后，采购人和采购代理机构对已提交的投标文件概不退回。</w:t>
      </w:r>
    </w:p>
    <w:bookmarkEnd w:id="194"/>
    <w:bookmarkEnd w:id="195"/>
    <w:p w14:paraId="0C8BBD2F">
      <w:pPr>
        <w:keepNext w:val="0"/>
        <w:keepLines w:val="0"/>
        <w:pageBreakBefore w:val="0"/>
        <w:kinsoku/>
        <w:topLinePunct w:val="0"/>
        <w:bidi w:val="0"/>
        <w:spacing w:beforeLines="50" w:line="400" w:lineRule="exact"/>
        <w:jc w:val="center"/>
        <w:outlineLvl w:val="1"/>
        <w:rPr>
          <w:rFonts w:hint="eastAsia" w:ascii="宋体" w:hAnsi="宋体" w:eastAsia="宋体" w:cs="宋体"/>
          <w:b/>
          <w:strike w:val="0"/>
          <w:dstrike w:val="0"/>
          <w:color w:val="auto"/>
          <w:sz w:val="21"/>
          <w:szCs w:val="21"/>
          <w:highlight w:val="none"/>
        </w:rPr>
      </w:pPr>
      <w:bookmarkStart w:id="198" w:name="_Toc254970544"/>
      <w:bookmarkStart w:id="199" w:name="_Toc254970685"/>
      <w:r>
        <w:rPr>
          <w:rFonts w:hint="eastAsia" w:ascii="宋体" w:hAnsi="宋体" w:eastAsia="宋体" w:cs="宋体"/>
          <w:b/>
          <w:strike w:val="0"/>
          <w:dstrike w:val="0"/>
          <w:color w:val="auto"/>
          <w:sz w:val="21"/>
          <w:szCs w:val="21"/>
          <w:highlight w:val="none"/>
        </w:rPr>
        <w:t>四、开标</w:t>
      </w:r>
      <w:bookmarkEnd w:id="198"/>
      <w:bookmarkEnd w:id="199"/>
    </w:p>
    <w:p w14:paraId="0F1C7A80">
      <w:pPr>
        <w:pStyle w:val="7"/>
        <w:keepNext w:val="0"/>
        <w:keepLines w:val="0"/>
        <w:pageBreakBefore w:val="0"/>
        <w:kinsoku/>
        <w:topLinePunct w:val="0"/>
        <w:bidi w:val="0"/>
        <w:snapToGrid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bookmarkStart w:id="200" w:name="_23.开标时间和地点"/>
      <w:bookmarkEnd w:id="200"/>
      <w:r>
        <w:rPr>
          <w:rFonts w:hint="eastAsia" w:ascii="宋体" w:hAnsi="宋体" w:eastAsia="宋体" w:cs="宋体"/>
          <w:strike w:val="0"/>
          <w:dstrike w:val="0"/>
          <w:color w:val="auto"/>
          <w:sz w:val="21"/>
          <w:szCs w:val="21"/>
          <w:highlight w:val="none"/>
        </w:rPr>
        <w:t>23.开标时间和地点</w:t>
      </w:r>
    </w:p>
    <w:p w14:paraId="230772BC">
      <w:pPr>
        <w:keepNext w:val="0"/>
        <w:keepLines w:val="0"/>
        <w:pageBreakBefore w:val="0"/>
        <w:kinsoku/>
        <w:topLinePunct w:val="0"/>
        <w:bidi w:val="0"/>
        <w:spacing w:line="400" w:lineRule="exact"/>
        <w:ind w:firstLine="420" w:firstLineChars="200"/>
        <w:jc w:val="left"/>
        <w:outlineLvl w:val="3"/>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23.1开标时间及地点详见“投标人须知前附表”</w:t>
      </w:r>
    </w:p>
    <w:p w14:paraId="328BAAA7">
      <w:pPr>
        <w:keepNext w:val="0"/>
        <w:keepLines w:val="0"/>
        <w:pageBreakBefore w:val="0"/>
        <w:kinsoku/>
        <w:topLinePunct w:val="0"/>
        <w:bidi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23.2如投标人成功解密投标文件，但未在“</w:t>
      </w:r>
      <w:r>
        <w:rPr>
          <w:rFonts w:hint="eastAsia" w:ascii="宋体" w:hAnsi="宋体" w:eastAsia="宋体" w:cs="宋体"/>
          <w:bCs/>
          <w:strike w:val="0"/>
          <w:dstrike w:val="0"/>
          <w:color w:val="auto"/>
          <w:sz w:val="21"/>
          <w:szCs w:val="21"/>
          <w:highlight w:val="none"/>
          <w:lang w:eastAsia="zh-CN"/>
        </w:rPr>
        <w:t>广西政府采购云平台</w:t>
      </w:r>
      <w:r>
        <w:rPr>
          <w:rFonts w:hint="eastAsia" w:ascii="宋体" w:hAnsi="宋体" w:eastAsia="宋体" w:cs="宋体"/>
          <w:bCs/>
          <w:strike w:val="0"/>
          <w:dstrike w:val="0"/>
          <w:color w:val="auto"/>
          <w:sz w:val="21"/>
          <w:szCs w:val="21"/>
          <w:highlight w:val="none"/>
        </w:rPr>
        <w:t>”电子开标大厅参加开标的，视同认可开标过程和结果，由此产生的后果由投标人自行负责。</w:t>
      </w:r>
    </w:p>
    <w:p w14:paraId="4D5677C1">
      <w:pPr>
        <w:pStyle w:val="7"/>
        <w:keepNext w:val="0"/>
        <w:keepLines w:val="0"/>
        <w:pageBreakBefore w:val="0"/>
        <w:kinsoku/>
        <w:topLinePunct w:val="0"/>
        <w:bidi w:val="0"/>
        <w:snapToGrid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24.开标程序</w:t>
      </w:r>
    </w:p>
    <w:p w14:paraId="110BCF47">
      <w:pPr>
        <w:keepNext w:val="0"/>
        <w:keepLines w:val="0"/>
        <w:pageBreakBefore w:val="0"/>
        <w:kinsoku/>
        <w:topLinePunct w:val="0"/>
        <w:bidi w:val="0"/>
        <w:spacing w:line="400" w:lineRule="exact"/>
        <w:ind w:firstLine="420" w:firstLineChars="200"/>
        <w:jc w:val="left"/>
        <w:outlineLvl w:val="3"/>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24.1提交投标文件截止时间止，投标人不足3家的，不得开标。</w:t>
      </w:r>
    </w:p>
    <w:p w14:paraId="00036D20">
      <w:pPr>
        <w:keepNext w:val="0"/>
        <w:keepLines w:val="0"/>
        <w:pageBreakBefore w:val="0"/>
        <w:kinsoku/>
        <w:topLinePunct w:val="0"/>
        <w:bidi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24.2采购代理机构将按照招标文件规定的时间通过</w:t>
      </w:r>
      <w:r>
        <w:rPr>
          <w:rFonts w:hint="eastAsia" w:ascii="宋体" w:hAnsi="宋体" w:eastAsia="宋体" w:cs="宋体"/>
          <w:bCs/>
          <w:strike w:val="0"/>
          <w:dstrike w:val="0"/>
          <w:color w:val="auto"/>
          <w:sz w:val="21"/>
          <w:szCs w:val="21"/>
          <w:highlight w:val="none"/>
          <w:lang w:eastAsia="zh-CN"/>
        </w:rPr>
        <w:t>广西政府采购云平台</w:t>
      </w:r>
      <w:r>
        <w:rPr>
          <w:rFonts w:hint="eastAsia" w:ascii="宋体" w:hAnsi="宋体" w:eastAsia="宋体" w:cs="宋体"/>
          <w:bCs/>
          <w:strike w:val="0"/>
          <w:dstrike w:val="0"/>
          <w:color w:val="auto"/>
          <w:sz w:val="21"/>
          <w:szCs w:val="21"/>
          <w:highlight w:val="none"/>
        </w:rPr>
        <w:t>组织线上开标活动，所有投标人均应当准时在线参加，投标人因未在线参加开标而导致投标文件无法按时解密等一切后果由投标人自己承担。</w:t>
      </w:r>
    </w:p>
    <w:p w14:paraId="404205FA">
      <w:pPr>
        <w:keepNext w:val="0"/>
        <w:keepLines w:val="0"/>
        <w:pageBreakBefore w:val="0"/>
        <w:kinsoku/>
        <w:topLinePunct w:val="0"/>
        <w:bidi w:val="0"/>
        <w:spacing w:line="400" w:lineRule="exact"/>
        <w:ind w:firstLine="420" w:firstLineChars="200"/>
        <w:jc w:val="left"/>
        <w:outlineLvl w:val="3"/>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24.3开标程序</w:t>
      </w:r>
    </w:p>
    <w:p w14:paraId="579BE311">
      <w:pPr>
        <w:keepNext w:val="0"/>
        <w:keepLines w:val="0"/>
        <w:pageBreakBefore w:val="0"/>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（1）解密电子投标文件。</w:t>
      </w:r>
      <w:r>
        <w:rPr>
          <w:rFonts w:hint="eastAsia" w:ascii="宋体" w:hAnsi="宋体" w:eastAsia="宋体" w:cs="宋体"/>
          <w:bCs/>
          <w:strike w:val="0"/>
          <w:dstrike w:val="0"/>
          <w:color w:val="auto"/>
          <w:sz w:val="21"/>
          <w:szCs w:val="21"/>
          <w:highlight w:val="none"/>
          <w:lang w:eastAsia="zh-CN"/>
        </w:rPr>
        <w:t>广西政府采购云平台</w:t>
      </w:r>
      <w:r>
        <w:rPr>
          <w:rFonts w:hint="eastAsia" w:ascii="宋体" w:hAnsi="宋体" w:eastAsia="宋体" w:cs="宋体"/>
          <w:bCs/>
          <w:strike w:val="0"/>
          <w:dstrike w:val="0"/>
          <w:color w:val="auto"/>
          <w:sz w:val="21"/>
          <w:szCs w:val="21"/>
          <w:highlight w:val="none"/>
        </w:rPr>
        <w:t>按开标时间自动提取所有投标文件。采购代理机构依托</w:t>
      </w:r>
      <w:r>
        <w:rPr>
          <w:rFonts w:hint="eastAsia" w:ascii="宋体" w:hAnsi="宋体" w:eastAsia="宋体" w:cs="宋体"/>
          <w:bCs/>
          <w:strike w:val="0"/>
          <w:dstrike w:val="0"/>
          <w:color w:val="auto"/>
          <w:sz w:val="21"/>
          <w:szCs w:val="21"/>
          <w:highlight w:val="none"/>
          <w:lang w:eastAsia="zh-CN"/>
        </w:rPr>
        <w:t>广西政府采购云平台</w:t>
      </w:r>
      <w:r>
        <w:rPr>
          <w:rFonts w:hint="eastAsia" w:ascii="宋体" w:hAnsi="宋体" w:eastAsia="宋体" w:cs="宋体"/>
          <w:bCs/>
          <w:strike w:val="0"/>
          <w:dstrike w:val="0"/>
          <w:color w:val="auto"/>
          <w:sz w:val="21"/>
          <w:szCs w:val="21"/>
          <w:highlight w:val="none"/>
        </w:rPr>
        <w:t>向各投标人发出电子加密投标文件【开始解密】通知，由投标人按“投标人须知前附表”规定的时间内自行进行投标文件解密。投标人的法定代表人或其委托代理人须凭加密时所用</w:t>
      </w:r>
      <w:r>
        <w:rPr>
          <w:rFonts w:hint="eastAsia" w:ascii="宋体" w:hAnsi="宋体" w:eastAsia="宋体" w:cs="宋体"/>
          <w:strike w:val="0"/>
          <w:dstrike w:val="0"/>
          <w:color w:val="auto"/>
          <w:sz w:val="21"/>
          <w:szCs w:val="21"/>
          <w:highlight w:val="none"/>
        </w:rPr>
        <w:t>的CA锁准时登录到</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电子开标大厅签到并对电子投标文件解密。</w:t>
      </w:r>
      <w:r>
        <w:rPr>
          <w:rFonts w:hint="eastAsia" w:ascii="宋体" w:hAnsi="宋体" w:eastAsia="宋体" w:cs="宋体"/>
          <w:b/>
          <w:strike w:val="0"/>
          <w:dstrike w:val="0"/>
          <w:color w:val="auto"/>
          <w:sz w:val="21"/>
          <w:szCs w:val="21"/>
          <w:highlight w:val="none"/>
        </w:rPr>
        <w:t>投标人未在规定的时间内解密投标文件或者解密失败的，或投标人没预留联系方式或预留联系方式无效，导致代理机构无法联系到投标人进行解密的，均视为无效投标。</w:t>
      </w:r>
    </w:p>
    <w:p w14:paraId="54196ED3">
      <w:pPr>
        <w:keepNext w:val="0"/>
        <w:keepLines w:val="0"/>
        <w:pageBreakBefore w:val="0"/>
        <w:kinsoku/>
        <w:topLinePunct w:val="0"/>
        <w:bidi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（2）电子唱标。投标文件解密结束，宣布的内容均在</w:t>
      </w:r>
      <w:r>
        <w:rPr>
          <w:rFonts w:hint="eastAsia" w:ascii="宋体" w:hAnsi="宋体" w:eastAsia="宋体" w:cs="宋体"/>
          <w:bCs/>
          <w:strike w:val="0"/>
          <w:dstrike w:val="0"/>
          <w:color w:val="auto"/>
          <w:sz w:val="21"/>
          <w:szCs w:val="21"/>
          <w:highlight w:val="none"/>
          <w:lang w:eastAsia="zh-CN"/>
        </w:rPr>
        <w:t>广西政府采购云平台</w:t>
      </w:r>
      <w:r>
        <w:rPr>
          <w:rFonts w:hint="eastAsia" w:ascii="宋体" w:hAnsi="宋体" w:eastAsia="宋体" w:cs="宋体"/>
          <w:bCs/>
          <w:strike w:val="0"/>
          <w:dstrike w:val="0"/>
          <w:color w:val="auto"/>
          <w:sz w:val="21"/>
          <w:szCs w:val="21"/>
          <w:highlight w:val="none"/>
        </w:rPr>
        <w:t>远程开标大厅展示，具体详见“投标人须知前附表”；</w:t>
      </w:r>
    </w:p>
    <w:p w14:paraId="0DDE60EE">
      <w:pPr>
        <w:keepNext w:val="0"/>
        <w:keepLines w:val="0"/>
        <w:pageBreakBefore w:val="0"/>
        <w:kinsoku/>
        <w:topLinePunct w:val="0"/>
        <w:bidi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18926C05">
      <w:pPr>
        <w:keepNext w:val="0"/>
        <w:keepLines w:val="0"/>
        <w:pageBreakBefore w:val="0"/>
        <w:kinsoku/>
        <w:topLinePunct w:val="0"/>
        <w:bidi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19BE6241">
      <w:pPr>
        <w:keepNext w:val="0"/>
        <w:keepLines w:val="0"/>
        <w:pageBreakBefore w:val="0"/>
        <w:kinsoku/>
        <w:topLinePunct w:val="0"/>
        <w:bidi w:val="0"/>
        <w:spacing w:line="400" w:lineRule="exact"/>
        <w:ind w:firstLine="420" w:firstLineChars="200"/>
        <w:jc w:val="left"/>
        <w:outlineLvl w:val="4"/>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（5）开标结束。</w:t>
      </w:r>
    </w:p>
    <w:p w14:paraId="60209A3B">
      <w:pPr>
        <w:keepNext w:val="0"/>
        <w:keepLines w:val="0"/>
        <w:pageBreakBefore w:val="0"/>
        <w:kinsoku/>
        <w:topLinePunct w:val="0"/>
        <w:bidi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特别说明：如遇</w:t>
      </w:r>
      <w:r>
        <w:rPr>
          <w:rFonts w:hint="eastAsia" w:ascii="宋体" w:hAnsi="宋体" w:eastAsia="宋体" w:cs="宋体"/>
          <w:bCs/>
          <w:strike w:val="0"/>
          <w:dstrike w:val="0"/>
          <w:color w:val="auto"/>
          <w:sz w:val="21"/>
          <w:szCs w:val="21"/>
          <w:highlight w:val="none"/>
          <w:lang w:eastAsia="zh-CN"/>
        </w:rPr>
        <w:t>广西政府采购云平台</w:t>
      </w:r>
      <w:r>
        <w:rPr>
          <w:rFonts w:hint="eastAsia" w:ascii="宋体" w:hAnsi="宋体" w:eastAsia="宋体" w:cs="宋体"/>
          <w:bCs/>
          <w:strike w:val="0"/>
          <w:dstrike w:val="0"/>
          <w:color w:val="auto"/>
          <w:sz w:val="21"/>
          <w:szCs w:val="21"/>
          <w:highlight w:val="none"/>
        </w:rPr>
        <w:t>电子化开标或评审程序调整的，按调整后执行。</w:t>
      </w:r>
    </w:p>
    <w:p w14:paraId="5E7B2101">
      <w:pPr>
        <w:keepNext w:val="0"/>
        <w:keepLines w:val="0"/>
        <w:pageBreakBefore w:val="0"/>
        <w:kinsoku/>
        <w:topLinePunct w:val="0"/>
        <w:bidi w:val="0"/>
        <w:spacing w:beforeLines="50" w:line="400" w:lineRule="exact"/>
        <w:jc w:val="center"/>
        <w:outlineLvl w:val="1"/>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五、资格审查</w:t>
      </w:r>
    </w:p>
    <w:p w14:paraId="64E02EF4">
      <w:pPr>
        <w:pStyle w:val="7"/>
        <w:keepNext w:val="0"/>
        <w:keepLines w:val="0"/>
        <w:pageBreakBefore w:val="0"/>
        <w:kinsoku/>
        <w:topLinePunct w:val="0"/>
        <w:bidi w:val="0"/>
        <w:snapToGrid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25.资格审查</w:t>
      </w:r>
    </w:p>
    <w:p w14:paraId="313AC5C3">
      <w:pPr>
        <w:keepNext w:val="0"/>
        <w:keepLines w:val="0"/>
        <w:pageBreakBefore w:val="0"/>
        <w:kinsoku/>
        <w:topLinePunct w:val="0"/>
        <w:bidi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 xml:space="preserve"> 25.1开标结束后，采购人或者采购代理机构通过电子开评标系统依据招标文件对电子投标文件进行线上资格审查。</w:t>
      </w:r>
    </w:p>
    <w:p w14:paraId="14190890">
      <w:pPr>
        <w:keepNext w:val="0"/>
        <w:keepLines w:val="0"/>
        <w:pageBreakBefore w:val="0"/>
        <w:kinsoku/>
        <w:topLinePunct w:val="0"/>
        <w:bidi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bookmarkStart w:id="201" w:name="_25.3_投标人有下列情形之一的，资格审查不通过而导致其投标无效："/>
      <w:bookmarkEnd w:id="201"/>
    </w:p>
    <w:p w14:paraId="78332C9D">
      <w:pPr>
        <w:keepNext w:val="0"/>
        <w:keepLines w:val="0"/>
        <w:pageBreakBefore w:val="0"/>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25.3 投标人有下列情形之一的，资格审查不通过，作无效投标处理：</w:t>
      </w:r>
    </w:p>
    <w:p w14:paraId="32DD7010">
      <w:pPr>
        <w:pStyle w:val="28"/>
        <w:keepNext w:val="0"/>
        <w:keepLines w:val="0"/>
        <w:pageBreakBefore w:val="0"/>
        <w:kinsoku/>
        <w:topLinePunct w:val="0"/>
        <w:bidi w:val="0"/>
        <w:snapToGrid w:val="0"/>
        <w:spacing w:line="400" w:lineRule="exact"/>
        <w:ind w:firstLine="420" w:firstLineChars="200"/>
        <w:jc w:val="left"/>
        <w:outlineLvl w:val="3"/>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（1）不具备招标文件中规定的资格要求的；</w:t>
      </w:r>
    </w:p>
    <w:p w14:paraId="12535DFD">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（2）在“信用中国”网站（www.creditchina.gov.cn）、中国政府采购网（</w:t>
      </w:r>
      <w:r>
        <w:rPr>
          <w:rFonts w:hint="eastAsia" w:ascii="宋体" w:hAnsi="宋体" w:eastAsia="宋体" w:cs="宋体"/>
          <w:strike w:val="0"/>
          <w:dstrike w:val="0"/>
          <w:color w:val="auto"/>
          <w:sz w:val="21"/>
          <w:szCs w:val="21"/>
          <w:highlight w:val="none"/>
          <w:lang w:eastAsia="zh-CN"/>
        </w:rPr>
        <w:t>www.ccgp.gov.cn</w:t>
      </w:r>
      <w:r>
        <w:rPr>
          <w:rFonts w:hint="eastAsia" w:ascii="宋体" w:hAnsi="宋体" w:eastAsia="宋体" w:cs="宋体"/>
          <w:strike w:val="0"/>
          <w:dstrike w:val="0"/>
          <w:color w:val="auto"/>
          <w:sz w:val="21"/>
          <w:szCs w:val="21"/>
          <w:highlight w:val="none"/>
        </w:rPr>
        <w:t>）被列入失信被执行人、重大税收违法失信主体、政府采购严重违法失信行为记录名单及其他不符合《中华人民共和国政府采购法》第二十二条规定条件的；（注：其中信用查询规则见“投标人须知前附表”，</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已与“信用中国”网站、中国政府采购网实现数据对接，可直接在线查询）</w:t>
      </w:r>
    </w:p>
    <w:p w14:paraId="0E5C7FDD">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（3）同一合同项下的不同投标人，单位负责人为同一人或者存在直接控股、管理关系的；为本项目提供过整体设计、规范编制或者项目管理、监理、检测等服务的投标人，再参加该采购项目的其他采购活动的；</w:t>
      </w:r>
    </w:p>
    <w:p w14:paraId="4CC3579E">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（4）投标文件中的资格证明文件缺少任一项“投标人须知前附表”资格证明文件规定“必须提供”的文件资料的；</w:t>
      </w:r>
    </w:p>
    <w:p w14:paraId="2300E0A4">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（5）投标文件中的资格证明文件出现任一项不符合“投标人须知前附表”资格证明文件规定“必须提供”的文件资料要求或者无效的。</w:t>
      </w:r>
    </w:p>
    <w:p w14:paraId="269A23D9">
      <w:pPr>
        <w:pStyle w:val="28"/>
        <w:keepNext w:val="0"/>
        <w:keepLines w:val="0"/>
        <w:pageBreakBefore w:val="0"/>
        <w:kinsoku/>
        <w:topLinePunct w:val="0"/>
        <w:bidi w:val="0"/>
        <w:snapToGrid w:val="0"/>
        <w:spacing w:line="400" w:lineRule="exact"/>
        <w:ind w:firstLine="420" w:firstLineChars="200"/>
        <w:jc w:val="left"/>
        <w:outlineLvl w:val="4"/>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25.4合格投标人不足3家的，不得评标。</w:t>
      </w:r>
    </w:p>
    <w:p w14:paraId="381B20DF">
      <w:pPr>
        <w:keepNext w:val="0"/>
        <w:keepLines w:val="0"/>
        <w:pageBreakBefore w:val="0"/>
        <w:kinsoku/>
        <w:topLinePunct w:val="0"/>
        <w:bidi w:val="0"/>
        <w:spacing w:beforeLines="50" w:line="400" w:lineRule="exact"/>
        <w:jc w:val="center"/>
        <w:outlineLvl w:val="1"/>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六、评标</w:t>
      </w:r>
    </w:p>
    <w:p w14:paraId="62126453">
      <w:pPr>
        <w:pStyle w:val="7"/>
        <w:keepNext w:val="0"/>
        <w:keepLines w:val="0"/>
        <w:pageBreakBefore w:val="0"/>
        <w:numPr>
          <w:ilvl w:val="4"/>
          <w:numId w:val="4"/>
        </w:numPr>
        <w:kinsoku/>
        <w:topLinePunct w:val="0"/>
        <w:bidi w:val="0"/>
        <w:snapToGrid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bookmarkStart w:id="202" w:name="_26.组建评标委员会"/>
      <w:bookmarkEnd w:id="202"/>
      <w:r>
        <w:rPr>
          <w:rFonts w:hint="eastAsia" w:ascii="宋体" w:hAnsi="宋体" w:eastAsia="宋体" w:cs="宋体"/>
          <w:strike w:val="0"/>
          <w:dstrike w:val="0"/>
          <w:color w:val="auto"/>
          <w:sz w:val="21"/>
          <w:szCs w:val="21"/>
          <w:highlight w:val="none"/>
        </w:rPr>
        <w:t>26.组建评标委员会</w:t>
      </w:r>
    </w:p>
    <w:p w14:paraId="2159E9AE">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26.1评标委员会由采购人代表和评审专家组成，具体人数详见“投标人须知前附表”，其中评审专家不得少于成员总数的三分之二。</w:t>
      </w:r>
    </w:p>
    <w:p w14:paraId="1933564E">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26.2参加过采购项目前期咨询论证的专家，不得参加该采购项目的评审活动。</w:t>
      </w:r>
    </w:p>
    <w:p w14:paraId="21DE9D4E">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26.3</w:t>
      </w:r>
      <w:r>
        <w:rPr>
          <w:rFonts w:hint="eastAsia" w:ascii="宋体" w:hAnsi="宋体" w:eastAsia="宋体" w:cs="宋体"/>
          <w:bCs/>
          <w:strike w:val="0"/>
          <w:dstrike w:val="0"/>
          <w:color w:val="auto"/>
          <w:sz w:val="21"/>
          <w:szCs w:val="21"/>
          <w:highlight w:val="none"/>
        </w:rPr>
        <w:t>采购代理机构应当基于</w:t>
      </w:r>
      <w:r>
        <w:rPr>
          <w:rFonts w:hint="eastAsia" w:ascii="宋体" w:hAnsi="宋体" w:eastAsia="宋体" w:cs="宋体"/>
          <w:bCs/>
          <w:strike w:val="0"/>
          <w:dstrike w:val="0"/>
          <w:color w:val="auto"/>
          <w:sz w:val="21"/>
          <w:szCs w:val="21"/>
          <w:highlight w:val="none"/>
          <w:lang w:eastAsia="zh-CN"/>
        </w:rPr>
        <w:t>广西政府采购云平台</w:t>
      </w:r>
      <w:r>
        <w:rPr>
          <w:rFonts w:hint="eastAsia" w:ascii="宋体" w:hAnsi="宋体" w:eastAsia="宋体" w:cs="宋体"/>
          <w:bCs/>
          <w:strike w:val="0"/>
          <w:dstrike w:val="0"/>
          <w:color w:val="auto"/>
          <w:sz w:val="21"/>
          <w:szCs w:val="21"/>
          <w:highlight w:val="none"/>
        </w:rPr>
        <w:t>抽（选）取评审专家。</w:t>
      </w:r>
    </w:p>
    <w:p w14:paraId="49144F31">
      <w:pPr>
        <w:pStyle w:val="7"/>
        <w:keepNext w:val="0"/>
        <w:keepLines w:val="0"/>
        <w:pageBreakBefore w:val="0"/>
        <w:numPr>
          <w:ilvl w:val="4"/>
          <w:numId w:val="4"/>
        </w:numPr>
        <w:kinsoku/>
        <w:topLinePunct w:val="0"/>
        <w:bidi w:val="0"/>
        <w:snapToGrid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27.评标的依据</w:t>
      </w:r>
    </w:p>
    <w:p w14:paraId="678EE046">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评标委员会以“第四章评标方法和评标标准”为依据对投标文件进行评审，没有规定的方法、评审因素和标准，不作为评标依据。</w:t>
      </w:r>
    </w:p>
    <w:p w14:paraId="4DAD4FF7">
      <w:pPr>
        <w:pStyle w:val="7"/>
        <w:keepNext w:val="0"/>
        <w:keepLines w:val="0"/>
        <w:pageBreakBefore w:val="0"/>
        <w:numPr>
          <w:ilvl w:val="4"/>
          <w:numId w:val="4"/>
        </w:numPr>
        <w:kinsoku/>
        <w:topLinePunct w:val="0"/>
        <w:bidi w:val="0"/>
        <w:snapToGrid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28.评标原则</w:t>
      </w:r>
    </w:p>
    <w:p w14:paraId="4BE9B417">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1F44CEB3">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28.2</w:t>
      </w:r>
      <w:bookmarkStart w:id="203" w:name="_28.3评标方法。本项目将按须知前附表规定的评标办法进行评标，具体评标"/>
      <w:bookmarkEnd w:id="203"/>
      <w:r>
        <w:rPr>
          <w:rFonts w:hint="eastAsia" w:ascii="宋体" w:hAnsi="宋体" w:eastAsia="宋体" w:cs="宋体"/>
          <w:strike w:val="0"/>
          <w:dstrike w:val="0"/>
          <w:color w:val="auto"/>
          <w:sz w:val="21"/>
          <w:szCs w:val="21"/>
          <w:highlight w:val="none"/>
        </w:rPr>
        <w:t>评委表决。评标委员会成员对需要共同认定的事项存在争议的，应当按照少数服从多数的原则作出结论。</w:t>
      </w:r>
    </w:p>
    <w:p w14:paraId="6E5F44F8">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33F456CF">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28.4评标过程的监控。本项目电子评标过程实行网上留痕、全程录音、录像监控，</w:t>
      </w:r>
      <w:r>
        <w:rPr>
          <w:rFonts w:hint="eastAsia" w:ascii="宋体" w:hAnsi="宋体" w:eastAsia="宋体" w:cs="宋体"/>
          <w:b/>
          <w:strike w:val="0"/>
          <w:dstrike w:val="0"/>
          <w:color w:val="auto"/>
          <w:sz w:val="21"/>
          <w:szCs w:val="21"/>
          <w:highlight w:val="none"/>
        </w:rPr>
        <w:t>投标人在评标过程中所进行的试图影响评标结果的不公正活动，可能导致其投标按无效处理。</w:t>
      </w:r>
    </w:p>
    <w:p w14:paraId="386E7D91">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0F4D27D3">
      <w:pPr>
        <w:pStyle w:val="7"/>
        <w:keepNext w:val="0"/>
        <w:keepLines w:val="0"/>
        <w:pageBreakBefore w:val="0"/>
        <w:numPr>
          <w:ilvl w:val="4"/>
          <w:numId w:val="4"/>
        </w:numPr>
        <w:kinsoku/>
        <w:topLinePunct w:val="0"/>
        <w:bidi w:val="0"/>
        <w:snapToGrid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29.评标方法及中标候选人推荐</w:t>
      </w:r>
    </w:p>
    <w:p w14:paraId="39DF8EC1">
      <w:pPr>
        <w:pStyle w:val="28"/>
        <w:keepNext w:val="0"/>
        <w:keepLines w:val="0"/>
        <w:pageBreakBefore w:val="0"/>
        <w:kinsoku/>
        <w:topLinePunct w:val="0"/>
        <w:bidi w:val="0"/>
        <w:snapToGrid w:val="0"/>
        <w:spacing w:line="400" w:lineRule="exact"/>
        <w:ind w:firstLine="420" w:firstLineChars="200"/>
        <w:jc w:val="left"/>
        <w:outlineLvl w:val="3"/>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29.1本项目的评标方法详见“投标人须知前附表”。</w:t>
      </w:r>
    </w:p>
    <w:p w14:paraId="736A2963">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 xml:space="preserve">29.2 </w:t>
      </w:r>
      <w:bookmarkStart w:id="204" w:name="OLE_LINK11"/>
      <w:bookmarkStart w:id="205" w:name="OLE_LINK12"/>
      <w:r>
        <w:rPr>
          <w:rFonts w:hint="eastAsia" w:ascii="宋体" w:hAnsi="宋体" w:eastAsia="宋体" w:cs="宋体"/>
          <w:strike w:val="0"/>
          <w:dstrike w:val="0"/>
          <w:color w:val="auto"/>
          <w:sz w:val="21"/>
          <w:szCs w:val="21"/>
          <w:highlight w:val="none"/>
        </w:rPr>
        <w:t>商务/技术要求允许负偏离的条款数</w:t>
      </w:r>
      <w:bookmarkEnd w:id="204"/>
      <w:bookmarkEnd w:id="205"/>
      <w:r>
        <w:rPr>
          <w:rFonts w:hint="eastAsia" w:ascii="宋体" w:hAnsi="宋体" w:eastAsia="宋体" w:cs="宋体"/>
          <w:strike w:val="0"/>
          <w:dstrike w:val="0"/>
          <w:color w:val="auto"/>
          <w:sz w:val="21"/>
          <w:szCs w:val="21"/>
          <w:highlight w:val="none"/>
        </w:rPr>
        <w:t>详见“投标人须知前附表”。</w:t>
      </w:r>
    </w:p>
    <w:p w14:paraId="36B67DF1">
      <w:pPr>
        <w:pStyle w:val="28"/>
        <w:keepNext w:val="0"/>
        <w:keepLines w:val="0"/>
        <w:pageBreakBefore w:val="0"/>
        <w:kinsoku/>
        <w:topLinePunct w:val="0"/>
        <w:bidi w:val="0"/>
        <w:snapToGrid w:val="0"/>
        <w:spacing w:line="400" w:lineRule="exact"/>
        <w:ind w:firstLine="420" w:firstLineChars="200"/>
        <w:jc w:val="left"/>
        <w:outlineLvl w:val="3"/>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29.3 中标候选人推荐数量详见“投标人须知前附表”。</w:t>
      </w:r>
    </w:p>
    <w:p w14:paraId="60397BF7">
      <w:pPr>
        <w:keepNext w:val="0"/>
        <w:keepLines w:val="0"/>
        <w:pageBreakBefore w:val="0"/>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29.4 电子交易活动的中止。采购过程中出现以下情形，导致电子交易平台无法正常运行，或者无法保证电子交易的公平、公正和安全时，采购代理机构可以中止电子交易活动：</w:t>
      </w:r>
    </w:p>
    <w:p w14:paraId="76591E2A">
      <w:pPr>
        <w:keepNext w:val="0"/>
        <w:keepLines w:val="0"/>
        <w:pageBreakBefore w:val="0"/>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（1）电子交易平台发生故障而无法登录访问的；</w:t>
      </w:r>
    </w:p>
    <w:p w14:paraId="70BDE22C">
      <w:pPr>
        <w:keepNext w:val="0"/>
        <w:keepLines w:val="0"/>
        <w:pageBreakBefore w:val="0"/>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（2）电子交易平台应用或数据库出现错误，不能进行正常操作的；</w:t>
      </w:r>
    </w:p>
    <w:p w14:paraId="16F3AAB8">
      <w:pPr>
        <w:keepNext w:val="0"/>
        <w:keepLines w:val="0"/>
        <w:pageBreakBefore w:val="0"/>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（3）电子交易平台发现严重安全漏洞，有潜在泄密危险的；</w:t>
      </w:r>
    </w:p>
    <w:p w14:paraId="7D843C77">
      <w:pPr>
        <w:keepNext w:val="0"/>
        <w:keepLines w:val="0"/>
        <w:pageBreakBefore w:val="0"/>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（4）病毒发作导致不能进行正常操作的；</w:t>
      </w:r>
    </w:p>
    <w:p w14:paraId="535642C7">
      <w:pPr>
        <w:keepNext w:val="0"/>
        <w:keepLines w:val="0"/>
        <w:pageBreakBefore w:val="0"/>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（5）其他无法保证电子交易的公平、公正和安全的情况。</w:t>
      </w:r>
    </w:p>
    <w:p w14:paraId="116E4B46">
      <w:pPr>
        <w:keepNext w:val="0"/>
        <w:keepLines w:val="0"/>
        <w:pageBreakBefore w:val="0"/>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4CF688E4">
      <w:pPr>
        <w:keepNext w:val="0"/>
        <w:keepLines w:val="0"/>
        <w:pageBreakBefore w:val="0"/>
        <w:kinsoku/>
        <w:topLinePunct w:val="0"/>
        <w:bidi w:val="0"/>
        <w:spacing w:beforeLines="50" w:line="400" w:lineRule="exact"/>
        <w:jc w:val="center"/>
        <w:outlineLvl w:val="1"/>
        <w:rPr>
          <w:rFonts w:hint="eastAsia" w:ascii="宋体" w:hAnsi="宋体" w:eastAsia="宋体" w:cs="宋体"/>
          <w:b/>
          <w:strike w:val="0"/>
          <w:dstrike w:val="0"/>
          <w:color w:val="auto"/>
          <w:sz w:val="21"/>
          <w:szCs w:val="21"/>
          <w:highlight w:val="none"/>
        </w:rPr>
      </w:pPr>
      <w:bookmarkStart w:id="206" w:name="_Toc254970546"/>
      <w:bookmarkStart w:id="207" w:name="_Toc254970687"/>
      <w:r>
        <w:rPr>
          <w:rFonts w:hint="eastAsia" w:ascii="宋体" w:hAnsi="宋体" w:eastAsia="宋体" w:cs="宋体"/>
          <w:b/>
          <w:strike w:val="0"/>
          <w:dstrike w:val="0"/>
          <w:color w:val="auto"/>
          <w:sz w:val="21"/>
          <w:szCs w:val="21"/>
          <w:highlight w:val="none"/>
        </w:rPr>
        <w:t>七、</w:t>
      </w:r>
      <w:bookmarkEnd w:id="206"/>
      <w:bookmarkEnd w:id="207"/>
      <w:r>
        <w:rPr>
          <w:rFonts w:hint="eastAsia" w:ascii="宋体" w:hAnsi="宋体" w:eastAsia="宋体" w:cs="宋体"/>
          <w:b/>
          <w:strike w:val="0"/>
          <w:dstrike w:val="0"/>
          <w:color w:val="auto"/>
          <w:sz w:val="21"/>
          <w:szCs w:val="21"/>
          <w:highlight w:val="none"/>
        </w:rPr>
        <w:t>中标和合同</w:t>
      </w:r>
    </w:p>
    <w:p w14:paraId="66EBB050">
      <w:pPr>
        <w:pStyle w:val="7"/>
        <w:keepNext w:val="0"/>
        <w:keepLines w:val="0"/>
        <w:pageBreakBefore w:val="0"/>
        <w:numPr>
          <w:ilvl w:val="4"/>
          <w:numId w:val="4"/>
        </w:numPr>
        <w:kinsoku/>
        <w:topLinePunct w:val="0"/>
        <w:bidi w:val="0"/>
        <w:snapToGrid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30.确定中标人</w:t>
      </w:r>
    </w:p>
    <w:p w14:paraId="6808ED86">
      <w:pPr>
        <w:pStyle w:val="7"/>
        <w:keepNext w:val="0"/>
        <w:keepLines w:val="0"/>
        <w:pageBreakBefore w:val="0"/>
        <w:numPr>
          <w:ilvl w:val="4"/>
          <w:numId w:val="4"/>
        </w:numP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30.1采购代理机构在评标结束之日起2个工作日内将评标报告送采购人，采购人在收到评标报告之日起5个工作日内，在评标报告确定的中标候选人名单中按顺序确定中标人。</w:t>
      </w:r>
    </w:p>
    <w:p w14:paraId="055811DC">
      <w:pPr>
        <w:pStyle w:val="7"/>
        <w:keepNext w:val="0"/>
        <w:keepLines w:val="0"/>
        <w:pageBreakBefore w:val="0"/>
        <w:numPr>
          <w:ilvl w:val="4"/>
          <w:numId w:val="4"/>
        </w:numP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eastAsia="宋体" w:cs="宋体"/>
          <w:strike w:val="0"/>
          <w:dstrike w:val="0"/>
          <w:color w:val="auto"/>
          <w:sz w:val="21"/>
          <w:szCs w:val="21"/>
          <w:highlight w:val="none"/>
        </w:rPr>
        <w:t>其他投标无效。</w:t>
      </w:r>
    </w:p>
    <w:p w14:paraId="10483248">
      <w:pPr>
        <w:pStyle w:val="7"/>
        <w:keepNext w:val="0"/>
        <w:keepLines w:val="0"/>
        <w:pageBreakBefore w:val="0"/>
        <w:numPr>
          <w:ilvl w:val="4"/>
          <w:numId w:val="4"/>
        </w:numP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32ADBE5B">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非单一产品采购项目，多家投标人提供的核心产品品牌相同的，</w:t>
      </w:r>
      <w:r>
        <w:rPr>
          <w:rFonts w:hint="eastAsia" w:ascii="宋体" w:hAnsi="宋体" w:eastAsia="宋体" w:cs="宋体"/>
          <w:strike w:val="0"/>
          <w:dstrike w:val="0"/>
          <w:color w:val="auto"/>
          <w:sz w:val="21"/>
          <w:szCs w:val="21"/>
          <w:highlight w:val="none"/>
        </w:rPr>
        <w:t>按前两款规定处理</w:t>
      </w:r>
      <w:r>
        <w:rPr>
          <w:rFonts w:hint="eastAsia" w:ascii="宋体" w:hAnsi="宋体" w:eastAsia="宋体" w:cs="宋体"/>
          <w:strike w:val="0"/>
          <w:dstrike w:val="0"/>
          <w:color w:val="auto"/>
          <w:kern w:val="2"/>
          <w:sz w:val="21"/>
          <w:szCs w:val="21"/>
          <w:highlight w:val="none"/>
        </w:rPr>
        <w:t>。</w:t>
      </w:r>
    </w:p>
    <w:p w14:paraId="64886F1D">
      <w:pPr>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30.2采购人在收到评标报告5个工作日内未按评标报告推荐的中标候选人顺序确定中标人，又不能说明合法理由的，视同按评标报告推荐的顺序确定排名第一的中标候选人为中标人。</w:t>
      </w:r>
    </w:p>
    <w:p w14:paraId="2A60D258">
      <w:pPr>
        <w:keepNext w:val="0"/>
        <w:keepLines w:val="0"/>
        <w:pageBreakBefore w:val="0"/>
        <w:kinsoku/>
        <w:topLinePunct w:val="0"/>
        <w:bidi w:val="0"/>
        <w:snapToGrid w:val="0"/>
        <w:spacing w:line="400" w:lineRule="exact"/>
        <w:ind w:firstLine="420" w:firstLineChars="200"/>
        <w:jc w:val="left"/>
        <w:outlineLvl w:val="3"/>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30.3出现下列情形之一的，应予废标：</w:t>
      </w:r>
    </w:p>
    <w:p w14:paraId="079C0E2E">
      <w:pPr>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（1）符合专业条件的投标人或者对招标文件作实质响应的投标人不足三家的；</w:t>
      </w:r>
    </w:p>
    <w:p w14:paraId="70BA61CD">
      <w:pPr>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（2）出现影响采购公正的违法、违规行为的；</w:t>
      </w:r>
    </w:p>
    <w:p w14:paraId="4E502F47">
      <w:pPr>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（3）投标人的报价均超过了采购预算，采购人不能支付的；</w:t>
      </w:r>
    </w:p>
    <w:p w14:paraId="2A2BF96B">
      <w:pPr>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（4）因重大变故，采购任务取消的。</w:t>
      </w:r>
    </w:p>
    <w:p w14:paraId="67A1E99C">
      <w:pPr>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废标后，采购人应当将废标理由通知所有投标人。</w:t>
      </w:r>
    </w:p>
    <w:p w14:paraId="45EE9FC3">
      <w:pPr>
        <w:keepNext w:val="0"/>
        <w:keepLines w:val="0"/>
        <w:pageBreakBefore w:val="0"/>
        <w:kinsoku/>
        <w:topLinePunct w:val="0"/>
        <w:bidi w:val="0"/>
        <w:snapToGrid w:val="0"/>
        <w:spacing w:line="400" w:lineRule="exact"/>
        <w:ind w:firstLine="422" w:firstLineChars="200"/>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31.结果公告</w:t>
      </w:r>
    </w:p>
    <w:p w14:paraId="4CF58E61">
      <w:pPr>
        <w:pStyle w:val="7"/>
        <w:keepNext w:val="0"/>
        <w:keepLines w:val="0"/>
        <w:pageBreakBefore w:val="0"/>
        <w:numPr>
          <w:ilvl w:val="4"/>
          <w:numId w:val="4"/>
        </w:numP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196940A8">
      <w:pPr>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以上信息查询记录及相关证据与采购文件一并保存。</w:t>
      </w:r>
    </w:p>
    <w:p w14:paraId="1002D713">
      <w:pPr>
        <w:pStyle w:val="7"/>
        <w:keepNext w:val="0"/>
        <w:keepLines w:val="0"/>
        <w:pageBreakBefore w:val="0"/>
        <w:numPr>
          <w:ilvl w:val="4"/>
          <w:numId w:val="4"/>
        </w:numPr>
        <w:kinsoku/>
        <w:topLinePunct w:val="0"/>
        <w:bidi w:val="0"/>
        <w:spacing w:before="0" w:after="0"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31.2中标投标人享受《政府采购促进中小企业发展管理办法》（财库〔2020〕46号）规定的中小企业扶持政策的，采购人、采购代理机构应当随中标结果公开中标投标人的《中小企业声明函》。</w:t>
      </w:r>
    </w:p>
    <w:p w14:paraId="1E1699BB">
      <w:pPr>
        <w:pStyle w:val="7"/>
        <w:keepNext w:val="0"/>
        <w:keepLines w:val="0"/>
        <w:pageBreakBefore w:val="0"/>
        <w:numPr>
          <w:ilvl w:val="4"/>
          <w:numId w:val="4"/>
        </w:numPr>
        <w:kinsoku/>
        <w:topLinePunct w:val="0"/>
        <w:bidi w:val="0"/>
        <w:spacing w:before="0" w:after="0" w:line="400" w:lineRule="exact"/>
        <w:ind w:firstLine="422"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strike w:val="0"/>
          <w:dstrike w:val="0"/>
          <w:color w:val="auto"/>
          <w:sz w:val="21"/>
          <w:szCs w:val="21"/>
          <w:highlight w:val="none"/>
        </w:rPr>
        <w:t>32.发出中标通知书</w:t>
      </w:r>
    </w:p>
    <w:p w14:paraId="38B3A119">
      <w:pPr>
        <w:pStyle w:val="7"/>
        <w:keepNext w:val="0"/>
        <w:keepLines w:val="0"/>
        <w:pageBreakBefore w:val="0"/>
        <w:numPr>
          <w:ilvl w:val="4"/>
          <w:numId w:val="4"/>
        </w:numPr>
        <w:kinsoku/>
        <w:topLinePunct w:val="0"/>
        <w:bidi w:val="0"/>
        <w:spacing w:before="0" w:after="0"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在发布中标公告的同时，采购代理机构向中标人通过</w:t>
      </w:r>
      <w:r>
        <w:rPr>
          <w:rFonts w:hint="eastAsia" w:ascii="宋体" w:hAnsi="宋体" w:eastAsia="宋体" w:cs="宋体"/>
          <w:b w:val="0"/>
          <w:strike w:val="0"/>
          <w:dstrike w:val="0"/>
          <w:color w:val="auto"/>
          <w:sz w:val="21"/>
          <w:szCs w:val="21"/>
          <w:highlight w:val="none"/>
          <w:lang w:eastAsia="zh-CN"/>
        </w:rPr>
        <w:t>广西政府采购云平台</w:t>
      </w:r>
      <w:r>
        <w:rPr>
          <w:rFonts w:hint="eastAsia" w:ascii="宋体" w:hAnsi="宋体" w:eastAsia="宋体" w:cs="宋体"/>
          <w:b w:val="0"/>
          <w:strike w:val="0"/>
          <w:dstrike w:val="0"/>
          <w:color w:val="auto"/>
          <w:sz w:val="21"/>
          <w:szCs w:val="21"/>
          <w:highlight w:val="none"/>
        </w:rPr>
        <w:t>发出电子中标通知书。对未通过资格审查的投标人，应当告知其未通过的原因；采用综合评分办法评审的，还应当告知未中标人本人的评审得分与排序。</w:t>
      </w:r>
    </w:p>
    <w:p w14:paraId="7DB356D2">
      <w:pPr>
        <w:pStyle w:val="7"/>
        <w:keepNext w:val="0"/>
        <w:keepLines w:val="0"/>
        <w:pageBreakBefore w:val="0"/>
        <w:numPr>
          <w:ilvl w:val="4"/>
          <w:numId w:val="4"/>
        </w:numPr>
        <w:kinsoku/>
        <w:topLinePunct w:val="0"/>
        <w:bidi w:val="0"/>
        <w:spacing w:before="0" w:after="0" w:line="400" w:lineRule="exact"/>
        <w:ind w:firstLine="422"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strike w:val="0"/>
          <w:dstrike w:val="0"/>
          <w:color w:val="auto"/>
          <w:sz w:val="21"/>
          <w:szCs w:val="21"/>
          <w:highlight w:val="none"/>
        </w:rPr>
        <w:t>33. 无义务解释未中标原因</w:t>
      </w:r>
    </w:p>
    <w:p w14:paraId="422CD27E">
      <w:pPr>
        <w:pStyle w:val="7"/>
        <w:keepNext w:val="0"/>
        <w:keepLines w:val="0"/>
        <w:pageBreakBefore w:val="0"/>
        <w:numPr>
          <w:ilvl w:val="4"/>
          <w:numId w:val="4"/>
        </w:numP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采购代理机构无义务向未中标的投标人解释未中标原因。</w:t>
      </w:r>
    </w:p>
    <w:p w14:paraId="2C403CD0">
      <w:pPr>
        <w:pStyle w:val="7"/>
        <w:keepNext w:val="0"/>
        <w:keepLines w:val="0"/>
        <w:pageBreakBefore w:val="0"/>
        <w:numPr>
          <w:ilvl w:val="4"/>
          <w:numId w:val="4"/>
        </w:numPr>
        <w:kinsoku/>
        <w:topLinePunct w:val="0"/>
        <w:bidi w:val="0"/>
        <w:snapToGrid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34.合同授予标准</w:t>
      </w:r>
    </w:p>
    <w:p w14:paraId="35B79038">
      <w:pPr>
        <w:pStyle w:val="7"/>
        <w:keepNext w:val="0"/>
        <w:keepLines w:val="0"/>
        <w:pageBreakBefore w:val="0"/>
        <w:numPr>
          <w:ilvl w:val="4"/>
          <w:numId w:val="4"/>
        </w:numPr>
        <w:kinsoku/>
        <w:topLinePunct w:val="0"/>
        <w:bidi w:val="0"/>
        <w:snapToGrid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合同将授予被确定实质上响应招标文件要求，具备履行合同能力的中标人。</w:t>
      </w:r>
    </w:p>
    <w:p w14:paraId="0E1EE049">
      <w:pPr>
        <w:pStyle w:val="7"/>
        <w:keepNext w:val="0"/>
        <w:keepLines w:val="0"/>
        <w:pageBreakBefore w:val="0"/>
        <w:numPr>
          <w:ilvl w:val="4"/>
          <w:numId w:val="4"/>
        </w:numPr>
        <w:kinsoku/>
        <w:topLinePunct w:val="0"/>
        <w:bidi w:val="0"/>
        <w:snapToGrid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35.履约保证金</w:t>
      </w:r>
    </w:p>
    <w:p w14:paraId="7D98533B">
      <w:pPr>
        <w:pStyle w:val="7"/>
        <w:keepNext w:val="0"/>
        <w:keepLines w:val="0"/>
        <w:pageBreakBefore w:val="0"/>
        <w:numPr>
          <w:ilvl w:val="4"/>
          <w:numId w:val="4"/>
        </w:numPr>
        <w:kinsoku/>
        <w:topLinePunct w:val="0"/>
        <w:bidi w:val="0"/>
        <w:spacing w:before="0" w:after="0" w:line="400" w:lineRule="exact"/>
        <w:ind w:firstLine="315" w:firstLineChars="150"/>
        <w:jc w:val="left"/>
        <w:rPr>
          <w:rFonts w:hint="eastAsia" w:ascii="宋体" w:hAnsi="宋体" w:eastAsia="宋体" w:cs="宋体"/>
          <w:b w:val="0"/>
          <w:strike w:val="0"/>
          <w:dstrike w:val="0"/>
          <w:color w:val="auto"/>
          <w:sz w:val="21"/>
          <w:szCs w:val="21"/>
          <w:highlight w:val="none"/>
        </w:rPr>
      </w:pPr>
      <w:bookmarkStart w:id="208" w:name="_39.1中标人须于签订合同前按本须知前附表规定的金额转账或电汇到指定账"/>
      <w:bookmarkEnd w:id="208"/>
      <w:r>
        <w:rPr>
          <w:rFonts w:hint="eastAsia" w:ascii="宋体" w:hAnsi="宋体" w:eastAsia="宋体" w:cs="宋体"/>
          <w:b w:val="0"/>
          <w:strike w:val="0"/>
          <w:dstrike w:val="0"/>
          <w:color w:val="auto"/>
          <w:sz w:val="21"/>
          <w:szCs w:val="21"/>
          <w:highlight w:val="none"/>
        </w:rPr>
        <w:t xml:space="preserve"> 35.1 履约保证金的金额、提交方式、退付的时间和条件详见“投标人须知前附表”。中标人未按规定提交履约保证金的，视为拒绝与采购人签订合同。</w:t>
      </w:r>
    </w:p>
    <w:p w14:paraId="5666C7BF">
      <w:pPr>
        <w:pStyle w:val="7"/>
        <w:keepNext w:val="0"/>
        <w:keepLines w:val="0"/>
        <w:pageBreakBefore w:val="0"/>
        <w:numPr>
          <w:ilvl w:val="4"/>
          <w:numId w:val="4"/>
        </w:numPr>
        <w:kinsoku/>
        <w:topLinePunct w:val="0"/>
        <w:bidi w:val="0"/>
        <w:spacing w:before="0" w:after="0" w:line="400" w:lineRule="exact"/>
        <w:ind w:firstLine="315" w:firstLineChars="150"/>
        <w:jc w:val="left"/>
        <w:rPr>
          <w:rFonts w:hint="eastAsia" w:ascii="宋体" w:hAnsi="宋体" w:eastAsia="宋体" w:cs="宋体"/>
          <w:strike w:val="0"/>
          <w:dstrike w:val="0"/>
          <w:color w:val="auto"/>
          <w:sz w:val="21"/>
          <w:szCs w:val="21"/>
          <w:highlight w:val="none"/>
        </w:rPr>
      </w:pPr>
      <w:r>
        <w:rPr>
          <w:rFonts w:hint="eastAsia" w:ascii="宋体" w:hAnsi="宋体" w:eastAsia="宋体" w:cs="宋体"/>
          <w:b w:val="0"/>
          <w:bCs/>
          <w:strike w:val="0"/>
          <w:dstrike w:val="0"/>
          <w:color w:val="auto"/>
          <w:sz w:val="21"/>
          <w:szCs w:val="21"/>
          <w:highlight w:val="none"/>
        </w:rPr>
        <w:t>35.2在履约保证金退还日期前，若中标人的开户名称、开户银行、</w:t>
      </w:r>
      <w:r>
        <w:rPr>
          <w:rFonts w:hint="eastAsia" w:ascii="宋体" w:hAnsi="宋体" w:eastAsia="宋体" w:cs="宋体"/>
          <w:b w:val="0"/>
          <w:bCs/>
          <w:strike w:val="0"/>
          <w:dstrike w:val="0"/>
          <w:color w:val="auto"/>
          <w:sz w:val="21"/>
          <w:szCs w:val="21"/>
          <w:highlight w:val="none"/>
          <w:lang w:eastAsia="zh-CN"/>
        </w:rPr>
        <w:t>账号</w:t>
      </w:r>
      <w:r>
        <w:rPr>
          <w:rFonts w:hint="eastAsia" w:ascii="宋体" w:hAnsi="宋体" w:eastAsia="宋体" w:cs="宋体"/>
          <w:b w:val="0"/>
          <w:bCs/>
          <w:strike w:val="0"/>
          <w:dstrike w:val="0"/>
          <w:color w:val="auto"/>
          <w:sz w:val="21"/>
          <w:szCs w:val="21"/>
          <w:highlight w:val="none"/>
        </w:rPr>
        <w:t>有变动的，请以书面形式通知履约保证金收取单位，否则由此产生的后果由中标人自行承担。</w:t>
      </w:r>
    </w:p>
    <w:p w14:paraId="3E660B40">
      <w:pPr>
        <w:pStyle w:val="7"/>
        <w:keepNext w:val="0"/>
        <w:keepLines w:val="0"/>
        <w:pageBreakBefore w:val="0"/>
        <w:numPr>
          <w:ilvl w:val="4"/>
          <w:numId w:val="4"/>
        </w:numPr>
        <w:kinsoku/>
        <w:topLinePunct w:val="0"/>
        <w:bidi w:val="0"/>
        <w:spacing w:before="0" w:after="0" w:line="400" w:lineRule="exact"/>
        <w:ind w:firstLine="422" w:firstLineChars="200"/>
        <w:jc w:val="left"/>
        <w:rPr>
          <w:rFonts w:hint="eastAsia" w:ascii="宋体" w:hAnsi="宋体" w:eastAsia="宋体" w:cs="宋体"/>
          <w:b w:val="0"/>
          <w:strike w:val="0"/>
          <w:dstrike w:val="0"/>
          <w:color w:val="auto"/>
          <w:sz w:val="21"/>
          <w:szCs w:val="21"/>
          <w:highlight w:val="none"/>
        </w:rPr>
      </w:pPr>
      <w:bookmarkStart w:id="209" w:name="OLE_LINK155"/>
      <w:bookmarkStart w:id="210" w:name="OLE_LINK158"/>
      <w:r>
        <w:rPr>
          <w:rFonts w:hint="eastAsia" w:ascii="宋体" w:hAnsi="宋体" w:eastAsia="宋体" w:cs="宋体"/>
          <w:strike w:val="0"/>
          <w:dstrike w:val="0"/>
          <w:color w:val="auto"/>
          <w:sz w:val="21"/>
          <w:szCs w:val="21"/>
          <w:highlight w:val="none"/>
        </w:rPr>
        <w:t>36.签订合同</w:t>
      </w:r>
      <w:bookmarkStart w:id="211" w:name="_40.1投标人接到中标通知书后，按须知前附表规定向采购人出示相关资格证"/>
      <w:bookmarkEnd w:id="211"/>
    </w:p>
    <w:bookmarkEnd w:id="209"/>
    <w:bookmarkEnd w:id="210"/>
    <w:p w14:paraId="2104E69E">
      <w:pPr>
        <w:pStyle w:val="7"/>
        <w:keepNext w:val="0"/>
        <w:keepLines w:val="0"/>
        <w:pageBreakBefore w:val="0"/>
        <w:numPr>
          <w:ilvl w:val="4"/>
          <w:numId w:val="4"/>
        </w:numP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bCs/>
          <w:strike w:val="0"/>
          <w:dstrike w:val="0"/>
          <w:color w:val="auto"/>
          <w:sz w:val="21"/>
          <w:szCs w:val="21"/>
          <w:highlight w:val="none"/>
        </w:rPr>
        <w:t>36.1</w:t>
      </w:r>
      <w:r>
        <w:rPr>
          <w:rFonts w:hint="eastAsia" w:ascii="宋体" w:hAnsi="宋体" w:eastAsia="宋体" w:cs="宋体"/>
          <w:b w:val="0"/>
          <w:strike w:val="0"/>
          <w:dstrike w:val="0"/>
          <w:color w:val="auto"/>
          <w:sz w:val="21"/>
          <w:szCs w:val="21"/>
          <w:highlight w:val="none"/>
        </w:rPr>
        <w:t>线下签订纸质合同：投标人领取中标通知书后，按“投标人须知前附表”规定向采购人出示相关证明材料，经采购人核验合格后方可签订合同。</w:t>
      </w:r>
      <w:r>
        <w:rPr>
          <w:rFonts w:hint="eastAsia" w:ascii="宋体" w:hAnsi="宋体" w:eastAsia="宋体" w:cs="宋体"/>
          <w:strike w:val="0"/>
          <w:dstrike w:val="0"/>
          <w:color w:val="auto"/>
          <w:kern w:val="0"/>
          <w:sz w:val="21"/>
          <w:szCs w:val="21"/>
          <w:highlight w:val="none"/>
          <w:lang w:val="zh-CN"/>
        </w:rPr>
        <w:t>如中标人为联合体的，由联合体成员各方法定代表人或其授权代表与采购人代表签订合同。</w:t>
      </w:r>
    </w:p>
    <w:p w14:paraId="076CFB4C">
      <w:pPr>
        <w:pStyle w:val="7"/>
        <w:keepNext w:val="0"/>
        <w:keepLines w:val="0"/>
        <w:pageBreakBefore w:val="0"/>
        <w:numPr>
          <w:ilvl w:val="0"/>
          <w:numId w:val="0"/>
        </w:numP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36.2签订合同时间：按中标通知书规定的时间与采购人签订合同。</w:t>
      </w:r>
    </w:p>
    <w:p w14:paraId="4B5BB0B3">
      <w:pPr>
        <w:pStyle w:val="7"/>
        <w:keepNext w:val="0"/>
        <w:keepLines w:val="0"/>
        <w:pageBreakBefore w:val="0"/>
        <w:numPr>
          <w:ilvl w:val="4"/>
          <w:numId w:val="4"/>
        </w:numP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36.3中标人拒绝签订政府采购合同（包括但不限于放弃中标、因不可抗力不能履行合同而放弃签订合同），采购人可以按照评审报告推荐的中标候选人名单排序，确定下一候选人为中标投标人，也可以重新开展政府采购活动。如采购人无正当理由拒签合同的，给中标投标人造成损失的，中标投标人可追究采购人承担相应的法律责任。</w:t>
      </w:r>
    </w:p>
    <w:p w14:paraId="609C4471">
      <w:pPr>
        <w:keepNext w:val="0"/>
        <w:keepLines w:val="0"/>
        <w:pageBreakBefore w:val="0"/>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36.4政府采购合同是政府采购项目验收的依据，中标投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0E77920">
      <w:pPr>
        <w:keepNext w:val="0"/>
        <w:keepLines w:val="0"/>
        <w:pageBreakBefore w:val="0"/>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36.5采购人或中标投标人不得单方面向合同另一方提出任何招标文件没有约定的条件或不合理的要求，作为签订合同的条件；也不得协商另行订立背离招标文件和合同实质性内容的协议。</w:t>
      </w:r>
    </w:p>
    <w:p w14:paraId="57ADCCFC">
      <w:pPr>
        <w:keepNext w:val="0"/>
        <w:keepLines w:val="0"/>
        <w:pageBreakBefore w:val="0"/>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36.6如签订合同并生效后，投标人无故拒绝或延期，除按照合同条款处理外，将承担相应的法律责任。</w:t>
      </w:r>
    </w:p>
    <w:p w14:paraId="6A671DE2">
      <w:pPr>
        <w:keepNext w:val="0"/>
        <w:keepLines w:val="0"/>
        <w:pageBreakBefore w:val="0"/>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36.7政府采购合同履行中，采购人需追加与合同标的相同的货物、工程或者服务的，在不改变合同其他条款的前提下，可以与投标人协商签订补充合同，但所有补充合同的采购金额不得超过原合同采购金额的10%。</w:t>
      </w:r>
      <w:bookmarkStart w:id="212" w:name="_41.政府采购合同公告"/>
      <w:bookmarkEnd w:id="212"/>
    </w:p>
    <w:p w14:paraId="7E045137">
      <w:pPr>
        <w:keepNext w:val="0"/>
        <w:keepLines w:val="0"/>
        <w:pageBreakBefore w:val="0"/>
        <w:kinsoku/>
        <w:topLinePunct w:val="0"/>
        <w:bidi w:val="0"/>
        <w:spacing w:line="400" w:lineRule="exact"/>
        <w:ind w:firstLine="420" w:firstLineChars="200"/>
        <w:jc w:val="left"/>
        <w:outlineLvl w:val="2"/>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37.政府采购合同公告</w:t>
      </w:r>
    </w:p>
    <w:p w14:paraId="18EC55DB">
      <w:pPr>
        <w:keepNext w:val="0"/>
        <w:keepLines w:val="0"/>
        <w:pageBreakBefore w:val="0"/>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6ACBA61A">
      <w:pPr>
        <w:keepNext w:val="0"/>
        <w:keepLines w:val="0"/>
        <w:pageBreakBefore w:val="0"/>
        <w:kinsoku/>
        <w:topLinePunct w:val="0"/>
        <w:bidi w:val="0"/>
        <w:spacing w:line="400" w:lineRule="exact"/>
        <w:ind w:firstLine="420" w:firstLineChars="200"/>
        <w:jc w:val="left"/>
        <w:outlineLvl w:val="2"/>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38. 询问、质疑和投诉</w:t>
      </w:r>
    </w:p>
    <w:p w14:paraId="2D1526F1">
      <w:pPr>
        <w:keepNext w:val="0"/>
        <w:keepLines w:val="0"/>
        <w:pageBreakBefore w:val="0"/>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38.1投标人对政府采购活动事项有疑问的，可以向采购人提出询问，采购人或者采购代理机构应当在3个工作日内对投标人依法提出的询问作出答复，但答复的内容不得涉及商业秘密。</w:t>
      </w:r>
    </w:p>
    <w:p w14:paraId="3EF57AE1">
      <w:pPr>
        <w:pStyle w:val="7"/>
        <w:keepNext w:val="0"/>
        <w:keepLines w:val="0"/>
        <w:pageBreakBefore w:val="0"/>
        <w:numPr>
          <w:ilvl w:val="4"/>
          <w:numId w:val="4"/>
        </w:numPr>
        <w:kinsoku/>
        <w:topLinePunct w:val="0"/>
        <w:bidi w:val="0"/>
        <w:spacing w:before="0" w:after="0" w:line="400" w:lineRule="exact"/>
        <w:ind w:firstLine="315" w:firstLineChars="15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 xml:space="preserve"> 38.2投标人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w:t>
      </w:r>
    </w:p>
    <w:p w14:paraId="0C789C4A">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（1）对可以质疑的招标文件提出质疑的，为收到招标文件之日或者招标文件公告期限届满之日；</w:t>
      </w:r>
    </w:p>
    <w:p w14:paraId="511E8EFF">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（2）对采购过程提出质疑的，为各采购程序环节结束之日；</w:t>
      </w:r>
    </w:p>
    <w:p w14:paraId="7C12CC7D">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（3）对中标结果提出质疑的，为中标结果公告期限届满之日。</w:t>
      </w:r>
    </w:p>
    <w:p w14:paraId="4412B132">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 xml:space="preserve">38.3 </w:t>
      </w:r>
      <w:r>
        <w:rPr>
          <w:rFonts w:hint="eastAsia" w:ascii="宋体" w:hAnsi="宋体" w:eastAsia="宋体" w:cs="宋体"/>
          <w:bCs/>
          <w:strike w:val="0"/>
          <w:dstrike w:val="0"/>
          <w:color w:val="auto"/>
          <w:sz w:val="21"/>
          <w:szCs w:val="21"/>
          <w:highlight w:val="none"/>
        </w:rPr>
        <w:t>投标人提出质疑应当提交质疑函和必要的证明材料，针对同一采购程序环节的质疑必须在法定质疑期内一次性提出。质疑函应当包括下列内容（质疑函格式后附）：</w:t>
      </w:r>
    </w:p>
    <w:p w14:paraId="064F7A72">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（1）投标人的姓名或者名称、地址、邮编、联系人及联系电话；</w:t>
      </w:r>
    </w:p>
    <w:p w14:paraId="0ECCA8E3">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（2）质疑项目的名称、编号；</w:t>
      </w:r>
    </w:p>
    <w:p w14:paraId="69A8B4F5">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（3）具体、明确的质疑事项和与质疑事项相关的请求；</w:t>
      </w:r>
    </w:p>
    <w:p w14:paraId="77944D61">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（4）事实依据；</w:t>
      </w:r>
    </w:p>
    <w:p w14:paraId="000EABE6">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（5）必要的法律依据；</w:t>
      </w:r>
    </w:p>
    <w:p w14:paraId="361EEDC4">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（6）提出质疑的日期。</w:t>
      </w:r>
    </w:p>
    <w:p w14:paraId="3178D639">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投标人为自然人的，应当由本人签字；投标人为法人或者其他组织的，应当由法定代表人、主要负责人，或者其委托代理人签字或者盖章，并加盖公章。</w:t>
      </w:r>
    </w:p>
    <w:p w14:paraId="2A3FAF8F">
      <w:pPr>
        <w:pStyle w:val="7"/>
        <w:keepNext w:val="0"/>
        <w:keepLines w:val="0"/>
        <w:pageBreakBefore w:val="0"/>
        <w:numPr>
          <w:ilvl w:val="4"/>
          <w:numId w:val="4"/>
        </w:numPr>
        <w:kinsoku/>
        <w:topLinePunct w:val="0"/>
        <w:bidi w:val="0"/>
        <w:snapToGrid w:val="0"/>
        <w:spacing w:before="0" w:after="0" w:line="400" w:lineRule="exact"/>
        <w:ind w:firstLine="420" w:firstLineChars="200"/>
        <w:jc w:val="left"/>
        <w:rPr>
          <w:rFonts w:hint="eastAsia" w:ascii="宋体" w:hAnsi="宋体" w:eastAsia="宋体" w:cs="宋体"/>
          <w:b w:val="0"/>
          <w:bCs/>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3</w:t>
      </w:r>
      <w:r>
        <w:rPr>
          <w:rFonts w:hint="eastAsia" w:ascii="宋体" w:hAnsi="宋体" w:eastAsia="宋体" w:cs="宋体"/>
          <w:b w:val="0"/>
          <w:bCs/>
          <w:strike w:val="0"/>
          <w:dstrike w:val="0"/>
          <w:color w:val="auto"/>
          <w:sz w:val="21"/>
          <w:szCs w:val="21"/>
          <w:highlight w:val="none"/>
        </w:rPr>
        <w:t>8.4采购人、采购代理机构认为投标人质疑不成立，或者成立但未对中标结果构成影响的，继续开展采购活动；认为投标人质疑成立且影响或者可能影响中标结果的，按照下列情况处理：</w:t>
      </w:r>
    </w:p>
    <w:p w14:paraId="628C7C4A">
      <w:pPr>
        <w:pStyle w:val="7"/>
        <w:keepNext w:val="0"/>
        <w:keepLines w:val="0"/>
        <w:pageBreakBefore w:val="0"/>
        <w:numPr>
          <w:ilvl w:val="4"/>
          <w:numId w:val="4"/>
        </w:numPr>
        <w:kinsoku/>
        <w:topLinePunct w:val="0"/>
        <w:bidi w:val="0"/>
        <w:snapToGrid w:val="0"/>
        <w:spacing w:before="0" w:after="0" w:line="400" w:lineRule="exact"/>
        <w:ind w:firstLine="420" w:firstLineChars="200"/>
        <w:jc w:val="left"/>
        <w:rPr>
          <w:rFonts w:hint="eastAsia" w:ascii="宋体" w:hAnsi="宋体" w:eastAsia="宋体" w:cs="宋体"/>
          <w:b w:val="0"/>
          <w:bCs/>
          <w:strike w:val="0"/>
          <w:dstrike w:val="0"/>
          <w:color w:val="auto"/>
          <w:sz w:val="21"/>
          <w:szCs w:val="21"/>
          <w:highlight w:val="none"/>
        </w:rPr>
      </w:pPr>
      <w:r>
        <w:rPr>
          <w:rFonts w:hint="eastAsia" w:ascii="宋体" w:hAnsi="宋体" w:eastAsia="宋体" w:cs="宋体"/>
          <w:b w:val="0"/>
          <w:bCs/>
          <w:strike w:val="0"/>
          <w:dstrike w:val="0"/>
          <w:color w:val="auto"/>
          <w:sz w:val="21"/>
          <w:szCs w:val="21"/>
          <w:highlight w:val="none"/>
        </w:rPr>
        <w:t>（一）对招标文件提出的质疑，依法通过澄清或者修改可以继续开展采购活动的，澄清或者修改招标文件后继续开展采购活动；否则应当修改招标文件后重新开展采购活动。</w:t>
      </w:r>
    </w:p>
    <w:p w14:paraId="07D4D350">
      <w:pPr>
        <w:pStyle w:val="7"/>
        <w:keepNext w:val="0"/>
        <w:keepLines w:val="0"/>
        <w:pageBreakBefore w:val="0"/>
        <w:numPr>
          <w:ilvl w:val="4"/>
          <w:numId w:val="4"/>
        </w:numPr>
        <w:kinsoku/>
        <w:topLinePunct w:val="0"/>
        <w:bidi w:val="0"/>
        <w:snapToGrid w:val="0"/>
        <w:spacing w:before="0" w:after="0" w:line="400" w:lineRule="exact"/>
        <w:ind w:firstLine="420" w:firstLineChars="200"/>
        <w:jc w:val="left"/>
        <w:rPr>
          <w:rFonts w:hint="eastAsia" w:ascii="宋体" w:hAnsi="宋体" w:eastAsia="宋体" w:cs="宋体"/>
          <w:b w:val="0"/>
          <w:bCs/>
          <w:strike w:val="0"/>
          <w:dstrike w:val="0"/>
          <w:color w:val="auto"/>
          <w:sz w:val="21"/>
          <w:szCs w:val="21"/>
          <w:highlight w:val="none"/>
        </w:rPr>
      </w:pPr>
      <w:r>
        <w:rPr>
          <w:rFonts w:hint="eastAsia" w:ascii="宋体" w:hAnsi="宋体" w:eastAsia="宋体" w:cs="宋体"/>
          <w:b w:val="0"/>
          <w:bCs/>
          <w:strike w:val="0"/>
          <w:dstrike w:val="0"/>
          <w:color w:val="auto"/>
          <w:sz w:val="21"/>
          <w:szCs w:val="21"/>
          <w:highlight w:val="none"/>
        </w:rPr>
        <w:t>（二）对采购过程、中标结果提出的质疑，合格投标人符合法定数量时，可以从合格的中标候选人中另行确定中标投标人的，应当依法另行确定中标投标人；否则应当重新开展采购活动。</w:t>
      </w:r>
    </w:p>
    <w:p w14:paraId="5D94766C">
      <w:pPr>
        <w:pStyle w:val="7"/>
        <w:keepNext w:val="0"/>
        <w:keepLines w:val="0"/>
        <w:pageBreakBefore w:val="0"/>
        <w:numPr>
          <w:ilvl w:val="4"/>
          <w:numId w:val="4"/>
        </w:numPr>
        <w:kinsoku/>
        <w:topLinePunct w:val="0"/>
        <w:bidi w:val="0"/>
        <w:snapToGrid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bCs/>
          <w:strike w:val="0"/>
          <w:dstrike w:val="0"/>
          <w:color w:val="auto"/>
          <w:sz w:val="21"/>
          <w:szCs w:val="21"/>
          <w:highlight w:val="none"/>
        </w:rPr>
        <w:t>质疑答复导致中标结果改变的，采购人或者采购代理机构应当将有关情况书面报告本级财政部门。</w:t>
      </w:r>
    </w:p>
    <w:p w14:paraId="73D1AFF5">
      <w:pPr>
        <w:pStyle w:val="7"/>
        <w:keepNext w:val="0"/>
        <w:keepLines w:val="0"/>
        <w:pageBreakBefore w:val="0"/>
        <w:numPr>
          <w:ilvl w:val="4"/>
          <w:numId w:val="4"/>
        </w:numPr>
        <w:kinsoku/>
        <w:topLinePunct w:val="0"/>
        <w:bidi w:val="0"/>
        <w:snapToGrid w:val="0"/>
        <w:spacing w:before="0" w:after="0"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38.5质疑投标人对采购人、采购代理机构的答复不满意，或者采购人、采购代理机构未在规定时间内作出答复的，可以在答复期满后15个工作日内向《政府采购质疑和投诉办法》（财政部令第94号）第六条规定的财政部门提起投诉（投诉书格式后附）。投诉方式及联系事项等信息详见“投标人须知前附表”。</w:t>
      </w:r>
    </w:p>
    <w:p w14:paraId="74EE3551">
      <w:pPr>
        <w:keepNext w:val="0"/>
        <w:keepLines w:val="0"/>
        <w:pageBreakBefore w:val="0"/>
        <w:kinsoku/>
        <w:topLinePunct w:val="0"/>
        <w:bidi w:val="0"/>
        <w:spacing w:beforeLines="50" w:line="400" w:lineRule="exact"/>
        <w:jc w:val="center"/>
        <w:outlineLvl w:val="1"/>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八、其他事项</w:t>
      </w:r>
      <w:bookmarkStart w:id="213" w:name="_42.代理服务费"/>
      <w:bookmarkEnd w:id="213"/>
    </w:p>
    <w:p w14:paraId="25FCEFEF">
      <w:pPr>
        <w:pStyle w:val="7"/>
        <w:keepNext w:val="0"/>
        <w:keepLines w:val="0"/>
        <w:pageBreakBefore w:val="0"/>
        <w:numPr>
          <w:ilvl w:val="4"/>
          <w:numId w:val="4"/>
        </w:numPr>
        <w:kinsoku/>
        <w:topLinePunct w:val="0"/>
        <w:bidi w:val="0"/>
        <w:snapToGrid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39.代理服务费</w:t>
      </w:r>
    </w:p>
    <w:p w14:paraId="1C76F1D7">
      <w:pPr>
        <w:pStyle w:val="7"/>
        <w:keepNext w:val="0"/>
        <w:keepLines w:val="0"/>
        <w:pageBreakBefore w:val="0"/>
        <w:numPr>
          <w:ilvl w:val="4"/>
          <w:numId w:val="4"/>
        </w:numPr>
        <w:kinsoku/>
        <w:topLinePunct w:val="0"/>
        <w:bidi w:val="0"/>
        <w:snapToGrid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39.1</w:t>
      </w:r>
      <w:r>
        <w:rPr>
          <w:rFonts w:hint="eastAsia" w:ascii="宋体" w:hAnsi="宋体" w:eastAsia="宋体" w:cs="宋体"/>
          <w:b w:val="0"/>
          <w:strike w:val="0"/>
          <w:dstrike w:val="0"/>
          <w:color w:val="auto"/>
          <w:kern w:val="0"/>
          <w:sz w:val="21"/>
          <w:szCs w:val="21"/>
          <w:highlight w:val="none"/>
        </w:rPr>
        <w:t>采购代理费支付方式、采购代理费收取标准、</w:t>
      </w:r>
      <w:r>
        <w:rPr>
          <w:rFonts w:hint="eastAsia" w:ascii="宋体" w:hAnsi="宋体" w:eastAsia="宋体" w:cs="宋体"/>
          <w:b w:val="0"/>
          <w:strike w:val="0"/>
          <w:dstrike w:val="0"/>
          <w:color w:val="auto"/>
          <w:sz w:val="21"/>
          <w:szCs w:val="21"/>
          <w:highlight w:val="none"/>
        </w:rPr>
        <w:t>采购代理费收取银行账户详见“投标人须知前附表”，投标人为联合体的，可以由联合体中的一方或者多方共同交纳代理服务费。</w:t>
      </w:r>
    </w:p>
    <w:p w14:paraId="09AAD723">
      <w:pPr>
        <w:keepNext w:val="0"/>
        <w:keepLines w:val="0"/>
        <w:pageBreakBefore w:val="0"/>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39.2至中标通知书发出后，招标代理流程即完成，后续由中标人（含原中标人）投标文件原因导致质疑、响应提供虚假材料、合同履约引起的项目废标，该费用不予退还。</w:t>
      </w:r>
    </w:p>
    <w:p w14:paraId="2FE64B79">
      <w:pPr>
        <w:keepNext w:val="0"/>
        <w:keepLines w:val="0"/>
        <w:pageBreakBefore w:val="0"/>
        <w:kinsoku/>
        <w:topLinePunct w:val="0"/>
        <w:bidi w:val="0"/>
        <w:spacing w:line="400" w:lineRule="exact"/>
        <w:ind w:firstLine="422" w:firstLineChars="200"/>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40. 需要补充的其他内容</w:t>
      </w:r>
    </w:p>
    <w:p w14:paraId="5CD93BBE">
      <w:pPr>
        <w:keepNext w:val="0"/>
        <w:keepLines w:val="0"/>
        <w:pageBreakBefore w:val="0"/>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40.1本招标文件解释规则详见“投标人须知前附表”。</w:t>
      </w:r>
    </w:p>
    <w:p w14:paraId="5A665150">
      <w:pPr>
        <w:pStyle w:val="28"/>
        <w:keepNext w:val="0"/>
        <w:keepLines w:val="0"/>
        <w:pageBreakBefore w:val="0"/>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40.2 其他事项详见“投标人须知前附表”。</w:t>
      </w:r>
    </w:p>
    <w:p w14:paraId="4A3F351A">
      <w:pPr>
        <w:pStyle w:val="28"/>
        <w:keepNext w:val="0"/>
        <w:keepLines w:val="0"/>
        <w:pageBreakBefore w:val="0"/>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40.3如因联合体或</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系统导致无法电子签章，可线下盖公章扫描上传，即按照要求盖公章或电子签章均与认可。</w:t>
      </w:r>
    </w:p>
    <w:p w14:paraId="11B4DA57">
      <w:pPr>
        <w:pStyle w:val="28"/>
        <w:keepNext w:val="0"/>
        <w:keepLines w:val="0"/>
        <w:pageBreakBefore w:val="0"/>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40.4如由于询问、质疑和投诉、验收环节，需要核实关于投标文件中的相关证明材料，投标人必须按照要求配合，否则按照虚假材料认定，并报告本级财政部门进行核实并按照规定作出相关处罚。</w:t>
      </w:r>
    </w:p>
    <w:p w14:paraId="72B2DF4E">
      <w:pPr>
        <w:pStyle w:val="28"/>
        <w:keepNext w:val="0"/>
        <w:keepLines w:val="0"/>
        <w:pageBreakBefore w:val="0"/>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bookmarkStart w:id="214" w:name="_Hlk65857140"/>
      <w:r>
        <w:rPr>
          <w:rFonts w:hint="eastAsia" w:ascii="宋体" w:hAnsi="宋体" w:eastAsia="宋体" w:cs="宋体"/>
          <w:strike w:val="0"/>
          <w:dstrike w:val="0"/>
          <w:color w:val="auto"/>
          <w:sz w:val="21"/>
          <w:szCs w:val="21"/>
          <w:highlight w:val="none"/>
        </w:rPr>
        <w:t>40.5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货物、工程或者服务符合下列情形的，享受本招标文件规定的中小企业扶持政策：</w:t>
      </w:r>
    </w:p>
    <w:p w14:paraId="3AD28178">
      <w:pPr>
        <w:pStyle w:val="28"/>
        <w:keepNext w:val="0"/>
        <w:keepLines w:val="0"/>
        <w:pageBreakBefore w:val="0"/>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（1）在货物采购项目中，货物由中小企业制造，即货物由中小企业生产且使用该中小企业商号或者注册商标，不对其中涉及的工程承建商和服务的承接商作出要求；</w:t>
      </w:r>
    </w:p>
    <w:p w14:paraId="764D400B">
      <w:pPr>
        <w:pStyle w:val="28"/>
        <w:keepNext w:val="0"/>
        <w:keepLines w:val="0"/>
        <w:pageBreakBefore w:val="0"/>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（2）在工程采购项目中，工程由中小企业承建，即工程施工单位为中小企业，不对其中涉及的货物的制造商和服务的承接商作出要求；</w:t>
      </w:r>
    </w:p>
    <w:p w14:paraId="1AA5F1CD">
      <w:pPr>
        <w:pStyle w:val="28"/>
        <w:keepNext w:val="0"/>
        <w:keepLines w:val="0"/>
        <w:pageBreakBefore w:val="0"/>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204B96D0">
      <w:pPr>
        <w:pStyle w:val="28"/>
        <w:keepNext w:val="0"/>
        <w:keepLines w:val="0"/>
        <w:pageBreakBefore w:val="0"/>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在货物采购项目中，投标人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2890F43C">
      <w:pPr>
        <w:pStyle w:val="28"/>
        <w:keepNext w:val="0"/>
        <w:keepLines w:val="0"/>
        <w:pageBreakBefore w:val="0"/>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依据本招标文件规定享受扶持政策获得政府采购合同的，小微企业不得将合同分包给大中型企业，中型企业不得将合同分包给大型企业。</w:t>
      </w:r>
      <w:bookmarkEnd w:id="214"/>
    </w:p>
    <w:p w14:paraId="4FB994E3">
      <w:pPr>
        <w:pStyle w:val="28"/>
        <w:keepNext w:val="0"/>
        <w:keepLines w:val="0"/>
        <w:pageBreakBefore w:val="0"/>
        <w:kinsoku/>
        <w:topLinePunct w:val="0"/>
        <w:bidi w:val="0"/>
        <w:spacing w:line="400" w:lineRule="exact"/>
        <w:ind w:firstLine="420" w:firstLineChars="200"/>
        <w:contextualSpacing/>
        <w:jc w:val="left"/>
        <w:rPr>
          <w:rFonts w:hint="eastAsia" w:ascii="宋体" w:hAnsi="宋体" w:eastAsia="宋体" w:cs="宋体"/>
          <w:strike w:val="0"/>
          <w:dstrike w:val="0"/>
          <w:color w:val="auto"/>
          <w:sz w:val="21"/>
          <w:szCs w:val="21"/>
          <w:highlight w:val="none"/>
        </w:rPr>
      </w:pPr>
    </w:p>
    <w:p w14:paraId="33FE755B">
      <w:pPr>
        <w:pStyle w:val="3"/>
        <w:keepNext w:val="0"/>
        <w:keepLines w:val="0"/>
        <w:pageBreakBefore w:val="0"/>
        <w:tabs>
          <w:tab w:val="left" w:pos="0"/>
          <w:tab w:val="left" w:pos="3165"/>
          <w:tab w:val="center" w:pos="4153"/>
        </w:tabs>
        <w:kinsoku/>
        <w:topLinePunct w:val="0"/>
        <w:autoSpaceDE w:val="0"/>
        <w:autoSpaceDN w:val="0"/>
        <w:bidi w:val="0"/>
        <w:adjustRightInd w:val="0"/>
        <w:spacing w:before="0" w:after="0" w:line="400" w:lineRule="exact"/>
        <w:rPr>
          <w:rFonts w:hint="eastAsia" w:ascii="宋体" w:hAnsi="宋体" w:eastAsia="宋体" w:cs="宋体"/>
          <w:strike w:val="0"/>
          <w:dstrike w:val="0"/>
          <w:color w:val="auto"/>
          <w:sz w:val="21"/>
          <w:szCs w:val="21"/>
          <w:highlight w:val="none"/>
        </w:rPr>
      </w:pPr>
      <w:bookmarkStart w:id="215" w:name="_Toc254970689"/>
      <w:bookmarkStart w:id="216" w:name="_Toc330456896"/>
      <w:bookmarkStart w:id="217" w:name="_Toc254970548"/>
      <w:r>
        <w:rPr>
          <w:rFonts w:hint="eastAsia" w:ascii="宋体" w:hAnsi="宋体" w:eastAsia="宋体" w:cs="宋体"/>
          <w:strike w:val="0"/>
          <w:dstrike w:val="0"/>
          <w:color w:val="auto"/>
          <w:sz w:val="21"/>
          <w:szCs w:val="21"/>
          <w:highlight w:val="none"/>
        </w:rPr>
        <w:br w:type="page"/>
      </w:r>
      <w:bookmarkStart w:id="218" w:name="_Toc146612290"/>
      <w:r>
        <w:rPr>
          <w:rFonts w:hint="eastAsia" w:ascii="方正小标宋_GBK" w:hAnsi="方正小标宋_GBK" w:eastAsia="方正小标宋_GBK" w:cs="方正小标宋_GBK"/>
          <w:strike w:val="0"/>
          <w:dstrike w:val="0"/>
          <w:color w:val="auto"/>
          <w:sz w:val="21"/>
          <w:szCs w:val="21"/>
          <w:highlight w:val="none"/>
        </w:rPr>
        <w:t>第四章 评标方法及评标标准</w:t>
      </w:r>
      <w:bookmarkEnd w:id="215"/>
      <w:bookmarkEnd w:id="216"/>
      <w:bookmarkEnd w:id="217"/>
      <w:bookmarkEnd w:id="218"/>
    </w:p>
    <w:p w14:paraId="2AB05671">
      <w:pPr>
        <w:pStyle w:val="28"/>
        <w:keepNext w:val="0"/>
        <w:keepLines w:val="0"/>
        <w:pageBreakBefore w:val="0"/>
        <w:kinsoku/>
        <w:topLinePunct w:val="0"/>
        <w:bidi w:val="0"/>
        <w:spacing w:line="400" w:lineRule="exact"/>
        <w:jc w:val="center"/>
        <w:outlineLvl w:val="1"/>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一、评标方法</w:t>
      </w:r>
    </w:p>
    <w:p w14:paraId="3E67A093">
      <w:pPr>
        <w:pStyle w:val="28"/>
        <w:keepNext w:val="0"/>
        <w:keepLines w:val="0"/>
        <w:pageBreakBefore w:val="0"/>
        <w:kinsoku/>
        <w:topLinePunct w:val="0"/>
        <w:bidi w:val="0"/>
        <w:spacing w:line="400" w:lineRule="exact"/>
        <w:ind w:firstLine="42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综合评分法，是指投标文件满足招标文件全部实质性要求，且按照评审因素的量化指标评审得分最高的投标人为中标候选人的评标方法。</w:t>
      </w:r>
    </w:p>
    <w:p w14:paraId="44D530DA">
      <w:pPr>
        <w:pStyle w:val="28"/>
        <w:keepNext w:val="0"/>
        <w:keepLines w:val="0"/>
        <w:pageBreakBefore w:val="0"/>
        <w:kinsoku/>
        <w:topLinePunct w:val="0"/>
        <w:bidi w:val="0"/>
        <w:spacing w:line="400" w:lineRule="exact"/>
        <w:jc w:val="center"/>
        <w:outlineLvl w:val="1"/>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二、评标程序</w:t>
      </w:r>
    </w:p>
    <w:p w14:paraId="2EC93E3D">
      <w:pPr>
        <w:keepNext w:val="0"/>
        <w:keepLines w:val="0"/>
        <w:pageBreakBefore w:val="0"/>
        <w:kinsoku/>
        <w:topLinePunct w:val="0"/>
        <w:bidi w:val="0"/>
        <w:spacing w:line="400" w:lineRule="exact"/>
        <w:ind w:firstLine="422" w:firstLineChars="200"/>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1.符合性审查</w:t>
      </w:r>
    </w:p>
    <w:p w14:paraId="213A753C">
      <w:pPr>
        <w:keepNext w:val="0"/>
        <w:keepLines w:val="0"/>
        <w:pageBreakBefore w:val="0"/>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评标委员会应当对符合资格的投标人的投标文件进行投标报价、商务、技术等实质性内容符合性审查，以确定其是否满足招标文件的实质性要求。</w:t>
      </w:r>
    </w:p>
    <w:p w14:paraId="356C820F">
      <w:pPr>
        <w:keepNext w:val="0"/>
        <w:keepLines w:val="0"/>
        <w:pageBreakBefore w:val="0"/>
        <w:kinsoku/>
        <w:topLinePunct w:val="0"/>
        <w:bidi w:val="0"/>
        <w:spacing w:line="400" w:lineRule="exact"/>
        <w:ind w:firstLine="422" w:firstLineChars="200"/>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2.符合性审查不通过而导致投标无效的情形</w:t>
      </w:r>
    </w:p>
    <w:p w14:paraId="6D60402F">
      <w:pPr>
        <w:keepNext w:val="0"/>
        <w:keepLines w:val="0"/>
        <w:pageBreakBefore w:val="0"/>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投标人的投标文件中存在对招标文件的任何实质性要求和条件的负偏离，将被视为投标无效。</w:t>
      </w:r>
    </w:p>
    <w:p w14:paraId="60C0F860">
      <w:pPr>
        <w:keepNext w:val="0"/>
        <w:keepLines w:val="0"/>
        <w:pageBreakBefore w:val="0"/>
        <w:kinsoku/>
        <w:topLinePunct w:val="0"/>
        <w:bidi w:val="0"/>
        <w:spacing w:line="400" w:lineRule="exact"/>
        <w:ind w:firstLine="420" w:firstLineChars="200"/>
        <w:outlineLvl w:val="3"/>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2.1在报价评审时，如发现下列情形之一的，将被视为投标无效：</w:t>
      </w:r>
    </w:p>
    <w:p w14:paraId="77F5210B">
      <w:pPr>
        <w:keepNext w:val="0"/>
        <w:keepLines w:val="0"/>
        <w:pageBreakBefore w:val="0"/>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（1）报价文件未提供“投标人须知前附表”第13.1条规定中“必须提供”的文件资料的；</w:t>
      </w:r>
    </w:p>
    <w:p w14:paraId="18CF62F8">
      <w:pPr>
        <w:keepNext w:val="0"/>
        <w:keepLines w:val="0"/>
        <w:pageBreakBefore w:val="0"/>
        <w:kinsoku/>
        <w:topLinePunct w:val="0"/>
        <w:bidi w:val="0"/>
        <w:spacing w:line="400" w:lineRule="exact"/>
        <w:ind w:firstLine="420" w:firstLineChars="200"/>
        <w:outlineLvl w:val="4"/>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（2）未采用人民币报价或者未按照招标文件标明的币种报价的；</w:t>
      </w:r>
    </w:p>
    <w:p w14:paraId="0F124EE9">
      <w:pPr>
        <w:keepNext w:val="0"/>
        <w:keepLines w:val="0"/>
        <w:pageBreakBefore w:val="0"/>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（3）各</w:t>
      </w:r>
      <w:r>
        <w:rPr>
          <w:rFonts w:hint="eastAsia" w:ascii="宋体" w:hAnsi="宋体" w:eastAsia="宋体" w:cs="宋体"/>
          <w:strike w:val="0"/>
          <w:dstrike w:val="0"/>
          <w:color w:val="auto"/>
          <w:sz w:val="21"/>
          <w:szCs w:val="21"/>
          <w:highlight w:val="none"/>
          <w:lang w:val="en-US" w:eastAsia="zh-CN"/>
        </w:rPr>
        <w:t>分包</w:t>
      </w:r>
      <w:r>
        <w:rPr>
          <w:rFonts w:hint="eastAsia" w:ascii="宋体" w:hAnsi="宋体" w:eastAsia="宋体" w:cs="宋体"/>
          <w:strike w:val="0"/>
          <w:dstrike w:val="0"/>
          <w:color w:val="auto"/>
          <w:sz w:val="21"/>
          <w:szCs w:val="21"/>
          <w:highlight w:val="none"/>
        </w:rPr>
        <w:t>报价超出招标文件相应</w:t>
      </w:r>
      <w:r>
        <w:rPr>
          <w:rFonts w:hint="eastAsia" w:ascii="宋体" w:hAnsi="宋体" w:eastAsia="宋体" w:cs="宋体"/>
          <w:strike w:val="0"/>
          <w:dstrike w:val="0"/>
          <w:color w:val="auto"/>
          <w:sz w:val="21"/>
          <w:szCs w:val="21"/>
          <w:highlight w:val="none"/>
          <w:lang w:val="en-US" w:eastAsia="zh-CN"/>
        </w:rPr>
        <w:t>分包</w:t>
      </w:r>
      <w:r>
        <w:rPr>
          <w:rFonts w:hint="eastAsia" w:ascii="宋体" w:hAnsi="宋体" w:eastAsia="宋体" w:cs="宋体"/>
          <w:strike w:val="0"/>
          <w:dstrike w:val="0"/>
          <w:color w:val="auto"/>
          <w:sz w:val="21"/>
          <w:szCs w:val="21"/>
          <w:highlight w:val="none"/>
        </w:rPr>
        <w:t>规定最高限价，或者超出相应</w:t>
      </w:r>
      <w:r>
        <w:rPr>
          <w:rFonts w:hint="eastAsia" w:ascii="宋体" w:hAnsi="宋体" w:eastAsia="宋体" w:cs="宋体"/>
          <w:strike w:val="0"/>
          <w:dstrike w:val="0"/>
          <w:color w:val="auto"/>
          <w:sz w:val="21"/>
          <w:szCs w:val="21"/>
          <w:highlight w:val="none"/>
          <w:lang w:val="en-US" w:eastAsia="zh-CN"/>
        </w:rPr>
        <w:t>分包</w:t>
      </w:r>
      <w:r>
        <w:rPr>
          <w:rFonts w:hint="eastAsia" w:ascii="宋体" w:hAnsi="宋体" w:eastAsia="宋体" w:cs="宋体"/>
          <w:strike w:val="0"/>
          <w:dstrike w:val="0"/>
          <w:color w:val="auto"/>
          <w:sz w:val="21"/>
          <w:szCs w:val="21"/>
          <w:highlight w:val="none"/>
        </w:rPr>
        <w:t>采购预算金额的；</w:t>
      </w:r>
    </w:p>
    <w:p w14:paraId="45BE9240">
      <w:pPr>
        <w:keepNext w:val="0"/>
        <w:keepLines w:val="0"/>
        <w:pageBreakBefore w:val="0"/>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（4）投标人未就所投</w:t>
      </w:r>
      <w:r>
        <w:rPr>
          <w:rFonts w:hint="eastAsia" w:ascii="宋体" w:hAnsi="宋体" w:eastAsia="宋体" w:cs="宋体"/>
          <w:strike w:val="0"/>
          <w:dstrike w:val="0"/>
          <w:color w:val="auto"/>
          <w:sz w:val="21"/>
          <w:szCs w:val="21"/>
          <w:highlight w:val="none"/>
          <w:lang w:val="en-US" w:eastAsia="zh-CN"/>
        </w:rPr>
        <w:t>分包</w:t>
      </w:r>
      <w:r>
        <w:rPr>
          <w:rFonts w:hint="eastAsia" w:ascii="宋体" w:hAnsi="宋体" w:eastAsia="宋体" w:cs="宋体"/>
          <w:strike w:val="0"/>
          <w:dstrike w:val="0"/>
          <w:color w:val="auto"/>
          <w:sz w:val="21"/>
          <w:szCs w:val="21"/>
          <w:highlight w:val="none"/>
        </w:rPr>
        <w:t>进行报价或者存在漏项报价；投标人未就所投</w:t>
      </w:r>
      <w:r>
        <w:rPr>
          <w:rFonts w:hint="eastAsia" w:ascii="宋体" w:hAnsi="宋体" w:eastAsia="宋体" w:cs="宋体"/>
          <w:strike w:val="0"/>
          <w:dstrike w:val="0"/>
          <w:color w:val="auto"/>
          <w:sz w:val="21"/>
          <w:szCs w:val="21"/>
          <w:highlight w:val="none"/>
          <w:lang w:val="en-US" w:eastAsia="zh-CN"/>
        </w:rPr>
        <w:t>分包</w:t>
      </w:r>
      <w:r>
        <w:rPr>
          <w:rFonts w:hint="eastAsia" w:ascii="宋体" w:hAnsi="宋体" w:eastAsia="宋体" w:cs="宋体"/>
          <w:strike w:val="0"/>
          <w:dstrike w:val="0"/>
          <w:color w:val="auto"/>
          <w:sz w:val="21"/>
          <w:szCs w:val="21"/>
          <w:highlight w:val="none"/>
        </w:rPr>
        <w:t>的单项内容作唯一报价；投标人未就所投</w:t>
      </w:r>
      <w:r>
        <w:rPr>
          <w:rFonts w:hint="eastAsia" w:ascii="宋体" w:hAnsi="宋体" w:eastAsia="宋体" w:cs="宋体"/>
          <w:strike w:val="0"/>
          <w:dstrike w:val="0"/>
          <w:color w:val="auto"/>
          <w:sz w:val="21"/>
          <w:szCs w:val="21"/>
          <w:highlight w:val="none"/>
          <w:lang w:val="en-US" w:eastAsia="zh-CN"/>
        </w:rPr>
        <w:t>分包</w:t>
      </w:r>
      <w:r>
        <w:rPr>
          <w:rFonts w:hint="eastAsia" w:ascii="宋体" w:hAnsi="宋体" w:eastAsia="宋体" w:cs="宋体"/>
          <w:strike w:val="0"/>
          <w:dstrike w:val="0"/>
          <w:color w:val="auto"/>
          <w:sz w:val="21"/>
          <w:szCs w:val="21"/>
          <w:highlight w:val="none"/>
        </w:rPr>
        <w:t>的全部内容作完整唯一总价报价；存在有选择、有条件报价的（招标文件允许有备选方案或者其他约定的除外）；</w:t>
      </w:r>
    </w:p>
    <w:p w14:paraId="79041545">
      <w:pPr>
        <w:keepNext w:val="0"/>
        <w:keepLines w:val="0"/>
        <w:pageBreakBefore w:val="0"/>
        <w:kinsoku/>
        <w:topLinePunct w:val="0"/>
        <w:bidi w:val="0"/>
        <w:spacing w:line="400" w:lineRule="exact"/>
        <w:ind w:firstLine="420" w:firstLineChars="200"/>
        <w:outlineLvl w:val="4"/>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（5）修正后的报价，投标人不确认的；</w:t>
      </w:r>
    </w:p>
    <w:p w14:paraId="3043E694">
      <w:pPr>
        <w:keepNext w:val="0"/>
        <w:keepLines w:val="0"/>
        <w:pageBreakBefore w:val="0"/>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（6）投标人属于本章第5.1条（2）或者第5.2条（2）项情形的；</w:t>
      </w:r>
    </w:p>
    <w:p w14:paraId="0B267A4E">
      <w:pPr>
        <w:keepNext w:val="0"/>
        <w:keepLines w:val="0"/>
        <w:pageBreakBefore w:val="0"/>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（7）报价文件响应的标的数量及单位与招标文件要求实质性不一致的。</w:t>
      </w:r>
    </w:p>
    <w:p w14:paraId="7CA84F20">
      <w:pPr>
        <w:keepNext w:val="0"/>
        <w:keepLines w:val="0"/>
        <w:pageBreakBefore w:val="0"/>
        <w:kinsoku/>
        <w:topLinePunct w:val="0"/>
        <w:bidi w:val="0"/>
        <w:spacing w:line="400" w:lineRule="exact"/>
        <w:ind w:firstLine="420" w:firstLineChars="200"/>
        <w:outlineLvl w:val="3"/>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2.2在商务评审时，如发现下列情形之一的，将被视为投标无效：</w:t>
      </w:r>
    </w:p>
    <w:p w14:paraId="58F4D997">
      <w:pPr>
        <w:keepNext w:val="0"/>
        <w:keepLines w:val="0"/>
        <w:pageBreakBefore w:val="0"/>
        <w:kinsoku/>
        <w:topLinePunct w:val="0"/>
        <w:bidi w:val="0"/>
        <w:spacing w:line="400" w:lineRule="exact"/>
        <w:ind w:firstLine="420" w:firstLineChars="200"/>
        <w:outlineLvl w:val="4"/>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（1）投标文件未按招标文件要求签署、盖章的；</w:t>
      </w:r>
    </w:p>
    <w:p w14:paraId="07217CEB">
      <w:pPr>
        <w:keepNext w:val="0"/>
        <w:keepLines w:val="0"/>
        <w:pageBreakBefore w:val="0"/>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（2）委托代理人未能出具有效身份证或者出具的身份证与授权委托书中的信息不符的；</w:t>
      </w:r>
    </w:p>
    <w:p w14:paraId="6EE05C96">
      <w:pPr>
        <w:keepNext w:val="0"/>
        <w:keepLines w:val="0"/>
        <w:pageBreakBefore w:val="0"/>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（3）为无效投标保证金的或者未按照招标文件的规定提交投标保证金的；</w:t>
      </w:r>
    </w:p>
    <w:p w14:paraId="27822CE0">
      <w:pPr>
        <w:keepNext w:val="0"/>
        <w:keepLines w:val="0"/>
        <w:pageBreakBefore w:val="0"/>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（4）投标文件未提供“投标人须知前附表”第13.1条规定中“必须提供”或者“委托时必须提供”的文件资料的；</w:t>
      </w:r>
    </w:p>
    <w:p w14:paraId="7BBD58C9">
      <w:pPr>
        <w:keepNext w:val="0"/>
        <w:keepLines w:val="0"/>
        <w:pageBreakBefore w:val="0"/>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（5）商务要求评审允许负偏离的条款数超过“投标人须知前附表”规定项数的；</w:t>
      </w:r>
    </w:p>
    <w:p w14:paraId="4314976E">
      <w:pPr>
        <w:keepNext w:val="0"/>
        <w:keepLines w:val="0"/>
        <w:pageBreakBefore w:val="0"/>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（6）投标文件的实质性内容未使用中文表述、使用计量单位不符合招标文件要求的；</w:t>
      </w:r>
    </w:p>
    <w:p w14:paraId="07C13683">
      <w:pPr>
        <w:keepNext w:val="0"/>
        <w:keepLines w:val="0"/>
        <w:pageBreakBefore w:val="0"/>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（7）投标文件中的文件资料因填写不齐全或者内容虚假或者出现其他情形而导致被评标委员会认定无效的；</w:t>
      </w:r>
    </w:p>
    <w:p w14:paraId="2150CA01">
      <w:pPr>
        <w:keepNext w:val="0"/>
        <w:keepLines w:val="0"/>
        <w:pageBreakBefore w:val="0"/>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（8）投标文件含有采购人不能接受的附加条件的；</w:t>
      </w:r>
    </w:p>
    <w:p w14:paraId="5AEF3218">
      <w:pPr>
        <w:keepNext w:val="0"/>
        <w:keepLines w:val="0"/>
        <w:pageBreakBefore w:val="0"/>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（9）属于投标人须知正文第9.2条情形的；</w:t>
      </w:r>
    </w:p>
    <w:p w14:paraId="453FA70D">
      <w:pPr>
        <w:keepNext w:val="0"/>
        <w:keepLines w:val="0"/>
        <w:pageBreakBefore w:val="0"/>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（10）投标文件标注的项目名称或者项目编号与招标文件标注的项目名称或者项目编号不一致的；</w:t>
      </w:r>
    </w:p>
    <w:p w14:paraId="77E485CB">
      <w:pPr>
        <w:keepNext w:val="0"/>
        <w:keepLines w:val="0"/>
        <w:pageBreakBefore w:val="0"/>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（11）招标文件明确不允许分包，投标文件拟分包的；</w:t>
      </w:r>
    </w:p>
    <w:p w14:paraId="42BBC2CD">
      <w:pPr>
        <w:keepNext w:val="0"/>
        <w:keepLines w:val="0"/>
        <w:pageBreakBefore w:val="0"/>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（12）未响应招标文件实质性要求的；</w:t>
      </w:r>
    </w:p>
    <w:p w14:paraId="14A02AB1">
      <w:pPr>
        <w:keepNext w:val="0"/>
        <w:keepLines w:val="0"/>
        <w:pageBreakBefore w:val="0"/>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（13）</w:t>
      </w:r>
      <w:r>
        <w:rPr>
          <w:rFonts w:hint="eastAsia" w:ascii="宋体" w:hAnsi="宋体" w:eastAsia="宋体" w:cs="宋体"/>
          <w:strike w:val="0"/>
          <w:dstrike w:val="0"/>
          <w:color w:val="auto"/>
          <w:sz w:val="21"/>
          <w:szCs w:val="21"/>
          <w:highlight w:val="none"/>
          <w:lang w:eastAsia="zh-CN"/>
        </w:rPr>
        <w:t>法律法规</w:t>
      </w:r>
      <w:r>
        <w:rPr>
          <w:rFonts w:hint="eastAsia" w:ascii="宋体" w:hAnsi="宋体" w:eastAsia="宋体" w:cs="宋体"/>
          <w:strike w:val="0"/>
          <w:dstrike w:val="0"/>
          <w:color w:val="auto"/>
          <w:sz w:val="21"/>
          <w:szCs w:val="21"/>
          <w:highlight w:val="none"/>
        </w:rPr>
        <w:t>和招标文件规定的其他无效情形。</w:t>
      </w:r>
    </w:p>
    <w:p w14:paraId="25308A31">
      <w:pPr>
        <w:keepNext w:val="0"/>
        <w:keepLines w:val="0"/>
        <w:pageBreakBefore w:val="0"/>
        <w:kinsoku/>
        <w:topLinePunct w:val="0"/>
        <w:bidi w:val="0"/>
        <w:spacing w:line="400" w:lineRule="exact"/>
        <w:ind w:firstLine="420" w:firstLineChars="200"/>
        <w:outlineLvl w:val="3"/>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2.3在技术评审时，如发现下列情形之一的，将被视为投标无效：</w:t>
      </w:r>
    </w:p>
    <w:p w14:paraId="685C3C3D">
      <w:pPr>
        <w:keepNext w:val="0"/>
        <w:keepLines w:val="0"/>
        <w:pageBreakBefore w:val="0"/>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（1）技术要求评审允许负偏离的条款数超过“投标人须知前附表”规定项数的；</w:t>
      </w:r>
    </w:p>
    <w:p w14:paraId="71D1F2D3">
      <w:pPr>
        <w:keepNext w:val="0"/>
        <w:keepLines w:val="0"/>
        <w:pageBreakBefore w:val="0"/>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（2）投标文件未提供“投标人须知前附表”第13.1条规定中“必须提供”的文件资料的；</w:t>
      </w:r>
    </w:p>
    <w:p w14:paraId="2975CFDE">
      <w:pPr>
        <w:keepNext w:val="0"/>
        <w:keepLines w:val="0"/>
        <w:pageBreakBefore w:val="0"/>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（3）虚假投标，或者出现其他情形而导致被评标委员会认定无效的；</w:t>
      </w:r>
    </w:p>
    <w:p w14:paraId="6BF88679">
      <w:pPr>
        <w:keepNext w:val="0"/>
        <w:keepLines w:val="0"/>
        <w:pageBreakBefore w:val="0"/>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（4）招标文件未载明允许提供备选（替代）投标方案或明确不允许提供备选（替代）投标方案时，投标人提供了备选（替代）投标方案的；</w:t>
      </w:r>
    </w:p>
    <w:p w14:paraId="4C41DAF5">
      <w:pPr>
        <w:keepNext w:val="0"/>
        <w:keepLines w:val="0"/>
        <w:pageBreakBefore w:val="0"/>
        <w:kinsoku/>
        <w:topLinePunct w:val="0"/>
        <w:bidi w:val="0"/>
        <w:spacing w:line="400" w:lineRule="exact"/>
        <w:ind w:firstLine="420" w:firstLineChars="200"/>
        <w:outlineLvl w:val="4"/>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（5）未响应招标文件实质性要求的。</w:t>
      </w:r>
    </w:p>
    <w:p w14:paraId="4759DC93">
      <w:pPr>
        <w:keepNext w:val="0"/>
        <w:keepLines w:val="0"/>
        <w:pageBreakBefore w:val="0"/>
        <w:kinsoku/>
        <w:topLinePunct w:val="0"/>
        <w:bidi w:val="0"/>
        <w:spacing w:line="400" w:lineRule="exact"/>
        <w:ind w:firstLine="422" w:firstLineChars="200"/>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3.澄清补正</w:t>
      </w:r>
    </w:p>
    <w:p w14:paraId="36BDF365">
      <w:pPr>
        <w:keepNext w:val="0"/>
        <w:keepLines w:val="0"/>
        <w:pageBreakBefore w:val="0"/>
        <w:kinsoku/>
        <w:topLinePunct w:val="0"/>
        <w:bidi w:val="0"/>
        <w:spacing w:line="400" w:lineRule="exact"/>
        <w:ind w:firstLine="420" w:firstLineChars="200"/>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对投标文件中含义不明确、同类问题表述不一致或者有明显文字和计算错误的内容，评标委员会应在</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发布电子澄清函，要求投标人在规定时间内作出必要的澄清、说明或者补正。投标人在</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060BE354">
      <w:pPr>
        <w:keepNext w:val="0"/>
        <w:keepLines w:val="0"/>
        <w:pageBreakBefore w:val="0"/>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78E24D7D">
      <w:pPr>
        <w:keepNext w:val="0"/>
        <w:keepLines w:val="0"/>
        <w:pageBreakBefore w:val="0"/>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未按评标委员会的要求作出明确澄清、说明或者更正的投标人的投标文件将按照有利于采购人的原则由评标委员会进行判定。</w:t>
      </w:r>
    </w:p>
    <w:p w14:paraId="1E790961">
      <w:pPr>
        <w:pStyle w:val="7"/>
        <w:keepNext w:val="0"/>
        <w:keepLines w:val="0"/>
        <w:pageBreakBefore w:val="0"/>
        <w:kinsoku/>
        <w:topLinePunct w:val="0"/>
        <w:bidi w:val="0"/>
        <w:spacing w:before="0" w:after="0" w:line="400" w:lineRule="exact"/>
        <w:ind w:left="420" w:left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4.投标文件修正</w:t>
      </w:r>
    </w:p>
    <w:p w14:paraId="5165E231">
      <w:pPr>
        <w:pStyle w:val="7"/>
        <w:keepNext w:val="0"/>
        <w:keepLines w:val="0"/>
        <w:pageBreakBefore w:val="0"/>
        <w:kinsoku/>
        <w:topLinePunct w:val="0"/>
        <w:bidi w:val="0"/>
        <w:spacing w:before="0" w:after="0" w:line="400" w:lineRule="exact"/>
        <w:ind w:left="420" w:leftChars="200"/>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4.1投标文件报价出现前后不一致的，按照下列规定修正：</w:t>
      </w:r>
    </w:p>
    <w:p w14:paraId="05B59199">
      <w:pPr>
        <w:pStyle w:val="28"/>
        <w:keepNext w:val="0"/>
        <w:keepLines w:val="0"/>
        <w:pageBreakBefore w:val="0"/>
        <w:kinsoku/>
        <w:topLinePunct w:val="0"/>
        <w:bidi w:val="0"/>
        <w:snapToGrid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（1）投标文件中开标一览表（报价表）内容与投标文件中相应内容不一致的，以开标一览表（报价表）为准；</w:t>
      </w:r>
    </w:p>
    <w:p w14:paraId="4B5E04E4">
      <w:pPr>
        <w:pStyle w:val="28"/>
        <w:keepNext w:val="0"/>
        <w:keepLines w:val="0"/>
        <w:pageBreakBefore w:val="0"/>
        <w:kinsoku/>
        <w:topLinePunct w:val="0"/>
        <w:bidi w:val="0"/>
        <w:snapToGrid w:val="0"/>
        <w:spacing w:line="400" w:lineRule="exact"/>
        <w:ind w:firstLine="420" w:firstLineChars="200"/>
        <w:outlineLvl w:val="4"/>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（2）大写金额和小写金额不一致的，以大写金额为准；</w:t>
      </w:r>
    </w:p>
    <w:p w14:paraId="14A6CE42">
      <w:pPr>
        <w:pStyle w:val="28"/>
        <w:keepNext w:val="0"/>
        <w:keepLines w:val="0"/>
        <w:pageBreakBefore w:val="0"/>
        <w:kinsoku/>
        <w:topLinePunct w:val="0"/>
        <w:bidi w:val="0"/>
        <w:snapToGrid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（3）单价金额小数点或者百分比有明显错位的，以开标一览表的总价为准，并修改单价；</w:t>
      </w:r>
    </w:p>
    <w:p w14:paraId="4A8DF292">
      <w:pPr>
        <w:pStyle w:val="28"/>
        <w:keepNext w:val="0"/>
        <w:keepLines w:val="0"/>
        <w:pageBreakBefore w:val="0"/>
        <w:kinsoku/>
        <w:topLinePunct w:val="0"/>
        <w:bidi w:val="0"/>
        <w:snapToGrid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（4）总价金额与按单价汇总金额不一致的，以单价金额计算结果为准。</w:t>
      </w:r>
    </w:p>
    <w:p w14:paraId="082089EC">
      <w:pPr>
        <w:pStyle w:val="28"/>
        <w:keepNext w:val="0"/>
        <w:keepLines w:val="0"/>
        <w:pageBreakBefore w:val="0"/>
        <w:kinsoku/>
        <w:topLinePunct w:val="0"/>
        <w:bidi w:val="0"/>
        <w:snapToGrid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同时出现两种以上不一致的，按照以上（1）-（4）规定的顺序修正。修正后的报价经投标人确认后产生约束力，投标人不确认的，</w:t>
      </w:r>
      <w:r>
        <w:rPr>
          <w:rFonts w:hint="eastAsia" w:ascii="宋体" w:hAnsi="宋体" w:eastAsia="宋体" w:cs="宋体"/>
          <w:b/>
          <w:strike w:val="0"/>
          <w:dstrike w:val="0"/>
          <w:color w:val="auto"/>
          <w:kern w:val="2"/>
          <w:sz w:val="21"/>
          <w:szCs w:val="21"/>
          <w:highlight w:val="none"/>
        </w:rPr>
        <w:t>其投标无效</w:t>
      </w:r>
      <w:r>
        <w:rPr>
          <w:rFonts w:hint="eastAsia" w:ascii="宋体" w:hAnsi="宋体" w:eastAsia="宋体" w:cs="宋体"/>
          <w:strike w:val="0"/>
          <w:dstrike w:val="0"/>
          <w:color w:val="auto"/>
          <w:sz w:val="21"/>
          <w:szCs w:val="21"/>
          <w:highlight w:val="none"/>
        </w:rPr>
        <w:t>。</w:t>
      </w:r>
    </w:p>
    <w:p w14:paraId="1413551A">
      <w:pPr>
        <w:pStyle w:val="7"/>
        <w:keepNext w:val="0"/>
        <w:keepLines w:val="0"/>
        <w:pageBreakBefore w:val="0"/>
        <w:kinsoku/>
        <w:topLinePunct w:val="0"/>
        <w:bidi w:val="0"/>
        <w:spacing w:before="0" w:after="0" w:line="400" w:lineRule="exac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 xml:space="preserve">    4.2经投标人确认修正后的报价若超过采购预算金额或者最高限价，</w:t>
      </w:r>
      <w:r>
        <w:rPr>
          <w:rFonts w:hint="eastAsia" w:ascii="宋体" w:hAnsi="宋体" w:eastAsia="宋体" w:cs="宋体"/>
          <w:strike w:val="0"/>
          <w:dstrike w:val="0"/>
          <w:color w:val="auto"/>
          <w:sz w:val="21"/>
          <w:szCs w:val="21"/>
          <w:highlight w:val="none"/>
        </w:rPr>
        <w:t>投标人的投标文件作无效投标处理</w:t>
      </w:r>
      <w:r>
        <w:rPr>
          <w:rFonts w:hint="eastAsia" w:ascii="宋体" w:hAnsi="宋体" w:eastAsia="宋体" w:cs="宋体"/>
          <w:b w:val="0"/>
          <w:strike w:val="0"/>
          <w:dstrike w:val="0"/>
          <w:color w:val="auto"/>
          <w:sz w:val="21"/>
          <w:szCs w:val="21"/>
          <w:highlight w:val="none"/>
        </w:rPr>
        <w:t>。</w:t>
      </w:r>
    </w:p>
    <w:p w14:paraId="3C55A390">
      <w:pPr>
        <w:keepNext w:val="0"/>
        <w:keepLines w:val="0"/>
        <w:pageBreakBefore w:val="0"/>
        <w:kinsoku/>
        <w:topLinePunct w:val="0"/>
        <w:bidi w:val="0"/>
        <w:snapToGrid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4.3经投标人确认修正后的报价作为签订合同的依据，并以此报价计算价格分。</w:t>
      </w:r>
    </w:p>
    <w:p w14:paraId="201F0CC2">
      <w:pPr>
        <w:pStyle w:val="7"/>
        <w:keepNext w:val="0"/>
        <w:keepLines w:val="0"/>
        <w:pageBreakBefore w:val="0"/>
        <w:kinsoku/>
        <w:topLinePunct w:val="0"/>
        <w:bidi w:val="0"/>
        <w:spacing w:before="0" w:after="0" w:line="400" w:lineRule="exact"/>
        <w:ind w:left="420" w:left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5.比较与评价</w:t>
      </w:r>
    </w:p>
    <w:p w14:paraId="10387EEA">
      <w:pPr>
        <w:keepNext w:val="0"/>
        <w:keepLines w:val="0"/>
        <w:pageBreakBefore w:val="0"/>
        <w:kinsoku/>
        <w:topLinePunct w:val="0"/>
        <w:bidi w:val="0"/>
        <w:snapToGrid w:val="0"/>
        <w:spacing w:line="400" w:lineRule="exact"/>
        <w:ind w:firstLine="420" w:firstLineChars="200"/>
        <w:outlineLvl w:val="3"/>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5.1采用综合评分法的</w:t>
      </w:r>
    </w:p>
    <w:p w14:paraId="452798DF">
      <w:pPr>
        <w:keepNext w:val="0"/>
        <w:keepLines w:val="0"/>
        <w:pageBreakBefore w:val="0"/>
        <w:kinsoku/>
        <w:topLinePunct w:val="0"/>
        <w:bidi w:val="0"/>
        <w:snapToGrid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评审委员会成员要根据政府采购法律法规和采购文件所载明的评审方法、标准进行评审。对投标人的价格分等客观评分项的评分应当一致，对其他需要借助专业知识评判的主观评分项，应当严格按照评分细则公正评分。</w:t>
      </w:r>
    </w:p>
    <w:p w14:paraId="022C39C3">
      <w:pPr>
        <w:keepNext w:val="0"/>
        <w:keepLines w:val="0"/>
        <w:pageBreakBefore w:val="0"/>
        <w:kinsoku/>
        <w:topLinePunct w:val="0"/>
        <w:bidi w:val="0"/>
        <w:snapToGrid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（2）评标委员会独立对每个投标人的投标文件进行评价，并汇总每个投标人的得分。</w:t>
      </w:r>
    </w:p>
    <w:p w14:paraId="5E2ED719">
      <w:pPr>
        <w:keepNext w:val="0"/>
        <w:keepLines w:val="0"/>
        <w:pageBreakBefore w:val="0"/>
        <w:kinsoku/>
        <w:topLinePunct w:val="0"/>
        <w:bidi w:val="0"/>
        <w:snapToGrid w:val="0"/>
        <w:spacing w:line="400" w:lineRule="exact"/>
        <w:ind w:firstLine="422"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b/>
          <w:bCs/>
          <w:strike w:val="0"/>
          <w:dstrike w:val="0"/>
          <w:color w:val="auto"/>
          <w:kern w:val="0"/>
          <w:sz w:val="21"/>
          <w:szCs w:val="21"/>
          <w:highlight w:val="none"/>
        </w:rPr>
        <w:t>为了确保采购质量和维护公平的竞争，根据《中华人民共和国政府采购法》第七十七条和《中华人民共和国反不正当竞争法》第十一条，经营者不得以排挤对手为目的，以低于成本的价格销售商品（服务）。采购人不能接受</w:t>
      </w:r>
      <w:r>
        <w:rPr>
          <w:rFonts w:hint="eastAsia" w:ascii="宋体" w:hAnsi="宋体" w:eastAsia="宋体" w:cs="宋体"/>
          <w:b/>
          <w:bCs/>
          <w:strike w:val="0"/>
          <w:dstrike w:val="0"/>
          <w:color w:val="auto"/>
          <w:kern w:val="0"/>
          <w:sz w:val="21"/>
          <w:szCs w:val="21"/>
          <w:highlight w:val="none"/>
          <w:lang w:eastAsia="zh-CN"/>
        </w:rPr>
        <w:t>投标人</w:t>
      </w:r>
      <w:r>
        <w:rPr>
          <w:rFonts w:hint="eastAsia" w:ascii="宋体" w:hAnsi="宋体" w:eastAsia="宋体" w:cs="宋体"/>
          <w:b/>
          <w:bCs/>
          <w:strike w:val="0"/>
          <w:dstrike w:val="0"/>
          <w:color w:val="auto"/>
          <w:kern w:val="0"/>
          <w:sz w:val="21"/>
          <w:szCs w:val="21"/>
          <w:highlight w:val="none"/>
        </w:rPr>
        <w:t>的恶意低价的竞争。</w:t>
      </w:r>
      <w:r>
        <w:rPr>
          <w:rFonts w:hint="eastAsia" w:ascii="宋体" w:hAnsi="宋体" w:eastAsia="宋体" w:cs="宋体"/>
          <w:b/>
          <w:bCs/>
          <w:strike w:val="0"/>
          <w:dstrike w:val="0"/>
          <w:color w:val="auto"/>
          <w:sz w:val="21"/>
          <w:szCs w:val="21"/>
          <w:highlight w:val="none"/>
        </w:rPr>
        <w:t>评标委员会认为投标人的报价明显低于其他通过符合性审查投标人的报价，有可能影响产品、服务质量或者不能诚信履约的，应当要求其在评标现场合理的时间内提供书面说明，必要时提交相关证明材料；</w:t>
      </w:r>
      <w:r>
        <w:rPr>
          <w:rFonts w:hint="eastAsia" w:ascii="宋体" w:hAnsi="宋体" w:eastAsia="宋体" w:cs="宋体"/>
          <w:b/>
          <w:strike w:val="0"/>
          <w:dstrike w:val="0"/>
          <w:color w:val="auto"/>
          <w:sz w:val="21"/>
          <w:szCs w:val="21"/>
          <w:highlight w:val="none"/>
        </w:rPr>
        <w:t>投标人不能证明其报价合理性的，评标委员会将其作为无效投标处理</w:t>
      </w:r>
      <w:r>
        <w:rPr>
          <w:rFonts w:hint="eastAsia" w:ascii="宋体" w:hAnsi="宋体" w:eastAsia="宋体" w:cs="宋体"/>
          <w:strike w:val="0"/>
          <w:dstrike w:val="0"/>
          <w:color w:val="auto"/>
          <w:sz w:val="21"/>
          <w:szCs w:val="21"/>
          <w:highlight w:val="none"/>
        </w:rPr>
        <w:t>。</w:t>
      </w:r>
    </w:p>
    <w:p w14:paraId="6BC1EF22">
      <w:pPr>
        <w:keepNext w:val="0"/>
        <w:keepLines w:val="0"/>
        <w:pageBreakBefore w:val="0"/>
        <w:kinsoku/>
        <w:topLinePunct w:val="0"/>
        <w:bidi w:val="0"/>
        <w:snapToGrid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（3）评标委员会按照招标文件中规定的评标方法和标准计算各投标人的报价得分。在计算过程中，不得去掉最高报价或者最低报价。</w:t>
      </w:r>
    </w:p>
    <w:p w14:paraId="40DB544E">
      <w:pPr>
        <w:keepNext w:val="0"/>
        <w:keepLines w:val="0"/>
        <w:pageBreakBefore w:val="0"/>
        <w:kinsoku/>
        <w:topLinePunct w:val="0"/>
        <w:bidi w:val="0"/>
        <w:snapToGrid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（4）各投标人的得分为所有评委的有效评分的算术平均数。</w:t>
      </w:r>
    </w:p>
    <w:p w14:paraId="2528150F">
      <w:pPr>
        <w:keepNext w:val="0"/>
        <w:keepLines w:val="0"/>
        <w:pageBreakBefore w:val="0"/>
        <w:kinsoku/>
        <w:topLinePunct w:val="0"/>
        <w:bidi w:val="0"/>
        <w:snapToGrid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（5）评标委员会按照招标文件中的规定推荐中标候选人。</w:t>
      </w:r>
    </w:p>
    <w:p w14:paraId="029EA863">
      <w:pPr>
        <w:keepNext w:val="0"/>
        <w:keepLines w:val="0"/>
        <w:pageBreakBefore w:val="0"/>
        <w:kinsoku/>
        <w:topLinePunct w:val="0"/>
        <w:bidi w:val="0"/>
        <w:snapToGrid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5916D0E7">
      <w:pPr>
        <w:keepNext w:val="0"/>
        <w:keepLines w:val="0"/>
        <w:widowControl/>
        <w:suppressLineNumbers w:val="0"/>
        <w:snapToGrid w:val="0"/>
        <w:spacing w:line="400" w:lineRule="exact"/>
        <w:ind w:firstLine="422" w:firstLineChars="200"/>
        <w:jc w:val="left"/>
        <w:rPr>
          <w:rFonts w:hint="eastAsia" w:ascii="宋体" w:hAnsi="宋体" w:cs="宋体"/>
          <w:b/>
          <w:bCs/>
          <w:color w:val="auto"/>
          <w:szCs w:val="21"/>
          <w:highlight w:val="none"/>
        </w:rPr>
      </w:pPr>
      <w:r>
        <w:rPr>
          <w:rFonts w:hint="eastAsia" w:ascii="宋体" w:hAnsi="宋体" w:cs="宋体"/>
          <w:b/>
          <w:bCs/>
          <w:strike w:val="0"/>
          <w:dstrike w:val="0"/>
          <w:color w:val="auto"/>
          <w:sz w:val="21"/>
          <w:szCs w:val="21"/>
          <w:highlight w:val="none"/>
          <w:lang w:val="en-US" w:eastAsia="zh-CN"/>
        </w:rPr>
        <w:t>6.</w:t>
      </w:r>
      <w:r>
        <w:rPr>
          <w:rFonts w:hint="eastAsia" w:ascii="宋体" w:hAnsi="宋体" w:eastAsia="宋体" w:cs="宋体"/>
          <w:b/>
          <w:bCs/>
          <w:color w:val="auto"/>
          <w:kern w:val="2"/>
          <w:sz w:val="21"/>
          <w:szCs w:val="21"/>
          <w:highlight w:val="none"/>
          <w:lang w:val="en-US" w:eastAsia="zh-CN" w:bidi="ar"/>
        </w:rPr>
        <w:t>异常低价审查</w:t>
      </w:r>
    </w:p>
    <w:p w14:paraId="60DEF6AF">
      <w:pPr>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400" w:lineRule="exact"/>
        <w:ind w:left="0" w:right="0" w:firstLine="420" w:firstLineChars="200"/>
        <w:jc w:val="left"/>
        <w:textAlignment w:val="auto"/>
        <w:rPr>
          <w:rFonts w:hint="eastAsia" w:ascii="宋体" w:hAnsi="宋体" w:cs="宋体"/>
          <w:i w:val="0"/>
          <w:iCs w:val="0"/>
          <w:caps w:val="0"/>
          <w:color w:val="auto"/>
          <w:spacing w:val="0"/>
          <w:sz w:val="21"/>
          <w:szCs w:val="21"/>
          <w:highlight w:val="none"/>
        </w:rPr>
      </w:pPr>
      <w:r>
        <w:rPr>
          <w:rFonts w:hint="eastAsia" w:ascii="宋体" w:hAnsi="宋体" w:cs="宋体"/>
          <w:color w:val="auto"/>
          <w:kern w:val="2"/>
          <w:sz w:val="21"/>
          <w:szCs w:val="21"/>
          <w:highlight w:val="none"/>
          <w:lang w:val="en-US" w:eastAsia="zh-CN" w:bidi="ar"/>
        </w:rPr>
        <w:t>6.1</w:t>
      </w:r>
      <w:r>
        <w:rPr>
          <w:rFonts w:hint="eastAsia" w:ascii="宋体" w:hAnsi="宋体" w:eastAsia="宋体" w:cs="宋体"/>
          <w:color w:val="auto"/>
          <w:kern w:val="2"/>
          <w:sz w:val="21"/>
          <w:szCs w:val="21"/>
          <w:highlight w:val="none"/>
          <w:lang w:val="en-US" w:eastAsia="zh-CN" w:bidi="ar"/>
        </w:rPr>
        <w:t>根据《关于推动解决政府采购异常低价问题的通知》(财库〔2026〕2号)规定，政府采购评审中出现异常低价</w:t>
      </w:r>
      <w:r>
        <w:rPr>
          <w:rFonts w:hint="eastAsia" w:ascii="宋体" w:hAnsi="宋体" w:eastAsia="宋体" w:cs="宋体"/>
          <w:i w:val="0"/>
          <w:iCs w:val="0"/>
          <w:caps w:val="0"/>
          <w:color w:val="auto"/>
          <w:spacing w:val="0"/>
          <w:kern w:val="2"/>
          <w:sz w:val="21"/>
          <w:szCs w:val="21"/>
          <w:highlight w:val="none"/>
          <w:shd w:val="clear"/>
          <w:vertAlign w:val="baseline"/>
          <w:lang w:val="en-US" w:eastAsia="zh-CN" w:bidi="ar"/>
        </w:rPr>
        <w:t>下列情形之一的</w:t>
      </w:r>
      <w:r>
        <w:rPr>
          <w:rFonts w:hint="eastAsia" w:ascii="宋体" w:hAnsi="宋体" w:eastAsia="宋体" w:cs="宋体"/>
          <w:color w:val="auto"/>
          <w:kern w:val="2"/>
          <w:sz w:val="21"/>
          <w:szCs w:val="21"/>
          <w:highlight w:val="none"/>
          <w:lang w:val="en-US" w:eastAsia="zh-CN" w:bidi="ar"/>
        </w:rPr>
        <w:t>，评</w:t>
      </w:r>
      <w:r>
        <w:rPr>
          <w:rFonts w:hint="eastAsia" w:ascii="宋体" w:hAnsi="宋体" w:cs="宋体"/>
          <w:color w:val="auto"/>
          <w:kern w:val="2"/>
          <w:sz w:val="21"/>
          <w:szCs w:val="21"/>
          <w:highlight w:val="none"/>
          <w:lang w:val="en-US" w:eastAsia="zh-CN" w:bidi="ar"/>
        </w:rPr>
        <w:t>审</w:t>
      </w:r>
      <w:r>
        <w:rPr>
          <w:rFonts w:hint="eastAsia" w:ascii="宋体" w:hAnsi="宋体" w:eastAsia="宋体" w:cs="宋体"/>
          <w:color w:val="auto"/>
          <w:kern w:val="2"/>
          <w:sz w:val="21"/>
          <w:szCs w:val="21"/>
          <w:highlight w:val="none"/>
          <w:lang w:val="en-US" w:eastAsia="zh-CN" w:bidi="ar"/>
        </w:rPr>
        <w:t>委员会应当启动异常低价投标审查程序</w:t>
      </w:r>
      <w:r>
        <w:rPr>
          <w:rFonts w:hint="eastAsia" w:ascii="宋体" w:hAnsi="宋体" w:eastAsia="宋体" w:cs="宋体"/>
          <w:i w:val="0"/>
          <w:iCs w:val="0"/>
          <w:caps w:val="0"/>
          <w:color w:val="auto"/>
          <w:spacing w:val="0"/>
          <w:kern w:val="2"/>
          <w:sz w:val="21"/>
          <w:szCs w:val="21"/>
          <w:highlight w:val="none"/>
          <w:shd w:val="clear"/>
          <w:vertAlign w:val="baseline"/>
          <w:lang w:val="en-US" w:eastAsia="zh-CN" w:bidi="ar"/>
        </w:rPr>
        <w:t>：</w:t>
      </w:r>
    </w:p>
    <w:p w14:paraId="2682D7D4">
      <w:pPr>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400" w:lineRule="exact"/>
        <w:ind w:left="0" w:right="0" w:firstLine="420" w:firstLineChars="200"/>
        <w:jc w:val="left"/>
        <w:textAlignment w:val="auto"/>
        <w:rPr>
          <w:rFonts w:hint="eastAsia" w:ascii="宋体" w:hAnsi="宋体" w:cs="宋体"/>
          <w:i w:val="0"/>
          <w:iCs w:val="0"/>
          <w:caps w:val="0"/>
          <w:color w:val="auto"/>
          <w:spacing w:val="0"/>
          <w:sz w:val="21"/>
          <w:szCs w:val="21"/>
          <w:highlight w:val="none"/>
        </w:rPr>
      </w:pPr>
      <w:r>
        <w:rPr>
          <w:rFonts w:hint="eastAsia" w:ascii="宋体" w:hAnsi="宋体" w:cs="宋体"/>
          <w:i w:val="0"/>
          <w:iCs w:val="0"/>
          <w:caps w:val="0"/>
          <w:color w:val="auto"/>
          <w:spacing w:val="0"/>
          <w:kern w:val="2"/>
          <w:sz w:val="21"/>
          <w:szCs w:val="21"/>
          <w:highlight w:val="none"/>
          <w:shd w:val="clear"/>
          <w:vertAlign w:val="baseline"/>
          <w:lang w:val="en-US" w:eastAsia="zh-CN" w:bidi="ar"/>
        </w:rPr>
        <w:t>（1）</w:t>
      </w:r>
      <w:r>
        <w:rPr>
          <w:rFonts w:hint="eastAsia" w:ascii="宋体" w:hAnsi="宋体" w:eastAsia="宋体" w:cs="宋体"/>
          <w:i w:val="0"/>
          <w:iCs w:val="0"/>
          <w:caps w:val="0"/>
          <w:color w:val="auto"/>
          <w:spacing w:val="0"/>
          <w:kern w:val="2"/>
          <w:sz w:val="21"/>
          <w:szCs w:val="21"/>
          <w:highlight w:val="none"/>
          <w:shd w:val="clear"/>
          <w:vertAlign w:val="baseline"/>
          <w:lang w:val="en-US" w:eastAsia="zh-CN" w:bidi="ar"/>
        </w:rPr>
        <w:t>投标（响应）报价低于全部通过符合性审查供应商投标（响应）报价平均值50%的，即投标（响应）报价&lt;全部通过符合性审查供应商投标（响应）报价平均值×50%；</w:t>
      </w:r>
    </w:p>
    <w:p w14:paraId="3903B7F8">
      <w:pPr>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400" w:lineRule="exact"/>
        <w:ind w:left="0" w:right="0" w:firstLine="420" w:firstLineChars="200"/>
        <w:jc w:val="left"/>
        <w:textAlignment w:val="auto"/>
        <w:rPr>
          <w:rFonts w:hint="eastAsia" w:ascii="宋体" w:hAnsi="宋体" w:cs="宋体"/>
          <w:i w:val="0"/>
          <w:iCs w:val="0"/>
          <w:caps w:val="0"/>
          <w:color w:val="auto"/>
          <w:spacing w:val="0"/>
          <w:sz w:val="21"/>
          <w:szCs w:val="21"/>
          <w:highlight w:val="none"/>
        </w:rPr>
      </w:pPr>
      <w:r>
        <w:rPr>
          <w:rFonts w:hint="eastAsia" w:ascii="宋体" w:hAnsi="宋体" w:cs="宋体"/>
          <w:i w:val="0"/>
          <w:iCs w:val="0"/>
          <w:caps w:val="0"/>
          <w:color w:val="auto"/>
          <w:spacing w:val="0"/>
          <w:kern w:val="2"/>
          <w:sz w:val="21"/>
          <w:szCs w:val="21"/>
          <w:highlight w:val="none"/>
          <w:shd w:val="clear"/>
          <w:vertAlign w:val="baseline"/>
          <w:lang w:val="en-US" w:eastAsia="zh-CN" w:bidi="ar"/>
        </w:rPr>
        <w:t>（2）</w:t>
      </w:r>
      <w:r>
        <w:rPr>
          <w:rFonts w:hint="eastAsia" w:ascii="宋体" w:hAnsi="宋体" w:eastAsia="宋体" w:cs="宋体"/>
          <w:i w:val="0"/>
          <w:iCs w:val="0"/>
          <w:caps w:val="0"/>
          <w:color w:val="auto"/>
          <w:spacing w:val="0"/>
          <w:kern w:val="2"/>
          <w:sz w:val="21"/>
          <w:szCs w:val="21"/>
          <w:highlight w:val="none"/>
          <w:shd w:val="clear"/>
          <w:vertAlign w:val="baseline"/>
          <w:lang w:val="en-US" w:eastAsia="zh-CN" w:bidi="ar"/>
        </w:rPr>
        <w:t>投标（响应）报价低于通过符合性审查的次低报价供应商投标（响应）报价50%的，即投标（响应）报价&lt;通过符合性审查的次低报价供应商投标（响应）报价×50%；</w:t>
      </w:r>
    </w:p>
    <w:p w14:paraId="6BB47523">
      <w:pPr>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400" w:lineRule="exact"/>
        <w:ind w:left="0" w:right="0" w:firstLine="420" w:firstLineChars="200"/>
        <w:jc w:val="left"/>
        <w:textAlignment w:val="auto"/>
        <w:rPr>
          <w:rFonts w:hint="eastAsia" w:ascii="宋体" w:hAnsi="宋体" w:cs="宋体"/>
          <w:i w:val="0"/>
          <w:iCs w:val="0"/>
          <w:caps w:val="0"/>
          <w:color w:val="auto"/>
          <w:spacing w:val="0"/>
          <w:sz w:val="21"/>
          <w:szCs w:val="21"/>
          <w:highlight w:val="none"/>
        </w:rPr>
      </w:pPr>
      <w:r>
        <w:rPr>
          <w:rFonts w:hint="eastAsia" w:ascii="宋体" w:hAnsi="宋体" w:cs="宋体"/>
          <w:i w:val="0"/>
          <w:iCs w:val="0"/>
          <w:caps w:val="0"/>
          <w:color w:val="auto"/>
          <w:spacing w:val="0"/>
          <w:kern w:val="2"/>
          <w:sz w:val="21"/>
          <w:szCs w:val="21"/>
          <w:highlight w:val="none"/>
          <w:shd w:val="clear"/>
          <w:vertAlign w:val="baseline"/>
          <w:lang w:val="en-US" w:eastAsia="zh-CN" w:bidi="ar"/>
        </w:rPr>
        <w:t>（3）</w:t>
      </w:r>
      <w:r>
        <w:rPr>
          <w:rFonts w:hint="eastAsia" w:ascii="宋体" w:hAnsi="宋体" w:eastAsia="宋体" w:cs="宋体"/>
          <w:i w:val="0"/>
          <w:iCs w:val="0"/>
          <w:caps w:val="0"/>
          <w:color w:val="auto"/>
          <w:spacing w:val="0"/>
          <w:kern w:val="2"/>
          <w:sz w:val="21"/>
          <w:szCs w:val="21"/>
          <w:highlight w:val="none"/>
          <w:shd w:val="clear"/>
          <w:vertAlign w:val="baseline"/>
          <w:lang w:val="en-US" w:eastAsia="zh-CN" w:bidi="ar"/>
        </w:rPr>
        <w:t>投标（响应）报价低于采购项目最高限价45%的，即投标（响应）报价&lt;采购项目最高限价×45%；</w:t>
      </w:r>
    </w:p>
    <w:p w14:paraId="3ADA79D8">
      <w:pPr>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400" w:lineRule="exact"/>
        <w:ind w:left="0" w:right="0" w:firstLine="420" w:firstLineChars="200"/>
        <w:jc w:val="left"/>
        <w:textAlignment w:val="auto"/>
        <w:rPr>
          <w:rFonts w:hint="eastAsia" w:ascii="宋体" w:hAnsi="宋体" w:cs="宋体"/>
          <w:i w:val="0"/>
          <w:iCs w:val="0"/>
          <w:caps w:val="0"/>
          <w:color w:val="auto"/>
          <w:spacing w:val="0"/>
          <w:sz w:val="21"/>
          <w:szCs w:val="21"/>
          <w:highlight w:val="none"/>
        </w:rPr>
      </w:pPr>
      <w:r>
        <w:rPr>
          <w:rFonts w:hint="eastAsia" w:ascii="宋体" w:hAnsi="宋体" w:cs="宋体"/>
          <w:i w:val="0"/>
          <w:iCs w:val="0"/>
          <w:caps w:val="0"/>
          <w:color w:val="auto"/>
          <w:spacing w:val="0"/>
          <w:kern w:val="2"/>
          <w:sz w:val="21"/>
          <w:szCs w:val="21"/>
          <w:highlight w:val="none"/>
          <w:shd w:val="clear"/>
          <w:vertAlign w:val="baseline"/>
          <w:lang w:val="en-US" w:eastAsia="zh-CN" w:bidi="ar"/>
        </w:rPr>
        <w:t>（4）</w:t>
      </w:r>
      <w:r>
        <w:rPr>
          <w:rFonts w:hint="eastAsia" w:ascii="宋体" w:hAnsi="宋体" w:eastAsia="宋体" w:cs="宋体"/>
          <w:i w:val="0"/>
          <w:iCs w:val="0"/>
          <w:caps w:val="0"/>
          <w:color w:val="auto"/>
          <w:spacing w:val="0"/>
          <w:kern w:val="2"/>
          <w:sz w:val="21"/>
          <w:szCs w:val="21"/>
          <w:highlight w:val="none"/>
          <w:shd w:val="clear"/>
          <w:vertAlign w:val="baseline"/>
          <w:lang w:val="en-US" w:eastAsia="zh-CN" w:bidi="ar"/>
        </w:rPr>
        <w:t>评审委员会基于专业判断，认为供应商报价过低，有可能影响产品质量或者不能诚信履约的其他情形。</w:t>
      </w:r>
    </w:p>
    <w:p w14:paraId="3C5FA14D">
      <w:pPr>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400" w:lineRule="exact"/>
        <w:ind w:left="0" w:right="0" w:firstLine="420" w:firstLineChars="200"/>
        <w:jc w:val="left"/>
        <w:textAlignment w:val="auto"/>
        <w:rPr>
          <w:rFonts w:hint="eastAsia" w:ascii="宋体" w:hAnsi="宋体" w:cs="宋体"/>
          <w:i w:val="0"/>
          <w:iCs w:val="0"/>
          <w:caps w:val="0"/>
          <w:color w:val="auto"/>
          <w:spacing w:val="0"/>
          <w:sz w:val="21"/>
          <w:szCs w:val="21"/>
          <w:highlight w:val="none"/>
        </w:rPr>
      </w:pPr>
      <w:r>
        <w:rPr>
          <w:rFonts w:hint="eastAsia" w:ascii="宋体" w:hAnsi="宋体" w:cs="宋体"/>
          <w:i w:val="0"/>
          <w:iCs w:val="0"/>
          <w:caps w:val="0"/>
          <w:color w:val="auto"/>
          <w:spacing w:val="0"/>
          <w:kern w:val="2"/>
          <w:sz w:val="21"/>
          <w:szCs w:val="21"/>
          <w:highlight w:val="none"/>
          <w:shd w:val="clear"/>
          <w:vertAlign w:val="baseline"/>
          <w:lang w:val="en-US" w:eastAsia="zh-CN" w:bidi="ar"/>
        </w:rPr>
        <w:t>（5）</w:t>
      </w:r>
      <w:r>
        <w:rPr>
          <w:rFonts w:hint="eastAsia" w:ascii="宋体" w:hAnsi="宋体" w:eastAsia="宋体" w:cs="宋体"/>
          <w:i w:val="0"/>
          <w:iCs w:val="0"/>
          <w:caps w:val="0"/>
          <w:color w:val="auto"/>
          <w:spacing w:val="0"/>
          <w:kern w:val="2"/>
          <w:sz w:val="21"/>
          <w:szCs w:val="21"/>
          <w:highlight w:val="none"/>
          <w:shd w:val="clear"/>
          <w:vertAlign w:val="baseline"/>
          <w:lang w:val="en-US" w:eastAsia="zh-CN" w:bidi="ar"/>
        </w:rPr>
        <w:t>相关法律法规对供应商报价有规定的，从其规定。</w:t>
      </w:r>
    </w:p>
    <w:p w14:paraId="4F9A5181">
      <w:pPr>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400" w:lineRule="exact"/>
        <w:ind w:left="0" w:right="0" w:firstLine="420" w:firstLineChars="200"/>
        <w:jc w:val="left"/>
        <w:textAlignment w:val="auto"/>
        <w:rPr>
          <w:rFonts w:hint="eastAsia" w:ascii="宋体" w:hAnsi="宋体" w:cs="宋体"/>
          <w:i w:val="0"/>
          <w:iCs w:val="0"/>
          <w:caps w:val="0"/>
          <w:color w:val="auto"/>
          <w:spacing w:val="0"/>
          <w:sz w:val="21"/>
          <w:szCs w:val="21"/>
          <w:highlight w:val="none"/>
        </w:rPr>
      </w:pPr>
      <w:r>
        <w:rPr>
          <w:rFonts w:hint="eastAsia" w:ascii="宋体" w:hAnsi="宋体" w:cs="宋体"/>
          <w:i w:val="0"/>
          <w:iCs w:val="0"/>
          <w:caps w:val="0"/>
          <w:color w:val="auto"/>
          <w:spacing w:val="0"/>
          <w:kern w:val="2"/>
          <w:sz w:val="21"/>
          <w:szCs w:val="21"/>
          <w:highlight w:val="none"/>
          <w:shd w:val="clear"/>
          <w:vertAlign w:val="baseline"/>
          <w:lang w:val="en-US" w:eastAsia="zh-CN" w:bidi="ar"/>
        </w:rPr>
        <w:t>6.2资料要求:</w:t>
      </w:r>
      <w:r>
        <w:rPr>
          <w:rFonts w:hint="eastAsia" w:ascii="宋体" w:hAnsi="宋体" w:eastAsia="宋体" w:cs="宋体"/>
          <w:i w:val="0"/>
          <w:iCs w:val="0"/>
          <w:caps w:val="0"/>
          <w:color w:val="auto"/>
          <w:spacing w:val="0"/>
          <w:kern w:val="2"/>
          <w:sz w:val="21"/>
          <w:szCs w:val="21"/>
          <w:highlight w:val="none"/>
          <w:shd w:val="clear"/>
          <w:vertAlign w:val="baseline"/>
          <w:lang w:val="en-US" w:eastAsia="zh-CN" w:bidi="ar"/>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654F758">
      <w:pPr>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400" w:lineRule="exact"/>
        <w:ind w:left="0" w:right="0" w:firstLine="420" w:firstLineChars="200"/>
        <w:jc w:val="left"/>
        <w:textAlignment w:val="auto"/>
        <w:rPr>
          <w:rFonts w:hint="eastAsia" w:ascii="宋体" w:hAnsi="宋体" w:cs="宋体"/>
          <w:i w:val="0"/>
          <w:iCs w:val="0"/>
          <w:caps w:val="0"/>
          <w:color w:val="auto"/>
          <w:spacing w:val="0"/>
          <w:sz w:val="21"/>
          <w:szCs w:val="21"/>
          <w:highlight w:val="none"/>
        </w:rPr>
      </w:pPr>
      <w:r>
        <w:rPr>
          <w:rFonts w:hint="eastAsia" w:ascii="宋体" w:hAnsi="宋体" w:cs="宋体"/>
          <w:i w:val="0"/>
          <w:iCs w:val="0"/>
          <w:caps w:val="0"/>
          <w:color w:val="auto"/>
          <w:spacing w:val="0"/>
          <w:kern w:val="2"/>
          <w:sz w:val="21"/>
          <w:szCs w:val="21"/>
          <w:highlight w:val="none"/>
          <w:shd w:val="clear"/>
          <w:vertAlign w:val="baseline"/>
          <w:lang w:val="en-US" w:eastAsia="zh-CN" w:bidi="ar"/>
        </w:rPr>
        <w:t>6.3审查要求：</w:t>
      </w:r>
      <w:r>
        <w:rPr>
          <w:rFonts w:hint="eastAsia" w:ascii="宋体" w:hAnsi="宋体" w:eastAsia="宋体" w:cs="宋体"/>
          <w:i w:val="0"/>
          <w:iCs w:val="0"/>
          <w:caps w:val="0"/>
          <w:color w:val="auto"/>
          <w:spacing w:val="0"/>
          <w:kern w:val="2"/>
          <w:sz w:val="21"/>
          <w:szCs w:val="21"/>
          <w:highlight w:val="none"/>
          <w:shd w:val="clear"/>
          <w:vertAlign w:val="baseline"/>
          <w:lang w:val="en-US" w:eastAsia="zh-CN" w:bidi="ar"/>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B3AFD52">
      <w:pPr>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400" w:lineRule="exact"/>
        <w:ind w:left="0" w:right="0" w:firstLine="420" w:firstLineChars="200"/>
        <w:jc w:val="left"/>
        <w:textAlignment w:val="auto"/>
        <w:rPr>
          <w:rFonts w:hint="eastAsia" w:ascii="宋体" w:hAnsi="宋体" w:cs="宋体"/>
          <w:i w:val="0"/>
          <w:iCs w:val="0"/>
          <w:caps w:val="0"/>
          <w:color w:val="auto"/>
          <w:spacing w:val="0"/>
          <w:sz w:val="21"/>
          <w:szCs w:val="21"/>
          <w:highlight w:val="none"/>
        </w:rPr>
      </w:pPr>
      <w:r>
        <w:rPr>
          <w:rFonts w:hint="eastAsia" w:ascii="宋体" w:hAnsi="宋体" w:cs="宋体"/>
          <w:i w:val="0"/>
          <w:iCs w:val="0"/>
          <w:caps w:val="0"/>
          <w:color w:val="auto"/>
          <w:spacing w:val="0"/>
          <w:kern w:val="2"/>
          <w:sz w:val="21"/>
          <w:szCs w:val="21"/>
          <w:highlight w:val="none"/>
          <w:shd w:val="clear"/>
          <w:vertAlign w:val="baseline"/>
          <w:lang w:val="en-US" w:eastAsia="zh-CN" w:bidi="ar"/>
        </w:rPr>
        <w:t>6.4评审组织：</w:t>
      </w:r>
      <w:r>
        <w:rPr>
          <w:rFonts w:hint="eastAsia" w:ascii="宋体" w:hAnsi="宋体" w:eastAsia="宋体" w:cs="宋体"/>
          <w:i w:val="0"/>
          <w:iCs w:val="0"/>
          <w:caps w:val="0"/>
          <w:color w:val="auto"/>
          <w:spacing w:val="0"/>
          <w:kern w:val="2"/>
          <w:sz w:val="21"/>
          <w:szCs w:val="21"/>
          <w:highlight w:val="none"/>
          <w:shd w:val="clear"/>
          <w:vertAlign w:val="baseline"/>
          <w:lang w:val="en-US" w:eastAsia="zh-CN" w:bidi="ar"/>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AC016ED">
      <w:pPr>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400" w:lineRule="exact"/>
        <w:ind w:left="0" w:right="0" w:firstLine="420" w:firstLineChars="200"/>
        <w:jc w:val="left"/>
        <w:textAlignment w:val="auto"/>
        <w:rPr>
          <w:rFonts w:hint="eastAsia" w:ascii="宋体" w:hAnsi="宋体" w:cs="宋体"/>
          <w:i w:val="0"/>
          <w:iCs w:val="0"/>
          <w:caps w:val="0"/>
          <w:color w:val="auto"/>
          <w:spacing w:val="0"/>
          <w:sz w:val="21"/>
          <w:szCs w:val="21"/>
          <w:highlight w:val="none"/>
        </w:rPr>
      </w:pPr>
      <w:r>
        <w:rPr>
          <w:rFonts w:hint="eastAsia" w:ascii="宋体" w:hAnsi="宋体" w:cs="宋体"/>
          <w:i w:val="0"/>
          <w:iCs w:val="0"/>
          <w:caps w:val="0"/>
          <w:color w:val="auto"/>
          <w:spacing w:val="0"/>
          <w:kern w:val="2"/>
          <w:sz w:val="21"/>
          <w:szCs w:val="21"/>
          <w:highlight w:val="none"/>
          <w:shd w:val="clear"/>
          <w:vertAlign w:val="baseline"/>
          <w:lang w:val="en-US" w:eastAsia="zh-CN" w:bidi="ar"/>
        </w:rPr>
        <w:t>6.5记录及归档：</w:t>
      </w:r>
      <w:r>
        <w:rPr>
          <w:rFonts w:hint="eastAsia" w:ascii="宋体" w:hAnsi="宋体" w:eastAsia="宋体" w:cs="宋体"/>
          <w:i w:val="0"/>
          <w:iCs w:val="0"/>
          <w:caps w:val="0"/>
          <w:color w:val="auto"/>
          <w:spacing w:val="0"/>
          <w:kern w:val="2"/>
          <w:sz w:val="21"/>
          <w:szCs w:val="21"/>
          <w:highlight w:val="none"/>
          <w:shd w:val="clear"/>
          <w:vertAlign w:val="baseline"/>
          <w:lang w:val="en-US" w:eastAsia="zh-CN" w:bidi="ar"/>
        </w:rPr>
        <w:t>异常低价投标（响应）审查的启动原因、审查意见和审查结果应当在评审报告中记录，并随供应商提供的相关书面说明及证明材料，以及评审委员会有关互联网浏览、查询历史一并归档。</w:t>
      </w:r>
    </w:p>
    <w:p w14:paraId="7CE42339">
      <w:pPr>
        <w:pStyle w:val="28"/>
        <w:keepNext w:val="0"/>
        <w:keepLines w:val="0"/>
        <w:pageBreakBefore w:val="0"/>
        <w:kinsoku/>
        <w:topLinePunct w:val="0"/>
        <w:bidi w:val="0"/>
        <w:spacing w:line="400" w:lineRule="exact"/>
        <w:jc w:val="left"/>
        <w:outlineLvl w:val="1"/>
        <w:rPr>
          <w:rFonts w:hint="default" w:hAnsi="宋体" w:cs="宋体"/>
          <w:b/>
          <w:strike w:val="0"/>
          <w:dstrike w:val="0"/>
          <w:color w:val="auto"/>
          <w:sz w:val="21"/>
          <w:szCs w:val="21"/>
          <w:highlight w:val="none"/>
          <w:lang w:val="en-US" w:eastAsia="zh-CN"/>
        </w:rPr>
      </w:pPr>
    </w:p>
    <w:p w14:paraId="034347D6">
      <w:pPr>
        <w:pStyle w:val="28"/>
        <w:keepNext w:val="0"/>
        <w:keepLines w:val="0"/>
        <w:pageBreakBefore w:val="0"/>
        <w:kinsoku/>
        <w:topLinePunct w:val="0"/>
        <w:bidi w:val="0"/>
        <w:spacing w:line="400" w:lineRule="exact"/>
        <w:jc w:val="center"/>
        <w:outlineLvl w:val="1"/>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三、评标标准</w:t>
      </w:r>
      <w:bookmarkStart w:id="219" w:name="OLE_LINK176"/>
      <w:bookmarkStart w:id="220" w:name="OLE_LINK175"/>
    </w:p>
    <w:p w14:paraId="685399F8">
      <w:pPr>
        <w:pStyle w:val="28"/>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（综合评分法，计分方法按四舍五入取至百分位）</w:t>
      </w:r>
    </w:p>
    <w:p w14:paraId="21DDCBF2">
      <w:pPr>
        <w:keepNext w:val="0"/>
        <w:keepLines w:val="0"/>
        <w:pageBreakBefore w:val="0"/>
        <w:widowControl/>
        <w:kinsoku/>
        <w:topLinePunct w:val="0"/>
        <w:bidi w:val="0"/>
        <w:spacing w:line="400" w:lineRule="exact"/>
        <w:jc w:val="left"/>
        <w:rPr>
          <w:rFonts w:hint="eastAsia" w:ascii="宋体" w:hAnsi="宋体" w:eastAsia="宋体" w:cs="宋体"/>
          <w:strike w:val="0"/>
          <w:dstrike w:val="0"/>
          <w:color w:val="auto"/>
          <w:sz w:val="21"/>
          <w:szCs w:val="21"/>
          <w:highlight w:val="none"/>
        </w:rPr>
      </w:pPr>
    </w:p>
    <w:bookmarkEnd w:id="219"/>
    <w:bookmarkEnd w:id="220"/>
    <w:tbl>
      <w:tblPr>
        <w:tblStyle w:val="48"/>
        <w:tblW w:w="0" w:type="auto"/>
        <w:tblInd w:w="-2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1"/>
        <w:gridCol w:w="1233"/>
        <w:gridCol w:w="809"/>
        <w:gridCol w:w="5809"/>
      </w:tblGrid>
      <w:tr w14:paraId="0182B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91" w:type="dxa"/>
            <w:noWrap w:val="0"/>
            <w:vAlign w:val="center"/>
          </w:tcPr>
          <w:p w14:paraId="59BB708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序号</w:t>
            </w:r>
          </w:p>
        </w:tc>
        <w:tc>
          <w:tcPr>
            <w:tcW w:w="1233" w:type="dxa"/>
            <w:noWrap w:val="0"/>
            <w:vAlign w:val="center"/>
          </w:tcPr>
          <w:p w14:paraId="36C8BB5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c>
          <w:tcPr>
            <w:tcW w:w="809" w:type="dxa"/>
            <w:noWrap w:val="0"/>
            <w:vAlign w:val="center"/>
          </w:tcPr>
          <w:p w14:paraId="5C2F917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5809" w:type="dxa"/>
            <w:noWrap w:val="0"/>
            <w:vAlign w:val="center"/>
          </w:tcPr>
          <w:p w14:paraId="08627AF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评标标准</w:t>
            </w:r>
          </w:p>
        </w:tc>
      </w:tr>
      <w:tr w14:paraId="25B42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8642" w:type="dxa"/>
            <w:gridSpan w:val="4"/>
            <w:noWrap w:val="0"/>
            <w:vAlign w:val="center"/>
          </w:tcPr>
          <w:p w14:paraId="7FE2ECC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（一）价格分（满分10分）</w:t>
            </w:r>
          </w:p>
        </w:tc>
      </w:tr>
      <w:tr w14:paraId="7C2FC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1" w:type="dxa"/>
            <w:noWrap w:val="0"/>
            <w:vAlign w:val="center"/>
          </w:tcPr>
          <w:p w14:paraId="4FC5944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w:t>
            </w:r>
          </w:p>
        </w:tc>
        <w:tc>
          <w:tcPr>
            <w:tcW w:w="1233" w:type="dxa"/>
            <w:noWrap w:val="0"/>
            <w:vAlign w:val="center"/>
          </w:tcPr>
          <w:p w14:paraId="59AB819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投标报价</w:t>
            </w:r>
          </w:p>
        </w:tc>
        <w:tc>
          <w:tcPr>
            <w:tcW w:w="809" w:type="dxa"/>
            <w:noWrap w:val="0"/>
            <w:vAlign w:val="center"/>
          </w:tcPr>
          <w:p w14:paraId="1F2A3F6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5809" w:type="dxa"/>
            <w:shd w:val="clear" w:color="auto" w:fill="auto"/>
            <w:noWrap w:val="0"/>
            <w:vAlign w:val="center"/>
          </w:tcPr>
          <w:p w14:paraId="35CC0BC0">
            <w:pPr>
              <w:keepNext w:val="0"/>
              <w:keepLines w:val="0"/>
              <w:pageBreakBefore w:val="0"/>
              <w:widowControl w:val="0"/>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1.评审报价为投标 人的最后报价进行政策性扣除后的价格，评审报价只是作为评审时使用。最终成交投标 人的成交金额等于最后报价（如有修正，以确认修正后的最后报价为准）。</w:t>
            </w:r>
          </w:p>
          <w:p w14:paraId="5D62C2BB">
            <w:pPr>
              <w:keepNext w:val="0"/>
              <w:keepLines w:val="0"/>
              <w:pageBreakBefore w:val="0"/>
              <w:widowControl w:val="0"/>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2.政府采购政策性扣除计算方法</w:t>
            </w:r>
          </w:p>
          <w:p w14:paraId="6908AB67">
            <w:pPr>
              <w:keepNext w:val="0"/>
              <w:keepLines w:val="0"/>
              <w:pageBreakBefore w:val="0"/>
              <w:widowControl w:val="0"/>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按照《广西壮族自治区财政厅关于持续优化政府采购营商环境推动高质量发展的通知》（桂财采〔2024〕55号）的规定，投标人在其响应文件中提供《中小企业声明函》，且其服务为小型和微型企业承接的，对其最后报价给予10%的扣除。</w:t>
            </w:r>
          </w:p>
          <w:p w14:paraId="1E6DC865">
            <w:pPr>
              <w:keepNext w:val="0"/>
              <w:keepLines w:val="0"/>
              <w:pageBreakBefore w:val="0"/>
              <w:widowControl w:val="0"/>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39C4439C">
            <w:pPr>
              <w:keepNext w:val="0"/>
              <w:keepLines w:val="0"/>
              <w:pageBreakBefore w:val="0"/>
              <w:widowControl w:val="0"/>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B1AF776">
            <w:pPr>
              <w:keepNext w:val="0"/>
              <w:keepLines w:val="0"/>
              <w:pageBreakBefore w:val="0"/>
              <w:widowControl w:val="0"/>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（4）政策性扣除计算方法。</w:t>
            </w:r>
          </w:p>
          <w:p w14:paraId="55EBB002">
            <w:pPr>
              <w:keepNext w:val="0"/>
              <w:keepLines w:val="0"/>
              <w:pageBreakBefore w:val="0"/>
              <w:widowControl w:val="0"/>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在服务采购项目中，服务由小微企业承接；对符合上述要求的投标 人的竞标报价给予10%（范围为10%-20%）的扣除，扣除后的价格为评审报价，即评审报价=竞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范围为4%-6%）的扣除，用扣除后的价格参加评审，扣除后的价格为评审报价，即评审报价=竞标报价×（1-4%）。除上述情况外，评审报价=竞标报价。</w:t>
            </w:r>
          </w:p>
          <w:p w14:paraId="5095E0C0">
            <w:pPr>
              <w:keepNext w:val="0"/>
              <w:keepLines w:val="0"/>
              <w:pageBreakBefore w:val="0"/>
              <w:widowControl w:val="0"/>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（5）除上述情况外，评审报价＝最后报价。</w:t>
            </w:r>
          </w:p>
          <w:p w14:paraId="430C1F6B">
            <w:pPr>
              <w:keepNext w:val="0"/>
              <w:keepLines w:val="0"/>
              <w:pageBreakBefore w:val="0"/>
              <w:widowControl w:val="0"/>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（6）以进入比较与评价环节的最低的评审报价为基准价，基准价得分为10分。</w:t>
            </w:r>
          </w:p>
          <w:p w14:paraId="355130B5">
            <w:pPr>
              <w:keepNext w:val="0"/>
              <w:keepLines w:val="0"/>
              <w:pageBreakBefore w:val="0"/>
              <w:widowControl w:val="0"/>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（7）价格分计算公式：</w:t>
            </w:r>
          </w:p>
          <w:p w14:paraId="701031B9">
            <w:pPr>
              <w:keepNext w:val="0"/>
              <w:keepLines w:val="0"/>
              <w:pageBreakBefore w:val="0"/>
              <w:widowControl w:val="0"/>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某有效投标 人报价得分=（评标基准价/某有效投标人评审报价）×10。</w:t>
            </w:r>
          </w:p>
        </w:tc>
      </w:tr>
      <w:tr w14:paraId="2ABA1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42" w:type="dxa"/>
            <w:gridSpan w:val="4"/>
            <w:noWrap w:val="0"/>
            <w:vAlign w:val="center"/>
          </w:tcPr>
          <w:p w14:paraId="2AC67C9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（二）技术分（满分</w:t>
            </w:r>
            <w:r>
              <w:rPr>
                <w:rFonts w:hint="eastAsia" w:ascii="宋体" w:hAnsi="宋体" w:cs="宋体"/>
                <w:b/>
                <w:bCs/>
                <w:color w:val="auto"/>
                <w:sz w:val="21"/>
                <w:szCs w:val="21"/>
                <w:highlight w:val="none"/>
                <w:lang w:val="en-US" w:eastAsia="zh-CN"/>
              </w:rPr>
              <w:t>55</w:t>
            </w:r>
            <w:r>
              <w:rPr>
                <w:rFonts w:hint="eastAsia" w:ascii="宋体" w:hAnsi="宋体" w:eastAsia="宋体" w:cs="宋体"/>
                <w:b/>
                <w:bCs/>
                <w:color w:val="auto"/>
                <w:sz w:val="21"/>
                <w:szCs w:val="21"/>
                <w:highlight w:val="none"/>
                <w:lang w:val="en-US" w:eastAsia="zh-CN"/>
              </w:rPr>
              <w:t>分）</w:t>
            </w:r>
          </w:p>
        </w:tc>
      </w:tr>
      <w:tr w14:paraId="0C511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1" w:type="dxa"/>
            <w:noWrap w:val="0"/>
            <w:vAlign w:val="center"/>
          </w:tcPr>
          <w:p w14:paraId="1D6DF28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1233" w:type="dxa"/>
            <w:noWrap w:val="0"/>
            <w:vAlign w:val="center"/>
          </w:tcPr>
          <w:p w14:paraId="2A568A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项目理解分</w:t>
            </w:r>
          </w:p>
        </w:tc>
        <w:tc>
          <w:tcPr>
            <w:tcW w:w="809" w:type="dxa"/>
            <w:noWrap w:val="0"/>
            <w:vAlign w:val="center"/>
          </w:tcPr>
          <w:p w14:paraId="5673FB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5809" w:type="dxa"/>
            <w:noWrap w:val="0"/>
            <w:vAlign w:val="top"/>
          </w:tcPr>
          <w:p w14:paraId="544C92E2">
            <w:pPr>
              <w:keepNext w:val="0"/>
              <w:keepLines w:val="0"/>
              <w:pageBreakBefore w:val="0"/>
              <w:widowControl w:val="0"/>
              <w:kinsoku/>
              <w:wordWrap/>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评标委员会根据投标人提供的有关本项目实施的</w:t>
            </w:r>
            <w:r>
              <w:rPr>
                <w:rFonts w:hint="eastAsia" w:ascii="宋体" w:hAnsi="宋体" w:cs="宋体"/>
                <w:color w:val="auto"/>
                <w:sz w:val="21"/>
                <w:szCs w:val="21"/>
                <w:highlight w:val="none"/>
                <w:lang w:val="en-US" w:eastAsia="zh-CN" w:bidi="ar"/>
              </w:rPr>
              <w:t>背景和项目需求</w:t>
            </w:r>
            <w:r>
              <w:rPr>
                <w:rFonts w:hint="eastAsia" w:ascii="宋体" w:hAnsi="宋体" w:eastAsia="宋体" w:cs="宋体"/>
                <w:color w:val="auto"/>
                <w:sz w:val="21"/>
                <w:szCs w:val="21"/>
                <w:highlight w:val="none"/>
                <w:lang w:val="en-US" w:eastAsia="zh-CN" w:bidi="ar"/>
              </w:rPr>
              <w:t xml:space="preserve">的了解程度进行评审打分，未提供方案或未达一档标准不计分。 </w:t>
            </w:r>
          </w:p>
          <w:p w14:paraId="1FABFF7A">
            <w:pPr>
              <w:keepNext w:val="0"/>
              <w:keepLines w:val="0"/>
              <w:pageBreakBefore w:val="0"/>
              <w:widowControl w:val="0"/>
              <w:kinsoku/>
              <w:wordWrap/>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一档（2分）：对本项目的背景与需求解读存在偏差、理解较为片面，未涉及广西饮用水水源环境保护、重金属污染防治相关情况，未识别项目核心工作背景与需求，方案内容缺乏针对性和深度；</w:t>
            </w:r>
          </w:p>
          <w:p w14:paraId="38AF27A4">
            <w:pPr>
              <w:keepNext w:val="0"/>
              <w:keepLines w:val="0"/>
              <w:pageBreakBefore w:val="0"/>
              <w:widowControl w:val="0"/>
              <w:kinsoku/>
              <w:wordWrap/>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二档（6分）：对本项目的背景与需求解读准确、理解全面，初步了解广西饮用水水源环境保护、重金属污染防治总体情况，对项目开展饮用水水源涉重金属风险排查、溯源及供水设施隐患排查等工作背景和需求有基本认知，方案内容有一定针对性和分析深度；</w:t>
            </w:r>
          </w:p>
          <w:p w14:paraId="2EEFFB9D">
            <w:pPr>
              <w:keepNext w:val="0"/>
              <w:keepLines w:val="0"/>
              <w:pageBreakBefore w:val="0"/>
              <w:widowControl w:val="0"/>
              <w:kinsoku/>
              <w:wordWrap/>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三档（10分）：对本项目的背景与需求解读到位、理解全面，掌握广西饮用水水源环境保护、广西重金属污染防治总体情况，了解广西饮用水水源当前存在的问题和广西涉重金属环境风险点，且对项目开展饮用水水源涉重金属环境风险隐患问题排查、南流江流域试点水源重金属污染溯源、供水设施风险隐患排查的工作背景和项目需求有深入的了解，能够识别广西农村“千吨万人”饮用水水源地、南流江流域水源地的超标因子和主要污染问题，</w:t>
            </w:r>
            <w:r>
              <w:rPr>
                <w:rFonts w:hint="eastAsia" w:ascii="宋体" w:hAnsi="宋体" w:cs="宋体"/>
                <w:color w:val="auto"/>
                <w:sz w:val="21"/>
                <w:szCs w:val="21"/>
                <w:highlight w:val="none"/>
                <w:lang w:val="en-US" w:eastAsia="zh-CN" w:bidi="ar"/>
              </w:rPr>
              <w:t>问题</w:t>
            </w:r>
            <w:r>
              <w:rPr>
                <w:rFonts w:hint="eastAsia" w:ascii="宋体" w:hAnsi="宋体" w:eastAsia="宋体" w:cs="宋体"/>
                <w:color w:val="auto"/>
                <w:sz w:val="21"/>
                <w:szCs w:val="21"/>
                <w:highlight w:val="none"/>
                <w:lang w:val="en-US" w:eastAsia="zh-CN" w:bidi="ar"/>
              </w:rPr>
              <w:t>分析透彻、针对性强。</w:t>
            </w:r>
          </w:p>
        </w:tc>
      </w:tr>
      <w:tr w14:paraId="37199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1" w:type="dxa"/>
            <w:noWrap w:val="0"/>
            <w:vAlign w:val="center"/>
          </w:tcPr>
          <w:p w14:paraId="3CC717B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1233" w:type="dxa"/>
            <w:noWrap w:val="0"/>
            <w:vAlign w:val="center"/>
          </w:tcPr>
          <w:p w14:paraId="497041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实施方案分</w:t>
            </w:r>
          </w:p>
        </w:tc>
        <w:tc>
          <w:tcPr>
            <w:tcW w:w="809" w:type="dxa"/>
            <w:noWrap w:val="0"/>
            <w:vAlign w:val="center"/>
          </w:tcPr>
          <w:p w14:paraId="4BCA60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30分</w:t>
            </w:r>
          </w:p>
        </w:tc>
        <w:tc>
          <w:tcPr>
            <w:tcW w:w="5809" w:type="dxa"/>
            <w:noWrap w:val="0"/>
            <w:vAlign w:val="top"/>
          </w:tcPr>
          <w:p w14:paraId="4C184FD1">
            <w:pPr>
              <w:keepNext w:val="0"/>
              <w:keepLines w:val="0"/>
              <w:pageBreakBefore w:val="0"/>
              <w:widowControl w:val="0"/>
              <w:kinsoku/>
              <w:wordWrap/>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 xml:space="preserve">由评标委员会依据投标人提供的项目实施方案（包括但不限于工作目标、工作内容及方法、成果集成等内容论述）进行评审打分，未提供方案或未达一档标准不计分。  </w:t>
            </w:r>
          </w:p>
          <w:p w14:paraId="78C1D146">
            <w:pPr>
              <w:keepNext w:val="0"/>
              <w:keepLines w:val="0"/>
              <w:pageBreakBefore w:val="0"/>
              <w:widowControl w:val="0"/>
              <w:kinsoku/>
              <w:wordWrap/>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一档（10分）：工作思路、工作范围及目标、工作内容及方法、成果集成等按项目需求制定且规范，各项工作任务设置基本合理，方案对项目需求有基础响应，存在与本项目无关的表述内容，方案内容缺乏深度和针对性。</w:t>
            </w:r>
          </w:p>
          <w:p w14:paraId="46738AF5">
            <w:pPr>
              <w:keepNext w:val="0"/>
              <w:keepLines w:val="0"/>
              <w:pageBreakBefore w:val="0"/>
              <w:widowControl w:val="0"/>
              <w:kinsoku/>
              <w:wordWrap/>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二档（20分）：工作思路、工作范围及目标、工作内容及方法、成果集成等按项目需求制定且规范，对各项工作任务的分析覆盖全面，整体方案能匹配项目需求，方案内容有清晰分析和明确方向。</w:t>
            </w:r>
          </w:p>
          <w:p w14:paraId="0BCAC76F">
            <w:pPr>
              <w:keepNext w:val="0"/>
              <w:keepLines w:val="0"/>
              <w:pageBreakBefore w:val="0"/>
              <w:widowControl w:val="0"/>
              <w:kinsoku/>
              <w:wordWrap/>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三档（30分）：工作思路、工作范围及目标、工作内容及方法、成果集成等按照项目需求制定且规范，对各项工作任务分析理解深刻、完全把握采购目的，根据项目的工作目标采取有针对性的工作措施，能够详细提出农村“千吨万人”饮用水水源全指标监测和涉重金属环境风险隐患问题排查、南流江流域试点水源地污染溯源、供水设施重金属污染防控与应急能力调查的工作目标、工作范围和工作方法，可操作性强，完全符合采购需求，充分切合本项目特色，方案内容分析透彻、特色鲜明、优势突出。</w:t>
            </w:r>
          </w:p>
        </w:tc>
      </w:tr>
      <w:tr w14:paraId="3E98E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1" w:type="dxa"/>
            <w:noWrap w:val="0"/>
            <w:vAlign w:val="center"/>
          </w:tcPr>
          <w:p w14:paraId="574D23FA">
            <w:pPr>
              <w:keepNext w:val="0"/>
              <w:keepLines w:val="0"/>
              <w:pageBreakBefore w:val="0"/>
              <w:widowControl w:val="0"/>
              <w:kinsoku/>
              <w:wordWrap w:val="0"/>
              <w:overflowPunct/>
              <w:topLinePunct w:val="0"/>
              <w:autoSpaceDE w:val="0"/>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2.3</w:t>
            </w:r>
          </w:p>
        </w:tc>
        <w:tc>
          <w:tcPr>
            <w:tcW w:w="1233" w:type="dxa"/>
            <w:noWrap w:val="0"/>
            <w:vAlign w:val="center"/>
          </w:tcPr>
          <w:p w14:paraId="11C313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bCs/>
                <w:color w:val="auto"/>
                <w:sz w:val="21"/>
                <w:szCs w:val="21"/>
                <w:highlight w:val="none"/>
              </w:rPr>
              <w:t>项目难点</w:t>
            </w:r>
            <w:r>
              <w:rPr>
                <w:rFonts w:hint="eastAsia" w:ascii="宋体" w:hAnsi="宋体" w:eastAsia="宋体" w:cs="宋体"/>
                <w:bCs/>
                <w:color w:val="auto"/>
                <w:sz w:val="21"/>
                <w:szCs w:val="21"/>
                <w:highlight w:val="none"/>
                <w:lang w:val="en-US" w:eastAsia="zh-CN"/>
              </w:rPr>
              <w:t>理解分</w:t>
            </w:r>
          </w:p>
        </w:tc>
        <w:tc>
          <w:tcPr>
            <w:tcW w:w="809" w:type="dxa"/>
            <w:noWrap w:val="0"/>
            <w:vAlign w:val="center"/>
          </w:tcPr>
          <w:p w14:paraId="03501A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rPr>
              <w:t>5分</w:t>
            </w:r>
          </w:p>
        </w:tc>
        <w:tc>
          <w:tcPr>
            <w:tcW w:w="5809" w:type="dxa"/>
            <w:noWrap w:val="0"/>
            <w:vAlign w:val="top"/>
          </w:tcPr>
          <w:p w14:paraId="53742D95">
            <w:pPr>
              <w:keepNext w:val="0"/>
              <w:keepLines w:val="0"/>
              <w:pageBreakBefore w:val="0"/>
              <w:widowControl w:val="0"/>
              <w:kinsoku/>
              <w:wordWrap/>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由评标委员会依据投标人提供的项目难点理解（包括但不限于项目</w:t>
            </w:r>
            <w:r>
              <w:rPr>
                <w:rFonts w:hint="eastAsia" w:ascii="宋体" w:hAnsi="宋体" w:cs="宋体"/>
                <w:color w:val="auto"/>
                <w:sz w:val="21"/>
                <w:szCs w:val="21"/>
                <w:highlight w:val="none"/>
                <w:lang w:val="en-US" w:eastAsia="zh-CN" w:bidi="ar"/>
              </w:rPr>
              <w:t>难点分析、项目难点解决措施</w:t>
            </w:r>
            <w:r>
              <w:rPr>
                <w:rFonts w:hint="eastAsia" w:ascii="宋体" w:hAnsi="宋体" w:eastAsia="宋体" w:cs="宋体"/>
                <w:color w:val="auto"/>
                <w:sz w:val="21"/>
                <w:szCs w:val="21"/>
                <w:highlight w:val="none"/>
                <w:lang w:val="en-US" w:eastAsia="zh-CN" w:bidi="ar"/>
              </w:rPr>
              <w:t xml:space="preserve">等内容论述）进行评审打分，未提供方案或未达一档标准不计分。 </w:t>
            </w:r>
          </w:p>
          <w:p w14:paraId="0630BF87">
            <w:pPr>
              <w:keepNext w:val="0"/>
              <w:keepLines w:val="0"/>
              <w:pageBreakBefore w:val="0"/>
              <w:widowControl w:val="0"/>
              <w:kinsoku/>
              <w:wordWrap/>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一档（1分）：投标人对项目涉及的各项工作目标要求、工作流程及方法认知模糊，对项目难点的分析与实际情况存在较大偏差，解决措施缺乏针对性和合理性；</w:t>
            </w:r>
          </w:p>
          <w:p w14:paraId="4AC431A7">
            <w:pPr>
              <w:keepNext w:val="0"/>
              <w:keepLines w:val="0"/>
              <w:pageBreakBefore w:val="0"/>
              <w:widowControl w:val="0"/>
              <w:kinsoku/>
              <w:wordWrap/>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二档（3分）：投标人对项目涉及的各项工作目标要求、工作流程及方法有基本掌握，对项目难点的理解与实际情况基本匹配，能提出具备一定可行性的解决措施，可对项目总体目标顺利完成起到基础保障作用；</w:t>
            </w:r>
          </w:p>
          <w:p w14:paraId="1AE8E044">
            <w:pPr>
              <w:keepNext w:val="0"/>
              <w:keepLines w:val="0"/>
              <w:pageBreakBefore w:val="0"/>
              <w:widowControl w:val="0"/>
              <w:kinsoku/>
              <w:wordWrap/>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三档（5分）：投标人对项目涉及的各项工作目标要求、工作流程及方法非常熟悉，对项目难点的理解符合实际，针对解决项目难点能提出具体的解决措施，针对性强、可操作性强、优势突出，能够保障项目总体目标及各项工作任务顺利完成。</w:t>
            </w:r>
          </w:p>
        </w:tc>
      </w:tr>
      <w:tr w14:paraId="33CB1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trPr>
        <w:tc>
          <w:tcPr>
            <w:tcW w:w="791" w:type="dxa"/>
            <w:noWrap w:val="0"/>
            <w:vAlign w:val="center"/>
          </w:tcPr>
          <w:p w14:paraId="3572249D">
            <w:pPr>
              <w:keepNext w:val="0"/>
              <w:keepLines w:val="0"/>
              <w:pageBreakBefore w:val="0"/>
              <w:widowControl w:val="0"/>
              <w:kinsoku/>
              <w:wordWrap w:val="0"/>
              <w:overflowPunct/>
              <w:topLinePunct w:val="0"/>
              <w:autoSpaceDE w:val="0"/>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2.4</w:t>
            </w:r>
          </w:p>
        </w:tc>
        <w:tc>
          <w:tcPr>
            <w:tcW w:w="1233" w:type="dxa"/>
            <w:noWrap w:val="0"/>
            <w:vAlign w:val="center"/>
          </w:tcPr>
          <w:p w14:paraId="0AE7A953">
            <w:pPr>
              <w:keepNext w:val="0"/>
              <w:keepLines w:val="0"/>
              <w:pageBreakBefore w:val="0"/>
              <w:widowControl w:val="0"/>
              <w:kinsoku/>
              <w:wordWrap/>
              <w:overflowPunct/>
              <w:topLinePunct w:val="0"/>
              <w:autoSpaceDE w:val="0"/>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质量保障方案分</w:t>
            </w:r>
          </w:p>
        </w:tc>
        <w:tc>
          <w:tcPr>
            <w:tcW w:w="809" w:type="dxa"/>
            <w:noWrap w:val="0"/>
            <w:vAlign w:val="center"/>
          </w:tcPr>
          <w:p w14:paraId="57060A91">
            <w:pPr>
              <w:keepNext w:val="0"/>
              <w:keepLines w:val="0"/>
              <w:pageBreakBefore w:val="0"/>
              <w:widowControl w:val="0"/>
              <w:kinsoku/>
              <w:wordWrap/>
              <w:overflowPunct/>
              <w:topLinePunct w:val="0"/>
              <w:autoSpaceDE w:val="0"/>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10分</w:t>
            </w:r>
          </w:p>
        </w:tc>
        <w:tc>
          <w:tcPr>
            <w:tcW w:w="5809" w:type="dxa"/>
            <w:noWrap w:val="0"/>
            <w:vAlign w:val="top"/>
          </w:tcPr>
          <w:p w14:paraId="31FBFBCD">
            <w:pPr>
              <w:keepNext w:val="0"/>
              <w:keepLines w:val="0"/>
              <w:pageBreakBefore w:val="0"/>
              <w:widowControl w:val="0"/>
              <w:kinsoku/>
              <w:wordWrap/>
              <w:overflowPunct/>
              <w:topLinePunct w:val="0"/>
              <w:autoSpaceDE w:val="0"/>
              <w:autoSpaceDN/>
              <w:bidi w:val="0"/>
              <w:adjustRightInd/>
              <w:snapToGrid/>
              <w:spacing w:line="400" w:lineRule="exact"/>
              <w:ind w:firstLine="210" w:firstLineChars="100"/>
              <w:jc w:val="both"/>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 xml:space="preserve">评标委员会根据投标人提供的项目质量保障方案、服务质量保障机制、安全保证机制等进行评审打分，未提供方案或未达一档标准不计分。 </w:t>
            </w:r>
          </w:p>
          <w:p w14:paraId="17E995FB">
            <w:pPr>
              <w:keepNext w:val="0"/>
              <w:keepLines w:val="0"/>
              <w:pageBreakBefore w:val="0"/>
              <w:widowControl w:val="0"/>
              <w:kinsoku/>
              <w:wordWrap/>
              <w:overflowPunct/>
              <w:topLinePunct w:val="0"/>
              <w:autoSpaceDE w:val="0"/>
              <w:autoSpaceDN/>
              <w:bidi w:val="0"/>
              <w:adjustRightInd/>
              <w:snapToGrid/>
              <w:spacing w:line="400" w:lineRule="exact"/>
              <w:ind w:firstLine="210" w:firstLineChars="100"/>
              <w:jc w:val="both"/>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一档（2分）：提供了简单的质控方案，基本能够满足项目要求。</w:t>
            </w:r>
          </w:p>
          <w:p w14:paraId="4427F016">
            <w:pPr>
              <w:keepNext w:val="0"/>
              <w:keepLines w:val="0"/>
              <w:pageBreakBefore w:val="0"/>
              <w:widowControl w:val="0"/>
              <w:kinsoku/>
              <w:wordWrap/>
              <w:overflowPunct/>
              <w:topLinePunct w:val="0"/>
              <w:autoSpaceDE w:val="0"/>
              <w:autoSpaceDN/>
              <w:bidi w:val="0"/>
              <w:adjustRightInd/>
              <w:snapToGrid/>
              <w:spacing w:line="400" w:lineRule="exact"/>
              <w:ind w:firstLine="210" w:firstLineChars="100"/>
              <w:jc w:val="both"/>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二档（6分）：提供了质量控制方案，具有较合理的进度控制措施、质量控制措施、安全保证机制、数据安全保密方案等。</w:t>
            </w:r>
          </w:p>
          <w:p w14:paraId="75548C6E">
            <w:pPr>
              <w:keepNext w:val="0"/>
              <w:keepLines w:val="0"/>
              <w:pageBreakBefore w:val="0"/>
              <w:widowControl w:val="0"/>
              <w:kinsoku/>
              <w:wordWrap/>
              <w:overflowPunct/>
              <w:topLinePunct w:val="0"/>
              <w:autoSpaceDE w:val="0"/>
              <w:autoSpaceDN/>
              <w:bidi w:val="0"/>
              <w:adjustRightInd/>
              <w:snapToGrid/>
              <w:spacing w:line="400" w:lineRule="exact"/>
              <w:ind w:firstLine="210" w:firstLineChars="1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三档（10分）：提供了质量控制方案，具有科学、完善的进度控制措施；具有提升服务质量的保障机制；具有及时的数据检查、质量控制以及反馈纠错措施；具有切实有效的安全保证机制；数据安全保密方案合理且有针对性。</w:t>
            </w:r>
          </w:p>
        </w:tc>
      </w:tr>
      <w:tr w14:paraId="614F8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42" w:type="dxa"/>
            <w:gridSpan w:val="4"/>
            <w:noWrap w:val="0"/>
            <w:vAlign w:val="center"/>
          </w:tcPr>
          <w:p w14:paraId="7246D73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（三）商务分（满分</w:t>
            </w:r>
            <w:r>
              <w:rPr>
                <w:rFonts w:hint="eastAsia" w:ascii="宋体" w:hAnsi="宋体" w:cs="宋体"/>
                <w:b/>
                <w:bCs/>
                <w:color w:val="auto"/>
                <w:sz w:val="21"/>
                <w:szCs w:val="21"/>
                <w:highlight w:val="none"/>
                <w:lang w:val="en-US" w:eastAsia="zh-CN"/>
              </w:rPr>
              <w:t>35</w:t>
            </w:r>
            <w:r>
              <w:rPr>
                <w:rFonts w:hint="eastAsia" w:ascii="宋体" w:hAnsi="宋体" w:eastAsia="宋体" w:cs="宋体"/>
                <w:b/>
                <w:bCs/>
                <w:color w:val="auto"/>
                <w:sz w:val="21"/>
                <w:szCs w:val="21"/>
                <w:highlight w:val="none"/>
                <w:lang w:val="en-US" w:eastAsia="zh-CN"/>
              </w:rPr>
              <w:t>分）</w:t>
            </w:r>
          </w:p>
        </w:tc>
      </w:tr>
      <w:tr w14:paraId="404E1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791" w:type="dxa"/>
            <w:noWrap w:val="0"/>
            <w:vAlign w:val="center"/>
          </w:tcPr>
          <w:p w14:paraId="738C3A77">
            <w:pPr>
              <w:keepNext w:val="0"/>
              <w:keepLines w:val="0"/>
              <w:pageBreakBefore w:val="0"/>
              <w:widowControl w:val="0"/>
              <w:kinsoku/>
              <w:wordWrap w:val="0"/>
              <w:overflowPunct/>
              <w:topLinePunct w:val="0"/>
              <w:autoSpaceDE w:val="0"/>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3.1</w:t>
            </w:r>
          </w:p>
        </w:tc>
        <w:tc>
          <w:tcPr>
            <w:tcW w:w="1233" w:type="dxa"/>
            <w:noWrap w:val="0"/>
            <w:vAlign w:val="center"/>
          </w:tcPr>
          <w:p w14:paraId="3F1B1907">
            <w:pPr>
              <w:keepNext w:val="0"/>
              <w:keepLines w:val="0"/>
              <w:pageBreakBefore w:val="0"/>
              <w:widowControl w:val="0"/>
              <w:kinsoku/>
              <w:wordWrap/>
              <w:overflowPunct/>
              <w:topLinePunct w:val="0"/>
              <w:autoSpaceDE w:val="0"/>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bCs/>
                <w:color w:val="auto"/>
                <w:sz w:val="21"/>
                <w:szCs w:val="21"/>
                <w:highlight w:val="none"/>
                <w:lang w:val="en-US" w:eastAsia="zh-CN"/>
              </w:rPr>
              <w:t>组织机构及人员配置</w:t>
            </w:r>
          </w:p>
        </w:tc>
        <w:tc>
          <w:tcPr>
            <w:tcW w:w="809" w:type="dxa"/>
            <w:noWrap w:val="0"/>
            <w:vAlign w:val="center"/>
          </w:tcPr>
          <w:p w14:paraId="2DBCC301">
            <w:pPr>
              <w:keepNext w:val="0"/>
              <w:keepLines w:val="0"/>
              <w:pageBreakBefore w:val="0"/>
              <w:widowControl w:val="0"/>
              <w:kinsoku/>
              <w:wordWrap/>
              <w:overflowPunct/>
              <w:topLinePunct w:val="0"/>
              <w:autoSpaceDE w:val="0"/>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15分</w:t>
            </w:r>
          </w:p>
        </w:tc>
        <w:tc>
          <w:tcPr>
            <w:tcW w:w="5809" w:type="dxa"/>
            <w:noWrap w:val="0"/>
            <w:vAlign w:val="top"/>
          </w:tcPr>
          <w:p w14:paraId="57A5E0FC">
            <w:pPr>
              <w:pStyle w:val="8"/>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评标委员会根据投标人提供的组织机构及人员配置情况进行评分，主要包括项目负责人、技术人员配置等。</w:t>
            </w:r>
          </w:p>
          <w:p w14:paraId="3C645931">
            <w:pPr>
              <w:pStyle w:val="8"/>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（1）项目负责人能力分（满分4分）</w:t>
            </w:r>
          </w:p>
          <w:p w14:paraId="5B718727">
            <w:pPr>
              <w:pStyle w:val="8"/>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一档（1分）：项目负责人职称：具有高级职称（职称专业为</w:t>
            </w:r>
            <w:r>
              <w:rPr>
                <w:rFonts w:hint="eastAsia" w:ascii="宋体" w:hAnsi="宋体" w:eastAsia="宋体" w:cs="宋体"/>
                <w:i w:val="0"/>
                <w:iCs w:val="0"/>
                <w:color w:val="auto"/>
                <w:sz w:val="21"/>
                <w:szCs w:val="21"/>
                <w:highlight w:val="none"/>
                <w:u w:val="none" w:color="auto"/>
                <w:lang w:val="en-US" w:eastAsia="zh-CN"/>
              </w:rPr>
              <w:t>环境类、生态类、水文类、监测类、化学类</w:t>
            </w:r>
            <w:r>
              <w:rPr>
                <w:rFonts w:hint="eastAsia" w:ascii="宋体" w:hAnsi="宋体" w:eastAsia="宋体" w:cs="宋体"/>
                <w:color w:val="auto"/>
                <w:sz w:val="21"/>
                <w:szCs w:val="21"/>
                <w:highlight w:val="none"/>
                <w:lang w:val="en-US" w:eastAsia="zh-CN" w:bidi="ar"/>
              </w:rPr>
              <w:t>等相关专业）且具备相关专业本科学历；</w:t>
            </w:r>
          </w:p>
          <w:p w14:paraId="4E416A13">
            <w:pPr>
              <w:pStyle w:val="8"/>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i w:val="0"/>
                <w:iCs w:val="0"/>
                <w:color w:val="auto"/>
                <w:sz w:val="21"/>
                <w:szCs w:val="21"/>
                <w:highlight w:val="none"/>
                <w:u w:val="none" w:color="auto"/>
                <w:lang w:val="en-US" w:eastAsia="zh-CN"/>
              </w:rPr>
            </w:pPr>
            <w:r>
              <w:rPr>
                <w:rFonts w:hint="eastAsia" w:ascii="宋体" w:hAnsi="宋体" w:eastAsia="宋体" w:cs="宋体"/>
                <w:i w:val="0"/>
                <w:iCs w:val="0"/>
                <w:color w:val="auto"/>
                <w:sz w:val="21"/>
                <w:szCs w:val="21"/>
                <w:highlight w:val="none"/>
                <w:u w:val="none" w:color="auto"/>
                <w:lang w:val="en-US" w:eastAsia="zh-CN"/>
              </w:rPr>
              <w:t>二档（2分）：项目负责人职称：具有高级职称（职称专业为环境类、生态类、水文类、监测类、化学类等相关专业）且具备相关专业硕士研究生学历；</w:t>
            </w:r>
          </w:p>
          <w:p w14:paraId="2CCD3F9F">
            <w:pPr>
              <w:pStyle w:val="8"/>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i w:val="0"/>
                <w:iCs w:val="0"/>
                <w:color w:val="auto"/>
                <w:sz w:val="21"/>
                <w:szCs w:val="21"/>
                <w:highlight w:val="none"/>
                <w:u w:val="none" w:color="auto"/>
                <w:lang w:val="en-US" w:eastAsia="zh-CN"/>
              </w:rPr>
            </w:pPr>
            <w:r>
              <w:rPr>
                <w:rFonts w:hint="eastAsia" w:ascii="宋体" w:hAnsi="宋体" w:eastAsia="宋体" w:cs="宋体"/>
                <w:i w:val="0"/>
                <w:iCs w:val="0"/>
                <w:color w:val="auto"/>
                <w:sz w:val="21"/>
                <w:szCs w:val="21"/>
                <w:highlight w:val="none"/>
                <w:u w:val="none" w:color="auto"/>
                <w:lang w:val="en-US" w:eastAsia="zh-CN"/>
              </w:rPr>
              <w:t>三档（3分）：项目负责人职称：具有高级职称（职称专业为环境类、生态类、水文类、监测类、化学类等相关专业）且具备相关专业博士研究生学历；</w:t>
            </w:r>
          </w:p>
          <w:p w14:paraId="082EED54">
            <w:pPr>
              <w:pStyle w:val="8"/>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i w:val="0"/>
                <w:iCs w:val="0"/>
                <w:color w:val="auto"/>
                <w:sz w:val="21"/>
                <w:szCs w:val="21"/>
                <w:highlight w:val="none"/>
                <w:u w:val="none" w:color="auto"/>
                <w:lang w:val="en-US" w:eastAsia="zh-CN"/>
              </w:rPr>
            </w:pPr>
            <w:r>
              <w:rPr>
                <w:rFonts w:hint="eastAsia" w:ascii="宋体" w:hAnsi="宋体" w:eastAsia="宋体" w:cs="宋体"/>
                <w:i w:val="0"/>
                <w:iCs w:val="0"/>
                <w:color w:val="auto"/>
                <w:sz w:val="21"/>
                <w:szCs w:val="21"/>
                <w:highlight w:val="none"/>
                <w:u w:val="none" w:color="auto"/>
                <w:lang w:val="en-US" w:eastAsia="zh-CN"/>
              </w:rPr>
              <w:t>四档（4分）：项目负责人职称：具有正高级职称（职称专业为环境类、生态类、水文类、监测类、化学类等相关专业）且具备相关专业博士研究生学历。</w:t>
            </w:r>
          </w:p>
          <w:p w14:paraId="6D92B4E3">
            <w:pPr>
              <w:pStyle w:val="8"/>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（2）拟投入技术人员分（满分11分）</w:t>
            </w:r>
          </w:p>
          <w:p w14:paraId="06E050A3">
            <w:pPr>
              <w:pStyle w:val="8"/>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一档（2分）：明确投入本项目专业技术人员不少于15人（职称专业为</w:t>
            </w:r>
            <w:r>
              <w:rPr>
                <w:rFonts w:hint="eastAsia" w:ascii="宋体" w:hAnsi="宋体" w:eastAsia="宋体" w:cs="宋体"/>
                <w:i w:val="0"/>
                <w:iCs w:val="0"/>
                <w:color w:val="auto"/>
                <w:sz w:val="21"/>
                <w:szCs w:val="21"/>
                <w:highlight w:val="none"/>
                <w:u w:val="none" w:color="auto"/>
                <w:lang w:val="en-US" w:eastAsia="zh-CN"/>
              </w:rPr>
              <w:t>环境类、生态类、水文类、监测类、化学类</w:t>
            </w:r>
            <w:r>
              <w:rPr>
                <w:rFonts w:hint="eastAsia" w:ascii="宋体" w:hAnsi="宋体" w:eastAsia="宋体" w:cs="宋体"/>
                <w:color w:val="auto"/>
                <w:kern w:val="2"/>
                <w:sz w:val="21"/>
                <w:szCs w:val="21"/>
                <w:highlight w:val="none"/>
                <w:lang w:val="en-US" w:eastAsia="zh-CN" w:bidi="ar"/>
              </w:rPr>
              <w:t>等相关专业），高级职称不少于3人；</w:t>
            </w:r>
          </w:p>
          <w:p w14:paraId="1BB11212">
            <w:pPr>
              <w:pStyle w:val="8"/>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二档（5分）：明确投入本项目专业技术人员不少于25人（职称专业为</w:t>
            </w:r>
            <w:r>
              <w:rPr>
                <w:rFonts w:hint="eastAsia" w:ascii="宋体" w:hAnsi="宋体" w:eastAsia="宋体" w:cs="宋体"/>
                <w:i w:val="0"/>
                <w:iCs w:val="0"/>
                <w:color w:val="auto"/>
                <w:sz w:val="21"/>
                <w:szCs w:val="21"/>
                <w:highlight w:val="none"/>
                <w:u w:val="none" w:color="auto"/>
                <w:lang w:val="en-US" w:eastAsia="zh-CN"/>
              </w:rPr>
              <w:t>环境类、生态类、水文类、监测类、化学类</w:t>
            </w:r>
            <w:r>
              <w:rPr>
                <w:rFonts w:hint="eastAsia" w:ascii="宋体" w:hAnsi="宋体" w:eastAsia="宋体" w:cs="宋体"/>
                <w:color w:val="auto"/>
                <w:kern w:val="2"/>
                <w:sz w:val="21"/>
                <w:szCs w:val="21"/>
                <w:highlight w:val="none"/>
                <w:lang w:val="en-US" w:eastAsia="zh-CN" w:bidi="ar"/>
              </w:rPr>
              <w:t>等相关专业），其中高级职称不少于10人，正高级职称不少于2人；</w:t>
            </w:r>
          </w:p>
          <w:p w14:paraId="0A356203">
            <w:pPr>
              <w:pStyle w:val="8"/>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三档（8分）：明确投入本项目专业技术人员不少于35人（职称专业为</w:t>
            </w:r>
            <w:r>
              <w:rPr>
                <w:rFonts w:hint="eastAsia" w:ascii="宋体" w:hAnsi="宋体" w:eastAsia="宋体" w:cs="宋体"/>
                <w:i w:val="0"/>
                <w:iCs w:val="0"/>
                <w:color w:val="auto"/>
                <w:sz w:val="21"/>
                <w:szCs w:val="21"/>
                <w:highlight w:val="none"/>
                <w:u w:val="none" w:color="auto"/>
                <w:lang w:val="en-US" w:eastAsia="zh-CN"/>
              </w:rPr>
              <w:t>环境类、生态类、水文类、监测类、化学类</w:t>
            </w:r>
            <w:r>
              <w:rPr>
                <w:rFonts w:hint="eastAsia" w:ascii="宋体" w:hAnsi="宋体" w:eastAsia="宋体" w:cs="宋体"/>
                <w:color w:val="auto"/>
                <w:kern w:val="2"/>
                <w:sz w:val="21"/>
                <w:szCs w:val="21"/>
                <w:highlight w:val="none"/>
                <w:lang w:val="en-US" w:eastAsia="zh-CN" w:bidi="ar"/>
              </w:rPr>
              <w:t>等相关专业），其中高级职称不少于15人，正高级职称不少于4人；</w:t>
            </w:r>
          </w:p>
          <w:p w14:paraId="28E493BD">
            <w:pPr>
              <w:pStyle w:val="8"/>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四档（11分）：明确投入本项目专业技术人员不少于45人（职称专业为</w:t>
            </w:r>
            <w:r>
              <w:rPr>
                <w:rFonts w:hint="eastAsia" w:ascii="宋体" w:hAnsi="宋体" w:eastAsia="宋体" w:cs="宋体"/>
                <w:i w:val="0"/>
                <w:iCs w:val="0"/>
                <w:color w:val="auto"/>
                <w:sz w:val="21"/>
                <w:szCs w:val="21"/>
                <w:highlight w:val="none"/>
                <w:u w:val="none" w:color="auto"/>
                <w:lang w:val="en-US" w:eastAsia="zh-CN"/>
              </w:rPr>
              <w:t>环境类、生态类、水文类、监测类、化学类</w:t>
            </w:r>
            <w:r>
              <w:rPr>
                <w:rFonts w:hint="eastAsia" w:ascii="宋体" w:hAnsi="宋体" w:eastAsia="宋体" w:cs="宋体"/>
                <w:color w:val="auto"/>
                <w:kern w:val="2"/>
                <w:sz w:val="21"/>
                <w:szCs w:val="21"/>
                <w:highlight w:val="none"/>
                <w:lang w:val="en-US" w:eastAsia="zh-CN" w:bidi="ar"/>
              </w:rPr>
              <w:t>等相关专业），其中高级职称不少于20人，正高级职称不少于6人。</w:t>
            </w:r>
          </w:p>
          <w:p w14:paraId="0CF44B5E">
            <w:pPr>
              <w:pStyle w:val="8"/>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bidi="ar"/>
              </w:rPr>
              <w:t>注：以上人员均是投标人在职在岗正式员工，投标文件中须提供人员职称证书证明材料复印件、项目实施人员劳动合同复印件或事业单位编制证明复印件并加盖投标人公章（或电子签章）。不提供或提供不全均不得分，同一人仅计算一次得分。</w:t>
            </w:r>
          </w:p>
        </w:tc>
      </w:tr>
      <w:tr w14:paraId="0C0B6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791" w:type="dxa"/>
            <w:noWrap w:val="0"/>
            <w:vAlign w:val="center"/>
          </w:tcPr>
          <w:p w14:paraId="294A4D0F">
            <w:pPr>
              <w:keepNext w:val="0"/>
              <w:keepLines w:val="0"/>
              <w:pageBreakBefore w:val="0"/>
              <w:widowControl w:val="0"/>
              <w:kinsoku/>
              <w:wordWrap w:val="0"/>
              <w:overflowPunct/>
              <w:topLinePunct w:val="0"/>
              <w:autoSpaceDE w:val="0"/>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w:t>
            </w:r>
            <w:r>
              <w:rPr>
                <w:rFonts w:hint="eastAsia" w:ascii="宋体" w:hAnsi="宋体" w:cs="宋体"/>
                <w:color w:val="auto"/>
                <w:sz w:val="21"/>
                <w:szCs w:val="21"/>
                <w:highlight w:val="none"/>
                <w:lang w:val="en-US" w:eastAsia="zh-CN" w:bidi="ar"/>
              </w:rPr>
              <w:t>2</w:t>
            </w:r>
          </w:p>
        </w:tc>
        <w:tc>
          <w:tcPr>
            <w:tcW w:w="1233" w:type="dxa"/>
            <w:noWrap w:val="0"/>
            <w:vAlign w:val="center"/>
          </w:tcPr>
          <w:p w14:paraId="1E8E007E">
            <w:pPr>
              <w:keepNext w:val="0"/>
              <w:keepLines w:val="0"/>
              <w:pageBreakBefore w:val="0"/>
              <w:widowControl w:val="0"/>
              <w:kinsoku/>
              <w:wordWrap/>
              <w:overflowPunct/>
              <w:topLinePunct w:val="0"/>
              <w:autoSpaceDE w:val="0"/>
              <w:autoSpaceDN/>
              <w:bidi w:val="0"/>
              <w:adjustRightInd/>
              <w:snapToGrid/>
              <w:spacing w:line="400" w:lineRule="exact"/>
              <w:jc w:val="center"/>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Cs/>
                <w:color w:val="auto"/>
                <w:sz w:val="21"/>
                <w:szCs w:val="21"/>
                <w:highlight w:val="none"/>
                <w:lang w:val="en-US" w:eastAsia="zh-CN"/>
              </w:rPr>
              <w:t>综合实力分</w:t>
            </w:r>
          </w:p>
        </w:tc>
        <w:tc>
          <w:tcPr>
            <w:tcW w:w="809" w:type="dxa"/>
            <w:noWrap w:val="0"/>
            <w:vAlign w:val="center"/>
          </w:tcPr>
          <w:p w14:paraId="7486D030">
            <w:pPr>
              <w:keepNext w:val="0"/>
              <w:keepLines w:val="0"/>
              <w:pageBreakBefore w:val="0"/>
              <w:widowControl w:val="0"/>
              <w:kinsoku/>
              <w:wordWrap/>
              <w:overflowPunct/>
              <w:topLinePunct w:val="0"/>
              <w:autoSpaceDE w:val="0"/>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10分</w:t>
            </w:r>
          </w:p>
        </w:tc>
        <w:tc>
          <w:tcPr>
            <w:tcW w:w="5809" w:type="dxa"/>
            <w:noWrap w:val="0"/>
            <w:vAlign w:val="top"/>
          </w:tcPr>
          <w:p w14:paraId="68D787D2">
            <w:pPr>
              <w:keepNext w:val="0"/>
              <w:keepLines w:val="0"/>
              <w:pageBreakBefore w:val="0"/>
              <w:widowControl w:val="0"/>
              <w:numPr>
                <w:ilvl w:val="0"/>
                <w:numId w:val="0"/>
              </w:numPr>
              <w:kinsoku/>
              <w:wordWrap/>
              <w:overflowPunct/>
              <w:topLinePunct w:val="0"/>
              <w:autoSpaceDE w:val="0"/>
              <w:autoSpaceDN/>
              <w:bidi w:val="0"/>
              <w:adjustRightInd/>
              <w:snapToGrid/>
              <w:spacing w:line="400" w:lineRule="exact"/>
              <w:ind w:leftChars="0" w:firstLine="420" w:firstLineChars="200"/>
              <w:jc w:val="left"/>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评标委员会根据投标人提供的综合能力证明材料进行评分，主要包括投标人获得相关奖项、实验室建设、相关资质情况等。</w:t>
            </w:r>
          </w:p>
          <w:p w14:paraId="5E2B97C3">
            <w:pPr>
              <w:keepNext w:val="0"/>
              <w:keepLines w:val="0"/>
              <w:pageBreakBefore w:val="0"/>
              <w:widowControl w:val="0"/>
              <w:numPr>
                <w:ilvl w:val="0"/>
                <w:numId w:val="0"/>
              </w:numPr>
              <w:kinsoku/>
              <w:wordWrap/>
              <w:overflowPunct/>
              <w:topLinePunct w:val="0"/>
              <w:autoSpaceDE w:val="0"/>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投标人具备在有效期内的质量管理体系认证证书、环境管理体系认证证书的，每个证书得0.5分，没有则不得分（投标响应文件中须提供相关证书复印件，并加盖投标人公章或CA电子签章，否则不予计分），本项满分1分。</w:t>
            </w:r>
          </w:p>
          <w:p w14:paraId="02D62961">
            <w:pPr>
              <w:keepNext w:val="0"/>
              <w:keepLines w:val="0"/>
              <w:pageBreakBefore w:val="0"/>
              <w:widowControl w:val="0"/>
              <w:numPr>
                <w:ilvl w:val="0"/>
                <w:numId w:val="0"/>
              </w:numPr>
              <w:kinsoku/>
              <w:wordWrap/>
              <w:overflowPunct/>
              <w:topLinePunct w:val="0"/>
              <w:autoSpaceDE w:val="0"/>
              <w:autoSpaceDN/>
              <w:bidi w:val="0"/>
              <w:adjustRightInd/>
              <w:snapToGrid/>
              <w:spacing w:line="400" w:lineRule="exact"/>
              <w:ind w:leftChars="0" w:firstLine="420" w:firstLineChars="200"/>
              <w:jc w:val="left"/>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投标人自2021年1月1日至今获得过环境保护类奖项的，每项得0.5分，没有则不得分（投标响应文件中提供获奖证书或其他可证明获得过相关荣誉的证明材料，并加盖投标人公章或CA电子签章，否则不予计分），本项满分5分。</w:t>
            </w:r>
          </w:p>
          <w:p w14:paraId="2A9C2FA4">
            <w:pPr>
              <w:keepNext w:val="0"/>
              <w:keepLines w:val="0"/>
              <w:pageBreakBefore w:val="0"/>
              <w:widowControl w:val="0"/>
              <w:numPr>
                <w:ilvl w:val="0"/>
                <w:numId w:val="0"/>
              </w:numPr>
              <w:kinsoku/>
              <w:wordWrap/>
              <w:overflowPunct/>
              <w:topLinePunct w:val="0"/>
              <w:autoSpaceDE w:val="0"/>
              <w:autoSpaceDN/>
              <w:bidi w:val="0"/>
              <w:adjustRightInd/>
              <w:snapToGrid/>
              <w:spacing w:line="400" w:lineRule="exact"/>
              <w:ind w:leftChars="0" w:firstLine="420" w:firstLineChars="200"/>
              <w:jc w:val="left"/>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（3）投标人具有无人机，每有1台得0.2分，最多得1分；具有电感耦合等离子体质谱仪（ICP-MS）、无人船（水面移动监测平台）、水质台式溯源仪，每有1种设备加1分，最多得3分，本项满分4分。</w:t>
            </w:r>
          </w:p>
          <w:p w14:paraId="598E9225">
            <w:pPr>
              <w:keepNext w:val="0"/>
              <w:keepLines w:val="0"/>
              <w:pageBreakBefore w:val="0"/>
              <w:widowControl w:val="0"/>
              <w:numPr>
                <w:ilvl w:val="0"/>
                <w:numId w:val="0"/>
              </w:numPr>
              <w:kinsoku/>
              <w:wordWrap/>
              <w:overflowPunct/>
              <w:topLinePunct w:val="0"/>
              <w:autoSpaceDE w:val="0"/>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bidi="ar"/>
              </w:rPr>
              <w:t>注：必须提供有效证明（属于投标人自有，租用不予计算），即设备的照片、采购合同或购买发票（发票抬头为投标人名字）复印件等，并加盖投标人公章或CA电子签章。上述证明材料需清晰、完整、有效，经评标委员会认可方可赋分，否则不予计分。</w:t>
            </w:r>
          </w:p>
        </w:tc>
      </w:tr>
      <w:tr w14:paraId="02105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1" w:type="dxa"/>
            <w:noWrap w:val="0"/>
            <w:vAlign w:val="center"/>
          </w:tcPr>
          <w:p w14:paraId="67BB5A7D">
            <w:pPr>
              <w:keepNext w:val="0"/>
              <w:keepLines w:val="0"/>
              <w:pageBreakBefore w:val="0"/>
              <w:widowControl w:val="0"/>
              <w:kinsoku/>
              <w:wordWrap w:val="0"/>
              <w:overflowPunct/>
              <w:topLinePunct w:val="0"/>
              <w:autoSpaceDE w:val="0"/>
              <w:autoSpaceDN/>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w:t>
            </w:r>
            <w:r>
              <w:rPr>
                <w:rFonts w:hint="eastAsia" w:ascii="宋体" w:hAnsi="宋体" w:cs="宋体"/>
                <w:color w:val="auto"/>
                <w:sz w:val="21"/>
                <w:szCs w:val="21"/>
                <w:highlight w:val="none"/>
                <w:lang w:val="en-US" w:eastAsia="zh-CN" w:bidi="ar"/>
              </w:rPr>
              <w:t>3</w:t>
            </w:r>
          </w:p>
        </w:tc>
        <w:tc>
          <w:tcPr>
            <w:tcW w:w="1233" w:type="dxa"/>
            <w:noWrap w:val="0"/>
            <w:vAlign w:val="center"/>
          </w:tcPr>
          <w:p w14:paraId="79BE73D7">
            <w:pPr>
              <w:keepNext w:val="0"/>
              <w:keepLines w:val="0"/>
              <w:pageBreakBefore w:val="0"/>
              <w:widowControl w:val="0"/>
              <w:kinsoku/>
              <w:wordWrap/>
              <w:overflowPunct/>
              <w:topLinePunct w:val="0"/>
              <w:autoSpaceDE w:val="0"/>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bidi="ar"/>
              </w:rPr>
              <w:t>业绩分</w:t>
            </w:r>
          </w:p>
        </w:tc>
        <w:tc>
          <w:tcPr>
            <w:tcW w:w="809" w:type="dxa"/>
            <w:noWrap w:val="0"/>
            <w:vAlign w:val="center"/>
          </w:tcPr>
          <w:p w14:paraId="364BA903">
            <w:pPr>
              <w:keepNext w:val="0"/>
              <w:keepLines w:val="0"/>
              <w:pageBreakBefore w:val="0"/>
              <w:widowControl w:val="0"/>
              <w:kinsoku/>
              <w:wordWrap/>
              <w:overflowPunct/>
              <w:topLinePunct w:val="0"/>
              <w:autoSpaceDE w:val="0"/>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10分</w:t>
            </w:r>
          </w:p>
        </w:tc>
        <w:tc>
          <w:tcPr>
            <w:tcW w:w="5809" w:type="dxa"/>
            <w:noWrap w:val="0"/>
            <w:vAlign w:val="top"/>
          </w:tcPr>
          <w:p w14:paraId="0D383E06">
            <w:pPr>
              <w:keepNext w:val="0"/>
              <w:keepLines w:val="0"/>
              <w:pageBreakBefore w:val="0"/>
              <w:widowControl w:val="0"/>
              <w:kinsoku/>
              <w:wordWrap/>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评标委员会根据投标人提供的以往业绩情况证明材料进行评分。</w:t>
            </w:r>
          </w:p>
          <w:p w14:paraId="34AA34AF">
            <w:pPr>
              <w:keepNext w:val="0"/>
              <w:keepLines w:val="0"/>
              <w:pageBreakBefore w:val="0"/>
              <w:widowControl w:val="0"/>
              <w:kinsoku/>
              <w:wordWrap/>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2022年1月1日以来，投标人具有与集中式饮用水水源涉重金属环境安全隐患排查和试点水源地重金属污染精准溯源等涉及内容相关的同类项目（与污染溯源、饮用水水源污染状况调查相关）业绩，每项得1分，满分10分。（响应文件中提供合同复印件或中标（成交）通知书复印件或其他有效证明文件，否则不得分）</w:t>
            </w:r>
          </w:p>
        </w:tc>
      </w:tr>
      <w:tr w14:paraId="6922D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42" w:type="dxa"/>
            <w:gridSpan w:val="4"/>
            <w:noWrap w:val="0"/>
            <w:vAlign w:val="center"/>
          </w:tcPr>
          <w:p w14:paraId="6B3E499C">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bookmarkStart w:id="221" w:name="_Toc9520"/>
            <w:r>
              <w:rPr>
                <w:rFonts w:hint="eastAsia" w:ascii="宋体" w:hAnsi="宋体" w:eastAsia="宋体" w:cs="宋体"/>
                <w:b/>
                <w:color w:val="auto"/>
                <w:sz w:val="21"/>
                <w:szCs w:val="21"/>
                <w:highlight w:val="none"/>
                <w:lang w:val="en-US" w:eastAsia="zh-CN"/>
              </w:rPr>
              <w:t>总得分=</w:t>
            </w: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color w:val="auto"/>
                <w:sz w:val="21"/>
                <w:szCs w:val="21"/>
                <w:highlight w:val="none"/>
                <w:lang w:val="en-US" w:eastAsia="zh-CN"/>
              </w:rPr>
              <w:t>+</w:t>
            </w:r>
            <w:bookmarkEnd w:id="221"/>
            <w:r>
              <w:rPr>
                <w:rFonts w:hint="eastAsia" w:ascii="宋体" w:hAnsi="宋体" w:eastAsia="宋体" w:cs="宋体"/>
                <w:b/>
                <w:bCs/>
                <w:color w:val="auto"/>
                <w:sz w:val="21"/>
                <w:szCs w:val="21"/>
                <w:highlight w:val="none"/>
                <w:lang w:val="en-US" w:eastAsia="zh-CN"/>
              </w:rPr>
              <w:t>（三）</w:t>
            </w:r>
          </w:p>
        </w:tc>
      </w:tr>
    </w:tbl>
    <w:p w14:paraId="18D330AF">
      <w:pPr>
        <w:keepNext w:val="0"/>
        <w:keepLines w:val="0"/>
        <w:pageBreakBefore w:val="0"/>
        <w:tabs>
          <w:tab w:val="left" w:pos="2155"/>
        </w:tabs>
        <w:kinsoku/>
        <w:topLinePunct w:val="0"/>
        <w:bidi w:val="0"/>
        <w:spacing w:line="400" w:lineRule="exact"/>
        <w:ind w:left="0" w:firstLine="0"/>
        <w:outlineLvl w:val="9"/>
        <w:rPr>
          <w:rFonts w:hint="eastAsia" w:ascii="宋体" w:hAnsi="宋体" w:eastAsia="宋体" w:cs="宋体"/>
          <w:strike w:val="0"/>
          <w:dstrike w:val="0"/>
          <w:color w:val="auto"/>
          <w:sz w:val="21"/>
          <w:szCs w:val="21"/>
          <w:highlight w:val="none"/>
        </w:rPr>
      </w:pPr>
    </w:p>
    <w:p w14:paraId="549C5C0D">
      <w:pPr>
        <w:keepNext w:val="0"/>
        <w:keepLines w:val="0"/>
        <w:pageBreakBefore w:val="0"/>
        <w:kinsoku/>
        <w:topLinePunct w:val="0"/>
        <w:bidi w:val="0"/>
        <w:spacing w:line="400" w:lineRule="exac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br w:type="page"/>
      </w:r>
    </w:p>
    <w:p w14:paraId="5BD9C4B5">
      <w:pPr>
        <w:pStyle w:val="28"/>
        <w:keepNext w:val="0"/>
        <w:keepLines w:val="0"/>
        <w:pageBreakBefore w:val="0"/>
        <w:kinsoku/>
        <w:topLinePunct w:val="0"/>
        <w:bidi w:val="0"/>
        <w:spacing w:line="400" w:lineRule="exact"/>
        <w:jc w:val="center"/>
        <w:outlineLvl w:val="1"/>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四、中标候选人推荐</w:t>
      </w:r>
    </w:p>
    <w:p w14:paraId="78667D0D">
      <w:pPr>
        <w:pStyle w:val="28"/>
        <w:keepNext w:val="0"/>
        <w:keepLines w:val="0"/>
        <w:pageBreakBefore w:val="0"/>
        <w:kinsoku/>
        <w:topLinePunct w:val="0"/>
        <w:bidi w:val="0"/>
        <w:spacing w:line="400" w:lineRule="exact"/>
        <w:ind w:firstLine="420" w:firstLineChars="200"/>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1.评标委员会根据原始评标记录和评标结果编写评标报告，并通过电子交易平台向采购人、采购代理机构提交。</w:t>
      </w:r>
    </w:p>
    <w:p w14:paraId="47367C14">
      <w:pPr>
        <w:pStyle w:val="28"/>
        <w:keepNext w:val="0"/>
        <w:keepLines w:val="0"/>
        <w:pageBreakBefore w:val="0"/>
        <w:kinsoku/>
        <w:topLinePunct w:val="0"/>
        <w:bidi w:val="0"/>
        <w:spacing w:line="400" w:lineRule="exact"/>
        <w:ind w:firstLine="420" w:firstLineChars="200"/>
        <w:contextualSpacing/>
        <w:rPr>
          <w:rFonts w:hint="eastAsia" w:ascii="宋体" w:hAnsi="宋体" w:eastAsia="宋体" w:cs="宋体"/>
          <w:bCs w:val="0"/>
          <w:color w:val="auto"/>
          <w:sz w:val="21"/>
          <w:szCs w:val="21"/>
          <w:highlight w:val="none"/>
        </w:rPr>
      </w:pPr>
      <w:r>
        <w:rPr>
          <w:rFonts w:hint="eastAsia" w:ascii="宋体" w:hAnsi="宋体" w:eastAsia="宋体" w:cs="宋体"/>
          <w:strike w:val="0"/>
          <w:dstrike w:val="0"/>
          <w:color w:val="auto"/>
          <w:sz w:val="21"/>
          <w:szCs w:val="21"/>
          <w:highlight w:val="none"/>
        </w:rPr>
        <w:t>2.</w:t>
      </w:r>
      <w:r>
        <w:rPr>
          <w:rFonts w:hint="eastAsia" w:ascii="宋体" w:hAnsi="宋体" w:eastAsia="宋体" w:cs="宋体"/>
          <w:color w:val="auto"/>
          <w:sz w:val="21"/>
          <w:szCs w:val="21"/>
          <w:highlight w:val="none"/>
        </w:rPr>
        <w:t>评标委员会将根据总得分由高到低排列次序并推荐中标候选人。总得分相同的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依次按技术评分</w:t>
      </w:r>
      <w:r>
        <w:rPr>
          <w:rFonts w:hint="eastAsia" w:ascii="宋体" w:hAnsi="宋体" w:eastAsia="宋体" w:cs="宋体"/>
          <w:bCs w:val="0"/>
          <w:color w:val="auto"/>
          <w:sz w:val="21"/>
          <w:szCs w:val="21"/>
          <w:highlight w:val="none"/>
        </w:rPr>
        <w:t>高的优先、商务评分高的优先、投标报价低的优先的顺序确定</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rPr>
        <w:t>评审得分、技术得分、</w:t>
      </w:r>
      <w:r>
        <w:rPr>
          <w:rFonts w:hint="eastAsia" w:ascii="宋体" w:hAnsi="宋体" w:eastAsia="宋体" w:cs="宋体"/>
          <w:bCs w:val="0"/>
          <w:color w:val="auto"/>
          <w:sz w:val="21"/>
          <w:szCs w:val="21"/>
          <w:highlight w:val="none"/>
          <w:lang w:val="en-US" w:eastAsia="zh-CN"/>
        </w:rPr>
        <w:t>商务评分、</w:t>
      </w:r>
      <w:r>
        <w:rPr>
          <w:rFonts w:hint="eastAsia" w:ascii="宋体" w:hAnsi="宋体" w:eastAsia="宋体" w:cs="宋体"/>
          <w:bCs w:val="0"/>
          <w:color w:val="auto"/>
          <w:sz w:val="21"/>
          <w:szCs w:val="21"/>
          <w:highlight w:val="none"/>
        </w:rPr>
        <w:t>最后报价（不计算价格折扣）</w:t>
      </w:r>
      <w:r>
        <w:rPr>
          <w:rFonts w:hint="eastAsia" w:ascii="宋体" w:hAnsi="宋体" w:eastAsia="宋体" w:cs="宋体"/>
          <w:bCs w:val="0"/>
          <w:color w:val="auto"/>
          <w:sz w:val="21"/>
          <w:szCs w:val="21"/>
          <w:highlight w:val="none"/>
          <w:lang w:val="en-US" w:eastAsia="zh-CN"/>
        </w:rPr>
        <w:t>均</w:t>
      </w:r>
      <w:r>
        <w:rPr>
          <w:rFonts w:hint="eastAsia" w:ascii="宋体" w:hAnsi="宋体" w:eastAsia="宋体" w:cs="宋体"/>
          <w:bCs w:val="0"/>
          <w:color w:val="auto"/>
          <w:sz w:val="21"/>
          <w:szCs w:val="21"/>
          <w:highlight w:val="none"/>
        </w:rPr>
        <w:t>相同的，由评标委员会采用不记名投票决定，票数高的优先推荐。</w:t>
      </w:r>
    </w:p>
    <w:bookmarkEnd w:id="61"/>
    <w:bookmarkEnd w:id="62"/>
    <w:p w14:paraId="5E77F51F">
      <w:pPr>
        <w:pStyle w:val="28"/>
        <w:keepNext w:val="0"/>
        <w:keepLines w:val="0"/>
        <w:pageBreakBefore w:val="0"/>
        <w:kinsoku/>
        <w:topLinePunct w:val="0"/>
        <w:bidi w:val="0"/>
        <w:spacing w:line="400" w:lineRule="exact"/>
        <w:ind w:firstLine="420" w:firstLineChars="200"/>
        <w:contextualSpacing/>
        <w:rPr>
          <w:rFonts w:hint="eastAsia" w:ascii="宋体" w:hAnsi="宋体" w:eastAsia="宋体" w:cs="宋体"/>
          <w:bCs w:val="0"/>
          <w:color w:val="auto"/>
          <w:sz w:val="21"/>
          <w:szCs w:val="21"/>
          <w:highlight w:val="none"/>
          <w:lang w:val="en-US" w:eastAsia="zh-CN"/>
        </w:rPr>
      </w:pPr>
    </w:p>
    <w:bookmarkEnd w:id="10"/>
    <w:p w14:paraId="039374B6">
      <w:pPr>
        <w:pStyle w:val="3"/>
        <w:keepNext w:val="0"/>
        <w:keepLines w:val="0"/>
        <w:pageBreakBefore w:val="0"/>
        <w:tabs>
          <w:tab w:val="left" w:pos="0"/>
          <w:tab w:val="left" w:pos="3165"/>
          <w:tab w:val="center" w:pos="4153"/>
        </w:tabs>
        <w:kinsoku/>
        <w:topLinePunct w:val="0"/>
        <w:autoSpaceDE w:val="0"/>
        <w:autoSpaceDN w:val="0"/>
        <w:bidi w:val="0"/>
        <w:adjustRightInd w:val="0"/>
        <w:spacing w:before="0" w:after="0"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br w:type="page"/>
      </w:r>
      <w:bookmarkStart w:id="222" w:name="_Toc146612291"/>
      <w:r>
        <w:rPr>
          <w:rFonts w:hint="eastAsia" w:ascii="方正小标宋_GBK" w:hAnsi="方正小标宋_GBK" w:eastAsia="方正小标宋_GBK" w:cs="方正小标宋_GBK"/>
          <w:strike w:val="0"/>
          <w:dstrike w:val="0"/>
          <w:color w:val="auto"/>
          <w:sz w:val="21"/>
          <w:szCs w:val="21"/>
          <w:highlight w:val="none"/>
        </w:rPr>
        <w:t>第五章 拟签订的合同文本</w:t>
      </w:r>
      <w:bookmarkEnd w:id="222"/>
    </w:p>
    <w:p w14:paraId="6AA799A1">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bookmarkStart w:id="223" w:name="_Hlk55381736"/>
      <w:bookmarkStart w:id="224" w:name="OLE_LINK183"/>
    </w:p>
    <w:bookmarkEnd w:id="223"/>
    <w:bookmarkEnd w:id="224"/>
    <w:p w14:paraId="4F56FA04">
      <w:pPr>
        <w:keepNext w:val="0"/>
        <w:keepLines w:val="0"/>
        <w:pageBreakBefore w:val="0"/>
        <w:widowControl/>
        <w:kinsoku/>
        <w:topLinePunct w:val="0"/>
        <w:bidi w:val="0"/>
        <w:spacing w:line="400" w:lineRule="exact"/>
        <w:jc w:val="left"/>
        <w:rPr>
          <w:rFonts w:hint="eastAsia" w:ascii="宋体" w:hAnsi="宋体" w:eastAsia="宋体" w:cs="宋体"/>
          <w:b/>
          <w:bCs/>
          <w:strike w:val="0"/>
          <w:dstrike w:val="0"/>
          <w:color w:val="auto"/>
          <w:kern w:val="44"/>
          <w:sz w:val="21"/>
          <w:szCs w:val="21"/>
          <w:highlight w:val="none"/>
        </w:rPr>
      </w:pPr>
    </w:p>
    <w:p w14:paraId="0B7FA39F">
      <w:pPr>
        <w:keepNext w:val="0"/>
        <w:keepLines w:val="0"/>
        <w:pageBreakBefore w:val="0"/>
        <w:widowControl/>
        <w:kinsoku/>
        <w:topLinePunct w:val="0"/>
        <w:bidi w:val="0"/>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广西壮族自治区政府采购项目合同</w:t>
      </w:r>
    </w:p>
    <w:p w14:paraId="129B7828">
      <w:pPr>
        <w:keepNext w:val="0"/>
        <w:keepLines w:val="0"/>
        <w:pageBreakBefore w:val="0"/>
        <w:kinsoku/>
        <w:topLinePunct w:val="0"/>
        <w:bidi w:val="0"/>
        <w:spacing w:line="400" w:lineRule="exact"/>
        <w:jc w:val="center"/>
        <w:rPr>
          <w:rFonts w:hint="eastAsia" w:ascii="宋体" w:hAnsi="宋体" w:eastAsia="宋体" w:cs="宋体"/>
          <w:b/>
          <w:bCs/>
          <w:color w:val="auto"/>
          <w:sz w:val="21"/>
          <w:szCs w:val="21"/>
          <w:highlight w:val="none"/>
        </w:rPr>
      </w:pPr>
    </w:p>
    <w:p w14:paraId="6DC22C80">
      <w:pPr>
        <w:keepNext w:val="0"/>
        <w:keepLines w:val="0"/>
        <w:pageBreakBefore w:val="0"/>
        <w:kinsoku/>
        <w:topLinePunct w:val="0"/>
        <w:bidi w:val="0"/>
        <w:spacing w:line="400" w:lineRule="exact"/>
        <w:ind w:firstLine="1674" w:firstLineChars="794"/>
        <w:rPr>
          <w:rFonts w:hint="eastAsia" w:ascii="宋体" w:hAnsi="宋体" w:eastAsia="宋体" w:cs="宋体"/>
          <w:b/>
          <w:bCs/>
          <w:color w:val="auto"/>
          <w:sz w:val="21"/>
          <w:szCs w:val="21"/>
          <w:highlight w:val="none"/>
        </w:rPr>
      </w:pPr>
    </w:p>
    <w:p w14:paraId="29B2B1A6">
      <w:pPr>
        <w:keepNext w:val="0"/>
        <w:keepLines w:val="0"/>
        <w:pageBreakBefore w:val="0"/>
        <w:tabs>
          <w:tab w:val="left" w:pos="7200"/>
        </w:tabs>
        <w:kinsoku/>
        <w:topLinePunct w:val="0"/>
        <w:bidi w:val="0"/>
        <w:spacing w:line="400" w:lineRule="exact"/>
        <w:ind w:left="1692" w:leftChars="304" w:hanging="1054" w:hangingChars="500"/>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 xml:space="preserve">     </w:t>
      </w:r>
      <w:r>
        <w:rPr>
          <w:rFonts w:hint="eastAsia" w:ascii="宋体" w:hAnsi="宋体" w:eastAsia="宋体" w:cs="宋体"/>
          <w:b/>
          <w:bCs w:val="0"/>
          <w:color w:val="auto"/>
          <w:sz w:val="21"/>
          <w:szCs w:val="21"/>
          <w:highlight w:val="none"/>
          <w:lang w:val="en-US" w:eastAsia="zh-CN"/>
        </w:rPr>
        <w:t xml:space="preserve">        </w:t>
      </w:r>
    </w:p>
    <w:p w14:paraId="70078FE8">
      <w:pPr>
        <w:keepNext w:val="0"/>
        <w:keepLines w:val="0"/>
        <w:pageBreakBefore w:val="0"/>
        <w:tabs>
          <w:tab w:val="left" w:pos="7200"/>
        </w:tabs>
        <w:kinsoku/>
        <w:topLinePunct w:val="0"/>
        <w:bidi w:val="0"/>
        <w:spacing w:line="400" w:lineRule="exact"/>
        <w:ind w:left="1692" w:leftChars="304" w:hanging="1054" w:hangingChars="500"/>
        <w:rPr>
          <w:rFonts w:hint="eastAsia" w:ascii="宋体" w:hAnsi="宋体" w:eastAsia="宋体" w:cs="宋体"/>
          <w:b/>
          <w:bCs w:val="0"/>
          <w:color w:val="auto"/>
          <w:sz w:val="21"/>
          <w:szCs w:val="21"/>
          <w:highlight w:val="none"/>
          <w:lang w:val="en-US" w:eastAsia="zh-CN"/>
        </w:rPr>
      </w:pPr>
    </w:p>
    <w:p w14:paraId="5D1831DE">
      <w:pPr>
        <w:keepNext w:val="0"/>
        <w:keepLines w:val="0"/>
        <w:pageBreakBefore w:val="0"/>
        <w:tabs>
          <w:tab w:val="left" w:pos="7200"/>
        </w:tabs>
        <w:kinsoku/>
        <w:topLinePunct w:val="0"/>
        <w:bidi w:val="0"/>
        <w:spacing w:line="400" w:lineRule="exact"/>
        <w:ind w:left="1896" w:leftChars="903" w:firstLine="0" w:firstLineChars="0"/>
        <w:rPr>
          <w:rFonts w:hint="eastAsia" w:ascii="宋体" w:hAnsi="宋体" w:eastAsia="宋体" w:cs="宋体"/>
          <w:b/>
          <w:bCs w:val="0"/>
          <w:color w:val="auto"/>
          <w:sz w:val="21"/>
          <w:szCs w:val="21"/>
          <w:highlight w:val="none"/>
          <w:u w:val="single"/>
          <w:lang w:val="en-US" w:eastAsia="zh-CN"/>
        </w:rPr>
      </w:pPr>
      <w:r>
        <w:rPr>
          <w:rFonts w:hint="eastAsia" w:ascii="宋体" w:hAnsi="宋体" w:eastAsia="宋体" w:cs="宋体"/>
          <w:b/>
          <w:bCs w:val="0"/>
          <w:color w:val="auto"/>
          <w:spacing w:val="26"/>
          <w:kern w:val="0"/>
          <w:sz w:val="21"/>
          <w:szCs w:val="21"/>
          <w:highlight w:val="none"/>
          <w:fitText w:val="1260" w:id="179457101"/>
        </w:rPr>
        <w:t>项目名称</w:t>
      </w:r>
      <w:r>
        <w:rPr>
          <w:rFonts w:hint="eastAsia" w:ascii="宋体" w:hAnsi="宋体" w:eastAsia="宋体" w:cs="宋体"/>
          <w:b/>
          <w:bCs w:val="0"/>
          <w:color w:val="auto"/>
          <w:spacing w:val="1"/>
          <w:kern w:val="0"/>
          <w:sz w:val="21"/>
          <w:szCs w:val="21"/>
          <w:highlight w:val="none"/>
          <w:u w:val="none"/>
          <w:fitText w:val="1260" w:id="179457101"/>
        </w:rPr>
        <w:t>：</w:t>
      </w:r>
      <w:r>
        <w:rPr>
          <w:rFonts w:hint="eastAsia" w:ascii="宋体" w:hAnsi="宋体" w:eastAsia="宋体" w:cs="宋体"/>
          <w:b/>
          <w:bCs w:val="0"/>
          <w:color w:val="auto"/>
          <w:sz w:val="21"/>
          <w:szCs w:val="21"/>
          <w:highlight w:val="none"/>
          <w:u w:val="single"/>
          <w:lang w:val="en-US" w:eastAsia="zh-CN"/>
        </w:rPr>
        <w:t xml:space="preserve">                              </w:t>
      </w:r>
    </w:p>
    <w:p w14:paraId="5C282AE4">
      <w:pPr>
        <w:keepNext w:val="0"/>
        <w:keepLines w:val="0"/>
        <w:pageBreakBefore w:val="0"/>
        <w:kinsoku/>
        <w:topLinePunct w:val="0"/>
        <w:bidi w:val="0"/>
        <w:spacing w:line="400" w:lineRule="exact"/>
        <w:ind w:left="1896" w:leftChars="903" w:firstLine="0" w:firstLineChars="0"/>
        <w:rPr>
          <w:rFonts w:hint="eastAsia" w:ascii="宋体" w:hAnsi="宋体" w:eastAsia="宋体" w:cs="宋体"/>
          <w:b/>
          <w:bCs w:val="0"/>
          <w:color w:val="auto"/>
          <w:sz w:val="21"/>
          <w:szCs w:val="21"/>
          <w:highlight w:val="none"/>
        </w:rPr>
      </w:pPr>
    </w:p>
    <w:p w14:paraId="54B65E06">
      <w:pPr>
        <w:pStyle w:val="2"/>
        <w:keepNext w:val="0"/>
        <w:keepLines w:val="0"/>
        <w:pageBreakBefore w:val="0"/>
        <w:kinsoku/>
        <w:topLinePunct w:val="0"/>
        <w:bidi w:val="0"/>
        <w:spacing w:line="400" w:lineRule="exact"/>
        <w:rPr>
          <w:rFonts w:hint="eastAsia" w:ascii="宋体" w:hAnsi="宋体" w:eastAsia="宋体" w:cs="宋体"/>
          <w:color w:val="auto"/>
          <w:sz w:val="21"/>
          <w:szCs w:val="21"/>
          <w:highlight w:val="none"/>
        </w:rPr>
      </w:pPr>
    </w:p>
    <w:p w14:paraId="502AB330">
      <w:pPr>
        <w:keepNext w:val="0"/>
        <w:keepLines w:val="0"/>
        <w:pageBreakBefore w:val="0"/>
        <w:kinsoku/>
        <w:topLinePunct w:val="0"/>
        <w:bidi w:val="0"/>
        <w:spacing w:line="400" w:lineRule="exact"/>
        <w:ind w:left="1896" w:leftChars="903" w:firstLine="0" w:firstLineChars="0"/>
        <w:rPr>
          <w:rFonts w:hint="eastAsia" w:ascii="宋体" w:hAnsi="宋体" w:eastAsia="宋体" w:cs="宋体"/>
          <w:b/>
          <w:bCs w:val="0"/>
          <w:color w:val="auto"/>
          <w:sz w:val="21"/>
          <w:szCs w:val="21"/>
          <w:highlight w:val="none"/>
          <w:u w:val="single"/>
          <w:lang w:val="en-US" w:eastAsia="zh-CN"/>
        </w:rPr>
      </w:pPr>
      <w:r>
        <w:rPr>
          <w:rFonts w:hint="eastAsia" w:ascii="宋体" w:hAnsi="宋体" w:eastAsia="宋体" w:cs="宋体"/>
          <w:b/>
          <w:bCs w:val="0"/>
          <w:color w:val="auto"/>
          <w:spacing w:val="26"/>
          <w:kern w:val="0"/>
          <w:sz w:val="21"/>
          <w:szCs w:val="21"/>
          <w:highlight w:val="none"/>
          <w:fitText w:val="1260" w:id="1563172756"/>
        </w:rPr>
        <w:t>计划编号</w:t>
      </w:r>
      <w:r>
        <w:rPr>
          <w:rFonts w:hint="eastAsia" w:ascii="宋体" w:hAnsi="宋体" w:eastAsia="宋体" w:cs="宋体"/>
          <w:b/>
          <w:bCs w:val="0"/>
          <w:color w:val="auto"/>
          <w:spacing w:val="1"/>
          <w:kern w:val="0"/>
          <w:sz w:val="21"/>
          <w:szCs w:val="21"/>
          <w:highlight w:val="none"/>
          <w:fitText w:val="1260" w:id="1563172756"/>
        </w:rPr>
        <w:t>：</w:t>
      </w:r>
      <w:r>
        <w:rPr>
          <w:rFonts w:hint="eastAsia" w:ascii="宋体" w:hAnsi="宋体" w:eastAsia="宋体" w:cs="宋体"/>
          <w:b/>
          <w:bCs w:val="0"/>
          <w:color w:val="auto"/>
          <w:sz w:val="21"/>
          <w:szCs w:val="21"/>
          <w:highlight w:val="none"/>
          <w:u w:val="single"/>
          <w:lang w:val="en-US" w:eastAsia="zh-CN"/>
        </w:rPr>
        <w:t xml:space="preserve">                              </w:t>
      </w:r>
    </w:p>
    <w:p w14:paraId="6BD83EEE">
      <w:pPr>
        <w:pStyle w:val="2"/>
        <w:keepNext w:val="0"/>
        <w:keepLines w:val="0"/>
        <w:pageBreakBefore w:val="0"/>
        <w:kinsoku/>
        <w:topLinePunct w:val="0"/>
        <w:bidi w:val="0"/>
        <w:spacing w:line="400" w:lineRule="exact"/>
        <w:rPr>
          <w:rFonts w:hint="eastAsia" w:ascii="宋体" w:hAnsi="宋体" w:eastAsia="宋体" w:cs="宋体"/>
          <w:color w:val="auto"/>
          <w:sz w:val="21"/>
          <w:szCs w:val="21"/>
          <w:highlight w:val="none"/>
          <w:lang w:val="en-US" w:eastAsia="zh-CN"/>
        </w:rPr>
      </w:pPr>
    </w:p>
    <w:p w14:paraId="07450C68">
      <w:pPr>
        <w:pStyle w:val="2"/>
        <w:keepNext w:val="0"/>
        <w:keepLines w:val="0"/>
        <w:pageBreakBefore w:val="0"/>
        <w:kinsoku/>
        <w:topLinePunct w:val="0"/>
        <w:bidi w:val="0"/>
        <w:spacing w:line="400" w:lineRule="exact"/>
        <w:rPr>
          <w:rFonts w:hint="eastAsia" w:ascii="宋体" w:hAnsi="宋体" w:eastAsia="宋体" w:cs="宋体"/>
          <w:color w:val="auto"/>
          <w:sz w:val="21"/>
          <w:szCs w:val="21"/>
          <w:highlight w:val="none"/>
          <w:lang w:val="en-US" w:eastAsia="zh-CN"/>
        </w:rPr>
      </w:pPr>
    </w:p>
    <w:p w14:paraId="183042C7">
      <w:pPr>
        <w:keepNext w:val="0"/>
        <w:keepLines w:val="0"/>
        <w:pageBreakBefore w:val="0"/>
        <w:tabs>
          <w:tab w:val="left" w:pos="7200"/>
        </w:tabs>
        <w:kinsoku/>
        <w:topLinePunct w:val="0"/>
        <w:bidi w:val="0"/>
        <w:spacing w:line="400" w:lineRule="exact"/>
        <w:ind w:left="1896" w:leftChars="903" w:firstLine="0" w:firstLineChars="0"/>
        <w:rPr>
          <w:rFonts w:hint="eastAsia" w:ascii="宋体" w:hAnsi="宋体" w:eastAsia="宋体" w:cs="宋体"/>
          <w:b/>
          <w:bCs w:val="0"/>
          <w:color w:val="auto"/>
          <w:sz w:val="21"/>
          <w:szCs w:val="21"/>
          <w:highlight w:val="none"/>
          <w:u w:val="single"/>
          <w:lang w:val="en-US" w:eastAsia="zh-CN"/>
        </w:rPr>
      </w:pPr>
      <w:r>
        <w:rPr>
          <w:rFonts w:hint="eastAsia" w:ascii="宋体" w:hAnsi="宋体" w:eastAsia="宋体" w:cs="宋体"/>
          <w:b/>
          <w:bCs w:val="0"/>
          <w:color w:val="auto"/>
          <w:spacing w:val="70"/>
          <w:kern w:val="0"/>
          <w:sz w:val="21"/>
          <w:szCs w:val="21"/>
          <w:highlight w:val="none"/>
          <w:fitText w:val="1260" w:id="15477335"/>
        </w:rPr>
        <w:t>采购人</w:t>
      </w:r>
      <w:r>
        <w:rPr>
          <w:rFonts w:hint="eastAsia" w:ascii="宋体" w:hAnsi="宋体" w:eastAsia="宋体" w:cs="宋体"/>
          <w:b/>
          <w:bCs w:val="0"/>
          <w:color w:val="auto"/>
          <w:spacing w:val="0"/>
          <w:kern w:val="0"/>
          <w:sz w:val="21"/>
          <w:szCs w:val="21"/>
          <w:highlight w:val="none"/>
          <w:fitText w:val="1260" w:id="15477335"/>
        </w:rPr>
        <w:t>：</w:t>
      </w:r>
      <w:r>
        <w:rPr>
          <w:rFonts w:hint="eastAsia" w:ascii="宋体" w:hAnsi="宋体" w:eastAsia="宋体" w:cs="宋体"/>
          <w:b/>
          <w:bCs w:val="0"/>
          <w:color w:val="auto"/>
          <w:sz w:val="21"/>
          <w:szCs w:val="21"/>
          <w:highlight w:val="none"/>
          <w:u w:val="single"/>
          <w:lang w:val="en-US" w:eastAsia="zh-CN"/>
        </w:rPr>
        <w:t xml:space="preserve"> 广西壮族自治区生态环境厅     </w:t>
      </w:r>
    </w:p>
    <w:p w14:paraId="79676934">
      <w:pPr>
        <w:keepNext w:val="0"/>
        <w:keepLines w:val="0"/>
        <w:pageBreakBefore w:val="0"/>
        <w:tabs>
          <w:tab w:val="left" w:pos="7200"/>
        </w:tabs>
        <w:kinsoku/>
        <w:topLinePunct w:val="0"/>
        <w:bidi w:val="0"/>
        <w:spacing w:line="400" w:lineRule="exact"/>
        <w:ind w:left="1896" w:leftChars="903" w:firstLine="0" w:firstLineChars="0"/>
        <w:rPr>
          <w:rFonts w:hint="eastAsia" w:ascii="宋体" w:hAnsi="宋体" w:eastAsia="宋体" w:cs="宋体"/>
          <w:b/>
          <w:bCs w:val="0"/>
          <w:color w:val="auto"/>
          <w:sz w:val="21"/>
          <w:szCs w:val="21"/>
          <w:highlight w:val="none"/>
          <w:u w:val="single"/>
          <w:lang w:val="en-US" w:eastAsia="zh-CN"/>
        </w:rPr>
      </w:pPr>
    </w:p>
    <w:p w14:paraId="4758EBB4">
      <w:pPr>
        <w:pStyle w:val="2"/>
        <w:keepNext w:val="0"/>
        <w:keepLines w:val="0"/>
        <w:pageBreakBefore w:val="0"/>
        <w:kinsoku/>
        <w:topLinePunct w:val="0"/>
        <w:bidi w:val="0"/>
        <w:spacing w:line="400" w:lineRule="exact"/>
        <w:rPr>
          <w:rFonts w:hint="eastAsia" w:ascii="宋体" w:hAnsi="宋体" w:eastAsia="宋体" w:cs="宋体"/>
          <w:color w:val="auto"/>
          <w:sz w:val="21"/>
          <w:szCs w:val="21"/>
          <w:highlight w:val="none"/>
          <w:lang w:val="en-US" w:eastAsia="zh-CN"/>
        </w:rPr>
      </w:pPr>
    </w:p>
    <w:p w14:paraId="003C88B9">
      <w:pPr>
        <w:keepNext w:val="0"/>
        <w:keepLines w:val="0"/>
        <w:pageBreakBefore w:val="0"/>
        <w:tabs>
          <w:tab w:val="left" w:pos="7200"/>
        </w:tabs>
        <w:kinsoku/>
        <w:topLinePunct w:val="0"/>
        <w:bidi w:val="0"/>
        <w:spacing w:line="400" w:lineRule="exact"/>
        <w:ind w:left="1896" w:leftChars="903" w:firstLine="0" w:firstLineChars="0"/>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pacing w:val="0"/>
          <w:w w:val="100"/>
          <w:kern w:val="0"/>
          <w:sz w:val="21"/>
          <w:szCs w:val="21"/>
          <w:highlight w:val="none"/>
          <w:fitText w:val="1260" w:id="1782125338"/>
        </w:rPr>
        <w:t>中标供应商：</w:t>
      </w:r>
      <w:r>
        <w:rPr>
          <w:rFonts w:hint="eastAsia" w:ascii="宋体" w:hAnsi="宋体" w:eastAsia="宋体" w:cs="宋体"/>
          <w:b/>
          <w:bCs w:val="0"/>
          <w:color w:val="auto"/>
          <w:sz w:val="21"/>
          <w:szCs w:val="21"/>
          <w:highlight w:val="none"/>
          <w:u w:val="single"/>
          <w:lang w:val="en-US" w:eastAsia="zh-CN"/>
        </w:rPr>
        <w:t xml:space="preserve">   </w:t>
      </w:r>
      <w:r>
        <w:rPr>
          <w:rFonts w:hint="eastAsia" w:ascii="宋体" w:hAnsi="宋体" w:eastAsia="宋体" w:cs="宋体"/>
          <w:b/>
          <w:bCs w:val="0"/>
          <w:color w:val="auto"/>
          <w:sz w:val="21"/>
          <w:szCs w:val="21"/>
          <w:highlight w:val="none"/>
          <w:u w:val="single"/>
        </w:rPr>
        <w:t xml:space="preserve"> </w:t>
      </w:r>
      <w:r>
        <w:rPr>
          <w:rFonts w:hint="eastAsia" w:ascii="宋体" w:hAnsi="宋体" w:eastAsia="宋体" w:cs="宋体"/>
          <w:b/>
          <w:bCs w:val="0"/>
          <w:color w:val="auto"/>
          <w:sz w:val="21"/>
          <w:szCs w:val="21"/>
          <w:highlight w:val="none"/>
          <w:u w:val="single"/>
          <w:lang w:val="en-US" w:eastAsia="zh-CN"/>
        </w:rPr>
        <w:t xml:space="preserve">                          </w:t>
      </w:r>
    </w:p>
    <w:p w14:paraId="52418D5B">
      <w:pPr>
        <w:keepNext w:val="0"/>
        <w:keepLines w:val="0"/>
        <w:pageBreakBefore w:val="0"/>
        <w:tabs>
          <w:tab w:val="left" w:pos="7380"/>
        </w:tabs>
        <w:kinsoku/>
        <w:topLinePunct w:val="0"/>
        <w:bidi w:val="0"/>
        <w:spacing w:line="400" w:lineRule="exact"/>
        <w:rPr>
          <w:rFonts w:hint="eastAsia" w:ascii="宋体" w:hAnsi="宋体" w:eastAsia="宋体" w:cs="宋体"/>
          <w:b/>
          <w:bCs/>
          <w:color w:val="auto"/>
          <w:sz w:val="21"/>
          <w:szCs w:val="21"/>
          <w:highlight w:val="none"/>
        </w:rPr>
      </w:pPr>
    </w:p>
    <w:p w14:paraId="78D7D8F8">
      <w:pPr>
        <w:keepNext w:val="0"/>
        <w:keepLines w:val="0"/>
        <w:pageBreakBefore w:val="0"/>
        <w:kinsoku/>
        <w:topLinePunct w:val="0"/>
        <w:bidi w:val="0"/>
        <w:spacing w:line="400" w:lineRule="exact"/>
        <w:ind w:firstLine="840" w:firstLineChars="400"/>
        <w:rPr>
          <w:rFonts w:hint="eastAsia" w:ascii="宋体" w:hAnsi="宋体" w:eastAsia="宋体" w:cs="宋体"/>
          <w:color w:val="auto"/>
          <w:sz w:val="21"/>
          <w:szCs w:val="21"/>
          <w:highlight w:val="none"/>
        </w:rPr>
      </w:pPr>
    </w:p>
    <w:p w14:paraId="36D6CDDF">
      <w:pPr>
        <w:keepNext w:val="0"/>
        <w:keepLines w:val="0"/>
        <w:pageBreakBefore w:val="0"/>
        <w:kinsoku/>
        <w:topLinePunct w:val="0"/>
        <w:bidi w:val="0"/>
        <w:spacing w:line="400" w:lineRule="exact"/>
        <w:ind w:firstLine="1890" w:firstLineChars="900"/>
        <w:rPr>
          <w:rFonts w:hint="eastAsia" w:ascii="宋体" w:hAnsi="宋体" w:eastAsia="宋体" w:cs="宋体"/>
          <w:color w:val="auto"/>
          <w:sz w:val="21"/>
          <w:szCs w:val="21"/>
          <w:highlight w:val="none"/>
        </w:rPr>
      </w:pPr>
    </w:p>
    <w:p w14:paraId="717F4202">
      <w:pPr>
        <w:keepNext w:val="0"/>
        <w:keepLines w:val="0"/>
        <w:pageBreakBefore w:val="0"/>
        <w:kinsoku/>
        <w:topLinePunct w:val="0"/>
        <w:bidi w:val="0"/>
        <w:spacing w:line="400" w:lineRule="exact"/>
        <w:ind w:firstLine="1890" w:firstLineChars="900"/>
        <w:rPr>
          <w:rFonts w:hint="eastAsia" w:ascii="宋体" w:hAnsi="宋体" w:eastAsia="宋体" w:cs="宋体"/>
          <w:color w:val="auto"/>
          <w:sz w:val="21"/>
          <w:szCs w:val="21"/>
          <w:highlight w:val="none"/>
        </w:rPr>
      </w:pPr>
    </w:p>
    <w:p w14:paraId="64D362C9">
      <w:pPr>
        <w:keepNext w:val="0"/>
        <w:keepLines w:val="0"/>
        <w:pageBreakBefore w:val="0"/>
        <w:kinsoku/>
        <w:topLinePunct w:val="0"/>
        <w:bidi w:val="0"/>
        <w:spacing w:line="400" w:lineRule="exact"/>
        <w:ind w:firstLine="1890" w:firstLineChars="900"/>
        <w:rPr>
          <w:rFonts w:hint="eastAsia" w:ascii="宋体" w:hAnsi="宋体" w:eastAsia="宋体" w:cs="宋体"/>
          <w:color w:val="auto"/>
          <w:sz w:val="21"/>
          <w:szCs w:val="21"/>
          <w:highlight w:val="none"/>
        </w:rPr>
      </w:pPr>
    </w:p>
    <w:p w14:paraId="64592BCE">
      <w:pPr>
        <w:keepNext w:val="0"/>
        <w:keepLines w:val="0"/>
        <w:pageBreakBefore w:val="0"/>
        <w:kinsoku/>
        <w:topLinePunct w:val="0"/>
        <w:bidi w:val="0"/>
        <w:spacing w:line="400" w:lineRule="exact"/>
        <w:ind w:firstLine="1890" w:firstLineChars="900"/>
        <w:rPr>
          <w:rFonts w:hint="eastAsia" w:ascii="宋体" w:hAnsi="宋体" w:eastAsia="宋体" w:cs="宋体"/>
          <w:color w:val="auto"/>
          <w:sz w:val="21"/>
          <w:szCs w:val="21"/>
          <w:highlight w:val="none"/>
        </w:rPr>
      </w:pPr>
    </w:p>
    <w:p w14:paraId="350E785A">
      <w:pPr>
        <w:keepNext w:val="0"/>
        <w:keepLines w:val="0"/>
        <w:pageBreakBefore w:val="0"/>
        <w:kinsoku/>
        <w:topLinePunct w:val="0"/>
        <w:bidi w:val="0"/>
        <w:spacing w:line="400" w:lineRule="exact"/>
        <w:ind w:firstLine="1890" w:firstLineChars="900"/>
        <w:rPr>
          <w:rFonts w:hint="eastAsia" w:ascii="宋体" w:hAnsi="宋体" w:eastAsia="宋体" w:cs="宋体"/>
          <w:color w:val="auto"/>
          <w:sz w:val="21"/>
          <w:szCs w:val="21"/>
          <w:highlight w:val="none"/>
        </w:rPr>
      </w:pPr>
    </w:p>
    <w:p w14:paraId="35684A7A">
      <w:pPr>
        <w:keepNext w:val="0"/>
        <w:keepLines w:val="0"/>
        <w:pageBreakBefore w:val="0"/>
        <w:kinsoku/>
        <w:topLinePunct w:val="0"/>
        <w:bidi w:val="0"/>
        <w:spacing w:line="400" w:lineRule="exact"/>
        <w:ind w:firstLine="1890" w:firstLineChars="900"/>
        <w:rPr>
          <w:rFonts w:hint="eastAsia" w:ascii="宋体" w:hAnsi="宋体" w:eastAsia="宋体" w:cs="宋体"/>
          <w:color w:val="auto"/>
          <w:sz w:val="21"/>
          <w:szCs w:val="21"/>
          <w:highlight w:val="none"/>
        </w:rPr>
      </w:pPr>
    </w:p>
    <w:p w14:paraId="5DC6FB46">
      <w:pPr>
        <w:keepNext w:val="0"/>
        <w:keepLines w:val="0"/>
        <w:pageBreakBefore w:val="0"/>
        <w:kinsoku/>
        <w:topLinePunct w:val="0"/>
        <w:bidi w:val="0"/>
        <w:spacing w:line="400" w:lineRule="exact"/>
        <w:ind w:firstLine="1890" w:firstLineChars="9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签订日期：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202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0F7C0157">
      <w:pPr>
        <w:keepNext w:val="0"/>
        <w:keepLines w:val="0"/>
        <w:pageBreakBefore w:val="0"/>
        <w:kinsoku/>
        <w:topLinePunct w:val="0"/>
        <w:bidi w:val="0"/>
        <w:spacing w:line="400" w:lineRule="exact"/>
        <w:ind w:firstLine="1890" w:firstLineChars="900"/>
        <w:rPr>
          <w:rFonts w:hint="eastAsia" w:ascii="宋体" w:hAnsi="宋体" w:eastAsia="宋体" w:cs="宋体"/>
          <w:bCs/>
          <w:color w:val="auto"/>
          <w:sz w:val="21"/>
          <w:szCs w:val="21"/>
          <w:highlight w:val="none"/>
        </w:rPr>
      </w:pPr>
    </w:p>
    <w:p w14:paraId="7B0E5B45">
      <w:pPr>
        <w:keepNext w:val="0"/>
        <w:keepLines w:val="0"/>
        <w:pageBreakBefore w:val="0"/>
        <w:kinsoku/>
        <w:topLinePunct w:val="0"/>
        <w:bidi w:val="0"/>
        <w:spacing w:line="400" w:lineRule="exact"/>
        <w:ind w:firstLine="1890" w:firstLineChars="9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合同编号：</w:t>
      </w:r>
      <w:r>
        <w:rPr>
          <w:rFonts w:hint="eastAsia" w:ascii="宋体" w:hAnsi="宋体" w:eastAsia="宋体" w:cs="宋体"/>
          <w:bCs/>
          <w:color w:val="auto"/>
          <w:sz w:val="21"/>
          <w:szCs w:val="21"/>
          <w:highlight w:val="none"/>
          <w:u w:val="single"/>
          <w:lang w:val="en-US" w:eastAsia="zh-CN"/>
        </w:rPr>
        <w:t xml:space="preserve">                      </w:t>
      </w:r>
    </w:p>
    <w:p w14:paraId="791C4B9F">
      <w:pPr>
        <w:keepNext w:val="0"/>
        <w:keepLines w:val="0"/>
        <w:pageBreakBefore w:val="0"/>
        <w:kinsoku/>
        <w:topLinePunct w:val="0"/>
        <w:bidi w:val="0"/>
        <w:spacing w:line="400" w:lineRule="exact"/>
        <w:jc w:val="center"/>
        <w:rPr>
          <w:rFonts w:hint="eastAsia" w:ascii="宋体" w:hAnsi="宋体" w:eastAsia="宋体" w:cs="宋体"/>
          <w:color w:val="auto"/>
          <w:kern w:val="0"/>
          <w:sz w:val="21"/>
          <w:szCs w:val="21"/>
          <w:highlight w:val="none"/>
        </w:rPr>
      </w:pPr>
    </w:p>
    <w:p w14:paraId="1A8C8D66">
      <w:pPr>
        <w:keepNext w:val="0"/>
        <w:keepLines w:val="0"/>
        <w:pageBreakBefore w:val="0"/>
        <w:kinsoku/>
        <w:topLinePunct w:val="0"/>
        <w:bidi w:val="0"/>
        <w:spacing w:line="400" w:lineRule="exact"/>
        <w:rPr>
          <w:rFonts w:hint="eastAsia" w:ascii="宋体" w:hAnsi="宋体" w:eastAsia="宋体" w:cs="宋体"/>
          <w:color w:val="auto"/>
          <w:kern w:val="0"/>
          <w:sz w:val="21"/>
          <w:szCs w:val="21"/>
          <w:highlight w:val="none"/>
        </w:rPr>
        <w:sectPr>
          <w:pgSz w:w="11906" w:h="16838"/>
          <w:pgMar w:top="1440" w:right="1800" w:bottom="1440" w:left="1800" w:header="851" w:footer="992" w:gutter="0"/>
          <w:pgNumType w:fmt="decimal"/>
          <w:cols w:space="720" w:num="1"/>
          <w:docGrid w:type="lines" w:linePitch="312" w:charSpace="0"/>
        </w:sectPr>
      </w:pPr>
    </w:p>
    <w:p w14:paraId="4D296DFA">
      <w:pPr>
        <w:pStyle w:val="2"/>
        <w:keepNext w:val="0"/>
        <w:keepLines w:val="0"/>
        <w:pageBreakBefore w:val="0"/>
        <w:kinsoku/>
        <w:topLinePunct w:val="0"/>
        <w:bidi w:val="0"/>
        <w:spacing w:line="400" w:lineRule="exact"/>
        <w:rPr>
          <w:rFonts w:hint="eastAsia" w:ascii="宋体" w:hAnsi="宋体" w:eastAsia="宋体" w:cs="宋体"/>
          <w:color w:val="auto"/>
          <w:sz w:val="21"/>
          <w:szCs w:val="21"/>
          <w:highlight w:val="none"/>
        </w:rPr>
      </w:pPr>
    </w:p>
    <w:p w14:paraId="5FCB2D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政府采购技术服务合同</w:t>
      </w:r>
    </w:p>
    <w:p w14:paraId="0B3AC4D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rPr>
      </w:pPr>
    </w:p>
    <w:p w14:paraId="442398D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color w:val="auto"/>
          <w:kern w:val="0"/>
          <w:sz w:val="21"/>
          <w:szCs w:val="21"/>
          <w:highlight w:val="none"/>
        </w:rPr>
        <w:t>采购计划号：</w:t>
      </w:r>
      <w:r>
        <w:rPr>
          <w:rFonts w:hint="eastAsia" w:ascii="宋体" w:hAnsi="宋体" w:eastAsia="宋体" w:cs="宋体"/>
          <w:b w:val="0"/>
          <w:bCs/>
          <w:color w:val="auto"/>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b w:val="0"/>
          <w:bCs/>
          <w:color w:val="auto"/>
          <w:sz w:val="21"/>
          <w:szCs w:val="21"/>
          <w:highlight w:val="none"/>
          <w:u w:val="single"/>
          <w:lang w:val="en-US" w:eastAsia="zh-CN"/>
        </w:rPr>
        <w:t xml:space="preserve">        </w:t>
      </w:r>
    </w:p>
    <w:p w14:paraId="31D02D0C">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kern w:val="0"/>
          <w:sz w:val="21"/>
          <w:szCs w:val="21"/>
          <w:highlight w:val="none"/>
          <w:u w:val="single"/>
          <w:lang w:val="en-US" w:eastAsia="zh-CN"/>
        </w:rPr>
      </w:pPr>
      <w:r>
        <w:rPr>
          <w:rFonts w:hint="eastAsia" w:ascii="宋体" w:hAnsi="宋体" w:eastAsia="宋体" w:cs="宋体"/>
          <w:b w:val="0"/>
          <w:bCs/>
          <w:color w:val="auto"/>
          <w:kern w:val="0"/>
          <w:sz w:val="21"/>
          <w:szCs w:val="21"/>
          <w:highlight w:val="none"/>
        </w:rPr>
        <w:t>项目名称：</w:t>
      </w:r>
      <w:r>
        <w:rPr>
          <w:rFonts w:hint="eastAsia" w:ascii="宋体" w:hAnsi="宋体" w:eastAsia="宋体" w:cs="宋体"/>
          <w:b w:val="0"/>
          <w:bCs/>
          <w:color w:val="auto"/>
          <w:sz w:val="21"/>
          <w:szCs w:val="21"/>
          <w:highlight w:val="none"/>
          <w:u w:val="single"/>
          <w:lang w:val="en-US" w:eastAsia="zh-CN"/>
        </w:rPr>
        <w:t xml:space="preserve">          </w:t>
      </w:r>
      <w:r>
        <w:rPr>
          <w:rFonts w:hint="eastAsia" w:ascii="宋体" w:hAnsi="宋体" w:eastAsia="宋体" w:cs="宋体"/>
          <w:b/>
          <w:bCs w:val="0"/>
          <w:color w:val="auto"/>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p>
    <w:p w14:paraId="05DCC91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color w:val="auto"/>
          <w:sz w:val="21"/>
          <w:szCs w:val="21"/>
          <w:highlight w:val="none"/>
          <w:u w:val="single"/>
        </w:rPr>
      </w:pPr>
      <w:r>
        <w:rPr>
          <w:rFonts w:hint="eastAsia" w:ascii="宋体" w:hAnsi="宋体" w:eastAsia="宋体" w:cs="宋体"/>
          <w:color w:val="auto"/>
          <w:kern w:val="0"/>
          <w:sz w:val="21"/>
          <w:szCs w:val="21"/>
          <w:highlight w:val="none"/>
        </w:rPr>
        <w:t>项目编号：</w:t>
      </w:r>
      <w:r>
        <w:rPr>
          <w:rFonts w:hint="eastAsia" w:ascii="宋体" w:hAnsi="宋体" w:eastAsia="宋体" w:cs="宋体"/>
          <w:b w:val="0"/>
          <w:bCs/>
          <w:color w:val="auto"/>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p>
    <w:p w14:paraId="1F05FEA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签订地点：</w:t>
      </w:r>
      <w:r>
        <w:rPr>
          <w:rFonts w:hint="eastAsia" w:ascii="宋体" w:hAnsi="宋体" w:eastAsia="宋体" w:cs="宋体"/>
          <w:color w:val="auto"/>
          <w:kern w:val="0"/>
          <w:sz w:val="21"/>
          <w:szCs w:val="21"/>
          <w:highlight w:val="none"/>
          <w:u w:val="single"/>
        </w:rPr>
        <w:t xml:space="preserve">广西壮族自治区生态环境厅 </w:t>
      </w:r>
      <w:r>
        <w:rPr>
          <w:rFonts w:hint="eastAsia" w:ascii="宋体" w:hAnsi="宋体" w:eastAsia="宋体" w:cs="宋体"/>
          <w:color w:val="auto"/>
          <w:kern w:val="0"/>
          <w:sz w:val="21"/>
          <w:szCs w:val="21"/>
          <w:highlight w:val="none"/>
          <w:u w:val="single"/>
          <w:lang w:val="en-US" w:eastAsia="zh-CN"/>
        </w:rPr>
        <w:t xml:space="preserve">                     </w:t>
      </w:r>
    </w:p>
    <w:p w14:paraId="153EDFB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签订时间：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139458B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甲方（采购人）：</w:t>
      </w:r>
      <w:r>
        <w:rPr>
          <w:rFonts w:hint="eastAsia" w:ascii="宋体" w:hAnsi="宋体" w:eastAsia="宋体" w:cs="宋体"/>
          <w:color w:val="auto"/>
          <w:kern w:val="0"/>
          <w:sz w:val="21"/>
          <w:szCs w:val="21"/>
          <w:highlight w:val="none"/>
          <w:u w:val="single"/>
        </w:rPr>
        <w:t xml:space="preserve">广西壮族自治区生态环境厅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p>
    <w:p w14:paraId="1A88515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住所地：</w:t>
      </w:r>
      <w:r>
        <w:rPr>
          <w:rFonts w:hint="eastAsia" w:ascii="宋体" w:hAnsi="宋体" w:eastAsia="宋体" w:cs="宋体"/>
          <w:color w:val="auto"/>
          <w:kern w:val="0"/>
          <w:sz w:val="21"/>
          <w:szCs w:val="21"/>
          <w:highlight w:val="none"/>
          <w:u w:val="single"/>
        </w:rPr>
        <w:t xml:space="preserve">广西南宁市青秀区佛子岭路16号             </w:t>
      </w:r>
      <w:r>
        <w:rPr>
          <w:rFonts w:hint="eastAsia" w:ascii="宋体" w:hAnsi="宋体" w:eastAsia="宋体" w:cs="宋体"/>
          <w:color w:val="auto"/>
          <w:kern w:val="0"/>
          <w:sz w:val="21"/>
          <w:szCs w:val="21"/>
          <w:highlight w:val="none"/>
          <w:u w:val="single"/>
          <w:lang w:val="en-US" w:eastAsia="zh-CN"/>
        </w:rPr>
        <w:t xml:space="preserve">      </w:t>
      </w:r>
    </w:p>
    <w:p w14:paraId="6C80195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法定代表人：</w:t>
      </w:r>
      <w:r>
        <w:rPr>
          <w:rFonts w:hint="eastAsia" w:ascii="宋体" w:hAnsi="宋体" w:eastAsia="宋体" w:cs="宋体"/>
          <w:color w:val="auto"/>
          <w:kern w:val="0"/>
          <w:sz w:val="21"/>
          <w:szCs w:val="21"/>
          <w:highlight w:val="none"/>
          <w:u w:val="single"/>
        </w:rPr>
        <w:t>陈亮</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u w:val="single"/>
        </w:rPr>
        <w:t xml:space="preserve">     </w:t>
      </w:r>
    </w:p>
    <w:p w14:paraId="4C38C4F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通讯地址：</w:t>
      </w:r>
      <w:r>
        <w:rPr>
          <w:rFonts w:hint="eastAsia" w:ascii="宋体" w:hAnsi="宋体" w:eastAsia="宋体" w:cs="宋体"/>
          <w:color w:val="auto"/>
          <w:kern w:val="0"/>
          <w:sz w:val="21"/>
          <w:szCs w:val="21"/>
          <w:highlight w:val="none"/>
          <w:u w:val="single"/>
        </w:rPr>
        <w:t xml:space="preserve">广西南宁市青秀区佛子岭路16号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7CE8BD4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电子邮箱：</w:t>
      </w:r>
      <w:r>
        <w:rPr>
          <w:rFonts w:hint="eastAsia" w:ascii="宋体" w:hAnsi="宋体" w:eastAsia="宋体" w:cs="宋体"/>
          <w:color w:val="auto"/>
          <w:kern w:val="0"/>
          <w:sz w:val="21"/>
          <w:szCs w:val="21"/>
          <w:highlight w:val="none"/>
          <w:u w:val="single"/>
        </w:rPr>
        <w:t xml:space="preserve">cgb@sthjt.gxzf.gov.cn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u w:val="single"/>
        </w:rPr>
        <w:t xml:space="preserve">  </w:t>
      </w:r>
    </w:p>
    <w:p w14:paraId="6C07329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0"/>
          <w:sz w:val="21"/>
          <w:szCs w:val="21"/>
          <w:highlight w:val="none"/>
          <w:u w:val="single"/>
        </w:rPr>
      </w:pPr>
      <w:r>
        <w:rPr>
          <w:rFonts w:hint="eastAsia" w:ascii="宋体" w:hAnsi="宋体" w:eastAsia="宋体" w:cs="宋体"/>
          <w:color w:val="auto"/>
          <w:kern w:val="0"/>
          <w:sz w:val="21"/>
          <w:szCs w:val="21"/>
          <w:highlight w:val="none"/>
        </w:rPr>
        <w:t>乙方（牵头人）：</w:t>
      </w:r>
      <w:r>
        <w:rPr>
          <w:rFonts w:hint="eastAsia" w:ascii="宋体" w:hAnsi="宋体" w:eastAsia="宋体" w:cs="宋体"/>
          <w:b w:val="0"/>
          <w:bCs/>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p>
    <w:p w14:paraId="4B25791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rPr>
        <w:t>住所地：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1422174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rPr>
        <w:t>法定代表人：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u w:val="single"/>
        </w:rPr>
        <w:t xml:space="preserve"> </w:t>
      </w:r>
    </w:p>
    <w:p w14:paraId="4600C0F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通讯地址：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Cs/>
          <w:color w:val="auto"/>
          <w:kern w:val="0"/>
          <w:sz w:val="21"/>
          <w:szCs w:val="21"/>
          <w:highlight w:val="none"/>
          <w:u w:val="single"/>
        </w:rPr>
        <w:t xml:space="preserve">  </w:t>
      </w:r>
    </w:p>
    <w:p w14:paraId="22E2C40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联系电话：</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u w:val="single"/>
        </w:rPr>
        <w:t xml:space="preserve">     </w:t>
      </w:r>
    </w:p>
    <w:p w14:paraId="461F24D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电子邮箱：</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rPr>
        <w:t xml:space="preserve">    </w:t>
      </w:r>
    </w:p>
    <w:p w14:paraId="24B700D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p>
    <w:p w14:paraId="2501105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方正小标宋_GBK" w:hAnsi="方正小标宋_GBK" w:eastAsia="方正小标宋_GBK" w:cs="方正小标宋_GBK"/>
          <w:b/>
          <w:bCs/>
          <w:color w:val="auto"/>
          <w:sz w:val="21"/>
          <w:szCs w:val="21"/>
          <w:highlight w:val="none"/>
        </w:rPr>
        <w:t>合同正文</w:t>
      </w:r>
    </w:p>
    <w:p w14:paraId="0D038A12">
      <w:pPr>
        <w:keepNext w:val="0"/>
        <w:keepLines w:val="0"/>
        <w:pageBreakBefore w:val="0"/>
        <w:widowControl w:val="0"/>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根据《中华人民共和国政府采购法》《中华人民共和国民法典》等法律、法规规定，按照招标文件（采购文件）规定条款和投标文件及承诺，采购人（甲方）与中标人（乙方）双方签订本合同。</w:t>
      </w:r>
    </w:p>
    <w:p w14:paraId="53BE0211">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bCs/>
          <w:color w:val="auto"/>
          <w:sz w:val="21"/>
          <w:szCs w:val="21"/>
          <w:highlight w:val="none"/>
        </w:rPr>
      </w:pPr>
      <w:bookmarkStart w:id="225" w:name="_Toc146612292"/>
      <w:r>
        <w:rPr>
          <w:rFonts w:hint="eastAsia" w:ascii="宋体" w:hAnsi="宋体" w:eastAsia="宋体" w:cs="宋体"/>
          <w:b/>
          <w:bCs/>
          <w:color w:val="auto"/>
          <w:sz w:val="21"/>
          <w:szCs w:val="21"/>
          <w:highlight w:val="none"/>
        </w:rPr>
        <w:t>第一条　合同标的</w:t>
      </w:r>
    </w:p>
    <w:tbl>
      <w:tblPr>
        <w:tblStyle w:val="48"/>
        <w:tblpPr w:leftFromText="180" w:rightFromText="180" w:vertAnchor="text" w:horzAnchor="page" w:tblpX="1929" w:tblpY="573"/>
        <w:tblOverlap w:val="never"/>
        <w:tblW w:w="8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226"/>
        <w:gridCol w:w="2100"/>
        <w:gridCol w:w="945"/>
        <w:gridCol w:w="765"/>
        <w:gridCol w:w="1402"/>
        <w:gridCol w:w="1131"/>
      </w:tblGrid>
      <w:tr w14:paraId="3A930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38" w:type="dxa"/>
            <w:tcBorders>
              <w:top w:val="single" w:color="auto" w:sz="4" w:space="0"/>
              <w:left w:val="single" w:color="auto" w:sz="4" w:space="0"/>
              <w:bottom w:val="single" w:color="auto" w:sz="4" w:space="0"/>
              <w:right w:val="single" w:color="auto" w:sz="4" w:space="0"/>
            </w:tcBorders>
            <w:noWrap w:val="0"/>
            <w:vAlign w:val="center"/>
          </w:tcPr>
          <w:p w14:paraId="7F317852">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序号</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0A33F890">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名称</w:t>
            </w:r>
          </w:p>
        </w:tc>
        <w:tc>
          <w:tcPr>
            <w:tcW w:w="2100" w:type="dxa"/>
            <w:tcBorders>
              <w:top w:val="single" w:color="auto" w:sz="4" w:space="0"/>
              <w:left w:val="single" w:color="auto" w:sz="4" w:space="0"/>
              <w:bottom w:val="single" w:color="auto" w:sz="4" w:space="0"/>
              <w:right w:val="single" w:color="auto" w:sz="4" w:space="0"/>
            </w:tcBorders>
            <w:noWrap w:val="0"/>
            <w:vAlign w:val="center"/>
          </w:tcPr>
          <w:p w14:paraId="0668C53D">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服务内容</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18CAE3D8">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数量</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0C59D3A7">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单位</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66E1813F">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单  价</w:t>
            </w:r>
          </w:p>
          <w:p w14:paraId="1B1E3E99">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（元）</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7DEA3D85">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总  价</w:t>
            </w:r>
          </w:p>
          <w:p w14:paraId="0AB2848B">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（元）</w:t>
            </w:r>
          </w:p>
        </w:tc>
      </w:tr>
      <w:tr w14:paraId="6FFE9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38" w:type="dxa"/>
            <w:tcBorders>
              <w:top w:val="single" w:color="auto" w:sz="4" w:space="0"/>
              <w:left w:val="single" w:color="auto" w:sz="4" w:space="0"/>
              <w:bottom w:val="single" w:color="auto" w:sz="4" w:space="0"/>
              <w:right w:val="single" w:color="auto" w:sz="4" w:space="0"/>
            </w:tcBorders>
            <w:noWrap w:val="0"/>
            <w:vAlign w:val="center"/>
          </w:tcPr>
          <w:p w14:paraId="31A4DB18">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5FC9C9B6">
            <w:pPr>
              <w:keepNext w:val="0"/>
              <w:keepLines w:val="0"/>
              <w:pageBreakBefore w:val="0"/>
              <w:widowControl w:val="0"/>
              <w:kinsoku/>
              <w:wordWrap/>
              <w:overflowPunct/>
              <w:topLinePunct w:val="0"/>
              <w:autoSpaceDE/>
              <w:autoSpaceDN/>
              <w:bidi w:val="0"/>
              <w:adjustRightInd/>
              <w:snapToGrid/>
              <w:spacing w:beforeLines="0" w:afterLines="0" w:line="400" w:lineRule="exact"/>
              <w:jc w:val="both"/>
              <w:textAlignment w:val="auto"/>
              <w:rPr>
                <w:rFonts w:hint="eastAsia" w:ascii="宋体" w:hAnsi="宋体" w:eastAsia="宋体" w:cs="宋体"/>
                <w:color w:val="auto"/>
                <w:sz w:val="21"/>
                <w:szCs w:val="21"/>
                <w:highlight w:val="none"/>
                <w:u w:val="none"/>
                <w:lang w:val="en-US" w:eastAsia="zh-CN"/>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14:paraId="02197D86">
            <w:pPr>
              <w:keepNext w:val="0"/>
              <w:keepLines w:val="0"/>
              <w:pageBreakBefore w:val="0"/>
              <w:widowControl w:val="0"/>
              <w:kinsoku/>
              <w:wordWrap/>
              <w:overflowPunct/>
              <w:topLinePunct w:val="0"/>
              <w:autoSpaceDE/>
              <w:autoSpaceDN/>
              <w:bidi w:val="0"/>
              <w:adjustRightInd/>
              <w:snapToGrid/>
              <w:spacing w:beforeLines="0" w:afterLines="0" w:line="400" w:lineRule="exact"/>
              <w:ind w:left="0" w:leftChars="0" w:firstLine="0" w:firstLineChars="0"/>
              <w:jc w:val="both"/>
              <w:textAlignment w:val="auto"/>
              <w:rPr>
                <w:rFonts w:hint="eastAsia" w:ascii="宋体" w:hAnsi="宋体" w:eastAsia="宋体" w:cs="宋体"/>
                <w:color w:val="auto"/>
                <w:sz w:val="21"/>
                <w:szCs w:val="21"/>
                <w:highlight w:val="none"/>
                <w:u w:val="none"/>
                <w:lang w:val="en-US" w:eastAsia="zh-CN"/>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30EA247A">
            <w:pPr>
              <w:keepNext w:val="0"/>
              <w:keepLines w:val="0"/>
              <w:pageBreakBefore w:val="0"/>
              <w:widowControl w:val="0"/>
              <w:kinsoku/>
              <w:wordWrap/>
              <w:overflowPunct/>
              <w:topLinePunct w:val="0"/>
              <w:autoSpaceDE/>
              <w:autoSpaceDN/>
              <w:bidi w:val="0"/>
              <w:adjustRightInd/>
              <w:snapToGrid/>
              <w:spacing w:beforeLines="0" w:afterLines="0" w:line="400" w:lineRule="exact"/>
              <w:ind w:left="0" w:leftChars="0" w:firstLine="0" w:firstLineChars="0"/>
              <w:jc w:val="both"/>
              <w:textAlignment w:val="auto"/>
              <w:rPr>
                <w:rFonts w:hint="eastAsia" w:ascii="宋体" w:hAnsi="宋体" w:eastAsia="宋体" w:cs="宋体"/>
                <w:color w:val="auto"/>
                <w:sz w:val="21"/>
                <w:szCs w:val="21"/>
                <w:highlight w:val="none"/>
                <w:u w:val="none"/>
                <w:lang w:val="en-US" w:eastAsia="zh-CN"/>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434AC85F">
            <w:pPr>
              <w:keepNext w:val="0"/>
              <w:keepLines w:val="0"/>
              <w:pageBreakBefore w:val="0"/>
              <w:widowControl w:val="0"/>
              <w:kinsoku/>
              <w:wordWrap/>
              <w:overflowPunct/>
              <w:topLinePunct w:val="0"/>
              <w:autoSpaceDE/>
              <w:autoSpaceDN/>
              <w:bidi w:val="0"/>
              <w:adjustRightInd/>
              <w:snapToGrid/>
              <w:spacing w:beforeLines="0" w:afterLines="0" w:line="400" w:lineRule="exact"/>
              <w:ind w:left="0" w:leftChars="0" w:firstLine="0" w:firstLineChars="0"/>
              <w:jc w:val="both"/>
              <w:textAlignment w:val="auto"/>
              <w:rPr>
                <w:rFonts w:hint="eastAsia" w:ascii="宋体" w:hAnsi="宋体" w:eastAsia="宋体" w:cs="宋体"/>
                <w:color w:val="auto"/>
                <w:sz w:val="21"/>
                <w:szCs w:val="21"/>
                <w:highlight w:val="none"/>
                <w:u w:val="none"/>
                <w:lang w:val="en-US" w:eastAsia="zh-CN"/>
              </w:rPr>
            </w:pPr>
          </w:p>
        </w:tc>
        <w:tc>
          <w:tcPr>
            <w:tcW w:w="1402" w:type="dxa"/>
            <w:tcBorders>
              <w:top w:val="single" w:color="auto" w:sz="4" w:space="0"/>
              <w:left w:val="single" w:color="auto" w:sz="4" w:space="0"/>
              <w:bottom w:val="single" w:color="auto" w:sz="4" w:space="0"/>
              <w:right w:val="single" w:color="auto" w:sz="4" w:space="0"/>
            </w:tcBorders>
            <w:noWrap w:val="0"/>
            <w:vAlign w:val="center"/>
          </w:tcPr>
          <w:p w14:paraId="654CF134">
            <w:pPr>
              <w:keepNext w:val="0"/>
              <w:keepLines w:val="0"/>
              <w:pageBreakBefore w:val="0"/>
              <w:widowControl w:val="0"/>
              <w:kinsoku/>
              <w:wordWrap/>
              <w:overflowPunct/>
              <w:topLinePunct w:val="0"/>
              <w:autoSpaceDE/>
              <w:autoSpaceDN/>
              <w:bidi w:val="0"/>
              <w:adjustRightInd/>
              <w:snapToGrid/>
              <w:spacing w:beforeLines="0" w:afterLines="0" w:line="400" w:lineRule="exact"/>
              <w:ind w:left="0" w:leftChars="0" w:firstLine="0" w:firstLineChars="0"/>
              <w:jc w:val="both"/>
              <w:textAlignment w:val="auto"/>
              <w:rPr>
                <w:rFonts w:hint="eastAsia" w:ascii="宋体" w:hAnsi="宋体" w:eastAsia="宋体" w:cs="宋体"/>
                <w:color w:val="auto"/>
                <w:sz w:val="21"/>
                <w:szCs w:val="21"/>
                <w:highlight w:val="none"/>
                <w:u w:val="none"/>
                <w:lang w:val="en-US" w:eastAsia="zh-CN"/>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2B60B440">
            <w:pPr>
              <w:keepNext w:val="0"/>
              <w:keepLines w:val="0"/>
              <w:pageBreakBefore w:val="0"/>
              <w:widowControl w:val="0"/>
              <w:kinsoku/>
              <w:wordWrap/>
              <w:overflowPunct/>
              <w:topLinePunct w:val="0"/>
              <w:autoSpaceDE/>
              <w:autoSpaceDN/>
              <w:bidi w:val="0"/>
              <w:adjustRightInd/>
              <w:snapToGrid/>
              <w:spacing w:beforeLines="0" w:afterLines="0" w:line="400" w:lineRule="exact"/>
              <w:ind w:left="0" w:leftChars="0" w:firstLine="0" w:firstLineChars="0"/>
              <w:jc w:val="both"/>
              <w:textAlignment w:val="auto"/>
              <w:rPr>
                <w:rFonts w:hint="eastAsia" w:ascii="宋体" w:hAnsi="宋体" w:eastAsia="宋体" w:cs="宋体"/>
                <w:color w:val="auto"/>
                <w:sz w:val="21"/>
                <w:szCs w:val="21"/>
                <w:highlight w:val="none"/>
                <w:u w:val="none"/>
                <w:lang w:val="en-US" w:eastAsia="zh-CN"/>
              </w:rPr>
            </w:pPr>
          </w:p>
        </w:tc>
      </w:tr>
      <w:tr w14:paraId="438F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8307" w:type="dxa"/>
            <w:gridSpan w:val="7"/>
            <w:tcBorders>
              <w:top w:val="single" w:color="auto" w:sz="4" w:space="0"/>
              <w:left w:val="single" w:color="auto" w:sz="4" w:space="0"/>
              <w:bottom w:val="single" w:color="auto" w:sz="4" w:space="0"/>
              <w:right w:val="single" w:color="auto" w:sz="4" w:space="0"/>
            </w:tcBorders>
            <w:noWrap w:val="0"/>
            <w:vAlign w:val="center"/>
          </w:tcPr>
          <w:p w14:paraId="1AB896AC">
            <w:pPr>
              <w:keepNext w:val="0"/>
              <w:keepLines w:val="0"/>
              <w:pageBreakBefore w:val="0"/>
              <w:widowControl w:val="0"/>
              <w:kinsoku/>
              <w:wordWrap/>
              <w:overflowPunct/>
              <w:topLinePunct w:val="0"/>
              <w:autoSpaceDE/>
              <w:autoSpaceDN/>
              <w:bidi w:val="0"/>
              <w:adjustRightInd/>
              <w:snapToGrid/>
              <w:spacing w:beforeLines="0" w:afterLines="0" w:line="400" w:lineRule="exact"/>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合同合计金额（人民币，大写）：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元整（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tc>
      </w:tr>
    </w:tbl>
    <w:p w14:paraId="7CC88600">
      <w:pPr>
        <w:keepNext w:val="0"/>
        <w:keepLines w:val="0"/>
        <w:pageBreakBefore w:val="0"/>
        <w:widowControl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1.服务一览表</w:t>
      </w:r>
    </w:p>
    <w:p w14:paraId="536C0BBC">
      <w:pPr>
        <w:keepNext w:val="0"/>
        <w:keepLines w:val="0"/>
        <w:pageBreakBefore w:val="0"/>
        <w:widowControl w:val="0"/>
        <w:kinsoku/>
        <w:wordWrap/>
        <w:overflowPunct/>
        <w:topLinePunct w:val="0"/>
        <w:autoSpaceDE/>
        <w:autoSpaceDN/>
        <w:bidi w:val="0"/>
        <w:adjustRightInd/>
        <w:snapToGrid/>
        <w:spacing w:before="0" w:beforeLines="0" w:afterLines="0" w:line="40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合同合计金额包括但不限于满足本次招标全部采购需求所应提供的服务，以及伴随的货物和工程（如有）的价格，包括但不限于服务、技术支持、售后服务、差旅费、劳务费、样品采集和检测费、材料费、培训费、验收费、手续费、包装费、运输费、保险费和各项税金及由于市场价格波动增加的费用，以及不可预见费等所有费用。</w:t>
      </w:r>
    </w:p>
    <w:p w14:paraId="5A3C15E2">
      <w:pPr>
        <w:keepNext w:val="0"/>
        <w:keepLines w:val="0"/>
        <w:pageBreakBefore w:val="0"/>
        <w:kinsoku/>
        <w:wordWrap/>
        <w:overflowPunct/>
        <w:topLinePunct w:val="0"/>
        <w:autoSpaceDE/>
        <w:autoSpaceDN/>
        <w:bidi w:val="0"/>
        <w:adjustRightInd/>
        <w:snapToGrid/>
        <w:spacing w:beforeLines="0" w:afterLines="0"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第二条　质量保证</w:t>
      </w:r>
    </w:p>
    <w:p w14:paraId="7B9A8A82">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乙方应建立和完善履行合同的内部质量保证体系，并提供相关内部规章制度给甲方，以便甲方进行监督检查；</w:t>
      </w:r>
    </w:p>
    <w:p w14:paraId="550C6811">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乙方应保证履行合同的人员数量和素质、软件和硬件设备的配置、场地、环境和设施等满足全面履行合同的要求，并应接受甲方的监督检查。</w:t>
      </w:r>
    </w:p>
    <w:p w14:paraId="4E9498DB">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所提供的服务、服务质量及服务内容必须与合同、招标文件、投标文件及承诺相一致。有国家强制性标准的，还必须符合国家强制性标准的规定；没有国家强制性标准但有其他标准的，必须符合其他标准的规定。</w:t>
      </w:r>
    </w:p>
    <w:p w14:paraId="4414B6B8">
      <w:pPr>
        <w:keepNext w:val="0"/>
        <w:keepLines w:val="0"/>
        <w:pageBreakBefore w:val="0"/>
        <w:kinsoku/>
        <w:wordWrap/>
        <w:overflowPunct/>
        <w:topLinePunct w:val="0"/>
        <w:autoSpaceDE/>
        <w:autoSpaceDN/>
        <w:bidi w:val="0"/>
        <w:adjustRightInd/>
        <w:snapToGrid/>
        <w:spacing w:beforeLines="0" w:afterLines="0"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第三条　权利保证</w:t>
      </w:r>
    </w:p>
    <w:p w14:paraId="1865E3A8">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1.甲方有权随时向乙方了解服务进度和对服务资金使用情况进行监督、检查，并要求乙方提供相关资料。</w:t>
      </w:r>
    </w:p>
    <w:p w14:paraId="4EC88FFD">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有权按照合同约定或有关法律法规、政府管理的相关职能规定，对乙方服务进行监督和检查，有权要求乙方按照监督检查情况制定相应措施并加以整改。甲方不因行使该监督和检查权而承担任何责任，也不因此而减轻或免除乙方根据合同约定或相关法律法规规定应承担的任何义务或责任。</w:t>
      </w:r>
    </w:p>
    <w:p w14:paraId="6506F62A">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3.乙方应保证所提供服务在使用时不会侵犯任何第三方的专利权、商标权、工业设计权等知识产权及其他合法权利，且所有权、处分权等没有受到任何限制。</w:t>
      </w:r>
    </w:p>
    <w:p w14:paraId="0583D6EB">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没有甲方事先书面同意，乙方不得将由甲方提供的有关合同或者任何合同条文、规格、计划、图纸、样品或者资料提供给与履行本合同无关的任何其他人。即使向履行合同有关的人员提供，也应注意保密并限于履行合同的必需范围。乙方的保密义务持续有效，不因为本合同履行终止、解除或者无效而解除。</w:t>
      </w:r>
    </w:p>
    <w:p w14:paraId="7FBEF43C">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保证所交付的服务成果的所有权完全属于乙方且无任何抵押、质押、查封等产权瑕疵。如乙方所交付服务成果有产权瑕疵的，视为乙方违约。但在已经全部支付完合同款后才发现有产权瑕疵的，乙方除了支付违约金，还应负担甲方由此产生的一切损失。</w:t>
      </w:r>
    </w:p>
    <w:p w14:paraId="4ABE12CA">
      <w:pPr>
        <w:keepNext w:val="0"/>
        <w:keepLines w:val="0"/>
        <w:pageBreakBefore w:val="0"/>
        <w:kinsoku/>
        <w:wordWrap/>
        <w:overflowPunct/>
        <w:topLinePunct w:val="0"/>
        <w:autoSpaceDE/>
        <w:autoSpaceDN/>
        <w:bidi w:val="0"/>
        <w:adjustRightInd/>
        <w:snapToGrid/>
        <w:spacing w:beforeLines="0" w:afterLines="0"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第四条　交付和验收</w:t>
      </w:r>
    </w:p>
    <w:p w14:paraId="7A0C3441">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1.提交服务成果时间</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rPr>
        <w:t>。</w:t>
      </w:r>
    </w:p>
    <w:p w14:paraId="0B992AEE">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2.提交服务成果地点：</w:t>
      </w:r>
      <w:r>
        <w:rPr>
          <w:rFonts w:hint="eastAsia" w:ascii="宋体" w:hAnsi="宋体" w:eastAsia="宋体" w:cs="宋体"/>
          <w:color w:val="auto"/>
          <w:sz w:val="21"/>
          <w:szCs w:val="21"/>
          <w:highlight w:val="none"/>
          <w:u w:val="single"/>
          <w:lang w:eastAsia="zh-CN"/>
        </w:rPr>
        <w:t>甲方</w:t>
      </w:r>
      <w:r>
        <w:rPr>
          <w:rFonts w:hint="eastAsia" w:ascii="宋体" w:hAnsi="宋体" w:eastAsia="宋体" w:cs="宋体"/>
          <w:color w:val="auto"/>
          <w:sz w:val="21"/>
          <w:szCs w:val="21"/>
          <w:highlight w:val="none"/>
          <w:u w:val="single"/>
        </w:rPr>
        <w:t>指定地点</w:t>
      </w:r>
      <w:r>
        <w:rPr>
          <w:rFonts w:hint="eastAsia" w:ascii="宋体" w:hAnsi="宋体" w:eastAsia="宋体" w:cs="宋体"/>
          <w:color w:val="auto"/>
          <w:sz w:val="21"/>
          <w:szCs w:val="21"/>
          <w:highlight w:val="none"/>
        </w:rPr>
        <w:t>。</w:t>
      </w:r>
    </w:p>
    <w:p w14:paraId="0A4D1753">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3.乙方应按合同、招标文件、投标文件及承诺向甲方提供相应的服务，并提供服务质量和服务内容的相关技术资料。</w:t>
      </w:r>
    </w:p>
    <w:p w14:paraId="2F82B908">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4.乙方提供不符合合同、招标文件、投标文件规定的服务成果，甲方有权拒绝接受。</w:t>
      </w:r>
    </w:p>
    <w:p w14:paraId="77EFD8BA">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5.乙方在完成服务前应对服务作出全面检查和对验收文件进行整理，并列出清单，作为甲方服务验收的技术依据，清单应随提交的服务成果交给甲方。</w:t>
      </w:r>
    </w:p>
    <w:p w14:paraId="674295BD">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6.乙方完成服务后应及时书面通知甲方进行验收，甲方应在收到通知后七个工作日内进行验收，逾期不开始验收的，乙方可视同验收合格。</w:t>
      </w:r>
    </w:p>
    <w:p w14:paraId="4150069D">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甲乙双方应按照《广西壮族自治区政府采购项目履约验收管理办法》、合同、招标文件、投标文件验收，验收时乙方必须在现场，验收费用由乙方负责。服务质量和服务内容符合合同、招标文件、投标文件规定的要求的，由甲乙双方签署验收合格单并加盖甲方公章，甲乙双方各执一份。</w:t>
      </w:r>
    </w:p>
    <w:p w14:paraId="5D7493E2">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甲方在初步验收或者最终验收过程中发现乙方提供的服务、服务质量或服务内容不满足合同、招标文件、投标文件规定的，可暂缓向乙方付款，直到乙方及时完善并提交相应的服务成果且经甲方验收合格后，方可办理付款。</w:t>
      </w:r>
    </w:p>
    <w:p w14:paraId="0B6A3799">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甲方验收时发现乙方提供的服务、服务质量或服务内容不满足合同、招标文件、投标文件规定并以书面形式提出异议的，乙方应自收到甲方书面异议后五个工作日内予以解决，否则甲方有权不出具验收合格单。乙方因解决异议问题而造成逾期的，按乙方逾期交付处理。</w:t>
      </w:r>
    </w:p>
    <w:p w14:paraId="76CA4C7E">
      <w:pPr>
        <w:keepNext w:val="0"/>
        <w:keepLines w:val="0"/>
        <w:pageBreakBefore w:val="0"/>
        <w:kinsoku/>
        <w:wordWrap/>
        <w:overflowPunct/>
        <w:topLinePunct w:val="0"/>
        <w:autoSpaceDE/>
        <w:autoSpaceDN/>
        <w:bidi w:val="0"/>
        <w:adjustRightInd/>
        <w:snapToGrid/>
        <w:spacing w:beforeLines="0" w:afterLines="0"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第五条　售后服务、服务质量保证期及培训</w:t>
      </w:r>
    </w:p>
    <w:p w14:paraId="3A4AE89C">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1.乙方应按照国家有关法律法规、合同、招标文件、投标文件所附的《服务承诺》要求为甲方提供相应的服务。</w:t>
      </w:r>
    </w:p>
    <w:p w14:paraId="68B0F930">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2.乙方提供服务的质量保证期按交付服务成果验收合格并签署验收合格单之日起计算，为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日，在质量保证期内因服务成果本身的技术问题，乙方应对服务出现的问题负责处理解决，并承担一切费用。</w:t>
      </w:r>
    </w:p>
    <w:p w14:paraId="7DF57B2B">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3.在质量保证期内发生技术服务问题，乙方应在接到甲方通知后24小时内到达甲方现场，在甲方指定的期限内解决问题。</w:t>
      </w:r>
    </w:p>
    <w:p w14:paraId="165F7E1C">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4.乙方负责甲方有关人员的培训。</w:t>
      </w:r>
    </w:p>
    <w:p w14:paraId="2B23CC34">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培训时间：</w:t>
      </w:r>
      <w:r>
        <w:rPr>
          <w:rFonts w:hint="eastAsia" w:ascii="宋体" w:hAnsi="宋体" w:eastAsia="宋体" w:cs="宋体"/>
          <w:color w:val="auto"/>
          <w:sz w:val="21"/>
          <w:szCs w:val="21"/>
          <w:highlight w:val="none"/>
          <w:u w:val="single"/>
        </w:rPr>
        <w:t>甲方另行指定时间。</w:t>
      </w:r>
    </w:p>
    <w:p w14:paraId="549E6FAE">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培训地点：</w:t>
      </w:r>
      <w:r>
        <w:rPr>
          <w:rFonts w:hint="eastAsia" w:ascii="宋体" w:hAnsi="宋体" w:eastAsia="宋体" w:cs="宋体"/>
          <w:color w:val="auto"/>
          <w:sz w:val="21"/>
          <w:szCs w:val="21"/>
          <w:highlight w:val="none"/>
          <w:u w:val="single"/>
        </w:rPr>
        <w:t>广西区内（甲方指定地点）。</w:t>
      </w:r>
    </w:p>
    <w:p w14:paraId="28247D4C">
      <w:pPr>
        <w:keepNext w:val="0"/>
        <w:keepLines w:val="0"/>
        <w:pageBreakBefore w:val="0"/>
        <w:kinsoku/>
        <w:wordWrap/>
        <w:overflowPunct/>
        <w:topLinePunct w:val="0"/>
        <w:autoSpaceDE/>
        <w:autoSpaceDN/>
        <w:bidi w:val="0"/>
        <w:adjustRightInd/>
        <w:snapToGrid/>
        <w:spacing w:beforeLines="0" w:afterLines="0"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第六条　付款方式</w:t>
      </w:r>
    </w:p>
    <w:p w14:paraId="7B2E1183">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1.资金性质：</w:t>
      </w:r>
      <w:r>
        <w:rPr>
          <w:rFonts w:hint="eastAsia" w:ascii="宋体" w:hAnsi="宋体" w:eastAsia="宋体" w:cs="宋体"/>
          <w:color w:val="auto"/>
          <w:sz w:val="21"/>
          <w:szCs w:val="21"/>
          <w:highlight w:val="none"/>
          <w:u w:val="single"/>
        </w:rPr>
        <w:t>财政资金</w:t>
      </w:r>
      <w:r>
        <w:rPr>
          <w:rFonts w:hint="eastAsia" w:ascii="宋体" w:hAnsi="宋体" w:eastAsia="宋体" w:cs="宋体"/>
          <w:color w:val="auto"/>
          <w:sz w:val="21"/>
          <w:szCs w:val="21"/>
          <w:highlight w:val="none"/>
        </w:rPr>
        <w:t>。</w:t>
      </w:r>
    </w:p>
    <w:p w14:paraId="1584A3B5">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2.付款方式</w:t>
      </w:r>
    </w:p>
    <w:p w14:paraId="7B8E0459">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本合同总金额为人民币</w:t>
      </w:r>
      <w:r>
        <w:rPr>
          <w:rFonts w:hint="eastAsia" w:ascii="宋体" w:hAnsi="宋体" w:eastAsia="宋体" w:cs="宋体"/>
          <w:color w:val="auto"/>
          <w:sz w:val="21"/>
          <w:szCs w:val="21"/>
          <w:highlight w:val="none"/>
          <w:u w:val="single"/>
          <w:lang w:val="en-US" w:eastAsia="zh-CN"/>
        </w:rPr>
        <w:t xml:space="preserve">       元</w:t>
      </w:r>
      <w:r>
        <w:rPr>
          <w:rFonts w:hint="eastAsia" w:ascii="宋体" w:hAnsi="宋体" w:eastAsia="宋体" w:cs="宋体"/>
          <w:color w:val="auto"/>
          <w:sz w:val="21"/>
          <w:szCs w:val="21"/>
          <w:highlight w:val="none"/>
          <w:u w:val="single"/>
        </w:rPr>
        <w:t>整</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元)</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rPr>
        <w:t>甲乙双方同意按以下方式支付合同合计金额：</w:t>
      </w:r>
    </w:p>
    <w:p w14:paraId="7564F37C">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（1）合同签订后</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个工作日内，</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支付50%合同款</w:t>
      </w:r>
      <w:r>
        <w:rPr>
          <w:rFonts w:hint="eastAsia" w:ascii="宋体" w:hAnsi="宋体" w:eastAsia="宋体" w:cs="宋体"/>
          <w:color w:val="auto"/>
          <w:sz w:val="21"/>
          <w:szCs w:val="21"/>
          <w:highlight w:val="none"/>
          <w:lang w:eastAsia="zh-CN"/>
        </w:rPr>
        <w:t>：人民币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元整(</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元)；</w:t>
      </w:r>
    </w:p>
    <w:p w14:paraId="62C595D6">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乙方按照项目合同要求，</w:t>
      </w:r>
      <w:r>
        <w:rPr>
          <w:rFonts w:hint="eastAsia" w:ascii="宋体" w:hAnsi="宋体" w:eastAsia="宋体" w:cs="宋体"/>
          <w:color w:val="auto"/>
          <w:sz w:val="21"/>
          <w:szCs w:val="21"/>
          <w:highlight w:val="none"/>
          <w:lang w:val="en-US" w:eastAsia="zh-CN"/>
        </w:rPr>
        <w:t>完成广西“千吨万人”饮用水水源重金属环境风险隐患问题排查及复核、试点水源重金属污染溯源、供水设施重金属污染防控与应急能力调查等工作，并提交排查报告、监测结果、问题清单等相应成果</w:t>
      </w:r>
      <w:r>
        <w:rPr>
          <w:rFonts w:hint="eastAsia" w:ascii="宋体" w:hAnsi="宋体" w:eastAsia="宋体" w:cs="宋体"/>
          <w:color w:val="auto"/>
          <w:sz w:val="21"/>
          <w:szCs w:val="21"/>
          <w:highlight w:val="none"/>
          <w:lang w:eastAsia="zh-CN"/>
        </w:rPr>
        <w:t>后</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个工作日内</w:t>
      </w:r>
      <w:r>
        <w:rPr>
          <w:rFonts w:hint="eastAsia" w:ascii="宋体" w:hAnsi="宋体" w:eastAsia="宋体" w:cs="宋体"/>
          <w:color w:val="auto"/>
          <w:sz w:val="21"/>
          <w:szCs w:val="21"/>
          <w:highlight w:val="none"/>
          <w:lang w:val="en-US" w:eastAsia="zh-CN"/>
        </w:rPr>
        <w:t>支付4</w:t>
      </w:r>
      <w:r>
        <w:rPr>
          <w:rFonts w:hint="eastAsia" w:ascii="宋体" w:hAnsi="宋体" w:eastAsia="宋体" w:cs="宋体"/>
          <w:color w:val="auto"/>
          <w:sz w:val="21"/>
          <w:szCs w:val="21"/>
          <w:highlight w:val="none"/>
        </w:rPr>
        <w:t>0%合同款</w:t>
      </w:r>
      <w:r>
        <w:rPr>
          <w:rFonts w:hint="eastAsia" w:ascii="宋体" w:hAnsi="宋体" w:eastAsia="宋体" w:cs="宋体"/>
          <w:color w:val="auto"/>
          <w:sz w:val="21"/>
          <w:szCs w:val="21"/>
          <w:highlight w:val="none"/>
          <w:lang w:eastAsia="zh-CN"/>
        </w:rPr>
        <w:t>：人民币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元整(</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元)；</w:t>
      </w:r>
    </w:p>
    <w:p w14:paraId="6AFB444E">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lang w:val="en-US" w:eastAsia="zh-CN"/>
        </w:rPr>
        <w:t>按照</w:t>
      </w:r>
      <w:r>
        <w:rPr>
          <w:rFonts w:hint="eastAsia" w:ascii="宋体" w:hAnsi="宋体" w:eastAsia="宋体" w:cs="宋体"/>
          <w:color w:val="auto"/>
          <w:sz w:val="21"/>
          <w:szCs w:val="21"/>
          <w:highlight w:val="none"/>
          <w:lang w:eastAsia="zh-CN"/>
        </w:rPr>
        <w:t>项目合同要求完成所有服务并按照采购需求提交项目成果，</w:t>
      </w:r>
      <w:r>
        <w:rPr>
          <w:rFonts w:hint="eastAsia" w:ascii="宋体" w:hAnsi="宋体" w:eastAsia="宋体" w:cs="宋体"/>
          <w:color w:val="auto"/>
          <w:sz w:val="21"/>
          <w:szCs w:val="21"/>
          <w:highlight w:val="none"/>
        </w:rPr>
        <w:t>经</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验收合格后，</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个工作日内支付剩余</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0%合同款</w:t>
      </w:r>
      <w:r>
        <w:rPr>
          <w:rFonts w:hint="eastAsia" w:ascii="宋体" w:hAnsi="宋体" w:eastAsia="宋体" w:cs="宋体"/>
          <w:color w:val="auto"/>
          <w:sz w:val="21"/>
          <w:szCs w:val="21"/>
          <w:highlight w:val="none"/>
          <w:lang w:eastAsia="zh-CN"/>
        </w:rPr>
        <w:t>：人民币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元整(</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元)；</w:t>
      </w:r>
    </w:p>
    <w:p w14:paraId="00F61B43">
      <w:pPr>
        <w:keepNext w:val="0"/>
        <w:keepLines w:val="0"/>
        <w:pageBreakBefore w:val="0"/>
        <w:kinsoku/>
        <w:wordWrap/>
        <w:overflowPunct/>
        <w:topLinePunct w:val="0"/>
        <w:autoSpaceDE/>
        <w:autoSpaceDN/>
        <w:bidi w:val="0"/>
        <w:adjustRightInd/>
        <w:snapToGrid/>
        <w:spacing w:beforeLines="-2147483648" w:afterLines="-2147483648" w:line="400" w:lineRule="exact"/>
        <w:ind w:firstLine="422" w:firstLineChars="200"/>
        <w:jc w:val="both"/>
        <w:textAlignment w:val="auto"/>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如乙方为联合体</w:t>
      </w:r>
      <w:r>
        <w:rPr>
          <w:rFonts w:hint="eastAsia" w:ascii="宋体" w:hAnsi="宋体" w:cs="宋体"/>
          <w:b/>
          <w:bCs/>
          <w:color w:val="auto"/>
          <w:sz w:val="21"/>
          <w:szCs w:val="21"/>
          <w:highlight w:val="none"/>
          <w:lang w:eastAsia="zh-CN"/>
        </w:rPr>
        <w:t>的</w:t>
      </w:r>
      <w:r>
        <w:rPr>
          <w:rFonts w:hint="eastAsia" w:ascii="宋体" w:hAnsi="宋体" w:eastAsia="宋体" w:cs="宋体"/>
          <w:b/>
          <w:bCs/>
          <w:color w:val="auto"/>
          <w:sz w:val="21"/>
          <w:szCs w:val="21"/>
          <w:highlight w:val="none"/>
        </w:rPr>
        <w:t>，应在合同签订前向甲方</w:t>
      </w:r>
      <w:r>
        <w:rPr>
          <w:rFonts w:hint="eastAsia" w:ascii="宋体" w:hAnsi="宋体" w:cs="宋体"/>
          <w:b/>
          <w:bCs/>
          <w:color w:val="auto"/>
          <w:sz w:val="21"/>
          <w:szCs w:val="21"/>
          <w:highlight w:val="none"/>
          <w:lang w:eastAsia="zh-CN"/>
        </w:rPr>
        <w:t>提交</w:t>
      </w:r>
      <w:r>
        <w:rPr>
          <w:rFonts w:hint="eastAsia" w:ascii="宋体" w:hAnsi="宋体" w:eastAsia="宋体" w:cs="宋体"/>
          <w:b/>
          <w:bCs/>
          <w:color w:val="auto"/>
          <w:sz w:val="21"/>
          <w:szCs w:val="21"/>
          <w:highlight w:val="none"/>
        </w:rPr>
        <w:t>加盖所有成员公章的《联合体收款账户确认函》</w:t>
      </w:r>
      <w:r>
        <w:rPr>
          <w:rFonts w:hint="eastAsia" w:ascii="宋体" w:hAnsi="宋体" w:cs="宋体"/>
          <w:b/>
          <w:bCs/>
          <w:color w:val="auto"/>
          <w:sz w:val="21"/>
          <w:szCs w:val="21"/>
          <w:highlight w:val="none"/>
          <w:lang w:eastAsia="zh-CN"/>
        </w:rPr>
        <w:t>，明确</w:t>
      </w:r>
      <w:r>
        <w:rPr>
          <w:rFonts w:hint="eastAsia" w:ascii="宋体" w:hAnsi="宋体" w:eastAsia="宋体" w:cs="宋体"/>
          <w:b/>
          <w:bCs/>
          <w:color w:val="auto"/>
          <w:sz w:val="21"/>
          <w:szCs w:val="21"/>
          <w:highlight w:val="none"/>
        </w:rPr>
        <w:t>其内部款项分配约定（即统一支付至牵头人账户或按比例分别支付至各成员账户）</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收款账户信息</w:t>
      </w:r>
      <w:r>
        <w:rPr>
          <w:rFonts w:hint="eastAsia" w:ascii="宋体" w:hAnsi="宋体" w:cs="宋体"/>
          <w:b/>
          <w:bCs/>
          <w:color w:val="auto"/>
          <w:sz w:val="21"/>
          <w:szCs w:val="21"/>
          <w:highlight w:val="none"/>
          <w:lang w:eastAsia="zh-CN"/>
        </w:rPr>
        <w:t>等</w:t>
      </w:r>
      <w:r>
        <w:rPr>
          <w:rFonts w:hint="eastAsia" w:ascii="宋体" w:hAnsi="宋体" w:eastAsia="宋体" w:cs="宋体"/>
          <w:b/>
          <w:bCs/>
          <w:color w:val="auto"/>
          <w:sz w:val="21"/>
          <w:szCs w:val="21"/>
          <w:highlight w:val="none"/>
        </w:rPr>
        <w:t>。甲方按该确认函的约定完成</w:t>
      </w:r>
      <w:r>
        <w:rPr>
          <w:rFonts w:hint="eastAsia" w:ascii="宋体" w:hAnsi="宋体" w:cs="宋体"/>
          <w:b/>
          <w:bCs/>
          <w:color w:val="auto"/>
          <w:sz w:val="21"/>
          <w:szCs w:val="21"/>
          <w:highlight w:val="none"/>
          <w:lang w:eastAsia="zh-CN"/>
        </w:rPr>
        <w:t>支付后，即视为已完全履行了对乙方（联合体）的付款义务。因联合体内部款项分配产生的任何纠纷，由联合体各方自行解决，与甲方无关</w:t>
      </w:r>
      <w:r>
        <w:rPr>
          <w:rFonts w:hint="eastAsia" w:ascii="宋体" w:hAnsi="宋体" w:cs="宋体"/>
          <w:b/>
          <w:bCs/>
          <w:color w:val="auto"/>
          <w:sz w:val="21"/>
          <w:szCs w:val="21"/>
          <w:highlight w:val="none"/>
          <w:lang w:val="en-US" w:eastAsia="zh-CN"/>
        </w:rPr>
        <w:t>。</w:t>
      </w:r>
    </w:p>
    <w:p w14:paraId="18A259B3">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3.乙方指定以下账户为接受本合同价款的账户，并对其指定的下列账户信息真实性、安全性、准确性负责。</w:t>
      </w:r>
    </w:p>
    <w:p w14:paraId="288085D2">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账户名称：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p w14:paraId="28C9BAFE">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开户银行：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lang w:val="en-US" w:eastAsia="zh-CN"/>
        </w:rPr>
        <w:t>；</w:t>
      </w:r>
    </w:p>
    <w:p w14:paraId="27D6CEEC">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银行账号：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p w14:paraId="5240C31A">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lang w:val="en-US" w:eastAsia="zh-CN"/>
        </w:rPr>
        <w:t>；</w:t>
      </w:r>
    </w:p>
    <w:p w14:paraId="6338101C">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联系电话：</w:t>
      </w:r>
      <w:r>
        <w:rPr>
          <w:rFonts w:hint="eastAsia" w:ascii="宋体" w:hAnsi="宋体" w:eastAsia="宋体" w:cs="宋体"/>
          <w:color w:val="auto"/>
          <w:sz w:val="21"/>
          <w:szCs w:val="21"/>
          <w:highlight w:val="none"/>
          <w:u w:val="single"/>
          <w:lang w:val="en-US" w:eastAsia="zh-CN"/>
        </w:rPr>
        <w:t>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lang w:val="en-US" w:eastAsia="zh-CN"/>
        </w:rPr>
        <w:t>。</w:t>
      </w:r>
    </w:p>
    <w:p w14:paraId="29AA2E1D">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如乙方上述账户信息发生变更，乙方应提前向甲方发送书面通知，未能提前书面通知而产生的不利后果由乙方自行承担。</w:t>
      </w:r>
    </w:p>
    <w:p w14:paraId="4386B3B0">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在支付每笔款项前，乙方应当提供可供政府审计并且符合税务规定的正式发票，否则甲方有权拒付相应款项直至乙方能提供符合规定的发票为止，因乙方提供不符合甲方要求的发票导致付款逾期，甲方不构成违约，相应的付款期限自甲方收到乙方符合要求发票重新计算。</w:t>
      </w:r>
    </w:p>
    <w:p w14:paraId="6AF2DF00">
      <w:pPr>
        <w:keepNext w:val="0"/>
        <w:keepLines w:val="0"/>
        <w:pageBreakBefore w:val="0"/>
        <w:kinsoku/>
        <w:wordWrap/>
        <w:overflowPunct/>
        <w:topLinePunct w:val="0"/>
        <w:autoSpaceDE/>
        <w:autoSpaceDN/>
        <w:bidi w:val="0"/>
        <w:adjustRightInd/>
        <w:snapToGrid/>
        <w:spacing w:beforeLines="0" w:afterLines="0"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第七条　履约保证金</w:t>
      </w:r>
    </w:p>
    <w:p w14:paraId="02251B3F">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1.乙方须在签订合同后</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个工作日内缴纳履约保证金。</w:t>
      </w:r>
    </w:p>
    <w:p w14:paraId="4B3A2BBA">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2.乙方提供的履约保证金金额为：履约保证金金额为本项目</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总金额</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%（中小企业缴纳</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总金额2%），即</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w:t>
      </w:r>
    </w:p>
    <w:p w14:paraId="5C7F81CF">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lang w:val="en-US" w:eastAsia="zh-CN"/>
        </w:rPr>
        <w:t xml:space="preserve">                        </w:t>
      </w:r>
    </w:p>
    <w:p w14:paraId="488A7627">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lang w:val="en-US" w:eastAsia="zh-CN"/>
        </w:rPr>
        <w:t xml:space="preserve">                        </w:t>
      </w:r>
    </w:p>
    <w:p w14:paraId="78B3B1E6">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0F6DAC2E">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3.履约保证金递交方式：支票、汇票、本票或者金融机构出具的保函等非现金方式。</w:t>
      </w:r>
    </w:p>
    <w:p w14:paraId="28CAE2F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rPr>
        <w:t>4.履约保证金退付方式、时间及条件：由乙方向甲方提供《广西壮族自治区政府采购项目合同验收书》及《政府采购项目履约保证金退付意见书》</w:t>
      </w:r>
      <w:r>
        <w:rPr>
          <w:rFonts w:hint="eastAsia" w:ascii="宋体" w:hAnsi="宋体" w:cs="宋体"/>
          <w:color w:val="auto"/>
          <w:sz w:val="21"/>
          <w:szCs w:val="21"/>
          <w:highlight w:val="none"/>
          <w:lang w:eastAsia="zh-CN"/>
        </w:rPr>
        <w:t>、履约保证金退付函和乙方履约保证金支付凭证</w:t>
      </w:r>
      <w:r>
        <w:rPr>
          <w:rFonts w:hint="eastAsia" w:ascii="宋体" w:hAnsi="宋体" w:eastAsia="宋体" w:cs="宋体"/>
          <w:color w:val="auto"/>
          <w:sz w:val="21"/>
          <w:szCs w:val="21"/>
          <w:highlight w:val="none"/>
        </w:rPr>
        <w:t>，甲方在收到合格材料后五个工作日内办理退还手续（不计利息）。</w:t>
      </w:r>
      <w:r>
        <w:rPr>
          <w:rFonts w:hint="eastAsia" w:ascii="宋体" w:hAnsi="宋体" w:eastAsia="宋体" w:cs="宋体"/>
          <w:color w:val="auto"/>
          <w:sz w:val="21"/>
          <w:szCs w:val="21"/>
          <w:highlight w:val="none"/>
          <w:u w:val="none"/>
          <w:lang w:val="en-US" w:eastAsia="zh-CN"/>
        </w:rPr>
        <w:t>如涉及违约，甲方有权将乙方需赔偿给甲方的相关违约金和损失赔偿从履约保证金中直接扣减。</w:t>
      </w:r>
    </w:p>
    <w:p w14:paraId="0760BDC8">
      <w:pPr>
        <w:keepNext w:val="0"/>
        <w:keepLines w:val="0"/>
        <w:pageBreakBefore w:val="0"/>
        <w:kinsoku/>
        <w:wordWrap/>
        <w:overflowPunct/>
        <w:topLinePunct w:val="0"/>
        <w:autoSpaceDE/>
        <w:autoSpaceDN/>
        <w:bidi w:val="0"/>
        <w:adjustRightInd/>
        <w:snapToGrid/>
        <w:spacing w:beforeLines="0" w:afterLines="0"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第八条　税费</w:t>
      </w:r>
    </w:p>
    <w:p w14:paraId="5112A821">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合同执行中相关的一切税费均由乙方负担。</w:t>
      </w:r>
    </w:p>
    <w:p w14:paraId="22B1EF26">
      <w:pPr>
        <w:keepNext w:val="0"/>
        <w:keepLines w:val="0"/>
        <w:pageBreakBefore w:val="0"/>
        <w:kinsoku/>
        <w:wordWrap/>
        <w:overflowPunct/>
        <w:topLinePunct w:val="0"/>
        <w:autoSpaceDE/>
        <w:autoSpaceDN/>
        <w:bidi w:val="0"/>
        <w:adjustRightInd/>
        <w:snapToGrid/>
        <w:spacing w:beforeLines="0" w:afterLines="0" w:line="400" w:lineRule="exact"/>
        <w:ind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第九条　违约责任</w:t>
      </w:r>
    </w:p>
    <w:p w14:paraId="3B1BB5A0">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没有按照合同、招标文件、投标文件规定的时间或期限提供服务的，每逾期一日，应按合同合计金额的3‰向甲方支付逾期提供服务的违约金；逾期超过十日的，甲方有权单方解除合同，并要求乙方退还已收取的款项，同时乙方应按照合同合计金额的10%向甲方支付违约金并承担因此给甲方造成的经济损失。</w:t>
      </w:r>
    </w:p>
    <w:p w14:paraId="17FE911F">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所提供的服务、服务质量、服务内容等不符合合同、招标文件、投标文件规定的要求的，应按甲方的要求，在甲方指定的期限内予以更换或改进，未在甲方指定的期限内更换或改进的，按乙方逾期提供服务承担违约责任。</w:t>
      </w:r>
    </w:p>
    <w:p w14:paraId="35494ED3">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提供的服务如侵犯了第三方合法权益而引发的任何纠纷或者诉讼，均由乙方负责交涉并承担全部责任。如甲方为解决纠纷矛盾先期支付了费用的，乙方应当自收到甲方要求偿还费用的函之日起五日内向甲方偿还完毕，逾期未偿还，乙方承担应向甲方支付合同合计金额20％的违约金并赔偿甲方经济损失。</w:t>
      </w:r>
    </w:p>
    <w:p w14:paraId="58DB760D">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4.乙方因履行合同所发生的其他违约行为，每违约一次，应按合同合计金额的5%向甲方支付违约金，并赔偿甲方因此所造成全部损失。</w:t>
      </w:r>
    </w:p>
    <w:p w14:paraId="12E4D372">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5.乙方支付的违约金不足以弥补甲方损失的，应承担赔偿责任，甲方有权继续向乙方追偿。乙方应支付给甲方的任何款项，甲方有权从任何应支付未支付给乙方的款项中直接抵扣。</w:t>
      </w:r>
    </w:p>
    <w:p w14:paraId="3B84B69F">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6.本合同所称的甲方经济损失或者甲方损失，包括甲方遭受的全部直接经济损失及为此支出的合理费用（包括但不限于为此支出的调查费、诉讼费、保全费、保全保险费、垫付资金占用费、律师费、差旅费等）。</w:t>
      </w:r>
    </w:p>
    <w:p w14:paraId="57CB716B">
      <w:pPr>
        <w:keepNext w:val="0"/>
        <w:keepLines w:val="0"/>
        <w:pageBreakBefore w:val="0"/>
        <w:kinsoku/>
        <w:wordWrap/>
        <w:overflowPunct/>
        <w:topLinePunct w:val="0"/>
        <w:autoSpaceDE/>
        <w:autoSpaceDN/>
        <w:bidi w:val="0"/>
        <w:adjustRightInd/>
        <w:snapToGrid/>
        <w:spacing w:beforeLines="0" w:afterLines="0"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第十条　知识产权归属</w:t>
      </w:r>
    </w:p>
    <w:p w14:paraId="39BCEE17">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乙方保证，甲乙双方在本合同执行中形成的任何成果或知识产权的所有权，归甲方所有，而且乙方应当完成甲方知识产权所有权确认所必需的全部行为、证书和文件等，并提供相应的支持和协助。</w:t>
      </w:r>
    </w:p>
    <w:p w14:paraId="4FA8AEB4">
      <w:pPr>
        <w:keepNext w:val="0"/>
        <w:keepLines w:val="0"/>
        <w:pageBreakBefore w:val="0"/>
        <w:kinsoku/>
        <w:wordWrap/>
        <w:overflowPunct/>
        <w:topLinePunct w:val="0"/>
        <w:autoSpaceDE/>
        <w:autoSpaceDN/>
        <w:bidi w:val="0"/>
        <w:adjustRightInd/>
        <w:snapToGrid/>
        <w:spacing w:beforeLines="0" w:afterLines="0"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第十一条　保密条款</w:t>
      </w:r>
    </w:p>
    <w:p w14:paraId="66A9FE90">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1.甲乙双方都负有保守对方的单位机密或商业秘密的义务，保密范围包括但不限于技术情报、数据资料及其他公开后对对方造成影响或损失的秘密。</w:t>
      </w:r>
    </w:p>
    <w:p w14:paraId="0180C727">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2.任何一方违反保密条款，给对方造成损失，应按对方的实际损失承担赔偿责任。</w:t>
      </w:r>
    </w:p>
    <w:p w14:paraId="27D8014B">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3.本条款不因合同的变更、解除和终止而失效。</w:t>
      </w:r>
    </w:p>
    <w:p w14:paraId="1E95CD4C">
      <w:pPr>
        <w:keepNext w:val="0"/>
        <w:keepLines w:val="0"/>
        <w:pageBreakBefore w:val="0"/>
        <w:kinsoku/>
        <w:wordWrap/>
        <w:overflowPunct/>
        <w:topLinePunct w:val="0"/>
        <w:autoSpaceDE/>
        <w:autoSpaceDN/>
        <w:bidi w:val="0"/>
        <w:adjustRightInd/>
        <w:snapToGrid/>
        <w:spacing w:beforeLines="0" w:afterLines="0"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第十二条　不可抗力事件处理</w:t>
      </w:r>
    </w:p>
    <w:p w14:paraId="3498D25E">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1.在合同有效期内，任何一方因不可抗力事件导致不能履行合同，则合同履行期可延长，其延长期与不可抗力影响期相同。</w:t>
      </w:r>
    </w:p>
    <w:p w14:paraId="5989C46E">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2.不可抗力事件发生后，应立即通知对方，并寄送有关权威机构出具的证明。</w:t>
      </w:r>
    </w:p>
    <w:p w14:paraId="2E34C782">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3.不可抗力事件延续一百二十天以上，双方应通过友好协商，确定是否继续履行合同。</w:t>
      </w:r>
    </w:p>
    <w:p w14:paraId="3373A3EE">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4.合同履行过程中，因接受政府行政指令而无法履行的，接受政府行政指令的一方可以免除责任。</w:t>
      </w:r>
    </w:p>
    <w:p w14:paraId="6CBCDDD9">
      <w:pPr>
        <w:keepNext w:val="0"/>
        <w:keepLines w:val="0"/>
        <w:pageBreakBefore w:val="0"/>
        <w:kinsoku/>
        <w:wordWrap/>
        <w:overflowPunct/>
        <w:topLinePunct w:val="0"/>
        <w:autoSpaceDE/>
        <w:autoSpaceDN/>
        <w:bidi w:val="0"/>
        <w:adjustRightInd/>
        <w:snapToGrid/>
        <w:spacing w:beforeLines="0" w:afterLines="0"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第十三条　合同争议解决</w:t>
      </w:r>
    </w:p>
    <w:p w14:paraId="1C62ABC7">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1.因服务质量问题发生争议的，甲方应提交具有相应资质的机构进行鉴定。服务符合标准的，鉴定费由甲方承担；服务不符合标准的，鉴定费由乙方承担。</w:t>
      </w:r>
    </w:p>
    <w:p w14:paraId="5C55A473">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2.因履行本合同引起的或者与本合同有关的争议，甲乙双方应首先通过友好协商解决，如果协商不能解决，可向甲方所在地有管辖权人民法院提起诉讼。</w:t>
      </w:r>
    </w:p>
    <w:p w14:paraId="621FA207">
      <w:pPr>
        <w:keepNext w:val="0"/>
        <w:keepLines w:val="0"/>
        <w:pageBreakBefore w:val="0"/>
        <w:kinsoku/>
        <w:wordWrap/>
        <w:overflowPunct/>
        <w:topLinePunct w:val="0"/>
        <w:autoSpaceDE/>
        <w:autoSpaceDN/>
        <w:bidi w:val="0"/>
        <w:adjustRightInd/>
        <w:snapToGrid/>
        <w:spacing w:beforeLines="0" w:afterLines="0"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第十四条　合同生效及其他</w:t>
      </w:r>
    </w:p>
    <w:p w14:paraId="21E47D60">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1.合同经甲乙双方法定代表人或者授权代表签字并加盖单位公章后生效。</w:t>
      </w:r>
    </w:p>
    <w:p w14:paraId="18889A61">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2.合同执行中涉及采购资金和采购内容修改或者补充的，须经政府采购监管部门审批，并签书面补充协议报政府采购监管部门备案，方可作为主合同不可分割的一部分。</w:t>
      </w:r>
    </w:p>
    <w:p w14:paraId="2C56D8DD">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3.合同未尽事宜，遵照《中华人民共和国民法典》等相关法律、法规规定有关条文执行。</w:t>
      </w:r>
    </w:p>
    <w:p w14:paraId="06415FF9">
      <w:pPr>
        <w:keepNext w:val="0"/>
        <w:keepLines w:val="0"/>
        <w:pageBreakBefore w:val="0"/>
        <w:kinsoku/>
        <w:wordWrap/>
        <w:overflowPunct/>
        <w:topLinePunct w:val="0"/>
        <w:autoSpaceDE/>
        <w:autoSpaceDN/>
        <w:bidi w:val="0"/>
        <w:adjustRightInd/>
        <w:snapToGrid/>
        <w:spacing w:beforeLines="0" w:afterLines="0"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第十五条　合同的变更、终止与转让</w:t>
      </w:r>
    </w:p>
    <w:p w14:paraId="31DD21E5">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1.除《中华人民共和国政府采购法》第五十条规定的情形外，本合同一经签订，甲乙双方不得擅自变更、中止或者终止。</w:t>
      </w:r>
    </w:p>
    <w:p w14:paraId="7739DCCE">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2.未经甲方书面同意，乙方不得擅自转让其应履行的合同义务。</w:t>
      </w:r>
    </w:p>
    <w:p w14:paraId="0CCB8377">
      <w:pPr>
        <w:keepNext w:val="0"/>
        <w:keepLines w:val="0"/>
        <w:pageBreakBefore w:val="0"/>
        <w:kinsoku/>
        <w:wordWrap/>
        <w:overflowPunct/>
        <w:topLinePunct w:val="0"/>
        <w:autoSpaceDE/>
        <w:autoSpaceDN/>
        <w:bidi w:val="0"/>
        <w:adjustRightInd/>
        <w:snapToGrid/>
        <w:spacing w:beforeLines="0" w:afterLines="0"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第十六条　本合同与下列文件一起构成合同文件</w:t>
      </w:r>
    </w:p>
    <w:p w14:paraId="6A2002BA">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1.保密协议；</w:t>
      </w:r>
    </w:p>
    <w:p w14:paraId="512D0295">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2.中标通知书；</w:t>
      </w:r>
    </w:p>
    <w:p w14:paraId="1B3DB36C">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.开标一览表</w:t>
      </w:r>
      <w:r>
        <w:rPr>
          <w:rFonts w:hint="eastAsia" w:ascii="宋体" w:hAnsi="宋体" w:eastAsia="宋体" w:cs="宋体"/>
          <w:color w:val="auto"/>
          <w:sz w:val="21"/>
          <w:szCs w:val="21"/>
          <w:highlight w:val="none"/>
        </w:rPr>
        <w:t>；</w:t>
      </w:r>
    </w:p>
    <w:p w14:paraId="25D2CABD">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4.采购需求；</w:t>
      </w:r>
    </w:p>
    <w:p w14:paraId="1CD7563F">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.商务条款偏离表和服务需求偏离表；</w:t>
      </w:r>
    </w:p>
    <w:p w14:paraId="0A20139D">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.投标文件中的其他相关文件。</w:t>
      </w:r>
    </w:p>
    <w:p w14:paraId="4C650F1B">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上述合同文件互相补充和解释。如果合同文件之间存在矛盾或者不一致之处，以本合同、上述文件的排列顺序在先者为准。</w:t>
      </w:r>
    </w:p>
    <w:p w14:paraId="496CBC4D">
      <w:pPr>
        <w:keepNext w:val="0"/>
        <w:keepLines w:val="0"/>
        <w:pageBreakBefore w:val="0"/>
        <w:kinsoku/>
        <w:wordWrap/>
        <w:overflowPunct/>
        <w:topLinePunct w:val="0"/>
        <w:autoSpaceDE/>
        <w:autoSpaceDN/>
        <w:bidi w:val="0"/>
        <w:adjustRightInd/>
        <w:snapToGrid/>
        <w:spacing w:beforeLines="0" w:afterLines="0"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第十七条　其他约定事项</w:t>
      </w:r>
    </w:p>
    <w:p w14:paraId="76F8775F">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1.本合同所有附件及相关文件均为本合同的有效组成部分，与本合同具有同等法律效力。若合同附件与本合同存在不一致的，则以本合同为准。</w:t>
      </w:r>
    </w:p>
    <w:p w14:paraId="01930B9A">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2.在履行本合同过程中，所有经甲乙双方签署确认的文件（包括会议纪要、补充协议、往来信函、电子邮件等）即成为本合同的有效组成部分。</w:t>
      </w:r>
    </w:p>
    <w:p w14:paraId="0B881EBB">
      <w:pPr>
        <w:pStyle w:val="59"/>
        <w:keepNext w:val="0"/>
        <w:keepLines w:val="0"/>
        <w:pageBreakBefore w:val="0"/>
        <w:kinsoku/>
        <w:wordWrap/>
        <w:overflowPunct/>
        <w:topLinePunct w:val="0"/>
        <w:autoSpaceDE/>
        <w:autoSpaceDN/>
        <w:bidi w:val="0"/>
        <w:adjustRightInd/>
        <w:snapToGrid/>
        <w:spacing w:beforeLines="0" w:afterLines="0" w:line="400" w:lineRule="exact"/>
        <w:ind w:left="0" w:leftChars="0" w:firstLine="46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3.合同履行期间所有产生费用，包括评审费，劳务费等，由乙方负责，甲方不承担任何费用。</w:t>
      </w:r>
    </w:p>
    <w:p w14:paraId="6D9E8081">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4.甲乙双方确认，以下为各方真实有效通讯地址：</w:t>
      </w:r>
    </w:p>
    <w:p w14:paraId="19413739">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甲方：</w:t>
      </w:r>
      <w:r>
        <w:rPr>
          <w:rFonts w:hint="eastAsia" w:ascii="宋体" w:hAnsi="宋体" w:eastAsia="宋体" w:cs="宋体"/>
          <w:color w:val="auto"/>
          <w:sz w:val="21"/>
          <w:szCs w:val="21"/>
          <w:highlight w:val="none"/>
          <w:u w:val="single"/>
          <w:lang w:val="en-US" w:eastAsia="zh-CN"/>
        </w:rPr>
        <w:t>　</w:t>
      </w:r>
      <w:r>
        <w:rPr>
          <w:rFonts w:hint="eastAsia" w:ascii="宋体" w:hAnsi="宋体" w:eastAsia="宋体" w:cs="宋体"/>
          <w:b w:val="0"/>
          <w:bCs/>
          <w:color w:val="auto"/>
          <w:sz w:val="21"/>
          <w:szCs w:val="21"/>
          <w:highlight w:val="none"/>
          <w:u w:val="single"/>
        </w:rPr>
        <w:t>广西壮族自治区生态环境厅</w:t>
      </w:r>
      <w:r>
        <w:rPr>
          <w:rFonts w:hint="eastAsia" w:ascii="宋体" w:hAnsi="宋体"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u w:val="none"/>
          <w:lang w:val="en-US" w:eastAsia="zh-CN"/>
        </w:rPr>
        <w:t>，</w:t>
      </w:r>
    </w:p>
    <w:p w14:paraId="69668CAF">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eastAsia="宋体" w:cs="宋体"/>
          <w:color w:val="auto"/>
          <w:sz w:val="21"/>
          <w:szCs w:val="21"/>
          <w:highlight w:val="none"/>
          <w:u w:val="single"/>
          <w:lang w:val="en-US" w:eastAsia="zh-CN"/>
        </w:rPr>
        <w:t>　</w:t>
      </w:r>
      <w:r>
        <w:rPr>
          <w:rFonts w:hint="eastAsia" w:ascii="宋体" w:hAnsi="宋体" w:eastAsia="宋体" w:cs="宋体"/>
          <w:color w:val="auto"/>
          <w:kern w:val="0"/>
          <w:sz w:val="21"/>
          <w:szCs w:val="21"/>
          <w:highlight w:val="none"/>
          <w:u w:val="single"/>
          <w:lang w:val="en-US" w:eastAsia="zh-CN" w:bidi="ar"/>
        </w:rPr>
        <w:t>广西南宁市青秀区佛子岭路 16 号</w:t>
      </w:r>
      <w:r>
        <w:rPr>
          <w:rFonts w:hint="eastAsia" w:ascii="宋体" w:hAnsi="宋体"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u w:val="none"/>
          <w:lang w:val="en-US" w:eastAsia="zh-CN"/>
        </w:rPr>
        <w:t xml:space="preserve">， </w:t>
      </w:r>
    </w:p>
    <w:p w14:paraId="314D682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firstLineChars="200"/>
        <w:jc w:val="both"/>
        <w:textAlignment w:val="auto"/>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eastAsia="zh-CN"/>
        </w:rPr>
        <w:t>收件人：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14:paraId="5B16FC8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firstLineChars="200"/>
        <w:jc w:val="both"/>
        <w:textAlignment w:val="auto"/>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eastAsia="zh-CN"/>
        </w:rPr>
        <w:t>联系电话：</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14:paraId="448C142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none"/>
          <w:lang w:val="en-US" w:eastAsia="zh-CN"/>
        </w:rPr>
        <w:t>电子邮箱：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kern w:val="2"/>
          <w:sz w:val="21"/>
          <w:szCs w:val="21"/>
          <w:highlight w:val="none"/>
          <w:lang w:val="en-US" w:eastAsia="zh-CN" w:bidi="ar"/>
        </w:rPr>
        <w:t>。</w:t>
      </w:r>
    </w:p>
    <w:p w14:paraId="26F85626">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乙方：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14:paraId="7BF8707C">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14:paraId="1F5373CB">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收件人：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14:paraId="7C4E39E0">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联系电话：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14:paraId="318F07C9">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电子邮箱：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14:paraId="0D4A71EB">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方向对方发出的任何通知、信函和文件，以挂号信函或快递信函方式向对方地址邮寄有关通知、信函和文件的，自发出之日起第三日视为送达对方，挂号信函或快递信函的邮寄凭证即视为成功送达的有效凭证。一方地址变更的，应及时书面通知对方，否则上述地址仍为真实有效通讯地址。</w:t>
      </w:r>
    </w:p>
    <w:p w14:paraId="5DF8F6A5">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5.本合同一式</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柒</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份，具有同等法律效力，政府采购监管部门、采购代理机构各</w:t>
      </w:r>
      <w:r>
        <w:rPr>
          <w:rFonts w:hint="eastAsia" w:ascii="宋体" w:hAnsi="宋体" w:eastAsia="宋体" w:cs="宋体"/>
          <w:color w:val="auto"/>
          <w:sz w:val="21"/>
          <w:szCs w:val="21"/>
          <w:highlight w:val="none"/>
          <w:u w:val="single"/>
        </w:rPr>
        <w:t>壹</w:t>
      </w:r>
      <w:r>
        <w:rPr>
          <w:rFonts w:hint="eastAsia" w:ascii="宋体" w:hAnsi="宋体" w:eastAsia="宋体" w:cs="宋体"/>
          <w:color w:val="auto"/>
          <w:sz w:val="21"/>
          <w:szCs w:val="21"/>
          <w:highlight w:val="none"/>
        </w:rPr>
        <w:t>份，甲方</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叁</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份，乙方</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贰</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份。</w:t>
      </w:r>
    </w:p>
    <w:p w14:paraId="73A29F7C">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本条款不因合同的变更、解除和终止而失效。</w:t>
      </w:r>
    </w:p>
    <w:p w14:paraId="0EA7B9FA">
      <w:pPr>
        <w:keepNext w:val="0"/>
        <w:keepLines w:val="0"/>
        <w:pageBreakBefore w:val="0"/>
        <w:kinsoku/>
        <w:wordWrap/>
        <w:overflowPunct/>
        <w:topLinePunct w:val="0"/>
        <w:autoSpaceDE/>
        <w:autoSpaceDN/>
        <w:bidi w:val="0"/>
        <w:adjustRightInd/>
        <w:snapToGrid/>
        <w:spacing w:beforeLines="0" w:afterLines="0"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第十八条　合同附件</w:t>
      </w:r>
    </w:p>
    <w:p w14:paraId="0CF213FA">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附件一：保密协议</w:t>
      </w:r>
    </w:p>
    <w:p w14:paraId="6AAB1999">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附件二：采购需求</w:t>
      </w:r>
    </w:p>
    <w:p w14:paraId="4E49E137">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附件三：</w:t>
      </w:r>
      <w:r>
        <w:rPr>
          <w:rFonts w:hint="eastAsia" w:ascii="宋体" w:hAnsi="宋体" w:eastAsia="宋体" w:cs="宋体"/>
          <w:color w:val="auto"/>
          <w:sz w:val="21"/>
          <w:szCs w:val="21"/>
          <w:highlight w:val="none"/>
          <w:lang w:val="en-US" w:eastAsia="zh-CN"/>
        </w:rPr>
        <w:t>投标函</w:t>
      </w:r>
    </w:p>
    <w:p w14:paraId="2F935D27">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附件四：开标一览表</w:t>
      </w:r>
    </w:p>
    <w:p w14:paraId="62D06B96">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eastAsia="zh-CN"/>
        </w:rPr>
        <w:t>五</w:t>
      </w:r>
      <w:r>
        <w:rPr>
          <w:rFonts w:hint="eastAsia" w:ascii="宋体" w:hAnsi="宋体" w:eastAsia="宋体" w:cs="宋体"/>
          <w:color w:val="auto"/>
          <w:sz w:val="21"/>
          <w:szCs w:val="21"/>
          <w:highlight w:val="none"/>
        </w:rPr>
        <w:t>：商务条款偏离表和服务需求偏离表</w:t>
      </w:r>
    </w:p>
    <w:p w14:paraId="61633EF6">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：中标通知书</w:t>
      </w:r>
    </w:p>
    <w:p w14:paraId="456763AD">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附件七：</w:t>
      </w:r>
      <w:r>
        <w:rPr>
          <w:rFonts w:hint="eastAsia" w:ascii="宋体" w:hAnsi="宋体" w:eastAsia="宋体" w:cs="宋体"/>
          <w:color w:val="auto"/>
          <w:sz w:val="21"/>
          <w:szCs w:val="21"/>
          <w:highlight w:val="none"/>
          <w:lang w:val="en-US" w:eastAsia="zh-CN"/>
        </w:rPr>
        <w:t xml:space="preserve">中小企业声明函   </w:t>
      </w:r>
    </w:p>
    <w:p w14:paraId="5E21EAE9">
      <w:pPr>
        <w:keepNext w:val="0"/>
        <w:keepLines w:val="0"/>
        <w:pageBreakBefore w:val="0"/>
        <w:kinsoku/>
        <w:wordWrap/>
        <w:overflowPunct/>
        <w:topLinePunct w:val="0"/>
        <w:autoSpaceDE/>
        <w:autoSpaceDN/>
        <w:bidi w:val="0"/>
        <w:adjustRightInd/>
        <w:snapToGrid/>
        <w:spacing w:beforeLines="0" w:afterLines="0" w:line="400" w:lineRule="exact"/>
        <w:jc w:val="both"/>
        <w:textAlignment w:val="auto"/>
        <w:rPr>
          <w:rFonts w:hint="eastAsia" w:ascii="宋体" w:hAnsi="宋体" w:eastAsia="宋体" w:cs="宋体"/>
          <w:color w:val="auto"/>
          <w:sz w:val="21"/>
          <w:szCs w:val="21"/>
          <w:highlight w:val="none"/>
        </w:rPr>
      </w:pPr>
    </w:p>
    <w:tbl>
      <w:tblPr>
        <w:tblStyle w:val="48"/>
        <w:tblW w:w="8270" w:type="dxa"/>
        <w:tblInd w:w="122" w:type="dxa"/>
        <w:tblLayout w:type="fixed"/>
        <w:tblCellMar>
          <w:top w:w="0" w:type="dxa"/>
          <w:left w:w="108" w:type="dxa"/>
          <w:bottom w:w="0" w:type="dxa"/>
          <w:right w:w="108" w:type="dxa"/>
        </w:tblCellMar>
      </w:tblPr>
      <w:tblGrid>
        <w:gridCol w:w="4165"/>
        <w:gridCol w:w="4105"/>
      </w:tblGrid>
      <w:tr w14:paraId="24479127">
        <w:tblPrEx>
          <w:tblCellMar>
            <w:top w:w="0" w:type="dxa"/>
            <w:left w:w="108" w:type="dxa"/>
            <w:bottom w:w="0" w:type="dxa"/>
            <w:right w:w="108" w:type="dxa"/>
          </w:tblCellMar>
        </w:tblPrEx>
        <w:trPr>
          <w:trHeight w:val="981" w:hRule="atLeast"/>
        </w:trPr>
        <w:tc>
          <w:tcPr>
            <w:tcW w:w="4165" w:type="dxa"/>
            <w:noWrap w:val="0"/>
            <w:vAlign w:val="top"/>
          </w:tcPr>
          <w:p w14:paraId="6BE13DA7">
            <w:pPr>
              <w:pStyle w:val="2"/>
              <w:keepNext w:val="0"/>
              <w:keepLines w:val="0"/>
              <w:pageBreakBefore w:val="0"/>
              <w:widowControl w:val="0"/>
              <w:kinsoku/>
              <w:wordWrap/>
              <w:overflowPunct/>
              <w:topLinePunct w:val="0"/>
              <w:autoSpaceDE/>
              <w:autoSpaceDN/>
              <w:bidi w:val="0"/>
              <w:adjustRightInd/>
              <w:snapToGrid w:val="0"/>
              <w:spacing w:beforeLines="0" w:afterLines="0"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甲方：广西壮族自治区生态环境厅</w:t>
            </w:r>
          </w:p>
        </w:tc>
        <w:tc>
          <w:tcPr>
            <w:tcW w:w="4105" w:type="dxa"/>
            <w:noWrap w:val="0"/>
            <w:vAlign w:val="top"/>
          </w:tcPr>
          <w:p w14:paraId="00A26868">
            <w:pPr>
              <w:pStyle w:val="2"/>
              <w:keepNext w:val="0"/>
              <w:keepLines w:val="0"/>
              <w:pageBreakBefore w:val="0"/>
              <w:widowControl w:val="0"/>
              <w:kinsoku/>
              <w:wordWrap/>
              <w:overflowPunct/>
              <w:topLinePunct w:val="0"/>
              <w:autoSpaceDE/>
              <w:autoSpaceDN/>
              <w:bidi w:val="0"/>
              <w:adjustRightInd/>
              <w:snapToGrid w:val="0"/>
              <w:spacing w:beforeLines="0" w:afterLines="0"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乙方：</w:t>
            </w:r>
            <w:r>
              <w:rPr>
                <w:rFonts w:hint="eastAsia" w:ascii="宋体" w:hAnsi="宋体" w:eastAsia="宋体" w:cs="宋体"/>
                <w:b/>
                <w:bCs/>
                <w:color w:val="auto"/>
                <w:sz w:val="21"/>
                <w:szCs w:val="21"/>
                <w:highlight w:val="none"/>
                <w:lang w:val="en-US" w:eastAsia="zh-CN"/>
              </w:rPr>
              <w:t xml:space="preserve"> </w:t>
            </w:r>
          </w:p>
        </w:tc>
      </w:tr>
      <w:tr w14:paraId="59E75B62">
        <w:tblPrEx>
          <w:tblCellMar>
            <w:top w:w="0" w:type="dxa"/>
            <w:left w:w="108" w:type="dxa"/>
            <w:bottom w:w="0" w:type="dxa"/>
            <w:right w:w="108" w:type="dxa"/>
          </w:tblCellMar>
        </w:tblPrEx>
        <w:trPr>
          <w:trHeight w:val="1050" w:hRule="atLeast"/>
        </w:trPr>
        <w:tc>
          <w:tcPr>
            <w:tcW w:w="4165" w:type="dxa"/>
            <w:noWrap w:val="0"/>
            <w:vAlign w:val="top"/>
          </w:tcPr>
          <w:p w14:paraId="0C3BC227">
            <w:pPr>
              <w:pStyle w:val="2"/>
              <w:keepNext w:val="0"/>
              <w:keepLines w:val="0"/>
              <w:pageBreakBefore w:val="0"/>
              <w:widowControl w:val="0"/>
              <w:kinsoku/>
              <w:wordWrap/>
              <w:overflowPunct/>
              <w:topLinePunct w:val="0"/>
              <w:autoSpaceDE/>
              <w:autoSpaceDN/>
              <w:bidi w:val="0"/>
              <w:adjustRightInd/>
              <w:snapToGrid w:val="0"/>
              <w:spacing w:beforeLines="0" w:afterLines="0" w:line="400" w:lineRule="exact"/>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法定代表人（负责人）</w:t>
            </w:r>
            <w:r>
              <w:rPr>
                <w:rFonts w:hint="eastAsia" w:ascii="宋体" w:hAnsi="宋体" w:eastAsia="宋体" w:cs="宋体"/>
                <w:b/>
                <w:bCs/>
                <w:color w:val="auto"/>
                <w:sz w:val="21"/>
                <w:szCs w:val="21"/>
                <w:highlight w:val="none"/>
                <w:lang w:eastAsia="zh-CN"/>
              </w:rPr>
              <w:t>或授权代表</w:t>
            </w:r>
            <w:r>
              <w:rPr>
                <w:rFonts w:hint="eastAsia" w:ascii="宋体" w:hAnsi="宋体" w:eastAsia="宋体" w:cs="宋体"/>
                <w:b/>
                <w:bCs/>
                <w:color w:val="auto"/>
                <w:sz w:val="21"/>
                <w:szCs w:val="21"/>
                <w:highlight w:val="none"/>
              </w:rPr>
              <w:t>：</w:t>
            </w:r>
          </w:p>
          <w:p w14:paraId="4F6473B0">
            <w:pPr>
              <w:pStyle w:val="2"/>
              <w:keepNext w:val="0"/>
              <w:keepLines w:val="0"/>
              <w:pageBreakBefore w:val="0"/>
              <w:widowControl w:val="0"/>
              <w:kinsoku/>
              <w:wordWrap/>
              <w:overflowPunct/>
              <w:topLinePunct w:val="0"/>
              <w:autoSpaceDE/>
              <w:autoSpaceDN/>
              <w:bidi w:val="0"/>
              <w:adjustRightInd/>
              <w:snapToGrid w:val="0"/>
              <w:spacing w:beforeLines="0" w:afterLines="0" w:line="400" w:lineRule="exact"/>
              <w:jc w:val="both"/>
              <w:textAlignment w:val="auto"/>
              <w:rPr>
                <w:rFonts w:hint="eastAsia" w:ascii="宋体" w:hAnsi="宋体" w:eastAsia="宋体" w:cs="宋体"/>
                <w:b/>
                <w:bCs/>
                <w:color w:val="auto"/>
                <w:sz w:val="21"/>
                <w:szCs w:val="21"/>
                <w:highlight w:val="none"/>
              </w:rPr>
            </w:pPr>
          </w:p>
          <w:p w14:paraId="44BE0ABA">
            <w:pPr>
              <w:pStyle w:val="2"/>
              <w:keepNext w:val="0"/>
              <w:keepLines w:val="0"/>
              <w:pageBreakBefore w:val="0"/>
              <w:widowControl w:val="0"/>
              <w:kinsoku/>
              <w:wordWrap/>
              <w:overflowPunct/>
              <w:topLinePunct w:val="0"/>
              <w:autoSpaceDE/>
              <w:autoSpaceDN/>
              <w:bidi w:val="0"/>
              <w:adjustRightInd/>
              <w:snapToGrid w:val="0"/>
              <w:spacing w:beforeLines="0" w:afterLines="0" w:line="400" w:lineRule="exact"/>
              <w:jc w:val="both"/>
              <w:textAlignment w:val="auto"/>
              <w:rPr>
                <w:rFonts w:hint="eastAsia" w:ascii="宋体" w:hAnsi="宋体" w:eastAsia="宋体" w:cs="宋体"/>
                <w:b/>
                <w:bCs/>
                <w:color w:val="auto"/>
                <w:sz w:val="21"/>
                <w:szCs w:val="21"/>
                <w:highlight w:val="none"/>
              </w:rPr>
            </w:pPr>
          </w:p>
        </w:tc>
        <w:tc>
          <w:tcPr>
            <w:tcW w:w="4105" w:type="dxa"/>
            <w:noWrap w:val="0"/>
            <w:vAlign w:val="top"/>
          </w:tcPr>
          <w:p w14:paraId="0C456CA2">
            <w:pPr>
              <w:pStyle w:val="2"/>
              <w:keepNext w:val="0"/>
              <w:keepLines w:val="0"/>
              <w:pageBreakBefore w:val="0"/>
              <w:widowControl w:val="0"/>
              <w:kinsoku/>
              <w:wordWrap/>
              <w:overflowPunct/>
              <w:topLinePunct w:val="0"/>
              <w:autoSpaceDE/>
              <w:autoSpaceDN/>
              <w:bidi w:val="0"/>
              <w:adjustRightInd/>
              <w:snapToGrid w:val="0"/>
              <w:spacing w:beforeLines="0" w:afterLines="0" w:line="400" w:lineRule="exact"/>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法定代表人（负责人）</w:t>
            </w:r>
            <w:r>
              <w:rPr>
                <w:rFonts w:hint="eastAsia" w:ascii="宋体" w:hAnsi="宋体" w:eastAsia="宋体" w:cs="宋体"/>
                <w:b/>
                <w:bCs/>
                <w:color w:val="auto"/>
                <w:sz w:val="21"/>
                <w:szCs w:val="21"/>
                <w:highlight w:val="none"/>
                <w:lang w:eastAsia="zh-CN"/>
              </w:rPr>
              <w:t>或授权代表</w:t>
            </w:r>
            <w:r>
              <w:rPr>
                <w:rFonts w:hint="eastAsia" w:ascii="宋体" w:hAnsi="宋体" w:eastAsia="宋体" w:cs="宋体"/>
                <w:b/>
                <w:bCs/>
                <w:color w:val="auto"/>
                <w:sz w:val="21"/>
                <w:szCs w:val="21"/>
                <w:highlight w:val="none"/>
              </w:rPr>
              <w:t>：</w:t>
            </w:r>
          </w:p>
          <w:p w14:paraId="05601AE3">
            <w:pPr>
              <w:pStyle w:val="2"/>
              <w:keepNext w:val="0"/>
              <w:keepLines w:val="0"/>
              <w:pageBreakBefore w:val="0"/>
              <w:widowControl w:val="0"/>
              <w:kinsoku/>
              <w:wordWrap/>
              <w:overflowPunct/>
              <w:topLinePunct w:val="0"/>
              <w:autoSpaceDE/>
              <w:autoSpaceDN/>
              <w:bidi w:val="0"/>
              <w:adjustRightInd/>
              <w:snapToGrid w:val="0"/>
              <w:spacing w:beforeLines="0" w:afterLines="0" w:line="400" w:lineRule="exact"/>
              <w:jc w:val="both"/>
              <w:textAlignment w:val="auto"/>
              <w:rPr>
                <w:rFonts w:hint="eastAsia" w:ascii="宋体" w:hAnsi="宋体" w:eastAsia="宋体" w:cs="宋体"/>
                <w:b/>
                <w:bCs/>
                <w:color w:val="auto"/>
                <w:sz w:val="21"/>
                <w:szCs w:val="21"/>
                <w:highlight w:val="none"/>
                <w:lang w:val="en-US" w:eastAsia="zh-CN"/>
              </w:rPr>
            </w:pPr>
          </w:p>
          <w:p w14:paraId="0E102A85">
            <w:pPr>
              <w:pStyle w:val="2"/>
              <w:keepNext w:val="0"/>
              <w:keepLines w:val="0"/>
              <w:pageBreakBefore w:val="0"/>
              <w:widowControl w:val="0"/>
              <w:kinsoku/>
              <w:wordWrap/>
              <w:overflowPunct/>
              <w:topLinePunct w:val="0"/>
              <w:autoSpaceDE/>
              <w:autoSpaceDN/>
              <w:bidi w:val="0"/>
              <w:adjustRightInd/>
              <w:snapToGrid w:val="0"/>
              <w:spacing w:beforeLines="0" w:afterLines="0" w:line="400" w:lineRule="exact"/>
              <w:jc w:val="both"/>
              <w:textAlignment w:val="auto"/>
              <w:rPr>
                <w:rFonts w:hint="eastAsia" w:ascii="宋体" w:hAnsi="宋体" w:eastAsia="宋体" w:cs="宋体"/>
                <w:b/>
                <w:bCs/>
                <w:color w:val="auto"/>
                <w:sz w:val="21"/>
                <w:szCs w:val="21"/>
                <w:highlight w:val="none"/>
                <w:lang w:val="en-US" w:eastAsia="zh-CN"/>
              </w:rPr>
            </w:pPr>
          </w:p>
        </w:tc>
      </w:tr>
      <w:tr w14:paraId="16D12DC0">
        <w:tblPrEx>
          <w:tblCellMar>
            <w:top w:w="0" w:type="dxa"/>
            <w:left w:w="108" w:type="dxa"/>
            <w:bottom w:w="0" w:type="dxa"/>
            <w:right w:w="108" w:type="dxa"/>
          </w:tblCellMar>
        </w:tblPrEx>
        <w:trPr>
          <w:trHeight w:val="921" w:hRule="atLeast"/>
        </w:trPr>
        <w:tc>
          <w:tcPr>
            <w:tcW w:w="4165" w:type="dxa"/>
            <w:noWrap w:val="0"/>
            <w:vAlign w:val="top"/>
          </w:tcPr>
          <w:p w14:paraId="007ABF59">
            <w:pPr>
              <w:pStyle w:val="2"/>
              <w:keepNext w:val="0"/>
              <w:keepLines w:val="0"/>
              <w:pageBreakBefore w:val="0"/>
              <w:widowControl w:val="0"/>
              <w:kinsoku/>
              <w:wordWrap/>
              <w:overflowPunct/>
              <w:topLinePunct w:val="0"/>
              <w:autoSpaceDE/>
              <w:autoSpaceDN/>
              <w:bidi w:val="0"/>
              <w:adjustRightInd/>
              <w:snapToGrid w:val="0"/>
              <w:spacing w:beforeLines="0" w:afterLines="0" w:line="400" w:lineRule="exact"/>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年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月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日</w:t>
            </w:r>
          </w:p>
        </w:tc>
        <w:tc>
          <w:tcPr>
            <w:tcW w:w="4105" w:type="dxa"/>
            <w:noWrap w:val="0"/>
            <w:vAlign w:val="top"/>
          </w:tcPr>
          <w:p w14:paraId="1017E05A">
            <w:pPr>
              <w:pStyle w:val="2"/>
              <w:keepNext w:val="0"/>
              <w:keepLines w:val="0"/>
              <w:pageBreakBefore w:val="0"/>
              <w:widowControl w:val="0"/>
              <w:kinsoku/>
              <w:wordWrap/>
              <w:overflowPunct/>
              <w:topLinePunct w:val="0"/>
              <w:autoSpaceDE/>
              <w:autoSpaceDN/>
              <w:bidi w:val="0"/>
              <w:adjustRightInd/>
              <w:snapToGrid w:val="0"/>
              <w:spacing w:beforeLines="0" w:afterLines="0" w:line="400" w:lineRule="exact"/>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年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月</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日</w:t>
            </w:r>
          </w:p>
        </w:tc>
      </w:tr>
    </w:tbl>
    <w:p w14:paraId="06AB0449">
      <w:pPr>
        <w:keepNext w:val="0"/>
        <w:keepLines w:val="0"/>
        <w:pageBreakBefore w:val="0"/>
        <w:kinsoku/>
        <w:wordWrap/>
        <w:overflowPunct/>
        <w:topLinePunct w:val="0"/>
        <w:autoSpaceDE/>
        <w:autoSpaceDN/>
        <w:bidi w:val="0"/>
        <w:spacing w:beforeLines="0" w:afterLines="0" w:line="400" w:lineRule="exact"/>
        <w:jc w:val="both"/>
        <w:textAlignment w:val="auto"/>
        <w:rPr>
          <w:rFonts w:hint="eastAsia" w:ascii="宋体" w:hAnsi="宋体" w:eastAsia="宋体" w:cs="宋体"/>
          <w:b/>
          <w:bCs/>
          <w:color w:val="auto"/>
          <w:sz w:val="21"/>
          <w:szCs w:val="21"/>
          <w:highlight w:val="none"/>
        </w:rPr>
      </w:pPr>
      <w:bookmarkStart w:id="226" w:name="_Toc13132"/>
      <w:bookmarkStart w:id="227" w:name="_Toc1070"/>
      <w:r>
        <w:rPr>
          <w:rFonts w:hint="eastAsia" w:ascii="宋体" w:hAnsi="宋体" w:eastAsia="宋体" w:cs="宋体"/>
          <w:b/>
          <w:bCs/>
          <w:color w:val="auto"/>
          <w:sz w:val="21"/>
          <w:szCs w:val="21"/>
          <w:highlight w:val="none"/>
        </w:rPr>
        <w:br w:type="page"/>
      </w:r>
      <w:r>
        <w:rPr>
          <w:rFonts w:hint="eastAsia" w:ascii="宋体" w:hAnsi="宋体" w:eastAsia="宋体" w:cs="宋体"/>
          <w:b/>
          <w:bCs/>
          <w:color w:val="auto"/>
          <w:sz w:val="21"/>
          <w:szCs w:val="21"/>
          <w:highlight w:val="none"/>
        </w:rPr>
        <w:t>附件一：保密协议</w:t>
      </w:r>
      <w:bookmarkEnd w:id="226"/>
      <w:bookmarkEnd w:id="227"/>
    </w:p>
    <w:p w14:paraId="480BB958">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Cs/>
          <w:color w:val="auto"/>
          <w:sz w:val="21"/>
          <w:szCs w:val="21"/>
          <w:highlight w:val="none"/>
        </w:rPr>
      </w:pPr>
      <w:bookmarkStart w:id="228" w:name="_Toc132707357"/>
      <w:bookmarkStart w:id="229" w:name="_Toc19167"/>
      <w:r>
        <w:rPr>
          <w:rFonts w:hint="eastAsia" w:ascii="宋体" w:hAnsi="宋体" w:eastAsia="宋体" w:cs="宋体"/>
          <w:color w:val="auto"/>
          <w:sz w:val="21"/>
          <w:szCs w:val="21"/>
          <w:highlight w:val="none"/>
        </w:rPr>
        <w:t>保密协议</w:t>
      </w:r>
      <w:bookmarkEnd w:id="228"/>
      <w:bookmarkEnd w:id="229"/>
    </w:p>
    <w:p w14:paraId="136A7F9B">
      <w:pPr>
        <w:keepNext w:val="0"/>
        <w:keepLines w:val="0"/>
        <w:pageBreakBefore w:val="0"/>
        <w:kinsoku/>
        <w:wordWrap/>
        <w:overflowPunct/>
        <w:topLinePunct w:val="0"/>
        <w:autoSpaceDE/>
        <w:autoSpaceDN/>
        <w:bidi w:val="0"/>
        <w:adjustRightInd w:val="0"/>
        <w:snapToGrid w:val="0"/>
        <w:spacing w:beforeLines="0" w:afterLines="0" w:line="400" w:lineRule="exact"/>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p>
    <w:p w14:paraId="686C88E3">
      <w:pPr>
        <w:keepNext w:val="0"/>
        <w:keepLines w:val="0"/>
        <w:pageBreakBefore w:val="0"/>
        <w:kinsoku/>
        <w:wordWrap/>
        <w:overflowPunct/>
        <w:topLinePunct w:val="0"/>
        <w:autoSpaceDE/>
        <w:autoSpaceDN/>
        <w:bidi w:val="0"/>
        <w:adjustRightInd w:val="0"/>
        <w:snapToGrid w:val="0"/>
        <w:spacing w:beforeLines="0" w:afterLines="0" w:line="400" w:lineRule="exact"/>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甲方：广西壮族自治区生态环境厅</w:t>
      </w:r>
    </w:p>
    <w:p w14:paraId="0943AE38">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负责人：</w:t>
      </w:r>
    </w:p>
    <w:p w14:paraId="16A6F84A">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地址：广西南宁市青秀区佛子岭路16号</w:t>
      </w:r>
    </w:p>
    <w:p w14:paraId="2142A545">
      <w:pPr>
        <w:keepNext w:val="0"/>
        <w:keepLines w:val="0"/>
        <w:pageBreakBefore w:val="0"/>
        <w:kinsoku/>
        <w:wordWrap/>
        <w:overflowPunct/>
        <w:topLinePunct w:val="0"/>
        <w:autoSpaceDE/>
        <w:autoSpaceDN/>
        <w:bidi w:val="0"/>
        <w:adjustRightInd w:val="0"/>
        <w:snapToGrid w:val="0"/>
        <w:spacing w:beforeLines="0" w:afterLines="0"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    乙方：</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p>
    <w:p w14:paraId="195D4303">
      <w:pPr>
        <w:keepNext w:val="0"/>
        <w:keepLines w:val="0"/>
        <w:pageBreakBefore w:val="0"/>
        <w:kinsoku/>
        <w:wordWrap/>
        <w:overflowPunct/>
        <w:topLinePunct w:val="0"/>
        <w:autoSpaceDE/>
        <w:autoSpaceDN/>
        <w:bidi w:val="0"/>
        <w:adjustRightInd w:val="0"/>
        <w:snapToGrid w:val="0"/>
        <w:spacing w:beforeLines="0" w:afterLines="0"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法定代表人： </w:t>
      </w:r>
      <w:r>
        <w:rPr>
          <w:rFonts w:hint="eastAsia" w:ascii="宋体" w:hAnsi="宋体" w:eastAsia="宋体" w:cs="宋体"/>
          <w:color w:val="auto"/>
          <w:sz w:val="21"/>
          <w:szCs w:val="21"/>
          <w:highlight w:val="none"/>
          <w:lang w:val="en-US" w:eastAsia="zh-CN"/>
        </w:rPr>
        <w:t xml:space="preserve"> </w:t>
      </w:r>
    </w:p>
    <w:p w14:paraId="790D3574">
      <w:pPr>
        <w:keepNext w:val="0"/>
        <w:keepLines w:val="0"/>
        <w:pageBreakBefore w:val="0"/>
        <w:kinsoku/>
        <w:wordWrap/>
        <w:overflowPunct/>
        <w:topLinePunct w:val="0"/>
        <w:autoSpaceDE/>
        <w:autoSpaceDN/>
        <w:bidi w:val="0"/>
        <w:spacing w:beforeLines="0" w:afterLines="0"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val="en-US" w:eastAsia="zh-CN"/>
        </w:rPr>
        <w:t xml:space="preserve">  </w:t>
      </w:r>
    </w:p>
    <w:p w14:paraId="0019384C">
      <w:pPr>
        <w:keepNext w:val="0"/>
        <w:keepLines w:val="0"/>
        <w:pageBreakBefore w:val="0"/>
        <w:kinsoku/>
        <w:wordWrap/>
        <w:overflowPunct/>
        <w:topLinePunct w:val="0"/>
        <w:autoSpaceDE/>
        <w:autoSpaceDN/>
        <w:bidi w:val="0"/>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鉴于本协议甲乙双方就双方签订的编号为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等开展业务/合作；在开展业务/合作的过程中，预计甲方将为上述之目的向乙方披露甲方的专有信息且此等信息均被视为保密信息；因此，双方在此达成如下保密协议：</w:t>
      </w:r>
    </w:p>
    <w:p w14:paraId="59E27A87">
      <w:pPr>
        <w:pStyle w:val="141"/>
        <w:keepNext w:val="0"/>
        <w:keepLines w:val="0"/>
        <w:pageBreakBefore w:val="0"/>
        <w:widowControl w:val="0"/>
        <w:tabs>
          <w:tab w:val="left" w:pos="709"/>
        </w:tabs>
        <w:kinsoku/>
        <w:wordWrap/>
        <w:overflowPunct/>
        <w:topLinePunct w:val="0"/>
        <w:autoSpaceDE/>
        <w:autoSpaceDN/>
        <w:bidi w:val="0"/>
        <w:adjustRightInd w:val="0"/>
        <w:snapToGrid w:val="0"/>
        <w:spacing w:beforeLines="0" w:after="0" w:afterLines="0" w:line="400" w:lineRule="exact"/>
        <w:ind w:firstLine="422" w:firstLineChars="200"/>
        <w:jc w:val="both"/>
        <w:textAlignment w:val="auto"/>
        <w:outlineLvl w:val="9"/>
        <w:rPr>
          <w:rFonts w:hint="eastAsia" w:ascii="宋体" w:hAnsi="宋体" w:eastAsia="宋体" w:cs="宋体"/>
          <w:b/>
          <w:color w:val="auto"/>
          <w:sz w:val="21"/>
          <w:szCs w:val="21"/>
          <w:highlight w:val="none"/>
          <w:lang w:eastAsia="zh-CN"/>
        </w:rPr>
      </w:pPr>
      <w:bookmarkStart w:id="230" w:name="_Toc1584680693"/>
      <w:bookmarkStart w:id="231" w:name="_Toc22190"/>
      <w:bookmarkStart w:id="232" w:name="_Toc132707358"/>
      <w:r>
        <w:rPr>
          <w:rFonts w:hint="eastAsia" w:ascii="宋体" w:hAnsi="宋体" w:eastAsia="宋体" w:cs="宋体"/>
          <w:b/>
          <w:color w:val="auto"/>
          <w:sz w:val="21"/>
          <w:szCs w:val="21"/>
          <w:highlight w:val="none"/>
          <w:lang w:eastAsia="zh-CN"/>
        </w:rPr>
        <w:t>一、本协议保密信息的界定</w:t>
      </w:r>
      <w:bookmarkEnd w:id="230"/>
      <w:bookmarkEnd w:id="231"/>
      <w:bookmarkEnd w:id="232"/>
    </w:p>
    <w:p w14:paraId="7D3C2B71">
      <w:pPr>
        <w:pStyle w:val="141"/>
        <w:keepNext w:val="0"/>
        <w:keepLines w:val="0"/>
        <w:pageBreakBefore w:val="0"/>
        <w:widowControl w:val="0"/>
        <w:tabs>
          <w:tab w:val="left" w:pos="709"/>
        </w:tabs>
        <w:kinsoku/>
        <w:wordWrap/>
        <w:overflowPunct/>
        <w:topLinePunct w:val="0"/>
        <w:autoSpaceDE/>
        <w:autoSpaceDN/>
        <w:bidi w:val="0"/>
        <w:adjustRightInd w:val="0"/>
        <w:snapToGrid w:val="0"/>
        <w:spacing w:beforeLines="0" w:after="0" w:afterLines="0" w:line="400" w:lineRule="exact"/>
        <w:ind w:firstLine="420" w:firstLineChars="200"/>
        <w:jc w:val="both"/>
        <w:textAlignment w:val="auto"/>
        <w:outlineLvl w:val="9"/>
        <w:rPr>
          <w:rFonts w:hint="eastAsia" w:ascii="宋体" w:hAnsi="宋体" w:eastAsia="宋体" w:cs="宋体"/>
          <w:color w:val="auto"/>
          <w:kern w:val="2"/>
          <w:sz w:val="21"/>
          <w:szCs w:val="21"/>
          <w:highlight w:val="none"/>
          <w:lang w:eastAsia="zh-CN"/>
        </w:rPr>
      </w:pPr>
      <w:bookmarkStart w:id="233" w:name="_Toc132707359"/>
      <w:bookmarkStart w:id="234" w:name="_Toc1710318546"/>
      <w:bookmarkStart w:id="235" w:name="_Toc8357"/>
      <w:r>
        <w:rPr>
          <w:rFonts w:hint="eastAsia" w:ascii="宋体" w:hAnsi="宋体" w:eastAsia="宋体" w:cs="宋体"/>
          <w:color w:val="auto"/>
          <w:sz w:val="21"/>
          <w:szCs w:val="21"/>
          <w:highlight w:val="none"/>
          <w:lang w:eastAsia="zh-CN"/>
        </w:rPr>
        <w:t>（一）为本协议之目的，“保密信息”是指为实现前述业务/合作目的,甲方向乙方提供或披露的任何甲方不欲公开的机密信息，或者任何其它非公开或专有的信息、数据、设想或概念、标准，和/或其中的任何知识产权，无论该等信息或数据的载体形式、也不论披露是在本协议生效之前或之后。</w:t>
      </w:r>
      <w:r>
        <w:rPr>
          <w:rFonts w:hint="eastAsia" w:ascii="宋体" w:hAnsi="宋体" w:eastAsia="宋体" w:cs="宋体"/>
          <w:color w:val="auto"/>
          <w:kern w:val="2"/>
          <w:sz w:val="21"/>
          <w:szCs w:val="21"/>
          <w:highlight w:val="none"/>
          <w:lang w:eastAsia="zh-CN"/>
        </w:rPr>
        <w:t>本协议所指保密信息包括但不限于以下内容：</w:t>
      </w:r>
      <w:bookmarkEnd w:id="233"/>
      <w:bookmarkEnd w:id="234"/>
      <w:bookmarkEnd w:id="235"/>
    </w:p>
    <w:p w14:paraId="3D302578">
      <w:pPr>
        <w:pStyle w:val="141"/>
        <w:keepNext w:val="0"/>
        <w:keepLines w:val="0"/>
        <w:pageBreakBefore w:val="0"/>
        <w:widowControl w:val="0"/>
        <w:tabs>
          <w:tab w:val="left" w:pos="709"/>
        </w:tabs>
        <w:kinsoku/>
        <w:wordWrap/>
        <w:overflowPunct/>
        <w:topLinePunct w:val="0"/>
        <w:autoSpaceDE/>
        <w:autoSpaceDN/>
        <w:bidi w:val="0"/>
        <w:adjustRightInd w:val="0"/>
        <w:snapToGrid w:val="0"/>
        <w:spacing w:beforeLines="0" w:after="0" w:afterLines="0" w:line="400" w:lineRule="exact"/>
        <w:ind w:firstLine="422" w:firstLineChars="200"/>
        <w:jc w:val="both"/>
        <w:textAlignment w:val="auto"/>
        <w:outlineLvl w:val="9"/>
        <w:rPr>
          <w:rFonts w:hint="eastAsia" w:ascii="宋体" w:hAnsi="宋体" w:eastAsia="宋体" w:cs="宋体"/>
          <w:color w:val="auto"/>
          <w:kern w:val="2"/>
          <w:sz w:val="21"/>
          <w:szCs w:val="21"/>
          <w:highlight w:val="none"/>
          <w:lang w:eastAsia="zh-CN"/>
        </w:rPr>
      </w:pPr>
      <w:bookmarkStart w:id="236" w:name="_Toc132707360"/>
      <w:bookmarkStart w:id="237" w:name="_Toc13086"/>
      <w:bookmarkStart w:id="238" w:name="_Toc1676583173"/>
      <w:r>
        <w:rPr>
          <w:rFonts w:hint="eastAsia" w:ascii="宋体" w:hAnsi="宋体" w:eastAsia="宋体" w:cs="宋体"/>
          <w:b/>
          <w:bCs/>
          <w:color w:val="auto"/>
          <w:kern w:val="2"/>
          <w:sz w:val="21"/>
          <w:szCs w:val="21"/>
          <w:highlight w:val="none"/>
          <w:lang w:eastAsia="zh-CN"/>
        </w:rPr>
        <w:t>技术信息</w:t>
      </w:r>
      <w:r>
        <w:rPr>
          <w:rFonts w:hint="eastAsia" w:ascii="宋体" w:hAnsi="宋体" w:eastAsia="宋体" w:cs="宋体"/>
          <w:color w:val="auto"/>
          <w:kern w:val="2"/>
          <w:sz w:val="21"/>
          <w:szCs w:val="21"/>
          <w:highlight w:val="none"/>
          <w:lang w:eastAsia="zh-CN"/>
        </w:rPr>
        <w:t>：包括甲方专有的技术方案、网络组织、系统及应用软件、数据库、未公开的具有国内先进水平以上的科技成果、技术文档、商务合同、招标方案、评标结果、涉及商业秘密的业务函电等。</w:t>
      </w:r>
      <w:bookmarkEnd w:id="236"/>
      <w:bookmarkEnd w:id="237"/>
      <w:bookmarkEnd w:id="238"/>
    </w:p>
    <w:p w14:paraId="2EA7B314">
      <w:pPr>
        <w:pStyle w:val="141"/>
        <w:keepNext w:val="0"/>
        <w:keepLines w:val="0"/>
        <w:pageBreakBefore w:val="0"/>
        <w:widowControl w:val="0"/>
        <w:tabs>
          <w:tab w:val="left" w:pos="709"/>
        </w:tabs>
        <w:kinsoku/>
        <w:wordWrap/>
        <w:overflowPunct/>
        <w:topLinePunct w:val="0"/>
        <w:autoSpaceDE/>
        <w:autoSpaceDN/>
        <w:bidi w:val="0"/>
        <w:adjustRightInd w:val="0"/>
        <w:snapToGrid w:val="0"/>
        <w:spacing w:beforeLines="0" w:after="0" w:afterLines="0" w:line="400" w:lineRule="exact"/>
        <w:ind w:firstLine="422" w:firstLineChars="200"/>
        <w:jc w:val="both"/>
        <w:textAlignment w:val="auto"/>
        <w:outlineLvl w:val="9"/>
        <w:rPr>
          <w:rFonts w:hint="eastAsia" w:ascii="宋体" w:hAnsi="宋体" w:eastAsia="宋体" w:cs="宋体"/>
          <w:color w:val="auto"/>
          <w:kern w:val="2"/>
          <w:sz w:val="21"/>
          <w:szCs w:val="21"/>
          <w:highlight w:val="none"/>
          <w:lang w:eastAsia="zh-CN"/>
        </w:rPr>
      </w:pPr>
      <w:bookmarkStart w:id="239" w:name="_Toc1177140318"/>
      <w:bookmarkStart w:id="240" w:name="_Toc17544"/>
      <w:bookmarkStart w:id="241" w:name="_Toc132707361"/>
      <w:r>
        <w:rPr>
          <w:rFonts w:hint="eastAsia" w:ascii="宋体" w:hAnsi="宋体" w:eastAsia="宋体" w:cs="宋体"/>
          <w:b/>
          <w:bCs/>
          <w:color w:val="auto"/>
          <w:kern w:val="2"/>
          <w:sz w:val="21"/>
          <w:szCs w:val="21"/>
          <w:highlight w:val="none"/>
          <w:lang w:eastAsia="zh-CN"/>
        </w:rPr>
        <w:t>经营信息：</w:t>
      </w:r>
      <w:r>
        <w:rPr>
          <w:rFonts w:hint="eastAsia" w:ascii="宋体" w:hAnsi="宋体" w:eastAsia="宋体" w:cs="宋体"/>
          <w:color w:val="auto"/>
          <w:kern w:val="2"/>
          <w:sz w:val="21"/>
          <w:szCs w:val="21"/>
          <w:highlight w:val="none"/>
          <w:lang w:eastAsia="zh-CN"/>
        </w:rPr>
        <w:t>包括甲方发展战略规划、投资计划及年度计划；甲方策略、资料、重大活动计划及安排、暂不公开或不公开的对接单位、合作伙伴相关信息；甲方重要会议内容及记录、以及管理相关文件。</w:t>
      </w:r>
      <w:bookmarkEnd w:id="239"/>
      <w:bookmarkEnd w:id="240"/>
      <w:bookmarkEnd w:id="241"/>
    </w:p>
    <w:p w14:paraId="786468FC">
      <w:pPr>
        <w:pStyle w:val="141"/>
        <w:keepNext w:val="0"/>
        <w:keepLines w:val="0"/>
        <w:pageBreakBefore w:val="0"/>
        <w:widowControl w:val="0"/>
        <w:tabs>
          <w:tab w:val="left" w:pos="709"/>
        </w:tabs>
        <w:kinsoku/>
        <w:wordWrap/>
        <w:overflowPunct/>
        <w:topLinePunct w:val="0"/>
        <w:autoSpaceDE/>
        <w:autoSpaceDN/>
        <w:bidi w:val="0"/>
        <w:adjustRightInd w:val="0"/>
        <w:snapToGrid w:val="0"/>
        <w:spacing w:beforeLines="0" w:after="0" w:afterLines="0" w:line="400" w:lineRule="exact"/>
        <w:ind w:firstLine="422" w:firstLineChars="200"/>
        <w:jc w:val="both"/>
        <w:textAlignment w:val="auto"/>
        <w:outlineLvl w:val="9"/>
        <w:rPr>
          <w:rFonts w:hint="eastAsia" w:ascii="宋体" w:hAnsi="宋体" w:eastAsia="宋体" w:cs="宋体"/>
          <w:color w:val="auto"/>
          <w:kern w:val="2"/>
          <w:sz w:val="21"/>
          <w:szCs w:val="21"/>
          <w:highlight w:val="none"/>
          <w:lang w:eastAsia="zh-CN"/>
        </w:rPr>
      </w:pPr>
      <w:bookmarkStart w:id="242" w:name="_Toc10231"/>
      <w:bookmarkStart w:id="243" w:name="_Toc132707362"/>
      <w:bookmarkStart w:id="244" w:name="_Toc2119817172"/>
      <w:r>
        <w:rPr>
          <w:rFonts w:hint="eastAsia" w:ascii="宋体" w:hAnsi="宋体" w:eastAsia="宋体" w:cs="宋体"/>
          <w:b/>
          <w:bCs/>
          <w:color w:val="auto"/>
          <w:kern w:val="2"/>
          <w:sz w:val="21"/>
          <w:szCs w:val="21"/>
          <w:highlight w:val="none"/>
          <w:lang w:eastAsia="zh-CN"/>
        </w:rPr>
        <w:t>其他：</w:t>
      </w:r>
      <w:r>
        <w:rPr>
          <w:rFonts w:hint="eastAsia" w:ascii="宋体" w:hAnsi="宋体" w:eastAsia="宋体" w:cs="宋体"/>
          <w:color w:val="auto"/>
          <w:kern w:val="2"/>
          <w:sz w:val="21"/>
          <w:szCs w:val="21"/>
          <w:highlight w:val="none"/>
          <w:lang w:eastAsia="zh-CN"/>
        </w:rPr>
        <w:t>针对</w:t>
      </w:r>
      <w:r>
        <w:rPr>
          <w:rFonts w:hint="eastAsia" w:ascii="宋体" w:hAnsi="宋体" w:eastAsia="宋体" w:cs="宋体"/>
          <w:color w:val="auto"/>
          <w:sz w:val="21"/>
          <w:szCs w:val="21"/>
          <w:highlight w:val="none"/>
          <w:lang w:eastAsia="zh-CN"/>
        </w:rPr>
        <w:t>业务/合作</w:t>
      </w:r>
      <w:r>
        <w:rPr>
          <w:rFonts w:hint="eastAsia" w:ascii="宋体" w:hAnsi="宋体" w:eastAsia="宋体" w:cs="宋体"/>
          <w:color w:val="auto"/>
          <w:kern w:val="2"/>
          <w:sz w:val="21"/>
          <w:szCs w:val="21"/>
          <w:highlight w:val="none"/>
          <w:lang w:eastAsia="zh-CN"/>
        </w:rPr>
        <w:t>需要，甲方向乙方提供的所有相关资料和数据。</w:t>
      </w:r>
      <w:bookmarkEnd w:id="242"/>
      <w:bookmarkEnd w:id="243"/>
      <w:bookmarkEnd w:id="244"/>
    </w:p>
    <w:p w14:paraId="3176C6ED">
      <w:pPr>
        <w:keepNext w:val="0"/>
        <w:keepLines w:val="0"/>
        <w:pageBreakBefore w:val="0"/>
        <w:kinsoku/>
        <w:wordWrap/>
        <w:overflowPunct/>
        <w:topLinePunct w:val="0"/>
        <w:autoSpaceDE/>
        <w:autoSpaceDN/>
        <w:bidi w:val="0"/>
        <w:adjustRightInd w:val="0"/>
        <w:snapToGrid w:val="0"/>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（二）上述保密信息的披露，包括但不限于以数据、文字、录音及记载上述内容的文档、光盘、软件、图书等有形介质体现，也可通过口头等视听方式传递。</w:t>
      </w:r>
    </w:p>
    <w:p w14:paraId="25DC3C10">
      <w:pPr>
        <w:pStyle w:val="141"/>
        <w:keepNext w:val="0"/>
        <w:keepLines w:val="0"/>
        <w:pageBreakBefore w:val="0"/>
        <w:widowControl w:val="0"/>
        <w:tabs>
          <w:tab w:val="left" w:pos="709"/>
        </w:tabs>
        <w:kinsoku/>
        <w:wordWrap/>
        <w:overflowPunct/>
        <w:topLinePunct w:val="0"/>
        <w:autoSpaceDE/>
        <w:autoSpaceDN/>
        <w:bidi w:val="0"/>
        <w:adjustRightInd w:val="0"/>
        <w:snapToGrid w:val="0"/>
        <w:spacing w:beforeLines="0" w:after="0" w:afterLines="0" w:line="400" w:lineRule="exact"/>
        <w:ind w:firstLine="422" w:firstLineChars="200"/>
        <w:jc w:val="both"/>
        <w:textAlignment w:val="auto"/>
        <w:outlineLvl w:val="9"/>
        <w:rPr>
          <w:rFonts w:hint="eastAsia" w:ascii="宋体" w:hAnsi="宋体" w:eastAsia="宋体" w:cs="宋体"/>
          <w:b/>
          <w:color w:val="auto"/>
          <w:kern w:val="2"/>
          <w:sz w:val="21"/>
          <w:szCs w:val="21"/>
          <w:highlight w:val="none"/>
          <w:lang w:eastAsia="zh-CN"/>
        </w:rPr>
      </w:pPr>
      <w:bookmarkStart w:id="245" w:name="_Toc1121355855"/>
      <w:bookmarkStart w:id="246" w:name="_Toc8214"/>
      <w:bookmarkStart w:id="247" w:name="_Toc132707363"/>
      <w:r>
        <w:rPr>
          <w:rFonts w:hint="eastAsia" w:ascii="宋体" w:hAnsi="宋体" w:eastAsia="宋体" w:cs="宋体"/>
          <w:b/>
          <w:color w:val="auto"/>
          <w:kern w:val="2"/>
          <w:sz w:val="21"/>
          <w:szCs w:val="21"/>
          <w:highlight w:val="none"/>
          <w:lang w:eastAsia="zh-CN"/>
        </w:rPr>
        <w:t>二、以下信息不属于本协议所定义的保密信息，不受本协议的约束：</w:t>
      </w:r>
      <w:bookmarkEnd w:id="245"/>
      <w:bookmarkEnd w:id="246"/>
      <w:bookmarkEnd w:id="247"/>
    </w:p>
    <w:p w14:paraId="4E8F3A08">
      <w:pPr>
        <w:pStyle w:val="141"/>
        <w:keepNext w:val="0"/>
        <w:keepLines w:val="0"/>
        <w:pageBreakBefore w:val="0"/>
        <w:tabs>
          <w:tab w:val="left" w:pos="709"/>
        </w:tabs>
        <w:kinsoku/>
        <w:wordWrap/>
        <w:overflowPunct/>
        <w:topLinePunct w:val="0"/>
        <w:autoSpaceDE/>
        <w:autoSpaceDN/>
        <w:bidi w:val="0"/>
        <w:adjustRightInd w:val="0"/>
        <w:snapToGrid w:val="0"/>
        <w:spacing w:beforeLines="0" w:after="0" w:afterLines="0" w:line="400" w:lineRule="exact"/>
        <w:ind w:firstLine="420" w:firstLineChars="200"/>
        <w:jc w:val="both"/>
        <w:textAlignment w:val="auto"/>
        <w:outlineLvl w:val="9"/>
        <w:rPr>
          <w:rFonts w:hint="eastAsia" w:ascii="宋体" w:hAnsi="宋体" w:eastAsia="宋体" w:cs="宋体"/>
          <w:color w:val="auto"/>
          <w:kern w:val="2"/>
          <w:sz w:val="21"/>
          <w:szCs w:val="21"/>
          <w:highlight w:val="none"/>
          <w:lang w:eastAsia="zh-CN"/>
        </w:rPr>
      </w:pPr>
      <w:bookmarkStart w:id="248" w:name="_Toc1638646153"/>
      <w:bookmarkStart w:id="249" w:name="_Toc132707364"/>
      <w:bookmarkStart w:id="250" w:name="_Toc21538"/>
      <w:r>
        <w:rPr>
          <w:rFonts w:hint="eastAsia" w:ascii="宋体" w:hAnsi="宋体" w:eastAsia="宋体" w:cs="宋体"/>
          <w:color w:val="auto"/>
          <w:kern w:val="2"/>
          <w:sz w:val="21"/>
          <w:szCs w:val="21"/>
          <w:highlight w:val="none"/>
          <w:lang w:eastAsia="zh-CN"/>
        </w:rPr>
        <w:t>（一）乙方能够证明已处于公开状态或并不违反本协议即可获得的任何信息；</w:t>
      </w:r>
      <w:bookmarkEnd w:id="248"/>
      <w:bookmarkEnd w:id="249"/>
      <w:bookmarkEnd w:id="250"/>
    </w:p>
    <w:p w14:paraId="5F90CDC1">
      <w:pPr>
        <w:pStyle w:val="141"/>
        <w:keepNext w:val="0"/>
        <w:keepLines w:val="0"/>
        <w:pageBreakBefore w:val="0"/>
        <w:tabs>
          <w:tab w:val="left" w:pos="709"/>
        </w:tabs>
        <w:kinsoku/>
        <w:wordWrap/>
        <w:overflowPunct/>
        <w:topLinePunct w:val="0"/>
        <w:autoSpaceDE/>
        <w:autoSpaceDN/>
        <w:bidi w:val="0"/>
        <w:adjustRightInd w:val="0"/>
        <w:snapToGrid w:val="0"/>
        <w:spacing w:beforeLines="0" w:after="0" w:afterLines="0" w:line="400" w:lineRule="exact"/>
        <w:ind w:firstLine="420" w:firstLineChars="200"/>
        <w:jc w:val="both"/>
        <w:textAlignment w:val="auto"/>
        <w:outlineLvl w:val="9"/>
        <w:rPr>
          <w:rFonts w:hint="eastAsia" w:ascii="宋体" w:hAnsi="宋体" w:eastAsia="宋体" w:cs="宋体"/>
          <w:color w:val="auto"/>
          <w:sz w:val="21"/>
          <w:szCs w:val="21"/>
          <w:highlight w:val="none"/>
          <w:lang w:eastAsia="zh-CN"/>
        </w:rPr>
      </w:pPr>
      <w:bookmarkStart w:id="251" w:name="_Toc6067"/>
      <w:bookmarkStart w:id="252" w:name="_Toc132707365"/>
      <w:bookmarkStart w:id="253" w:name="_Toc1676986016"/>
      <w:r>
        <w:rPr>
          <w:rFonts w:hint="eastAsia" w:ascii="宋体" w:hAnsi="宋体" w:eastAsia="宋体" w:cs="宋体"/>
          <w:color w:val="auto"/>
          <w:sz w:val="21"/>
          <w:szCs w:val="21"/>
          <w:highlight w:val="none"/>
          <w:lang w:eastAsia="zh-CN"/>
        </w:rPr>
        <w:t>（二）书面记录能够证明从甲方收到前乙方已经掌握的信息；</w:t>
      </w:r>
      <w:bookmarkEnd w:id="251"/>
      <w:bookmarkEnd w:id="252"/>
      <w:bookmarkEnd w:id="253"/>
    </w:p>
    <w:p w14:paraId="6B7DB261">
      <w:pPr>
        <w:pStyle w:val="141"/>
        <w:keepNext w:val="0"/>
        <w:keepLines w:val="0"/>
        <w:pageBreakBefore w:val="0"/>
        <w:tabs>
          <w:tab w:val="left" w:pos="709"/>
        </w:tabs>
        <w:kinsoku/>
        <w:wordWrap/>
        <w:overflowPunct/>
        <w:topLinePunct w:val="0"/>
        <w:autoSpaceDE/>
        <w:autoSpaceDN/>
        <w:bidi w:val="0"/>
        <w:adjustRightInd w:val="0"/>
        <w:snapToGrid w:val="0"/>
        <w:spacing w:beforeLines="0" w:after="0" w:afterLines="0" w:line="400" w:lineRule="exact"/>
        <w:ind w:firstLine="420" w:firstLineChars="200"/>
        <w:jc w:val="both"/>
        <w:textAlignment w:val="auto"/>
        <w:outlineLvl w:val="9"/>
        <w:rPr>
          <w:rFonts w:hint="eastAsia" w:ascii="宋体" w:hAnsi="宋体" w:eastAsia="宋体" w:cs="宋体"/>
          <w:color w:val="auto"/>
          <w:kern w:val="2"/>
          <w:sz w:val="21"/>
          <w:szCs w:val="21"/>
          <w:highlight w:val="none"/>
          <w:lang w:eastAsia="zh-CN"/>
        </w:rPr>
      </w:pPr>
      <w:bookmarkStart w:id="254" w:name="_Toc132707366"/>
      <w:bookmarkStart w:id="255" w:name="_Toc1259475693"/>
      <w:bookmarkStart w:id="256" w:name="_Toc20237"/>
      <w:r>
        <w:rPr>
          <w:rFonts w:hint="eastAsia" w:ascii="宋体" w:hAnsi="宋体" w:eastAsia="宋体" w:cs="宋体"/>
          <w:color w:val="auto"/>
          <w:kern w:val="2"/>
          <w:sz w:val="21"/>
          <w:szCs w:val="21"/>
          <w:highlight w:val="none"/>
          <w:lang w:eastAsia="zh-CN"/>
        </w:rPr>
        <w:t>（三）经甲方书面同意披露或许可使用的信息。</w:t>
      </w:r>
      <w:bookmarkEnd w:id="254"/>
      <w:bookmarkEnd w:id="255"/>
      <w:bookmarkEnd w:id="256"/>
    </w:p>
    <w:p w14:paraId="4C00D232">
      <w:pPr>
        <w:pStyle w:val="141"/>
        <w:keepNext w:val="0"/>
        <w:keepLines w:val="0"/>
        <w:pageBreakBefore w:val="0"/>
        <w:widowControl w:val="0"/>
        <w:tabs>
          <w:tab w:val="left" w:pos="709"/>
        </w:tabs>
        <w:kinsoku/>
        <w:wordWrap/>
        <w:overflowPunct/>
        <w:topLinePunct w:val="0"/>
        <w:autoSpaceDE/>
        <w:autoSpaceDN/>
        <w:bidi w:val="0"/>
        <w:adjustRightInd w:val="0"/>
        <w:snapToGrid w:val="0"/>
        <w:spacing w:beforeLines="0" w:after="0" w:afterLines="0" w:line="400" w:lineRule="exact"/>
        <w:ind w:firstLine="422" w:firstLineChars="200"/>
        <w:jc w:val="both"/>
        <w:textAlignment w:val="auto"/>
        <w:outlineLvl w:val="9"/>
        <w:rPr>
          <w:rFonts w:hint="eastAsia" w:ascii="宋体" w:hAnsi="宋体" w:eastAsia="宋体" w:cs="宋体"/>
          <w:b/>
          <w:color w:val="auto"/>
          <w:kern w:val="2"/>
          <w:sz w:val="21"/>
          <w:szCs w:val="21"/>
          <w:highlight w:val="none"/>
          <w:lang w:eastAsia="zh-CN"/>
        </w:rPr>
      </w:pPr>
      <w:bookmarkStart w:id="257" w:name="_Toc1364483399"/>
      <w:bookmarkStart w:id="258" w:name="_Toc132707367"/>
      <w:bookmarkStart w:id="259" w:name="_Toc32588"/>
      <w:r>
        <w:rPr>
          <w:rFonts w:hint="eastAsia" w:ascii="宋体" w:hAnsi="宋体" w:eastAsia="宋体" w:cs="宋体"/>
          <w:b/>
          <w:color w:val="auto"/>
          <w:kern w:val="2"/>
          <w:sz w:val="21"/>
          <w:szCs w:val="21"/>
          <w:highlight w:val="none"/>
          <w:lang w:eastAsia="zh-CN"/>
        </w:rPr>
        <w:t>三、保密义务及具体要求</w:t>
      </w:r>
      <w:bookmarkEnd w:id="257"/>
      <w:bookmarkEnd w:id="258"/>
      <w:bookmarkEnd w:id="259"/>
    </w:p>
    <w:p w14:paraId="7D7F089C">
      <w:pPr>
        <w:pStyle w:val="141"/>
        <w:keepNext w:val="0"/>
        <w:keepLines w:val="0"/>
        <w:pageBreakBefore w:val="0"/>
        <w:tabs>
          <w:tab w:val="left" w:pos="709"/>
        </w:tabs>
        <w:kinsoku/>
        <w:wordWrap/>
        <w:overflowPunct/>
        <w:topLinePunct w:val="0"/>
        <w:autoSpaceDE/>
        <w:autoSpaceDN/>
        <w:bidi w:val="0"/>
        <w:adjustRightInd w:val="0"/>
        <w:snapToGrid w:val="0"/>
        <w:spacing w:beforeLines="0" w:after="0" w:afterLines="0" w:line="400" w:lineRule="exact"/>
        <w:ind w:firstLine="420" w:firstLineChars="200"/>
        <w:jc w:val="both"/>
        <w:textAlignment w:val="auto"/>
        <w:outlineLvl w:val="9"/>
        <w:rPr>
          <w:rFonts w:hint="eastAsia" w:ascii="宋体" w:hAnsi="宋体" w:eastAsia="宋体" w:cs="宋体"/>
          <w:color w:val="auto"/>
          <w:kern w:val="2"/>
          <w:sz w:val="21"/>
          <w:szCs w:val="21"/>
          <w:highlight w:val="none"/>
          <w:lang w:eastAsia="zh-CN"/>
        </w:rPr>
      </w:pPr>
      <w:bookmarkStart w:id="260" w:name="_Toc5726"/>
      <w:bookmarkStart w:id="261" w:name="_Toc132707368"/>
      <w:bookmarkStart w:id="262" w:name="_Toc1861507462"/>
      <w:r>
        <w:rPr>
          <w:rFonts w:hint="eastAsia" w:ascii="宋体" w:hAnsi="宋体" w:eastAsia="宋体" w:cs="宋体"/>
          <w:color w:val="auto"/>
          <w:kern w:val="2"/>
          <w:sz w:val="21"/>
          <w:szCs w:val="21"/>
          <w:highlight w:val="none"/>
          <w:lang w:eastAsia="zh-CN"/>
        </w:rPr>
        <w:t>（一）乙方应以对待自己同等重要的保密文件一样的谨慎态度对待甲方提供的保密信息，乙方应要求其获悉保密信息的所有人员采取必要的措施对收到的保密信息进行存档和保密，避免任何其他第三方及乙方的无关人员以任何方式获得此保密信息；</w:t>
      </w:r>
      <w:bookmarkEnd w:id="260"/>
      <w:bookmarkEnd w:id="261"/>
      <w:bookmarkEnd w:id="262"/>
    </w:p>
    <w:p w14:paraId="08F4E943">
      <w:pPr>
        <w:pStyle w:val="141"/>
        <w:keepNext w:val="0"/>
        <w:keepLines w:val="0"/>
        <w:pageBreakBefore w:val="0"/>
        <w:tabs>
          <w:tab w:val="left" w:pos="709"/>
        </w:tabs>
        <w:kinsoku/>
        <w:wordWrap/>
        <w:overflowPunct/>
        <w:topLinePunct w:val="0"/>
        <w:autoSpaceDE/>
        <w:autoSpaceDN/>
        <w:bidi w:val="0"/>
        <w:adjustRightInd w:val="0"/>
        <w:snapToGrid w:val="0"/>
        <w:spacing w:beforeLines="0" w:after="0" w:afterLines="0" w:line="400" w:lineRule="exact"/>
        <w:ind w:firstLine="420" w:firstLineChars="200"/>
        <w:jc w:val="both"/>
        <w:textAlignment w:val="auto"/>
        <w:outlineLvl w:val="9"/>
        <w:rPr>
          <w:rFonts w:hint="eastAsia" w:ascii="宋体" w:hAnsi="宋体" w:eastAsia="宋体" w:cs="宋体"/>
          <w:color w:val="auto"/>
          <w:kern w:val="2"/>
          <w:sz w:val="21"/>
          <w:szCs w:val="21"/>
          <w:highlight w:val="none"/>
          <w:lang w:eastAsia="zh-CN"/>
        </w:rPr>
      </w:pPr>
      <w:bookmarkStart w:id="263" w:name="_Toc132707369"/>
      <w:bookmarkStart w:id="264" w:name="_Toc6568"/>
      <w:bookmarkStart w:id="265" w:name="_Toc32822840"/>
      <w:r>
        <w:rPr>
          <w:rFonts w:hint="eastAsia" w:ascii="宋体" w:hAnsi="宋体" w:eastAsia="宋体" w:cs="宋体"/>
          <w:color w:val="auto"/>
          <w:kern w:val="2"/>
          <w:sz w:val="21"/>
          <w:szCs w:val="21"/>
          <w:highlight w:val="none"/>
          <w:lang w:eastAsia="zh-CN"/>
        </w:rPr>
        <w:t>（二）乙方保证该保密信息仅用于与业务/合作有关的用途。未经甲方书面同意，乙方不得将保密信息用于业务/合作以外的任何用途、不得对保密信息进行复制、或利用保密信息进行新的研究或开发；</w:t>
      </w:r>
      <w:bookmarkEnd w:id="263"/>
      <w:bookmarkEnd w:id="264"/>
      <w:bookmarkEnd w:id="265"/>
    </w:p>
    <w:p w14:paraId="76859101">
      <w:pPr>
        <w:pStyle w:val="141"/>
        <w:keepNext w:val="0"/>
        <w:keepLines w:val="0"/>
        <w:pageBreakBefore w:val="0"/>
        <w:tabs>
          <w:tab w:val="left" w:pos="709"/>
        </w:tabs>
        <w:kinsoku/>
        <w:wordWrap/>
        <w:overflowPunct/>
        <w:topLinePunct w:val="0"/>
        <w:autoSpaceDE/>
        <w:autoSpaceDN/>
        <w:bidi w:val="0"/>
        <w:adjustRightInd w:val="0"/>
        <w:snapToGrid w:val="0"/>
        <w:spacing w:beforeLines="0" w:after="0" w:afterLines="0" w:line="400" w:lineRule="exact"/>
        <w:ind w:firstLine="420" w:firstLineChars="200"/>
        <w:jc w:val="both"/>
        <w:textAlignment w:val="auto"/>
        <w:outlineLvl w:val="9"/>
        <w:rPr>
          <w:rFonts w:hint="eastAsia" w:ascii="宋体" w:hAnsi="宋体" w:eastAsia="宋体" w:cs="宋体"/>
          <w:color w:val="auto"/>
          <w:kern w:val="2"/>
          <w:sz w:val="21"/>
          <w:szCs w:val="21"/>
          <w:highlight w:val="none"/>
          <w:lang w:eastAsia="zh-CN"/>
        </w:rPr>
      </w:pPr>
      <w:bookmarkStart w:id="266" w:name="_Toc1692559735"/>
      <w:bookmarkStart w:id="267" w:name="_Toc132707370"/>
      <w:bookmarkStart w:id="268" w:name="_Toc13939"/>
      <w:r>
        <w:rPr>
          <w:rFonts w:hint="eastAsia" w:ascii="宋体" w:hAnsi="宋体" w:eastAsia="宋体" w:cs="宋体"/>
          <w:color w:val="auto"/>
          <w:kern w:val="2"/>
          <w:sz w:val="21"/>
          <w:szCs w:val="21"/>
          <w:highlight w:val="none"/>
          <w:lang w:eastAsia="zh-CN"/>
        </w:rPr>
        <w:t>（三）乙方保证仅为与甲方业务/合作的目的向乙方确有知悉必要的雇员、董事、顾问和/或咨询人员披露保密信息，且对保密信息的披露及利用符合甲方的利益。在乙方上述人员知悉该保密信息前，应向其说明保密信息的保密性及其应承担的义务，保证上述人员同意接收本协议条款的约束，并对上述人员的保密行为进行有效的监督管理。因前述人员违背上述承诺，向第三方披露保密信息，或依据该等保密信息向第三方做出任何建议，都被视为乙方违反本协议，乙方应承担全部责任，且乙方应采取有效措施防止泄密进一步扩大，并及时告知甲方；</w:t>
      </w:r>
      <w:bookmarkEnd w:id="266"/>
      <w:bookmarkEnd w:id="267"/>
      <w:bookmarkEnd w:id="268"/>
    </w:p>
    <w:p w14:paraId="72B5863E">
      <w:pPr>
        <w:pStyle w:val="141"/>
        <w:keepNext w:val="0"/>
        <w:keepLines w:val="0"/>
        <w:pageBreakBefore w:val="0"/>
        <w:tabs>
          <w:tab w:val="left" w:pos="709"/>
        </w:tabs>
        <w:kinsoku/>
        <w:wordWrap/>
        <w:overflowPunct/>
        <w:topLinePunct w:val="0"/>
        <w:autoSpaceDE/>
        <w:autoSpaceDN/>
        <w:bidi w:val="0"/>
        <w:adjustRightInd w:val="0"/>
        <w:snapToGrid w:val="0"/>
        <w:spacing w:beforeLines="0" w:after="0" w:afterLines="0" w:line="400" w:lineRule="exact"/>
        <w:ind w:firstLine="420" w:firstLineChars="200"/>
        <w:jc w:val="both"/>
        <w:textAlignment w:val="auto"/>
        <w:outlineLvl w:val="9"/>
        <w:rPr>
          <w:rFonts w:hint="eastAsia" w:ascii="宋体" w:hAnsi="宋体" w:eastAsia="宋体" w:cs="宋体"/>
          <w:color w:val="auto"/>
          <w:kern w:val="2"/>
          <w:sz w:val="21"/>
          <w:szCs w:val="21"/>
          <w:highlight w:val="none"/>
          <w:lang w:eastAsia="zh-CN"/>
        </w:rPr>
      </w:pPr>
      <w:bookmarkStart w:id="269" w:name="_Toc132707371"/>
      <w:bookmarkStart w:id="270" w:name="_Toc915692807"/>
      <w:bookmarkStart w:id="271" w:name="_Toc11143"/>
      <w:r>
        <w:rPr>
          <w:rFonts w:hint="eastAsia" w:ascii="宋体" w:hAnsi="宋体" w:eastAsia="宋体" w:cs="宋体"/>
          <w:color w:val="auto"/>
          <w:kern w:val="2"/>
          <w:sz w:val="21"/>
          <w:szCs w:val="21"/>
          <w:highlight w:val="none"/>
          <w:lang w:eastAsia="zh-CN"/>
        </w:rPr>
        <w:t>（四）甲方的保密信息的部分或个别要素虽被披露成为公知信息，但该信息的其它部分或整体尚未成为公知信息的，乙方仍应按本协议约定对未公开部分的信息履行保密义务；</w:t>
      </w:r>
      <w:bookmarkEnd w:id="269"/>
      <w:bookmarkEnd w:id="270"/>
      <w:bookmarkEnd w:id="271"/>
    </w:p>
    <w:p w14:paraId="45C13190">
      <w:pPr>
        <w:pStyle w:val="141"/>
        <w:keepNext w:val="0"/>
        <w:keepLines w:val="0"/>
        <w:pageBreakBefore w:val="0"/>
        <w:tabs>
          <w:tab w:val="left" w:pos="709"/>
        </w:tabs>
        <w:kinsoku/>
        <w:wordWrap/>
        <w:overflowPunct/>
        <w:topLinePunct w:val="0"/>
        <w:autoSpaceDE/>
        <w:autoSpaceDN/>
        <w:bidi w:val="0"/>
        <w:adjustRightInd w:val="0"/>
        <w:snapToGrid w:val="0"/>
        <w:spacing w:beforeLines="0" w:after="0" w:afterLines="0" w:line="400" w:lineRule="exact"/>
        <w:ind w:firstLine="420" w:firstLineChars="200"/>
        <w:jc w:val="both"/>
        <w:textAlignment w:val="auto"/>
        <w:outlineLvl w:val="9"/>
        <w:rPr>
          <w:rFonts w:hint="eastAsia" w:ascii="宋体" w:hAnsi="宋体" w:eastAsia="宋体" w:cs="宋体"/>
          <w:color w:val="auto"/>
          <w:kern w:val="2"/>
          <w:sz w:val="21"/>
          <w:szCs w:val="21"/>
          <w:highlight w:val="none"/>
          <w:lang w:eastAsia="zh-CN"/>
        </w:rPr>
      </w:pPr>
      <w:bookmarkStart w:id="272" w:name="_Toc27551"/>
      <w:bookmarkStart w:id="273" w:name="_Toc1707662881"/>
      <w:bookmarkStart w:id="274" w:name="_Toc132707372"/>
      <w:r>
        <w:rPr>
          <w:rFonts w:hint="eastAsia" w:ascii="宋体" w:hAnsi="宋体" w:eastAsia="宋体" w:cs="宋体"/>
          <w:color w:val="auto"/>
          <w:kern w:val="2"/>
          <w:sz w:val="21"/>
          <w:szCs w:val="21"/>
          <w:highlight w:val="none"/>
          <w:lang w:eastAsia="zh-CN"/>
        </w:rPr>
        <w:t>（五）对于本协议签署前、签署过程及履行等过程中，乙方所接触到的甲方及甲方关联单位的保密信息，乙方应依据本协议约定履行保密义务。</w:t>
      </w:r>
      <w:bookmarkEnd w:id="272"/>
      <w:bookmarkEnd w:id="273"/>
      <w:bookmarkEnd w:id="274"/>
    </w:p>
    <w:p w14:paraId="6FCEC9D4">
      <w:pPr>
        <w:pStyle w:val="141"/>
        <w:keepNext w:val="0"/>
        <w:keepLines w:val="0"/>
        <w:pageBreakBefore w:val="0"/>
        <w:tabs>
          <w:tab w:val="left" w:pos="709"/>
        </w:tabs>
        <w:kinsoku/>
        <w:wordWrap/>
        <w:overflowPunct/>
        <w:topLinePunct w:val="0"/>
        <w:autoSpaceDE/>
        <w:autoSpaceDN/>
        <w:bidi w:val="0"/>
        <w:adjustRightInd w:val="0"/>
        <w:snapToGrid w:val="0"/>
        <w:spacing w:beforeLines="0" w:after="0" w:afterLines="0" w:line="400" w:lineRule="exact"/>
        <w:ind w:firstLine="420" w:firstLineChars="200"/>
        <w:jc w:val="both"/>
        <w:textAlignment w:val="auto"/>
        <w:outlineLvl w:val="9"/>
        <w:rPr>
          <w:rFonts w:hint="eastAsia" w:ascii="宋体" w:hAnsi="宋体" w:eastAsia="宋体" w:cs="宋体"/>
          <w:color w:val="auto"/>
          <w:kern w:val="2"/>
          <w:sz w:val="21"/>
          <w:szCs w:val="21"/>
          <w:highlight w:val="none"/>
          <w:lang w:eastAsia="zh-CN"/>
        </w:rPr>
      </w:pPr>
      <w:bookmarkStart w:id="275" w:name="_Toc1925938929"/>
      <w:bookmarkStart w:id="276" w:name="_Toc2129"/>
      <w:bookmarkStart w:id="277" w:name="_Toc132707373"/>
      <w:r>
        <w:rPr>
          <w:rFonts w:hint="eastAsia" w:ascii="宋体" w:hAnsi="宋体" w:eastAsia="宋体" w:cs="宋体"/>
          <w:bCs/>
          <w:color w:val="auto"/>
          <w:kern w:val="2"/>
          <w:sz w:val="21"/>
          <w:szCs w:val="21"/>
          <w:highlight w:val="none"/>
          <w:lang w:eastAsia="zh-CN"/>
        </w:rPr>
        <w:t>（六）</w:t>
      </w:r>
      <w:r>
        <w:rPr>
          <w:rFonts w:hint="eastAsia" w:ascii="宋体" w:hAnsi="宋体" w:eastAsia="宋体" w:cs="宋体"/>
          <w:color w:val="auto"/>
          <w:kern w:val="2"/>
          <w:sz w:val="21"/>
          <w:szCs w:val="21"/>
          <w:highlight w:val="none"/>
          <w:lang w:eastAsia="zh-CN"/>
        </w:rPr>
        <w:t>甲方如发现乙方存在涉及保密信息保护措施缺失、数据滥用、严重泄露等问题，甲方有权按照本协议相关条款进行处理，并且对于已产生的实际损失和不良影响，由乙方全责承担。</w:t>
      </w:r>
      <w:bookmarkEnd w:id="275"/>
      <w:bookmarkEnd w:id="276"/>
      <w:bookmarkEnd w:id="277"/>
    </w:p>
    <w:p w14:paraId="3A043D87">
      <w:pPr>
        <w:pStyle w:val="141"/>
        <w:keepNext w:val="0"/>
        <w:keepLines w:val="0"/>
        <w:pageBreakBefore w:val="0"/>
        <w:widowControl w:val="0"/>
        <w:tabs>
          <w:tab w:val="left" w:pos="709"/>
        </w:tabs>
        <w:kinsoku/>
        <w:wordWrap/>
        <w:overflowPunct/>
        <w:topLinePunct w:val="0"/>
        <w:autoSpaceDE/>
        <w:autoSpaceDN/>
        <w:bidi w:val="0"/>
        <w:adjustRightInd w:val="0"/>
        <w:snapToGrid w:val="0"/>
        <w:spacing w:beforeLines="0" w:after="0" w:afterLines="0" w:line="400" w:lineRule="exact"/>
        <w:ind w:firstLine="426" w:firstLineChars="202"/>
        <w:jc w:val="both"/>
        <w:textAlignment w:val="auto"/>
        <w:outlineLvl w:val="9"/>
        <w:rPr>
          <w:rFonts w:hint="eastAsia" w:ascii="宋体" w:hAnsi="宋体" w:eastAsia="宋体" w:cs="宋体"/>
          <w:b/>
          <w:color w:val="auto"/>
          <w:kern w:val="2"/>
          <w:sz w:val="21"/>
          <w:szCs w:val="21"/>
          <w:highlight w:val="none"/>
          <w:lang w:eastAsia="zh-CN"/>
        </w:rPr>
      </w:pPr>
      <w:bookmarkStart w:id="278" w:name="_Toc132707374"/>
      <w:bookmarkStart w:id="279" w:name="_Toc10877"/>
      <w:bookmarkStart w:id="280" w:name="_Toc1127185982"/>
      <w:r>
        <w:rPr>
          <w:rFonts w:hint="eastAsia" w:ascii="宋体" w:hAnsi="宋体" w:eastAsia="宋体" w:cs="宋体"/>
          <w:b/>
          <w:color w:val="auto"/>
          <w:kern w:val="2"/>
          <w:sz w:val="21"/>
          <w:szCs w:val="21"/>
          <w:highlight w:val="none"/>
          <w:lang w:eastAsia="zh-CN"/>
        </w:rPr>
        <w:t>四、保密期限</w:t>
      </w:r>
      <w:bookmarkEnd w:id="278"/>
      <w:bookmarkEnd w:id="279"/>
      <w:bookmarkEnd w:id="280"/>
    </w:p>
    <w:p w14:paraId="065644E4">
      <w:pPr>
        <w:pStyle w:val="141"/>
        <w:keepNext w:val="0"/>
        <w:keepLines w:val="0"/>
        <w:pageBreakBefore w:val="0"/>
        <w:tabs>
          <w:tab w:val="left" w:pos="0"/>
        </w:tabs>
        <w:kinsoku/>
        <w:wordWrap/>
        <w:overflowPunct/>
        <w:topLinePunct w:val="0"/>
        <w:autoSpaceDE/>
        <w:autoSpaceDN/>
        <w:bidi w:val="0"/>
        <w:adjustRightInd w:val="0"/>
        <w:snapToGrid w:val="0"/>
        <w:spacing w:beforeLines="0" w:after="0" w:afterLines="0" w:line="400" w:lineRule="exact"/>
        <w:ind w:firstLine="420" w:firstLineChars="200"/>
        <w:jc w:val="both"/>
        <w:textAlignment w:val="auto"/>
        <w:outlineLvl w:val="9"/>
        <w:rPr>
          <w:rFonts w:hint="eastAsia" w:ascii="宋体" w:hAnsi="宋体" w:eastAsia="宋体" w:cs="宋体"/>
          <w:color w:val="auto"/>
          <w:kern w:val="2"/>
          <w:sz w:val="21"/>
          <w:szCs w:val="21"/>
          <w:highlight w:val="none"/>
          <w:lang w:eastAsia="zh-CN"/>
        </w:rPr>
      </w:pPr>
      <w:bookmarkStart w:id="281" w:name="_Toc1266928463"/>
      <w:bookmarkStart w:id="282" w:name="_Toc28068"/>
      <w:bookmarkStart w:id="283" w:name="_Toc132707375"/>
      <w:r>
        <w:rPr>
          <w:rFonts w:hint="eastAsia" w:ascii="宋体" w:hAnsi="宋体" w:eastAsia="宋体" w:cs="宋体"/>
          <w:color w:val="auto"/>
          <w:kern w:val="2"/>
          <w:sz w:val="21"/>
          <w:szCs w:val="21"/>
          <w:highlight w:val="none"/>
          <w:lang w:eastAsia="zh-CN"/>
        </w:rPr>
        <w:t>（一）乙方保密的义务长期有效。无论双方业务/合作协议是否成立、届满、终止或被取代，乙方的保密义务应持续有效，直到甲方以书面形式明确说明解除乙方此项义务，或事实上不会因违反保密义务而给甲方造成任何形式的损害时为止；</w:t>
      </w:r>
      <w:bookmarkEnd w:id="281"/>
      <w:bookmarkEnd w:id="282"/>
      <w:bookmarkEnd w:id="283"/>
    </w:p>
    <w:p w14:paraId="0F04E20F">
      <w:pPr>
        <w:pStyle w:val="141"/>
        <w:keepNext w:val="0"/>
        <w:keepLines w:val="0"/>
        <w:pageBreakBefore w:val="0"/>
        <w:tabs>
          <w:tab w:val="left" w:pos="709"/>
        </w:tabs>
        <w:kinsoku/>
        <w:wordWrap/>
        <w:overflowPunct/>
        <w:topLinePunct w:val="0"/>
        <w:autoSpaceDE/>
        <w:autoSpaceDN/>
        <w:bidi w:val="0"/>
        <w:adjustRightInd w:val="0"/>
        <w:snapToGrid w:val="0"/>
        <w:spacing w:beforeLines="0" w:after="0" w:afterLines="0" w:line="400" w:lineRule="exact"/>
        <w:ind w:firstLine="420" w:firstLineChars="200"/>
        <w:jc w:val="both"/>
        <w:textAlignment w:val="auto"/>
        <w:outlineLvl w:val="9"/>
        <w:rPr>
          <w:rFonts w:hint="eastAsia" w:ascii="宋体" w:hAnsi="宋体" w:eastAsia="宋体" w:cs="宋体"/>
          <w:color w:val="auto"/>
          <w:kern w:val="2"/>
          <w:sz w:val="21"/>
          <w:szCs w:val="21"/>
          <w:highlight w:val="none"/>
          <w:lang w:eastAsia="zh-CN"/>
        </w:rPr>
      </w:pPr>
      <w:bookmarkStart w:id="284" w:name="_Toc12255"/>
      <w:bookmarkStart w:id="285" w:name="_Toc132707376"/>
      <w:bookmarkStart w:id="286" w:name="_Toc914130467"/>
      <w:r>
        <w:rPr>
          <w:rFonts w:hint="eastAsia" w:ascii="宋体" w:hAnsi="宋体" w:eastAsia="宋体" w:cs="宋体"/>
          <w:color w:val="auto"/>
          <w:kern w:val="2"/>
          <w:sz w:val="21"/>
          <w:szCs w:val="21"/>
          <w:highlight w:val="none"/>
          <w:lang w:eastAsia="zh-CN"/>
        </w:rPr>
        <w:t>（二）双方业务/合作终止后，乙方应及时将承载保密信息的介质原件及复制件全部返还甲方，或对复制件进行彻底销毁，或按甲方要求的其他形式处理。最迟不得超过甲方发出交还或处理通知之日起三十日。</w:t>
      </w:r>
      <w:bookmarkEnd w:id="284"/>
      <w:bookmarkEnd w:id="285"/>
      <w:bookmarkEnd w:id="286"/>
    </w:p>
    <w:p w14:paraId="4DB6135B">
      <w:pPr>
        <w:pStyle w:val="141"/>
        <w:keepNext w:val="0"/>
        <w:keepLines w:val="0"/>
        <w:pageBreakBefore w:val="0"/>
        <w:widowControl w:val="0"/>
        <w:tabs>
          <w:tab w:val="left" w:pos="709"/>
        </w:tabs>
        <w:kinsoku/>
        <w:wordWrap/>
        <w:overflowPunct/>
        <w:topLinePunct w:val="0"/>
        <w:autoSpaceDE/>
        <w:autoSpaceDN/>
        <w:bidi w:val="0"/>
        <w:adjustRightInd w:val="0"/>
        <w:snapToGrid w:val="0"/>
        <w:spacing w:beforeLines="0" w:after="0" w:afterLines="0" w:line="400" w:lineRule="exact"/>
        <w:ind w:firstLine="422" w:firstLineChars="200"/>
        <w:jc w:val="both"/>
        <w:textAlignment w:val="auto"/>
        <w:outlineLvl w:val="9"/>
        <w:rPr>
          <w:rFonts w:hint="eastAsia" w:ascii="宋体" w:hAnsi="宋体" w:eastAsia="宋体" w:cs="宋体"/>
          <w:b/>
          <w:color w:val="auto"/>
          <w:kern w:val="2"/>
          <w:sz w:val="21"/>
          <w:szCs w:val="21"/>
          <w:highlight w:val="none"/>
          <w:lang w:eastAsia="zh-CN"/>
        </w:rPr>
      </w:pPr>
      <w:bookmarkStart w:id="287" w:name="_Toc512442950"/>
      <w:bookmarkStart w:id="288" w:name="_Toc27660"/>
      <w:bookmarkStart w:id="289" w:name="_Toc132707377"/>
      <w:r>
        <w:rPr>
          <w:rFonts w:hint="eastAsia" w:ascii="宋体" w:hAnsi="宋体" w:eastAsia="宋体" w:cs="宋体"/>
          <w:b/>
          <w:color w:val="auto"/>
          <w:kern w:val="2"/>
          <w:sz w:val="21"/>
          <w:szCs w:val="21"/>
          <w:highlight w:val="none"/>
          <w:lang w:eastAsia="zh-CN"/>
        </w:rPr>
        <w:t>五、违约责任</w:t>
      </w:r>
      <w:bookmarkEnd w:id="287"/>
      <w:bookmarkEnd w:id="288"/>
      <w:bookmarkEnd w:id="289"/>
    </w:p>
    <w:p w14:paraId="3ED8085E">
      <w:pPr>
        <w:keepNext w:val="0"/>
        <w:keepLines w:val="0"/>
        <w:pageBreakBefore w:val="0"/>
        <w:widowControl/>
        <w:kinsoku/>
        <w:wordWrap/>
        <w:overflowPunct/>
        <w:topLinePunct w:val="0"/>
        <w:autoSpaceDE/>
        <w:autoSpaceDN/>
        <w:bidi w:val="0"/>
        <w:adjustRightInd w:val="0"/>
        <w:snapToGrid w:val="0"/>
        <w:spacing w:beforeLines="0" w:afterLines="0" w:line="400" w:lineRule="exact"/>
        <w:ind w:firstLine="424" w:firstLineChars="202"/>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（一）如乙方有违反本协议的情形，无论故意与过失，应当立即停止侵害，并在第一时间采取一切必要措施防止保密信息的扩散，尽最大可能消除影响；</w:t>
      </w:r>
    </w:p>
    <w:p w14:paraId="367434B4">
      <w:pPr>
        <w:keepNext w:val="0"/>
        <w:keepLines w:val="0"/>
        <w:pageBreakBefore w:val="0"/>
        <w:widowControl/>
        <w:kinsoku/>
        <w:wordWrap/>
        <w:overflowPunct/>
        <w:topLinePunct w:val="0"/>
        <w:autoSpaceDE/>
        <w:autoSpaceDN/>
        <w:bidi w:val="0"/>
        <w:adjustRightInd w:val="0"/>
        <w:snapToGrid w:val="0"/>
        <w:spacing w:beforeLines="0" w:afterLines="0" w:line="400" w:lineRule="exact"/>
        <w:ind w:firstLine="424" w:firstLineChars="202"/>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（二）乙方未履行或未完全履行本协议项下的条款均构成违约，乙方应赔偿因此而给甲方造成的一切损失，包括但不限于甲方因调查违约行为、仲裁、诉讼、聘请律师、保全等而支付的合理费用和开支。</w:t>
      </w:r>
    </w:p>
    <w:p w14:paraId="57A953AA">
      <w:pPr>
        <w:keepNext w:val="0"/>
        <w:keepLines w:val="0"/>
        <w:pageBreakBefore w:val="0"/>
        <w:kinsoku/>
        <w:wordWrap/>
        <w:overflowPunct/>
        <w:topLinePunct w:val="0"/>
        <w:autoSpaceDE/>
        <w:autoSpaceDN/>
        <w:bidi w:val="0"/>
        <w:adjustRightInd w:val="0"/>
        <w:snapToGrid w:val="0"/>
        <w:spacing w:beforeLines="0" w:afterLines="0" w:line="400" w:lineRule="exact"/>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六、其他</w:t>
      </w:r>
    </w:p>
    <w:p w14:paraId="6F9F2D81">
      <w:pPr>
        <w:keepNext w:val="0"/>
        <w:keepLines w:val="0"/>
        <w:pageBreakBefore w:val="0"/>
        <w:kinsoku/>
        <w:wordWrap/>
        <w:overflowPunct/>
        <w:topLinePunct w:val="0"/>
        <w:autoSpaceDE/>
        <w:autoSpaceDN/>
        <w:bidi w:val="0"/>
        <w:adjustRightInd w:val="0"/>
        <w:snapToGrid w:val="0"/>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（一）本协议适用中华人民共和国法律法规的规定，凡因本协议引起的或与本协议有关的任何争议，双方可通过协商解决。协商不成则将争议提交甲方所在地有管辖权的人民法院通过诉讼方式解决。</w:t>
      </w:r>
    </w:p>
    <w:p w14:paraId="1500CB43">
      <w:pPr>
        <w:keepNext w:val="0"/>
        <w:keepLines w:val="0"/>
        <w:pageBreakBefore w:val="0"/>
        <w:kinsoku/>
        <w:wordWrap/>
        <w:overflowPunct/>
        <w:topLinePunct w:val="0"/>
        <w:autoSpaceDE/>
        <w:autoSpaceDN/>
        <w:bidi w:val="0"/>
        <w:adjustRightInd w:val="0"/>
        <w:snapToGrid w:val="0"/>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合作过程中，甲方披露的保密信息的权属可能归属于甲方的关联公司，乙方同意该等信息的保密按本协议约定履行。本协议所指甲方关联公司为：甲方在签订本协议时或将来直接或间接控制该方、或由该方控制、或与该方共同受他方控制的任何实体。</w:t>
      </w:r>
    </w:p>
    <w:p w14:paraId="04447CA0">
      <w:pPr>
        <w:keepNext w:val="0"/>
        <w:keepLines w:val="0"/>
        <w:pageBreakBefore w:val="0"/>
        <w:kinsoku/>
        <w:wordWrap/>
        <w:overflowPunct/>
        <w:topLinePunct w:val="0"/>
        <w:autoSpaceDE/>
        <w:autoSpaceDN/>
        <w:bidi w:val="0"/>
        <w:adjustRightInd w:val="0"/>
        <w:snapToGrid w:val="0"/>
        <w:spacing w:beforeLines="0" w:afterLines="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（三）本协议之条款非经双方签署书面文件不得加以修改、放弃。</w:t>
      </w:r>
    </w:p>
    <w:p w14:paraId="3C75CD35">
      <w:pPr>
        <w:keepNext w:val="0"/>
        <w:keepLines w:val="0"/>
        <w:pageBreakBefore w:val="0"/>
        <w:kinsoku/>
        <w:wordWrap/>
        <w:overflowPunct/>
        <w:topLinePunct w:val="0"/>
        <w:autoSpaceDE/>
        <w:autoSpaceDN/>
        <w:bidi w:val="0"/>
        <w:adjustRightInd w:val="0"/>
        <w:snapToGrid w:val="0"/>
        <w:spacing w:beforeLines="0" w:afterLines="0" w:line="400" w:lineRule="exact"/>
        <w:ind w:firstLine="420" w:firstLineChars="200"/>
        <w:textAlignment w:val="auto"/>
        <w:rPr>
          <w:rFonts w:hint="eastAsia" w:ascii="宋体" w:hAnsi="宋体" w:eastAsia="宋体" w:cs="宋体"/>
          <w:color w:val="auto"/>
          <w:sz w:val="21"/>
          <w:szCs w:val="21"/>
          <w:highlight w:val="none"/>
        </w:rPr>
      </w:pPr>
    </w:p>
    <w:tbl>
      <w:tblPr>
        <w:tblStyle w:val="48"/>
        <w:tblW w:w="8283" w:type="dxa"/>
        <w:tblInd w:w="122" w:type="dxa"/>
        <w:tblLayout w:type="fixed"/>
        <w:tblCellMar>
          <w:top w:w="0" w:type="dxa"/>
          <w:left w:w="108" w:type="dxa"/>
          <w:bottom w:w="0" w:type="dxa"/>
          <w:right w:w="108" w:type="dxa"/>
        </w:tblCellMar>
      </w:tblPr>
      <w:tblGrid>
        <w:gridCol w:w="4070"/>
        <w:gridCol w:w="4213"/>
      </w:tblGrid>
      <w:tr w14:paraId="1EF3271B">
        <w:tblPrEx>
          <w:tblCellMar>
            <w:top w:w="0" w:type="dxa"/>
            <w:left w:w="108" w:type="dxa"/>
            <w:bottom w:w="0" w:type="dxa"/>
            <w:right w:w="108" w:type="dxa"/>
          </w:tblCellMar>
        </w:tblPrEx>
        <w:trPr>
          <w:trHeight w:val="981" w:hRule="atLeast"/>
        </w:trPr>
        <w:tc>
          <w:tcPr>
            <w:tcW w:w="4070" w:type="dxa"/>
            <w:noWrap w:val="0"/>
            <w:vAlign w:val="top"/>
          </w:tcPr>
          <w:p w14:paraId="1543AF79">
            <w:pPr>
              <w:pStyle w:val="2"/>
              <w:keepNext w:val="0"/>
              <w:keepLines w:val="0"/>
              <w:pageBreakBefore w:val="0"/>
              <w:widowControl w:val="0"/>
              <w:kinsoku/>
              <w:wordWrap/>
              <w:overflowPunct/>
              <w:topLinePunct w:val="0"/>
              <w:autoSpaceDE/>
              <w:autoSpaceDN/>
              <w:bidi w:val="0"/>
              <w:adjustRightInd/>
              <w:snapToGrid w:val="0"/>
              <w:spacing w:beforeLines="0" w:afterLines="0"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甲方：广西壮族自治区生态环境厅</w:t>
            </w:r>
          </w:p>
        </w:tc>
        <w:tc>
          <w:tcPr>
            <w:tcW w:w="4213" w:type="dxa"/>
            <w:noWrap w:val="0"/>
            <w:vAlign w:val="top"/>
          </w:tcPr>
          <w:p w14:paraId="5075CD15">
            <w:pPr>
              <w:pStyle w:val="2"/>
              <w:keepNext w:val="0"/>
              <w:keepLines w:val="0"/>
              <w:pageBreakBefore w:val="0"/>
              <w:widowControl w:val="0"/>
              <w:kinsoku/>
              <w:wordWrap/>
              <w:overflowPunct/>
              <w:topLinePunct w:val="0"/>
              <w:autoSpaceDE/>
              <w:autoSpaceDN/>
              <w:bidi w:val="0"/>
              <w:adjustRightInd/>
              <w:snapToGrid w:val="0"/>
              <w:spacing w:beforeLines="0" w:afterLines="0"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乙方：</w:t>
            </w:r>
            <w:r>
              <w:rPr>
                <w:rFonts w:hint="eastAsia" w:ascii="宋体" w:hAnsi="宋体" w:eastAsia="宋体" w:cs="宋体"/>
                <w:b/>
                <w:bCs/>
                <w:color w:val="auto"/>
                <w:sz w:val="21"/>
                <w:szCs w:val="21"/>
                <w:highlight w:val="none"/>
                <w:lang w:val="en-US" w:eastAsia="zh-CN"/>
              </w:rPr>
              <w:t xml:space="preserve"> </w:t>
            </w:r>
          </w:p>
        </w:tc>
      </w:tr>
      <w:tr w14:paraId="45C6B2AC">
        <w:tblPrEx>
          <w:tblCellMar>
            <w:top w:w="0" w:type="dxa"/>
            <w:left w:w="108" w:type="dxa"/>
            <w:bottom w:w="0" w:type="dxa"/>
            <w:right w:w="108" w:type="dxa"/>
          </w:tblCellMar>
        </w:tblPrEx>
        <w:trPr>
          <w:trHeight w:val="1050" w:hRule="atLeast"/>
        </w:trPr>
        <w:tc>
          <w:tcPr>
            <w:tcW w:w="4070" w:type="dxa"/>
            <w:noWrap w:val="0"/>
            <w:vAlign w:val="top"/>
          </w:tcPr>
          <w:p w14:paraId="26FC733E">
            <w:pPr>
              <w:pStyle w:val="2"/>
              <w:keepNext w:val="0"/>
              <w:keepLines w:val="0"/>
              <w:pageBreakBefore w:val="0"/>
              <w:widowControl w:val="0"/>
              <w:kinsoku/>
              <w:wordWrap/>
              <w:overflowPunct/>
              <w:topLinePunct w:val="0"/>
              <w:autoSpaceDE/>
              <w:autoSpaceDN/>
              <w:bidi w:val="0"/>
              <w:adjustRightInd/>
              <w:snapToGrid w:val="0"/>
              <w:spacing w:beforeLines="0" w:afterLines="0" w:line="400" w:lineRule="exact"/>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法定代表人（负责人）</w:t>
            </w:r>
            <w:r>
              <w:rPr>
                <w:rFonts w:hint="eastAsia" w:ascii="宋体" w:hAnsi="宋体" w:eastAsia="宋体" w:cs="宋体"/>
                <w:b/>
                <w:bCs/>
                <w:color w:val="auto"/>
                <w:sz w:val="21"/>
                <w:szCs w:val="21"/>
                <w:highlight w:val="none"/>
                <w:lang w:eastAsia="zh-CN"/>
              </w:rPr>
              <w:t>或授权代表</w:t>
            </w:r>
            <w:r>
              <w:rPr>
                <w:rFonts w:hint="eastAsia" w:ascii="宋体" w:hAnsi="宋体" w:eastAsia="宋体" w:cs="宋体"/>
                <w:b/>
                <w:bCs/>
                <w:color w:val="auto"/>
                <w:sz w:val="21"/>
                <w:szCs w:val="21"/>
                <w:highlight w:val="none"/>
              </w:rPr>
              <w:t>：</w:t>
            </w:r>
          </w:p>
          <w:p w14:paraId="68707914">
            <w:pPr>
              <w:pStyle w:val="2"/>
              <w:keepNext w:val="0"/>
              <w:keepLines w:val="0"/>
              <w:pageBreakBefore w:val="0"/>
              <w:widowControl w:val="0"/>
              <w:kinsoku/>
              <w:wordWrap/>
              <w:overflowPunct/>
              <w:topLinePunct w:val="0"/>
              <w:autoSpaceDE/>
              <w:autoSpaceDN/>
              <w:bidi w:val="0"/>
              <w:adjustRightInd/>
              <w:snapToGrid w:val="0"/>
              <w:spacing w:beforeLines="0" w:afterLines="0" w:line="400" w:lineRule="exact"/>
              <w:jc w:val="both"/>
              <w:textAlignment w:val="auto"/>
              <w:rPr>
                <w:rFonts w:hint="eastAsia" w:ascii="宋体" w:hAnsi="宋体" w:eastAsia="宋体" w:cs="宋体"/>
                <w:b/>
                <w:bCs/>
                <w:color w:val="auto"/>
                <w:sz w:val="21"/>
                <w:szCs w:val="21"/>
                <w:highlight w:val="none"/>
              </w:rPr>
            </w:pPr>
          </w:p>
          <w:p w14:paraId="1936180D">
            <w:pPr>
              <w:pStyle w:val="2"/>
              <w:keepNext w:val="0"/>
              <w:keepLines w:val="0"/>
              <w:pageBreakBefore w:val="0"/>
              <w:widowControl w:val="0"/>
              <w:kinsoku/>
              <w:wordWrap/>
              <w:overflowPunct/>
              <w:topLinePunct w:val="0"/>
              <w:autoSpaceDE/>
              <w:autoSpaceDN/>
              <w:bidi w:val="0"/>
              <w:adjustRightInd/>
              <w:snapToGrid w:val="0"/>
              <w:spacing w:beforeLines="0" w:afterLines="0" w:line="400" w:lineRule="exact"/>
              <w:jc w:val="both"/>
              <w:textAlignment w:val="auto"/>
              <w:rPr>
                <w:rFonts w:hint="eastAsia" w:ascii="宋体" w:hAnsi="宋体" w:eastAsia="宋体" w:cs="宋体"/>
                <w:b/>
                <w:bCs/>
                <w:color w:val="auto"/>
                <w:sz w:val="21"/>
                <w:szCs w:val="21"/>
                <w:highlight w:val="none"/>
              </w:rPr>
            </w:pPr>
          </w:p>
        </w:tc>
        <w:tc>
          <w:tcPr>
            <w:tcW w:w="4213" w:type="dxa"/>
            <w:noWrap w:val="0"/>
            <w:vAlign w:val="top"/>
          </w:tcPr>
          <w:p w14:paraId="401DD3E4">
            <w:pPr>
              <w:pStyle w:val="2"/>
              <w:keepNext w:val="0"/>
              <w:keepLines w:val="0"/>
              <w:pageBreakBefore w:val="0"/>
              <w:widowControl w:val="0"/>
              <w:kinsoku/>
              <w:wordWrap/>
              <w:overflowPunct/>
              <w:topLinePunct w:val="0"/>
              <w:autoSpaceDE/>
              <w:autoSpaceDN/>
              <w:bidi w:val="0"/>
              <w:adjustRightInd/>
              <w:snapToGrid w:val="0"/>
              <w:spacing w:beforeLines="0" w:afterLines="0" w:line="400" w:lineRule="exact"/>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法定代表人（负责人）</w:t>
            </w:r>
            <w:r>
              <w:rPr>
                <w:rFonts w:hint="eastAsia" w:ascii="宋体" w:hAnsi="宋体" w:eastAsia="宋体" w:cs="宋体"/>
                <w:b/>
                <w:bCs/>
                <w:color w:val="auto"/>
                <w:sz w:val="21"/>
                <w:szCs w:val="21"/>
                <w:highlight w:val="none"/>
                <w:lang w:eastAsia="zh-CN"/>
              </w:rPr>
              <w:t>或授权代表</w:t>
            </w:r>
            <w:r>
              <w:rPr>
                <w:rFonts w:hint="eastAsia" w:ascii="宋体" w:hAnsi="宋体" w:eastAsia="宋体" w:cs="宋体"/>
                <w:b/>
                <w:bCs/>
                <w:color w:val="auto"/>
                <w:sz w:val="21"/>
                <w:szCs w:val="21"/>
                <w:highlight w:val="none"/>
              </w:rPr>
              <w:t>：</w:t>
            </w:r>
          </w:p>
          <w:p w14:paraId="651484A0">
            <w:pPr>
              <w:pStyle w:val="2"/>
              <w:keepNext w:val="0"/>
              <w:keepLines w:val="0"/>
              <w:pageBreakBefore w:val="0"/>
              <w:widowControl w:val="0"/>
              <w:kinsoku/>
              <w:wordWrap/>
              <w:overflowPunct/>
              <w:topLinePunct w:val="0"/>
              <w:autoSpaceDE/>
              <w:autoSpaceDN/>
              <w:bidi w:val="0"/>
              <w:adjustRightInd/>
              <w:snapToGrid w:val="0"/>
              <w:spacing w:beforeLines="0" w:afterLines="0" w:line="400" w:lineRule="exact"/>
              <w:jc w:val="both"/>
              <w:textAlignment w:val="auto"/>
              <w:rPr>
                <w:rFonts w:hint="eastAsia" w:ascii="宋体" w:hAnsi="宋体" w:eastAsia="宋体" w:cs="宋体"/>
                <w:b/>
                <w:bCs/>
                <w:color w:val="auto"/>
                <w:sz w:val="21"/>
                <w:szCs w:val="21"/>
                <w:highlight w:val="none"/>
                <w:lang w:val="en-US" w:eastAsia="zh-CN"/>
              </w:rPr>
            </w:pPr>
          </w:p>
          <w:p w14:paraId="374DFD66">
            <w:pPr>
              <w:pStyle w:val="2"/>
              <w:keepNext w:val="0"/>
              <w:keepLines w:val="0"/>
              <w:pageBreakBefore w:val="0"/>
              <w:widowControl w:val="0"/>
              <w:kinsoku/>
              <w:wordWrap/>
              <w:overflowPunct/>
              <w:topLinePunct w:val="0"/>
              <w:autoSpaceDE/>
              <w:autoSpaceDN/>
              <w:bidi w:val="0"/>
              <w:adjustRightInd/>
              <w:snapToGrid w:val="0"/>
              <w:spacing w:beforeLines="0" w:afterLines="0" w:line="400" w:lineRule="exact"/>
              <w:jc w:val="both"/>
              <w:textAlignment w:val="auto"/>
              <w:rPr>
                <w:rFonts w:hint="eastAsia" w:ascii="宋体" w:hAnsi="宋体" w:eastAsia="宋体" w:cs="宋体"/>
                <w:b/>
                <w:bCs/>
                <w:color w:val="auto"/>
                <w:sz w:val="21"/>
                <w:szCs w:val="21"/>
                <w:highlight w:val="none"/>
                <w:lang w:val="en-US" w:eastAsia="zh-CN"/>
              </w:rPr>
            </w:pPr>
          </w:p>
        </w:tc>
      </w:tr>
      <w:tr w14:paraId="023FF9EA">
        <w:tblPrEx>
          <w:tblCellMar>
            <w:top w:w="0" w:type="dxa"/>
            <w:left w:w="108" w:type="dxa"/>
            <w:bottom w:w="0" w:type="dxa"/>
            <w:right w:w="108" w:type="dxa"/>
          </w:tblCellMar>
        </w:tblPrEx>
        <w:trPr>
          <w:trHeight w:val="601" w:hRule="atLeast"/>
        </w:trPr>
        <w:tc>
          <w:tcPr>
            <w:tcW w:w="4070" w:type="dxa"/>
            <w:noWrap w:val="0"/>
            <w:vAlign w:val="top"/>
          </w:tcPr>
          <w:p w14:paraId="7113C4FA">
            <w:pPr>
              <w:pStyle w:val="2"/>
              <w:keepNext w:val="0"/>
              <w:keepLines w:val="0"/>
              <w:pageBreakBefore w:val="0"/>
              <w:widowControl w:val="0"/>
              <w:kinsoku/>
              <w:wordWrap/>
              <w:overflowPunct/>
              <w:topLinePunct w:val="0"/>
              <w:autoSpaceDE/>
              <w:autoSpaceDN/>
              <w:bidi w:val="0"/>
              <w:adjustRightInd/>
              <w:snapToGrid w:val="0"/>
              <w:spacing w:beforeLines="0" w:afterLines="0" w:line="400" w:lineRule="exact"/>
              <w:jc w:val="righ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月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日</w:t>
            </w:r>
          </w:p>
        </w:tc>
        <w:tc>
          <w:tcPr>
            <w:tcW w:w="4213" w:type="dxa"/>
            <w:noWrap w:val="0"/>
            <w:vAlign w:val="top"/>
          </w:tcPr>
          <w:p w14:paraId="6BEDC955">
            <w:pPr>
              <w:pStyle w:val="2"/>
              <w:keepNext w:val="0"/>
              <w:keepLines w:val="0"/>
              <w:pageBreakBefore w:val="0"/>
              <w:widowControl w:val="0"/>
              <w:kinsoku/>
              <w:wordWrap/>
              <w:overflowPunct/>
              <w:topLinePunct w:val="0"/>
              <w:autoSpaceDE/>
              <w:autoSpaceDN/>
              <w:bidi w:val="0"/>
              <w:adjustRightInd/>
              <w:snapToGrid w:val="0"/>
              <w:spacing w:beforeLines="0" w:afterLines="0" w:line="400" w:lineRule="exact"/>
              <w:jc w:val="righ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xml:space="preserve">年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月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日</w:t>
            </w:r>
          </w:p>
        </w:tc>
      </w:tr>
    </w:tbl>
    <w:p w14:paraId="7CB880A7">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highlight w:val="none"/>
        </w:rPr>
      </w:pPr>
    </w:p>
    <w:p w14:paraId="7672C8D2">
      <w:pPr>
        <w:keepNext w:val="0"/>
        <w:keepLines w:val="0"/>
        <w:pageBreakBefore w:val="0"/>
        <w:tabs>
          <w:tab w:val="left" w:pos="0"/>
          <w:tab w:val="left" w:pos="3165"/>
          <w:tab w:val="center" w:pos="4153"/>
        </w:tabs>
        <w:kinsoku/>
        <w:wordWrap/>
        <w:overflowPunct/>
        <w:topLinePunct w:val="0"/>
        <w:autoSpaceDE w:val="0"/>
        <w:autoSpaceDN w:val="0"/>
        <w:bidi w:val="0"/>
        <w:adjustRightInd w:val="0"/>
        <w:spacing w:before="0" w:after="0" w:line="400" w:lineRule="exact"/>
        <w:jc w:val="center"/>
        <w:textAlignment w:val="auto"/>
        <w:outlineLvl w:val="9"/>
        <w:rPr>
          <w:rFonts w:hint="eastAsia" w:ascii="宋体" w:hAnsi="宋体" w:eastAsia="宋体" w:cs="宋体"/>
          <w:strike w:val="0"/>
          <w:dstrike w:val="0"/>
          <w:color w:val="auto"/>
          <w:sz w:val="21"/>
          <w:szCs w:val="21"/>
          <w:highlight w:val="none"/>
        </w:rPr>
      </w:pPr>
    </w:p>
    <w:p w14:paraId="36627AC1">
      <w:pPr>
        <w:keepNext w:val="0"/>
        <w:keepLines w:val="0"/>
        <w:pageBreakBefore w:val="0"/>
        <w:tabs>
          <w:tab w:val="left" w:pos="0"/>
          <w:tab w:val="left" w:pos="3165"/>
          <w:tab w:val="center" w:pos="4153"/>
        </w:tabs>
        <w:kinsoku/>
        <w:wordWrap/>
        <w:overflowPunct/>
        <w:topLinePunct w:val="0"/>
        <w:autoSpaceDE w:val="0"/>
        <w:autoSpaceDN w:val="0"/>
        <w:bidi w:val="0"/>
        <w:adjustRightInd w:val="0"/>
        <w:spacing w:before="0" w:after="0" w:line="400" w:lineRule="exact"/>
        <w:jc w:val="center"/>
        <w:textAlignment w:val="auto"/>
        <w:outlineLvl w:val="9"/>
        <w:rPr>
          <w:rFonts w:hint="eastAsia" w:ascii="方正小标宋_GBK" w:hAnsi="方正小标宋_GBK" w:eastAsia="方正小标宋_GBK" w:cs="方正小标宋_GBK"/>
          <w:strike w:val="0"/>
          <w:dstrike w:val="0"/>
          <w:color w:val="auto"/>
          <w:sz w:val="21"/>
          <w:szCs w:val="21"/>
          <w:highlight w:val="none"/>
        </w:rPr>
      </w:pPr>
    </w:p>
    <w:p w14:paraId="13C4CE9A">
      <w:pPr>
        <w:keepNext w:val="0"/>
        <w:keepLines w:val="0"/>
        <w:pageBreakBefore w:val="0"/>
        <w:tabs>
          <w:tab w:val="left" w:pos="0"/>
          <w:tab w:val="left" w:pos="3165"/>
          <w:tab w:val="center" w:pos="4153"/>
        </w:tabs>
        <w:kinsoku/>
        <w:wordWrap/>
        <w:overflowPunct/>
        <w:topLinePunct w:val="0"/>
        <w:autoSpaceDE w:val="0"/>
        <w:autoSpaceDN w:val="0"/>
        <w:bidi w:val="0"/>
        <w:adjustRightInd w:val="0"/>
        <w:spacing w:before="0" w:after="0" w:line="400" w:lineRule="exact"/>
        <w:jc w:val="center"/>
        <w:textAlignment w:val="auto"/>
        <w:outlineLvl w:val="9"/>
        <w:rPr>
          <w:rFonts w:hint="eastAsia" w:ascii="方正小标宋_GBK" w:hAnsi="方正小标宋_GBK" w:eastAsia="方正小标宋_GBK" w:cs="方正小标宋_GBK"/>
          <w:strike w:val="0"/>
          <w:dstrike w:val="0"/>
          <w:color w:val="auto"/>
          <w:sz w:val="21"/>
          <w:szCs w:val="21"/>
          <w:highlight w:val="none"/>
        </w:rPr>
      </w:pPr>
    </w:p>
    <w:p w14:paraId="296A591D">
      <w:pPr>
        <w:keepNext w:val="0"/>
        <w:keepLines w:val="0"/>
        <w:pageBreakBefore w:val="0"/>
        <w:tabs>
          <w:tab w:val="left" w:pos="0"/>
          <w:tab w:val="left" w:pos="3165"/>
          <w:tab w:val="center" w:pos="4153"/>
        </w:tabs>
        <w:kinsoku/>
        <w:topLinePunct w:val="0"/>
        <w:autoSpaceDE w:val="0"/>
        <w:autoSpaceDN w:val="0"/>
        <w:bidi w:val="0"/>
        <w:adjustRightInd w:val="0"/>
        <w:spacing w:before="0" w:after="0" w:line="400" w:lineRule="exact"/>
        <w:jc w:val="center"/>
        <w:outlineLvl w:val="9"/>
        <w:rPr>
          <w:rFonts w:hint="eastAsia" w:ascii="方正小标宋_GBK" w:hAnsi="方正小标宋_GBK" w:eastAsia="方正小标宋_GBK" w:cs="方正小标宋_GBK"/>
          <w:strike w:val="0"/>
          <w:dstrike w:val="0"/>
          <w:color w:val="auto"/>
          <w:sz w:val="21"/>
          <w:szCs w:val="21"/>
          <w:highlight w:val="none"/>
        </w:rPr>
      </w:pPr>
    </w:p>
    <w:p w14:paraId="44507DD1">
      <w:pPr>
        <w:keepNext w:val="0"/>
        <w:keepLines w:val="0"/>
        <w:pageBreakBefore w:val="0"/>
        <w:tabs>
          <w:tab w:val="left" w:pos="0"/>
          <w:tab w:val="left" w:pos="3165"/>
          <w:tab w:val="center" w:pos="4153"/>
        </w:tabs>
        <w:kinsoku/>
        <w:topLinePunct w:val="0"/>
        <w:autoSpaceDE w:val="0"/>
        <w:autoSpaceDN w:val="0"/>
        <w:bidi w:val="0"/>
        <w:adjustRightInd w:val="0"/>
        <w:spacing w:before="0" w:after="0" w:line="400" w:lineRule="exact"/>
        <w:jc w:val="center"/>
        <w:outlineLvl w:val="9"/>
        <w:rPr>
          <w:rFonts w:hint="eastAsia" w:ascii="方正小标宋_GBK" w:hAnsi="方正小标宋_GBK" w:eastAsia="方正小标宋_GBK" w:cs="方正小标宋_GBK"/>
          <w:strike w:val="0"/>
          <w:dstrike w:val="0"/>
          <w:color w:val="auto"/>
          <w:sz w:val="21"/>
          <w:szCs w:val="21"/>
          <w:highlight w:val="none"/>
        </w:rPr>
      </w:pPr>
    </w:p>
    <w:p w14:paraId="2B5C8630">
      <w:pPr>
        <w:keepNext w:val="0"/>
        <w:keepLines w:val="0"/>
        <w:pageBreakBefore w:val="0"/>
        <w:tabs>
          <w:tab w:val="left" w:pos="0"/>
          <w:tab w:val="left" w:pos="3165"/>
          <w:tab w:val="center" w:pos="4153"/>
        </w:tabs>
        <w:kinsoku/>
        <w:topLinePunct w:val="0"/>
        <w:autoSpaceDE w:val="0"/>
        <w:autoSpaceDN w:val="0"/>
        <w:bidi w:val="0"/>
        <w:adjustRightInd w:val="0"/>
        <w:spacing w:before="0" w:after="0" w:line="400" w:lineRule="exact"/>
        <w:jc w:val="center"/>
        <w:outlineLvl w:val="9"/>
        <w:rPr>
          <w:rFonts w:hint="eastAsia" w:ascii="方正小标宋_GBK" w:hAnsi="方正小标宋_GBK" w:eastAsia="方正小标宋_GBK" w:cs="方正小标宋_GBK"/>
          <w:strike w:val="0"/>
          <w:dstrike w:val="0"/>
          <w:color w:val="auto"/>
          <w:sz w:val="21"/>
          <w:szCs w:val="21"/>
          <w:highlight w:val="none"/>
        </w:rPr>
      </w:pPr>
    </w:p>
    <w:p w14:paraId="3B1BAB0E">
      <w:pPr>
        <w:keepNext w:val="0"/>
        <w:keepLines w:val="0"/>
        <w:pageBreakBefore w:val="0"/>
        <w:tabs>
          <w:tab w:val="left" w:pos="0"/>
          <w:tab w:val="left" w:pos="3165"/>
          <w:tab w:val="center" w:pos="4153"/>
        </w:tabs>
        <w:kinsoku/>
        <w:topLinePunct w:val="0"/>
        <w:autoSpaceDE w:val="0"/>
        <w:autoSpaceDN w:val="0"/>
        <w:bidi w:val="0"/>
        <w:adjustRightInd w:val="0"/>
        <w:spacing w:before="0" w:after="0" w:line="400" w:lineRule="exact"/>
        <w:jc w:val="center"/>
        <w:outlineLvl w:val="9"/>
        <w:rPr>
          <w:rFonts w:hint="eastAsia" w:ascii="方正小标宋_GBK" w:hAnsi="方正小标宋_GBK" w:eastAsia="方正小标宋_GBK" w:cs="方正小标宋_GBK"/>
          <w:strike w:val="0"/>
          <w:dstrike w:val="0"/>
          <w:color w:val="auto"/>
          <w:sz w:val="21"/>
          <w:szCs w:val="21"/>
          <w:highlight w:val="none"/>
        </w:rPr>
      </w:pPr>
    </w:p>
    <w:p w14:paraId="65BE2F6C">
      <w:pPr>
        <w:keepNext w:val="0"/>
        <w:keepLines w:val="0"/>
        <w:pageBreakBefore w:val="0"/>
        <w:tabs>
          <w:tab w:val="left" w:pos="0"/>
          <w:tab w:val="left" w:pos="3165"/>
          <w:tab w:val="center" w:pos="4153"/>
        </w:tabs>
        <w:kinsoku/>
        <w:topLinePunct w:val="0"/>
        <w:autoSpaceDE w:val="0"/>
        <w:autoSpaceDN w:val="0"/>
        <w:bidi w:val="0"/>
        <w:adjustRightInd w:val="0"/>
        <w:spacing w:before="0" w:after="0" w:line="400" w:lineRule="exact"/>
        <w:jc w:val="center"/>
        <w:outlineLvl w:val="9"/>
        <w:rPr>
          <w:rFonts w:hint="eastAsia" w:ascii="方正小标宋_GBK" w:hAnsi="方正小标宋_GBK" w:eastAsia="方正小标宋_GBK" w:cs="方正小标宋_GBK"/>
          <w:strike w:val="0"/>
          <w:dstrike w:val="0"/>
          <w:color w:val="auto"/>
          <w:sz w:val="21"/>
          <w:szCs w:val="21"/>
          <w:highlight w:val="none"/>
        </w:rPr>
      </w:pPr>
    </w:p>
    <w:p w14:paraId="44536DAD">
      <w:pPr>
        <w:keepNext w:val="0"/>
        <w:keepLines w:val="0"/>
        <w:pageBreakBefore w:val="0"/>
        <w:tabs>
          <w:tab w:val="left" w:pos="0"/>
          <w:tab w:val="left" w:pos="3165"/>
          <w:tab w:val="center" w:pos="4153"/>
        </w:tabs>
        <w:kinsoku/>
        <w:topLinePunct w:val="0"/>
        <w:autoSpaceDE w:val="0"/>
        <w:autoSpaceDN w:val="0"/>
        <w:bidi w:val="0"/>
        <w:adjustRightInd w:val="0"/>
        <w:spacing w:before="0" w:after="0" w:line="400" w:lineRule="exact"/>
        <w:jc w:val="center"/>
        <w:outlineLvl w:val="9"/>
        <w:rPr>
          <w:rFonts w:hint="eastAsia" w:ascii="方正小标宋_GBK" w:hAnsi="方正小标宋_GBK" w:eastAsia="方正小标宋_GBK" w:cs="方正小标宋_GBK"/>
          <w:strike w:val="0"/>
          <w:dstrike w:val="0"/>
          <w:color w:val="auto"/>
          <w:sz w:val="21"/>
          <w:szCs w:val="21"/>
          <w:highlight w:val="none"/>
        </w:rPr>
      </w:pPr>
    </w:p>
    <w:p w14:paraId="2B71B23F">
      <w:pPr>
        <w:keepNext w:val="0"/>
        <w:keepLines w:val="0"/>
        <w:pageBreakBefore w:val="0"/>
        <w:tabs>
          <w:tab w:val="left" w:pos="0"/>
          <w:tab w:val="left" w:pos="3165"/>
          <w:tab w:val="center" w:pos="4153"/>
        </w:tabs>
        <w:kinsoku/>
        <w:topLinePunct w:val="0"/>
        <w:autoSpaceDE w:val="0"/>
        <w:autoSpaceDN w:val="0"/>
        <w:bidi w:val="0"/>
        <w:adjustRightInd w:val="0"/>
        <w:spacing w:before="0" w:after="0" w:line="400" w:lineRule="exact"/>
        <w:jc w:val="center"/>
        <w:outlineLvl w:val="9"/>
        <w:rPr>
          <w:rFonts w:hint="eastAsia" w:ascii="方正小标宋_GBK" w:hAnsi="方正小标宋_GBK" w:eastAsia="方正小标宋_GBK" w:cs="方正小标宋_GBK"/>
          <w:strike w:val="0"/>
          <w:dstrike w:val="0"/>
          <w:color w:val="auto"/>
          <w:sz w:val="21"/>
          <w:szCs w:val="21"/>
          <w:highlight w:val="none"/>
        </w:rPr>
      </w:pPr>
    </w:p>
    <w:p w14:paraId="05163DEE">
      <w:pPr>
        <w:keepNext w:val="0"/>
        <w:keepLines w:val="0"/>
        <w:pageBreakBefore w:val="0"/>
        <w:tabs>
          <w:tab w:val="left" w:pos="0"/>
          <w:tab w:val="left" w:pos="3165"/>
          <w:tab w:val="center" w:pos="4153"/>
        </w:tabs>
        <w:kinsoku/>
        <w:topLinePunct w:val="0"/>
        <w:autoSpaceDE w:val="0"/>
        <w:autoSpaceDN w:val="0"/>
        <w:bidi w:val="0"/>
        <w:adjustRightInd w:val="0"/>
        <w:spacing w:before="0" w:after="0" w:line="400" w:lineRule="exact"/>
        <w:jc w:val="center"/>
        <w:outlineLvl w:val="9"/>
        <w:rPr>
          <w:rFonts w:hint="eastAsia" w:ascii="方正小标宋_GBK" w:hAnsi="方正小标宋_GBK" w:eastAsia="方正小标宋_GBK" w:cs="方正小标宋_GBK"/>
          <w:strike w:val="0"/>
          <w:dstrike w:val="0"/>
          <w:color w:val="auto"/>
          <w:sz w:val="21"/>
          <w:szCs w:val="21"/>
          <w:highlight w:val="none"/>
        </w:rPr>
      </w:pPr>
    </w:p>
    <w:p w14:paraId="4F486980">
      <w:pPr>
        <w:keepNext w:val="0"/>
        <w:keepLines w:val="0"/>
        <w:pageBreakBefore w:val="0"/>
        <w:tabs>
          <w:tab w:val="left" w:pos="0"/>
          <w:tab w:val="left" w:pos="3165"/>
          <w:tab w:val="center" w:pos="4153"/>
        </w:tabs>
        <w:kinsoku/>
        <w:topLinePunct w:val="0"/>
        <w:autoSpaceDE w:val="0"/>
        <w:autoSpaceDN w:val="0"/>
        <w:bidi w:val="0"/>
        <w:adjustRightInd w:val="0"/>
        <w:spacing w:before="0" w:after="0" w:line="400" w:lineRule="exact"/>
        <w:jc w:val="center"/>
        <w:outlineLvl w:val="9"/>
        <w:rPr>
          <w:rFonts w:hint="eastAsia" w:ascii="方正小标宋_GBK" w:hAnsi="方正小标宋_GBK" w:eastAsia="方正小标宋_GBK" w:cs="方正小标宋_GBK"/>
          <w:strike w:val="0"/>
          <w:dstrike w:val="0"/>
          <w:color w:val="auto"/>
          <w:sz w:val="21"/>
          <w:szCs w:val="21"/>
          <w:highlight w:val="none"/>
        </w:rPr>
      </w:pPr>
    </w:p>
    <w:p w14:paraId="1D5D5D4B">
      <w:pPr>
        <w:keepNext w:val="0"/>
        <w:keepLines w:val="0"/>
        <w:pageBreakBefore w:val="0"/>
        <w:tabs>
          <w:tab w:val="left" w:pos="0"/>
          <w:tab w:val="left" w:pos="3165"/>
          <w:tab w:val="center" w:pos="4153"/>
        </w:tabs>
        <w:kinsoku/>
        <w:topLinePunct w:val="0"/>
        <w:autoSpaceDE w:val="0"/>
        <w:autoSpaceDN w:val="0"/>
        <w:bidi w:val="0"/>
        <w:adjustRightInd w:val="0"/>
        <w:spacing w:before="0" w:after="0" w:line="400" w:lineRule="exact"/>
        <w:jc w:val="center"/>
        <w:outlineLvl w:val="9"/>
        <w:rPr>
          <w:rFonts w:hint="eastAsia" w:ascii="方正小标宋_GBK" w:hAnsi="方正小标宋_GBK" w:eastAsia="方正小标宋_GBK" w:cs="方正小标宋_GBK"/>
          <w:strike w:val="0"/>
          <w:dstrike w:val="0"/>
          <w:color w:val="auto"/>
          <w:sz w:val="21"/>
          <w:szCs w:val="21"/>
          <w:highlight w:val="none"/>
        </w:rPr>
      </w:pPr>
    </w:p>
    <w:p w14:paraId="6C0464AA">
      <w:pPr>
        <w:keepNext w:val="0"/>
        <w:keepLines w:val="0"/>
        <w:pageBreakBefore w:val="0"/>
        <w:tabs>
          <w:tab w:val="left" w:pos="0"/>
          <w:tab w:val="left" w:pos="3165"/>
          <w:tab w:val="center" w:pos="4153"/>
        </w:tabs>
        <w:kinsoku/>
        <w:topLinePunct w:val="0"/>
        <w:autoSpaceDE w:val="0"/>
        <w:autoSpaceDN w:val="0"/>
        <w:bidi w:val="0"/>
        <w:adjustRightInd w:val="0"/>
        <w:spacing w:before="0" w:after="0" w:line="400" w:lineRule="exact"/>
        <w:jc w:val="center"/>
        <w:outlineLvl w:val="9"/>
        <w:rPr>
          <w:rFonts w:hint="eastAsia" w:ascii="方正小标宋_GBK" w:hAnsi="方正小标宋_GBK" w:eastAsia="方正小标宋_GBK" w:cs="方正小标宋_GBK"/>
          <w:strike w:val="0"/>
          <w:dstrike w:val="0"/>
          <w:color w:val="auto"/>
          <w:sz w:val="21"/>
          <w:szCs w:val="21"/>
          <w:highlight w:val="none"/>
        </w:rPr>
      </w:pPr>
    </w:p>
    <w:p w14:paraId="1CBA5C6C">
      <w:pPr>
        <w:keepNext w:val="0"/>
        <w:keepLines w:val="0"/>
        <w:pageBreakBefore w:val="0"/>
        <w:tabs>
          <w:tab w:val="left" w:pos="0"/>
          <w:tab w:val="left" w:pos="3165"/>
          <w:tab w:val="center" w:pos="4153"/>
        </w:tabs>
        <w:kinsoku/>
        <w:topLinePunct w:val="0"/>
        <w:autoSpaceDE w:val="0"/>
        <w:autoSpaceDN w:val="0"/>
        <w:bidi w:val="0"/>
        <w:adjustRightInd w:val="0"/>
        <w:spacing w:before="0" w:after="0" w:line="400" w:lineRule="exact"/>
        <w:jc w:val="center"/>
        <w:outlineLvl w:val="9"/>
        <w:rPr>
          <w:rFonts w:hint="eastAsia" w:ascii="方正小标宋_GBK" w:hAnsi="方正小标宋_GBK" w:eastAsia="方正小标宋_GBK" w:cs="方正小标宋_GBK"/>
          <w:strike w:val="0"/>
          <w:dstrike w:val="0"/>
          <w:color w:val="auto"/>
          <w:sz w:val="21"/>
          <w:szCs w:val="21"/>
          <w:highlight w:val="none"/>
        </w:rPr>
      </w:pPr>
    </w:p>
    <w:p w14:paraId="674BC806">
      <w:pPr>
        <w:keepNext w:val="0"/>
        <w:keepLines w:val="0"/>
        <w:pageBreakBefore w:val="0"/>
        <w:tabs>
          <w:tab w:val="left" w:pos="0"/>
          <w:tab w:val="left" w:pos="3165"/>
          <w:tab w:val="center" w:pos="4153"/>
        </w:tabs>
        <w:kinsoku/>
        <w:topLinePunct w:val="0"/>
        <w:autoSpaceDE w:val="0"/>
        <w:autoSpaceDN w:val="0"/>
        <w:bidi w:val="0"/>
        <w:adjustRightInd w:val="0"/>
        <w:spacing w:before="0" w:after="0" w:line="400" w:lineRule="exact"/>
        <w:jc w:val="center"/>
        <w:outlineLvl w:val="9"/>
        <w:rPr>
          <w:rFonts w:hint="eastAsia" w:ascii="方正小标宋_GBK" w:hAnsi="方正小标宋_GBK" w:eastAsia="方正小标宋_GBK" w:cs="方正小标宋_GBK"/>
          <w:strike w:val="0"/>
          <w:dstrike w:val="0"/>
          <w:color w:val="auto"/>
          <w:sz w:val="21"/>
          <w:szCs w:val="21"/>
          <w:highlight w:val="none"/>
        </w:rPr>
      </w:pPr>
    </w:p>
    <w:p w14:paraId="47F3A98C">
      <w:pPr>
        <w:keepNext w:val="0"/>
        <w:keepLines w:val="0"/>
        <w:pageBreakBefore w:val="0"/>
        <w:tabs>
          <w:tab w:val="left" w:pos="0"/>
          <w:tab w:val="left" w:pos="3165"/>
          <w:tab w:val="center" w:pos="4153"/>
        </w:tabs>
        <w:kinsoku/>
        <w:topLinePunct w:val="0"/>
        <w:autoSpaceDE w:val="0"/>
        <w:autoSpaceDN w:val="0"/>
        <w:bidi w:val="0"/>
        <w:adjustRightInd w:val="0"/>
        <w:spacing w:before="0" w:after="0" w:line="400" w:lineRule="exact"/>
        <w:jc w:val="center"/>
        <w:outlineLvl w:val="9"/>
        <w:rPr>
          <w:rFonts w:hint="eastAsia" w:ascii="方正小标宋_GBK" w:hAnsi="方正小标宋_GBK" w:eastAsia="方正小标宋_GBK" w:cs="方正小标宋_GBK"/>
          <w:strike w:val="0"/>
          <w:dstrike w:val="0"/>
          <w:color w:val="auto"/>
          <w:sz w:val="21"/>
          <w:szCs w:val="21"/>
          <w:highlight w:val="none"/>
        </w:rPr>
      </w:pPr>
    </w:p>
    <w:p w14:paraId="6A9F679A">
      <w:pPr>
        <w:keepNext w:val="0"/>
        <w:keepLines w:val="0"/>
        <w:pageBreakBefore w:val="0"/>
        <w:tabs>
          <w:tab w:val="left" w:pos="0"/>
          <w:tab w:val="left" w:pos="3165"/>
          <w:tab w:val="center" w:pos="4153"/>
        </w:tabs>
        <w:kinsoku/>
        <w:topLinePunct w:val="0"/>
        <w:autoSpaceDE w:val="0"/>
        <w:autoSpaceDN w:val="0"/>
        <w:bidi w:val="0"/>
        <w:adjustRightInd w:val="0"/>
        <w:spacing w:before="0" w:after="0" w:line="400" w:lineRule="exact"/>
        <w:jc w:val="center"/>
        <w:outlineLvl w:val="9"/>
        <w:rPr>
          <w:rFonts w:hint="eastAsia" w:ascii="方正小标宋_GBK" w:hAnsi="方正小标宋_GBK" w:eastAsia="方正小标宋_GBK" w:cs="方正小标宋_GBK"/>
          <w:strike w:val="0"/>
          <w:dstrike w:val="0"/>
          <w:color w:val="auto"/>
          <w:sz w:val="21"/>
          <w:szCs w:val="21"/>
          <w:highlight w:val="none"/>
        </w:rPr>
      </w:pPr>
    </w:p>
    <w:p w14:paraId="40602740">
      <w:pPr>
        <w:keepNext w:val="0"/>
        <w:keepLines w:val="0"/>
        <w:pageBreakBefore w:val="0"/>
        <w:tabs>
          <w:tab w:val="left" w:pos="0"/>
          <w:tab w:val="left" w:pos="3165"/>
          <w:tab w:val="center" w:pos="4153"/>
        </w:tabs>
        <w:kinsoku/>
        <w:topLinePunct w:val="0"/>
        <w:autoSpaceDE w:val="0"/>
        <w:autoSpaceDN w:val="0"/>
        <w:bidi w:val="0"/>
        <w:adjustRightInd w:val="0"/>
        <w:spacing w:before="0" w:after="0" w:line="400" w:lineRule="exact"/>
        <w:jc w:val="center"/>
        <w:outlineLvl w:val="9"/>
        <w:rPr>
          <w:rFonts w:hint="eastAsia" w:ascii="方正小标宋_GBK" w:hAnsi="方正小标宋_GBK" w:eastAsia="方正小标宋_GBK" w:cs="方正小标宋_GBK"/>
          <w:strike w:val="0"/>
          <w:dstrike w:val="0"/>
          <w:color w:val="auto"/>
          <w:sz w:val="21"/>
          <w:szCs w:val="21"/>
          <w:highlight w:val="none"/>
        </w:rPr>
      </w:pPr>
    </w:p>
    <w:p w14:paraId="799FEA53">
      <w:pPr>
        <w:keepNext w:val="0"/>
        <w:keepLines w:val="0"/>
        <w:pageBreakBefore w:val="0"/>
        <w:tabs>
          <w:tab w:val="left" w:pos="0"/>
          <w:tab w:val="left" w:pos="3165"/>
          <w:tab w:val="center" w:pos="4153"/>
        </w:tabs>
        <w:kinsoku/>
        <w:topLinePunct w:val="0"/>
        <w:autoSpaceDE w:val="0"/>
        <w:autoSpaceDN w:val="0"/>
        <w:bidi w:val="0"/>
        <w:adjustRightInd w:val="0"/>
        <w:spacing w:before="0" w:after="0" w:line="400" w:lineRule="exact"/>
        <w:jc w:val="center"/>
        <w:outlineLvl w:val="9"/>
        <w:rPr>
          <w:rFonts w:hint="eastAsia" w:ascii="方正小标宋_GBK" w:hAnsi="方正小标宋_GBK" w:eastAsia="方正小标宋_GBK" w:cs="方正小标宋_GBK"/>
          <w:strike w:val="0"/>
          <w:dstrike w:val="0"/>
          <w:color w:val="auto"/>
          <w:sz w:val="21"/>
          <w:szCs w:val="21"/>
          <w:highlight w:val="none"/>
        </w:rPr>
      </w:pPr>
    </w:p>
    <w:p w14:paraId="6124D8C2">
      <w:pPr>
        <w:keepNext w:val="0"/>
        <w:keepLines w:val="0"/>
        <w:pageBreakBefore w:val="0"/>
        <w:tabs>
          <w:tab w:val="left" w:pos="0"/>
          <w:tab w:val="left" w:pos="3165"/>
          <w:tab w:val="center" w:pos="4153"/>
        </w:tabs>
        <w:kinsoku/>
        <w:topLinePunct w:val="0"/>
        <w:autoSpaceDE w:val="0"/>
        <w:autoSpaceDN w:val="0"/>
        <w:bidi w:val="0"/>
        <w:adjustRightInd w:val="0"/>
        <w:spacing w:before="0" w:after="0" w:line="400" w:lineRule="exact"/>
        <w:jc w:val="center"/>
        <w:outlineLvl w:val="9"/>
        <w:rPr>
          <w:rFonts w:hint="eastAsia" w:ascii="方正小标宋_GBK" w:hAnsi="方正小标宋_GBK" w:eastAsia="方正小标宋_GBK" w:cs="方正小标宋_GBK"/>
          <w:strike w:val="0"/>
          <w:dstrike w:val="0"/>
          <w:color w:val="auto"/>
          <w:sz w:val="21"/>
          <w:szCs w:val="21"/>
          <w:highlight w:val="none"/>
        </w:rPr>
      </w:pPr>
    </w:p>
    <w:p w14:paraId="2564FA5D">
      <w:pPr>
        <w:pStyle w:val="3"/>
        <w:keepNext w:val="0"/>
        <w:keepLines w:val="0"/>
        <w:pageBreakBefore w:val="0"/>
        <w:tabs>
          <w:tab w:val="left" w:pos="0"/>
          <w:tab w:val="left" w:pos="3165"/>
          <w:tab w:val="center" w:pos="4153"/>
        </w:tabs>
        <w:kinsoku/>
        <w:topLinePunct w:val="0"/>
        <w:autoSpaceDE w:val="0"/>
        <w:autoSpaceDN w:val="0"/>
        <w:bidi w:val="0"/>
        <w:adjustRightInd w:val="0"/>
        <w:spacing w:before="0" w:after="0" w:line="400" w:lineRule="exact"/>
        <w:jc w:val="center"/>
        <w:rPr>
          <w:rFonts w:hint="eastAsia" w:ascii="方正小标宋_GBK" w:hAnsi="方正小标宋_GBK" w:eastAsia="方正小标宋_GBK" w:cs="方正小标宋_GBK"/>
          <w:strike w:val="0"/>
          <w:dstrike w:val="0"/>
          <w:color w:val="auto"/>
          <w:sz w:val="21"/>
          <w:szCs w:val="21"/>
          <w:highlight w:val="none"/>
        </w:rPr>
      </w:pPr>
      <w:r>
        <w:rPr>
          <w:rFonts w:hint="eastAsia" w:ascii="方正小标宋_GBK" w:hAnsi="方正小标宋_GBK" w:eastAsia="方正小标宋_GBK" w:cs="方正小标宋_GBK"/>
          <w:strike w:val="0"/>
          <w:dstrike w:val="0"/>
          <w:color w:val="auto"/>
          <w:sz w:val="21"/>
          <w:szCs w:val="21"/>
          <w:highlight w:val="none"/>
        </w:rPr>
        <w:t>第六章 投标文件格式</w:t>
      </w:r>
      <w:bookmarkEnd w:id="225"/>
    </w:p>
    <w:p w14:paraId="6A03EC7E">
      <w:pPr>
        <w:keepNext w:val="0"/>
        <w:keepLines w:val="0"/>
        <w:pageBreakBefore w:val="0"/>
        <w:kinsoku/>
        <w:topLinePunct w:val="0"/>
        <w:bidi w:val="0"/>
        <w:snapToGrid w:val="0"/>
        <w:spacing w:beforeLines="50" w:after="50" w:line="400" w:lineRule="exact"/>
        <w:jc w:val="center"/>
        <w:rPr>
          <w:rFonts w:hint="eastAsia" w:ascii="宋体" w:hAnsi="宋体" w:eastAsia="宋体" w:cs="宋体"/>
          <w:strike w:val="0"/>
          <w:dstrike w:val="0"/>
          <w:color w:val="auto"/>
          <w:sz w:val="21"/>
          <w:szCs w:val="21"/>
          <w:highlight w:val="none"/>
        </w:rPr>
      </w:pPr>
    </w:p>
    <w:p w14:paraId="1E46FBAA">
      <w:pPr>
        <w:keepNext w:val="0"/>
        <w:keepLines w:val="0"/>
        <w:pageBreakBefore w:val="0"/>
        <w:kinsoku/>
        <w:topLinePunct w:val="0"/>
        <w:bidi w:val="0"/>
        <w:spacing w:line="400" w:lineRule="exact"/>
        <w:outlineLvl w:val="1"/>
        <w:rPr>
          <w:rFonts w:hint="eastAsia" w:ascii="宋体" w:hAnsi="宋体" w:eastAsia="宋体" w:cs="宋体"/>
          <w:b/>
          <w:strike w:val="0"/>
          <w:dstrike w:val="0"/>
          <w:color w:val="auto"/>
          <w:sz w:val="21"/>
          <w:szCs w:val="21"/>
          <w:highlight w:val="none"/>
        </w:rPr>
      </w:pPr>
      <w:bookmarkStart w:id="290" w:name="_Toc19686836"/>
      <w:bookmarkStart w:id="291" w:name="_Toc254970698"/>
      <w:bookmarkStart w:id="292" w:name="_Toc254970557"/>
      <w:r>
        <w:rPr>
          <w:rFonts w:hint="eastAsia" w:ascii="宋体" w:hAnsi="宋体" w:eastAsia="宋体" w:cs="宋体"/>
          <w:b/>
          <w:strike w:val="0"/>
          <w:dstrike w:val="0"/>
          <w:color w:val="auto"/>
          <w:sz w:val="21"/>
          <w:szCs w:val="21"/>
          <w:highlight w:val="none"/>
        </w:rPr>
        <w:t>一、报价文件格式</w:t>
      </w:r>
      <w:bookmarkEnd w:id="290"/>
    </w:p>
    <w:p w14:paraId="331A3DCE">
      <w:pPr>
        <w:keepNext w:val="0"/>
        <w:keepLines w:val="0"/>
        <w:pageBreakBefore w:val="0"/>
        <w:kinsoku/>
        <w:topLinePunct w:val="0"/>
        <w:bidi w:val="0"/>
        <w:snapToGrid w:val="0"/>
        <w:spacing w:beforeLines="50" w:after="50" w:line="400" w:lineRule="exact"/>
        <w:ind w:left="142"/>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1. 报价文件封面格式：</w:t>
      </w:r>
    </w:p>
    <w:p w14:paraId="7134C467">
      <w:pPr>
        <w:keepNext w:val="0"/>
        <w:keepLines w:val="0"/>
        <w:pageBreakBefore w:val="0"/>
        <w:kinsoku/>
        <w:topLinePunct w:val="0"/>
        <w:bidi w:val="0"/>
        <w:snapToGrid w:val="0"/>
        <w:spacing w:beforeLines="50" w:after="50" w:line="400" w:lineRule="exact"/>
        <w:ind w:left="142"/>
        <w:jc w:val="center"/>
        <w:outlineLvl w:val="3"/>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电子投标文件</w:t>
      </w:r>
    </w:p>
    <w:p w14:paraId="46B58B20">
      <w:pPr>
        <w:keepNext w:val="0"/>
        <w:keepLines w:val="0"/>
        <w:pageBreakBefore w:val="0"/>
        <w:kinsoku/>
        <w:topLinePunct w:val="0"/>
        <w:bidi w:val="0"/>
        <w:snapToGrid w:val="0"/>
        <w:spacing w:beforeLines="50" w:after="50" w:line="400" w:lineRule="exact"/>
        <w:jc w:val="left"/>
        <w:rPr>
          <w:rFonts w:hint="eastAsia" w:ascii="宋体" w:hAnsi="宋体" w:eastAsia="宋体" w:cs="宋体"/>
          <w:bCs/>
          <w:strike w:val="0"/>
          <w:dstrike w:val="0"/>
          <w:color w:val="auto"/>
          <w:sz w:val="21"/>
          <w:szCs w:val="21"/>
          <w:highlight w:val="none"/>
        </w:rPr>
      </w:pPr>
    </w:p>
    <w:p w14:paraId="5350091B">
      <w:pPr>
        <w:keepNext w:val="0"/>
        <w:keepLines w:val="0"/>
        <w:pageBreakBefore w:val="0"/>
        <w:kinsoku/>
        <w:topLinePunct w:val="0"/>
        <w:bidi w:val="0"/>
        <w:snapToGrid w:val="0"/>
        <w:spacing w:beforeLines="50" w:after="50" w:line="400" w:lineRule="exact"/>
        <w:jc w:val="center"/>
        <w:outlineLvl w:val="3"/>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第一部分报价文件</w:t>
      </w:r>
    </w:p>
    <w:p w14:paraId="65CD38D4">
      <w:pPr>
        <w:keepNext w:val="0"/>
        <w:keepLines w:val="0"/>
        <w:pageBreakBefore w:val="0"/>
        <w:kinsoku/>
        <w:topLinePunct w:val="0"/>
        <w:bidi w:val="0"/>
        <w:snapToGrid w:val="0"/>
        <w:spacing w:beforeLines="50" w:after="50" w:line="400" w:lineRule="exact"/>
        <w:rPr>
          <w:rFonts w:hint="eastAsia" w:ascii="宋体" w:hAnsi="宋体" w:eastAsia="宋体" w:cs="宋体"/>
          <w:bCs/>
          <w:strike w:val="0"/>
          <w:dstrike w:val="0"/>
          <w:color w:val="auto"/>
          <w:sz w:val="21"/>
          <w:szCs w:val="21"/>
          <w:highlight w:val="none"/>
        </w:rPr>
      </w:pPr>
    </w:p>
    <w:p w14:paraId="4CDE4484">
      <w:pPr>
        <w:keepNext w:val="0"/>
        <w:keepLines w:val="0"/>
        <w:pageBreakBefore w:val="0"/>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项目名称：</w:t>
      </w:r>
      <w:r>
        <w:rPr>
          <w:rFonts w:hint="eastAsia" w:ascii="宋体" w:hAnsi="宋体" w:eastAsia="宋体" w:cs="宋体"/>
          <w:bCs/>
          <w:strike w:val="0"/>
          <w:dstrike w:val="0"/>
          <w:color w:val="auto"/>
          <w:sz w:val="21"/>
          <w:szCs w:val="21"/>
          <w:highlight w:val="none"/>
          <w:u w:val="single"/>
        </w:rPr>
        <w:t xml:space="preserve">                            </w:t>
      </w:r>
    </w:p>
    <w:p w14:paraId="5ED00476">
      <w:pPr>
        <w:keepNext w:val="0"/>
        <w:keepLines w:val="0"/>
        <w:pageBreakBefore w:val="0"/>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p>
    <w:p w14:paraId="5F1C24D7">
      <w:pPr>
        <w:keepNext w:val="0"/>
        <w:keepLines w:val="0"/>
        <w:pageBreakBefore w:val="0"/>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项目编号：</w:t>
      </w:r>
      <w:r>
        <w:rPr>
          <w:rFonts w:hint="eastAsia" w:ascii="宋体" w:hAnsi="宋体" w:eastAsia="宋体" w:cs="宋体"/>
          <w:bCs/>
          <w:strike w:val="0"/>
          <w:dstrike w:val="0"/>
          <w:color w:val="auto"/>
          <w:sz w:val="21"/>
          <w:szCs w:val="21"/>
          <w:highlight w:val="none"/>
          <w:u w:val="single"/>
        </w:rPr>
        <w:t xml:space="preserve">                            </w:t>
      </w:r>
    </w:p>
    <w:p w14:paraId="34C3D193">
      <w:pPr>
        <w:keepNext w:val="0"/>
        <w:keepLines w:val="0"/>
        <w:pageBreakBefore w:val="0"/>
        <w:kinsoku/>
        <w:topLinePunct w:val="0"/>
        <w:bidi w:val="0"/>
        <w:snapToGrid w:val="0"/>
        <w:spacing w:beforeLines="50" w:after="50" w:line="400" w:lineRule="exact"/>
        <w:rPr>
          <w:rFonts w:hint="eastAsia" w:ascii="宋体" w:hAnsi="宋体" w:eastAsia="宋体" w:cs="宋体"/>
          <w:bCs/>
          <w:strike w:val="0"/>
          <w:dstrike w:val="0"/>
          <w:color w:val="auto"/>
          <w:sz w:val="21"/>
          <w:szCs w:val="21"/>
          <w:highlight w:val="none"/>
        </w:rPr>
      </w:pPr>
    </w:p>
    <w:p w14:paraId="42F0E5BD">
      <w:pPr>
        <w:keepNext w:val="0"/>
        <w:keepLines w:val="0"/>
        <w:pageBreakBefore w:val="0"/>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所投</w:t>
      </w:r>
      <w:r>
        <w:rPr>
          <w:rFonts w:hint="eastAsia" w:ascii="宋体" w:hAnsi="宋体" w:eastAsia="宋体" w:cs="宋体"/>
          <w:bCs/>
          <w:strike w:val="0"/>
          <w:dstrike w:val="0"/>
          <w:color w:val="auto"/>
          <w:sz w:val="21"/>
          <w:szCs w:val="21"/>
          <w:highlight w:val="none"/>
          <w:lang w:eastAsia="zh-CN"/>
        </w:rPr>
        <w:t>分</w:t>
      </w:r>
      <w:r>
        <w:rPr>
          <w:rFonts w:hint="eastAsia" w:ascii="宋体" w:hAnsi="宋体" w:eastAsia="宋体" w:cs="宋体"/>
          <w:bCs/>
          <w:strike w:val="0"/>
          <w:dstrike w:val="0"/>
          <w:color w:val="auto"/>
          <w:sz w:val="21"/>
          <w:szCs w:val="21"/>
          <w:highlight w:val="none"/>
          <w:lang w:val="en-US" w:eastAsia="zh-CN"/>
        </w:rPr>
        <w:t>包</w:t>
      </w:r>
      <w:r>
        <w:rPr>
          <w:rFonts w:hint="eastAsia" w:ascii="宋体" w:hAnsi="宋体" w:eastAsia="宋体" w:cs="宋体"/>
          <w:bCs/>
          <w:strike w:val="0"/>
          <w:dstrike w:val="0"/>
          <w:color w:val="auto"/>
          <w:sz w:val="21"/>
          <w:szCs w:val="21"/>
          <w:highlight w:val="none"/>
        </w:rPr>
        <w:t>：</w:t>
      </w:r>
      <w:r>
        <w:rPr>
          <w:rFonts w:hint="eastAsia" w:ascii="宋体" w:hAnsi="宋体" w:eastAsia="宋体" w:cs="宋体"/>
          <w:bCs/>
          <w:strike w:val="0"/>
          <w:dstrike w:val="0"/>
          <w:color w:val="auto"/>
          <w:sz w:val="21"/>
          <w:szCs w:val="21"/>
          <w:highlight w:val="none"/>
          <w:u w:val="single"/>
        </w:rPr>
        <w:t xml:space="preserve">                            </w:t>
      </w:r>
    </w:p>
    <w:p w14:paraId="0C9044FE">
      <w:pPr>
        <w:keepNext w:val="0"/>
        <w:keepLines w:val="0"/>
        <w:pageBreakBefore w:val="0"/>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p>
    <w:p w14:paraId="69F5C73D">
      <w:pPr>
        <w:keepNext w:val="0"/>
        <w:keepLines w:val="0"/>
        <w:pageBreakBefore w:val="0"/>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投标人名称：</w:t>
      </w:r>
      <w:r>
        <w:rPr>
          <w:rFonts w:hint="eastAsia" w:ascii="宋体" w:hAnsi="宋体" w:eastAsia="宋体" w:cs="宋体"/>
          <w:bCs/>
          <w:strike w:val="0"/>
          <w:dstrike w:val="0"/>
          <w:color w:val="auto"/>
          <w:sz w:val="21"/>
          <w:szCs w:val="21"/>
          <w:highlight w:val="none"/>
          <w:u w:val="single"/>
        </w:rPr>
        <w:t xml:space="preserve">                          </w:t>
      </w:r>
    </w:p>
    <w:p w14:paraId="4C5BC594">
      <w:pPr>
        <w:keepNext w:val="0"/>
        <w:keepLines w:val="0"/>
        <w:pageBreakBefore w:val="0"/>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p>
    <w:p w14:paraId="3A4CD643">
      <w:pPr>
        <w:keepNext w:val="0"/>
        <w:keepLines w:val="0"/>
        <w:pageBreakBefore w:val="0"/>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投标人地址：</w:t>
      </w:r>
      <w:r>
        <w:rPr>
          <w:rFonts w:hint="eastAsia" w:ascii="宋体" w:hAnsi="宋体" w:eastAsia="宋体" w:cs="宋体"/>
          <w:bCs/>
          <w:strike w:val="0"/>
          <w:dstrike w:val="0"/>
          <w:color w:val="auto"/>
          <w:sz w:val="21"/>
          <w:szCs w:val="21"/>
          <w:highlight w:val="none"/>
          <w:u w:val="single"/>
        </w:rPr>
        <w:t xml:space="preserve">                          </w:t>
      </w:r>
    </w:p>
    <w:p w14:paraId="6FDC8322">
      <w:pPr>
        <w:keepNext w:val="0"/>
        <w:keepLines w:val="0"/>
        <w:pageBreakBefore w:val="0"/>
        <w:kinsoku/>
        <w:topLinePunct w:val="0"/>
        <w:bidi w:val="0"/>
        <w:snapToGrid w:val="0"/>
        <w:spacing w:beforeLines="50" w:after="50" w:line="400" w:lineRule="exact"/>
        <w:rPr>
          <w:rFonts w:hint="eastAsia" w:ascii="宋体" w:hAnsi="宋体" w:eastAsia="宋体" w:cs="宋体"/>
          <w:strike w:val="0"/>
          <w:dstrike w:val="0"/>
          <w:color w:val="auto"/>
          <w:sz w:val="21"/>
          <w:szCs w:val="21"/>
          <w:highlight w:val="none"/>
        </w:rPr>
      </w:pPr>
    </w:p>
    <w:p w14:paraId="31DB36D3">
      <w:pPr>
        <w:keepNext w:val="0"/>
        <w:keepLines w:val="0"/>
        <w:pageBreakBefore w:val="0"/>
        <w:kinsoku/>
        <w:topLinePunct w:val="0"/>
        <w:bidi w:val="0"/>
        <w:snapToGrid w:val="0"/>
        <w:spacing w:beforeLines="50" w:after="50" w:line="400" w:lineRule="exact"/>
        <w:rPr>
          <w:rFonts w:hint="eastAsia" w:ascii="宋体" w:hAnsi="宋体" w:eastAsia="宋体" w:cs="宋体"/>
          <w:strike w:val="0"/>
          <w:dstrike w:val="0"/>
          <w:color w:val="auto"/>
          <w:sz w:val="21"/>
          <w:szCs w:val="21"/>
          <w:highlight w:val="none"/>
        </w:rPr>
      </w:pPr>
    </w:p>
    <w:p w14:paraId="53D1AB9C">
      <w:pPr>
        <w:keepNext w:val="0"/>
        <w:keepLines w:val="0"/>
        <w:pageBreakBefore w:val="0"/>
        <w:kinsoku/>
        <w:topLinePunct w:val="0"/>
        <w:bidi w:val="0"/>
        <w:snapToGrid w:val="0"/>
        <w:spacing w:beforeLines="50" w:after="50"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年  月  日</w:t>
      </w:r>
    </w:p>
    <w:p w14:paraId="0A806B2D">
      <w:pPr>
        <w:keepNext w:val="0"/>
        <w:keepLines w:val="0"/>
        <w:pageBreakBefore w:val="0"/>
        <w:kinsoku/>
        <w:topLinePunct w:val="0"/>
        <w:bidi w:val="0"/>
        <w:snapToGrid w:val="0"/>
        <w:spacing w:beforeLines="50" w:after="50" w:line="400" w:lineRule="exact"/>
        <w:jc w:val="left"/>
        <w:outlineLvl w:val="2"/>
        <w:rPr>
          <w:rFonts w:hint="eastAsia" w:ascii="宋体" w:hAnsi="宋体" w:eastAsia="宋体" w:cs="宋体"/>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br w:type="page"/>
      </w:r>
      <w:r>
        <w:rPr>
          <w:rFonts w:hint="eastAsia" w:ascii="宋体" w:hAnsi="宋体" w:eastAsia="宋体" w:cs="宋体"/>
          <w:b/>
          <w:strike w:val="0"/>
          <w:dstrike w:val="0"/>
          <w:color w:val="auto"/>
          <w:sz w:val="21"/>
          <w:szCs w:val="21"/>
          <w:highlight w:val="none"/>
        </w:rPr>
        <w:t>2.</w:t>
      </w:r>
      <w:r>
        <w:rPr>
          <w:rFonts w:hint="eastAsia" w:ascii="宋体" w:hAnsi="宋体" w:eastAsia="宋体" w:cs="宋体"/>
          <w:b/>
          <w:bCs/>
          <w:strike w:val="0"/>
          <w:dstrike w:val="0"/>
          <w:color w:val="auto"/>
          <w:sz w:val="21"/>
          <w:szCs w:val="21"/>
          <w:highlight w:val="none"/>
        </w:rPr>
        <w:t>报价文件目录</w:t>
      </w:r>
    </w:p>
    <w:p w14:paraId="4BB885AC">
      <w:pPr>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根据招标文件规定及投标人提供的材料自行编写目录。</w:t>
      </w:r>
    </w:p>
    <w:p w14:paraId="1082DD59">
      <w:pPr>
        <w:keepNext w:val="0"/>
        <w:keepLines w:val="0"/>
        <w:pageBreakBefore w:val="0"/>
        <w:kinsoku/>
        <w:topLinePunct w:val="0"/>
        <w:bidi w:val="0"/>
        <w:snapToGrid w:val="0"/>
        <w:spacing w:beforeLines="50" w:after="50" w:line="400" w:lineRule="exact"/>
        <w:rPr>
          <w:rFonts w:hint="eastAsia" w:ascii="宋体" w:hAnsi="宋体" w:eastAsia="宋体" w:cs="宋体"/>
          <w:b/>
          <w:strike w:val="0"/>
          <w:dstrike w:val="0"/>
          <w:color w:val="auto"/>
          <w:sz w:val="21"/>
          <w:szCs w:val="21"/>
          <w:highlight w:val="none"/>
        </w:rPr>
      </w:pPr>
    </w:p>
    <w:p w14:paraId="436BC775">
      <w:pPr>
        <w:keepNext w:val="0"/>
        <w:keepLines w:val="0"/>
        <w:pageBreakBefore w:val="0"/>
        <w:kinsoku/>
        <w:topLinePunct w:val="0"/>
        <w:bidi w:val="0"/>
        <w:snapToGrid w:val="0"/>
        <w:spacing w:beforeLines="50" w:after="50" w:line="400" w:lineRule="exact"/>
        <w:rPr>
          <w:rFonts w:hint="eastAsia" w:ascii="宋体" w:hAnsi="宋体" w:eastAsia="宋体" w:cs="宋体"/>
          <w:b/>
          <w:strike w:val="0"/>
          <w:dstrike w:val="0"/>
          <w:color w:val="auto"/>
          <w:sz w:val="21"/>
          <w:szCs w:val="21"/>
          <w:highlight w:val="none"/>
        </w:rPr>
      </w:pPr>
    </w:p>
    <w:p w14:paraId="11F84CC8">
      <w:pPr>
        <w:keepNext w:val="0"/>
        <w:keepLines w:val="0"/>
        <w:pageBreakBefore w:val="0"/>
        <w:kinsoku/>
        <w:topLinePunct w:val="0"/>
        <w:bidi w:val="0"/>
        <w:snapToGrid w:val="0"/>
        <w:spacing w:beforeLines="50" w:after="50" w:line="400" w:lineRule="exact"/>
        <w:rPr>
          <w:rFonts w:hint="eastAsia" w:ascii="宋体" w:hAnsi="宋体" w:eastAsia="宋体" w:cs="宋体"/>
          <w:b/>
          <w:strike w:val="0"/>
          <w:dstrike w:val="0"/>
          <w:color w:val="auto"/>
          <w:sz w:val="21"/>
          <w:szCs w:val="21"/>
          <w:highlight w:val="none"/>
        </w:rPr>
      </w:pPr>
    </w:p>
    <w:p w14:paraId="2A7A4612">
      <w:pPr>
        <w:keepNext w:val="0"/>
        <w:keepLines w:val="0"/>
        <w:pageBreakBefore w:val="0"/>
        <w:kinsoku/>
        <w:topLinePunct w:val="0"/>
        <w:bidi w:val="0"/>
        <w:snapToGrid w:val="0"/>
        <w:spacing w:beforeLines="50" w:after="50" w:line="400" w:lineRule="exact"/>
        <w:ind w:left="142"/>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br w:type="page"/>
      </w:r>
      <w:r>
        <w:rPr>
          <w:rFonts w:hint="eastAsia" w:ascii="宋体" w:hAnsi="宋体" w:eastAsia="宋体" w:cs="宋体"/>
          <w:b/>
          <w:strike w:val="0"/>
          <w:dstrike w:val="0"/>
          <w:color w:val="auto"/>
          <w:sz w:val="21"/>
          <w:szCs w:val="21"/>
          <w:highlight w:val="none"/>
        </w:rPr>
        <w:t>3.投标函格式：</w:t>
      </w:r>
    </w:p>
    <w:p w14:paraId="0C502261">
      <w:pPr>
        <w:keepNext w:val="0"/>
        <w:keepLines w:val="0"/>
        <w:pageBreakBefore w:val="0"/>
        <w:kinsoku/>
        <w:topLinePunct w:val="0"/>
        <w:bidi w:val="0"/>
        <w:snapToGrid w:val="0"/>
        <w:spacing w:before="50" w:after="50"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投标函</w:t>
      </w:r>
    </w:p>
    <w:p w14:paraId="7C1CC1BC">
      <w:pPr>
        <w:keepNext w:val="0"/>
        <w:keepLines w:val="0"/>
        <w:pageBreakBefore w:val="0"/>
        <w:kinsoku/>
        <w:topLinePunct w:val="0"/>
        <w:bidi w:val="0"/>
        <w:spacing w:line="400" w:lineRule="exact"/>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致</w:t>
      </w:r>
      <w:r>
        <w:rPr>
          <w:rFonts w:hint="eastAsia" w:ascii="宋体" w:hAnsi="宋体" w:eastAsia="宋体" w:cs="宋体"/>
          <w:strike w:val="0"/>
          <w:dstrike w:val="0"/>
          <w:color w:val="auto"/>
          <w:sz w:val="21"/>
          <w:szCs w:val="21"/>
          <w:highlight w:val="none"/>
          <w:u w:val="single"/>
        </w:rPr>
        <w:t>采购代理机构/采购人</w:t>
      </w:r>
      <w:r>
        <w:rPr>
          <w:rFonts w:hint="eastAsia" w:ascii="宋体" w:hAnsi="宋体" w:eastAsia="宋体" w:cs="宋体"/>
          <w:strike w:val="0"/>
          <w:dstrike w:val="0"/>
          <w:color w:val="auto"/>
          <w:sz w:val="21"/>
          <w:szCs w:val="21"/>
          <w:highlight w:val="none"/>
        </w:rPr>
        <w:t>：</w:t>
      </w:r>
    </w:p>
    <w:p w14:paraId="0D88750E">
      <w:pPr>
        <w:keepNext w:val="0"/>
        <w:keepLines w:val="0"/>
        <w:pageBreakBefore w:val="0"/>
        <w:kinsoku/>
        <w:topLinePunct w:val="0"/>
        <w:bidi w:val="0"/>
        <w:spacing w:line="400" w:lineRule="exact"/>
        <w:ind w:firstLine="480"/>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我方已仔细阅读了贵方组织的</w:t>
      </w:r>
      <w:bookmarkStart w:id="293" w:name="OLE_LINK185"/>
      <w:bookmarkStart w:id="294" w:name="OLE_LINK184"/>
      <w:r>
        <w:rPr>
          <w:rFonts w:hint="eastAsia" w:ascii="宋体" w:hAnsi="宋体" w:eastAsia="宋体" w:cs="宋体"/>
          <w:strike w:val="0"/>
          <w:dstrike w:val="0"/>
          <w:color w:val="auto"/>
          <w:sz w:val="21"/>
          <w:szCs w:val="21"/>
          <w:highlight w:val="none"/>
          <w:u w:val="single"/>
        </w:rPr>
        <w:t>（项目名称/项目编号）</w:t>
      </w:r>
      <w:bookmarkEnd w:id="293"/>
      <w:bookmarkEnd w:id="294"/>
      <w:r>
        <w:rPr>
          <w:rFonts w:hint="eastAsia" w:ascii="宋体" w:hAnsi="宋体" w:eastAsia="宋体" w:cs="宋体"/>
          <w:strike w:val="0"/>
          <w:dstrike w:val="0"/>
          <w:color w:val="auto"/>
          <w:sz w:val="21"/>
          <w:szCs w:val="21"/>
          <w:highlight w:val="none"/>
        </w:rPr>
        <w:t>招标文件的全部内容，授权</w:t>
      </w:r>
      <w:r>
        <w:rPr>
          <w:rFonts w:hint="eastAsia" w:ascii="宋体" w:hAnsi="宋体" w:eastAsia="宋体" w:cs="宋体"/>
          <w:strike w:val="0"/>
          <w:dstrike w:val="0"/>
          <w:color w:val="auto"/>
          <w:sz w:val="21"/>
          <w:szCs w:val="21"/>
          <w:highlight w:val="none"/>
          <w:u w:val="single"/>
        </w:rPr>
        <w:t>（姓名/职务)</w:t>
      </w:r>
      <w:r>
        <w:rPr>
          <w:rFonts w:hint="eastAsia" w:ascii="宋体" w:hAnsi="宋体" w:eastAsia="宋体" w:cs="宋体"/>
          <w:strike w:val="0"/>
          <w:dstrike w:val="0"/>
          <w:color w:val="auto"/>
          <w:sz w:val="21"/>
          <w:szCs w:val="21"/>
          <w:highlight w:val="none"/>
        </w:rPr>
        <w:t>为全权代表，现正式递交下述文件参加贵方组织的本次政府采购活动：</w:t>
      </w:r>
    </w:p>
    <w:p w14:paraId="00FD5208">
      <w:pPr>
        <w:keepNext w:val="0"/>
        <w:keepLines w:val="0"/>
        <w:pageBreakBefore w:val="0"/>
        <w:kinsoku/>
        <w:topLinePunct w:val="0"/>
        <w:bidi w:val="0"/>
        <w:spacing w:line="400" w:lineRule="exact"/>
        <w:ind w:firstLine="480"/>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一、报价文件电子版一份（包含按投标人须知前附表要求提交的全部文件）；</w:t>
      </w:r>
    </w:p>
    <w:p w14:paraId="500F2D7E">
      <w:pPr>
        <w:keepNext w:val="0"/>
        <w:keepLines w:val="0"/>
        <w:pageBreakBefore w:val="0"/>
        <w:kinsoku/>
        <w:topLinePunct w:val="0"/>
        <w:bidi w:val="0"/>
        <w:spacing w:line="400" w:lineRule="exact"/>
        <w:ind w:firstLine="480"/>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二、资格文件电子版一份（包含按投标人须知前附表要求提交的全部文件）；</w:t>
      </w:r>
    </w:p>
    <w:p w14:paraId="21B75AC6">
      <w:pPr>
        <w:keepNext w:val="0"/>
        <w:keepLines w:val="0"/>
        <w:pageBreakBefore w:val="0"/>
        <w:kinsoku/>
        <w:topLinePunct w:val="0"/>
        <w:bidi w:val="0"/>
        <w:spacing w:line="400" w:lineRule="exact"/>
        <w:ind w:firstLine="480"/>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三、商务技术文件电子版一份（包含按投标人须知前附表要求提交的全部文件）；</w:t>
      </w:r>
    </w:p>
    <w:p w14:paraId="33508505">
      <w:pPr>
        <w:keepNext w:val="0"/>
        <w:keepLines w:val="0"/>
        <w:pageBreakBefore w:val="0"/>
        <w:kinsoku/>
        <w:topLinePunct w:val="0"/>
        <w:bidi w:val="0"/>
        <w:spacing w:line="400" w:lineRule="exact"/>
        <w:ind w:firstLine="420" w:firstLineChars="200"/>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据此函，我方宣布同意如下：</w:t>
      </w:r>
    </w:p>
    <w:p w14:paraId="17276995">
      <w:pPr>
        <w:pStyle w:val="28"/>
        <w:keepNext w:val="0"/>
        <w:keepLines w:val="0"/>
        <w:pageBreakBefore w:val="0"/>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1.我方愿意以报价文件电子版的开标一览表中的投标总报价，按照我方承诺的内容提供本项目招标文件第二章“采购需求”中的相应的采购内容。</w:t>
      </w:r>
    </w:p>
    <w:p w14:paraId="082B8DBB">
      <w:pPr>
        <w:pStyle w:val="28"/>
        <w:keepNext w:val="0"/>
        <w:keepLines w:val="0"/>
        <w:pageBreakBefore w:val="0"/>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2.我方同意自本项目招标文件“第三章投标人须知”第一节投标人须知前附表第21.2项规定的投标截止时间（开标时间）起遵循本投标函，并承诺在“投标人须知前附表”第17.2项规定的投标有效期内不修改、撤销投标文件。</w:t>
      </w:r>
    </w:p>
    <w:p w14:paraId="73F0597D">
      <w:pPr>
        <w:pStyle w:val="28"/>
        <w:keepNext w:val="0"/>
        <w:keepLines w:val="0"/>
        <w:pageBreakBefore w:val="0"/>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u w:val="none"/>
        </w:rPr>
      </w:pPr>
      <w:r>
        <w:rPr>
          <w:rFonts w:hint="eastAsia" w:ascii="宋体" w:hAnsi="宋体" w:eastAsia="宋体" w:cs="宋体"/>
          <w:strike w:val="0"/>
          <w:dstrike w:val="0"/>
          <w:color w:val="auto"/>
          <w:sz w:val="21"/>
          <w:szCs w:val="21"/>
          <w:highlight w:val="none"/>
        </w:rPr>
        <w:t>3.我方所递交的投标文件及有关资料都是内容完整、真实和准确的。</w:t>
      </w:r>
    </w:p>
    <w:p w14:paraId="34126EFD">
      <w:pPr>
        <w:pStyle w:val="28"/>
        <w:keepNext w:val="0"/>
        <w:keepLines w:val="0"/>
        <w:pageBreakBefore w:val="0"/>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4.我方承诺已经具备《中华人民共和国政府采购法》中规定的参加政府采购活动的投标人应当具备的全部条件。</w:t>
      </w:r>
    </w:p>
    <w:p w14:paraId="2A6A7573">
      <w:pPr>
        <w:pStyle w:val="28"/>
        <w:keepNext w:val="0"/>
        <w:keepLines w:val="0"/>
        <w:pageBreakBefore w:val="0"/>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5.如本项目采购内容涉及须符合国家强制规定的，我方承诺我方本次投标（包括资格条件和所投产品）均符合国家有关强制规定。</w:t>
      </w:r>
    </w:p>
    <w:p w14:paraId="6E99874F">
      <w:pPr>
        <w:pStyle w:val="28"/>
        <w:keepNext w:val="0"/>
        <w:keepLines w:val="0"/>
        <w:pageBreakBefore w:val="0"/>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6.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2018A135">
      <w:pPr>
        <w:pStyle w:val="28"/>
        <w:keepNext w:val="0"/>
        <w:keepLines w:val="0"/>
        <w:pageBreakBefore w:val="0"/>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7.我方已详细审核招标文件，我方知道必须放弃提出含糊不清或误解问题的权利。</w:t>
      </w:r>
    </w:p>
    <w:p w14:paraId="6AA9073E">
      <w:pPr>
        <w:pStyle w:val="28"/>
        <w:keepNext w:val="0"/>
        <w:keepLines w:val="0"/>
        <w:pageBreakBefore w:val="0"/>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8.我方同意应贵方要求提供与本投标有关的任何数据或资料。若贵方需要，我方愿意提供我方作出的一切承诺的证明材料。</w:t>
      </w:r>
    </w:p>
    <w:p w14:paraId="20D0C4EA">
      <w:pPr>
        <w:pStyle w:val="28"/>
        <w:keepNext w:val="0"/>
        <w:keepLines w:val="0"/>
        <w:pageBreakBefore w:val="0"/>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9.我方完全理解贵方不一定接受投标报价最低的投标人为中标投标人的行为。</w:t>
      </w:r>
    </w:p>
    <w:p w14:paraId="4F97789D">
      <w:pPr>
        <w:pStyle w:val="28"/>
        <w:keepNext w:val="0"/>
        <w:keepLines w:val="0"/>
        <w:pageBreakBefore w:val="0"/>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10.我方将严格遵守《中华人民共和国政府采购法》第七十七条的规定，即投标人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118BE88">
      <w:pPr>
        <w:pStyle w:val="28"/>
        <w:keepNext w:val="0"/>
        <w:keepLines w:val="0"/>
        <w:pageBreakBefore w:val="0"/>
        <w:kinsoku/>
        <w:topLinePunct w:val="0"/>
        <w:bidi w:val="0"/>
        <w:spacing w:line="400" w:lineRule="exact"/>
        <w:ind w:left="42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（1）提供虚假材料谋取中标、成交的；</w:t>
      </w:r>
    </w:p>
    <w:p w14:paraId="09C023DE">
      <w:pPr>
        <w:pStyle w:val="28"/>
        <w:keepNext w:val="0"/>
        <w:keepLines w:val="0"/>
        <w:pageBreakBefore w:val="0"/>
        <w:kinsoku/>
        <w:topLinePunct w:val="0"/>
        <w:bidi w:val="0"/>
        <w:spacing w:line="400" w:lineRule="exact"/>
        <w:ind w:left="42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（2）采取不正当手段诋毁、排挤其他投标人的；</w:t>
      </w:r>
    </w:p>
    <w:p w14:paraId="59E15E96">
      <w:pPr>
        <w:pStyle w:val="28"/>
        <w:keepNext w:val="0"/>
        <w:keepLines w:val="0"/>
        <w:pageBreakBefore w:val="0"/>
        <w:kinsoku/>
        <w:topLinePunct w:val="0"/>
        <w:bidi w:val="0"/>
        <w:spacing w:line="400" w:lineRule="exact"/>
        <w:ind w:left="42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（3）与采购人、其他投标人或者采购代理机构恶意串通的；</w:t>
      </w:r>
    </w:p>
    <w:p w14:paraId="2674D5FB">
      <w:pPr>
        <w:pStyle w:val="28"/>
        <w:keepNext w:val="0"/>
        <w:keepLines w:val="0"/>
        <w:pageBreakBefore w:val="0"/>
        <w:kinsoku/>
        <w:topLinePunct w:val="0"/>
        <w:bidi w:val="0"/>
        <w:spacing w:line="400" w:lineRule="exact"/>
        <w:ind w:left="42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（4）向采购人、采购代理机构行贿或者提供其他不正当利益的；</w:t>
      </w:r>
    </w:p>
    <w:p w14:paraId="44153FD3">
      <w:pPr>
        <w:pStyle w:val="28"/>
        <w:keepNext w:val="0"/>
        <w:keepLines w:val="0"/>
        <w:pageBreakBefore w:val="0"/>
        <w:kinsoku/>
        <w:topLinePunct w:val="0"/>
        <w:bidi w:val="0"/>
        <w:spacing w:line="400" w:lineRule="exact"/>
        <w:ind w:left="42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（5）在招标采购过程中与采购人进行协商谈判的；</w:t>
      </w:r>
    </w:p>
    <w:p w14:paraId="0C37F71A">
      <w:pPr>
        <w:pStyle w:val="28"/>
        <w:keepNext w:val="0"/>
        <w:keepLines w:val="0"/>
        <w:pageBreakBefore w:val="0"/>
        <w:kinsoku/>
        <w:topLinePunct w:val="0"/>
        <w:bidi w:val="0"/>
        <w:spacing w:line="400" w:lineRule="exact"/>
        <w:ind w:left="42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（6）拒绝有关部门监督检查或提供虚假情况的。</w:t>
      </w:r>
    </w:p>
    <w:p w14:paraId="5EA3254F">
      <w:pPr>
        <w:pStyle w:val="28"/>
        <w:keepNext w:val="0"/>
        <w:keepLines w:val="0"/>
        <w:pageBreakBefore w:val="0"/>
        <w:kinsoku/>
        <w:topLinePunct w:val="0"/>
        <w:bidi w:val="0"/>
        <w:spacing w:line="400" w:lineRule="exact"/>
        <w:ind w:left="420"/>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11.我方及由本人担任法定代表人的其他机构最近三年内被处罚的违法行为有：</w:t>
      </w:r>
      <w:r>
        <w:rPr>
          <w:rFonts w:hint="eastAsia" w:ascii="宋体" w:hAnsi="宋体" w:eastAsia="宋体" w:cs="宋体"/>
          <w:strike w:val="0"/>
          <w:dstrike w:val="0"/>
          <w:color w:val="auto"/>
          <w:sz w:val="21"/>
          <w:szCs w:val="21"/>
          <w:highlight w:val="none"/>
          <w:u w:val="single"/>
        </w:rPr>
        <w:t xml:space="preserve">    。</w:t>
      </w:r>
    </w:p>
    <w:p w14:paraId="185D0616">
      <w:pPr>
        <w:pStyle w:val="28"/>
        <w:keepNext w:val="0"/>
        <w:keepLines w:val="0"/>
        <w:pageBreakBefore w:val="0"/>
        <w:kinsoku/>
        <w:topLinePunct w:val="0"/>
        <w:bidi w:val="0"/>
        <w:spacing w:line="400" w:lineRule="exact"/>
        <w:ind w:firstLine="42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12.以上事项如有虚假或隐瞒，我方愿意承担一切后果，并不再寻求任何旨在减轻或免除法律责任的辩解。</w:t>
      </w:r>
    </w:p>
    <w:p w14:paraId="2B0B5346">
      <w:pPr>
        <w:pStyle w:val="28"/>
        <w:keepNext w:val="0"/>
        <w:keepLines w:val="0"/>
        <w:pageBreakBefore w:val="0"/>
        <w:kinsoku/>
        <w:topLinePunct w:val="0"/>
        <w:bidi w:val="0"/>
        <w:spacing w:line="400" w:lineRule="exact"/>
        <w:ind w:firstLine="420"/>
        <w:outlineLvl w:val="2"/>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13.与本投标有关的一切正式往来信函请寄：</w:t>
      </w:r>
    </w:p>
    <w:p w14:paraId="11522A7B">
      <w:pPr>
        <w:pStyle w:val="28"/>
        <w:keepNext w:val="0"/>
        <w:keepLines w:val="0"/>
        <w:pageBreakBefore w:val="0"/>
        <w:kinsoku/>
        <w:topLinePunct w:val="0"/>
        <w:bidi w:val="0"/>
        <w:spacing w:line="400" w:lineRule="exact"/>
        <w:ind w:firstLine="42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地址：</w:t>
      </w:r>
      <w:r>
        <w:rPr>
          <w:rFonts w:hint="eastAsia" w:ascii="宋体" w:hAnsi="宋体" w:eastAsia="宋体" w:cs="宋体"/>
          <w:strike w:val="0"/>
          <w:dstrike w:val="0"/>
          <w:color w:val="auto"/>
          <w:sz w:val="21"/>
          <w:szCs w:val="21"/>
          <w:highlight w:val="none"/>
          <w:u w:val="single"/>
        </w:rPr>
        <w:t xml:space="preserve">                       </w:t>
      </w:r>
    </w:p>
    <w:p w14:paraId="0B60E65C">
      <w:pPr>
        <w:pStyle w:val="28"/>
        <w:keepNext w:val="0"/>
        <w:keepLines w:val="0"/>
        <w:pageBreakBefore w:val="0"/>
        <w:kinsoku/>
        <w:topLinePunct w:val="0"/>
        <w:bidi w:val="0"/>
        <w:spacing w:line="400" w:lineRule="exact"/>
        <w:ind w:firstLine="420"/>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联系人：</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联系电话：</w:t>
      </w:r>
      <w:r>
        <w:rPr>
          <w:rFonts w:hint="eastAsia" w:ascii="宋体" w:hAnsi="宋体" w:eastAsia="宋体" w:cs="宋体"/>
          <w:strike w:val="0"/>
          <w:dstrike w:val="0"/>
          <w:color w:val="auto"/>
          <w:sz w:val="21"/>
          <w:szCs w:val="21"/>
          <w:highlight w:val="none"/>
          <w:u w:val="single"/>
        </w:rPr>
        <w:t xml:space="preserve">                     </w:t>
      </w:r>
    </w:p>
    <w:p w14:paraId="3111137A">
      <w:pPr>
        <w:pStyle w:val="28"/>
        <w:keepNext w:val="0"/>
        <w:keepLines w:val="0"/>
        <w:pageBreakBefore w:val="0"/>
        <w:kinsoku/>
        <w:topLinePunct w:val="0"/>
        <w:bidi w:val="0"/>
        <w:spacing w:line="400" w:lineRule="exact"/>
        <w:ind w:firstLine="42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电子邮箱：</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传真：</w:t>
      </w:r>
      <w:r>
        <w:rPr>
          <w:rFonts w:hint="eastAsia" w:ascii="宋体" w:hAnsi="宋体" w:eastAsia="宋体" w:cs="宋体"/>
          <w:strike w:val="0"/>
          <w:dstrike w:val="0"/>
          <w:color w:val="auto"/>
          <w:sz w:val="21"/>
          <w:szCs w:val="21"/>
          <w:highlight w:val="none"/>
          <w:u w:val="single"/>
        </w:rPr>
        <w:t>　　　　　　　　　　　　　</w:t>
      </w:r>
    </w:p>
    <w:p w14:paraId="5AC01CF2">
      <w:pPr>
        <w:pStyle w:val="28"/>
        <w:keepNext w:val="0"/>
        <w:keepLines w:val="0"/>
        <w:pageBreakBefore w:val="0"/>
        <w:kinsoku/>
        <w:topLinePunct w:val="0"/>
        <w:bidi w:val="0"/>
        <w:spacing w:line="400" w:lineRule="exact"/>
        <w:ind w:firstLine="420"/>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邮政编码：</w:t>
      </w:r>
      <w:r>
        <w:rPr>
          <w:rFonts w:hint="eastAsia" w:ascii="宋体" w:hAnsi="宋体" w:eastAsia="宋体" w:cs="宋体"/>
          <w:strike w:val="0"/>
          <w:dstrike w:val="0"/>
          <w:color w:val="auto"/>
          <w:sz w:val="21"/>
          <w:szCs w:val="21"/>
          <w:highlight w:val="none"/>
          <w:u w:val="single"/>
        </w:rPr>
        <w:t xml:space="preserve">                  </w:t>
      </w:r>
    </w:p>
    <w:p w14:paraId="3A476B70">
      <w:pPr>
        <w:pStyle w:val="28"/>
        <w:keepNext w:val="0"/>
        <w:keepLines w:val="0"/>
        <w:pageBreakBefore w:val="0"/>
        <w:kinsoku/>
        <w:topLinePunct w:val="0"/>
        <w:bidi w:val="0"/>
        <w:spacing w:line="400" w:lineRule="exact"/>
        <w:ind w:firstLine="420"/>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开户名称：</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开户银行：</w:t>
      </w:r>
      <w:r>
        <w:rPr>
          <w:rFonts w:hint="eastAsia" w:ascii="宋体" w:hAnsi="宋体" w:eastAsia="宋体" w:cs="宋体"/>
          <w:strike w:val="0"/>
          <w:dstrike w:val="0"/>
          <w:color w:val="auto"/>
          <w:sz w:val="21"/>
          <w:szCs w:val="21"/>
          <w:highlight w:val="none"/>
          <w:u w:val="single"/>
        </w:rPr>
        <w:t xml:space="preserve">                       </w:t>
      </w:r>
    </w:p>
    <w:p w14:paraId="66E13003">
      <w:pPr>
        <w:pStyle w:val="28"/>
        <w:keepNext w:val="0"/>
        <w:keepLines w:val="0"/>
        <w:pageBreakBefore w:val="0"/>
        <w:kinsoku/>
        <w:topLinePunct w:val="0"/>
        <w:bidi w:val="0"/>
        <w:spacing w:line="400" w:lineRule="exact"/>
        <w:ind w:firstLine="420"/>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银行账号：</w:t>
      </w:r>
      <w:r>
        <w:rPr>
          <w:rFonts w:hint="eastAsia" w:ascii="宋体" w:hAnsi="宋体" w:eastAsia="宋体" w:cs="宋体"/>
          <w:strike w:val="0"/>
          <w:dstrike w:val="0"/>
          <w:color w:val="auto"/>
          <w:sz w:val="21"/>
          <w:szCs w:val="21"/>
          <w:highlight w:val="none"/>
          <w:u w:val="single"/>
        </w:rPr>
        <w:t xml:space="preserve">                  </w:t>
      </w:r>
    </w:p>
    <w:p w14:paraId="44F33161">
      <w:pPr>
        <w:keepNext w:val="0"/>
        <w:keepLines w:val="0"/>
        <w:pageBreakBefore w:val="0"/>
        <w:kinsoku/>
        <w:topLinePunct w:val="0"/>
        <w:bidi w:val="0"/>
        <w:spacing w:line="400" w:lineRule="exact"/>
        <w:ind w:firstLine="420" w:firstLineChars="200"/>
        <w:contextualSpacing/>
        <w:rPr>
          <w:rFonts w:hint="eastAsia" w:ascii="宋体" w:hAnsi="宋体" w:eastAsia="宋体" w:cs="宋体"/>
          <w:strike w:val="0"/>
          <w:dstrike w:val="0"/>
          <w:color w:val="auto"/>
          <w:sz w:val="21"/>
          <w:szCs w:val="21"/>
          <w:highlight w:val="none"/>
        </w:rPr>
      </w:pPr>
    </w:p>
    <w:p w14:paraId="15E56B17">
      <w:pPr>
        <w:keepNext w:val="0"/>
        <w:keepLines w:val="0"/>
        <w:pageBreakBefore w:val="0"/>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投标人名称（电子签章）：</w:t>
      </w:r>
    </w:p>
    <w:p w14:paraId="0A2D1A69">
      <w:pPr>
        <w:keepNext w:val="0"/>
        <w:keepLines w:val="0"/>
        <w:pageBreakBefore w:val="0"/>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  年  月  日</w:t>
      </w:r>
    </w:p>
    <w:p w14:paraId="755678D9">
      <w:pPr>
        <w:keepNext w:val="0"/>
        <w:keepLines w:val="0"/>
        <w:pageBreakBefore w:val="0"/>
        <w:kinsoku/>
        <w:topLinePunct w:val="0"/>
        <w:bidi w:val="0"/>
        <w:snapToGrid w:val="0"/>
        <w:spacing w:beforeLines="50" w:after="50" w:line="400" w:lineRule="exact"/>
        <w:jc w:val="left"/>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u w:val="single"/>
        </w:rPr>
        <w:br w:type="page"/>
      </w:r>
      <w:r>
        <w:rPr>
          <w:rFonts w:hint="eastAsia" w:ascii="宋体" w:hAnsi="宋体" w:eastAsia="宋体" w:cs="宋体"/>
          <w:b/>
          <w:strike w:val="0"/>
          <w:dstrike w:val="0"/>
          <w:color w:val="auto"/>
          <w:sz w:val="21"/>
          <w:szCs w:val="21"/>
          <w:highlight w:val="none"/>
        </w:rPr>
        <w:t>4.开标一览表</w:t>
      </w:r>
    </w:p>
    <w:p w14:paraId="7F0B12C5">
      <w:pPr>
        <w:keepNext w:val="0"/>
        <w:keepLines w:val="0"/>
        <w:pageBreakBefore w:val="0"/>
        <w:kinsoku/>
        <w:topLinePunct w:val="0"/>
        <w:bidi w:val="0"/>
        <w:snapToGrid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开标一览表</w:t>
      </w:r>
    </w:p>
    <w:p w14:paraId="4AFEB30D">
      <w:pPr>
        <w:keepNext w:val="0"/>
        <w:keepLines w:val="0"/>
        <w:pageBreakBefore w:val="0"/>
        <w:kinsoku/>
        <w:topLinePunct w:val="0"/>
        <w:bidi w:val="0"/>
        <w:snapToGrid w:val="0"/>
        <w:spacing w:line="400" w:lineRule="exact"/>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项目名称：</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 xml:space="preserve">         项目编号：</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 xml:space="preserve">       </w:t>
      </w:r>
    </w:p>
    <w:p w14:paraId="0F9AAF69">
      <w:pPr>
        <w:keepNext w:val="0"/>
        <w:keepLines w:val="0"/>
        <w:pageBreakBefore w:val="0"/>
        <w:kinsoku/>
        <w:topLinePunct w:val="0"/>
        <w:bidi w:val="0"/>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投标人名称：</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 xml:space="preserve">   </w:t>
      </w:r>
    </w:p>
    <w:p w14:paraId="7B54166C">
      <w:pPr>
        <w:pStyle w:val="21"/>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tbl>
      <w:tblPr>
        <w:tblStyle w:val="48"/>
        <w:tblW w:w="8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2268"/>
        <w:gridCol w:w="1134"/>
        <w:gridCol w:w="1134"/>
        <w:gridCol w:w="1600"/>
        <w:gridCol w:w="1594"/>
      </w:tblGrid>
      <w:tr w14:paraId="11FCC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638333FB">
            <w:pPr>
              <w:keepNext w:val="0"/>
              <w:keepLines w:val="0"/>
              <w:pageBreakBefore w:val="0"/>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序号</w:t>
            </w:r>
          </w:p>
        </w:tc>
        <w:tc>
          <w:tcPr>
            <w:tcW w:w="2268" w:type="dxa"/>
            <w:tcBorders>
              <w:top w:val="single" w:color="auto" w:sz="4" w:space="0"/>
              <w:left w:val="single" w:color="auto" w:sz="4" w:space="0"/>
              <w:bottom w:val="single" w:color="auto" w:sz="4" w:space="0"/>
              <w:right w:val="single" w:color="auto" w:sz="4" w:space="0"/>
            </w:tcBorders>
            <w:vAlign w:val="center"/>
          </w:tcPr>
          <w:p w14:paraId="1F14D60B">
            <w:pPr>
              <w:keepNext w:val="0"/>
              <w:keepLines w:val="0"/>
              <w:pageBreakBefore w:val="0"/>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标的名称</w:t>
            </w:r>
          </w:p>
        </w:tc>
        <w:tc>
          <w:tcPr>
            <w:tcW w:w="1134" w:type="dxa"/>
            <w:tcBorders>
              <w:top w:val="single" w:color="auto" w:sz="4" w:space="0"/>
              <w:left w:val="single" w:color="auto" w:sz="4" w:space="0"/>
              <w:bottom w:val="single" w:color="auto" w:sz="4" w:space="0"/>
              <w:right w:val="single" w:color="auto" w:sz="4" w:space="0"/>
            </w:tcBorders>
            <w:vAlign w:val="center"/>
          </w:tcPr>
          <w:p w14:paraId="49A29D08">
            <w:pPr>
              <w:keepNext w:val="0"/>
              <w:keepLines w:val="0"/>
              <w:pageBreakBefore w:val="0"/>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数量</w:t>
            </w:r>
          </w:p>
        </w:tc>
        <w:tc>
          <w:tcPr>
            <w:tcW w:w="1134" w:type="dxa"/>
            <w:tcBorders>
              <w:top w:val="single" w:color="auto" w:sz="4" w:space="0"/>
              <w:left w:val="single" w:color="auto" w:sz="4" w:space="0"/>
              <w:bottom w:val="single" w:color="auto" w:sz="4" w:space="0"/>
              <w:right w:val="single" w:color="auto" w:sz="4" w:space="0"/>
            </w:tcBorders>
            <w:vAlign w:val="center"/>
          </w:tcPr>
          <w:p w14:paraId="06E70443">
            <w:pPr>
              <w:keepNext w:val="0"/>
              <w:keepLines w:val="0"/>
              <w:pageBreakBefore w:val="0"/>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单位</w:t>
            </w:r>
          </w:p>
        </w:tc>
        <w:tc>
          <w:tcPr>
            <w:tcW w:w="1600" w:type="dxa"/>
            <w:tcBorders>
              <w:top w:val="single" w:color="auto" w:sz="4" w:space="0"/>
              <w:left w:val="single" w:color="auto" w:sz="4" w:space="0"/>
              <w:bottom w:val="single" w:color="auto" w:sz="4" w:space="0"/>
              <w:right w:val="single" w:color="auto" w:sz="4" w:space="0"/>
            </w:tcBorders>
            <w:vAlign w:val="center"/>
          </w:tcPr>
          <w:p w14:paraId="3AE7AA85">
            <w:pPr>
              <w:keepNext w:val="0"/>
              <w:keepLines w:val="0"/>
              <w:pageBreakBefore w:val="0"/>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单价（元）</w:t>
            </w:r>
          </w:p>
        </w:tc>
        <w:tc>
          <w:tcPr>
            <w:tcW w:w="1594" w:type="dxa"/>
            <w:tcBorders>
              <w:top w:val="single" w:color="auto" w:sz="4" w:space="0"/>
              <w:left w:val="single" w:color="auto" w:sz="4" w:space="0"/>
              <w:bottom w:val="single" w:color="auto" w:sz="4" w:space="0"/>
              <w:right w:val="single" w:color="auto" w:sz="4" w:space="0"/>
            </w:tcBorders>
            <w:vAlign w:val="center"/>
          </w:tcPr>
          <w:p w14:paraId="46145DC4">
            <w:pPr>
              <w:keepNext w:val="0"/>
              <w:keepLines w:val="0"/>
              <w:pageBreakBefore w:val="0"/>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总价（元）</w:t>
            </w:r>
          </w:p>
        </w:tc>
      </w:tr>
      <w:tr w14:paraId="1CF5F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0EDB8004">
            <w:pPr>
              <w:keepNext w:val="0"/>
              <w:keepLines w:val="0"/>
              <w:pageBreakBefore w:val="0"/>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w:t>
            </w:r>
          </w:p>
        </w:tc>
        <w:tc>
          <w:tcPr>
            <w:tcW w:w="2268" w:type="dxa"/>
            <w:tcBorders>
              <w:top w:val="single" w:color="auto" w:sz="4" w:space="0"/>
              <w:left w:val="single" w:color="auto" w:sz="4" w:space="0"/>
              <w:bottom w:val="single" w:color="auto" w:sz="4" w:space="0"/>
              <w:right w:val="single" w:color="auto" w:sz="4" w:space="0"/>
            </w:tcBorders>
            <w:vAlign w:val="center"/>
          </w:tcPr>
          <w:p w14:paraId="510F2439">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4D884BC">
            <w:pPr>
              <w:keepNext w:val="0"/>
              <w:keepLines w:val="0"/>
              <w:pageBreakBefore w:val="0"/>
              <w:kinsoku/>
              <w:topLinePunct w:val="0"/>
              <w:bidi w:val="0"/>
              <w:spacing w:line="400" w:lineRule="exact"/>
              <w:jc w:val="center"/>
              <w:rPr>
                <w:rFonts w:hint="eastAsia" w:ascii="宋体" w:hAnsi="宋体" w:eastAsia="宋体" w:cs="宋体"/>
                <w:strike w:val="0"/>
                <w:dstrike w:val="0"/>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4C49871">
            <w:pPr>
              <w:keepNext w:val="0"/>
              <w:keepLines w:val="0"/>
              <w:pageBreakBefore w:val="0"/>
              <w:kinsoku/>
              <w:topLinePunct w:val="0"/>
              <w:bidi w:val="0"/>
              <w:spacing w:line="400" w:lineRule="exact"/>
              <w:jc w:val="center"/>
              <w:rPr>
                <w:rFonts w:hint="eastAsia" w:ascii="宋体" w:hAnsi="宋体" w:eastAsia="宋体" w:cs="宋体"/>
                <w:strike w:val="0"/>
                <w:dstrike w:val="0"/>
                <w:color w:val="auto"/>
                <w:sz w:val="21"/>
                <w:szCs w:val="21"/>
                <w:highlight w:val="none"/>
              </w:rPr>
            </w:pPr>
          </w:p>
        </w:tc>
        <w:tc>
          <w:tcPr>
            <w:tcW w:w="1600" w:type="dxa"/>
            <w:tcBorders>
              <w:top w:val="single" w:color="auto" w:sz="4" w:space="0"/>
              <w:left w:val="single" w:color="auto" w:sz="4" w:space="0"/>
              <w:bottom w:val="single" w:color="auto" w:sz="4" w:space="0"/>
              <w:right w:val="single" w:color="auto" w:sz="4" w:space="0"/>
            </w:tcBorders>
            <w:vAlign w:val="center"/>
          </w:tcPr>
          <w:p w14:paraId="7E0C9147">
            <w:pPr>
              <w:keepNext w:val="0"/>
              <w:keepLines w:val="0"/>
              <w:pageBreakBefore w:val="0"/>
              <w:kinsoku/>
              <w:topLinePunct w:val="0"/>
              <w:bidi w:val="0"/>
              <w:spacing w:line="400" w:lineRule="exact"/>
              <w:jc w:val="center"/>
              <w:rPr>
                <w:rFonts w:hint="eastAsia" w:ascii="宋体" w:hAnsi="宋体" w:eastAsia="宋体" w:cs="宋体"/>
                <w:strike w:val="0"/>
                <w:dstrike w:val="0"/>
                <w:color w:val="auto"/>
                <w:sz w:val="21"/>
                <w:szCs w:val="21"/>
                <w:highlight w:val="none"/>
              </w:rPr>
            </w:pPr>
          </w:p>
        </w:tc>
        <w:tc>
          <w:tcPr>
            <w:tcW w:w="1594" w:type="dxa"/>
            <w:tcBorders>
              <w:top w:val="single" w:color="auto" w:sz="4" w:space="0"/>
              <w:left w:val="single" w:color="auto" w:sz="4" w:space="0"/>
              <w:bottom w:val="single" w:color="auto" w:sz="4" w:space="0"/>
              <w:right w:val="single" w:color="auto" w:sz="4" w:space="0"/>
            </w:tcBorders>
            <w:vAlign w:val="center"/>
          </w:tcPr>
          <w:p w14:paraId="25CC8146">
            <w:pPr>
              <w:keepNext w:val="0"/>
              <w:keepLines w:val="0"/>
              <w:pageBreakBefore w:val="0"/>
              <w:kinsoku/>
              <w:topLinePunct w:val="0"/>
              <w:bidi w:val="0"/>
              <w:spacing w:line="400" w:lineRule="exact"/>
              <w:jc w:val="center"/>
              <w:rPr>
                <w:rFonts w:hint="eastAsia" w:ascii="宋体" w:hAnsi="宋体" w:eastAsia="宋体" w:cs="宋体"/>
                <w:strike w:val="0"/>
                <w:dstrike w:val="0"/>
                <w:color w:val="auto"/>
                <w:sz w:val="21"/>
                <w:szCs w:val="21"/>
                <w:highlight w:val="none"/>
              </w:rPr>
            </w:pPr>
          </w:p>
        </w:tc>
      </w:tr>
      <w:tr w14:paraId="6E4E2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6F352EA5">
            <w:pPr>
              <w:keepNext w:val="0"/>
              <w:keepLines w:val="0"/>
              <w:pageBreakBefore w:val="0"/>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w:t>
            </w:r>
          </w:p>
        </w:tc>
        <w:tc>
          <w:tcPr>
            <w:tcW w:w="2268" w:type="dxa"/>
            <w:tcBorders>
              <w:top w:val="single" w:color="auto" w:sz="4" w:space="0"/>
              <w:left w:val="single" w:color="auto" w:sz="4" w:space="0"/>
              <w:bottom w:val="single" w:color="auto" w:sz="4" w:space="0"/>
              <w:right w:val="single" w:color="auto" w:sz="4" w:space="0"/>
            </w:tcBorders>
            <w:vAlign w:val="center"/>
          </w:tcPr>
          <w:p w14:paraId="6482F19E">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C34B237">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63C7602">
            <w:pPr>
              <w:keepNext w:val="0"/>
              <w:keepLines w:val="0"/>
              <w:pageBreakBefore w:val="0"/>
              <w:kinsoku/>
              <w:topLinePunct w:val="0"/>
              <w:bidi w:val="0"/>
              <w:spacing w:line="400" w:lineRule="exact"/>
              <w:jc w:val="center"/>
              <w:rPr>
                <w:rFonts w:hint="eastAsia" w:ascii="宋体" w:hAnsi="宋体" w:eastAsia="宋体" w:cs="宋体"/>
                <w:strike w:val="0"/>
                <w:dstrike w:val="0"/>
                <w:color w:val="auto"/>
                <w:sz w:val="21"/>
                <w:szCs w:val="21"/>
                <w:highlight w:val="none"/>
              </w:rPr>
            </w:pPr>
          </w:p>
        </w:tc>
        <w:tc>
          <w:tcPr>
            <w:tcW w:w="1600" w:type="dxa"/>
            <w:tcBorders>
              <w:top w:val="single" w:color="auto" w:sz="4" w:space="0"/>
              <w:left w:val="single" w:color="auto" w:sz="4" w:space="0"/>
              <w:bottom w:val="single" w:color="auto" w:sz="4" w:space="0"/>
              <w:right w:val="single" w:color="auto" w:sz="4" w:space="0"/>
            </w:tcBorders>
            <w:vAlign w:val="center"/>
          </w:tcPr>
          <w:p w14:paraId="082448CB">
            <w:pPr>
              <w:keepNext w:val="0"/>
              <w:keepLines w:val="0"/>
              <w:pageBreakBefore w:val="0"/>
              <w:kinsoku/>
              <w:topLinePunct w:val="0"/>
              <w:bidi w:val="0"/>
              <w:spacing w:line="400" w:lineRule="exact"/>
              <w:jc w:val="center"/>
              <w:rPr>
                <w:rFonts w:hint="eastAsia" w:ascii="宋体" w:hAnsi="宋体" w:eastAsia="宋体" w:cs="宋体"/>
                <w:strike w:val="0"/>
                <w:dstrike w:val="0"/>
                <w:color w:val="auto"/>
                <w:sz w:val="21"/>
                <w:szCs w:val="21"/>
                <w:highlight w:val="none"/>
              </w:rPr>
            </w:pPr>
          </w:p>
        </w:tc>
        <w:tc>
          <w:tcPr>
            <w:tcW w:w="1594" w:type="dxa"/>
            <w:tcBorders>
              <w:top w:val="single" w:color="auto" w:sz="4" w:space="0"/>
              <w:left w:val="single" w:color="auto" w:sz="4" w:space="0"/>
              <w:bottom w:val="single" w:color="auto" w:sz="4" w:space="0"/>
              <w:right w:val="single" w:color="auto" w:sz="4" w:space="0"/>
            </w:tcBorders>
            <w:vAlign w:val="center"/>
          </w:tcPr>
          <w:p w14:paraId="31AF5CD0">
            <w:pPr>
              <w:keepNext w:val="0"/>
              <w:keepLines w:val="0"/>
              <w:pageBreakBefore w:val="0"/>
              <w:kinsoku/>
              <w:topLinePunct w:val="0"/>
              <w:bidi w:val="0"/>
              <w:spacing w:line="400" w:lineRule="exact"/>
              <w:jc w:val="center"/>
              <w:rPr>
                <w:rFonts w:hint="eastAsia" w:ascii="宋体" w:hAnsi="宋体" w:eastAsia="宋体" w:cs="宋体"/>
                <w:strike w:val="0"/>
                <w:dstrike w:val="0"/>
                <w:color w:val="auto"/>
                <w:sz w:val="21"/>
                <w:szCs w:val="21"/>
                <w:highlight w:val="none"/>
              </w:rPr>
            </w:pPr>
          </w:p>
        </w:tc>
      </w:tr>
      <w:tr w14:paraId="71009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325A57F5">
            <w:pPr>
              <w:keepNext w:val="0"/>
              <w:keepLines w:val="0"/>
              <w:pageBreakBefore w:val="0"/>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2268" w:type="dxa"/>
            <w:tcBorders>
              <w:top w:val="single" w:color="auto" w:sz="4" w:space="0"/>
              <w:left w:val="single" w:color="auto" w:sz="4" w:space="0"/>
              <w:bottom w:val="single" w:color="auto" w:sz="4" w:space="0"/>
              <w:right w:val="single" w:color="auto" w:sz="4" w:space="0"/>
            </w:tcBorders>
            <w:vAlign w:val="center"/>
          </w:tcPr>
          <w:p w14:paraId="19C8B78C">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1134" w:type="dxa"/>
            <w:tcBorders>
              <w:top w:val="single" w:color="auto" w:sz="4" w:space="0"/>
              <w:left w:val="single" w:color="auto" w:sz="4" w:space="0"/>
              <w:bottom w:val="single" w:color="auto" w:sz="4" w:space="0"/>
              <w:right w:val="single" w:color="auto" w:sz="4" w:space="0"/>
            </w:tcBorders>
            <w:vAlign w:val="center"/>
          </w:tcPr>
          <w:p w14:paraId="21375362">
            <w:pPr>
              <w:keepNext w:val="0"/>
              <w:keepLines w:val="0"/>
              <w:pageBreakBefore w:val="0"/>
              <w:widowControl/>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1134" w:type="dxa"/>
            <w:tcBorders>
              <w:top w:val="single" w:color="auto" w:sz="4" w:space="0"/>
              <w:left w:val="single" w:color="auto" w:sz="4" w:space="0"/>
              <w:bottom w:val="single" w:color="auto" w:sz="4" w:space="0"/>
              <w:right w:val="single" w:color="auto" w:sz="4" w:space="0"/>
            </w:tcBorders>
            <w:vAlign w:val="center"/>
          </w:tcPr>
          <w:p w14:paraId="6AAD46F8">
            <w:pPr>
              <w:keepNext w:val="0"/>
              <w:keepLines w:val="0"/>
              <w:pageBreakBefore w:val="0"/>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1600" w:type="dxa"/>
            <w:tcBorders>
              <w:top w:val="single" w:color="auto" w:sz="4" w:space="0"/>
              <w:left w:val="single" w:color="auto" w:sz="4" w:space="0"/>
              <w:bottom w:val="single" w:color="auto" w:sz="4" w:space="0"/>
              <w:right w:val="single" w:color="auto" w:sz="4" w:space="0"/>
            </w:tcBorders>
            <w:vAlign w:val="center"/>
          </w:tcPr>
          <w:p w14:paraId="51232B16">
            <w:pPr>
              <w:keepNext w:val="0"/>
              <w:keepLines w:val="0"/>
              <w:pageBreakBefore w:val="0"/>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1594" w:type="dxa"/>
            <w:tcBorders>
              <w:top w:val="single" w:color="auto" w:sz="4" w:space="0"/>
              <w:left w:val="single" w:color="auto" w:sz="4" w:space="0"/>
              <w:bottom w:val="single" w:color="auto" w:sz="4" w:space="0"/>
              <w:right w:val="single" w:color="auto" w:sz="4" w:space="0"/>
            </w:tcBorders>
            <w:vAlign w:val="center"/>
          </w:tcPr>
          <w:p w14:paraId="55F442E0">
            <w:pPr>
              <w:keepNext w:val="0"/>
              <w:keepLines w:val="0"/>
              <w:pageBreakBefore w:val="0"/>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r>
      <w:tr w14:paraId="02FE4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8562" w:type="dxa"/>
            <w:gridSpan w:val="6"/>
            <w:tcBorders>
              <w:top w:val="single" w:color="auto" w:sz="4" w:space="0"/>
              <w:left w:val="single" w:color="auto" w:sz="4" w:space="0"/>
              <w:bottom w:val="single" w:color="auto" w:sz="4" w:space="0"/>
              <w:right w:val="single" w:color="auto" w:sz="4" w:space="0"/>
            </w:tcBorders>
            <w:vAlign w:val="center"/>
          </w:tcPr>
          <w:p w14:paraId="0424F740">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报价合计（包含税费等所有费用）（大写）：             （￥               元）</w:t>
            </w:r>
          </w:p>
        </w:tc>
      </w:tr>
      <w:tr w14:paraId="3A1D3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8562" w:type="dxa"/>
            <w:gridSpan w:val="6"/>
            <w:tcBorders>
              <w:top w:val="single" w:color="auto" w:sz="4" w:space="0"/>
              <w:left w:val="single" w:color="auto" w:sz="4" w:space="0"/>
              <w:bottom w:val="single" w:color="auto" w:sz="4" w:space="0"/>
              <w:right w:val="single" w:color="auto" w:sz="4" w:space="0"/>
            </w:tcBorders>
            <w:vAlign w:val="center"/>
          </w:tcPr>
          <w:p w14:paraId="50888A6C">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u w:val="none"/>
                <w:lang w:val="en-US" w:eastAsia="zh-CN"/>
              </w:rPr>
              <w:t>分包</w:t>
            </w:r>
            <w:r>
              <w:rPr>
                <w:rFonts w:hint="eastAsia" w:ascii="宋体" w:hAnsi="宋体" w:eastAsia="宋体" w:cs="宋体"/>
                <w:strike w:val="0"/>
                <w:dstrike w:val="0"/>
                <w:color w:val="auto"/>
                <w:sz w:val="21"/>
                <w:szCs w:val="21"/>
                <w:highlight w:val="none"/>
                <w:u w:val="single"/>
              </w:rPr>
              <w:t>　   　</w:t>
            </w:r>
            <w:r>
              <w:rPr>
                <w:rFonts w:hint="eastAsia" w:ascii="宋体" w:hAnsi="宋体" w:eastAsia="宋体" w:cs="宋体"/>
                <w:strike w:val="0"/>
                <w:dstrike w:val="0"/>
                <w:color w:val="auto"/>
                <w:sz w:val="21"/>
                <w:szCs w:val="21"/>
                <w:highlight w:val="none"/>
              </w:rPr>
              <w:t>（此处有</w:t>
            </w:r>
            <w:r>
              <w:rPr>
                <w:rFonts w:hint="eastAsia" w:ascii="宋体" w:hAnsi="宋体" w:eastAsia="宋体" w:cs="宋体"/>
                <w:strike w:val="0"/>
                <w:dstrike w:val="0"/>
                <w:color w:val="auto"/>
                <w:sz w:val="21"/>
                <w:szCs w:val="21"/>
                <w:highlight w:val="none"/>
                <w:lang w:eastAsia="zh-CN"/>
              </w:rPr>
              <w:t>分</w:t>
            </w:r>
            <w:r>
              <w:rPr>
                <w:rFonts w:hint="eastAsia" w:ascii="宋体" w:hAnsi="宋体" w:eastAsia="宋体" w:cs="宋体"/>
                <w:strike w:val="0"/>
                <w:dstrike w:val="0"/>
                <w:color w:val="auto"/>
                <w:sz w:val="21"/>
                <w:szCs w:val="21"/>
                <w:highlight w:val="none"/>
                <w:lang w:val="en-US" w:eastAsia="zh-CN"/>
              </w:rPr>
              <w:t>包</w:t>
            </w:r>
            <w:r>
              <w:rPr>
                <w:rFonts w:hint="eastAsia" w:ascii="宋体" w:hAnsi="宋体" w:eastAsia="宋体" w:cs="宋体"/>
                <w:strike w:val="0"/>
                <w:dstrike w:val="0"/>
                <w:color w:val="auto"/>
                <w:sz w:val="21"/>
                <w:szCs w:val="21"/>
                <w:highlight w:val="none"/>
              </w:rPr>
              <w:t>时填写具体</w:t>
            </w:r>
            <w:r>
              <w:rPr>
                <w:rFonts w:hint="eastAsia" w:ascii="宋体" w:hAnsi="宋体" w:eastAsia="宋体" w:cs="宋体"/>
                <w:strike w:val="0"/>
                <w:dstrike w:val="0"/>
                <w:color w:val="auto"/>
                <w:sz w:val="21"/>
                <w:szCs w:val="21"/>
                <w:highlight w:val="none"/>
                <w:lang w:eastAsia="zh-CN"/>
              </w:rPr>
              <w:t>分</w:t>
            </w:r>
            <w:r>
              <w:rPr>
                <w:rFonts w:hint="eastAsia" w:ascii="宋体" w:hAnsi="宋体" w:eastAsia="宋体" w:cs="宋体"/>
                <w:strike w:val="0"/>
                <w:dstrike w:val="0"/>
                <w:color w:val="auto"/>
                <w:sz w:val="21"/>
                <w:szCs w:val="21"/>
                <w:highlight w:val="none"/>
                <w:lang w:val="en-US" w:eastAsia="zh-CN"/>
              </w:rPr>
              <w:t>包</w:t>
            </w:r>
            <w:r>
              <w:rPr>
                <w:rFonts w:hint="eastAsia" w:ascii="宋体" w:hAnsi="宋体" w:eastAsia="宋体" w:cs="宋体"/>
                <w:strike w:val="0"/>
                <w:dstrike w:val="0"/>
                <w:color w:val="auto"/>
                <w:sz w:val="21"/>
                <w:szCs w:val="21"/>
                <w:highlight w:val="none"/>
              </w:rPr>
              <w:t>号，无</w:t>
            </w:r>
            <w:r>
              <w:rPr>
                <w:rFonts w:hint="eastAsia" w:ascii="宋体" w:hAnsi="宋体" w:eastAsia="宋体" w:cs="宋体"/>
                <w:strike w:val="0"/>
                <w:dstrike w:val="0"/>
                <w:color w:val="auto"/>
                <w:sz w:val="21"/>
                <w:szCs w:val="21"/>
                <w:highlight w:val="none"/>
                <w:lang w:eastAsia="zh-CN"/>
              </w:rPr>
              <w:t>分</w:t>
            </w:r>
            <w:r>
              <w:rPr>
                <w:rFonts w:hint="eastAsia" w:ascii="宋体" w:hAnsi="宋体" w:eastAsia="宋体" w:cs="宋体"/>
                <w:strike w:val="0"/>
                <w:dstrike w:val="0"/>
                <w:color w:val="auto"/>
                <w:sz w:val="21"/>
                <w:szCs w:val="21"/>
                <w:highlight w:val="none"/>
                <w:lang w:val="en-US" w:eastAsia="zh-CN"/>
              </w:rPr>
              <w:t>包</w:t>
            </w:r>
            <w:r>
              <w:rPr>
                <w:rFonts w:hint="eastAsia" w:ascii="宋体" w:hAnsi="宋体" w:eastAsia="宋体" w:cs="宋体"/>
                <w:strike w:val="0"/>
                <w:dstrike w:val="0"/>
                <w:color w:val="auto"/>
                <w:sz w:val="21"/>
                <w:szCs w:val="21"/>
                <w:highlight w:val="none"/>
              </w:rPr>
              <w:t>时填写“无”）</w:t>
            </w:r>
          </w:p>
        </w:tc>
      </w:tr>
      <w:tr w14:paraId="7756C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8562" w:type="dxa"/>
            <w:gridSpan w:val="6"/>
            <w:tcBorders>
              <w:top w:val="single" w:color="auto" w:sz="4" w:space="0"/>
              <w:left w:val="single" w:color="auto" w:sz="4" w:space="0"/>
              <w:bottom w:val="single" w:color="auto" w:sz="4" w:space="0"/>
              <w:right w:val="single" w:color="auto" w:sz="4" w:space="0"/>
            </w:tcBorders>
            <w:vAlign w:val="center"/>
          </w:tcPr>
          <w:p w14:paraId="495A485E">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提交服务成果时间：</w:t>
            </w:r>
          </w:p>
        </w:tc>
      </w:tr>
      <w:tr w14:paraId="15A52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8562" w:type="dxa"/>
            <w:gridSpan w:val="6"/>
            <w:tcBorders>
              <w:top w:val="single" w:color="auto" w:sz="4" w:space="0"/>
              <w:left w:val="single" w:color="auto" w:sz="4" w:space="0"/>
              <w:bottom w:val="single" w:color="auto" w:sz="4" w:space="0"/>
              <w:right w:val="single" w:color="auto" w:sz="4" w:space="0"/>
            </w:tcBorders>
            <w:vAlign w:val="center"/>
          </w:tcPr>
          <w:p w14:paraId="6DDCAAB1">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提交服务成果地点：</w:t>
            </w:r>
          </w:p>
        </w:tc>
      </w:tr>
    </w:tbl>
    <w:p w14:paraId="5645EC46">
      <w:pPr>
        <w:keepNext w:val="0"/>
        <w:keepLines w:val="0"/>
        <w:pageBreakBefore w:val="0"/>
        <w:kinsoku/>
        <w:topLinePunct w:val="0"/>
        <w:bidi w:val="0"/>
        <w:snapToGrid w:val="0"/>
        <w:spacing w:line="400" w:lineRule="exact"/>
        <w:jc w:val="left"/>
        <w:rPr>
          <w:rFonts w:hint="eastAsia" w:ascii="宋体" w:hAnsi="宋体" w:eastAsia="宋体" w:cs="宋体"/>
          <w:strike w:val="0"/>
          <w:dstrike w:val="0"/>
          <w:color w:val="auto"/>
          <w:kern w:val="0"/>
          <w:sz w:val="21"/>
          <w:szCs w:val="21"/>
          <w:highlight w:val="none"/>
          <w:lang w:val="zh-CN"/>
        </w:rPr>
      </w:pPr>
      <w:r>
        <w:rPr>
          <w:rFonts w:hint="eastAsia" w:ascii="宋体" w:hAnsi="宋体" w:eastAsia="宋体" w:cs="宋体"/>
          <w:strike w:val="0"/>
          <w:dstrike w:val="0"/>
          <w:color w:val="auto"/>
          <w:kern w:val="0"/>
          <w:sz w:val="21"/>
          <w:szCs w:val="21"/>
          <w:highlight w:val="none"/>
          <w:lang w:val="zh-CN"/>
        </w:rPr>
        <w:t>注：</w:t>
      </w:r>
    </w:p>
    <w:p w14:paraId="7B93CBF0">
      <w:pPr>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kern w:val="0"/>
          <w:sz w:val="21"/>
          <w:szCs w:val="21"/>
          <w:highlight w:val="none"/>
          <w:lang w:val="zh-CN"/>
        </w:rPr>
      </w:pPr>
      <w:r>
        <w:rPr>
          <w:rFonts w:hint="eastAsia" w:ascii="宋体" w:hAnsi="宋体" w:eastAsia="宋体" w:cs="宋体"/>
          <w:strike w:val="0"/>
          <w:dstrike w:val="0"/>
          <w:color w:val="auto"/>
          <w:kern w:val="0"/>
          <w:sz w:val="21"/>
          <w:szCs w:val="21"/>
          <w:highlight w:val="none"/>
          <w:lang w:val="zh-CN"/>
        </w:rPr>
        <w:t>1.投标人需按本表格式填写，不得自行更改，也不得留空， 如有多</w:t>
      </w:r>
      <w:r>
        <w:rPr>
          <w:rFonts w:hint="eastAsia" w:ascii="宋体" w:hAnsi="宋体" w:eastAsia="宋体" w:cs="宋体"/>
          <w:strike w:val="0"/>
          <w:dstrike w:val="0"/>
          <w:color w:val="auto"/>
          <w:sz w:val="21"/>
          <w:szCs w:val="21"/>
          <w:highlight w:val="none"/>
          <w:lang w:eastAsia="zh-CN"/>
        </w:rPr>
        <w:t>分</w:t>
      </w:r>
      <w:r>
        <w:rPr>
          <w:rFonts w:hint="eastAsia" w:ascii="宋体" w:hAnsi="宋体" w:eastAsia="宋体" w:cs="宋体"/>
          <w:strike w:val="0"/>
          <w:dstrike w:val="0"/>
          <w:color w:val="auto"/>
          <w:sz w:val="21"/>
          <w:szCs w:val="21"/>
          <w:highlight w:val="none"/>
          <w:lang w:val="en-US" w:eastAsia="zh-CN"/>
        </w:rPr>
        <w:t>包</w:t>
      </w:r>
      <w:r>
        <w:rPr>
          <w:rFonts w:hint="eastAsia" w:ascii="宋体" w:hAnsi="宋体" w:eastAsia="宋体" w:cs="宋体"/>
          <w:strike w:val="0"/>
          <w:dstrike w:val="0"/>
          <w:color w:val="auto"/>
          <w:kern w:val="0"/>
          <w:sz w:val="21"/>
          <w:szCs w:val="21"/>
          <w:highlight w:val="none"/>
          <w:lang w:val="zh-CN"/>
        </w:rPr>
        <w:t>，按</w:t>
      </w:r>
      <w:r>
        <w:rPr>
          <w:rFonts w:hint="eastAsia" w:ascii="宋体" w:hAnsi="宋体" w:eastAsia="宋体" w:cs="宋体"/>
          <w:strike w:val="0"/>
          <w:dstrike w:val="0"/>
          <w:color w:val="auto"/>
          <w:sz w:val="21"/>
          <w:szCs w:val="21"/>
          <w:highlight w:val="none"/>
          <w:lang w:eastAsia="zh-CN"/>
        </w:rPr>
        <w:t>分</w:t>
      </w:r>
      <w:r>
        <w:rPr>
          <w:rFonts w:hint="eastAsia" w:ascii="宋体" w:hAnsi="宋体" w:eastAsia="宋体" w:cs="宋体"/>
          <w:strike w:val="0"/>
          <w:dstrike w:val="0"/>
          <w:color w:val="auto"/>
          <w:sz w:val="21"/>
          <w:szCs w:val="21"/>
          <w:highlight w:val="none"/>
          <w:lang w:val="en-US" w:eastAsia="zh-CN"/>
        </w:rPr>
        <w:t>包</w:t>
      </w:r>
      <w:r>
        <w:rPr>
          <w:rFonts w:hint="eastAsia" w:ascii="宋体" w:hAnsi="宋体" w:eastAsia="宋体" w:cs="宋体"/>
          <w:strike w:val="0"/>
          <w:dstrike w:val="0"/>
          <w:color w:val="auto"/>
          <w:kern w:val="0"/>
          <w:sz w:val="21"/>
          <w:szCs w:val="21"/>
          <w:highlight w:val="none"/>
          <w:lang w:val="zh-CN"/>
        </w:rPr>
        <w:t>分别提供开标一览表，必须加盖投标人有效电子</w:t>
      </w:r>
      <w:r>
        <w:rPr>
          <w:rFonts w:hint="eastAsia" w:ascii="宋体" w:hAnsi="宋体" w:eastAsia="宋体" w:cs="宋体"/>
          <w:strike w:val="0"/>
          <w:dstrike w:val="0"/>
          <w:color w:val="auto"/>
          <w:kern w:val="0"/>
          <w:sz w:val="21"/>
          <w:szCs w:val="21"/>
          <w:highlight w:val="none"/>
        </w:rPr>
        <w:t>签章</w:t>
      </w:r>
      <w:r>
        <w:rPr>
          <w:rFonts w:hint="eastAsia" w:ascii="宋体" w:hAnsi="宋体" w:eastAsia="宋体" w:cs="宋体"/>
          <w:strike w:val="0"/>
          <w:dstrike w:val="0"/>
          <w:color w:val="auto"/>
          <w:kern w:val="0"/>
          <w:sz w:val="21"/>
          <w:szCs w:val="21"/>
          <w:highlight w:val="none"/>
          <w:lang w:val="zh-CN"/>
        </w:rPr>
        <w:t>，</w:t>
      </w:r>
      <w:r>
        <w:rPr>
          <w:rFonts w:hint="eastAsia" w:ascii="宋体" w:hAnsi="宋体" w:eastAsia="宋体" w:cs="宋体"/>
          <w:b/>
          <w:strike w:val="0"/>
          <w:dstrike w:val="0"/>
          <w:color w:val="auto"/>
          <w:kern w:val="0"/>
          <w:sz w:val="21"/>
          <w:szCs w:val="21"/>
          <w:highlight w:val="none"/>
          <w:lang w:val="zh-CN"/>
        </w:rPr>
        <w:t>否则其投标作无效标处理。</w:t>
      </w:r>
    </w:p>
    <w:p w14:paraId="3A393E3E">
      <w:pPr>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b/>
          <w:strike w:val="0"/>
          <w:dstrike w:val="0"/>
          <w:color w:val="auto"/>
          <w:kern w:val="0"/>
          <w:sz w:val="21"/>
          <w:szCs w:val="21"/>
          <w:highlight w:val="none"/>
          <w:lang w:val="zh-CN"/>
        </w:rPr>
      </w:pPr>
      <w:r>
        <w:rPr>
          <w:rFonts w:hint="eastAsia" w:ascii="宋体" w:hAnsi="宋体" w:eastAsia="宋体" w:cs="宋体"/>
          <w:strike w:val="0"/>
          <w:dstrike w:val="0"/>
          <w:color w:val="auto"/>
          <w:kern w:val="0"/>
          <w:sz w:val="21"/>
          <w:szCs w:val="21"/>
          <w:highlight w:val="none"/>
          <w:lang w:val="zh-CN"/>
        </w:rPr>
        <w:t>2.本表内容均不能涂改，</w:t>
      </w:r>
      <w:r>
        <w:rPr>
          <w:rFonts w:hint="eastAsia" w:ascii="宋体" w:hAnsi="宋体" w:eastAsia="宋体" w:cs="宋体"/>
          <w:b/>
          <w:strike w:val="0"/>
          <w:dstrike w:val="0"/>
          <w:color w:val="auto"/>
          <w:kern w:val="0"/>
          <w:sz w:val="21"/>
          <w:szCs w:val="21"/>
          <w:highlight w:val="none"/>
          <w:lang w:val="zh-CN"/>
        </w:rPr>
        <w:t>否则其投标作无效标处理。</w:t>
      </w:r>
    </w:p>
    <w:p w14:paraId="7BFD9FC0">
      <w:pPr>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b/>
          <w:strike w:val="0"/>
          <w:dstrike w:val="0"/>
          <w:color w:val="auto"/>
          <w:kern w:val="0"/>
          <w:sz w:val="21"/>
          <w:szCs w:val="21"/>
          <w:highlight w:val="none"/>
          <w:lang w:val="zh-CN"/>
        </w:rPr>
      </w:pPr>
      <w:r>
        <w:rPr>
          <w:rFonts w:hint="eastAsia" w:ascii="宋体" w:hAnsi="宋体" w:eastAsia="宋体" w:cs="宋体"/>
          <w:strike w:val="0"/>
          <w:dstrike w:val="0"/>
          <w:color w:val="auto"/>
          <w:kern w:val="0"/>
          <w:sz w:val="21"/>
          <w:szCs w:val="21"/>
          <w:highlight w:val="none"/>
          <w:lang w:val="zh-CN"/>
        </w:rPr>
        <w:t>3.如为联合体投标，“投标人名称”处必须列明联合体各方名称，并标注联合体牵头人名称，且盖章处须加盖联合体</w:t>
      </w:r>
      <w:r>
        <w:rPr>
          <w:rFonts w:hint="eastAsia" w:ascii="宋体" w:hAnsi="宋体" w:eastAsia="宋体" w:cs="宋体"/>
          <w:strike w:val="0"/>
          <w:dstrike w:val="0"/>
          <w:color w:val="auto"/>
          <w:kern w:val="0"/>
          <w:sz w:val="21"/>
          <w:szCs w:val="21"/>
          <w:highlight w:val="none"/>
        </w:rPr>
        <w:t>牵头人</w:t>
      </w:r>
      <w:r>
        <w:rPr>
          <w:rFonts w:hint="eastAsia" w:ascii="宋体" w:hAnsi="宋体" w:eastAsia="宋体" w:cs="宋体"/>
          <w:strike w:val="0"/>
          <w:dstrike w:val="0"/>
          <w:color w:val="auto"/>
          <w:kern w:val="0"/>
          <w:sz w:val="21"/>
          <w:szCs w:val="21"/>
          <w:highlight w:val="none"/>
          <w:lang w:val="zh-CN"/>
        </w:rPr>
        <w:t>公章，</w:t>
      </w:r>
      <w:r>
        <w:rPr>
          <w:rFonts w:hint="eastAsia" w:ascii="宋体" w:hAnsi="宋体" w:eastAsia="宋体" w:cs="宋体"/>
          <w:b/>
          <w:strike w:val="0"/>
          <w:dstrike w:val="0"/>
          <w:color w:val="auto"/>
          <w:kern w:val="0"/>
          <w:sz w:val="21"/>
          <w:szCs w:val="21"/>
          <w:highlight w:val="none"/>
          <w:lang w:val="zh-CN"/>
        </w:rPr>
        <w:t>否则其投标作无效标处理。</w:t>
      </w:r>
    </w:p>
    <w:p w14:paraId="4D56E3B0">
      <w:pPr>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kern w:val="0"/>
          <w:sz w:val="21"/>
          <w:szCs w:val="21"/>
          <w:highlight w:val="none"/>
          <w:lang w:val="zh-CN"/>
        </w:rPr>
      </w:pPr>
      <w:r>
        <w:rPr>
          <w:rFonts w:hint="eastAsia" w:ascii="宋体" w:hAnsi="宋体" w:eastAsia="宋体" w:cs="宋体"/>
          <w:strike w:val="0"/>
          <w:dstrike w:val="0"/>
          <w:color w:val="auto"/>
          <w:kern w:val="0"/>
          <w:sz w:val="21"/>
          <w:szCs w:val="21"/>
          <w:highlight w:val="none"/>
          <w:lang w:val="zh-CN"/>
        </w:rPr>
        <w:t>4.特别提示：采购机构将对项目名称和项目编号，中标投标人名称、地址和中标金额、服务要求等予以公示。</w:t>
      </w:r>
    </w:p>
    <w:p w14:paraId="63B75F6C">
      <w:pPr>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kern w:val="0"/>
          <w:sz w:val="21"/>
          <w:szCs w:val="21"/>
          <w:highlight w:val="none"/>
          <w:lang w:val="zh-CN"/>
        </w:rPr>
      </w:pPr>
      <w:r>
        <w:rPr>
          <w:rFonts w:hint="eastAsia" w:ascii="宋体" w:hAnsi="宋体" w:eastAsia="宋体" w:cs="宋体"/>
          <w:strike w:val="0"/>
          <w:dstrike w:val="0"/>
          <w:color w:val="auto"/>
          <w:kern w:val="0"/>
          <w:sz w:val="21"/>
          <w:szCs w:val="21"/>
          <w:highlight w:val="none"/>
          <w:lang w:val="zh-CN"/>
        </w:rPr>
        <w:t>5.符合招标文件中列明的可享受中小企业扶持政策的投标人，请按照格式提供中小企业声明函。（注：投标人提供的中小企业声明函内容不实的，属于提供虚假材料谋取中标、成交，依照《中华人民共和国政府采购法》等国家有关规定追究相应责任。）</w:t>
      </w:r>
    </w:p>
    <w:p w14:paraId="3EBCDF43">
      <w:pPr>
        <w:keepNext w:val="0"/>
        <w:keepLines w:val="0"/>
        <w:pageBreakBefore w:val="0"/>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p>
    <w:p w14:paraId="379F9E73">
      <w:pPr>
        <w:keepNext w:val="0"/>
        <w:keepLines w:val="0"/>
        <w:pageBreakBefore w:val="0"/>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投标人名称（电子签章）：</w:t>
      </w:r>
    </w:p>
    <w:p w14:paraId="7763BF9E">
      <w:pPr>
        <w:keepNext w:val="0"/>
        <w:keepLines w:val="0"/>
        <w:pageBreakBefore w:val="0"/>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     年   月  日</w:t>
      </w:r>
    </w:p>
    <w:p w14:paraId="1C786102">
      <w:pPr>
        <w:keepNext w:val="0"/>
        <w:keepLines w:val="0"/>
        <w:pageBreakBefore w:val="0"/>
        <w:kinsoku/>
        <w:topLinePunct w:val="0"/>
        <w:bidi w:val="0"/>
        <w:spacing w:line="400" w:lineRule="exact"/>
        <w:jc w:val="center"/>
        <w:rPr>
          <w:rFonts w:hint="eastAsia" w:ascii="宋体" w:hAnsi="宋体" w:eastAsia="宋体" w:cs="宋体"/>
          <w:b/>
          <w:strike w:val="0"/>
          <w:dstrike w:val="0"/>
          <w:color w:val="auto"/>
          <w:sz w:val="21"/>
          <w:szCs w:val="21"/>
          <w:highlight w:val="none"/>
        </w:rPr>
      </w:pPr>
    </w:p>
    <w:p w14:paraId="1663F41F">
      <w:pPr>
        <w:keepNext w:val="0"/>
        <w:keepLines w:val="0"/>
        <w:pageBreakBefore w:val="0"/>
        <w:widowControl/>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sz w:val="21"/>
          <w:szCs w:val="21"/>
          <w:highlight w:val="none"/>
        </w:rPr>
        <w:br w:type="page"/>
      </w:r>
    </w:p>
    <w:p w14:paraId="32C35C07">
      <w:pPr>
        <w:keepNext w:val="0"/>
        <w:keepLines w:val="0"/>
        <w:pageBreakBefore w:val="0"/>
        <w:kinsoku/>
        <w:topLinePunct w:val="0"/>
        <w:bidi w:val="0"/>
        <w:spacing w:line="400" w:lineRule="exact"/>
        <w:jc w:val="center"/>
        <w:rPr>
          <w:rFonts w:hint="eastAsia" w:ascii="宋体" w:hAnsi="宋体" w:eastAsia="宋体" w:cs="宋体"/>
          <w:b/>
          <w:strike w:val="0"/>
          <w:dstrike w:val="0"/>
          <w:color w:val="auto"/>
          <w:sz w:val="21"/>
          <w:szCs w:val="21"/>
          <w:highlight w:val="none"/>
        </w:rPr>
      </w:pPr>
    </w:p>
    <w:p w14:paraId="357117F6">
      <w:pPr>
        <w:keepNext w:val="0"/>
        <w:keepLines w:val="0"/>
        <w:pageBreakBefore w:val="0"/>
        <w:kinsoku/>
        <w:topLinePunct w:val="0"/>
        <w:bidi w:val="0"/>
        <w:spacing w:line="400" w:lineRule="exact"/>
        <w:outlineLvl w:val="1"/>
        <w:rPr>
          <w:rFonts w:hint="eastAsia" w:ascii="宋体" w:hAnsi="宋体" w:eastAsia="宋体" w:cs="宋体"/>
          <w:b/>
          <w:strike w:val="0"/>
          <w:dstrike w:val="0"/>
          <w:color w:val="auto"/>
          <w:sz w:val="21"/>
          <w:szCs w:val="21"/>
          <w:highlight w:val="none"/>
        </w:rPr>
      </w:pPr>
      <w:bookmarkStart w:id="295" w:name="_Toc19686837"/>
      <w:r>
        <w:rPr>
          <w:rFonts w:hint="eastAsia" w:ascii="宋体" w:hAnsi="宋体" w:eastAsia="宋体" w:cs="宋体"/>
          <w:b/>
          <w:strike w:val="0"/>
          <w:dstrike w:val="0"/>
          <w:color w:val="auto"/>
          <w:sz w:val="21"/>
          <w:szCs w:val="21"/>
          <w:highlight w:val="none"/>
        </w:rPr>
        <w:t>二、资格证明文件格式</w:t>
      </w:r>
      <w:bookmarkEnd w:id="291"/>
      <w:bookmarkEnd w:id="292"/>
      <w:bookmarkEnd w:id="295"/>
    </w:p>
    <w:p w14:paraId="006D086A">
      <w:pPr>
        <w:keepNext w:val="0"/>
        <w:keepLines w:val="0"/>
        <w:pageBreakBefore w:val="0"/>
        <w:tabs>
          <w:tab w:val="left" w:pos="1815"/>
        </w:tabs>
        <w:kinsoku/>
        <w:topLinePunct w:val="0"/>
        <w:bidi w:val="0"/>
        <w:snapToGrid w:val="0"/>
        <w:spacing w:beforeLines="50" w:after="50" w:line="400" w:lineRule="exact"/>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1.资格证明文件封面格式：</w:t>
      </w:r>
    </w:p>
    <w:p w14:paraId="33CE1971">
      <w:pPr>
        <w:keepNext w:val="0"/>
        <w:keepLines w:val="0"/>
        <w:pageBreakBefore w:val="0"/>
        <w:kinsoku/>
        <w:topLinePunct w:val="0"/>
        <w:bidi w:val="0"/>
        <w:snapToGrid w:val="0"/>
        <w:spacing w:beforeLines="50" w:after="50" w:line="400" w:lineRule="exact"/>
        <w:jc w:val="center"/>
        <w:rPr>
          <w:rFonts w:hint="eastAsia" w:ascii="宋体" w:hAnsi="宋体" w:eastAsia="宋体" w:cs="宋体"/>
          <w:bCs/>
          <w:strike w:val="0"/>
          <w:dstrike w:val="0"/>
          <w:color w:val="auto"/>
          <w:sz w:val="21"/>
          <w:szCs w:val="21"/>
          <w:highlight w:val="none"/>
        </w:rPr>
      </w:pPr>
    </w:p>
    <w:p w14:paraId="30FF925C">
      <w:pPr>
        <w:keepNext w:val="0"/>
        <w:keepLines w:val="0"/>
        <w:pageBreakBefore w:val="0"/>
        <w:kinsoku/>
        <w:topLinePunct w:val="0"/>
        <w:bidi w:val="0"/>
        <w:snapToGrid w:val="0"/>
        <w:spacing w:beforeLines="50" w:after="50" w:line="400" w:lineRule="exact"/>
        <w:jc w:val="center"/>
        <w:outlineLvl w:val="3"/>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电子投标文件</w:t>
      </w:r>
    </w:p>
    <w:p w14:paraId="461B87C9">
      <w:pPr>
        <w:keepNext w:val="0"/>
        <w:keepLines w:val="0"/>
        <w:pageBreakBefore w:val="0"/>
        <w:kinsoku/>
        <w:topLinePunct w:val="0"/>
        <w:bidi w:val="0"/>
        <w:snapToGrid w:val="0"/>
        <w:spacing w:beforeLines="50" w:after="50" w:line="400" w:lineRule="exact"/>
        <w:jc w:val="center"/>
        <w:outlineLvl w:val="3"/>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第二部分资格证明文件</w:t>
      </w:r>
    </w:p>
    <w:p w14:paraId="7E86080D">
      <w:pPr>
        <w:keepNext w:val="0"/>
        <w:keepLines w:val="0"/>
        <w:pageBreakBefore w:val="0"/>
        <w:kinsoku/>
        <w:topLinePunct w:val="0"/>
        <w:bidi w:val="0"/>
        <w:snapToGrid w:val="0"/>
        <w:spacing w:beforeLines="50" w:after="50" w:line="400" w:lineRule="exact"/>
        <w:rPr>
          <w:rFonts w:hint="eastAsia" w:ascii="宋体" w:hAnsi="宋体" w:eastAsia="宋体" w:cs="宋体"/>
          <w:bCs/>
          <w:strike w:val="0"/>
          <w:dstrike w:val="0"/>
          <w:color w:val="auto"/>
          <w:sz w:val="21"/>
          <w:szCs w:val="21"/>
          <w:highlight w:val="none"/>
        </w:rPr>
      </w:pPr>
    </w:p>
    <w:p w14:paraId="4D41FF80">
      <w:pPr>
        <w:keepNext w:val="0"/>
        <w:keepLines w:val="0"/>
        <w:pageBreakBefore w:val="0"/>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u w:val="single"/>
        </w:rPr>
      </w:pPr>
      <w:r>
        <w:rPr>
          <w:rFonts w:hint="eastAsia" w:ascii="宋体" w:hAnsi="宋体" w:eastAsia="宋体" w:cs="宋体"/>
          <w:bCs/>
          <w:strike w:val="0"/>
          <w:dstrike w:val="0"/>
          <w:color w:val="auto"/>
          <w:sz w:val="21"/>
          <w:szCs w:val="21"/>
          <w:highlight w:val="none"/>
        </w:rPr>
        <w:t>项目名称：</w:t>
      </w:r>
    </w:p>
    <w:p w14:paraId="16A7A578">
      <w:pPr>
        <w:keepNext w:val="0"/>
        <w:keepLines w:val="0"/>
        <w:pageBreakBefore w:val="0"/>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p>
    <w:p w14:paraId="57736532">
      <w:pPr>
        <w:keepNext w:val="0"/>
        <w:keepLines w:val="0"/>
        <w:pageBreakBefore w:val="0"/>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项目编号：</w:t>
      </w:r>
    </w:p>
    <w:p w14:paraId="3EE638FB">
      <w:pPr>
        <w:keepNext w:val="0"/>
        <w:keepLines w:val="0"/>
        <w:pageBreakBefore w:val="0"/>
        <w:kinsoku/>
        <w:topLinePunct w:val="0"/>
        <w:bidi w:val="0"/>
        <w:snapToGrid w:val="0"/>
        <w:spacing w:beforeLines="50" w:after="50" w:line="400" w:lineRule="exact"/>
        <w:rPr>
          <w:rFonts w:hint="eastAsia" w:ascii="宋体" w:hAnsi="宋体" w:eastAsia="宋体" w:cs="宋体"/>
          <w:bCs/>
          <w:strike w:val="0"/>
          <w:dstrike w:val="0"/>
          <w:color w:val="auto"/>
          <w:sz w:val="21"/>
          <w:szCs w:val="21"/>
          <w:highlight w:val="none"/>
        </w:rPr>
      </w:pPr>
    </w:p>
    <w:p w14:paraId="4C580944">
      <w:pPr>
        <w:keepNext w:val="0"/>
        <w:keepLines w:val="0"/>
        <w:pageBreakBefore w:val="0"/>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所投</w:t>
      </w:r>
      <w:r>
        <w:rPr>
          <w:rFonts w:hint="eastAsia" w:ascii="宋体" w:hAnsi="宋体" w:eastAsia="宋体" w:cs="宋体"/>
          <w:bCs/>
          <w:strike w:val="0"/>
          <w:dstrike w:val="0"/>
          <w:color w:val="auto"/>
          <w:sz w:val="21"/>
          <w:szCs w:val="21"/>
          <w:highlight w:val="none"/>
          <w:lang w:eastAsia="zh-CN"/>
        </w:rPr>
        <w:t>分</w:t>
      </w:r>
      <w:r>
        <w:rPr>
          <w:rFonts w:hint="eastAsia" w:ascii="宋体" w:hAnsi="宋体" w:eastAsia="宋体" w:cs="宋体"/>
          <w:bCs/>
          <w:strike w:val="0"/>
          <w:dstrike w:val="0"/>
          <w:color w:val="auto"/>
          <w:sz w:val="21"/>
          <w:szCs w:val="21"/>
          <w:highlight w:val="none"/>
          <w:lang w:val="en-US" w:eastAsia="zh-CN"/>
        </w:rPr>
        <w:t>包</w:t>
      </w:r>
      <w:r>
        <w:rPr>
          <w:rFonts w:hint="eastAsia" w:ascii="宋体" w:hAnsi="宋体" w:eastAsia="宋体" w:cs="宋体"/>
          <w:bCs/>
          <w:strike w:val="0"/>
          <w:dstrike w:val="0"/>
          <w:color w:val="auto"/>
          <w:sz w:val="21"/>
          <w:szCs w:val="21"/>
          <w:highlight w:val="none"/>
        </w:rPr>
        <w:t>：</w:t>
      </w:r>
      <w:r>
        <w:rPr>
          <w:rFonts w:hint="eastAsia" w:ascii="宋体" w:hAnsi="宋体" w:eastAsia="宋体" w:cs="宋体"/>
          <w:bCs/>
          <w:strike w:val="0"/>
          <w:dstrike w:val="0"/>
          <w:color w:val="auto"/>
          <w:sz w:val="21"/>
          <w:szCs w:val="21"/>
          <w:highlight w:val="none"/>
          <w:u w:val="none"/>
        </w:rPr>
        <w:t xml:space="preserve">                            </w:t>
      </w:r>
    </w:p>
    <w:p w14:paraId="47F0DCF6">
      <w:pPr>
        <w:keepNext w:val="0"/>
        <w:keepLines w:val="0"/>
        <w:pageBreakBefore w:val="0"/>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p>
    <w:p w14:paraId="34C8CB9C">
      <w:pPr>
        <w:keepNext w:val="0"/>
        <w:keepLines w:val="0"/>
        <w:pageBreakBefore w:val="0"/>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投标人名称：</w:t>
      </w:r>
    </w:p>
    <w:p w14:paraId="125E88E2">
      <w:pPr>
        <w:keepNext w:val="0"/>
        <w:keepLines w:val="0"/>
        <w:pageBreakBefore w:val="0"/>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p>
    <w:p w14:paraId="7ADB1558">
      <w:pPr>
        <w:keepNext w:val="0"/>
        <w:keepLines w:val="0"/>
        <w:pageBreakBefore w:val="0"/>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投标人地址：</w:t>
      </w:r>
    </w:p>
    <w:p w14:paraId="7D9C9CC7">
      <w:pPr>
        <w:keepNext w:val="0"/>
        <w:keepLines w:val="0"/>
        <w:pageBreakBefore w:val="0"/>
        <w:kinsoku/>
        <w:topLinePunct w:val="0"/>
        <w:bidi w:val="0"/>
        <w:snapToGrid w:val="0"/>
        <w:spacing w:beforeLines="50" w:after="50" w:line="400" w:lineRule="exact"/>
        <w:rPr>
          <w:rFonts w:hint="eastAsia" w:ascii="宋体" w:hAnsi="宋体" w:eastAsia="宋体" w:cs="宋体"/>
          <w:strike w:val="0"/>
          <w:dstrike w:val="0"/>
          <w:color w:val="auto"/>
          <w:sz w:val="21"/>
          <w:szCs w:val="21"/>
          <w:highlight w:val="none"/>
        </w:rPr>
      </w:pPr>
    </w:p>
    <w:p w14:paraId="1957C2A3">
      <w:pPr>
        <w:keepNext w:val="0"/>
        <w:keepLines w:val="0"/>
        <w:pageBreakBefore w:val="0"/>
        <w:kinsoku/>
        <w:topLinePunct w:val="0"/>
        <w:bidi w:val="0"/>
        <w:snapToGrid w:val="0"/>
        <w:spacing w:beforeLines="50" w:after="50" w:line="400" w:lineRule="exact"/>
        <w:rPr>
          <w:rFonts w:hint="eastAsia" w:ascii="宋体" w:hAnsi="宋体" w:eastAsia="宋体" w:cs="宋体"/>
          <w:strike w:val="0"/>
          <w:dstrike w:val="0"/>
          <w:color w:val="auto"/>
          <w:sz w:val="21"/>
          <w:szCs w:val="21"/>
          <w:highlight w:val="none"/>
        </w:rPr>
      </w:pPr>
    </w:p>
    <w:p w14:paraId="3184A985">
      <w:pPr>
        <w:keepNext w:val="0"/>
        <w:keepLines w:val="0"/>
        <w:pageBreakBefore w:val="0"/>
        <w:kinsoku/>
        <w:topLinePunct w:val="0"/>
        <w:bidi w:val="0"/>
        <w:snapToGrid w:val="0"/>
        <w:spacing w:beforeLines="50" w:after="50"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年   月   日</w:t>
      </w:r>
    </w:p>
    <w:p w14:paraId="7E30829D">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p w14:paraId="5EEC275E">
      <w:pPr>
        <w:keepNext w:val="0"/>
        <w:keepLines w:val="0"/>
        <w:pageBreakBefore w:val="0"/>
        <w:tabs>
          <w:tab w:val="left" w:pos="1815"/>
        </w:tabs>
        <w:kinsoku/>
        <w:topLinePunct w:val="0"/>
        <w:bidi w:val="0"/>
        <w:snapToGrid w:val="0"/>
        <w:spacing w:beforeLines="50" w:after="50" w:line="400" w:lineRule="exact"/>
        <w:jc w:val="left"/>
        <w:outlineLvl w:val="2"/>
        <w:rPr>
          <w:rFonts w:hint="eastAsia" w:ascii="宋体" w:hAnsi="宋体" w:eastAsia="宋体" w:cs="宋体"/>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rPr>
        <w:br w:type="page"/>
      </w:r>
      <w:r>
        <w:rPr>
          <w:rFonts w:hint="eastAsia" w:ascii="宋体" w:hAnsi="宋体" w:eastAsia="宋体" w:cs="宋体"/>
          <w:b/>
          <w:bCs/>
          <w:strike w:val="0"/>
          <w:dstrike w:val="0"/>
          <w:color w:val="auto"/>
          <w:sz w:val="21"/>
          <w:szCs w:val="21"/>
          <w:highlight w:val="none"/>
        </w:rPr>
        <w:t>2.</w:t>
      </w:r>
      <w:r>
        <w:rPr>
          <w:rFonts w:hint="eastAsia" w:ascii="宋体" w:hAnsi="宋体" w:eastAsia="宋体" w:cs="宋体"/>
          <w:b/>
          <w:strike w:val="0"/>
          <w:dstrike w:val="0"/>
          <w:color w:val="auto"/>
          <w:sz w:val="21"/>
          <w:szCs w:val="21"/>
          <w:highlight w:val="none"/>
        </w:rPr>
        <w:t>资格证明文件目录</w:t>
      </w:r>
    </w:p>
    <w:p w14:paraId="1CFD787B">
      <w:pPr>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根据招标文件规定及投标人提供的材料自行编写目录。</w:t>
      </w:r>
    </w:p>
    <w:p w14:paraId="1E956130">
      <w:pPr>
        <w:keepNext w:val="0"/>
        <w:keepLines w:val="0"/>
        <w:pageBreakBefore w:val="0"/>
        <w:kinsoku/>
        <w:topLinePunct w:val="0"/>
        <w:bidi w:val="0"/>
        <w:snapToGrid w:val="0"/>
        <w:spacing w:before="50" w:afterLines="50" w:line="400" w:lineRule="exact"/>
        <w:jc w:val="left"/>
        <w:rPr>
          <w:rFonts w:hint="eastAsia" w:ascii="宋体" w:hAnsi="宋体" w:eastAsia="宋体" w:cs="宋体"/>
          <w:strike w:val="0"/>
          <w:dstrike w:val="0"/>
          <w:color w:val="auto"/>
          <w:sz w:val="21"/>
          <w:szCs w:val="21"/>
          <w:highlight w:val="none"/>
        </w:rPr>
      </w:pPr>
    </w:p>
    <w:p w14:paraId="0995D6D4">
      <w:pPr>
        <w:keepNext w:val="0"/>
        <w:keepLines w:val="0"/>
        <w:pageBreakBefore w:val="0"/>
        <w:kinsoku/>
        <w:topLinePunct w:val="0"/>
        <w:bidi w:val="0"/>
        <w:snapToGrid w:val="0"/>
        <w:spacing w:before="50" w:afterLines="50" w:line="400" w:lineRule="exact"/>
        <w:jc w:val="left"/>
        <w:rPr>
          <w:rFonts w:hint="eastAsia" w:ascii="宋体" w:hAnsi="宋体" w:eastAsia="宋体" w:cs="宋体"/>
          <w:strike w:val="0"/>
          <w:dstrike w:val="0"/>
          <w:color w:val="auto"/>
          <w:sz w:val="21"/>
          <w:szCs w:val="21"/>
          <w:highlight w:val="none"/>
        </w:rPr>
      </w:pPr>
    </w:p>
    <w:p w14:paraId="2E865182">
      <w:pPr>
        <w:keepNext w:val="0"/>
        <w:keepLines w:val="0"/>
        <w:pageBreakBefore w:val="0"/>
        <w:tabs>
          <w:tab w:val="left" w:pos="1815"/>
        </w:tabs>
        <w:kinsoku/>
        <w:topLinePunct w:val="0"/>
        <w:bidi w:val="0"/>
        <w:snapToGrid w:val="0"/>
        <w:spacing w:beforeLines="50" w:after="50" w:line="400" w:lineRule="exact"/>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br w:type="page"/>
      </w:r>
      <w:r>
        <w:rPr>
          <w:rFonts w:hint="eastAsia" w:ascii="宋体" w:hAnsi="宋体" w:eastAsia="宋体" w:cs="宋体"/>
          <w:b/>
          <w:strike w:val="0"/>
          <w:dstrike w:val="0"/>
          <w:color w:val="auto"/>
          <w:sz w:val="21"/>
          <w:szCs w:val="21"/>
          <w:highlight w:val="none"/>
        </w:rPr>
        <w:t>3.投标人直接控股股东信息表、投标人直接管理关系信息表</w:t>
      </w:r>
    </w:p>
    <w:p w14:paraId="5DD33556">
      <w:pPr>
        <w:keepNext w:val="0"/>
        <w:keepLines w:val="0"/>
        <w:pageBreakBefore w:val="0"/>
        <w:kinsoku/>
        <w:topLinePunct w:val="0"/>
        <w:bidi w:val="0"/>
        <w:snapToGrid w:val="0"/>
        <w:spacing w:before="50" w:afterLines="50" w:line="400" w:lineRule="exact"/>
        <w:jc w:val="center"/>
        <w:rPr>
          <w:rFonts w:hint="eastAsia" w:ascii="宋体" w:hAnsi="宋体" w:eastAsia="宋体" w:cs="宋体"/>
          <w:b/>
          <w:strike w:val="0"/>
          <w:dstrike w:val="0"/>
          <w:color w:val="auto"/>
          <w:sz w:val="21"/>
          <w:szCs w:val="21"/>
          <w:highlight w:val="none"/>
        </w:rPr>
      </w:pPr>
    </w:p>
    <w:p w14:paraId="4A8C4ED3">
      <w:pPr>
        <w:keepNext w:val="0"/>
        <w:keepLines w:val="0"/>
        <w:pageBreakBefore w:val="0"/>
        <w:kinsoku/>
        <w:topLinePunct w:val="0"/>
        <w:bidi w:val="0"/>
        <w:snapToGrid w:val="0"/>
        <w:spacing w:before="50" w:after="50" w:line="400" w:lineRule="exact"/>
        <w:jc w:val="center"/>
        <w:outlineLvl w:val="3"/>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投标人直接控股股东信息表</w:t>
      </w:r>
    </w:p>
    <w:p w14:paraId="4C180C54">
      <w:pPr>
        <w:pStyle w:val="21"/>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tbl>
      <w:tblPr>
        <w:tblStyle w:val="48"/>
        <w:tblW w:w="8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3"/>
        <w:gridCol w:w="2268"/>
        <w:gridCol w:w="1219"/>
        <w:gridCol w:w="3550"/>
        <w:gridCol w:w="664"/>
      </w:tblGrid>
      <w:tr w14:paraId="5946E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tblHeader/>
          <w:jc w:val="center"/>
        </w:trPr>
        <w:tc>
          <w:tcPr>
            <w:tcW w:w="863" w:type="dxa"/>
            <w:shd w:val="clear" w:color="auto" w:fill="auto"/>
            <w:tcMar>
              <w:top w:w="120" w:type="dxa"/>
              <w:left w:w="120" w:type="dxa"/>
              <w:bottom w:w="120" w:type="dxa"/>
              <w:right w:w="120" w:type="dxa"/>
            </w:tcMar>
            <w:vAlign w:val="center"/>
          </w:tcPr>
          <w:p w14:paraId="54DD59A8">
            <w:pPr>
              <w:keepNext w:val="0"/>
              <w:keepLines w:val="0"/>
              <w:pageBreakBefore w:val="0"/>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序号</w:t>
            </w:r>
          </w:p>
        </w:tc>
        <w:tc>
          <w:tcPr>
            <w:tcW w:w="2268" w:type="dxa"/>
            <w:shd w:val="clear" w:color="auto" w:fill="auto"/>
            <w:tcMar>
              <w:top w:w="120" w:type="dxa"/>
              <w:left w:w="120" w:type="dxa"/>
              <w:bottom w:w="120" w:type="dxa"/>
              <w:right w:w="120" w:type="dxa"/>
            </w:tcMar>
            <w:vAlign w:val="center"/>
          </w:tcPr>
          <w:p w14:paraId="537C18B6">
            <w:pPr>
              <w:keepNext w:val="0"/>
              <w:keepLines w:val="0"/>
              <w:pageBreakBefore w:val="0"/>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直接控股股东名称</w:t>
            </w:r>
          </w:p>
        </w:tc>
        <w:tc>
          <w:tcPr>
            <w:tcW w:w="1219" w:type="dxa"/>
            <w:shd w:val="clear" w:color="auto" w:fill="auto"/>
            <w:tcMar>
              <w:top w:w="120" w:type="dxa"/>
              <w:left w:w="120" w:type="dxa"/>
              <w:bottom w:w="120" w:type="dxa"/>
              <w:right w:w="120" w:type="dxa"/>
            </w:tcMar>
            <w:vAlign w:val="center"/>
          </w:tcPr>
          <w:p w14:paraId="6A9CCD5D">
            <w:pPr>
              <w:keepNext w:val="0"/>
              <w:keepLines w:val="0"/>
              <w:pageBreakBefore w:val="0"/>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出资比例%</w:t>
            </w:r>
          </w:p>
        </w:tc>
        <w:tc>
          <w:tcPr>
            <w:tcW w:w="3550" w:type="dxa"/>
            <w:shd w:val="clear" w:color="auto" w:fill="auto"/>
            <w:tcMar>
              <w:top w:w="120" w:type="dxa"/>
              <w:left w:w="120" w:type="dxa"/>
              <w:bottom w:w="120" w:type="dxa"/>
              <w:right w:w="120" w:type="dxa"/>
            </w:tcMar>
            <w:vAlign w:val="center"/>
          </w:tcPr>
          <w:p w14:paraId="10DB9714">
            <w:pPr>
              <w:keepNext w:val="0"/>
              <w:keepLines w:val="0"/>
              <w:pageBreakBefore w:val="0"/>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身份证号码或者统一社会信用代码</w:t>
            </w:r>
          </w:p>
        </w:tc>
        <w:tc>
          <w:tcPr>
            <w:tcW w:w="664" w:type="dxa"/>
            <w:shd w:val="clear" w:color="auto" w:fill="auto"/>
            <w:tcMar>
              <w:top w:w="120" w:type="dxa"/>
              <w:left w:w="120" w:type="dxa"/>
              <w:bottom w:w="120" w:type="dxa"/>
              <w:right w:w="120" w:type="dxa"/>
            </w:tcMar>
            <w:vAlign w:val="center"/>
          </w:tcPr>
          <w:p w14:paraId="0C629A2A">
            <w:pPr>
              <w:keepNext w:val="0"/>
              <w:keepLines w:val="0"/>
              <w:pageBreakBefore w:val="0"/>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备注</w:t>
            </w:r>
          </w:p>
        </w:tc>
      </w:tr>
      <w:tr w14:paraId="7D4A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3" w:type="dxa"/>
            <w:shd w:val="clear" w:color="auto" w:fill="auto"/>
            <w:tcMar>
              <w:top w:w="120" w:type="dxa"/>
              <w:left w:w="120" w:type="dxa"/>
              <w:bottom w:w="120" w:type="dxa"/>
              <w:right w:w="120" w:type="dxa"/>
            </w:tcMar>
            <w:vAlign w:val="center"/>
          </w:tcPr>
          <w:p w14:paraId="54542CA0">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w:t>
            </w:r>
          </w:p>
        </w:tc>
        <w:tc>
          <w:tcPr>
            <w:tcW w:w="2268" w:type="dxa"/>
            <w:shd w:val="clear" w:color="auto" w:fill="auto"/>
            <w:tcMar>
              <w:top w:w="120" w:type="dxa"/>
              <w:left w:w="120" w:type="dxa"/>
              <w:bottom w:w="120" w:type="dxa"/>
              <w:right w:w="120" w:type="dxa"/>
            </w:tcMar>
            <w:vAlign w:val="center"/>
          </w:tcPr>
          <w:p w14:paraId="116072B1">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219" w:type="dxa"/>
            <w:shd w:val="clear" w:color="auto" w:fill="auto"/>
            <w:tcMar>
              <w:top w:w="120" w:type="dxa"/>
              <w:left w:w="120" w:type="dxa"/>
              <w:bottom w:w="120" w:type="dxa"/>
              <w:right w:w="120" w:type="dxa"/>
            </w:tcMar>
            <w:vAlign w:val="center"/>
          </w:tcPr>
          <w:p w14:paraId="0109F26D">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3550" w:type="dxa"/>
            <w:shd w:val="clear" w:color="auto" w:fill="auto"/>
            <w:tcMar>
              <w:top w:w="120" w:type="dxa"/>
              <w:left w:w="120" w:type="dxa"/>
              <w:bottom w:w="120" w:type="dxa"/>
              <w:right w:w="120" w:type="dxa"/>
            </w:tcMar>
            <w:vAlign w:val="center"/>
          </w:tcPr>
          <w:p w14:paraId="518920F9">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664" w:type="dxa"/>
            <w:shd w:val="clear" w:color="auto" w:fill="auto"/>
            <w:tcMar>
              <w:top w:w="120" w:type="dxa"/>
              <w:left w:w="120" w:type="dxa"/>
              <w:bottom w:w="120" w:type="dxa"/>
              <w:right w:w="120" w:type="dxa"/>
            </w:tcMar>
            <w:vAlign w:val="center"/>
          </w:tcPr>
          <w:p w14:paraId="6067FDE5">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r>
      <w:tr w14:paraId="150DA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3" w:type="dxa"/>
            <w:shd w:val="clear" w:color="auto" w:fill="auto"/>
            <w:tcMar>
              <w:top w:w="120" w:type="dxa"/>
              <w:left w:w="120" w:type="dxa"/>
              <w:bottom w:w="120" w:type="dxa"/>
              <w:right w:w="120" w:type="dxa"/>
            </w:tcMar>
            <w:vAlign w:val="center"/>
          </w:tcPr>
          <w:p w14:paraId="170A7A87">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2</w:t>
            </w:r>
          </w:p>
        </w:tc>
        <w:tc>
          <w:tcPr>
            <w:tcW w:w="2268" w:type="dxa"/>
            <w:shd w:val="clear" w:color="auto" w:fill="auto"/>
            <w:tcMar>
              <w:top w:w="120" w:type="dxa"/>
              <w:left w:w="120" w:type="dxa"/>
              <w:bottom w:w="120" w:type="dxa"/>
              <w:right w:w="120" w:type="dxa"/>
            </w:tcMar>
            <w:vAlign w:val="center"/>
          </w:tcPr>
          <w:p w14:paraId="1C56A7E0">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219" w:type="dxa"/>
            <w:shd w:val="clear" w:color="auto" w:fill="auto"/>
            <w:tcMar>
              <w:top w:w="120" w:type="dxa"/>
              <w:left w:w="120" w:type="dxa"/>
              <w:bottom w:w="120" w:type="dxa"/>
              <w:right w:w="120" w:type="dxa"/>
            </w:tcMar>
            <w:vAlign w:val="center"/>
          </w:tcPr>
          <w:p w14:paraId="4CD11C79">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3550" w:type="dxa"/>
            <w:shd w:val="clear" w:color="auto" w:fill="auto"/>
            <w:tcMar>
              <w:top w:w="120" w:type="dxa"/>
              <w:left w:w="120" w:type="dxa"/>
              <w:bottom w:w="120" w:type="dxa"/>
              <w:right w:w="120" w:type="dxa"/>
            </w:tcMar>
            <w:vAlign w:val="center"/>
          </w:tcPr>
          <w:p w14:paraId="6A61C612">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664" w:type="dxa"/>
            <w:shd w:val="clear" w:color="auto" w:fill="auto"/>
            <w:tcMar>
              <w:top w:w="120" w:type="dxa"/>
              <w:left w:w="120" w:type="dxa"/>
              <w:bottom w:w="120" w:type="dxa"/>
              <w:right w:w="120" w:type="dxa"/>
            </w:tcMar>
            <w:vAlign w:val="center"/>
          </w:tcPr>
          <w:p w14:paraId="1B0D00A2">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r>
      <w:tr w14:paraId="46F94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3" w:type="dxa"/>
            <w:shd w:val="clear" w:color="auto" w:fill="auto"/>
            <w:tcMar>
              <w:top w:w="120" w:type="dxa"/>
              <w:left w:w="120" w:type="dxa"/>
              <w:bottom w:w="120" w:type="dxa"/>
              <w:right w:w="120" w:type="dxa"/>
            </w:tcMar>
            <w:vAlign w:val="center"/>
          </w:tcPr>
          <w:p w14:paraId="7BDDCD36">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3</w:t>
            </w:r>
          </w:p>
        </w:tc>
        <w:tc>
          <w:tcPr>
            <w:tcW w:w="2268" w:type="dxa"/>
            <w:shd w:val="clear" w:color="auto" w:fill="auto"/>
            <w:tcMar>
              <w:top w:w="120" w:type="dxa"/>
              <w:left w:w="120" w:type="dxa"/>
              <w:bottom w:w="120" w:type="dxa"/>
              <w:right w:w="120" w:type="dxa"/>
            </w:tcMar>
            <w:vAlign w:val="center"/>
          </w:tcPr>
          <w:p w14:paraId="1428C3F6">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219" w:type="dxa"/>
            <w:shd w:val="clear" w:color="auto" w:fill="auto"/>
            <w:tcMar>
              <w:top w:w="120" w:type="dxa"/>
              <w:left w:w="120" w:type="dxa"/>
              <w:bottom w:w="120" w:type="dxa"/>
              <w:right w:w="120" w:type="dxa"/>
            </w:tcMar>
            <w:vAlign w:val="center"/>
          </w:tcPr>
          <w:p w14:paraId="558CD754">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3550" w:type="dxa"/>
            <w:shd w:val="clear" w:color="auto" w:fill="auto"/>
            <w:tcMar>
              <w:top w:w="120" w:type="dxa"/>
              <w:left w:w="120" w:type="dxa"/>
              <w:bottom w:w="120" w:type="dxa"/>
              <w:right w:w="120" w:type="dxa"/>
            </w:tcMar>
            <w:vAlign w:val="center"/>
          </w:tcPr>
          <w:p w14:paraId="2DABB9D1">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664" w:type="dxa"/>
            <w:shd w:val="clear" w:color="auto" w:fill="auto"/>
            <w:tcMar>
              <w:top w:w="120" w:type="dxa"/>
              <w:left w:w="120" w:type="dxa"/>
              <w:bottom w:w="120" w:type="dxa"/>
              <w:right w:w="120" w:type="dxa"/>
            </w:tcMar>
            <w:vAlign w:val="center"/>
          </w:tcPr>
          <w:p w14:paraId="00226E18">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r>
      <w:tr w14:paraId="02FC9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3" w:type="dxa"/>
            <w:shd w:val="clear" w:color="auto" w:fill="auto"/>
            <w:tcMar>
              <w:top w:w="120" w:type="dxa"/>
              <w:left w:w="120" w:type="dxa"/>
              <w:bottom w:w="120" w:type="dxa"/>
              <w:right w:w="120" w:type="dxa"/>
            </w:tcMar>
            <w:vAlign w:val="center"/>
          </w:tcPr>
          <w:p w14:paraId="5EBA16BF">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w:t>
            </w:r>
          </w:p>
        </w:tc>
        <w:tc>
          <w:tcPr>
            <w:tcW w:w="2268" w:type="dxa"/>
            <w:shd w:val="clear" w:color="auto" w:fill="auto"/>
            <w:tcMar>
              <w:top w:w="120" w:type="dxa"/>
              <w:left w:w="120" w:type="dxa"/>
              <w:bottom w:w="120" w:type="dxa"/>
              <w:right w:w="120" w:type="dxa"/>
            </w:tcMar>
            <w:vAlign w:val="center"/>
          </w:tcPr>
          <w:p w14:paraId="751CCD01">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219" w:type="dxa"/>
            <w:shd w:val="clear" w:color="auto" w:fill="auto"/>
            <w:tcMar>
              <w:top w:w="120" w:type="dxa"/>
              <w:left w:w="120" w:type="dxa"/>
              <w:bottom w:w="120" w:type="dxa"/>
              <w:right w:w="120" w:type="dxa"/>
            </w:tcMar>
            <w:vAlign w:val="center"/>
          </w:tcPr>
          <w:p w14:paraId="7BD48184">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3550" w:type="dxa"/>
            <w:shd w:val="clear" w:color="auto" w:fill="auto"/>
            <w:tcMar>
              <w:top w:w="120" w:type="dxa"/>
              <w:left w:w="120" w:type="dxa"/>
              <w:bottom w:w="120" w:type="dxa"/>
              <w:right w:w="120" w:type="dxa"/>
            </w:tcMar>
            <w:vAlign w:val="center"/>
          </w:tcPr>
          <w:p w14:paraId="359D8754">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664" w:type="dxa"/>
            <w:shd w:val="clear" w:color="auto" w:fill="auto"/>
            <w:tcMar>
              <w:top w:w="120" w:type="dxa"/>
              <w:left w:w="120" w:type="dxa"/>
              <w:bottom w:w="120" w:type="dxa"/>
              <w:right w:w="120" w:type="dxa"/>
            </w:tcMar>
            <w:vAlign w:val="center"/>
          </w:tcPr>
          <w:p w14:paraId="55EA2C91">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r>
    </w:tbl>
    <w:p w14:paraId="363815BD">
      <w:pPr>
        <w:keepNext w:val="0"/>
        <w:keepLines w:val="0"/>
        <w:pageBreakBefore w:val="0"/>
        <w:kinsoku/>
        <w:topLinePunct w:val="0"/>
        <w:bidi w:val="0"/>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注：</w:t>
      </w:r>
    </w:p>
    <w:p w14:paraId="357C7A51">
      <w:pPr>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1EF3792">
      <w:pPr>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2.本表所指的控股关系仅限于直接控股关系，不包括间接的控股关系。公司实际控制人与公司之间的关系不属于本表所指的直接控股关系。</w:t>
      </w:r>
    </w:p>
    <w:p w14:paraId="2C7B97D2">
      <w:pPr>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3.投标人不存在直接控股股东的，则在“</w:t>
      </w:r>
      <w:r>
        <w:rPr>
          <w:rFonts w:hint="eastAsia" w:ascii="宋体" w:hAnsi="宋体" w:eastAsia="宋体" w:cs="宋体"/>
          <w:b/>
          <w:bCs/>
          <w:strike w:val="0"/>
          <w:dstrike w:val="0"/>
          <w:color w:val="auto"/>
          <w:kern w:val="0"/>
          <w:sz w:val="21"/>
          <w:szCs w:val="21"/>
          <w:highlight w:val="none"/>
        </w:rPr>
        <w:t>直接控股股东名称</w:t>
      </w:r>
      <w:r>
        <w:rPr>
          <w:rFonts w:hint="eastAsia" w:ascii="宋体" w:hAnsi="宋体" w:eastAsia="宋体" w:cs="宋体"/>
          <w:strike w:val="0"/>
          <w:dstrike w:val="0"/>
          <w:color w:val="auto"/>
          <w:sz w:val="21"/>
          <w:szCs w:val="21"/>
          <w:highlight w:val="none"/>
        </w:rPr>
        <w:t>”中填“无”。</w:t>
      </w:r>
    </w:p>
    <w:p w14:paraId="3AE15A5D">
      <w:pPr>
        <w:keepNext w:val="0"/>
        <w:keepLines w:val="0"/>
        <w:pageBreakBefore w:val="0"/>
        <w:kinsoku/>
        <w:topLinePunct w:val="0"/>
        <w:bidi w:val="0"/>
        <w:snapToGrid w:val="0"/>
        <w:spacing w:line="400" w:lineRule="exact"/>
        <w:jc w:val="left"/>
        <w:rPr>
          <w:rFonts w:hint="eastAsia" w:ascii="宋体" w:hAnsi="宋体" w:eastAsia="宋体" w:cs="宋体"/>
          <w:strike w:val="0"/>
          <w:dstrike w:val="0"/>
          <w:color w:val="auto"/>
          <w:sz w:val="21"/>
          <w:szCs w:val="21"/>
          <w:highlight w:val="none"/>
        </w:rPr>
      </w:pPr>
    </w:p>
    <w:p w14:paraId="3854FD76">
      <w:pPr>
        <w:keepNext w:val="0"/>
        <w:keepLines w:val="0"/>
        <w:pageBreakBefore w:val="0"/>
        <w:kinsoku/>
        <w:topLinePunct w:val="0"/>
        <w:bidi w:val="0"/>
        <w:snapToGrid w:val="0"/>
        <w:spacing w:line="400" w:lineRule="exact"/>
        <w:jc w:val="left"/>
        <w:rPr>
          <w:rFonts w:hint="eastAsia" w:ascii="宋体" w:hAnsi="宋体" w:eastAsia="宋体" w:cs="宋体"/>
          <w:strike w:val="0"/>
          <w:dstrike w:val="0"/>
          <w:color w:val="auto"/>
          <w:sz w:val="21"/>
          <w:szCs w:val="21"/>
          <w:highlight w:val="none"/>
        </w:rPr>
      </w:pPr>
    </w:p>
    <w:p w14:paraId="41AC6AD5">
      <w:pPr>
        <w:keepNext w:val="0"/>
        <w:keepLines w:val="0"/>
        <w:pageBreakBefore w:val="0"/>
        <w:kinsoku/>
        <w:topLinePunct w:val="0"/>
        <w:bidi w:val="0"/>
        <w:snapToGrid w:val="0"/>
        <w:spacing w:line="400" w:lineRule="exact"/>
        <w:jc w:val="left"/>
        <w:rPr>
          <w:rFonts w:hint="eastAsia" w:ascii="宋体" w:hAnsi="宋体" w:eastAsia="宋体" w:cs="宋体"/>
          <w:strike w:val="0"/>
          <w:dstrike w:val="0"/>
          <w:color w:val="auto"/>
          <w:sz w:val="21"/>
          <w:szCs w:val="21"/>
          <w:highlight w:val="none"/>
        </w:rPr>
      </w:pPr>
    </w:p>
    <w:p w14:paraId="62FB38D4">
      <w:pPr>
        <w:keepNext w:val="0"/>
        <w:keepLines w:val="0"/>
        <w:pageBreakBefore w:val="0"/>
        <w:kinsoku/>
        <w:topLinePunct w:val="0"/>
        <w:bidi w:val="0"/>
        <w:spacing w:line="400" w:lineRule="exact"/>
        <w:ind w:left="3990" w:leftChars="1900"/>
        <w:contextualSpacing/>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 xml:space="preserve">投标人（电子签章）： </w:t>
      </w:r>
      <w:r>
        <w:rPr>
          <w:rFonts w:hint="eastAsia" w:ascii="宋体" w:hAnsi="宋体" w:eastAsia="宋体" w:cs="宋体"/>
          <w:strike w:val="0"/>
          <w:dstrike w:val="0"/>
          <w:color w:val="auto"/>
          <w:sz w:val="21"/>
          <w:szCs w:val="21"/>
          <w:highlight w:val="none"/>
          <w:u w:val="single"/>
        </w:rPr>
        <w:t xml:space="preserve">                        </w:t>
      </w:r>
    </w:p>
    <w:p w14:paraId="610E21AD">
      <w:pPr>
        <w:keepNext w:val="0"/>
        <w:keepLines w:val="0"/>
        <w:pageBreakBefore w:val="0"/>
        <w:kinsoku/>
        <w:topLinePunct w:val="0"/>
        <w:bidi w:val="0"/>
        <w:spacing w:line="400" w:lineRule="exact"/>
        <w:ind w:left="3990" w:leftChars="1900"/>
        <w:contextualSpacing/>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年</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月</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日</w:t>
      </w:r>
    </w:p>
    <w:p w14:paraId="294A748B">
      <w:pPr>
        <w:keepNext w:val="0"/>
        <w:keepLines w:val="0"/>
        <w:pageBreakBefore w:val="0"/>
        <w:kinsoku/>
        <w:topLinePunct w:val="0"/>
        <w:bidi w:val="0"/>
        <w:snapToGrid w:val="0"/>
        <w:spacing w:line="400" w:lineRule="exact"/>
        <w:jc w:val="center"/>
        <w:rPr>
          <w:rFonts w:hint="eastAsia" w:ascii="宋体" w:hAnsi="宋体" w:eastAsia="宋体" w:cs="宋体"/>
          <w:b/>
          <w:strike w:val="0"/>
          <w:dstrike w:val="0"/>
          <w:color w:val="auto"/>
          <w:sz w:val="21"/>
          <w:szCs w:val="21"/>
          <w:highlight w:val="none"/>
        </w:rPr>
      </w:pPr>
    </w:p>
    <w:p w14:paraId="714D1A5B">
      <w:pPr>
        <w:keepNext w:val="0"/>
        <w:keepLines w:val="0"/>
        <w:pageBreakBefore w:val="0"/>
        <w:kinsoku/>
        <w:topLinePunct w:val="0"/>
        <w:bidi w:val="0"/>
        <w:snapToGrid w:val="0"/>
        <w:spacing w:before="50" w:after="50"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br w:type="page"/>
      </w:r>
      <w:r>
        <w:rPr>
          <w:rFonts w:hint="eastAsia" w:ascii="宋体" w:hAnsi="宋体" w:eastAsia="宋体" w:cs="宋体"/>
          <w:b/>
          <w:strike w:val="0"/>
          <w:dstrike w:val="0"/>
          <w:color w:val="auto"/>
          <w:sz w:val="21"/>
          <w:szCs w:val="21"/>
          <w:highlight w:val="none"/>
        </w:rPr>
        <w:t>投标人直接管理关系信息表</w:t>
      </w:r>
    </w:p>
    <w:tbl>
      <w:tblPr>
        <w:tblStyle w:val="48"/>
        <w:tblW w:w="8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4"/>
        <w:gridCol w:w="2659"/>
        <w:gridCol w:w="3295"/>
        <w:gridCol w:w="1634"/>
      </w:tblGrid>
      <w:tr w14:paraId="6DB69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954" w:type="dxa"/>
            <w:shd w:val="clear" w:color="auto" w:fill="auto"/>
            <w:tcMar>
              <w:top w:w="120" w:type="dxa"/>
              <w:left w:w="120" w:type="dxa"/>
              <w:bottom w:w="120" w:type="dxa"/>
              <w:right w:w="120" w:type="dxa"/>
            </w:tcMar>
            <w:vAlign w:val="center"/>
          </w:tcPr>
          <w:p w14:paraId="173DA2D2">
            <w:pPr>
              <w:keepNext w:val="0"/>
              <w:keepLines w:val="0"/>
              <w:pageBreakBefore w:val="0"/>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序号</w:t>
            </w:r>
          </w:p>
        </w:tc>
        <w:tc>
          <w:tcPr>
            <w:tcW w:w="2659" w:type="dxa"/>
            <w:shd w:val="clear" w:color="auto" w:fill="auto"/>
            <w:tcMar>
              <w:top w:w="120" w:type="dxa"/>
              <w:left w:w="120" w:type="dxa"/>
              <w:bottom w:w="120" w:type="dxa"/>
              <w:right w:w="120" w:type="dxa"/>
            </w:tcMar>
            <w:vAlign w:val="center"/>
          </w:tcPr>
          <w:p w14:paraId="41D42A80">
            <w:pPr>
              <w:keepNext w:val="0"/>
              <w:keepLines w:val="0"/>
              <w:pageBreakBefore w:val="0"/>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直接管理关系单位名称</w:t>
            </w:r>
          </w:p>
        </w:tc>
        <w:tc>
          <w:tcPr>
            <w:tcW w:w="3295" w:type="dxa"/>
            <w:shd w:val="clear" w:color="auto" w:fill="auto"/>
            <w:tcMar>
              <w:top w:w="120" w:type="dxa"/>
              <w:left w:w="120" w:type="dxa"/>
              <w:bottom w:w="120" w:type="dxa"/>
              <w:right w:w="120" w:type="dxa"/>
            </w:tcMar>
            <w:vAlign w:val="center"/>
          </w:tcPr>
          <w:p w14:paraId="478AC158">
            <w:pPr>
              <w:keepNext w:val="0"/>
              <w:keepLines w:val="0"/>
              <w:pageBreakBefore w:val="0"/>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统一社会信用代码</w:t>
            </w:r>
          </w:p>
        </w:tc>
        <w:tc>
          <w:tcPr>
            <w:tcW w:w="1634" w:type="dxa"/>
            <w:shd w:val="clear" w:color="auto" w:fill="auto"/>
            <w:tcMar>
              <w:top w:w="120" w:type="dxa"/>
              <w:left w:w="120" w:type="dxa"/>
              <w:bottom w:w="120" w:type="dxa"/>
              <w:right w:w="120" w:type="dxa"/>
            </w:tcMar>
            <w:vAlign w:val="center"/>
          </w:tcPr>
          <w:p w14:paraId="38663C2E">
            <w:pPr>
              <w:keepNext w:val="0"/>
              <w:keepLines w:val="0"/>
              <w:pageBreakBefore w:val="0"/>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备注</w:t>
            </w:r>
          </w:p>
        </w:tc>
      </w:tr>
      <w:tr w14:paraId="74504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54" w:type="dxa"/>
            <w:shd w:val="clear" w:color="auto" w:fill="auto"/>
            <w:tcMar>
              <w:top w:w="120" w:type="dxa"/>
              <w:left w:w="120" w:type="dxa"/>
              <w:bottom w:w="120" w:type="dxa"/>
              <w:right w:w="120" w:type="dxa"/>
            </w:tcMar>
            <w:vAlign w:val="center"/>
          </w:tcPr>
          <w:p w14:paraId="44D67C93">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w:t>
            </w:r>
          </w:p>
        </w:tc>
        <w:tc>
          <w:tcPr>
            <w:tcW w:w="2659" w:type="dxa"/>
            <w:shd w:val="clear" w:color="auto" w:fill="auto"/>
            <w:tcMar>
              <w:top w:w="120" w:type="dxa"/>
              <w:left w:w="120" w:type="dxa"/>
              <w:bottom w:w="120" w:type="dxa"/>
              <w:right w:w="120" w:type="dxa"/>
            </w:tcMar>
            <w:vAlign w:val="center"/>
          </w:tcPr>
          <w:p w14:paraId="523C02EC">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3295" w:type="dxa"/>
            <w:shd w:val="clear" w:color="auto" w:fill="auto"/>
            <w:tcMar>
              <w:top w:w="120" w:type="dxa"/>
              <w:left w:w="120" w:type="dxa"/>
              <w:bottom w:w="120" w:type="dxa"/>
              <w:right w:w="120" w:type="dxa"/>
            </w:tcMar>
            <w:vAlign w:val="center"/>
          </w:tcPr>
          <w:p w14:paraId="5C2F5982">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634" w:type="dxa"/>
            <w:shd w:val="clear" w:color="auto" w:fill="auto"/>
            <w:tcMar>
              <w:top w:w="120" w:type="dxa"/>
              <w:left w:w="120" w:type="dxa"/>
              <w:bottom w:w="120" w:type="dxa"/>
              <w:right w:w="120" w:type="dxa"/>
            </w:tcMar>
            <w:vAlign w:val="center"/>
          </w:tcPr>
          <w:p w14:paraId="7007D2E2">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r>
      <w:tr w14:paraId="65F79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54" w:type="dxa"/>
            <w:shd w:val="clear" w:color="auto" w:fill="auto"/>
            <w:tcMar>
              <w:top w:w="120" w:type="dxa"/>
              <w:left w:w="120" w:type="dxa"/>
              <w:bottom w:w="120" w:type="dxa"/>
              <w:right w:w="120" w:type="dxa"/>
            </w:tcMar>
            <w:vAlign w:val="center"/>
          </w:tcPr>
          <w:p w14:paraId="05EA3AAD">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2</w:t>
            </w:r>
          </w:p>
        </w:tc>
        <w:tc>
          <w:tcPr>
            <w:tcW w:w="2659" w:type="dxa"/>
            <w:shd w:val="clear" w:color="auto" w:fill="auto"/>
            <w:tcMar>
              <w:top w:w="120" w:type="dxa"/>
              <w:left w:w="120" w:type="dxa"/>
              <w:bottom w:w="120" w:type="dxa"/>
              <w:right w:w="120" w:type="dxa"/>
            </w:tcMar>
            <w:vAlign w:val="center"/>
          </w:tcPr>
          <w:p w14:paraId="6153936D">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3295" w:type="dxa"/>
            <w:shd w:val="clear" w:color="auto" w:fill="auto"/>
            <w:tcMar>
              <w:top w:w="120" w:type="dxa"/>
              <w:left w:w="120" w:type="dxa"/>
              <w:bottom w:w="120" w:type="dxa"/>
              <w:right w:w="120" w:type="dxa"/>
            </w:tcMar>
            <w:vAlign w:val="center"/>
          </w:tcPr>
          <w:p w14:paraId="721FAF30">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634" w:type="dxa"/>
            <w:shd w:val="clear" w:color="auto" w:fill="auto"/>
            <w:tcMar>
              <w:top w:w="120" w:type="dxa"/>
              <w:left w:w="120" w:type="dxa"/>
              <w:bottom w:w="120" w:type="dxa"/>
              <w:right w:w="120" w:type="dxa"/>
            </w:tcMar>
            <w:vAlign w:val="center"/>
          </w:tcPr>
          <w:p w14:paraId="36A37009">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r>
      <w:tr w14:paraId="38C79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54" w:type="dxa"/>
            <w:shd w:val="clear" w:color="auto" w:fill="auto"/>
            <w:tcMar>
              <w:top w:w="120" w:type="dxa"/>
              <w:left w:w="120" w:type="dxa"/>
              <w:bottom w:w="120" w:type="dxa"/>
              <w:right w:w="120" w:type="dxa"/>
            </w:tcMar>
            <w:vAlign w:val="center"/>
          </w:tcPr>
          <w:p w14:paraId="396FB97B">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3</w:t>
            </w:r>
          </w:p>
        </w:tc>
        <w:tc>
          <w:tcPr>
            <w:tcW w:w="2659" w:type="dxa"/>
            <w:shd w:val="clear" w:color="auto" w:fill="auto"/>
            <w:tcMar>
              <w:top w:w="120" w:type="dxa"/>
              <w:left w:w="120" w:type="dxa"/>
              <w:bottom w:w="120" w:type="dxa"/>
              <w:right w:w="120" w:type="dxa"/>
            </w:tcMar>
            <w:vAlign w:val="center"/>
          </w:tcPr>
          <w:p w14:paraId="497C529F">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3295" w:type="dxa"/>
            <w:shd w:val="clear" w:color="auto" w:fill="auto"/>
            <w:tcMar>
              <w:top w:w="120" w:type="dxa"/>
              <w:left w:w="120" w:type="dxa"/>
              <w:bottom w:w="120" w:type="dxa"/>
              <w:right w:w="120" w:type="dxa"/>
            </w:tcMar>
            <w:vAlign w:val="center"/>
          </w:tcPr>
          <w:p w14:paraId="38975900">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634" w:type="dxa"/>
            <w:shd w:val="clear" w:color="auto" w:fill="auto"/>
            <w:tcMar>
              <w:top w:w="120" w:type="dxa"/>
              <w:left w:w="120" w:type="dxa"/>
              <w:bottom w:w="120" w:type="dxa"/>
              <w:right w:w="120" w:type="dxa"/>
            </w:tcMar>
            <w:vAlign w:val="center"/>
          </w:tcPr>
          <w:p w14:paraId="08D19B23">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r>
      <w:tr w14:paraId="262C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54" w:type="dxa"/>
            <w:shd w:val="clear" w:color="auto" w:fill="auto"/>
            <w:tcMar>
              <w:top w:w="120" w:type="dxa"/>
              <w:left w:w="120" w:type="dxa"/>
              <w:bottom w:w="120" w:type="dxa"/>
              <w:right w:w="120" w:type="dxa"/>
            </w:tcMar>
            <w:vAlign w:val="center"/>
          </w:tcPr>
          <w:p w14:paraId="04FCE0C3">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w:t>
            </w:r>
          </w:p>
        </w:tc>
        <w:tc>
          <w:tcPr>
            <w:tcW w:w="2659" w:type="dxa"/>
            <w:shd w:val="clear" w:color="auto" w:fill="auto"/>
            <w:tcMar>
              <w:top w:w="120" w:type="dxa"/>
              <w:left w:w="120" w:type="dxa"/>
              <w:bottom w:w="120" w:type="dxa"/>
              <w:right w:w="120" w:type="dxa"/>
            </w:tcMar>
            <w:vAlign w:val="center"/>
          </w:tcPr>
          <w:p w14:paraId="2E0B6BF7">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3295" w:type="dxa"/>
            <w:shd w:val="clear" w:color="auto" w:fill="auto"/>
            <w:tcMar>
              <w:top w:w="120" w:type="dxa"/>
              <w:left w:w="120" w:type="dxa"/>
              <w:bottom w:w="120" w:type="dxa"/>
              <w:right w:w="120" w:type="dxa"/>
            </w:tcMar>
            <w:vAlign w:val="center"/>
          </w:tcPr>
          <w:p w14:paraId="4A31EDD3">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634" w:type="dxa"/>
            <w:shd w:val="clear" w:color="auto" w:fill="auto"/>
            <w:tcMar>
              <w:top w:w="120" w:type="dxa"/>
              <w:left w:w="120" w:type="dxa"/>
              <w:bottom w:w="120" w:type="dxa"/>
              <w:right w:w="120" w:type="dxa"/>
            </w:tcMar>
            <w:vAlign w:val="center"/>
          </w:tcPr>
          <w:p w14:paraId="0243DD72">
            <w:pPr>
              <w:keepNext w:val="0"/>
              <w:keepLines w:val="0"/>
              <w:pageBreakBefore w:val="0"/>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r>
    </w:tbl>
    <w:p w14:paraId="7C9EB568">
      <w:pPr>
        <w:keepNext w:val="0"/>
        <w:keepLines w:val="0"/>
        <w:pageBreakBefore w:val="0"/>
        <w:kinsoku/>
        <w:topLinePunct w:val="0"/>
        <w:bidi w:val="0"/>
        <w:snapToGrid w:val="0"/>
        <w:spacing w:line="400" w:lineRule="exact"/>
        <w:jc w:val="left"/>
        <w:rPr>
          <w:rFonts w:hint="eastAsia" w:ascii="宋体" w:hAnsi="宋体" w:eastAsia="宋体" w:cs="宋体"/>
          <w:strike w:val="0"/>
          <w:dstrike w:val="0"/>
          <w:color w:val="auto"/>
          <w:sz w:val="21"/>
          <w:szCs w:val="21"/>
          <w:highlight w:val="none"/>
        </w:rPr>
      </w:pPr>
    </w:p>
    <w:p w14:paraId="6837FE7C">
      <w:pPr>
        <w:keepNext w:val="0"/>
        <w:keepLines w:val="0"/>
        <w:pageBreakBefore w:val="0"/>
        <w:kinsoku/>
        <w:topLinePunct w:val="0"/>
        <w:bidi w:val="0"/>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注：</w:t>
      </w:r>
    </w:p>
    <w:p w14:paraId="463884CD">
      <w:pPr>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1.管理关系：是指不具有出资持股关系的其他单位之间存在的管理与被管理关系，如一些上下级关系的事业单位和团体组织。</w:t>
      </w:r>
    </w:p>
    <w:p w14:paraId="00F79F00">
      <w:pPr>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w:t>
      </w:r>
      <w:r>
        <w:rPr>
          <w:rFonts w:hint="eastAsia" w:ascii="宋体" w:hAnsi="宋体" w:eastAsia="宋体" w:cs="宋体"/>
          <w:strike w:val="0"/>
          <w:dstrike w:val="0"/>
          <w:color w:val="auto"/>
          <w:spacing w:val="-6"/>
          <w:sz w:val="21"/>
          <w:szCs w:val="21"/>
          <w:highlight w:val="none"/>
        </w:rPr>
        <w:t>本表所指的管理关系仅限于直接管理关系，不包括间接的管理关系。</w:t>
      </w:r>
    </w:p>
    <w:p w14:paraId="2A88D526">
      <w:pPr>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3.投标人不存在直接管理关系的，则在“</w:t>
      </w:r>
      <w:r>
        <w:rPr>
          <w:rFonts w:hint="eastAsia" w:ascii="宋体" w:hAnsi="宋体" w:eastAsia="宋体" w:cs="宋体"/>
          <w:b/>
          <w:bCs/>
          <w:strike w:val="0"/>
          <w:dstrike w:val="0"/>
          <w:color w:val="auto"/>
          <w:kern w:val="0"/>
          <w:sz w:val="21"/>
          <w:szCs w:val="21"/>
          <w:highlight w:val="none"/>
        </w:rPr>
        <w:t>直接管理关系单位名称</w:t>
      </w:r>
      <w:r>
        <w:rPr>
          <w:rFonts w:hint="eastAsia" w:ascii="宋体" w:hAnsi="宋体" w:eastAsia="宋体" w:cs="宋体"/>
          <w:strike w:val="0"/>
          <w:dstrike w:val="0"/>
          <w:color w:val="auto"/>
          <w:sz w:val="21"/>
          <w:szCs w:val="21"/>
          <w:highlight w:val="none"/>
        </w:rPr>
        <w:t>”中填“无”。</w:t>
      </w:r>
    </w:p>
    <w:p w14:paraId="2F024A3E">
      <w:pPr>
        <w:keepNext w:val="0"/>
        <w:keepLines w:val="0"/>
        <w:pageBreakBefore w:val="0"/>
        <w:kinsoku/>
        <w:topLinePunct w:val="0"/>
        <w:bidi w:val="0"/>
        <w:snapToGrid w:val="0"/>
        <w:spacing w:line="400" w:lineRule="exact"/>
        <w:jc w:val="left"/>
        <w:rPr>
          <w:rFonts w:hint="eastAsia" w:ascii="宋体" w:hAnsi="宋体" w:eastAsia="宋体" w:cs="宋体"/>
          <w:strike w:val="0"/>
          <w:dstrike w:val="0"/>
          <w:color w:val="auto"/>
          <w:sz w:val="21"/>
          <w:szCs w:val="21"/>
          <w:highlight w:val="none"/>
        </w:rPr>
      </w:pPr>
    </w:p>
    <w:p w14:paraId="64F2CF51">
      <w:pPr>
        <w:keepNext w:val="0"/>
        <w:keepLines w:val="0"/>
        <w:pageBreakBefore w:val="0"/>
        <w:kinsoku/>
        <w:topLinePunct w:val="0"/>
        <w:bidi w:val="0"/>
        <w:snapToGrid w:val="0"/>
        <w:spacing w:line="400" w:lineRule="exact"/>
        <w:jc w:val="left"/>
        <w:rPr>
          <w:rFonts w:hint="eastAsia" w:ascii="宋体" w:hAnsi="宋体" w:eastAsia="宋体" w:cs="宋体"/>
          <w:strike w:val="0"/>
          <w:dstrike w:val="0"/>
          <w:color w:val="auto"/>
          <w:sz w:val="21"/>
          <w:szCs w:val="21"/>
          <w:highlight w:val="none"/>
        </w:rPr>
      </w:pPr>
    </w:p>
    <w:p w14:paraId="06BBB2B1">
      <w:pPr>
        <w:keepNext w:val="0"/>
        <w:keepLines w:val="0"/>
        <w:pageBreakBefore w:val="0"/>
        <w:kinsoku/>
        <w:topLinePunct w:val="0"/>
        <w:bidi w:val="0"/>
        <w:snapToGrid w:val="0"/>
        <w:spacing w:line="400" w:lineRule="exact"/>
        <w:jc w:val="left"/>
        <w:rPr>
          <w:rFonts w:hint="eastAsia" w:ascii="宋体" w:hAnsi="宋体" w:eastAsia="宋体" w:cs="宋体"/>
          <w:strike w:val="0"/>
          <w:dstrike w:val="0"/>
          <w:color w:val="auto"/>
          <w:sz w:val="21"/>
          <w:szCs w:val="21"/>
          <w:highlight w:val="none"/>
        </w:rPr>
      </w:pPr>
    </w:p>
    <w:p w14:paraId="098F135E">
      <w:pPr>
        <w:keepNext w:val="0"/>
        <w:keepLines w:val="0"/>
        <w:pageBreakBefore w:val="0"/>
        <w:kinsoku/>
        <w:topLinePunct w:val="0"/>
        <w:bidi w:val="0"/>
        <w:snapToGrid w:val="0"/>
        <w:spacing w:line="400" w:lineRule="exact"/>
        <w:jc w:val="left"/>
        <w:rPr>
          <w:rFonts w:hint="eastAsia" w:ascii="宋体" w:hAnsi="宋体" w:eastAsia="宋体" w:cs="宋体"/>
          <w:strike w:val="0"/>
          <w:dstrike w:val="0"/>
          <w:color w:val="auto"/>
          <w:sz w:val="21"/>
          <w:szCs w:val="21"/>
          <w:highlight w:val="none"/>
        </w:rPr>
      </w:pPr>
    </w:p>
    <w:p w14:paraId="526EB0FC">
      <w:pPr>
        <w:keepNext w:val="0"/>
        <w:keepLines w:val="0"/>
        <w:pageBreakBefore w:val="0"/>
        <w:kinsoku/>
        <w:topLinePunct w:val="0"/>
        <w:bidi w:val="0"/>
        <w:spacing w:line="400" w:lineRule="exact"/>
        <w:ind w:left="3990" w:leftChars="1900"/>
        <w:contextualSpacing/>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 xml:space="preserve">投标人（电子签章）： </w:t>
      </w:r>
      <w:r>
        <w:rPr>
          <w:rFonts w:hint="eastAsia" w:ascii="宋体" w:hAnsi="宋体" w:eastAsia="宋体" w:cs="宋体"/>
          <w:strike w:val="0"/>
          <w:dstrike w:val="0"/>
          <w:color w:val="auto"/>
          <w:sz w:val="21"/>
          <w:szCs w:val="21"/>
          <w:highlight w:val="none"/>
          <w:u w:val="single"/>
        </w:rPr>
        <w:t xml:space="preserve">                        </w:t>
      </w:r>
    </w:p>
    <w:p w14:paraId="59AB83B6">
      <w:pPr>
        <w:keepNext w:val="0"/>
        <w:keepLines w:val="0"/>
        <w:pageBreakBefore w:val="0"/>
        <w:kinsoku/>
        <w:topLinePunct w:val="0"/>
        <w:bidi w:val="0"/>
        <w:spacing w:line="400" w:lineRule="exact"/>
        <w:ind w:left="3990" w:leftChars="1900"/>
        <w:contextualSpacing/>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年</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月</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日</w:t>
      </w:r>
    </w:p>
    <w:p w14:paraId="43A21C13">
      <w:pPr>
        <w:keepNext w:val="0"/>
        <w:keepLines w:val="0"/>
        <w:pageBreakBefore w:val="0"/>
        <w:kinsoku/>
        <w:topLinePunct w:val="0"/>
        <w:bidi w:val="0"/>
        <w:snapToGrid w:val="0"/>
        <w:spacing w:beforeLines="50" w:after="50" w:line="400" w:lineRule="exact"/>
        <w:jc w:val="left"/>
        <w:rPr>
          <w:rFonts w:hint="eastAsia" w:ascii="宋体" w:hAnsi="宋体" w:eastAsia="宋体" w:cs="宋体"/>
          <w:b/>
          <w:strike w:val="0"/>
          <w:dstrike w:val="0"/>
          <w:color w:val="auto"/>
          <w:sz w:val="21"/>
          <w:szCs w:val="21"/>
          <w:highlight w:val="none"/>
        </w:rPr>
      </w:pPr>
    </w:p>
    <w:p w14:paraId="385223F5">
      <w:pPr>
        <w:keepNext w:val="0"/>
        <w:keepLines w:val="0"/>
        <w:pageBreakBefore w:val="0"/>
        <w:tabs>
          <w:tab w:val="left" w:pos="1815"/>
        </w:tabs>
        <w:kinsoku/>
        <w:topLinePunct w:val="0"/>
        <w:bidi w:val="0"/>
        <w:snapToGrid w:val="0"/>
        <w:spacing w:beforeLines="50" w:after="50" w:line="400" w:lineRule="exact"/>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br w:type="page"/>
      </w:r>
      <w:r>
        <w:rPr>
          <w:rFonts w:hint="eastAsia" w:ascii="宋体" w:hAnsi="宋体" w:eastAsia="宋体" w:cs="宋体"/>
          <w:b/>
          <w:strike w:val="0"/>
          <w:dstrike w:val="0"/>
          <w:color w:val="auto"/>
          <w:sz w:val="21"/>
          <w:szCs w:val="21"/>
          <w:highlight w:val="none"/>
        </w:rPr>
        <w:t>4.投标资格声明函</w:t>
      </w:r>
    </w:p>
    <w:p w14:paraId="6A2D2113">
      <w:pPr>
        <w:keepNext w:val="0"/>
        <w:keepLines w:val="0"/>
        <w:pageBreakBefore w:val="0"/>
        <w:kinsoku/>
        <w:topLinePunct w:val="0"/>
        <w:bidi w:val="0"/>
        <w:snapToGrid w:val="0"/>
        <w:spacing w:before="50" w:after="50" w:line="400" w:lineRule="exact"/>
        <w:jc w:val="center"/>
        <w:rPr>
          <w:rFonts w:hint="eastAsia" w:ascii="宋体" w:hAnsi="宋体" w:eastAsia="宋体" w:cs="宋体"/>
          <w:b/>
          <w:strike w:val="0"/>
          <w:dstrike w:val="0"/>
          <w:color w:val="auto"/>
          <w:sz w:val="21"/>
          <w:szCs w:val="21"/>
          <w:highlight w:val="none"/>
        </w:rPr>
      </w:pPr>
      <w:bookmarkStart w:id="296" w:name="OLE_LINK69"/>
      <w:bookmarkStart w:id="297" w:name="OLE_LINK68"/>
      <w:r>
        <w:rPr>
          <w:rFonts w:hint="eastAsia" w:ascii="宋体" w:hAnsi="宋体" w:eastAsia="宋体" w:cs="宋体"/>
          <w:b/>
          <w:strike w:val="0"/>
          <w:dstrike w:val="0"/>
          <w:color w:val="auto"/>
          <w:sz w:val="21"/>
          <w:szCs w:val="21"/>
          <w:highlight w:val="none"/>
        </w:rPr>
        <w:t>投标资格声明函</w:t>
      </w:r>
      <w:bookmarkEnd w:id="296"/>
      <w:bookmarkEnd w:id="297"/>
    </w:p>
    <w:p w14:paraId="6E183256">
      <w:pPr>
        <w:keepNext w:val="0"/>
        <w:keepLines w:val="0"/>
        <w:pageBreakBefore w:val="0"/>
        <w:tabs>
          <w:tab w:val="left" w:pos="7200"/>
        </w:tabs>
        <w:kinsoku/>
        <w:topLinePunct w:val="0"/>
        <w:bidi w:val="0"/>
        <w:spacing w:line="400" w:lineRule="exact"/>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致：</w:t>
      </w:r>
      <w:r>
        <w:rPr>
          <w:rFonts w:hint="eastAsia" w:ascii="宋体" w:hAnsi="宋体" w:eastAsia="宋体" w:cs="宋体"/>
          <w:strike w:val="0"/>
          <w:dstrike w:val="0"/>
          <w:color w:val="auto"/>
          <w:sz w:val="21"/>
          <w:szCs w:val="21"/>
          <w:highlight w:val="none"/>
          <w:u w:val="single"/>
        </w:rPr>
        <w:t xml:space="preserve">（采购人/采购代理机构） </w:t>
      </w:r>
    </w:p>
    <w:p w14:paraId="6E47B6ED">
      <w:pPr>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我方愿意参加贵方组织的</w:t>
      </w:r>
      <w:bookmarkStart w:id="298" w:name="OLE_LINK283"/>
      <w:bookmarkStart w:id="299" w:name="OLE_LINK282"/>
      <w:r>
        <w:rPr>
          <w:rFonts w:hint="eastAsia" w:ascii="宋体" w:hAnsi="宋体" w:eastAsia="宋体" w:cs="宋体"/>
          <w:strike w:val="0"/>
          <w:dstrike w:val="0"/>
          <w:color w:val="auto"/>
          <w:sz w:val="21"/>
          <w:szCs w:val="21"/>
          <w:highlight w:val="none"/>
          <w:u w:val="single"/>
        </w:rPr>
        <w:t>（项目名称/项目编号</w:t>
      </w:r>
      <w:r>
        <w:rPr>
          <w:rFonts w:hint="eastAsia" w:ascii="宋体" w:hAnsi="宋体" w:eastAsia="宋体" w:cs="宋体"/>
          <w:strike w:val="0"/>
          <w:dstrike w:val="0"/>
          <w:color w:val="auto"/>
          <w:sz w:val="21"/>
          <w:szCs w:val="21"/>
          <w:highlight w:val="none"/>
        </w:rPr>
        <w:t>）</w:t>
      </w:r>
      <w:bookmarkEnd w:id="298"/>
      <w:bookmarkEnd w:id="299"/>
      <w:r>
        <w:rPr>
          <w:rFonts w:hint="eastAsia" w:ascii="宋体" w:hAnsi="宋体" w:eastAsia="宋体" w:cs="宋体"/>
          <w:strike w:val="0"/>
          <w:dstrike w:val="0"/>
          <w:color w:val="auto"/>
          <w:sz w:val="21"/>
          <w:szCs w:val="21"/>
          <w:highlight w:val="none"/>
        </w:rPr>
        <w:t>项目的投标，</w:t>
      </w:r>
      <w:bookmarkStart w:id="300" w:name="OLE_LINK70"/>
      <w:bookmarkStart w:id="301" w:name="OLE_LINK71"/>
      <w:r>
        <w:rPr>
          <w:rFonts w:hint="eastAsia" w:ascii="宋体" w:hAnsi="宋体" w:eastAsia="宋体" w:cs="宋体"/>
          <w:strike w:val="0"/>
          <w:dstrike w:val="0"/>
          <w:color w:val="auto"/>
          <w:sz w:val="21"/>
          <w:szCs w:val="21"/>
          <w:highlight w:val="none"/>
        </w:rPr>
        <w:t>为便于贵方公正、择优地确定中标人，我方就本次投标有关事项郑重声明如下：</w:t>
      </w:r>
      <w:bookmarkEnd w:id="300"/>
      <w:bookmarkEnd w:id="301"/>
    </w:p>
    <w:p w14:paraId="175E6370">
      <w:pPr>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bookmarkStart w:id="302" w:name="OLE_LINK72"/>
      <w:bookmarkStart w:id="303" w:name="OLE_LINK73"/>
      <w:r>
        <w:rPr>
          <w:rFonts w:hint="eastAsia" w:ascii="宋体" w:hAnsi="宋体" w:eastAsia="宋体" w:cs="宋体"/>
          <w:strike w:val="0"/>
          <w:dstrike w:val="0"/>
          <w:color w:val="auto"/>
          <w:sz w:val="21"/>
          <w:szCs w:val="21"/>
          <w:highlight w:val="none"/>
        </w:rPr>
        <w:t>1.我方承诺已经具备《中华人民共和国政府采购法》第二十二条中规定的参加政府采购活动的投标人应当具备的条件并按本项目投标文件“第三章”“第二节投标人须知前附表”中“资格证明文件组成”完整提供证明材料。</w:t>
      </w:r>
    </w:p>
    <w:p w14:paraId="7D87FDF5">
      <w:pPr>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2.我方不是为本次采购项目提供整体设计、规范编制或者项目管理、监理、检测等服务的投标人；在获知本项目采购信息后，与采购人聘请的为此项目提供咨询服务的公司及其附属机构没有任何联系。</w:t>
      </w:r>
    </w:p>
    <w:p w14:paraId="3759D168">
      <w:pPr>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3.经查询，在“信用中国”和“中国政府采购网”网站我方未被列入失信被执行人、重大税收违法失信主体、政府采购严重违法失信行为记录名单。</w:t>
      </w:r>
    </w:p>
    <w:p w14:paraId="267EE7D2">
      <w:pPr>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 xml:space="preserve">4.以上事项如有虚假或隐瞒，我方愿意承担一切后果，并不再寻求任何旨在减轻或免除法律责任的辩解。 </w:t>
      </w:r>
    </w:p>
    <w:bookmarkEnd w:id="302"/>
    <w:bookmarkEnd w:id="303"/>
    <w:p w14:paraId="2E5CF734">
      <w:pPr>
        <w:keepNext w:val="0"/>
        <w:keepLines w:val="0"/>
        <w:pageBreakBefore w:val="0"/>
        <w:tabs>
          <w:tab w:val="left" w:pos="7200"/>
        </w:tabs>
        <w:kinsoku/>
        <w:topLinePunct w:val="0"/>
        <w:bidi w:val="0"/>
        <w:spacing w:line="400" w:lineRule="exact"/>
        <w:ind w:firstLine="315" w:firstLineChars="15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说明：</w:t>
      </w:r>
    </w:p>
    <w:p w14:paraId="7683801C">
      <w:pPr>
        <w:keepNext w:val="0"/>
        <w:keepLines w:val="0"/>
        <w:pageBreakBefore w:val="0"/>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1.投标人应当通过“信用中国”（www.creditchina.gov.cn）和“中国政府采购网”网站（</w:t>
      </w:r>
      <w:r>
        <w:rPr>
          <w:rFonts w:hint="eastAsia" w:ascii="宋体" w:hAnsi="宋体" w:eastAsia="宋体" w:cs="宋体"/>
          <w:strike w:val="0"/>
          <w:dstrike w:val="0"/>
          <w:color w:val="auto"/>
          <w:sz w:val="21"/>
          <w:szCs w:val="21"/>
          <w:highlight w:val="none"/>
          <w:lang w:eastAsia="zh-CN"/>
        </w:rPr>
        <w:t>www.ccgp.gov.cn</w:t>
      </w:r>
      <w:r>
        <w:rPr>
          <w:rFonts w:hint="eastAsia" w:ascii="宋体" w:hAnsi="宋体" w:eastAsia="宋体" w:cs="宋体"/>
          <w:strike w:val="0"/>
          <w:dstrike w:val="0"/>
          <w:color w:val="auto"/>
          <w:sz w:val="21"/>
          <w:szCs w:val="21"/>
          <w:highlight w:val="none"/>
        </w:rPr>
        <w:t>）查询投标人相关主体的信用记录。查询时间为本项目招标公告发布之日起至投标截止时间中任意一天。对列入失信被执行人、重大税收违法失信主体、政府采购严重违法失信行为记录名单的投标人，将被拒绝参与本项目政府采购活动。</w:t>
      </w:r>
    </w:p>
    <w:p w14:paraId="70EE4162">
      <w:pPr>
        <w:keepNext w:val="0"/>
        <w:keepLines w:val="0"/>
        <w:pageBreakBefore w:val="0"/>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两个以上的自然人、法人或者其他组织组成一个联合体，以一个投标人的身份共同参加政府采购活动的，应当对所有联合体成员进行信用记录查询，联合体成员存在不良信用记录的，视同联合体存在不良信用记录。</w:t>
      </w:r>
    </w:p>
    <w:p w14:paraId="130C2B83">
      <w:pPr>
        <w:keepNext w:val="0"/>
        <w:keepLines w:val="0"/>
        <w:pageBreakBefore w:val="0"/>
        <w:kinsoku/>
        <w:topLinePunct w:val="0"/>
        <w:bidi w:val="0"/>
        <w:spacing w:line="400" w:lineRule="exact"/>
        <w:ind w:firstLine="480"/>
        <w:jc w:val="left"/>
        <w:rPr>
          <w:rFonts w:hint="eastAsia" w:ascii="宋体" w:hAnsi="宋体" w:eastAsia="宋体" w:cs="宋体"/>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3.</w:t>
      </w:r>
      <w:r>
        <w:rPr>
          <w:rFonts w:hint="eastAsia" w:ascii="宋体" w:hAnsi="宋体" w:eastAsia="宋体" w:cs="宋体"/>
          <w:b/>
          <w:bCs/>
          <w:strike w:val="0"/>
          <w:dstrike w:val="0"/>
          <w:color w:val="auto"/>
          <w:sz w:val="21"/>
          <w:szCs w:val="21"/>
          <w:highlight w:val="none"/>
        </w:rPr>
        <w:t>注：如为联合体</w:t>
      </w:r>
      <w:r>
        <w:rPr>
          <w:rFonts w:hint="eastAsia" w:ascii="宋体" w:hAnsi="宋体" w:cs="宋体"/>
          <w:b/>
          <w:bCs/>
          <w:strike w:val="0"/>
          <w:dstrike w:val="0"/>
          <w:color w:val="auto"/>
          <w:sz w:val="21"/>
          <w:szCs w:val="21"/>
          <w:highlight w:val="none"/>
          <w:lang w:val="en-US" w:eastAsia="zh-CN"/>
        </w:rPr>
        <w:t>投</w:t>
      </w:r>
      <w:r>
        <w:rPr>
          <w:rFonts w:hint="eastAsia" w:ascii="宋体" w:hAnsi="宋体" w:eastAsia="宋体" w:cs="宋体"/>
          <w:b/>
          <w:bCs/>
          <w:strike w:val="0"/>
          <w:dstrike w:val="0"/>
          <w:color w:val="auto"/>
          <w:sz w:val="21"/>
          <w:szCs w:val="21"/>
          <w:highlight w:val="none"/>
        </w:rPr>
        <w:t>标，盖章处须加盖联合体各方公章并由联合体各方法定代表人分别签署，否则投标无效。</w:t>
      </w:r>
    </w:p>
    <w:p w14:paraId="2C54D002">
      <w:pPr>
        <w:keepNext w:val="0"/>
        <w:keepLines w:val="0"/>
        <w:pageBreakBefore w:val="0"/>
        <w:kinsoku/>
        <w:topLinePunct w:val="0"/>
        <w:bidi w:val="0"/>
        <w:spacing w:line="400" w:lineRule="exact"/>
        <w:ind w:left="0" w:leftChars="0" w:firstLine="0" w:firstLineChars="0"/>
        <w:contextualSpacing/>
        <w:jc w:val="right"/>
        <w:rPr>
          <w:rFonts w:hint="eastAsia" w:ascii="宋体" w:hAnsi="宋体" w:eastAsia="宋体" w:cs="宋体"/>
          <w:strike w:val="0"/>
          <w:dstrike w:val="0"/>
          <w:color w:val="auto"/>
          <w:sz w:val="21"/>
          <w:szCs w:val="21"/>
          <w:highlight w:val="none"/>
        </w:rPr>
      </w:pPr>
    </w:p>
    <w:p w14:paraId="180CE7B8">
      <w:pPr>
        <w:keepNext w:val="0"/>
        <w:keepLines w:val="0"/>
        <w:pageBreakBefore w:val="0"/>
        <w:kinsoku/>
        <w:topLinePunct w:val="0"/>
        <w:bidi w:val="0"/>
        <w:spacing w:line="400" w:lineRule="exact"/>
        <w:ind w:left="0" w:leftChars="0" w:firstLine="0" w:firstLineChars="0"/>
        <w:contextualSpacing/>
        <w:jc w:val="righ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法定代表人：（签字或者电子签名）</w:t>
      </w:r>
    </w:p>
    <w:p w14:paraId="13838EF1">
      <w:pPr>
        <w:keepNext w:val="0"/>
        <w:keepLines w:val="0"/>
        <w:pageBreakBefore w:val="0"/>
        <w:kinsoku/>
        <w:topLinePunct w:val="0"/>
        <w:bidi w:val="0"/>
        <w:spacing w:line="400" w:lineRule="exact"/>
        <w:ind w:left="3990" w:leftChars="1900"/>
        <w:contextualSpacing/>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 xml:space="preserve">投标人（电子签章）： </w:t>
      </w:r>
      <w:r>
        <w:rPr>
          <w:rFonts w:hint="eastAsia" w:ascii="宋体" w:hAnsi="宋体" w:eastAsia="宋体" w:cs="宋体"/>
          <w:strike w:val="0"/>
          <w:dstrike w:val="0"/>
          <w:color w:val="auto"/>
          <w:sz w:val="21"/>
          <w:szCs w:val="21"/>
          <w:highlight w:val="none"/>
          <w:u w:val="single"/>
        </w:rPr>
        <w:t xml:space="preserve">                        </w:t>
      </w:r>
    </w:p>
    <w:p w14:paraId="5A4AD72B">
      <w:pPr>
        <w:keepNext w:val="0"/>
        <w:keepLines w:val="0"/>
        <w:pageBreakBefore w:val="0"/>
        <w:kinsoku/>
        <w:topLinePunct w:val="0"/>
        <w:bidi w:val="0"/>
        <w:spacing w:line="400" w:lineRule="exact"/>
        <w:ind w:left="3990" w:leftChars="1900"/>
        <w:contextualSpacing/>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年</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月</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日</w:t>
      </w:r>
    </w:p>
    <w:p w14:paraId="74FE030C">
      <w:pPr>
        <w:keepNext w:val="0"/>
        <w:keepLines w:val="0"/>
        <w:pageBreakBefore w:val="0"/>
        <w:widowControl/>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sz w:val="21"/>
          <w:szCs w:val="21"/>
          <w:highlight w:val="none"/>
        </w:rPr>
        <w:br w:type="page"/>
      </w:r>
    </w:p>
    <w:p w14:paraId="359D9352">
      <w:pPr>
        <w:keepNext w:val="0"/>
        <w:keepLines w:val="0"/>
        <w:pageBreakBefore w:val="0"/>
        <w:kinsoku/>
        <w:topLinePunct w:val="0"/>
        <w:bidi w:val="0"/>
        <w:spacing w:line="400" w:lineRule="exact"/>
        <w:outlineLvl w:val="1"/>
        <w:rPr>
          <w:rFonts w:hint="eastAsia" w:ascii="宋体" w:hAnsi="宋体" w:eastAsia="宋体" w:cs="宋体"/>
          <w:b/>
          <w:strike w:val="0"/>
          <w:dstrike w:val="0"/>
          <w:color w:val="auto"/>
          <w:sz w:val="21"/>
          <w:szCs w:val="21"/>
          <w:highlight w:val="none"/>
        </w:rPr>
        <w:sectPr>
          <w:pgSz w:w="11906" w:h="16838"/>
          <w:pgMar w:top="1440" w:right="1800" w:bottom="1440" w:left="1800" w:header="737" w:footer="680" w:gutter="113"/>
          <w:pgNumType w:fmt="decimal"/>
          <w:cols w:space="720" w:num="1"/>
          <w:titlePg/>
          <w:docGrid w:linePitch="312" w:charSpace="0"/>
        </w:sectPr>
      </w:pPr>
      <w:bookmarkStart w:id="304" w:name="_Toc19686838"/>
    </w:p>
    <w:p w14:paraId="279BC1C7">
      <w:pPr>
        <w:keepNext w:val="0"/>
        <w:keepLines w:val="0"/>
        <w:pageBreakBefore w:val="0"/>
        <w:kinsoku/>
        <w:topLinePunct w:val="0"/>
        <w:bidi w:val="0"/>
        <w:snapToGrid w:val="0"/>
        <w:spacing w:beforeLines="50" w:after="50" w:line="400" w:lineRule="exact"/>
        <w:ind w:left="142"/>
        <w:jc w:val="left"/>
        <w:outlineLvl w:val="2"/>
        <w:rPr>
          <w:rFonts w:hint="eastAsia" w:ascii="宋体" w:hAnsi="宋体" w:eastAsia="宋体" w:cs="宋体"/>
          <w:b/>
          <w:strike w:val="0"/>
          <w:dstrike w:val="0"/>
          <w:color w:val="auto"/>
          <w:spacing w:val="20"/>
          <w:sz w:val="21"/>
          <w:szCs w:val="21"/>
          <w:highlight w:val="none"/>
        </w:rPr>
      </w:pPr>
      <w:r>
        <w:rPr>
          <w:rFonts w:hint="eastAsia" w:ascii="宋体" w:hAnsi="宋体" w:eastAsia="宋体" w:cs="宋体"/>
          <w:b/>
          <w:strike w:val="0"/>
          <w:dstrike w:val="0"/>
          <w:color w:val="auto"/>
          <w:spacing w:val="20"/>
          <w:sz w:val="21"/>
          <w:szCs w:val="21"/>
          <w:highlight w:val="none"/>
          <w:lang w:val="en-US" w:eastAsia="zh-CN"/>
        </w:rPr>
        <w:t>5</w:t>
      </w:r>
      <w:r>
        <w:rPr>
          <w:rFonts w:hint="eastAsia" w:ascii="宋体" w:hAnsi="宋体" w:eastAsia="宋体" w:cs="宋体"/>
          <w:b/>
          <w:strike w:val="0"/>
          <w:dstrike w:val="0"/>
          <w:color w:val="auto"/>
          <w:spacing w:val="20"/>
          <w:sz w:val="21"/>
          <w:szCs w:val="21"/>
          <w:highlight w:val="none"/>
        </w:rPr>
        <w:t>.联合投标协议书格式</w:t>
      </w:r>
    </w:p>
    <w:p w14:paraId="676DFC6A">
      <w:pPr>
        <w:keepNext w:val="0"/>
        <w:keepLines w:val="0"/>
        <w:pageBreakBefore w:val="0"/>
        <w:kinsoku/>
        <w:topLinePunct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联合投标协议书</w:t>
      </w:r>
    </w:p>
    <w:p w14:paraId="1A640A2E">
      <w:pPr>
        <w:pStyle w:val="8"/>
        <w:keepNext w:val="0"/>
        <w:keepLines w:val="0"/>
        <w:pageBreakBefore w:val="0"/>
        <w:kinsoku/>
        <w:overflowPunct w:val="0"/>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u w:val="single"/>
        </w:rPr>
        <w:t>（所有成员单位名称）</w:t>
      </w:r>
      <w:r>
        <w:rPr>
          <w:rFonts w:hint="eastAsia" w:ascii="宋体" w:hAnsi="宋体" w:eastAsia="宋体" w:cs="宋体"/>
          <w:strike w:val="0"/>
          <w:dstrike w:val="0"/>
          <w:color w:val="auto"/>
          <w:sz w:val="21"/>
          <w:szCs w:val="21"/>
          <w:highlight w:val="none"/>
        </w:rPr>
        <w:t>自愿组成</w:t>
      </w:r>
      <w:r>
        <w:rPr>
          <w:rFonts w:hint="eastAsia" w:ascii="宋体" w:hAnsi="宋体" w:eastAsia="宋体" w:cs="宋体"/>
          <w:strike w:val="0"/>
          <w:dstrike w:val="0"/>
          <w:color w:val="auto"/>
          <w:sz w:val="21"/>
          <w:szCs w:val="21"/>
          <w:highlight w:val="none"/>
          <w:u w:val="single"/>
        </w:rPr>
        <w:t>（联合体名称）</w:t>
      </w:r>
      <w:r>
        <w:rPr>
          <w:rFonts w:hint="eastAsia" w:ascii="宋体" w:hAnsi="宋体" w:eastAsia="宋体" w:cs="宋体"/>
          <w:strike w:val="0"/>
          <w:dstrike w:val="0"/>
          <w:color w:val="auto"/>
          <w:sz w:val="21"/>
          <w:szCs w:val="21"/>
          <w:highlight w:val="none"/>
        </w:rPr>
        <w:t>联合体，共同参加</w:t>
      </w:r>
      <w:r>
        <w:rPr>
          <w:rFonts w:hint="eastAsia" w:ascii="宋体" w:hAnsi="宋体" w:eastAsia="宋体" w:cs="宋体"/>
          <w:strike w:val="0"/>
          <w:dstrike w:val="0"/>
          <w:color w:val="auto"/>
          <w:sz w:val="21"/>
          <w:szCs w:val="21"/>
          <w:highlight w:val="none"/>
          <w:u w:val="single"/>
        </w:rPr>
        <w:tab/>
      </w:r>
      <w:r>
        <w:rPr>
          <w:rFonts w:hint="eastAsia" w:ascii="宋体" w:hAnsi="宋体" w:eastAsia="宋体" w:cs="宋体"/>
          <w:strike w:val="0"/>
          <w:dstrike w:val="0"/>
          <w:color w:val="auto"/>
          <w:sz w:val="21"/>
          <w:szCs w:val="21"/>
          <w:highlight w:val="none"/>
          <w:u w:val="single"/>
        </w:rPr>
        <w:t>（项目名称/项目编号</w:t>
      </w:r>
      <w:r>
        <w:rPr>
          <w:rFonts w:hint="eastAsia" w:ascii="宋体" w:hAnsi="宋体" w:eastAsia="宋体" w:cs="宋体"/>
          <w:strike w:val="0"/>
          <w:dstrike w:val="0"/>
          <w:color w:val="auto"/>
          <w:sz w:val="21"/>
          <w:szCs w:val="21"/>
          <w:highlight w:val="none"/>
        </w:rPr>
        <w:t>）采购项目投标。现就联合体投标事宜订立如下协议。</w:t>
      </w:r>
    </w:p>
    <w:p w14:paraId="6F1D9F83">
      <w:pPr>
        <w:pStyle w:val="8"/>
        <w:keepNext w:val="0"/>
        <w:keepLines w:val="0"/>
        <w:pageBreakBefore w:val="0"/>
        <w:kinsoku/>
        <w:overflowPunct w:val="0"/>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w:t>
      </w:r>
      <w:r>
        <w:rPr>
          <w:rFonts w:hint="eastAsia" w:ascii="宋体" w:hAnsi="宋体" w:eastAsia="宋体" w:cs="宋体"/>
          <w:strike w:val="0"/>
          <w:dstrike w:val="0"/>
          <w:color w:val="auto"/>
          <w:sz w:val="21"/>
          <w:szCs w:val="21"/>
          <w:highlight w:val="none"/>
          <w:u w:val="single"/>
        </w:rPr>
        <w:tab/>
      </w:r>
      <w:r>
        <w:rPr>
          <w:rFonts w:hint="eastAsia" w:ascii="宋体" w:hAnsi="宋体" w:eastAsia="宋体" w:cs="宋体"/>
          <w:strike w:val="0"/>
          <w:dstrike w:val="0"/>
          <w:color w:val="auto"/>
          <w:sz w:val="21"/>
          <w:szCs w:val="21"/>
          <w:highlight w:val="none"/>
          <w:u w:val="single"/>
        </w:rPr>
        <w:t>（某成员单位名称）</w:t>
      </w:r>
      <w:r>
        <w:rPr>
          <w:rFonts w:hint="eastAsia" w:ascii="宋体" w:hAnsi="宋体" w:eastAsia="宋体" w:cs="宋体"/>
          <w:strike w:val="0"/>
          <w:dstrike w:val="0"/>
          <w:color w:val="auto"/>
          <w:sz w:val="21"/>
          <w:szCs w:val="21"/>
          <w:highlight w:val="none"/>
        </w:rPr>
        <w:t>为</w:t>
      </w:r>
      <w:r>
        <w:rPr>
          <w:rFonts w:hint="eastAsia" w:ascii="宋体" w:hAnsi="宋体" w:eastAsia="宋体" w:cs="宋体"/>
          <w:strike w:val="0"/>
          <w:dstrike w:val="0"/>
          <w:color w:val="auto"/>
          <w:sz w:val="21"/>
          <w:szCs w:val="21"/>
          <w:highlight w:val="none"/>
          <w:u w:val="single"/>
        </w:rPr>
        <w:t>（联合体名称）</w:t>
      </w:r>
      <w:r>
        <w:rPr>
          <w:rFonts w:hint="eastAsia" w:ascii="宋体" w:hAnsi="宋体" w:eastAsia="宋体" w:cs="宋体"/>
          <w:strike w:val="0"/>
          <w:dstrike w:val="0"/>
          <w:color w:val="auto"/>
          <w:sz w:val="21"/>
          <w:szCs w:val="21"/>
          <w:highlight w:val="none"/>
        </w:rPr>
        <w:t>牵头人。</w:t>
      </w:r>
    </w:p>
    <w:p w14:paraId="7AFCEC30">
      <w:pPr>
        <w:pStyle w:val="8"/>
        <w:keepNext w:val="0"/>
        <w:keepLines w:val="0"/>
        <w:pageBreakBefore w:val="0"/>
        <w:kinsoku/>
        <w:overflowPunct w:val="0"/>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联合体各成员授权牵头人代表联合体参加投标活动，签署文件及对文件的盖章，提交和接收相关的资料、信息及指示，进行合同谈判活动，负责合同实施阶段的组织和协调工作，以及处理与本采购项目有关的一切事宜。</w:t>
      </w:r>
    </w:p>
    <w:p w14:paraId="72DD3703">
      <w:pPr>
        <w:pStyle w:val="8"/>
        <w:keepNext w:val="0"/>
        <w:keepLines w:val="0"/>
        <w:pageBreakBefore w:val="0"/>
        <w:kinsoku/>
        <w:overflowPunct w:val="0"/>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3.联合体牵头人在本项目中签署和盖章的一切文件和处理的一切事宜，联合体各成员均予以承认。联合体各成员将严格按照招标文件、投标文件和合同的要求全面履行义务，并向招标人承担连带责任。</w:t>
      </w:r>
    </w:p>
    <w:p w14:paraId="75FB7803">
      <w:pPr>
        <w:pStyle w:val="8"/>
        <w:keepNext w:val="0"/>
        <w:keepLines w:val="0"/>
        <w:pageBreakBefore w:val="0"/>
        <w:kinsoku/>
        <w:overflowPunct w:val="0"/>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4.对本项目的保密要求及提供的保密承诺全部材料，联合体各成员单位严格执行，任何一方均对保密事项负责，并无条件向采购人承担保密承诺的任何责任。</w:t>
      </w:r>
    </w:p>
    <w:p w14:paraId="2D21E4D4">
      <w:pPr>
        <w:pStyle w:val="8"/>
        <w:keepNext w:val="0"/>
        <w:keepLines w:val="0"/>
        <w:pageBreakBefore w:val="0"/>
        <w:kinsoku/>
        <w:overflowPunct w:val="0"/>
        <w:topLinePunct w:val="0"/>
        <w:bidi w:val="0"/>
        <w:spacing w:line="400" w:lineRule="exact"/>
        <w:ind w:firstLine="420" w:firstLineChars="200"/>
        <w:outlineLvl w:val="2"/>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5.联合体各成员单位内部的职责分工如下：</w:t>
      </w:r>
      <w:r>
        <w:rPr>
          <w:rFonts w:hint="eastAsia" w:ascii="宋体" w:hAnsi="宋体" w:eastAsia="宋体" w:cs="宋体"/>
          <w:strike w:val="0"/>
          <w:dstrike w:val="0"/>
          <w:color w:val="auto"/>
          <w:sz w:val="21"/>
          <w:szCs w:val="21"/>
          <w:highlight w:val="none"/>
          <w:u w:val="single"/>
        </w:rPr>
        <w:tab/>
      </w:r>
      <w:r>
        <w:rPr>
          <w:rFonts w:hint="eastAsia" w:ascii="宋体" w:hAnsi="宋体" w:eastAsia="宋体" w:cs="宋体"/>
          <w:strike w:val="0"/>
          <w:dstrike w:val="0"/>
          <w:color w:val="auto"/>
          <w:sz w:val="21"/>
          <w:szCs w:val="21"/>
          <w:highlight w:val="none"/>
          <w:u w:val="single"/>
        </w:rPr>
        <w:tab/>
      </w:r>
      <w:r>
        <w:rPr>
          <w:rFonts w:hint="eastAsia" w:ascii="宋体" w:hAnsi="宋体" w:eastAsia="宋体" w:cs="宋体"/>
          <w:strike w:val="0"/>
          <w:dstrike w:val="0"/>
          <w:color w:val="auto"/>
          <w:sz w:val="21"/>
          <w:szCs w:val="21"/>
          <w:highlight w:val="none"/>
          <w:u w:val="single"/>
        </w:rPr>
        <w:tab/>
      </w:r>
      <w:r>
        <w:rPr>
          <w:rFonts w:hint="eastAsia" w:ascii="宋体" w:hAnsi="宋体" w:eastAsia="宋体" w:cs="宋体"/>
          <w:strike w:val="0"/>
          <w:dstrike w:val="0"/>
          <w:color w:val="auto"/>
          <w:sz w:val="21"/>
          <w:szCs w:val="21"/>
          <w:highlight w:val="none"/>
          <w:u w:val="single"/>
        </w:rPr>
        <w:tab/>
      </w:r>
      <w:r>
        <w:rPr>
          <w:rFonts w:hint="eastAsia" w:ascii="宋体" w:hAnsi="宋体" w:eastAsia="宋体" w:cs="宋体"/>
          <w:strike w:val="0"/>
          <w:dstrike w:val="0"/>
          <w:color w:val="auto"/>
          <w:sz w:val="21"/>
          <w:szCs w:val="21"/>
          <w:highlight w:val="none"/>
          <w:u w:val="single"/>
        </w:rPr>
        <w:tab/>
      </w:r>
      <w:r>
        <w:rPr>
          <w:rFonts w:hint="eastAsia" w:ascii="宋体" w:hAnsi="宋体" w:eastAsia="宋体" w:cs="宋体"/>
          <w:strike w:val="0"/>
          <w:dstrike w:val="0"/>
          <w:color w:val="auto"/>
          <w:sz w:val="21"/>
          <w:szCs w:val="21"/>
          <w:highlight w:val="none"/>
        </w:rPr>
        <w:t>。</w:t>
      </w:r>
    </w:p>
    <w:p w14:paraId="4BE973E3">
      <w:pPr>
        <w:keepNext w:val="0"/>
        <w:keepLines w:val="0"/>
        <w:pageBreakBefore w:val="0"/>
        <w:kinsoku/>
        <w:topLinePunct w:val="0"/>
        <w:bidi w:val="0"/>
        <w:snapToGrid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kern w:val="0"/>
          <w:sz w:val="21"/>
          <w:szCs w:val="21"/>
          <w:highlight w:val="none"/>
        </w:rPr>
        <w:t>6.本联合体中</w:t>
      </w:r>
      <w:r>
        <w:rPr>
          <w:rFonts w:hint="eastAsia" w:ascii="宋体" w:hAnsi="宋体" w:eastAsia="宋体" w:cs="宋体"/>
          <w:strike w:val="0"/>
          <w:dstrike w:val="0"/>
          <w:color w:val="auto"/>
          <w:sz w:val="21"/>
          <w:szCs w:val="21"/>
          <w:highlight w:val="none"/>
          <w:u w:val="single"/>
        </w:rPr>
        <w:tab/>
      </w:r>
      <w:r>
        <w:rPr>
          <w:rFonts w:hint="eastAsia" w:ascii="宋体" w:hAnsi="宋体" w:eastAsia="宋体" w:cs="宋体"/>
          <w:strike w:val="0"/>
          <w:dstrike w:val="0"/>
          <w:color w:val="auto"/>
          <w:kern w:val="0"/>
          <w:sz w:val="21"/>
          <w:szCs w:val="21"/>
          <w:highlight w:val="none"/>
          <w:u w:val="single"/>
        </w:rPr>
        <w:t>（某成员单位名称）为</w:t>
      </w:r>
      <w:r>
        <w:rPr>
          <w:rFonts w:hint="eastAsia" w:ascii="宋体" w:hAnsi="宋体" w:eastAsia="宋体" w:cs="宋体"/>
          <w:strike w:val="0"/>
          <w:dstrike w:val="0"/>
          <w:color w:val="auto"/>
          <w:sz w:val="21"/>
          <w:szCs w:val="21"/>
          <w:highlight w:val="none"/>
          <w:u w:val="single"/>
        </w:rPr>
        <w:t>（请填写：中型企业、小型企业、微型企业或其他）</w:t>
      </w:r>
      <w:r>
        <w:rPr>
          <w:rFonts w:hint="eastAsia" w:ascii="宋体" w:hAnsi="宋体" w:eastAsia="宋体" w:cs="宋体"/>
          <w:strike w:val="0"/>
          <w:dstrike w:val="0"/>
          <w:color w:val="auto"/>
          <w:sz w:val="21"/>
          <w:szCs w:val="21"/>
          <w:highlight w:val="none"/>
        </w:rPr>
        <w:t>，其协议合同金额占联合体协议合同总金额的</w:t>
      </w:r>
      <w:r>
        <w:rPr>
          <w:rFonts w:hint="eastAsia" w:ascii="宋体" w:hAnsi="宋体" w:eastAsia="宋体" w:cs="宋体"/>
          <w:strike w:val="0"/>
          <w:dstrike w:val="0"/>
          <w:color w:val="auto"/>
          <w:sz w:val="21"/>
          <w:szCs w:val="21"/>
          <w:highlight w:val="none"/>
          <w:u w:val="single"/>
        </w:rPr>
        <w:tab/>
      </w:r>
      <w:r>
        <w:rPr>
          <w:rFonts w:hint="eastAsia" w:ascii="宋体" w:hAnsi="宋体" w:eastAsia="宋体" w:cs="宋体"/>
          <w:strike w:val="0"/>
          <w:dstrike w:val="0"/>
          <w:color w:val="auto"/>
          <w:sz w:val="21"/>
          <w:szCs w:val="21"/>
          <w:highlight w:val="none"/>
          <w:u w:val="single"/>
        </w:rPr>
        <w:tab/>
      </w:r>
      <w:r>
        <w:rPr>
          <w:rFonts w:hint="eastAsia" w:ascii="宋体" w:hAnsi="宋体" w:eastAsia="宋体" w:cs="宋体"/>
          <w:strike w:val="0"/>
          <w:dstrike w:val="0"/>
          <w:color w:val="auto"/>
          <w:sz w:val="21"/>
          <w:szCs w:val="21"/>
          <w:highlight w:val="none"/>
        </w:rPr>
        <w:t>%。【如联合体成员中有多个的，请逐一列出。】</w:t>
      </w:r>
    </w:p>
    <w:p w14:paraId="321CE353">
      <w:pPr>
        <w:pStyle w:val="8"/>
        <w:keepNext w:val="0"/>
        <w:keepLines w:val="0"/>
        <w:pageBreakBefore w:val="0"/>
        <w:kinsoku/>
        <w:overflowPunct w:val="0"/>
        <w:topLinePunct w:val="0"/>
        <w:bidi w:val="0"/>
        <w:spacing w:line="400" w:lineRule="exact"/>
        <w:ind w:firstLine="420" w:firstLineChars="200"/>
        <w:outlineLvl w:val="2"/>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7.其他相关事项：</w:t>
      </w:r>
      <w:r>
        <w:rPr>
          <w:rFonts w:hint="eastAsia" w:ascii="宋体" w:hAnsi="宋体" w:eastAsia="宋体" w:cs="宋体"/>
          <w:strike w:val="0"/>
          <w:dstrike w:val="0"/>
          <w:color w:val="auto"/>
          <w:sz w:val="21"/>
          <w:szCs w:val="21"/>
          <w:highlight w:val="none"/>
          <w:u w:val="single"/>
        </w:rPr>
        <w:tab/>
      </w:r>
      <w:r>
        <w:rPr>
          <w:rFonts w:hint="eastAsia" w:ascii="宋体" w:hAnsi="宋体" w:eastAsia="宋体" w:cs="宋体"/>
          <w:strike w:val="0"/>
          <w:dstrike w:val="0"/>
          <w:color w:val="auto"/>
          <w:sz w:val="21"/>
          <w:szCs w:val="21"/>
          <w:highlight w:val="none"/>
          <w:u w:val="single"/>
        </w:rPr>
        <w:tab/>
      </w:r>
      <w:r>
        <w:rPr>
          <w:rFonts w:hint="eastAsia" w:ascii="宋体" w:hAnsi="宋体" w:eastAsia="宋体" w:cs="宋体"/>
          <w:strike w:val="0"/>
          <w:dstrike w:val="0"/>
          <w:color w:val="auto"/>
          <w:sz w:val="21"/>
          <w:szCs w:val="21"/>
          <w:highlight w:val="none"/>
          <w:u w:val="single"/>
        </w:rPr>
        <w:tab/>
      </w:r>
      <w:r>
        <w:rPr>
          <w:rFonts w:hint="eastAsia" w:ascii="宋体" w:hAnsi="宋体" w:eastAsia="宋体" w:cs="宋体"/>
          <w:strike w:val="0"/>
          <w:dstrike w:val="0"/>
          <w:color w:val="auto"/>
          <w:sz w:val="21"/>
          <w:szCs w:val="21"/>
          <w:highlight w:val="none"/>
          <w:u w:val="single"/>
        </w:rPr>
        <w:tab/>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u w:val="single"/>
        </w:rPr>
        <w:tab/>
      </w:r>
      <w:r>
        <w:rPr>
          <w:rFonts w:hint="eastAsia" w:ascii="宋体" w:hAnsi="宋体" w:eastAsia="宋体" w:cs="宋体"/>
          <w:strike w:val="0"/>
          <w:dstrike w:val="0"/>
          <w:color w:val="auto"/>
          <w:sz w:val="21"/>
          <w:szCs w:val="21"/>
          <w:highlight w:val="none"/>
        </w:rPr>
        <w:t>。</w:t>
      </w:r>
    </w:p>
    <w:p w14:paraId="6916A41E">
      <w:pPr>
        <w:pStyle w:val="8"/>
        <w:keepNext w:val="0"/>
        <w:keepLines w:val="0"/>
        <w:pageBreakBefore w:val="0"/>
        <w:kinsoku/>
        <w:overflowPunct w:val="0"/>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8.本协议书自所有成员单位法定代表人或者其委托代理人签字（或者电子签名）或者盖公章之日起生效，合同履行完毕后自动失效。</w:t>
      </w:r>
    </w:p>
    <w:p w14:paraId="4394B47C">
      <w:pPr>
        <w:pStyle w:val="8"/>
        <w:keepNext w:val="0"/>
        <w:keepLines w:val="0"/>
        <w:pageBreakBefore w:val="0"/>
        <w:kinsoku/>
        <w:overflowPunct w:val="0"/>
        <w:topLinePunct w:val="0"/>
        <w:bidi w:val="0"/>
        <w:spacing w:line="400" w:lineRule="exact"/>
        <w:ind w:firstLine="420" w:firstLineChars="200"/>
        <w:outlineLvl w:val="2"/>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9.本协议书一式</w:t>
      </w:r>
      <w:r>
        <w:rPr>
          <w:rFonts w:hint="eastAsia" w:ascii="宋体" w:hAnsi="宋体" w:eastAsia="宋体" w:cs="宋体"/>
          <w:strike w:val="0"/>
          <w:dstrike w:val="0"/>
          <w:color w:val="auto"/>
          <w:sz w:val="21"/>
          <w:szCs w:val="21"/>
          <w:highlight w:val="none"/>
          <w:u w:val="single"/>
        </w:rPr>
        <w:tab/>
      </w:r>
      <w:r>
        <w:rPr>
          <w:rFonts w:hint="eastAsia" w:ascii="宋体" w:hAnsi="宋体" w:eastAsia="宋体" w:cs="宋体"/>
          <w:strike w:val="0"/>
          <w:dstrike w:val="0"/>
          <w:color w:val="auto"/>
          <w:sz w:val="21"/>
          <w:szCs w:val="21"/>
          <w:highlight w:val="none"/>
        </w:rPr>
        <w:t>份，联合体成员和招标人各执一份。</w:t>
      </w:r>
    </w:p>
    <w:p w14:paraId="30304B8B">
      <w:pPr>
        <w:pStyle w:val="8"/>
        <w:keepNext w:val="0"/>
        <w:keepLines w:val="0"/>
        <w:pageBreakBefore w:val="0"/>
        <w:kinsoku/>
        <w:overflowPunct w:val="0"/>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注：1）具体要求详见 第三章 投标人须知  投标人须知前附表“6.2”</w:t>
      </w:r>
    </w:p>
    <w:p w14:paraId="2AD88486">
      <w:pPr>
        <w:pStyle w:val="8"/>
        <w:keepNext w:val="0"/>
        <w:keepLines w:val="0"/>
        <w:pageBreakBefore w:val="0"/>
        <w:kinsoku/>
        <w:overflowPunct w:val="0"/>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w:t>
      </w:r>
      <w:r>
        <w:rPr>
          <w:rFonts w:hint="eastAsia" w:ascii="宋体" w:hAnsi="宋体" w:eastAsia="宋体" w:cs="宋体"/>
          <w:b/>
          <w:bCs/>
          <w:strike w:val="0"/>
          <w:dstrike w:val="0"/>
          <w:color w:val="auto"/>
          <w:sz w:val="21"/>
          <w:szCs w:val="21"/>
          <w:highlight w:val="none"/>
        </w:rPr>
        <w:t>注：本协议书由法定代表人签字的，应附法定代表人身份证明；本协议书由委托代理人签字的，应附法定代表人授权委托书。</w:t>
      </w:r>
      <w:r>
        <w:rPr>
          <w:rFonts w:hint="eastAsia" w:ascii="宋体" w:hAnsi="宋体" w:eastAsia="宋体" w:cs="宋体"/>
          <w:strike w:val="0"/>
          <w:dstrike w:val="0"/>
          <w:color w:val="auto"/>
          <w:sz w:val="21"/>
          <w:szCs w:val="21"/>
          <w:highlight w:val="none"/>
        </w:rPr>
        <w:t>（格式自拟）。</w:t>
      </w:r>
    </w:p>
    <w:p w14:paraId="657B0AB8">
      <w:pPr>
        <w:pStyle w:val="8"/>
        <w:keepNext w:val="0"/>
        <w:keepLines w:val="0"/>
        <w:pageBreakBefore w:val="0"/>
        <w:kinsoku/>
        <w:overflowPunct w:val="0"/>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p>
    <w:p w14:paraId="230B43F9">
      <w:pPr>
        <w:pStyle w:val="8"/>
        <w:keepNext w:val="0"/>
        <w:keepLines w:val="0"/>
        <w:pageBreakBefore w:val="0"/>
        <w:kinsoku/>
        <w:overflowPunct w:val="0"/>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联合体牵头人名称（电子签章）：</w:t>
      </w:r>
    </w:p>
    <w:p w14:paraId="2D6F3E41">
      <w:pPr>
        <w:pStyle w:val="8"/>
        <w:keepNext w:val="0"/>
        <w:keepLines w:val="0"/>
        <w:pageBreakBefore w:val="0"/>
        <w:kinsoku/>
        <w:overflowPunct w:val="0"/>
        <w:topLinePunct w:val="0"/>
        <w:bidi w:val="0"/>
        <w:spacing w:line="400" w:lineRule="exact"/>
        <w:ind w:firstLine="420" w:firstLineChars="200"/>
        <w:outlineLvl w:val="1"/>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法定代表人或者其委托代理人（签字或者电子签名）：</w:t>
      </w:r>
    </w:p>
    <w:p w14:paraId="559857B1">
      <w:pPr>
        <w:pStyle w:val="8"/>
        <w:keepNext w:val="0"/>
        <w:keepLines w:val="0"/>
        <w:pageBreakBefore w:val="0"/>
        <w:kinsoku/>
        <w:overflowPunct w:val="0"/>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p>
    <w:p w14:paraId="144FBA83">
      <w:pPr>
        <w:pStyle w:val="8"/>
        <w:keepNext w:val="0"/>
        <w:keepLines w:val="0"/>
        <w:pageBreakBefore w:val="0"/>
        <w:kinsoku/>
        <w:overflowPunct w:val="0"/>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联合体成员名称（盖公章或者电子签章）：</w:t>
      </w:r>
    </w:p>
    <w:p w14:paraId="2E62048C">
      <w:pPr>
        <w:pStyle w:val="8"/>
        <w:keepNext w:val="0"/>
        <w:keepLines w:val="0"/>
        <w:pageBreakBefore w:val="0"/>
        <w:kinsoku/>
        <w:overflowPunct w:val="0"/>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法定代表人或者其委托代理人（签字或者电子签名）：</w:t>
      </w:r>
    </w:p>
    <w:p w14:paraId="43A6D9BE">
      <w:pPr>
        <w:pStyle w:val="8"/>
        <w:keepNext w:val="0"/>
        <w:keepLines w:val="0"/>
        <w:pageBreakBefore w:val="0"/>
        <w:kinsoku/>
        <w:overflowPunct w:val="0"/>
        <w:topLinePunct w:val="0"/>
        <w:bidi w:val="0"/>
        <w:spacing w:line="400" w:lineRule="exact"/>
        <w:ind w:firstLineChars="175"/>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p w14:paraId="698C5E07">
      <w:pPr>
        <w:keepNext w:val="0"/>
        <w:keepLines w:val="0"/>
        <w:pageBreakBefore w:val="0"/>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w:t>
      </w:r>
      <w:bookmarkStart w:id="305" w:name="OLE_LINK270"/>
      <w:bookmarkStart w:id="306" w:name="OLE_LINK269"/>
      <w:r>
        <w:rPr>
          <w:rFonts w:hint="eastAsia" w:ascii="宋体" w:hAnsi="宋体" w:eastAsia="宋体" w:cs="宋体"/>
          <w:strike w:val="0"/>
          <w:dstrike w:val="0"/>
          <w:color w:val="auto"/>
          <w:sz w:val="21"/>
          <w:szCs w:val="21"/>
          <w:highlight w:val="none"/>
        </w:rPr>
        <w:t xml:space="preserve">  年  月  日</w:t>
      </w:r>
      <w:bookmarkEnd w:id="305"/>
      <w:bookmarkEnd w:id="306"/>
    </w:p>
    <w:p w14:paraId="7EA2D0FC">
      <w:pPr>
        <w:keepNext w:val="0"/>
        <w:keepLines w:val="0"/>
        <w:pageBreakBefore w:val="0"/>
        <w:kinsoku/>
        <w:topLinePunct w:val="0"/>
        <w:bidi w:val="0"/>
        <w:spacing w:line="400" w:lineRule="exact"/>
        <w:outlineLvl w:val="1"/>
        <w:rPr>
          <w:rFonts w:hint="eastAsia" w:ascii="宋体" w:hAnsi="宋体" w:eastAsia="宋体" w:cs="宋体"/>
          <w:b/>
          <w:strike w:val="0"/>
          <w:dstrike w:val="0"/>
          <w:color w:val="auto"/>
          <w:sz w:val="21"/>
          <w:szCs w:val="21"/>
          <w:highlight w:val="none"/>
        </w:rPr>
        <w:sectPr>
          <w:pgSz w:w="11906" w:h="16838"/>
          <w:pgMar w:top="1440" w:right="1800" w:bottom="1440" w:left="1800" w:header="737" w:footer="680" w:gutter="113"/>
          <w:pgNumType w:fmt="decimal"/>
          <w:cols w:space="720" w:num="1"/>
          <w:titlePg/>
          <w:docGrid w:linePitch="312" w:charSpace="0"/>
        </w:sectPr>
      </w:pPr>
      <w:r>
        <w:rPr>
          <w:rFonts w:hint="eastAsia" w:ascii="宋体" w:hAnsi="宋体" w:eastAsia="宋体" w:cs="宋体"/>
          <w:b/>
          <w:strike w:val="0"/>
          <w:dstrike w:val="0"/>
          <w:color w:val="auto"/>
          <w:sz w:val="21"/>
          <w:szCs w:val="21"/>
          <w:highlight w:val="none"/>
        </w:rPr>
        <w:br w:type="page"/>
      </w:r>
    </w:p>
    <w:p w14:paraId="2B6BF31F">
      <w:pPr>
        <w:keepNext w:val="0"/>
        <w:keepLines w:val="0"/>
        <w:pageBreakBefore w:val="0"/>
        <w:kinsoku/>
        <w:topLinePunct w:val="0"/>
        <w:bidi w:val="0"/>
        <w:spacing w:line="400" w:lineRule="exact"/>
        <w:outlineLvl w:val="1"/>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三、商务技术文件格式</w:t>
      </w:r>
      <w:bookmarkEnd w:id="304"/>
    </w:p>
    <w:p w14:paraId="19942A80">
      <w:pPr>
        <w:keepNext w:val="0"/>
        <w:keepLines w:val="0"/>
        <w:pageBreakBefore w:val="0"/>
        <w:kinsoku/>
        <w:topLinePunct w:val="0"/>
        <w:bidi w:val="0"/>
        <w:snapToGrid w:val="0"/>
        <w:spacing w:beforeLines="50" w:after="50" w:line="400" w:lineRule="exact"/>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1.商务技术文件封面格式：</w:t>
      </w:r>
    </w:p>
    <w:p w14:paraId="64EE982F">
      <w:pPr>
        <w:keepNext w:val="0"/>
        <w:keepLines w:val="0"/>
        <w:pageBreakBefore w:val="0"/>
        <w:kinsoku/>
        <w:topLinePunct w:val="0"/>
        <w:bidi w:val="0"/>
        <w:snapToGrid w:val="0"/>
        <w:spacing w:beforeLines="50" w:after="50" w:line="400" w:lineRule="exact"/>
        <w:jc w:val="center"/>
        <w:outlineLvl w:val="3"/>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电子投标文件</w:t>
      </w:r>
    </w:p>
    <w:p w14:paraId="010B659C">
      <w:pPr>
        <w:keepNext w:val="0"/>
        <w:keepLines w:val="0"/>
        <w:pageBreakBefore w:val="0"/>
        <w:kinsoku/>
        <w:topLinePunct w:val="0"/>
        <w:bidi w:val="0"/>
        <w:snapToGrid w:val="0"/>
        <w:spacing w:beforeLines="50" w:after="50" w:line="400" w:lineRule="exact"/>
        <w:jc w:val="center"/>
        <w:outlineLvl w:val="3"/>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第三部分</w:t>
      </w:r>
      <w:bookmarkStart w:id="307" w:name="OLE_LINK4"/>
      <w:bookmarkStart w:id="308" w:name="OLE_LINK5"/>
      <w:r>
        <w:rPr>
          <w:rFonts w:hint="eastAsia" w:ascii="宋体" w:hAnsi="宋体" w:eastAsia="宋体" w:cs="宋体"/>
          <w:b/>
          <w:strike w:val="0"/>
          <w:dstrike w:val="0"/>
          <w:color w:val="auto"/>
          <w:sz w:val="21"/>
          <w:szCs w:val="21"/>
          <w:highlight w:val="none"/>
        </w:rPr>
        <w:t>商务技术文件</w:t>
      </w:r>
      <w:bookmarkEnd w:id="307"/>
      <w:bookmarkEnd w:id="308"/>
    </w:p>
    <w:p w14:paraId="6C7F0059">
      <w:pPr>
        <w:keepNext w:val="0"/>
        <w:keepLines w:val="0"/>
        <w:pageBreakBefore w:val="0"/>
        <w:kinsoku/>
        <w:topLinePunct w:val="0"/>
        <w:bidi w:val="0"/>
        <w:snapToGrid w:val="0"/>
        <w:spacing w:beforeLines="50" w:after="50" w:line="400" w:lineRule="exact"/>
        <w:rPr>
          <w:rFonts w:hint="eastAsia" w:ascii="宋体" w:hAnsi="宋体" w:eastAsia="宋体" w:cs="宋体"/>
          <w:bCs/>
          <w:strike w:val="0"/>
          <w:dstrike w:val="0"/>
          <w:color w:val="auto"/>
          <w:sz w:val="21"/>
          <w:szCs w:val="21"/>
          <w:highlight w:val="none"/>
        </w:rPr>
      </w:pPr>
    </w:p>
    <w:p w14:paraId="6DAE8EED">
      <w:pPr>
        <w:keepNext w:val="0"/>
        <w:keepLines w:val="0"/>
        <w:pageBreakBefore w:val="0"/>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u w:val="single"/>
        </w:rPr>
      </w:pPr>
      <w:r>
        <w:rPr>
          <w:rFonts w:hint="eastAsia" w:ascii="宋体" w:hAnsi="宋体" w:eastAsia="宋体" w:cs="宋体"/>
          <w:bCs/>
          <w:strike w:val="0"/>
          <w:dstrike w:val="0"/>
          <w:color w:val="auto"/>
          <w:sz w:val="21"/>
          <w:szCs w:val="21"/>
          <w:highlight w:val="none"/>
        </w:rPr>
        <w:t>项目名称：</w:t>
      </w:r>
    </w:p>
    <w:p w14:paraId="59CFC6BD">
      <w:pPr>
        <w:keepNext w:val="0"/>
        <w:keepLines w:val="0"/>
        <w:pageBreakBefore w:val="0"/>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p>
    <w:p w14:paraId="078D164D">
      <w:pPr>
        <w:keepNext w:val="0"/>
        <w:keepLines w:val="0"/>
        <w:pageBreakBefore w:val="0"/>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项目编号：</w:t>
      </w:r>
    </w:p>
    <w:p w14:paraId="4F2A500F">
      <w:pPr>
        <w:keepNext w:val="0"/>
        <w:keepLines w:val="0"/>
        <w:pageBreakBefore w:val="0"/>
        <w:kinsoku/>
        <w:topLinePunct w:val="0"/>
        <w:bidi w:val="0"/>
        <w:snapToGrid w:val="0"/>
        <w:spacing w:beforeLines="50" w:after="50" w:line="400" w:lineRule="exact"/>
        <w:rPr>
          <w:rFonts w:hint="eastAsia" w:ascii="宋体" w:hAnsi="宋体" w:eastAsia="宋体" w:cs="宋体"/>
          <w:bCs/>
          <w:strike w:val="0"/>
          <w:dstrike w:val="0"/>
          <w:color w:val="auto"/>
          <w:sz w:val="21"/>
          <w:szCs w:val="21"/>
          <w:highlight w:val="none"/>
        </w:rPr>
      </w:pPr>
    </w:p>
    <w:p w14:paraId="086359DD">
      <w:pPr>
        <w:keepNext w:val="0"/>
        <w:keepLines w:val="0"/>
        <w:pageBreakBefore w:val="0"/>
        <w:kinsoku/>
        <w:topLinePunct w:val="0"/>
        <w:bidi w:val="0"/>
        <w:snapToGrid w:val="0"/>
        <w:spacing w:beforeLines="50" w:after="50" w:line="400" w:lineRule="exact"/>
        <w:ind w:left="840" w:leftChars="400" w:firstLine="315" w:firstLineChars="150"/>
        <w:rPr>
          <w:rFonts w:hint="default" w:ascii="宋体" w:hAnsi="宋体" w:eastAsia="宋体" w:cs="宋体"/>
          <w:bCs/>
          <w:strike w:val="0"/>
          <w:dstrike w:val="0"/>
          <w:color w:val="auto"/>
          <w:sz w:val="21"/>
          <w:szCs w:val="21"/>
          <w:highlight w:val="none"/>
          <w:lang w:val="en-US" w:eastAsia="zh-CN"/>
        </w:rPr>
      </w:pPr>
      <w:r>
        <w:rPr>
          <w:rFonts w:hint="eastAsia" w:ascii="宋体" w:hAnsi="宋体" w:cs="宋体"/>
          <w:bCs/>
          <w:strike w:val="0"/>
          <w:dstrike w:val="0"/>
          <w:color w:val="auto"/>
          <w:sz w:val="21"/>
          <w:szCs w:val="21"/>
          <w:highlight w:val="none"/>
          <w:lang w:val="en-US" w:eastAsia="zh-CN"/>
        </w:rPr>
        <w:t>所投分包：</w:t>
      </w:r>
    </w:p>
    <w:p w14:paraId="59EF79B2">
      <w:pPr>
        <w:keepNext w:val="0"/>
        <w:keepLines w:val="0"/>
        <w:pageBreakBefore w:val="0"/>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p>
    <w:p w14:paraId="724ACFA9">
      <w:pPr>
        <w:keepNext w:val="0"/>
        <w:keepLines w:val="0"/>
        <w:pageBreakBefore w:val="0"/>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投标人名称：</w:t>
      </w:r>
    </w:p>
    <w:p w14:paraId="67EA4449">
      <w:pPr>
        <w:keepNext w:val="0"/>
        <w:keepLines w:val="0"/>
        <w:pageBreakBefore w:val="0"/>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p>
    <w:p w14:paraId="7B137D9D">
      <w:pPr>
        <w:keepNext w:val="0"/>
        <w:keepLines w:val="0"/>
        <w:pageBreakBefore w:val="0"/>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投标人地址：</w:t>
      </w:r>
    </w:p>
    <w:p w14:paraId="09CE6951">
      <w:pPr>
        <w:keepNext w:val="0"/>
        <w:keepLines w:val="0"/>
        <w:pageBreakBefore w:val="0"/>
        <w:kinsoku/>
        <w:topLinePunct w:val="0"/>
        <w:bidi w:val="0"/>
        <w:snapToGrid w:val="0"/>
        <w:spacing w:beforeLines="50" w:after="50" w:line="400" w:lineRule="exact"/>
        <w:rPr>
          <w:rFonts w:hint="eastAsia" w:ascii="宋体" w:hAnsi="宋体" w:eastAsia="宋体" w:cs="宋体"/>
          <w:strike w:val="0"/>
          <w:dstrike w:val="0"/>
          <w:color w:val="auto"/>
          <w:sz w:val="21"/>
          <w:szCs w:val="21"/>
          <w:highlight w:val="none"/>
        </w:rPr>
      </w:pPr>
    </w:p>
    <w:p w14:paraId="3F42DA25">
      <w:pPr>
        <w:keepNext w:val="0"/>
        <w:keepLines w:val="0"/>
        <w:pageBreakBefore w:val="0"/>
        <w:kinsoku/>
        <w:topLinePunct w:val="0"/>
        <w:bidi w:val="0"/>
        <w:snapToGrid w:val="0"/>
        <w:spacing w:beforeLines="50" w:after="50" w:line="400" w:lineRule="exact"/>
        <w:rPr>
          <w:rFonts w:hint="eastAsia" w:ascii="宋体" w:hAnsi="宋体" w:eastAsia="宋体" w:cs="宋体"/>
          <w:strike w:val="0"/>
          <w:dstrike w:val="0"/>
          <w:color w:val="auto"/>
          <w:sz w:val="21"/>
          <w:szCs w:val="21"/>
          <w:highlight w:val="none"/>
        </w:rPr>
      </w:pPr>
    </w:p>
    <w:p w14:paraId="10DCB780">
      <w:pPr>
        <w:keepNext w:val="0"/>
        <w:keepLines w:val="0"/>
        <w:pageBreakBefore w:val="0"/>
        <w:kinsoku/>
        <w:topLinePunct w:val="0"/>
        <w:bidi w:val="0"/>
        <w:snapToGrid w:val="0"/>
        <w:spacing w:beforeLines="50" w:after="50"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年  月  日</w:t>
      </w:r>
    </w:p>
    <w:p w14:paraId="43EFABA4">
      <w:pPr>
        <w:keepNext w:val="0"/>
        <w:keepLines w:val="0"/>
        <w:pageBreakBefore w:val="0"/>
        <w:kinsoku/>
        <w:topLinePunct w:val="0"/>
        <w:bidi w:val="0"/>
        <w:snapToGrid w:val="0"/>
        <w:spacing w:line="400" w:lineRule="exact"/>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br w:type="page"/>
      </w:r>
      <w:r>
        <w:rPr>
          <w:rFonts w:hint="eastAsia" w:ascii="宋体" w:hAnsi="宋体" w:eastAsia="宋体" w:cs="宋体"/>
          <w:b/>
          <w:strike w:val="0"/>
          <w:dstrike w:val="0"/>
          <w:color w:val="auto"/>
          <w:sz w:val="21"/>
          <w:szCs w:val="21"/>
          <w:highlight w:val="none"/>
        </w:rPr>
        <w:t>2.商务文件目录</w:t>
      </w:r>
    </w:p>
    <w:p w14:paraId="7566407D">
      <w:pPr>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根据招标文件规定及投标人提供的材料自行编写目录。</w:t>
      </w:r>
    </w:p>
    <w:p w14:paraId="31C57CCB">
      <w:pPr>
        <w:keepNext w:val="0"/>
        <w:keepLines w:val="0"/>
        <w:pageBreakBefore w:val="0"/>
        <w:kinsoku/>
        <w:topLinePunct w:val="0"/>
        <w:bidi w:val="0"/>
        <w:snapToGrid w:val="0"/>
        <w:spacing w:beforeLines="50" w:after="50" w:line="400" w:lineRule="exact"/>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3.技术文件目录</w:t>
      </w:r>
    </w:p>
    <w:p w14:paraId="706CCEC3">
      <w:pPr>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根据招标文件规定及投标人提供的材料自行编写目录。</w:t>
      </w:r>
    </w:p>
    <w:p w14:paraId="39C49E6E">
      <w:pPr>
        <w:pStyle w:val="21"/>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p w14:paraId="3CB31A79">
      <w:pPr>
        <w:keepNext w:val="0"/>
        <w:keepLines w:val="0"/>
        <w:pageBreakBefore w:val="0"/>
        <w:kinsoku/>
        <w:topLinePunct w:val="0"/>
        <w:bidi w:val="0"/>
        <w:snapToGrid w:val="0"/>
        <w:spacing w:before="50" w:afterLines="50" w:line="400" w:lineRule="exact"/>
        <w:jc w:val="left"/>
        <w:rPr>
          <w:rFonts w:hint="eastAsia" w:ascii="宋体" w:hAnsi="宋体" w:eastAsia="宋体" w:cs="宋体"/>
          <w:strike w:val="0"/>
          <w:dstrike w:val="0"/>
          <w:color w:val="auto"/>
          <w:sz w:val="21"/>
          <w:szCs w:val="21"/>
          <w:highlight w:val="none"/>
        </w:rPr>
      </w:pPr>
    </w:p>
    <w:p w14:paraId="7E2F3CE3">
      <w:pPr>
        <w:keepNext w:val="0"/>
        <w:keepLines w:val="0"/>
        <w:pageBreakBefore w:val="0"/>
        <w:kinsoku/>
        <w:topLinePunct w:val="0"/>
        <w:bidi w:val="0"/>
        <w:snapToGrid w:val="0"/>
        <w:spacing w:beforeLines="50" w:after="50" w:line="400" w:lineRule="exact"/>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br w:type="page"/>
      </w:r>
      <w:r>
        <w:rPr>
          <w:rFonts w:hint="eastAsia" w:ascii="宋体" w:hAnsi="宋体" w:eastAsia="宋体" w:cs="宋体"/>
          <w:b/>
          <w:strike w:val="0"/>
          <w:dstrike w:val="0"/>
          <w:color w:val="auto"/>
          <w:sz w:val="21"/>
          <w:szCs w:val="21"/>
          <w:highlight w:val="none"/>
        </w:rPr>
        <w:t>4.投标人参加本项目无围标串标行为的承诺</w:t>
      </w:r>
    </w:p>
    <w:p w14:paraId="3BD56C59">
      <w:pPr>
        <w:keepNext w:val="0"/>
        <w:keepLines w:val="0"/>
        <w:pageBreakBefore w:val="0"/>
        <w:kinsoku/>
        <w:topLinePunct w:val="0"/>
        <w:bidi w:val="0"/>
        <w:snapToGrid w:val="0"/>
        <w:spacing w:beforeLines="50" w:after="50" w:line="400" w:lineRule="exact"/>
        <w:jc w:val="left"/>
        <w:rPr>
          <w:rFonts w:hint="eastAsia" w:ascii="宋体" w:hAnsi="宋体" w:eastAsia="宋体" w:cs="宋体"/>
          <w:b/>
          <w:strike w:val="0"/>
          <w:dstrike w:val="0"/>
          <w:color w:val="auto"/>
          <w:sz w:val="21"/>
          <w:szCs w:val="21"/>
          <w:highlight w:val="none"/>
        </w:rPr>
      </w:pPr>
    </w:p>
    <w:p w14:paraId="296DA11B">
      <w:pPr>
        <w:keepNext w:val="0"/>
        <w:keepLines w:val="0"/>
        <w:pageBreakBefore w:val="0"/>
        <w:kinsoku/>
        <w:topLinePunct w:val="0"/>
        <w:bidi w:val="0"/>
        <w:snapToGrid w:val="0"/>
        <w:spacing w:before="50" w:after="50" w:line="400" w:lineRule="exact"/>
        <w:jc w:val="center"/>
        <w:outlineLvl w:val="1"/>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投标人参加本项目无围标串标行为的承诺函</w:t>
      </w:r>
    </w:p>
    <w:p w14:paraId="73D681C1">
      <w:pPr>
        <w:keepNext w:val="0"/>
        <w:keepLines w:val="0"/>
        <w:pageBreakBefore w:val="0"/>
        <w:kinsoku/>
        <w:topLinePunct w:val="0"/>
        <w:bidi w:val="0"/>
        <w:spacing w:line="400" w:lineRule="exact"/>
        <w:jc w:val="left"/>
        <w:outlineLvl w:val="9"/>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一、我方承诺无下列相互串通投标的情形：</w:t>
      </w:r>
    </w:p>
    <w:p w14:paraId="1A1A123E">
      <w:pPr>
        <w:keepNext w:val="0"/>
        <w:keepLines w:val="0"/>
        <w:pageBreakBefore w:val="0"/>
        <w:kinsoku/>
        <w:topLinePunct w:val="0"/>
        <w:bidi w:val="0"/>
        <w:spacing w:line="400" w:lineRule="exact"/>
        <w:ind w:firstLine="411" w:firstLineChars="196"/>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1.不同投标人的投标文件由同一单位或者个人编制；或者不同投标人报名的IP地址一致的；或者编制标书硬件设备CPU编号、硬盘编号、网卡地址一致的情况；</w:t>
      </w:r>
    </w:p>
    <w:p w14:paraId="4D0B365C">
      <w:pPr>
        <w:keepNext w:val="0"/>
        <w:keepLines w:val="0"/>
        <w:pageBreakBefore w:val="0"/>
        <w:kinsoku/>
        <w:topLinePunct w:val="0"/>
        <w:bidi w:val="0"/>
        <w:spacing w:line="400" w:lineRule="exact"/>
        <w:ind w:firstLine="411" w:firstLineChars="196"/>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2.不同投标人委托同一单位或者个人办理投标事宜；</w:t>
      </w:r>
    </w:p>
    <w:p w14:paraId="05238246">
      <w:pPr>
        <w:keepNext w:val="0"/>
        <w:keepLines w:val="0"/>
        <w:pageBreakBefore w:val="0"/>
        <w:kinsoku/>
        <w:topLinePunct w:val="0"/>
        <w:bidi w:val="0"/>
        <w:spacing w:line="400" w:lineRule="exact"/>
        <w:ind w:firstLine="411" w:firstLineChars="196"/>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3.不同的投标人的投标文件载明的项目管理员为同一个人；</w:t>
      </w:r>
    </w:p>
    <w:p w14:paraId="58D9864D">
      <w:pPr>
        <w:keepNext w:val="0"/>
        <w:keepLines w:val="0"/>
        <w:pageBreakBefore w:val="0"/>
        <w:kinsoku/>
        <w:topLinePunct w:val="0"/>
        <w:bidi w:val="0"/>
        <w:spacing w:line="400" w:lineRule="exact"/>
        <w:ind w:firstLine="411" w:firstLineChars="196"/>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4.不同投标人的投标文件异常一致或者投标报价呈规律性差异；</w:t>
      </w:r>
    </w:p>
    <w:p w14:paraId="13E8D173">
      <w:pPr>
        <w:keepNext w:val="0"/>
        <w:keepLines w:val="0"/>
        <w:pageBreakBefore w:val="0"/>
        <w:kinsoku/>
        <w:topLinePunct w:val="0"/>
        <w:bidi w:val="0"/>
        <w:spacing w:line="400" w:lineRule="exact"/>
        <w:ind w:firstLine="411" w:firstLineChars="196"/>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5.不同投标人的投标文件相互混装；</w:t>
      </w:r>
    </w:p>
    <w:p w14:paraId="2168262E">
      <w:pPr>
        <w:keepNext w:val="0"/>
        <w:keepLines w:val="0"/>
        <w:pageBreakBefore w:val="0"/>
        <w:kinsoku/>
        <w:topLinePunct w:val="0"/>
        <w:bidi w:val="0"/>
        <w:spacing w:line="400" w:lineRule="exact"/>
        <w:ind w:firstLine="411" w:firstLineChars="196"/>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6.不同投标人的投标保证金从同一单位或者个人账户转出。</w:t>
      </w:r>
    </w:p>
    <w:p w14:paraId="2106ECA6">
      <w:pPr>
        <w:keepNext w:val="0"/>
        <w:keepLines w:val="0"/>
        <w:pageBreakBefore w:val="0"/>
        <w:kinsoku/>
        <w:topLinePunct w:val="0"/>
        <w:bidi w:val="0"/>
        <w:spacing w:line="400" w:lineRule="exact"/>
        <w:jc w:val="left"/>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二、我方承诺无下列恶意串通的情形：</w:t>
      </w:r>
    </w:p>
    <w:p w14:paraId="72DC79CC">
      <w:pPr>
        <w:keepNext w:val="0"/>
        <w:keepLines w:val="0"/>
        <w:pageBreakBefore w:val="0"/>
        <w:kinsoku/>
        <w:topLinePunct w:val="0"/>
        <w:bidi w:val="0"/>
        <w:spacing w:line="400" w:lineRule="exact"/>
        <w:ind w:firstLine="411" w:firstLineChars="196"/>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1.投标人直接或者间接从采购人或者采购代理机构处获得其他投标人的相关信息并修改其投标文件或者</w:t>
      </w:r>
      <w:r>
        <w:rPr>
          <w:rFonts w:hint="eastAsia" w:ascii="宋体" w:hAnsi="宋体" w:eastAsia="宋体" w:cs="宋体"/>
          <w:strike w:val="0"/>
          <w:dstrike w:val="0"/>
          <w:color w:val="auto"/>
          <w:sz w:val="21"/>
          <w:szCs w:val="21"/>
          <w:highlight w:val="none"/>
          <w:lang w:eastAsia="zh-CN"/>
        </w:rPr>
        <w:t>投标文件</w:t>
      </w:r>
      <w:r>
        <w:rPr>
          <w:rFonts w:hint="eastAsia" w:ascii="宋体" w:hAnsi="宋体" w:eastAsia="宋体" w:cs="宋体"/>
          <w:strike w:val="0"/>
          <w:dstrike w:val="0"/>
          <w:color w:val="auto"/>
          <w:sz w:val="21"/>
          <w:szCs w:val="21"/>
          <w:highlight w:val="none"/>
        </w:rPr>
        <w:t>；</w:t>
      </w:r>
    </w:p>
    <w:p w14:paraId="65E6AA1F">
      <w:pPr>
        <w:keepNext w:val="0"/>
        <w:keepLines w:val="0"/>
        <w:pageBreakBefore w:val="0"/>
        <w:kinsoku/>
        <w:topLinePunct w:val="0"/>
        <w:bidi w:val="0"/>
        <w:spacing w:line="400" w:lineRule="exact"/>
        <w:ind w:firstLine="411" w:firstLineChars="196"/>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2.投标人按照采购人或者采购代理机构的授意撤换、修改投标文件或者</w:t>
      </w:r>
      <w:r>
        <w:rPr>
          <w:rFonts w:hint="eastAsia" w:ascii="宋体" w:hAnsi="宋体" w:eastAsia="宋体" w:cs="宋体"/>
          <w:strike w:val="0"/>
          <w:dstrike w:val="0"/>
          <w:color w:val="auto"/>
          <w:sz w:val="21"/>
          <w:szCs w:val="21"/>
          <w:highlight w:val="none"/>
          <w:lang w:eastAsia="zh-CN"/>
        </w:rPr>
        <w:t>投标文件</w:t>
      </w:r>
      <w:r>
        <w:rPr>
          <w:rFonts w:hint="eastAsia" w:ascii="宋体" w:hAnsi="宋体" w:eastAsia="宋体" w:cs="宋体"/>
          <w:strike w:val="0"/>
          <w:dstrike w:val="0"/>
          <w:color w:val="auto"/>
          <w:sz w:val="21"/>
          <w:szCs w:val="21"/>
          <w:highlight w:val="none"/>
        </w:rPr>
        <w:t>；</w:t>
      </w:r>
    </w:p>
    <w:p w14:paraId="72942045">
      <w:pPr>
        <w:keepNext w:val="0"/>
        <w:keepLines w:val="0"/>
        <w:pageBreakBefore w:val="0"/>
        <w:kinsoku/>
        <w:topLinePunct w:val="0"/>
        <w:bidi w:val="0"/>
        <w:spacing w:line="400" w:lineRule="exact"/>
        <w:ind w:firstLine="411" w:firstLineChars="196"/>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3.投标人之间协商报价、技术方案等投标文件或者</w:t>
      </w:r>
      <w:r>
        <w:rPr>
          <w:rFonts w:hint="eastAsia" w:ascii="宋体" w:hAnsi="宋体" w:eastAsia="宋体" w:cs="宋体"/>
          <w:strike w:val="0"/>
          <w:dstrike w:val="0"/>
          <w:color w:val="auto"/>
          <w:sz w:val="21"/>
          <w:szCs w:val="21"/>
          <w:highlight w:val="none"/>
          <w:lang w:eastAsia="zh-CN"/>
        </w:rPr>
        <w:t>投标文件</w:t>
      </w:r>
      <w:r>
        <w:rPr>
          <w:rFonts w:hint="eastAsia" w:ascii="宋体" w:hAnsi="宋体" w:eastAsia="宋体" w:cs="宋体"/>
          <w:strike w:val="0"/>
          <w:dstrike w:val="0"/>
          <w:color w:val="auto"/>
          <w:sz w:val="21"/>
          <w:szCs w:val="21"/>
          <w:highlight w:val="none"/>
        </w:rPr>
        <w:t>的实质性内容；</w:t>
      </w:r>
    </w:p>
    <w:p w14:paraId="4B4F8EF7">
      <w:pPr>
        <w:keepNext w:val="0"/>
        <w:keepLines w:val="0"/>
        <w:pageBreakBefore w:val="0"/>
        <w:kinsoku/>
        <w:topLinePunct w:val="0"/>
        <w:bidi w:val="0"/>
        <w:spacing w:line="400" w:lineRule="exact"/>
        <w:ind w:firstLine="411" w:firstLineChars="196"/>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4.属于同一集团、协会、商会等组织成员的投标人按照该组织要求协同参加政府采购活动；</w:t>
      </w:r>
    </w:p>
    <w:p w14:paraId="577FE04C">
      <w:pPr>
        <w:keepNext w:val="0"/>
        <w:keepLines w:val="0"/>
        <w:pageBreakBefore w:val="0"/>
        <w:kinsoku/>
        <w:topLinePunct w:val="0"/>
        <w:bidi w:val="0"/>
        <w:spacing w:line="400" w:lineRule="exact"/>
        <w:ind w:firstLine="411" w:firstLineChars="196"/>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5.投标人之间事先约定一致抬高或者压低投标报价，或者在招标项目中事先约定轮流以高价位或者低价位中标，或者事先约定由某一特定投标人中标，然后再参加投标；</w:t>
      </w:r>
    </w:p>
    <w:p w14:paraId="3F66E190">
      <w:pPr>
        <w:keepNext w:val="0"/>
        <w:keepLines w:val="0"/>
        <w:pageBreakBefore w:val="0"/>
        <w:kinsoku/>
        <w:topLinePunct w:val="0"/>
        <w:bidi w:val="0"/>
        <w:spacing w:line="400" w:lineRule="exact"/>
        <w:ind w:firstLine="411" w:firstLineChars="196"/>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6.投标人之间商定部分投标人放弃参加政府采购活动或者放弃中标；</w:t>
      </w:r>
    </w:p>
    <w:p w14:paraId="4D8C9EAF">
      <w:pPr>
        <w:keepNext w:val="0"/>
        <w:keepLines w:val="0"/>
        <w:pageBreakBefore w:val="0"/>
        <w:kinsoku/>
        <w:topLinePunct w:val="0"/>
        <w:bidi w:val="0"/>
        <w:spacing w:line="400" w:lineRule="exact"/>
        <w:ind w:firstLine="411" w:firstLineChars="196"/>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7.投标人与采购人或者采购代理机构之间、投标人相互之间，为谋求特定投标人中标或者排斥其他投标人的其他串通行为。</w:t>
      </w:r>
    </w:p>
    <w:p w14:paraId="20CAC507">
      <w:pPr>
        <w:keepNext w:val="0"/>
        <w:keepLines w:val="0"/>
        <w:pageBreakBefore w:val="0"/>
        <w:kinsoku/>
        <w:topLinePunct w:val="0"/>
        <w:bidi w:val="0"/>
        <w:spacing w:line="400" w:lineRule="exact"/>
        <w:ind w:firstLine="413" w:firstLineChars="196"/>
        <w:contextualSpacing/>
        <w:jc w:val="lef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以上情形一经核查属实，接受政府采购监管部门对我方认定存在围标串标行为，我方愿意承担一切后果，并不再寻求任何旨在减轻或者免除法律责任的辩解。</w:t>
      </w:r>
    </w:p>
    <w:p w14:paraId="09C30778">
      <w:pPr>
        <w:pStyle w:val="28"/>
        <w:keepNext w:val="0"/>
        <w:keepLines w:val="0"/>
        <w:pageBreakBefore w:val="0"/>
        <w:kinsoku/>
        <w:topLinePunct w:val="0"/>
        <w:bidi w:val="0"/>
        <w:spacing w:line="400" w:lineRule="exact"/>
        <w:ind w:firstLine="5985" w:firstLineChars="2850"/>
        <w:contextualSpacing/>
        <w:rPr>
          <w:rFonts w:hint="eastAsia" w:ascii="宋体" w:hAnsi="宋体" w:eastAsia="宋体" w:cs="宋体"/>
          <w:strike w:val="0"/>
          <w:dstrike w:val="0"/>
          <w:color w:val="auto"/>
          <w:sz w:val="21"/>
          <w:szCs w:val="21"/>
          <w:highlight w:val="none"/>
        </w:rPr>
      </w:pPr>
    </w:p>
    <w:p w14:paraId="1A25C695">
      <w:pPr>
        <w:keepNext w:val="0"/>
        <w:keepLines w:val="0"/>
        <w:pageBreakBefore w:val="0"/>
        <w:kinsoku/>
        <w:topLinePunct w:val="0"/>
        <w:bidi w:val="0"/>
        <w:spacing w:line="400" w:lineRule="exact"/>
        <w:ind w:left="3990" w:leftChars="1900"/>
        <w:contextualSpacing/>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 xml:space="preserve">投标人（电子签章）： </w:t>
      </w:r>
      <w:r>
        <w:rPr>
          <w:rFonts w:hint="eastAsia" w:ascii="宋体" w:hAnsi="宋体" w:eastAsia="宋体" w:cs="宋体"/>
          <w:strike w:val="0"/>
          <w:dstrike w:val="0"/>
          <w:color w:val="auto"/>
          <w:sz w:val="21"/>
          <w:szCs w:val="21"/>
          <w:highlight w:val="none"/>
          <w:u w:val="single"/>
        </w:rPr>
        <w:t xml:space="preserve">                        </w:t>
      </w:r>
    </w:p>
    <w:p w14:paraId="45E177E0">
      <w:pPr>
        <w:keepNext w:val="0"/>
        <w:keepLines w:val="0"/>
        <w:pageBreakBefore w:val="0"/>
        <w:kinsoku/>
        <w:topLinePunct w:val="0"/>
        <w:bidi w:val="0"/>
        <w:spacing w:line="400" w:lineRule="exact"/>
        <w:ind w:left="3990" w:leftChars="1900"/>
        <w:contextualSpacing/>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年</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月</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日</w:t>
      </w:r>
    </w:p>
    <w:p w14:paraId="47FBDD42">
      <w:pPr>
        <w:keepNext w:val="0"/>
        <w:keepLines w:val="0"/>
        <w:pageBreakBefore w:val="0"/>
        <w:kinsoku/>
        <w:topLinePunct w:val="0"/>
        <w:bidi w:val="0"/>
        <w:snapToGrid w:val="0"/>
        <w:spacing w:beforeLines="50" w:after="50" w:line="400" w:lineRule="exact"/>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br w:type="page"/>
      </w:r>
      <w:r>
        <w:rPr>
          <w:rFonts w:hint="eastAsia" w:ascii="宋体" w:hAnsi="宋体" w:eastAsia="宋体" w:cs="宋体"/>
          <w:b/>
          <w:strike w:val="0"/>
          <w:dstrike w:val="0"/>
          <w:color w:val="auto"/>
          <w:sz w:val="21"/>
          <w:szCs w:val="21"/>
          <w:highlight w:val="none"/>
        </w:rPr>
        <w:t>5.法定代表人身份证明</w:t>
      </w:r>
    </w:p>
    <w:p w14:paraId="2C3799E0">
      <w:pPr>
        <w:keepNext w:val="0"/>
        <w:keepLines w:val="0"/>
        <w:pageBreakBefore w:val="0"/>
        <w:kinsoku/>
        <w:topLinePunct w:val="0"/>
        <w:bidi w:val="0"/>
        <w:spacing w:beforeLines="100" w:afterLines="50" w:line="400" w:lineRule="exact"/>
        <w:ind w:left="540"/>
        <w:jc w:val="center"/>
        <w:rPr>
          <w:rFonts w:hint="eastAsia" w:ascii="宋体" w:hAnsi="宋体" w:eastAsia="宋体" w:cs="宋体"/>
          <w:b/>
          <w:strike w:val="0"/>
          <w:dstrike w:val="0"/>
          <w:color w:val="auto"/>
          <w:sz w:val="21"/>
          <w:szCs w:val="21"/>
          <w:highlight w:val="none"/>
        </w:rPr>
      </w:pPr>
    </w:p>
    <w:p w14:paraId="6C1F200A">
      <w:pPr>
        <w:keepNext w:val="0"/>
        <w:keepLines w:val="0"/>
        <w:pageBreakBefore w:val="0"/>
        <w:kinsoku/>
        <w:topLinePunct w:val="0"/>
        <w:bidi w:val="0"/>
        <w:snapToGrid w:val="0"/>
        <w:spacing w:before="50" w:after="50"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法定代表人身份证明</w:t>
      </w:r>
    </w:p>
    <w:p w14:paraId="7B12643E">
      <w:pPr>
        <w:keepNext w:val="0"/>
        <w:keepLines w:val="0"/>
        <w:pageBreakBefore w:val="0"/>
        <w:kinsoku/>
        <w:topLinePunct w:val="0"/>
        <w:bidi w:val="0"/>
        <w:spacing w:line="400" w:lineRule="exact"/>
        <w:ind w:left="54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投 标 人：</w:t>
      </w:r>
      <w:r>
        <w:rPr>
          <w:rFonts w:hint="eastAsia" w:ascii="宋体" w:hAnsi="宋体" w:eastAsia="宋体" w:cs="宋体"/>
          <w:strike w:val="0"/>
          <w:dstrike w:val="0"/>
          <w:color w:val="auto"/>
          <w:sz w:val="21"/>
          <w:szCs w:val="21"/>
          <w:highlight w:val="none"/>
          <w:u w:val="single"/>
        </w:rPr>
        <w:t xml:space="preserve">                                                        </w:t>
      </w:r>
    </w:p>
    <w:p w14:paraId="602A438B">
      <w:pPr>
        <w:keepNext w:val="0"/>
        <w:keepLines w:val="0"/>
        <w:pageBreakBefore w:val="0"/>
        <w:kinsoku/>
        <w:topLinePunct w:val="0"/>
        <w:bidi w:val="0"/>
        <w:spacing w:line="400" w:lineRule="exact"/>
        <w:ind w:left="54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地    址：</w:t>
      </w:r>
      <w:r>
        <w:rPr>
          <w:rFonts w:hint="eastAsia" w:ascii="宋体" w:hAnsi="宋体" w:eastAsia="宋体" w:cs="宋体"/>
          <w:strike w:val="0"/>
          <w:dstrike w:val="0"/>
          <w:color w:val="auto"/>
          <w:sz w:val="21"/>
          <w:szCs w:val="21"/>
          <w:highlight w:val="none"/>
          <w:u w:val="single"/>
        </w:rPr>
        <w:t xml:space="preserve">                                                        </w:t>
      </w:r>
    </w:p>
    <w:p w14:paraId="50CBABFD">
      <w:pPr>
        <w:keepNext w:val="0"/>
        <w:keepLines w:val="0"/>
        <w:pageBreakBefore w:val="0"/>
        <w:kinsoku/>
        <w:topLinePunct w:val="0"/>
        <w:bidi w:val="0"/>
        <w:spacing w:line="400" w:lineRule="exact"/>
        <w:ind w:left="54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姓    名：</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性      别：</w:t>
      </w:r>
      <w:r>
        <w:rPr>
          <w:rFonts w:hint="eastAsia" w:ascii="宋体" w:hAnsi="宋体" w:eastAsia="宋体" w:cs="宋体"/>
          <w:strike w:val="0"/>
          <w:dstrike w:val="0"/>
          <w:color w:val="auto"/>
          <w:sz w:val="21"/>
          <w:szCs w:val="21"/>
          <w:highlight w:val="none"/>
          <w:u w:val="single"/>
        </w:rPr>
        <w:t xml:space="preserve">                </w:t>
      </w:r>
    </w:p>
    <w:p w14:paraId="4464BCDC">
      <w:pPr>
        <w:keepNext w:val="0"/>
        <w:keepLines w:val="0"/>
        <w:pageBreakBefore w:val="0"/>
        <w:kinsoku/>
        <w:topLinePunct w:val="0"/>
        <w:bidi w:val="0"/>
        <w:spacing w:line="400" w:lineRule="exact"/>
        <w:ind w:left="540"/>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年    龄：</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职      务：</w:t>
      </w:r>
      <w:r>
        <w:rPr>
          <w:rFonts w:hint="eastAsia" w:ascii="宋体" w:hAnsi="宋体" w:eastAsia="宋体" w:cs="宋体"/>
          <w:strike w:val="0"/>
          <w:dstrike w:val="0"/>
          <w:color w:val="auto"/>
          <w:sz w:val="21"/>
          <w:szCs w:val="21"/>
          <w:highlight w:val="none"/>
          <w:u w:val="single"/>
        </w:rPr>
        <w:t xml:space="preserve">                </w:t>
      </w:r>
    </w:p>
    <w:p w14:paraId="4BD186A2">
      <w:pPr>
        <w:keepNext w:val="0"/>
        <w:keepLines w:val="0"/>
        <w:pageBreakBefore w:val="0"/>
        <w:kinsoku/>
        <w:topLinePunct w:val="0"/>
        <w:bidi w:val="0"/>
        <w:spacing w:line="400" w:lineRule="exact"/>
        <w:ind w:left="54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身份证号码：</w:t>
      </w:r>
      <w:r>
        <w:rPr>
          <w:rFonts w:hint="eastAsia" w:ascii="宋体" w:hAnsi="宋体" w:eastAsia="宋体" w:cs="宋体"/>
          <w:strike w:val="0"/>
          <w:dstrike w:val="0"/>
          <w:color w:val="auto"/>
          <w:sz w:val="21"/>
          <w:szCs w:val="21"/>
          <w:highlight w:val="none"/>
          <w:u w:val="single"/>
        </w:rPr>
        <w:t xml:space="preserve">                                 </w:t>
      </w:r>
    </w:p>
    <w:p w14:paraId="4384F804">
      <w:pPr>
        <w:keepNext w:val="0"/>
        <w:keepLines w:val="0"/>
        <w:pageBreakBefore w:val="0"/>
        <w:kinsoku/>
        <w:topLinePunct w:val="0"/>
        <w:bidi w:val="0"/>
        <w:spacing w:line="400" w:lineRule="exact"/>
        <w:ind w:left="54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系</w:t>
      </w:r>
      <w:r>
        <w:rPr>
          <w:rFonts w:hint="eastAsia" w:ascii="宋体" w:hAnsi="宋体" w:eastAsia="宋体" w:cs="宋体"/>
          <w:strike w:val="0"/>
          <w:dstrike w:val="0"/>
          <w:color w:val="auto"/>
          <w:sz w:val="21"/>
          <w:szCs w:val="21"/>
          <w:highlight w:val="none"/>
          <w:u w:val="single"/>
        </w:rPr>
        <w:t xml:space="preserve">            （投标人名称）              </w:t>
      </w:r>
      <w:r>
        <w:rPr>
          <w:rFonts w:hint="eastAsia" w:ascii="宋体" w:hAnsi="宋体" w:eastAsia="宋体" w:cs="宋体"/>
          <w:strike w:val="0"/>
          <w:dstrike w:val="0"/>
          <w:color w:val="auto"/>
          <w:sz w:val="21"/>
          <w:szCs w:val="21"/>
          <w:highlight w:val="none"/>
        </w:rPr>
        <w:t>的法定代表人。</w:t>
      </w:r>
    </w:p>
    <w:p w14:paraId="30D2A119">
      <w:pPr>
        <w:keepNext w:val="0"/>
        <w:keepLines w:val="0"/>
        <w:pageBreakBefore w:val="0"/>
        <w:kinsoku/>
        <w:topLinePunct w:val="0"/>
        <w:bidi w:val="0"/>
        <w:spacing w:line="400" w:lineRule="exact"/>
        <w:ind w:left="54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特此证明。</w:t>
      </w:r>
    </w:p>
    <w:p w14:paraId="0E3900E0">
      <w:pPr>
        <w:keepNext w:val="0"/>
        <w:keepLines w:val="0"/>
        <w:pageBreakBefore w:val="0"/>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p>
    <w:p w14:paraId="541E3CAF">
      <w:pPr>
        <w:keepNext w:val="0"/>
        <w:keepLines w:val="0"/>
        <w:pageBreakBefore w:val="0"/>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p>
    <w:p w14:paraId="67CAD8BF">
      <w:pPr>
        <w:keepNext w:val="0"/>
        <w:keepLines w:val="0"/>
        <w:pageBreakBefore w:val="0"/>
        <w:kinsoku/>
        <w:topLinePunct w:val="0"/>
        <w:bidi w:val="0"/>
        <w:spacing w:line="400" w:lineRule="exact"/>
        <w:ind w:firstLine="420" w:firstLineChars="200"/>
        <w:outlineLvl w:val="3"/>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附件：法定代表人有效身份证正反面复印件</w:t>
      </w:r>
    </w:p>
    <w:p w14:paraId="4910FD96">
      <w:pPr>
        <w:keepNext w:val="0"/>
        <w:keepLines w:val="0"/>
        <w:pageBreakBefore w:val="0"/>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p>
    <w:p w14:paraId="22DE39F0">
      <w:pPr>
        <w:keepNext w:val="0"/>
        <w:keepLines w:val="0"/>
        <w:pageBreakBefore w:val="0"/>
        <w:kinsoku/>
        <w:topLinePunct w:val="0"/>
        <w:bidi w:val="0"/>
        <w:spacing w:line="400" w:lineRule="exact"/>
        <w:ind w:left="3990" w:leftChars="1900"/>
        <w:contextualSpacing/>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 xml:space="preserve">投标人（电子签章）： </w:t>
      </w:r>
      <w:r>
        <w:rPr>
          <w:rFonts w:hint="eastAsia" w:ascii="宋体" w:hAnsi="宋体" w:eastAsia="宋体" w:cs="宋体"/>
          <w:strike w:val="0"/>
          <w:dstrike w:val="0"/>
          <w:color w:val="auto"/>
          <w:sz w:val="21"/>
          <w:szCs w:val="21"/>
          <w:highlight w:val="none"/>
          <w:u w:val="single"/>
        </w:rPr>
        <w:t xml:space="preserve">                        </w:t>
      </w:r>
    </w:p>
    <w:p w14:paraId="3B71EA9A">
      <w:pPr>
        <w:keepNext w:val="0"/>
        <w:keepLines w:val="0"/>
        <w:pageBreakBefore w:val="0"/>
        <w:kinsoku/>
        <w:topLinePunct w:val="0"/>
        <w:bidi w:val="0"/>
        <w:spacing w:line="400" w:lineRule="exact"/>
        <w:ind w:left="3990" w:leftChars="1900"/>
        <w:contextualSpacing/>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年</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月</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日</w:t>
      </w:r>
    </w:p>
    <w:p w14:paraId="3CDFFAA4">
      <w:pPr>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p>
    <w:p w14:paraId="1D9D0782">
      <w:pPr>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注：自然人投标的无需提供</w:t>
      </w:r>
    </w:p>
    <w:p w14:paraId="79CD13F7">
      <w:pPr>
        <w:keepNext w:val="0"/>
        <w:keepLines w:val="0"/>
        <w:pageBreakBefore w:val="0"/>
        <w:kinsoku/>
        <w:topLinePunct w:val="0"/>
        <w:bidi w:val="0"/>
        <w:snapToGrid w:val="0"/>
        <w:spacing w:beforeLines="50" w:after="50" w:line="400" w:lineRule="exact"/>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br w:type="page"/>
      </w:r>
      <w:r>
        <w:rPr>
          <w:rFonts w:hint="eastAsia" w:ascii="宋体" w:hAnsi="宋体" w:eastAsia="宋体" w:cs="宋体"/>
          <w:b/>
          <w:strike w:val="0"/>
          <w:dstrike w:val="0"/>
          <w:color w:val="auto"/>
          <w:sz w:val="21"/>
          <w:szCs w:val="21"/>
          <w:highlight w:val="none"/>
        </w:rPr>
        <w:t>6.授权委托书格式</w:t>
      </w:r>
    </w:p>
    <w:p w14:paraId="39AA4B5D">
      <w:pPr>
        <w:keepNext w:val="0"/>
        <w:keepLines w:val="0"/>
        <w:pageBreakBefore w:val="0"/>
        <w:kinsoku/>
        <w:topLinePunct w:val="0"/>
        <w:bidi w:val="0"/>
        <w:snapToGrid w:val="0"/>
        <w:spacing w:before="50" w:after="50" w:line="400" w:lineRule="exact"/>
        <w:jc w:val="center"/>
        <w:outlineLvl w:val="3"/>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授权委托书</w:t>
      </w:r>
    </w:p>
    <w:p w14:paraId="7369F756">
      <w:pPr>
        <w:keepNext w:val="0"/>
        <w:keepLines w:val="0"/>
        <w:pageBreakBefore w:val="0"/>
        <w:kinsoku/>
        <w:topLinePunct w:val="0"/>
        <w:bidi w:val="0"/>
        <w:spacing w:line="400" w:lineRule="exact"/>
        <w:contextualSpacing/>
        <w:jc w:val="center"/>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（非联合体投标格式）</w:t>
      </w:r>
    </w:p>
    <w:p w14:paraId="4547965A">
      <w:pPr>
        <w:keepNext w:val="0"/>
        <w:keepLines w:val="0"/>
        <w:pageBreakBefore w:val="0"/>
        <w:kinsoku/>
        <w:topLinePunct w:val="0"/>
        <w:bidi w:val="0"/>
        <w:spacing w:line="400" w:lineRule="exact"/>
        <w:contextualSpacing/>
        <w:jc w:val="center"/>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（如有委托时）</w:t>
      </w:r>
    </w:p>
    <w:p w14:paraId="5E7BFB1C">
      <w:pPr>
        <w:keepNext w:val="0"/>
        <w:keepLines w:val="0"/>
        <w:pageBreakBefore w:val="0"/>
        <w:kinsoku/>
        <w:topLinePunct w:val="0"/>
        <w:bidi w:val="0"/>
        <w:spacing w:line="400" w:lineRule="exact"/>
        <w:contextualSpacing/>
        <w:rPr>
          <w:rFonts w:hint="eastAsia" w:ascii="宋体" w:hAnsi="宋体" w:eastAsia="宋体" w:cs="宋体"/>
          <w:b/>
          <w:bCs/>
          <w:strike w:val="0"/>
          <w:dstrike w:val="0"/>
          <w:color w:val="auto"/>
          <w:sz w:val="21"/>
          <w:szCs w:val="21"/>
          <w:highlight w:val="none"/>
        </w:rPr>
      </w:pPr>
      <w:bookmarkStart w:id="309" w:name="OLE_LINK285"/>
      <w:bookmarkStart w:id="310" w:name="OLE_LINK284"/>
      <w:r>
        <w:rPr>
          <w:rFonts w:hint="eastAsia" w:ascii="宋体" w:hAnsi="宋体" w:eastAsia="宋体" w:cs="宋体"/>
          <w:bCs/>
          <w:strike w:val="0"/>
          <w:dstrike w:val="0"/>
          <w:color w:val="auto"/>
          <w:sz w:val="21"/>
          <w:szCs w:val="21"/>
          <w:highlight w:val="none"/>
        </w:rPr>
        <w:t>致</w:t>
      </w:r>
      <w:r>
        <w:rPr>
          <w:rFonts w:hint="eastAsia" w:ascii="宋体" w:hAnsi="宋体" w:eastAsia="宋体" w:cs="宋体"/>
          <w:strike w:val="0"/>
          <w:dstrike w:val="0"/>
          <w:color w:val="auto"/>
          <w:sz w:val="21"/>
          <w:szCs w:val="21"/>
          <w:highlight w:val="none"/>
          <w:u w:val="single"/>
        </w:rPr>
        <w:t>（采购人/采购代理机构名称）：</w:t>
      </w:r>
    </w:p>
    <w:bookmarkEnd w:id="309"/>
    <w:bookmarkEnd w:id="310"/>
    <w:p w14:paraId="0C2D5D4B">
      <w:pPr>
        <w:keepNext w:val="0"/>
        <w:keepLines w:val="0"/>
        <w:pageBreakBefore w:val="0"/>
        <w:kinsoku/>
        <w:topLinePunct w:val="0"/>
        <w:bidi w:val="0"/>
        <w:spacing w:line="400" w:lineRule="exact"/>
        <w:ind w:firstLine="495" w:firstLineChars="236"/>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我</w:t>
      </w:r>
      <w:r>
        <w:rPr>
          <w:rFonts w:hint="eastAsia" w:ascii="宋体" w:hAnsi="宋体" w:eastAsia="宋体" w:cs="宋体"/>
          <w:strike w:val="0"/>
          <w:dstrike w:val="0"/>
          <w:color w:val="auto"/>
          <w:sz w:val="21"/>
          <w:szCs w:val="21"/>
          <w:highlight w:val="none"/>
          <w:u w:val="single"/>
        </w:rPr>
        <w:t>（姓名）</w:t>
      </w:r>
      <w:r>
        <w:rPr>
          <w:rFonts w:hint="eastAsia" w:ascii="宋体" w:hAnsi="宋体" w:eastAsia="宋体" w:cs="宋体"/>
          <w:strike w:val="0"/>
          <w:dstrike w:val="0"/>
          <w:color w:val="auto"/>
          <w:sz w:val="21"/>
          <w:szCs w:val="21"/>
          <w:highlight w:val="none"/>
        </w:rPr>
        <w:t>系</w:t>
      </w:r>
      <w:r>
        <w:rPr>
          <w:rFonts w:hint="eastAsia" w:ascii="宋体" w:hAnsi="宋体" w:eastAsia="宋体" w:cs="宋体"/>
          <w:strike w:val="0"/>
          <w:dstrike w:val="0"/>
          <w:color w:val="auto"/>
          <w:sz w:val="21"/>
          <w:szCs w:val="21"/>
          <w:highlight w:val="none"/>
          <w:u w:val="single"/>
        </w:rPr>
        <w:t>（投标人名称）</w:t>
      </w:r>
      <w:r>
        <w:rPr>
          <w:rFonts w:hint="eastAsia" w:ascii="宋体" w:hAnsi="宋体" w:eastAsia="宋体" w:cs="宋体"/>
          <w:strike w:val="0"/>
          <w:dstrike w:val="0"/>
          <w:color w:val="auto"/>
          <w:sz w:val="21"/>
          <w:szCs w:val="21"/>
          <w:highlight w:val="none"/>
        </w:rPr>
        <w:t>的法定代表人，现授权委托</w:t>
      </w:r>
      <w:r>
        <w:rPr>
          <w:rFonts w:hint="eastAsia" w:ascii="宋体" w:hAnsi="宋体" w:eastAsia="宋体" w:cs="宋体"/>
          <w:strike w:val="0"/>
          <w:dstrike w:val="0"/>
          <w:color w:val="auto"/>
          <w:sz w:val="21"/>
          <w:szCs w:val="21"/>
          <w:highlight w:val="none"/>
          <w:u w:val="single"/>
        </w:rPr>
        <w:t>（姓名）</w:t>
      </w:r>
      <w:r>
        <w:rPr>
          <w:rFonts w:hint="eastAsia" w:ascii="宋体" w:hAnsi="宋体" w:eastAsia="宋体" w:cs="宋体"/>
          <w:strike w:val="0"/>
          <w:dstrike w:val="0"/>
          <w:color w:val="auto"/>
          <w:sz w:val="21"/>
          <w:szCs w:val="21"/>
          <w:highlight w:val="none"/>
        </w:rPr>
        <w:t>以我方的名义参加</w:t>
      </w:r>
      <w:r>
        <w:rPr>
          <w:rFonts w:hint="eastAsia" w:ascii="宋体" w:hAnsi="宋体" w:eastAsia="宋体" w:cs="宋体"/>
          <w:strike w:val="0"/>
          <w:dstrike w:val="0"/>
          <w:color w:val="auto"/>
          <w:sz w:val="21"/>
          <w:szCs w:val="21"/>
          <w:highlight w:val="none"/>
          <w:u w:val="single"/>
          <w:lang w:val="en-US" w:eastAsia="zh-CN"/>
        </w:rPr>
        <w:t xml:space="preserve">   </w:t>
      </w:r>
      <w:r>
        <w:rPr>
          <w:rFonts w:hint="eastAsia" w:ascii="宋体" w:hAnsi="宋体" w:eastAsia="宋体" w:cs="宋体"/>
          <w:strike w:val="0"/>
          <w:dstrike w:val="0"/>
          <w:color w:val="auto"/>
          <w:sz w:val="21"/>
          <w:szCs w:val="21"/>
          <w:highlight w:val="none"/>
          <w:u w:val="single"/>
        </w:rPr>
        <w:t>（项目名称/项目编号</w:t>
      </w:r>
      <w:r>
        <w:rPr>
          <w:rFonts w:hint="eastAsia" w:ascii="宋体" w:hAnsi="宋体" w:eastAsia="宋体" w:cs="宋体"/>
          <w:strike w:val="0"/>
          <w:dstrike w:val="0"/>
          <w:color w:val="auto"/>
          <w:sz w:val="21"/>
          <w:szCs w:val="21"/>
          <w:highlight w:val="none"/>
        </w:rPr>
        <w:t>）项目的投标活动，并代表我方全权办理针对上述项目的所有采购程序和环节的具体事务和签署相关文件。</w:t>
      </w:r>
    </w:p>
    <w:p w14:paraId="0EBD8B72">
      <w:pPr>
        <w:keepNext w:val="0"/>
        <w:keepLines w:val="0"/>
        <w:pageBreakBefore w:val="0"/>
        <w:kinsoku/>
        <w:topLinePunct w:val="0"/>
        <w:bidi w:val="0"/>
        <w:spacing w:line="400" w:lineRule="exact"/>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我方对委托代理人的签字或者电子签名事项负全部责任。</w:t>
      </w:r>
    </w:p>
    <w:p w14:paraId="34B94430">
      <w:pPr>
        <w:keepNext w:val="0"/>
        <w:keepLines w:val="0"/>
        <w:pageBreakBefore w:val="0"/>
        <w:kinsoku/>
        <w:topLinePunct w:val="0"/>
        <w:bidi w:val="0"/>
        <w:spacing w:line="400" w:lineRule="exact"/>
        <w:ind w:firstLine="480"/>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u w:val="single"/>
        </w:rPr>
        <w:t>本授权书自签署之日起生效，在撤销授权的书面通知以前，本授权书一直有效。委托代理人在授权书有效期内签署的所有文件不因授权的撤销而失效。</w:t>
      </w:r>
    </w:p>
    <w:p w14:paraId="2A81BB25">
      <w:pPr>
        <w:keepNext w:val="0"/>
        <w:keepLines w:val="0"/>
        <w:pageBreakBefore w:val="0"/>
        <w:kinsoku/>
        <w:topLinePunct w:val="0"/>
        <w:bidi w:val="0"/>
        <w:spacing w:line="400" w:lineRule="exact"/>
        <w:ind w:firstLine="480"/>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委托代理人无转委托权，特此委托。</w:t>
      </w:r>
    </w:p>
    <w:p w14:paraId="3FBAECC8">
      <w:pPr>
        <w:keepNext w:val="0"/>
        <w:keepLines w:val="0"/>
        <w:pageBreakBefore w:val="0"/>
        <w:kinsoku/>
        <w:topLinePunct w:val="0"/>
        <w:bidi w:val="0"/>
        <w:spacing w:line="400" w:lineRule="exact"/>
        <w:ind w:firstLine="480"/>
        <w:contextualSpacing/>
        <w:rPr>
          <w:rFonts w:hint="eastAsia" w:ascii="宋体" w:hAnsi="宋体" w:eastAsia="宋体" w:cs="宋体"/>
          <w:strike w:val="0"/>
          <w:dstrike w:val="0"/>
          <w:color w:val="auto"/>
          <w:sz w:val="21"/>
          <w:szCs w:val="21"/>
          <w:highlight w:val="none"/>
        </w:rPr>
      </w:pPr>
    </w:p>
    <w:p w14:paraId="7D0CCF3C">
      <w:pPr>
        <w:keepNext w:val="0"/>
        <w:keepLines w:val="0"/>
        <w:pageBreakBefore w:val="0"/>
        <w:kinsoku/>
        <w:topLinePunct w:val="0"/>
        <w:bidi w:val="0"/>
        <w:spacing w:line="400" w:lineRule="exact"/>
        <w:ind w:firstLine="480"/>
        <w:contextualSpacing/>
        <w:rPr>
          <w:rFonts w:hint="eastAsia" w:ascii="宋体" w:hAnsi="宋体" w:eastAsia="宋体" w:cs="宋体"/>
          <w:b/>
          <w:bCs/>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rPr>
        <w:t>附：1）法定代表人身份证明及委托代理人有效身份证正反面复印件</w:t>
      </w:r>
    </w:p>
    <w:p w14:paraId="26353149">
      <w:pPr>
        <w:keepNext w:val="0"/>
        <w:keepLines w:val="0"/>
        <w:pageBreakBefore w:val="0"/>
        <w:kinsoku/>
        <w:topLinePunct w:val="0"/>
        <w:bidi w:val="0"/>
        <w:spacing w:line="400" w:lineRule="exact"/>
        <w:ind w:firstLine="480"/>
        <w:contextualSpacing/>
        <w:rPr>
          <w:rFonts w:hint="eastAsia" w:ascii="宋体" w:hAnsi="宋体" w:eastAsia="宋体" w:cs="宋体"/>
          <w:b/>
          <w:bCs/>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rPr>
        <w:t>2）投标截止日期前半年内</w:t>
      </w:r>
      <w:bookmarkStart w:id="311" w:name="OLE_LINK75"/>
      <w:r>
        <w:rPr>
          <w:rFonts w:hint="eastAsia" w:ascii="宋体" w:hAnsi="宋体" w:eastAsia="宋体" w:cs="宋体"/>
          <w:b/>
          <w:bCs/>
          <w:strike w:val="0"/>
          <w:dstrike w:val="0"/>
          <w:color w:val="auto"/>
          <w:sz w:val="21"/>
          <w:szCs w:val="21"/>
          <w:highlight w:val="none"/>
        </w:rPr>
        <w:t>任意1个月</w:t>
      </w:r>
      <w:bookmarkEnd w:id="311"/>
      <w:r>
        <w:rPr>
          <w:rFonts w:hint="eastAsia" w:ascii="宋体" w:hAnsi="宋体" w:eastAsia="宋体" w:cs="宋体"/>
          <w:b/>
          <w:bCs/>
          <w:strike w:val="0"/>
          <w:dstrike w:val="0"/>
          <w:color w:val="auto"/>
          <w:sz w:val="21"/>
          <w:szCs w:val="21"/>
          <w:highlight w:val="none"/>
        </w:rPr>
        <w:t>投标人为委托代理人缴纳社保的证明（必须提供，否则投标无效）</w:t>
      </w:r>
    </w:p>
    <w:p w14:paraId="15E95303">
      <w:pPr>
        <w:keepNext w:val="0"/>
        <w:keepLines w:val="0"/>
        <w:pageBreakBefore w:val="0"/>
        <w:kinsoku/>
        <w:topLinePunct w:val="0"/>
        <w:bidi w:val="0"/>
        <w:spacing w:line="400" w:lineRule="exact"/>
        <w:contextualSpacing/>
        <w:rPr>
          <w:rFonts w:hint="eastAsia" w:ascii="宋体" w:hAnsi="宋体" w:eastAsia="宋体" w:cs="宋体"/>
          <w:strike w:val="0"/>
          <w:dstrike w:val="0"/>
          <w:color w:val="auto"/>
          <w:sz w:val="21"/>
          <w:szCs w:val="21"/>
          <w:highlight w:val="none"/>
        </w:rPr>
      </w:pPr>
    </w:p>
    <w:p w14:paraId="242A1C8B">
      <w:pPr>
        <w:keepNext w:val="0"/>
        <w:keepLines w:val="0"/>
        <w:pageBreakBefore w:val="0"/>
        <w:kinsoku/>
        <w:topLinePunct w:val="0"/>
        <w:bidi w:val="0"/>
        <w:spacing w:line="400" w:lineRule="exact"/>
        <w:ind w:left="420" w:leftChars="200"/>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委托代理人（签字或者电子签名）：</w:t>
      </w:r>
      <w:r>
        <w:rPr>
          <w:rFonts w:hint="eastAsia" w:ascii="宋体" w:hAnsi="宋体" w:eastAsia="宋体" w:cs="宋体"/>
          <w:strike w:val="0"/>
          <w:dstrike w:val="0"/>
          <w:color w:val="auto"/>
          <w:sz w:val="21"/>
          <w:szCs w:val="21"/>
          <w:highlight w:val="none"/>
          <w:u w:val="single"/>
        </w:rPr>
        <w:t xml:space="preserve">                   </w:t>
      </w:r>
    </w:p>
    <w:p w14:paraId="6AAFDD49">
      <w:pPr>
        <w:keepNext w:val="0"/>
        <w:keepLines w:val="0"/>
        <w:pageBreakBefore w:val="0"/>
        <w:kinsoku/>
        <w:topLinePunct w:val="0"/>
        <w:bidi w:val="0"/>
        <w:spacing w:line="400" w:lineRule="exact"/>
        <w:ind w:left="420" w:leftChars="200"/>
        <w:contextualSpacing/>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委托代理人身份证号码：</w:t>
      </w:r>
      <w:r>
        <w:rPr>
          <w:rFonts w:hint="eastAsia" w:ascii="宋体" w:hAnsi="宋体" w:eastAsia="宋体" w:cs="宋体"/>
          <w:strike w:val="0"/>
          <w:dstrike w:val="0"/>
          <w:color w:val="auto"/>
          <w:sz w:val="21"/>
          <w:szCs w:val="21"/>
          <w:highlight w:val="none"/>
          <w:u w:val="single"/>
        </w:rPr>
        <w:t xml:space="preserve">                             </w:t>
      </w:r>
    </w:p>
    <w:p w14:paraId="285CCFBF">
      <w:pPr>
        <w:keepNext w:val="0"/>
        <w:keepLines w:val="0"/>
        <w:pageBreakBefore w:val="0"/>
        <w:kinsoku/>
        <w:topLinePunct w:val="0"/>
        <w:bidi w:val="0"/>
        <w:spacing w:line="400" w:lineRule="exact"/>
        <w:ind w:left="420" w:leftChars="200"/>
        <w:contextualSpacing/>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法定代表人（签字或者盖章或者电子签名）：</w:t>
      </w:r>
      <w:r>
        <w:rPr>
          <w:rFonts w:hint="eastAsia" w:ascii="宋体" w:hAnsi="宋体" w:eastAsia="宋体" w:cs="宋体"/>
          <w:strike w:val="0"/>
          <w:dstrike w:val="0"/>
          <w:color w:val="auto"/>
          <w:sz w:val="21"/>
          <w:szCs w:val="21"/>
          <w:highlight w:val="none"/>
          <w:u w:val="single"/>
        </w:rPr>
        <w:t xml:space="preserve">           </w:t>
      </w:r>
    </w:p>
    <w:p w14:paraId="58C6FD0C">
      <w:pPr>
        <w:keepNext w:val="0"/>
        <w:keepLines w:val="0"/>
        <w:pageBreakBefore w:val="0"/>
        <w:kinsoku/>
        <w:topLinePunct w:val="0"/>
        <w:bidi w:val="0"/>
        <w:spacing w:line="400" w:lineRule="exact"/>
        <w:contextualSpacing/>
        <w:rPr>
          <w:rFonts w:hint="eastAsia" w:ascii="宋体" w:hAnsi="宋体" w:eastAsia="宋体" w:cs="宋体"/>
          <w:strike w:val="0"/>
          <w:dstrike w:val="0"/>
          <w:color w:val="auto"/>
          <w:sz w:val="21"/>
          <w:szCs w:val="21"/>
          <w:highlight w:val="none"/>
        </w:rPr>
      </w:pPr>
    </w:p>
    <w:p w14:paraId="36EE9839">
      <w:pPr>
        <w:keepNext w:val="0"/>
        <w:keepLines w:val="0"/>
        <w:pageBreakBefore w:val="0"/>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投标人名称（电子签章）：</w:t>
      </w:r>
      <w:r>
        <w:rPr>
          <w:rFonts w:hint="eastAsia" w:ascii="宋体" w:hAnsi="宋体" w:eastAsia="宋体" w:cs="宋体"/>
          <w:strike w:val="0"/>
          <w:dstrike w:val="0"/>
          <w:color w:val="auto"/>
          <w:sz w:val="21"/>
          <w:szCs w:val="21"/>
          <w:highlight w:val="none"/>
          <w:u w:val="single"/>
        </w:rPr>
        <w:t xml:space="preserve">                   </w:t>
      </w:r>
    </w:p>
    <w:p w14:paraId="6E18BFFB">
      <w:pPr>
        <w:keepNext w:val="0"/>
        <w:keepLines w:val="0"/>
        <w:pageBreakBefore w:val="0"/>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  年  月  日</w:t>
      </w:r>
    </w:p>
    <w:p w14:paraId="34599776">
      <w:pPr>
        <w:keepNext w:val="0"/>
        <w:keepLines w:val="0"/>
        <w:pageBreakBefore w:val="0"/>
        <w:kinsoku/>
        <w:topLinePunct w:val="0"/>
        <w:bidi w:val="0"/>
        <w:spacing w:line="400" w:lineRule="exact"/>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注：1.</w:t>
      </w:r>
      <w:bookmarkStart w:id="312" w:name="_Hlk65851555"/>
      <w:bookmarkStart w:id="313" w:name="_Hlk65851620"/>
      <w:r>
        <w:rPr>
          <w:rFonts w:hint="eastAsia" w:ascii="宋体" w:hAnsi="宋体" w:eastAsia="宋体" w:cs="宋体"/>
          <w:strike w:val="0"/>
          <w:dstrike w:val="0"/>
          <w:color w:val="auto"/>
          <w:sz w:val="21"/>
          <w:szCs w:val="21"/>
          <w:highlight w:val="none"/>
        </w:rPr>
        <w:t>法定代表人必须在授权委托书上签字或者盖章或者电子签名，</w:t>
      </w:r>
      <w:bookmarkEnd w:id="312"/>
      <w:r>
        <w:rPr>
          <w:rFonts w:hint="eastAsia" w:ascii="宋体" w:hAnsi="宋体" w:eastAsia="宋体" w:cs="宋体"/>
          <w:strike w:val="0"/>
          <w:dstrike w:val="0"/>
          <w:color w:val="auto"/>
          <w:sz w:val="21"/>
          <w:szCs w:val="21"/>
          <w:highlight w:val="none"/>
        </w:rPr>
        <w:t>委托代理人必须在授权委托书上签字或者电子签名，</w:t>
      </w:r>
      <w:r>
        <w:rPr>
          <w:rFonts w:hint="eastAsia" w:ascii="宋体" w:hAnsi="宋体" w:eastAsia="宋体" w:cs="宋体"/>
          <w:b/>
          <w:bCs/>
          <w:strike w:val="0"/>
          <w:dstrike w:val="0"/>
          <w:color w:val="auto"/>
          <w:sz w:val="21"/>
          <w:szCs w:val="21"/>
          <w:highlight w:val="none"/>
        </w:rPr>
        <w:t>否则按无效投标处理</w:t>
      </w:r>
      <w:r>
        <w:rPr>
          <w:rFonts w:hint="eastAsia" w:ascii="宋体" w:hAnsi="宋体" w:eastAsia="宋体" w:cs="宋体"/>
          <w:strike w:val="0"/>
          <w:dstrike w:val="0"/>
          <w:color w:val="auto"/>
          <w:sz w:val="21"/>
          <w:szCs w:val="21"/>
          <w:highlight w:val="none"/>
        </w:rPr>
        <w:t>；</w:t>
      </w:r>
      <w:bookmarkEnd w:id="313"/>
    </w:p>
    <w:p w14:paraId="12184D3D">
      <w:pPr>
        <w:keepNext w:val="0"/>
        <w:keepLines w:val="0"/>
        <w:pageBreakBefore w:val="0"/>
        <w:kinsoku/>
        <w:topLinePunct w:val="0"/>
        <w:bidi w:val="0"/>
        <w:spacing w:line="400" w:lineRule="exact"/>
        <w:ind w:firstLine="420" w:firstLineChars="200"/>
        <w:contextualSpacing/>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2.法人、其他组织投标时“我方”是指“我单位”，自然人投标时“我方”是指“本人”。</w:t>
      </w:r>
    </w:p>
    <w:p w14:paraId="7A7CBC1C">
      <w:pPr>
        <w:keepNext w:val="0"/>
        <w:keepLines w:val="0"/>
        <w:pageBreakBefore w:val="0"/>
        <w:kinsoku/>
        <w:topLinePunct w:val="0"/>
        <w:bidi w:val="0"/>
        <w:snapToGrid w:val="0"/>
        <w:spacing w:before="50" w:after="50"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br w:type="page"/>
      </w:r>
      <w:r>
        <w:rPr>
          <w:rFonts w:hint="eastAsia" w:ascii="宋体" w:hAnsi="宋体" w:eastAsia="宋体" w:cs="宋体"/>
          <w:b/>
          <w:strike w:val="0"/>
          <w:dstrike w:val="0"/>
          <w:color w:val="auto"/>
          <w:sz w:val="21"/>
          <w:szCs w:val="21"/>
          <w:highlight w:val="none"/>
        </w:rPr>
        <w:t>授权委托书</w:t>
      </w:r>
    </w:p>
    <w:p w14:paraId="7D0515F3">
      <w:pPr>
        <w:keepNext w:val="0"/>
        <w:keepLines w:val="0"/>
        <w:pageBreakBefore w:val="0"/>
        <w:kinsoku/>
        <w:topLinePunct w:val="0"/>
        <w:bidi w:val="0"/>
        <w:snapToGrid w:val="0"/>
        <w:spacing w:beforeLines="50" w:after="50"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（联合体投标格式）</w:t>
      </w:r>
    </w:p>
    <w:p w14:paraId="212E40D6">
      <w:pPr>
        <w:keepNext w:val="0"/>
        <w:keepLines w:val="0"/>
        <w:pageBreakBefore w:val="0"/>
        <w:kinsoku/>
        <w:topLinePunct w:val="0"/>
        <w:bidi w:val="0"/>
        <w:snapToGrid w:val="0"/>
        <w:spacing w:beforeLines="50" w:after="50"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（如有委托时）</w:t>
      </w:r>
    </w:p>
    <w:p w14:paraId="4100701A">
      <w:pPr>
        <w:keepNext w:val="0"/>
        <w:keepLines w:val="0"/>
        <w:pageBreakBefore w:val="0"/>
        <w:kinsoku/>
        <w:topLinePunct w:val="0"/>
        <w:bidi w:val="0"/>
        <w:spacing w:line="400" w:lineRule="exact"/>
        <w:contextualSpacing/>
        <w:rPr>
          <w:rFonts w:hint="eastAsia" w:ascii="宋体" w:hAnsi="宋体" w:eastAsia="宋体" w:cs="宋体"/>
          <w:b/>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致</w:t>
      </w:r>
      <w:r>
        <w:rPr>
          <w:rFonts w:hint="eastAsia" w:ascii="宋体" w:hAnsi="宋体" w:eastAsia="宋体" w:cs="宋体"/>
          <w:strike w:val="0"/>
          <w:dstrike w:val="0"/>
          <w:color w:val="auto"/>
          <w:sz w:val="21"/>
          <w:szCs w:val="21"/>
          <w:highlight w:val="none"/>
          <w:u w:val="single"/>
        </w:rPr>
        <w:t>（采购人/采购代理机构名称）：</w:t>
      </w:r>
    </w:p>
    <w:p w14:paraId="643CF0EF">
      <w:pPr>
        <w:keepNext w:val="0"/>
        <w:keepLines w:val="0"/>
        <w:pageBreakBefore w:val="0"/>
        <w:kinsoku/>
        <w:topLinePunct w:val="0"/>
        <w:bidi w:val="0"/>
        <w:spacing w:line="400" w:lineRule="exact"/>
        <w:ind w:firstLine="495" w:firstLineChars="236"/>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根据</w:t>
      </w:r>
      <w:r>
        <w:rPr>
          <w:rFonts w:hint="eastAsia" w:ascii="宋体" w:hAnsi="宋体" w:eastAsia="宋体" w:cs="宋体"/>
          <w:strike w:val="0"/>
          <w:dstrike w:val="0"/>
          <w:color w:val="auto"/>
          <w:sz w:val="21"/>
          <w:szCs w:val="21"/>
          <w:highlight w:val="none"/>
          <w:u w:val="single"/>
        </w:rPr>
        <w:t>（牵头人名称）</w:t>
      </w:r>
      <w:r>
        <w:rPr>
          <w:rFonts w:hint="eastAsia" w:ascii="宋体" w:hAnsi="宋体" w:eastAsia="宋体" w:cs="宋体"/>
          <w:strike w:val="0"/>
          <w:dstrike w:val="0"/>
          <w:color w:val="auto"/>
          <w:sz w:val="21"/>
          <w:szCs w:val="21"/>
          <w:highlight w:val="none"/>
        </w:rPr>
        <w:t>与</w:t>
      </w:r>
      <w:r>
        <w:rPr>
          <w:rFonts w:hint="eastAsia" w:ascii="宋体" w:hAnsi="宋体" w:eastAsia="宋体" w:cs="宋体"/>
          <w:strike w:val="0"/>
          <w:dstrike w:val="0"/>
          <w:color w:val="auto"/>
          <w:sz w:val="21"/>
          <w:szCs w:val="21"/>
          <w:highlight w:val="none"/>
          <w:u w:val="single"/>
        </w:rPr>
        <w:t>（联合体其他成员名称）</w:t>
      </w:r>
      <w:r>
        <w:rPr>
          <w:rFonts w:hint="eastAsia" w:ascii="宋体" w:hAnsi="宋体" w:eastAsia="宋体" w:cs="宋体"/>
          <w:strike w:val="0"/>
          <w:dstrike w:val="0"/>
          <w:color w:val="auto"/>
          <w:sz w:val="21"/>
          <w:szCs w:val="21"/>
          <w:highlight w:val="none"/>
        </w:rPr>
        <w:t>签订的《联合体投标协议书》的内容，</w:t>
      </w:r>
      <w:r>
        <w:rPr>
          <w:rFonts w:hint="eastAsia" w:ascii="宋体" w:hAnsi="宋体" w:eastAsia="宋体" w:cs="宋体"/>
          <w:strike w:val="0"/>
          <w:dstrike w:val="0"/>
          <w:color w:val="auto"/>
          <w:sz w:val="21"/>
          <w:szCs w:val="21"/>
          <w:highlight w:val="none"/>
          <w:u w:val="single"/>
        </w:rPr>
        <w:t>（牵头人名称）</w:t>
      </w:r>
      <w:r>
        <w:rPr>
          <w:rFonts w:hint="eastAsia" w:ascii="宋体" w:hAnsi="宋体" w:eastAsia="宋体" w:cs="宋体"/>
          <w:strike w:val="0"/>
          <w:dstrike w:val="0"/>
          <w:color w:val="auto"/>
          <w:sz w:val="21"/>
          <w:szCs w:val="21"/>
          <w:highlight w:val="none"/>
        </w:rPr>
        <w:t>的法定代表人</w:t>
      </w:r>
      <w:r>
        <w:rPr>
          <w:rFonts w:hint="eastAsia" w:ascii="宋体" w:hAnsi="宋体" w:eastAsia="宋体" w:cs="宋体"/>
          <w:strike w:val="0"/>
          <w:dstrike w:val="0"/>
          <w:color w:val="auto"/>
          <w:sz w:val="21"/>
          <w:szCs w:val="21"/>
          <w:highlight w:val="none"/>
          <w:u w:val="single"/>
        </w:rPr>
        <w:t>（姓名）</w:t>
      </w:r>
      <w:r>
        <w:rPr>
          <w:rFonts w:hint="eastAsia" w:ascii="宋体" w:hAnsi="宋体" w:eastAsia="宋体" w:cs="宋体"/>
          <w:strike w:val="0"/>
          <w:dstrike w:val="0"/>
          <w:color w:val="auto"/>
          <w:sz w:val="21"/>
          <w:szCs w:val="21"/>
          <w:highlight w:val="none"/>
        </w:rPr>
        <w:t>现授权委托</w:t>
      </w:r>
      <w:r>
        <w:rPr>
          <w:rFonts w:hint="eastAsia" w:ascii="宋体" w:hAnsi="宋体" w:eastAsia="宋体" w:cs="宋体"/>
          <w:strike w:val="0"/>
          <w:dstrike w:val="0"/>
          <w:color w:val="auto"/>
          <w:sz w:val="21"/>
          <w:szCs w:val="21"/>
          <w:highlight w:val="none"/>
          <w:u w:val="single"/>
        </w:rPr>
        <w:t>（姓名）</w:t>
      </w:r>
      <w:r>
        <w:rPr>
          <w:rFonts w:hint="eastAsia" w:ascii="宋体" w:hAnsi="宋体" w:eastAsia="宋体" w:cs="宋体"/>
          <w:strike w:val="0"/>
          <w:dstrike w:val="0"/>
          <w:color w:val="auto"/>
          <w:sz w:val="21"/>
          <w:szCs w:val="21"/>
          <w:highlight w:val="none"/>
        </w:rPr>
        <w:t>以我方的名义参加</w:t>
      </w:r>
      <w:r>
        <w:rPr>
          <w:rFonts w:hint="eastAsia" w:ascii="宋体" w:hAnsi="宋体" w:eastAsia="宋体" w:cs="宋体"/>
          <w:strike w:val="0"/>
          <w:dstrike w:val="0"/>
          <w:color w:val="auto"/>
          <w:sz w:val="21"/>
          <w:szCs w:val="21"/>
          <w:highlight w:val="none"/>
          <w:u w:val="single"/>
        </w:rPr>
        <w:t>（项目名称/项目编号</w:t>
      </w:r>
      <w:r>
        <w:rPr>
          <w:rFonts w:hint="eastAsia" w:ascii="宋体" w:hAnsi="宋体" w:eastAsia="宋体" w:cs="宋体"/>
          <w:strike w:val="0"/>
          <w:dstrike w:val="0"/>
          <w:color w:val="auto"/>
          <w:sz w:val="21"/>
          <w:szCs w:val="21"/>
          <w:highlight w:val="none"/>
        </w:rPr>
        <w:t>）项目的投标活动，并代表我方全权办理针对上述项目的所有采购程序和环节的具体事务和签署相关文件。</w:t>
      </w:r>
    </w:p>
    <w:p w14:paraId="4EDA1C33">
      <w:pPr>
        <w:keepNext w:val="0"/>
        <w:keepLines w:val="0"/>
        <w:pageBreakBefore w:val="0"/>
        <w:kinsoku/>
        <w:topLinePunct w:val="0"/>
        <w:bidi w:val="0"/>
        <w:spacing w:line="400" w:lineRule="exact"/>
        <w:ind w:firstLine="495" w:firstLineChars="236"/>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我方对委托代理人的签字或者电子签名事项负全部责任。</w:t>
      </w:r>
    </w:p>
    <w:p w14:paraId="2AD93E7E">
      <w:pPr>
        <w:keepNext w:val="0"/>
        <w:keepLines w:val="0"/>
        <w:pageBreakBefore w:val="0"/>
        <w:kinsoku/>
        <w:topLinePunct w:val="0"/>
        <w:bidi w:val="0"/>
        <w:spacing w:line="400" w:lineRule="exact"/>
        <w:ind w:firstLine="495" w:firstLineChars="236"/>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本授权书自签署之日起生效，在撤销授权的书面通知以前，本授权书一直有效。委托代理人在授权书有效期内签署的所有文件不因授权的撤销而失效。</w:t>
      </w:r>
    </w:p>
    <w:p w14:paraId="716DC2FB">
      <w:pPr>
        <w:keepNext w:val="0"/>
        <w:keepLines w:val="0"/>
        <w:pageBreakBefore w:val="0"/>
        <w:kinsoku/>
        <w:topLinePunct w:val="0"/>
        <w:bidi w:val="0"/>
        <w:spacing w:line="400" w:lineRule="exact"/>
        <w:ind w:firstLine="495" w:firstLineChars="236"/>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委托代理人无转委托权，特此委托。</w:t>
      </w:r>
    </w:p>
    <w:p w14:paraId="1096FE2A">
      <w:pPr>
        <w:keepNext w:val="0"/>
        <w:keepLines w:val="0"/>
        <w:pageBreakBefore w:val="0"/>
        <w:kinsoku/>
        <w:topLinePunct w:val="0"/>
        <w:bidi w:val="0"/>
        <w:spacing w:line="400" w:lineRule="exact"/>
        <w:ind w:firstLine="498" w:firstLineChars="236"/>
        <w:contextualSpacing/>
        <w:rPr>
          <w:rFonts w:hint="eastAsia" w:ascii="宋体" w:hAnsi="宋体" w:eastAsia="宋体" w:cs="宋体"/>
          <w:b/>
          <w:bCs/>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rPr>
        <w:t>附：1）牵头人法定代表人身份证明及委托代理人有效身份证正反面复印件</w:t>
      </w:r>
    </w:p>
    <w:p w14:paraId="37754E39">
      <w:pPr>
        <w:keepNext w:val="0"/>
        <w:keepLines w:val="0"/>
        <w:pageBreakBefore w:val="0"/>
        <w:kinsoku/>
        <w:topLinePunct w:val="0"/>
        <w:bidi w:val="0"/>
        <w:spacing w:line="400" w:lineRule="exact"/>
        <w:ind w:firstLine="480"/>
        <w:contextualSpacing/>
        <w:rPr>
          <w:rFonts w:hint="eastAsia" w:ascii="宋体" w:hAnsi="宋体" w:eastAsia="宋体" w:cs="宋体"/>
          <w:b/>
          <w:bCs/>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rPr>
        <w:t>2）投标截止日期前半年内任意1个月联合体其中一单位为委托代理人缴纳社保的证明（必须提供，否则投标无效）</w:t>
      </w:r>
    </w:p>
    <w:p w14:paraId="5A7963A5">
      <w:pPr>
        <w:keepNext w:val="0"/>
        <w:keepLines w:val="0"/>
        <w:pageBreakBefore w:val="0"/>
        <w:kinsoku/>
        <w:topLinePunct w:val="0"/>
        <w:bidi w:val="0"/>
        <w:spacing w:line="400" w:lineRule="exact"/>
        <w:ind w:firstLine="495" w:firstLineChars="236"/>
        <w:contextualSpacing/>
        <w:rPr>
          <w:rFonts w:hint="eastAsia" w:ascii="宋体" w:hAnsi="宋体" w:eastAsia="宋体" w:cs="宋体"/>
          <w:strike w:val="0"/>
          <w:dstrike w:val="0"/>
          <w:color w:val="auto"/>
          <w:sz w:val="21"/>
          <w:szCs w:val="21"/>
          <w:highlight w:val="none"/>
        </w:rPr>
      </w:pPr>
    </w:p>
    <w:p w14:paraId="2A38DD62">
      <w:pPr>
        <w:keepNext w:val="0"/>
        <w:keepLines w:val="0"/>
        <w:pageBreakBefore w:val="0"/>
        <w:kinsoku/>
        <w:topLinePunct w:val="0"/>
        <w:bidi w:val="0"/>
        <w:spacing w:line="400" w:lineRule="exact"/>
        <w:ind w:firstLine="495" w:firstLineChars="236"/>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牵头人法定代表人（签字或者盖章或者电子签名）：</w:t>
      </w:r>
      <w:r>
        <w:rPr>
          <w:rFonts w:hint="eastAsia" w:ascii="宋体" w:hAnsi="宋体" w:eastAsia="宋体" w:cs="宋体"/>
          <w:strike w:val="0"/>
          <w:dstrike w:val="0"/>
          <w:color w:val="auto"/>
          <w:sz w:val="21"/>
          <w:szCs w:val="21"/>
          <w:highlight w:val="none"/>
          <w:u w:val="single"/>
        </w:rPr>
        <w:t xml:space="preserve">              </w:t>
      </w:r>
    </w:p>
    <w:p w14:paraId="5B60DBE6">
      <w:pPr>
        <w:keepNext w:val="0"/>
        <w:keepLines w:val="0"/>
        <w:pageBreakBefore w:val="0"/>
        <w:kinsoku/>
        <w:topLinePunct w:val="0"/>
        <w:bidi w:val="0"/>
        <w:spacing w:line="400" w:lineRule="exact"/>
        <w:ind w:firstLine="495" w:firstLineChars="236"/>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牵头人（电子签章）：</w:t>
      </w:r>
      <w:r>
        <w:rPr>
          <w:rFonts w:hint="eastAsia" w:ascii="宋体" w:hAnsi="宋体" w:eastAsia="宋体" w:cs="宋体"/>
          <w:strike w:val="0"/>
          <w:dstrike w:val="0"/>
          <w:color w:val="auto"/>
          <w:sz w:val="21"/>
          <w:szCs w:val="21"/>
          <w:highlight w:val="none"/>
          <w:u w:val="single"/>
        </w:rPr>
        <w:t xml:space="preserve">              </w:t>
      </w:r>
    </w:p>
    <w:p w14:paraId="7DBA3793">
      <w:pPr>
        <w:keepNext w:val="0"/>
        <w:keepLines w:val="0"/>
        <w:pageBreakBefore w:val="0"/>
        <w:kinsoku/>
        <w:topLinePunct w:val="0"/>
        <w:bidi w:val="0"/>
        <w:spacing w:line="400" w:lineRule="exact"/>
        <w:ind w:firstLine="495" w:firstLineChars="236"/>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  年  月  日</w:t>
      </w:r>
    </w:p>
    <w:p w14:paraId="55639200">
      <w:pPr>
        <w:keepNext w:val="0"/>
        <w:keepLines w:val="0"/>
        <w:pageBreakBefore w:val="0"/>
        <w:kinsoku/>
        <w:topLinePunct w:val="0"/>
        <w:bidi w:val="0"/>
        <w:spacing w:line="400" w:lineRule="exact"/>
        <w:ind w:firstLine="495" w:firstLineChars="236"/>
        <w:contextualSpacing/>
        <w:rPr>
          <w:rFonts w:hint="eastAsia" w:ascii="宋体" w:hAnsi="宋体" w:eastAsia="宋体" w:cs="宋体"/>
          <w:strike w:val="0"/>
          <w:dstrike w:val="0"/>
          <w:color w:val="auto"/>
          <w:sz w:val="21"/>
          <w:szCs w:val="21"/>
          <w:highlight w:val="none"/>
        </w:rPr>
      </w:pPr>
    </w:p>
    <w:p w14:paraId="100F2451">
      <w:pPr>
        <w:keepNext w:val="0"/>
        <w:keepLines w:val="0"/>
        <w:pageBreakBefore w:val="0"/>
        <w:kinsoku/>
        <w:topLinePunct w:val="0"/>
        <w:bidi w:val="0"/>
        <w:spacing w:line="400" w:lineRule="exact"/>
        <w:ind w:firstLine="495" w:firstLineChars="236"/>
        <w:contextualSpacing/>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被授权人（签字或者电子签名）：</w:t>
      </w:r>
      <w:r>
        <w:rPr>
          <w:rFonts w:hint="eastAsia" w:ascii="宋体" w:hAnsi="宋体" w:eastAsia="宋体" w:cs="宋体"/>
          <w:strike w:val="0"/>
          <w:dstrike w:val="0"/>
          <w:color w:val="auto"/>
          <w:sz w:val="21"/>
          <w:szCs w:val="21"/>
          <w:highlight w:val="none"/>
          <w:u w:val="single"/>
        </w:rPr>
        <w:t xml:space="preserve">               </w:t>
      </w:r>
    </w:p>
    <w:p w14:paraId="0E3BCDC6">
      <w:pPr>
        <w:keepNext w:val="0"/>
        <w:keepLines w:val="0"/>
        <w:pageBreakBefore w:val="0"/>
        <w:kinsoku/>
        <w:topLinePunct w:val="0"/>
        <w:bidi w:val="0"/>
        <w:spacing w:line="400" w:lineRule="exact"/>
        <w:ind w:firstLine="495" w:firstLineChars="236"/>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  年  月  日</w:t>
      </w:r>
    </w:p>
    <w:p w14:paraId="56D3B5DF">
      <w:pPr>
        <w:keepNext w:val="0"/>
        <w:keepLines w:val="0"/>
        <w:pageBreakBefore w:val="0"/>
        <w:kinsoku/>
        <w:topLinePunct w:val="0"/>
        <w:bidi w:val="0"/>
        <w:spacing w:line="400" w:lineRule="exact"/>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注：1.法定代表人必须在授权委托书上签字或者盖章或者电子签名，委托代理人必须在授权委托书上签字或者电子签名，</w:t>
      </w:r>
      <w:r>
        <w:rPr>
          <w:rFonts w:hint="eastAsia" w:ascii="宋体" w:hAnsi="宋体" w:eastAsia="宋体" w:cs="宋体"/>
          <w:b/>
          <w:bCs/>
          <w:strike w:val="0"/>
          <w:dstrike w:val="0"/>
          <w:color w:val="auto"/>
          <w:sz w:val="21"/>
          <w:szCs w:val="21"/>
          <w:highlight w:val="none"/>
        </w:rPr>
        <w:t>否则按无效投标处理</w:t>
      </w:r>
      <w:r>
        <w:rPr>
          <w:rFonts w:hint="eastAsia" w:ascii="宋体" w:hAnsi="宋体" w:eastAsia="宋体" w:cs="宋体"/>
          <w:strike w:val="0"/>
          <w:dstrike w:val="0"/>
          <w:color w:val="auto"/>
          <w:sz w:val="21"/>
          <w:szCs w:val="21"/>
          <w:highlight w:val="none"/>
        </w:rPr>
        <w:t>；</w:t>
      </w:r>
    </w:p>
    <w:p w14:paraId="583C7A78">
      <w:pPr>
        <w:keepNext w:val="0"/>
        <w:keepLines w:val="0"/>
        <w:pageBreakBefore w:val="0"/>
        <w:kinsoku/>
        <w:topLinePunct w:val="0"/>
        <w:bidi w:val="0"/>
        <w:spacing w:line="400" w:lineRule="exact"/>
        <w:ind w:firstLine="420" w:firstLineChars="200"/>
        <w:contextualSpacing/>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2.法人、其他组织投标时“我方”是指“我单位”，自然人投标时“我方”是指“本人”。</w:t>
      </w:r>
    </w:p>
    <w:p w14:paraId="31829296">
      <w:pPr>
        <w:keepNext w:val="0"/>
        <w:keepLines w:val="0"/>
        <w:pageBreakBefore w:val="0"/>
        <w:kinsoku/>
        <w:topLinePunct w:val="0"/>
        <w:bidi w:val="0"/>
        <w:spacing w:line="400" w:lineRule="exact"/>
        <w:contextualSpacing/>
        <w:rPr>
          <w:rFonts w:hint="eastAsia" w:ascii="宋体" w:hAnsi="宋体" w:eastAsia="宋体" w:cs="宋体"/>
          <w:strike w:val="0"/>
          <w:dstrike w:val="0"/>
          <w:color w:val="auto"/>
          <w:sz w:val="21"/>
          <w:szCs w:val="21"/>
          <w:highlight w:val="none"/>
        </w:rPr>
      </w:pPr>
    </w:p>
    <w:p w14:paraId="0E7A8845">
      <w:pPr>
        <w:keepNext w:val="0"/>
        <w:keepLines w:val="0"/>
        <w:pageBreakBefore w:val="0"/>
        <w:kinsoku/>
        <w:topLinePunct w:val="0"/>
        <w:bidi w:val="0"/>
        <w:snapToGrid w:val="0"/>
        <w:spacing w:before="50" w:afterLines="50" w:line="400" w:lineRule="exact"/>
        <w:ind w:firstLine="420" w:firstLineChars="200"/>
        <w:jc w:val="left"/>
        <w:rPr>
          <w:rFonts w:hint="eastAsia" w:ascii="宋体" w:hAnsi="宋体" w:eastAsia="宋体" w:cs="宋体"/>
          <w:strike w:val="0"/>
          <w:dstrike w:val="0"/>
          <w:color w:val="auto"/>
          <w:sz w:val="21"/>
          <w:szCs w:val="21"/>
          <w:highlight w:val="none"/>
        </w:rPr>
        <w:sectPr>
          <w:pgSz w:w="11906" w:h="16838"/>
          <w:pgMar w:top="1440" w:right="1800" w:bottom="1440" w:left="1800" w:header="737" w:footer="680" w:gutter="113"/>
          <w:pgNumType w:fmt="decimal"/>
          <w:cols w:space="720" w:num="1"/>
          <w:titlePg/>
          <w:docGrid w:linePitch="312" w:charSpace="0"/>
        </w:sectPr>
      </w:pPr>
    </w:p>
    <w:p w14:paraId="4916FCA9">
      <w:pPr>
        <w:keepNext w:val="0"/>
        <w:keepLines w:val="0"/>
        <w:pageBreakBefore w:val="0"/>
        <w:kinsoku/>
        <w:topLinePunct w:val="0"/>
        <w:bidi w:val="0"/>
        <w:snapToGrid w:val="0"/>
        <w:spacing w:beforeLines="50" w:after="50" w:line="400" w:lineRule="exact"/>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7.商务条款偏离表格式（注：按项目需求表具体项目修改）</w:t>
      </w:r>
    </w:p>
    <w:p w14:paraId="16936FCC">
      <w:pPr>
        <w:keepNext w:val="0"/>
        <w:keepLines w:val="0"/>
        <w:pageBreakBefore w:val="0"/>
        <w:kinsoku/>
        <w:topLinePunct w:val="0"/>
        <w:bidi w:val="0"/>
        <w:snapToGrid w:val="0"/>
        <w:spacing w:before="50" w:line="400" w:lineRule="exact"/>
        <w:jc w:val="left"/>
        <w:rPr>
          <w:rFonts w:hint="eastAsia" w:ascii="宋体" w:hAnsi="宋体" w:eastAsia="宋体" w:cs="宋体"/>
          <w:strike w:val="0"/>
          <w:dstrike w:val="0"/>
          <w:color w:val="auto"/>
          <w:sz w:val="21"/>
          <w:szCs w:val="21"/>
          <w:highlight w:val="none"/>
        </w:rPr>
      </w:pPr>
    </w:p>
    <w:p w14:paraId="72196195">
      <w:pPr>
        <w:pStyle w:val="28"/>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p w14:paraId="4E92486F">
      <w:pPr>
        <w:keepNext w:val="0"/>
        <w:keepLines w:val="0"/>
        <w:pageBreakBefore w:val="0"/>
        <w:kinsoku/>
        <w:topLinePunct w:val="0"/>
        <w:bidi w:val="0"/>
        <w:snapToGrid w:val="0"/>
        <w:spacing w:before="50" w:after="50" w:line="400" w:lineRule="exact"/>
        <w:jc w:val="center"/>
        <w:outlineLvl w:val="3"/>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商务条款偏离表</w:t>
      </w:r>
    </w:p>
    <w:tbl>
      <w:tblPr>
        <w:tblStyle w:val="48"/>
        <w:tblpPr w:leftFromText="180" w:rightFromText="180" w:vertAnchor="text" w:horzAnchor="margin" w:tblpXSpec="center" w:tblpY="94"/>
        <w:tblW w:w="8710" w:type="dxa"/>
        <w:tblInd w:w="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2324"/>
        <w:gridCol w:w="2800"/>
        <w:gridCol w:w="3050"/>
      </w:tblGrid>
      <w:tr w14:paraId="2F317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36" w:type="dxa"/>
            <w:tcBorders>
              <w:top w:val="single" w:color="auto" w:sz="4" w:space="0"/>
              <w:left w:val="single" w:color="auto" w:sz="4" w:space="0"/>
              <w:bottom w:val="single" w:color="auto" w:sz="4" w:space="0"/>
              <w:right w:val="single" w:color="auto" w:sz="4" w:space="0"/>
            </w:tcBorders>
            <w:vAlign w:val="center"/>
          </w:tcPr>
          <w:p w14:paraId="0EF5D839">
            <w:pPr>
              <w:keepNext w:val="0"/>
              <w:keepLines w:val="0"/>
              <w:pageBreakBefore w:val="0"/>
              <w:kinsoku/>
              <w:topLinePunct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项号</w:t>
            </w:r>
          </w:p>
        </w:tc>
        <w:tc>
          <w:tcPr>
            <w:tcW w:w="2324" w:type="dxa"/>
            <w:tcBorders>
              <w:top w:val="single" w:color="auto" w:sz="4" w:space="0"/>
              <w:left w:val="single" w:color="auto" w:sz="4" w:space="0"/>
              <w:bottom w:val="single" w:color="auto" w:sz="4" w:space="0"/>
              <w:right w:val="single" w:color="auto" w:sz="4" w:space="0"/>
            </w:tcBorders>
            <w:vAlign w:val="center"/>
          </w:tcPr>
          <w:p w14:paraId="3DC660BB">
            <w:pPr>
              <w:keepNext w:val="0"/>
              <w:keepLines w:val="0"/>
              <w:pageBreakBefore w:val="0"/>
              <w:kinsoku/>
              <w:topLinePunct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招标文件的商务需求</w:t>
            </w:r>
          </w:p>
        </w:tc>
        <w:tc>
          <w:tcPr>
            <w:tcW w:w="2800" w:type="dxa"/>
            <w:tcBorders>
              <w:top w:val="single" w:color="auto" w:sz="4" w:space="0"/>
              <w:left w:val="single" w:color="auto" w:sz="4" w:space="0"/>
              <w:bottom w:val="single" w:color="auto" w:sz="4" w:space="0"/>
              <w:right w:val="single" w:color="auto" w:sz="4" w:space="0"/>
            </w:tcBorders>
            <w:vAlign w:val="center"/>
          </w:tcPr>
          <w:p w14:paraId="589DF03A">
            <w:pPr>
              <w:keepNext w:val="0"/>
              <w:keepLines w:val="0"/>
              <w:pageBreakBefore w:val="0"/>
              <w:kinsoku/>
              <w:topLinePunct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投标文件承诺的商务条款</w:t>
            </w:r>
          </w:p>
        </w:tc>
        <w:tc>
          <w:tcPr>
            <w:tcW w:w="3050" w:type="dxa"/>
            <w:tcBorders>
              <w:top w:val="single" w:color="auto" w:sz="4" w:space="0"/>
              <w:left w:val="single" w:color="auto" w:sz="4" w:space="0"/>
              <w:bottom w:val="single" w:color="auto" w:sz="4" w:space="0"/>
              <w:right w:val="single" w:color="auto" w:sz="4" w:space="0"/>
            </w:tcBorders>
            <w:vAlign w:val="center"/>
          </w:tcPr>
          <w:p w14:paraId="6449C497">
            <w:pPr>
              <w:keepNext w:val="0"/>
              <w:keepLines w:val="0"/>
              <w:pageBreakBefore w:val="0"/>
              <w:kinsoku/>
              <w:topLinePunct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偏离说明</w:t>
            </w:r>
          </w:p>
        </w:tc>
      </w:tr>
      <w:tr w14:paraId="151B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6" w:type="dxa"/>
            <w:vMerge w:val="restart"/>
            <w:tcBorders>
              <w:top w:val="single" w:color="auto" w:sz="4" w:space="0"/>
              <w:left w:val="single" w:color="auto" w:sz="4" w:space="0"/>
              <w:right w:val="single" w:color="auto" w:sz="4" w:space="0"/>
            </w:tcBorders>
          </w:tcPr>
          <w:p w14:paraId="46A711C0">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一</w:t>
            </w:r>
          </w:p>
        </w:tc>
        <w:tc>
          <w:tcPr>
            <w:tcW w:w="2324" w:type="dxa"/>
            <w:tcBorders>
              <w:top w:val="single" w:color="auto" w:sz="4" w:space="0"/>
              <w:left w:val="single" w:color="auto" w:sz="4" w:space="0"/>
              <w:bottom w:val="single" w:color="auto" w:sz="4" w:space="0"/>
              <w:right w:val="single" w:color="auto" w:sz="4" w:space="0"/>
            </w:tcBorders>
          </w:tcPr>
          <w:p w14:paraId="1846AECD">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  ……</w:t>
            </w:r>
          </w:p>
        </w:tc>
        <w:tc>
          <w:tcPr>
            <w:tcW w:w="2800" w:type="dxa"/>
            <w:tcBorders>
              <w:top w:val="single" w:color="auto" w:sz="4" w:space="0"/>
              <w:left w:val="single" w:color="auto" w:sz="4" w:space="0"/>
              <w:right w:val="single" w:color="auto" w:sz="4" w:space="0"/>
            </w:tcBorders>
          </w:tcPr>
          <w:p w14:paraId="677891FD">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  ……</w:t>
            </w:r>
          </w:p>
        </w:tc>
        <w:tc>
          <w:tcPr>
            <w:tcW w:w="3050" w:type="dxa"/>
            <w:tcBorders>
              <w:top w:val="single" w:color="auto" w:sz="4" w:space="0"/>
              <w:left w:val="single" w:color="auto" w:sz="4" w:space="0"/>
              <w:right w:val="single" w:color="auto" w:sz="4" w:space="0"/>
            </w:tcBorders>
            <w:vAlign w:val="center"/>
          </w:tcPr>
          <w:p w14:paraId="08336E66">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7914C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36" w:type="dxa"/>
            <w:vMerge w:val="continue"/>
            <w:tcBorders>
              <w:left w:val="single" w:color="auto" w:sz="4" w:space="0"/>
              <w:right w:val="single" w:color="auto" w:sz="4" w:space="0"/>
            </w:tcBorders>
          </w:tcPr>
          <w:p w14:paraId="164B807D">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tc>
        <w:tc>
          <w:tcPr>
            <w:tcW w:w="2324" w:type="dxa"/>
            <w:tcBorders>
              <w:top w:val="single" w:color="auto" w:sz="4" w:space="0"/>
              <w:left w:val="single" w:color="auto" w:sz="4" w:space="0"/>
              <w:bottom w:val="single" w:color="auto" w:sz="4" w:space="0"/>
              <w:right w:val="single" w:color="auto" w:sz="4" w:space="0"/>
            </w:tcBorders>
          </w:tcPr>
          <w:p w14:paraId="23FBB347">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  ……</w:t>
            </w:r>
          </w:p>
        </w:tc>
        <w:tc>
          <w:tcPr>
            <w:tcW w:w="2800" w:type="dxa"/>
            <w:tcBorders>
              <w:left w:val="single" w:color="auto" w:sz="4" w:space="0"/>
              <w:right w:val="single" w:color="auto" w:sz="4" w:space="0"/>
            </w:tcBorders>
          </w:tcPr>
          <w:p w14:paraId="22C759C7">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  ……</w:t>
            </w:r>
          </w:p>
        </w:tc>
        <w:tc>
          <w:tcPr>
            <w:tcW w:w="3050" w:type="dxa"/>
            <w:tcBorders>
              <w:left w:val="single" w:color="auto" w:sz="4" w:space="0"/>
              <w:right w:val="single" w:color="auto" w:sz="4" w:space="0"/>
            </w:tcBorders>
          </w:tcPr>
          <w:p w14:paraId="78B5718D">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67882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36" w:type="dxa"/>
            <w:vMerge w:val="continue"/>
            <w:tcBorders>
              <w:left w:val="single" w:color="auto" w:sz="4" w:space="0"/>
              <w:right w:val="single" w:color="auto" w:sz="4" w:space="0"/>
            </w:tcBorders>
          </w:tcPr>
          <w:p w14:paraId="0F3C09AF">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tc>
        <w:tc>
          <w:tcPr>
            <w:tcW w:w="2324" w:type="dxa"/>
            <w:tcBorders>
              <w:top w:val="single" w:color="auto" w:sz="4" w:space="0"/>
              <w:left w:val="single" w:color="auto" w:sz="4" w:space="0"/>
              <w:bottom w:val="single" w:color="auto" w:sz="4" w:space="0"/>
              <w:right w:val="single" w:color="auto" w:sz="4" w:space="0"/>
            </w:tcBorders>
          </w:tcPr>
          <w:p w14:paraId="4783FDDA">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  ……</w:t>
            </w:r>
          </w:p>
        </w:tc>
        <w:tc>
          <w:tcPr>
            <w:tcW w:w="2800" w:type="dxa"/>
            <w:tcBorders>
              <w:left w:val="single" w:color="auto" w:sz="4" w:space="0"/>
              <w:right w:val="single" w:color="auto" w:sz="4" w:space="0"/>
            </w:tcBorders>
          </w:tcPr>
          <w:p w14:paraId="51A04BA6">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  ……</w:t>
            </w:r>
          </w:p>
        </w:tc>
        <w:tc>
          <w:tcPr>
            <w:tcW w:w="3050" w:type="dxa"/>
            <w:tcBorders>
              <w:left w:val="single" w:color="auto" w:sz="4" w:space="0"/>
              <w:right w:val="single" w:color="auto" w:sz="4" w:space="0"/>
            </w:tcBorders>
            <w:vAlign w:val="center"/>
          </w:tcPr>
          <w:p w14:paraId="69EE5EE2">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7B28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36" w:type="dxa"/>
            <w:vMerge w:val="continue"/>
            <w:tcBorders>
              <w:left w:val="single" w:color="auto" w:sz="4" w:space="0"/>
              <w:bottom w:val="single" w:color="auto" w:sz="4" w:space="0"/>
              <w:right w:val="single" w:color="auto" w:sz="4" w:space="0"/>
            </w:tcBorders>
          </w:tcPr>
          <w:p w14:paraId="48B225B1">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tc>
        <w:tc>
          <w:tcPr>
            <w:tcW w:w="2324" w:type="dxa"/>
            <w:tcBorders>
              <w:top w:val="single" w:color="auto" w:sz="4" w:space="0"/>
              <w:left w:val="single" w:color="auto" w:sz="4" w:space="0"/>
              <w:bottom w:val="single" w:color="auto" w:sz="4" w:space="0"/>
              <w:right w:val="single" w:color="auto" w:sz="4" w:space="0"/>
            </w:tcBorders>
          </w:tcPr>
          <w:p w14:paraId="744379A1">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2800" w:type="dxa"/>
            <w:tcBorders>
              <w:left w:val="single" w:color="auto" w:sz="4" w:space="0"/>
              <w:bottom w:val="single" w:color="auto" w:sz="4" w:space="0"/>
              <w:right w:val="single" w:color="auto" w:sz="4" w:space="0"/>
            </w:tcBorders>
          </w:tcPr>
          <w:p w14:paraId="011C30C8">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3050" w:type="dxa"/>
            <w:tcBorders>
              <w:left w:val="single" w:color="auto" w:sz="4" w:space="0"/>
              <w:bottom w:val="single" w:color="auto" w:sz="4" w:space="0"/>
              <w:right w:val="single" w:color="auto" w:sz="4" w:space="0"/>
            </w:tcBorders>
          </w:tcPr>
          <w:p w14:paraId="57079AAA">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6B993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36" w:type="dxa"/>
            <w:vMerge w:val="restart"/>
            <w:tcBorders>
              <w:left w:val="single" w:color="auto" w:sz="4" w:space="0"/>
              <w:right w:val="single" w:color="auto" w:sz="4" w:space="0"/>
            </w:tcBorders>
          </w:tcPr>
          <w:p w14:paraId="50075409">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二</w:t>
            </w:r>
          </w:p>
        </w:tc>
        <w:tc>
          <w:tcPr>
            <w:tcW w:w="2324" w:type="dxa"/>
            <w:tcBorders>
              <w:top w:val="single" w:color="auto" w:sz="4" w:space="0"/>
              <w:left w:val="single" w:color="auto" w:sz="4" w:space="0"/>
              <w:bottom w:val="single" w:color="auto" w:sz="4" w:space="0"/>
              <w:right w:val="single" w:color="auto" w:sz="4" w:space="0"/>
            </w:tcBorders>
          </w:tcPr>
          <w:p w14:paraId="46DBBE35">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  ……</w:t>
            </w:r>
          </w:p>
        </w:tc>
        <w:tc>
          <w:tcPr>
            <w:tcW w:w="2800" w:type="dxa"/>
            <w:tcBorders>
              <w:left w:val="single" w:color="auto" w:sz="4" w:space="0"/>
              <w:bottom w:val="single" w:color="auto" w:sz="4" w:space="0"/>
              <w:right w:val="single" w:color="auto" w:sz="4" w:space="0"/>
            </w:tcBorders>
          </w:tcPr>
          <w:p w14:paraId="68B3DB0F">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  ……</w:t>
            </w:r>
          </w:p>
        </w:tc>
        <w:tc>
          <w:tcPr>
            <w:tcW w:w="3050" w:type="dxa"/>
            <w:tcBorders>
              <w:left w:val="single" w:color="auto" w:sz="4" w:space="0"/>
              <w:bottom w:val="single" w:color="auto" w:sz="4" w:space="0"/>
              <w:right w:val="single" w:color="auto" w:sz="4" w:space="0"/>
            </w:tcBorders>
            <w:vAlign w:val="center"/>
          </w:tcPr>
          <w:p w14:paraId="44F2E62C">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77D11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36" w:type="dxa"/>
            <w:vMerge w:val="continue"/>
            <w:tcBorders>
              <w:left w:val="single" w:color="auto" w:sz="4" w:space="0"/>
              <w:right w:val="single" w:color="auto" w:sz="4" w:space="0"/>
            </w:tcBorders>
          </w:tcPr>
          <w:p w14:paraId="6DB3D991">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tc>
        <w:tc>
          <w:tcPr>
            <w:tcW w:w="2324" w:type="dxa"/>
            <w:tcBorders>
              <w:top w:val="single" w:color="auto" w:sz="4" w:space="0"/>
              <w:left w:val="single" w:color="auto" w:sz="4" w:space="0"/>
              <w:bottom w:val="single" w:color="auto" w:sz="4" w:space="0"/>
              <w:right w:val="single" w:color="auto" w:sz="4" w:space="0"/>
            </w:tcBorders>
          </w:tcPr>
          <w:p w14:paraId="33678323">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  ……</w:t>
            </w:r>
          </w:p>
        </w:tc>
        <w:tc>
          <w:tcPr>
            <w:tcW w:w="2800" w:type="dxa"/>
            <w:tcBorders>
              <w:left w:val="single" w:color="auto" w:sz="4" w:space="0"/>
              <w:bottom w:val="single" w:color="auto" w:sz="4" w:space="0"/>
              <w:right w:val="single" w:color="auto" w:sz="4" w:space="0"/>
            </w:tcBorders>
          </w:tcPr>
          <w:p w14:paraId="023E467E">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  ……</w:t>
            </w:r>
          </w:p>
        </w:tc>
        <w:tc>
          <w:tcPr>
            <w:tcW w:w="3050" w:type="dxa"/>
            <w:tcBorders>
              <w:left w:val="single" w:color="auto" w:sz="4" w:space="0"/>
              <w:bottom w:val="single" w:color="auto" w:sz="4" w:space="0"/>
              <w:right w:val="single" w:color="auto" w:sz="4" w:space="0"/>
            </w:tcBorders>
          </w:tcPr>
          <w:p w14:paraId="21BEB51D">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0D68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36" w:type="dxa"/>
            <w:vMerge w:val="continue"/>
            <w:tcBorders>
              <w:left w:val="single" w:color="auto" w:sz="4" w:space="0"/>
              <w:right w:val="single" w:color="auto" w:sz="4" w:space="0"/>
            </w:tcBorders>
          </w:tcPr>
          <w:p w14:paraId="67C530A6">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tc>
        <w:tc>
          <w:tcPr>
            <w:tcW w:w="2324" w:type="dxa"/>
            <w:tcBorders>
              <w:top w:val="single" w:color="auto" w:sz="4" w:space="0"/>
              <w:left w:val="single" w:color="auto" w:sz="4" w:space="0"/>
              <w:bottom w:val="single" w:color="auto" w:sz="4" w:space="0"/>
              <w:right w:val="single" w:color="auto" w:sz="4" w:space="0"/>
            </w:tcBorders>
          </w:tcPr>
          <w:p w14:paraId="41C29F83">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  ……</w:t>
            </w:r>
          </w:p>
        </w:tc>
        <w:tc>
          <w:tcPr>
            <w:tcW w:w="2800" w:type="dxa"/>
            <w:tcBorders>
              <w:left w:val="single" w:color="auto" w:sz="4" w:space="0"/>
              <w:bottom w:val="single" w:color="auto" w:sz="4" w:space="0"/>
              <w:right w:val="single" w:color="auto" w:sz="4" w:space="0"/>
            </w:tcBorders>
          </w:tcPr>
          <w:p w14:paraId="4FD3E992">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  ……</w:t>
            </w:r>
          </w:p>
        </w:tc>
        <w:tc>
          <w:tcPr>
            <w:tcW w:w="3050" w:type="dxa"/>
            <w:tcBorders>
              <w:left w:val="single" w:color="auto" w:sz="4" w:space="0"/>
              <w:bottom w:val="single" w:color="auto" w:sz="4" w:space="0"/>
              <w:right w:val="single" w:color="auto" w:sz="4" w:space="0"/>
            </w:tcBorders>
            <w:vAlign w:val="center"/>
          </w:tcPr>
          <w:p w14:paraId="3C72A8A5">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60D2F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36" w:type="dxa"/>
            <w:vMerge w:val="continue"/>
            <w:tcBorders>
              <w:left w:val="single" w:color="auto" w:sz="4" w:space="0"/>
              <w:bottom w:val="single" w:color="auto" w:sz="4" w:space="0"/>
              <w:right w:val="single" w:color="auto" w:sz="4" w:space="0"/>
            </w:tcBorders>
          </w:tcPr>
          <w:p w14:paraId="56A357E1">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tc>
        <w:tc>
          <w:tcPr>
            <w:tcW w:w="2324" w:type="dxa"/>
            <w:tcBorders>
              <w:top w:val="single" w:color="auto" w:sz="4" w:space="0"/>
              <w:left w:val="single" w:color="auto" w:sz="4" w:space="0"/>
              <w:bottom w:val="single" w:color="auto" w:sz="4" w:space="0"/>
              <w:right w:val="single" w:color="auto" w:sz="4" w:space="0"/>
            </w:tcBorders>
          </w:tcPr>
          <w:p w14:paraId="700BAB8D">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2800" w:type="dxa"/>
            <w:tcBorders>
              <w:left w:val="single" w:color="auto" w:sz="4" w:space="0"/>
              <w:bottom w:val="single" w:color="auto" w:sz="4" w:space="0"/>
              <w:right w:val="single" w:color="auto" w:sz="4" w:space="0"/>
            </w:tcBorders>
          </w:tcPr>
          <w:p w14:paraId="7A7D45BB">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3050" w:type="dxa"/>
            <w:tcBorders>
              <w:left w:val="single" w:color="auto" w:sz="4" w:space="0"/>
              <w:bottom w:val="single" w:color="auto" w:sz="4" w:space="0"/>
              <w:right w:val="single" w:color="auto" w:sz="4" w:space="0"/>
            </w:tcBorders>
          </w:tcPr>
          <w:p w14:paraId="093F0AF1">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6EDA3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36" w:type="dxa"/>
            <w:vMerge w:val="restart"/>
            <w:tcBorders>
              <w:left w:val="single" w:color="auto" w:sz="4" w:space="0"/>
              <w:right w:val="single" w:color="auto" w:sz="4" w:space="0"/>
            </w:tcBorders>
          </w:tcPr>
          <w:p w14:paraId="72FEB241">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2324" w:type="dxa"/>
            <w:tcBorders>
              <w:top w:val="single" w:color="auto" w:sz="4" w:space="0"/>
              <w:left w:val="single" w:color="auto" w:sz="4" w:space="0"/>
              <w:bottom w:val="single" w:color="auto" w:sz="4" w:space="0"/>
              <w:right w:val="single" w:color="auto" w:sz="4" w:space="0"/>
            </w:tcBorders>
          </w:tcPr>
          <w:p w14:paraId="4EE8B789">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  ……</w:t>
            </w:r>
          </w:p>
        </w:tc>
        <w:tc>
          <w:tcPr>
            <w:tcW w:w="2800" w:type="dxa"/>
            <w:tcBorders>
              <w:left w:val="single" w:color="auto" w:sz="4" w:space="0"/>
              <w:bottom w:val="single" w:color="auto" w:sz="4" w:space="0"/>
              <w:right w:val="single" w:color="auto" w:sz="4" w:space="0"/>
            </w:tcBorders>
          </w:tcPr>
          <w:p w14:paraId="4DF6F0BC">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  ……</w:t>
            </w:r>
          </w:p>
        </w:tc>
        <w:tc>
          <w:tcPr>
            <w:tcW w:w="3050" w:type="dxa"/>
            <w:tcBorders>
              <w:left w:val="single" w:color="auto" w:sz="4" w:space="0"/>
              <w:bottom w:val="single" w:color="auto" w:sz="4" w:space="0"/>
              <w:right w:val="single" w:color="auto" w:sz="4" w:space="0"/>
            </w:tcBorders>
            <w:vAlign w:val="center"/>
          </w:tcPr>
          <w:p w14:paraId="185F2344">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50598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36" w:type="dxa"/>
            <w:vMerge w:val="continue"/>
            <w:tcBorders>
              <w:left w:val="single" w:color="auto" w:sz="4" w:space="0"/>
              <w:right w:val="single" w:color="auto" w:sz="4" w:space="0"/>
            </w:tcBorders>
          </w:tcPr>
          <w:p w14:paraId="6C6CE65C">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tc>
        <w:tc>
          <w:tcPr>
            <w:tcW w:w="2324" w:type="dxa"/>
            <w:tcBorders>
              <w:top w:val="single" w:color="auto" w:sz="4" w:space="0"/>
              <w:left w:val="single" w:color="auto" w:sz="4" w:space="0"/>
              <w:bottom w:val="single" w:color="auto" w:sz="4" w:space="0"/>
              <w:right w:val="single" w:color="auto" w:sz="4" w:space="0"/>
            </w:tcBorders>
          </w:tcPr>
          <w:p w14:paraId="60386C12">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  ……</w:t>
            </w:r>
          </w:p>
        </w:tc>
        <w:tc>
          <w:tcPr>
            <w:tcW w:w="2800" w:type="dxa"/>
            <w:tcBorders>
              <w:left w:val="single" w:color="auto" w:sz="4" w:space="0"/>
              <w:bottom w:val="single" w:color="auto" w:sz="4" w:space="0"/>
              <w:right w:val="single" w:color="auto" w:sz="4" w:space="0"/>
            </w:tcBorders>
          </w:tcPr>
          <w:p w14:paraId="604AFCA4">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  ……</w:t>
            </w:r>
          </w:p>
        </w:tc>
        <w:tc>
          <w:tcPr>
            <w:tcW w:w="3050" w:type="dxa"/>
            <w:tcBorders>
              <w:left w:val="single" w:color="auto" w:sz="4" w:space="0"/>
              <w:bottom w:val="single" w:color="auto" w:sz="4" w:space="0"/>
              <w:right w:val="single" w:color="auto" w:sz="4" w:space="0"/>
            </w:tcBorders>
          </w:tcPr>
          <w:p w14:paraId="3F37F92D">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08F14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36" w:type="dxa"/>
            <w:vMerge w:val="continue"/>
            <w:tcBorders>
              <w:left w:val="single" w:color="auto" w:sz="4" w:space="0"/>
              <w:right w:val="single" w:color="auto" w:sz="4" w:space="0"/>
            </w:tcBorders>
          </w:tcPr>
          <w:p w14:paraId="79D24CBE">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tc>
        <w:tc>
          <w:tcPr>
            <w:tcW w:w="2324" w:type="dxa"/>
            <w:tcBorders>
              <w:top w:val="single" w:color="auto" w:sz="4" w:space="0"/>
              <w:left w:val="single" w:color="auto" w:sz="4" w:space="0"/>
              <w:bottom w:val="single" w:color="auto" w:sz="4" w:space="0"/>
              <w:right w:val="single" w:color="auto" w:sz="4" w:space="0"/>
            </w:tcBorders>
          </w:tcPr>
          <w:p w14:paraId="7B252B05">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  ……</w:t>
            </w:r>
          </w:p>
        </w:tc>
        <w:tc>
          <w:tcPr>
            <w:tcW w:w="2800" w:type="dxa"/>
            <w:tcBorders>
              <w:left w:val="single" w:color="auto" w:sz="4" w:space="0"/>
              <w:bottom w:val="single" w:color="auto" w:sz="4" w:space="0"/>
              <w:right w:val="single" w:color="auto" w:sz="4" w:space="0"/>
            </w:tcBorders>
          </w:tcPr>
          <w:p w14:paraId="5CE5A49C">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  ……</w:t>
            </w:r>
          </w:p>
        </w:tc>
        <w:tc>
          <w:tcPr>
            <w:tcW w:w="3050" w:type="dxa"/>
            <w:tcBorders>
              <w:left w:val="single" w:color="auto" w:sz="4" w:space="0"/>
              <w:bottom w:val="single" w:color="auto" w:sz="4" w:space="0"/>
              <w:right w:val="single" w:color="auto" w:sz="4" w:space="0"/>
            </w:tcBorders>
            <w:vAlign w:val="center"/>
          </w:tcPr>
          <w:p w14:paraId="613288C1">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19133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36" w:type="dxa"/>
            <w:vMerge w:val="continue"/>
            <w:tcBorders>
              <w:left w:val="single" w:color="auto" w:sz="4" w:space="0"/>
              <w:bottom w:val="single" w:color="auto" w:sz="4" w:space="0"/>
              <w:right w:val="single" w:color="auto" w:sz="4" w:space="0"/>
            </w:tcBorders>
          </w:tcPr>
          <w:p w14:paraId="08837899">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tc>
        <w:tc>
          <w:tcPr>
            <w:tcW w:w="2324" w:type="dxa"/>
            <w:tcBorders>
              <w:top w:val="single" w:color="auto" w:sz="4" w:space="0"/>
              <w:left w:val="single" w:color="auto" w:sz="4" w:space="0"/>
              <w:bottom w:val="single" w:color="auto" w:sz="4" w:space="0"/>
              <w:right w:val="single" w:color="auto" w:sz="4" w:space="0"/>
            </w:tcBorders>
          </w:tcPr>
          <w:p w14:paraId="0E89F812">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2800" w:type="dxa"/>
            <w:tcBorders>
              <w:left w:val="single" w:color="auto" w:sz="4" w:space="0"/>
              <w:bottom w:val="single" w:color="auto" w:sz="4" w:space="0"/>
              <w:right w:val="single" w:color="auto" w:sz="4" w:space="0"/>
            </w:tcBorders>
          </w:tcPr>
          <w:p w14:paraId="1C139FBB">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3050" w:type="dxa"/>
            <w:tcBorders>
              <w:left w:val="single" w:color="auto" w:sz="4" w:space="0"/>
              <w:bottom w:val="single" w:color="auto" w:sz="4" w:space="0"/>
              <w:right w:val="single" w:color="auto" w:sz="4" w:space="0"/>
            </w:tcBorders>
          </w:tcPr>
          <w:p w14:paraId="3A2A4294">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4370A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710" w:type="dxa"/>
            <w:gridSpan w:val="4"/>
            <w:tcBorders>
              <w:top w:val="single" w:color="auto" w:sz="4" w:space="0"/>
              <w:left w:val="single" w:color="auto" w:sz="4" w:space="0"/>
              <w:bottom w:val="single" w:color="auto" w:sz="4" w:space="0"/>
              <w:right w:val="single" w:color="auto" w:sz="4" w:space="0"/>
            </w:tcBorders>
          </w:tcPr>
          <w:p w14:paraId="7D5AA027">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u w:val="none"/>
                <w:lang w:val="en-US" w:eastAsia="zh-CN"/>
              </w:rPr>
              <w:t>分包</w:t>
            </w:r>
            <w:r>
              <w:rPr>
                <w:rFonts w:hint="eastAsia" w:ascii="宋体" w:hAnsi="宋体" w:eastAsia="宋体" w:cs="宋体"/>
                <w:strike w:val="0"/>
                <w:dstrike w:val="0"/>
                <w:color w:val="auto"/>
                <w:sz w:val="21"/>
                <w:szCs w:val="21"/>
                <w:highlight w:val="none"/>
                <w:u w:val="single"/>
              </w:rPr>
              <w:t>　　</w:t>
            </w:r>
            <w:r>
              <w:rPr>
                <w:rFonts w:hint="eastAsia" w:ascii="宋体" w:hAnsi="宋体" w:eastAsia="宋体" w:cs="宋体"/>
                <w:strike w:val="0"/>
                <w:dstrike w:val="0"/>
                <w:color w:val="auto"/>
                <w:sz w:val="21"/>
                <w:szCs w:val="21"/>
                <w:highlight w:val="none"/>
              </w:rPr>
              <w:t>（此处有</w:t>
            </w:r>
            <w:r>
              <w:rPr>
                <w:rFonts w:hint="eastAsia" w:ascii="宋体" w:hAnsi="宋体" w:eastAsia="宋体" w:cs="宋体"/>
                <w:strike w:val="0"/>
                <w:dstrike w:val="0"/>
                <w:color w:val="auto"/>
                <w:sz w:val="21"/>
                <w:szCs w:val="21"/>
                <w:highlight w:val="none"/>
                <w:lang w:eastAsia="zh-CN"/>
              </w:rPr>
              <w:t>分</w:t>
            </w:r>
            <w:r>
              <w:rPr>
                <w:rFonts w:hint="eastAsia" w:ascii="宋体" w:hAnsi="宋体" w:eastAsia="宋体" w:cs="宋体"/>
                <w:strike w:val="0"/>
                <w:dstrike w:val="0"/>
                <w:color w:val="auto"/>
                <w:sz w:val="21"/>
                <w:szCs w:val="21"/>
                <w:highlight w:val="none"/>
                <w:lang w:val="en-US" w:eastAsia="zh-CN"/>
              </w:rPr>
              <w:t>包</w:t>
            </w:r>
            <w:r>
              <w:rPr>
                <w:rFonts w:hint="eastAsia" w:ascii="宋体" w:hAnsi="宋体" w:eastAsia="宋体" w:cs="宋体"/>
                <w:strike w:val="0"/>
                <w:dstrike w:val="0"/>
                <w:color w:val="auto"/>
                <w:sz w:val="21"/>
                <w:szCs w:val="21"/>
                <w:highlight w:val="none"/>
              </w:rPr>
              <w:t>时填写具体</w:t>
            </w:r>
            <w:r>
              <w:rPr>
                <w:rFonts w:hint="eastAsia" w:ascii="宋体" w:hAnsi="宋体" w:eastAsia="宋体" w:cs="宋体"/>
                <w:strike w:val="0"/>
                <w:dstrike w:val="0"/>
                <w:color w:val="auto"/>
                <w:sz w:val="21"/>
                <w:szCs w:val="21"/>
                <w:highlight w:val="none"/>
                <w:lang w:eastAsia="zh-CN"/>
              </w:rPr>
              <w:t>分</w:t>
            </w:r>
            <w:r>
              <w:rPr>
                <w:rFonts w:hint="eastAsia" w:ascii="宋体" w:hAnsi="宋体" w:eastAsia="宋体" w:cs="宋体"/>
                <w:strike w:val="0"/>
                <w:dstrike w:val="0"/>
                <w:color w:val="auto"/>
                <w:sz w:val="21"/>
                <w:szCs w:val="21"/>
                <w:highlight w:val="none"/>
                <w:lang w:val="en-US" w:eastAsia="zh-CN"/>
              </w:rPr>
              <w:t>包</w:t>
            </w:r>
            <w:r>
              <w:rPr>
                <w:rFonts w:hint="eastAsia" w:ascii="宋体" w:hAnsi="宋体" w:eastAsia="宋体" w:cs="宋体"/>
                <w:strike w:val="0"/>
                <w:dstrike w:val="0"/>
                <w:color w:val="auto"/>
                <w:sz w:val="21"/>
                <w:szCs w:val="21"/>
                <w:highlight w:val="none"/>
              </w:rPr>
              <w:t>号，无</w:t>
            </w:r>
            <w:r>
              <w:rPr>
                <w:rFonts w:hint="eastAsia" w:ascii="宋体" w:hAnsi="宋体" w:eastAsia="宋体" w:cs="宋体"/>
                <w:strike w:val="0"/>
                <w:dstrike w:val="0"/>
                <w:color w:val="auto"/>
                <w:sz w:val="21"/>
                <w:szCs w:val="21"/>
                <w:highlight w:val="none"/>
                <w:lang w:eastAsia="zh-CN"/>
              </w:rPr>
              <w:t>分</w:t>
            </w:r>
            <w:r>
              <w:rPr>
                <w:rFonts w:hint="eastAsia" w:ascii="宋体" w:hAnsi="宋体" w:eastAsia="宋体" w:cs="宋体"/>
                <w:strike w:val="0"/>
                <w:dstrike w:val="0"/>
                <w:color w:val="auto"/>
                <w:sz w:val="21"/>
                <w:szCs w:val="21"/>
                <w:highlight w:val="none"/>
                <w:lang w:val="en-US" w:eastAsia="zh-CN"/>
              </w:rPr>
              <w:t>包</w:t>
            </w:r>
            <w:r>
              <w:rPr>
                <w:rFonts w:hint="eastAsia" w:ascii="宋体" w:hAnsi="宋体" w:eastAsia="宋体" w:cs="宋体"/>
                <w:strike w:val="0"/>
                <w:dstrike w:val="0"/>
                <w:color w:val="auto"/>
                <w:sz w:val="21"/>
                <w:szCs w:val="21"/>
                <w:highlight w:val="none"/>
              </w:rPr>
              <w:t>时填写“无”）</w:t>
            </w:r>
          </w:p>
        </w:tc>
      </w:tr>
    </w:tbl>
    <w:p w14:paraId="20F6F53F">
      <w:pPr>
        <w:pStyle w:val="20"/>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注：</w:t>
      </w:r>
    </w:p>
    <w:p w14:paraId="0C5571E9">
      <w:pPr>
        <w:pStyle w:val="23"/>
        <w:keepNext w:val="0"/>
        <w:keepLines w:val="0"/>
        <w:pageBreakBefore w:val="0"/>
        <w:kinsoku/>
        <w:topLinePunct w:val="0"/>
        <w:bidi w:val="0"/>
        <w:spacing w:line="400" w:lineRule="exact"/>
        <w:ind w:firstLine="420" w:firstLineChars="200"/>
        <w:jc w:val="left"/>
        <w:rPr>
          <w:rFonts w:hint="eastAsia" w:ascii="宋体" w:hAnsi="宋体" w:eastAsia="宋体" w:cs="宋体"/>
          <w:b/>
          <w:bCs/>
          <w:strike w:val="0"/>
          <w:dstrike w:val="0"/>
          <w:color w:val="auto"/>
          <w:sz w:val="21"/>
          <w:szCs w:val="21"/>
          <w:highlight w:val="none"/>
        </w:rPr>
      </w:pPr>
      <w:r>
        <w:rPr>
          <w:rFonts w:hint="eastAsia" w:ascii="宋体" w:hAnsi="宋体" w:eastAsia="宋体" w:cs="宋体"/>
          <w:strike w:val="0"/>
          <w:dstrike w:val="0"/>
          <w:color w:val="auto"/>
          <w:sz w:val="21"/>
          <w:szCs w:val="21"/>
          <w:highlight w:val="none"/>
        </w:rPr>
        <w:t>1.请</w:t>
      </w:r>
      <w:r>
        <w:rPr>
          <w:rFonts w:hint="eastAsia" w:ascii="宋体" w:hAnsi="宋体" w:eastAsia="宋体" w:cs="宋体"/>
          <w:b/>
          <w:strike w:val="0"/>
          <w:dstrike w:val="0"/>
          <w:color w:val="auto"/>
          <w:sz w:val="21"/>
          <w:szCs w:val="21"/>
          <w:highlight w:val="none"/>
          <w:u w:val="single"/>
        </w:rPr>
        <w:t>逐条</w:t>
      </w:r>
      <w:r>
        <w:rPr>
          <w:rFonts w:hint="eastAsia" w:ascii="宋体" w:hAnsi="宋体" w:eastAsia="宋体" w:cs="宋体"/>
          <w:strike w:val="0"/>
          <w:dstrike w:val="0"/>
          <w:color w:val="auto"/>
          <w:sz w:val="21"/>
          <w:szCs w:val="21"/>
          <w:highlight w:val="none"/>
        </w:rPr>
        <w:t>对应本项目招标文件第二章“服务需求一览表”中</w:t>
      </w:r>
      <w:r>
        <w:rPr>
          <w:rFonts w:hint="eastAsia" w:ascii="宋体" w:hAnsi="宋体" w:eastAsia="宋体" w:cs="宋体"/>
          <w:b/>
          <w:strike w:val="0"/>
          <w:dstrike w:val="0"/>
          <w:color w:val="auto"/>
          <w:sz w:val="21"/>
          <w:szCs w:val="21"/>
          <w:highlight w:val="none"/>
        </w:rPr>
        <w:t>“商务条款”</w:t>
      </w:r>
      <w:r>
        <w:rPr>
          <w:rFonts w:hint="eastAsia" w:ascii="宋体" w:hAnsi="宋体" w:eastAsia="宋体" w:cs="宋体"/>
          <w:strike w:val="0"/>
          <w:dstrike w:val="0"/>
          <w:color w:val="auto"/>
          <w:sz w:val="21"/>
          <w:szCs w:val="21"/>
          <w:highlight w:val="none"/>
        </w:rPr>
        <w:t>的要求，详细填写相应的具体内容。“偏离说明”一栏应当选择“正偏离”、“负偏离”或“无偏离”进行填写，</w:t>
      </w:r>
      <w:r>
        <w:rPr>
          <w:rFonts w:hint="eastAsia" w:ascii="宋体" w:hAnsi="宋体" w:eastAsia="宋体" w:cs="宋体"/>
          <w:b/>
          <w:bCs/>
          <w:strike w:val="0"/>
          <w:dstrike w:val="0"/>
          <w:color w:val="auto"/>
          <w:sz w:val="21"/>
          <w:szCs w:val="21"/>
          <w:highlight w:val="none"/>
        </w:rPr>
        <w:t>否则按投标无效处理。</w:t>
      </w:r>
    </w:p>
    <w:p w14:paraId="18E28E70">
      <w:pPr>
        <w:pStyle w:val="23"/>
        <w:keepNext w:val="0"/>
        <w:keepLines w:val="0"/>
        <w:pageBreakBefore w:val="0"/>
        <w:kinsoku/>
        <w:topLinePunct w:val="0"/>
        <w:bidi w:val="0"/>
        <w:spacing w:line="400" w:lineRule="exact"/>
        <w:ind w:firstLine="420" w:firstLineChars="200"/>
        <w:jc w:val="left"/>
        <w:rPr>
          <w:rFonts w:hint="eastAsia" w:ascii="宋体" w:hAnsi="宋体" w:eastAsia="宋体" w:cs="宋体"/>
          <w:b/>
          <w:bCs/>
          <w:strike w:val="0"/>
          <w:dstrike w:val="0"/>
          <w:color w:val="auto"/>
          <w:sz w:val="21"/>
          <w:szCs w:val="21"/>
          <w:highlight w:val="none"/>
        </w:rPr>
      </w:pPr>
      <w:r>
        <w:rPr>
          <w:rFonts w:hint="eastAsia" w:ascii="宋体" w:hAnsi="宋体" w:eastAsia="宋体" w:cs="宋体"/>
          <w:strike w:val="0"/>
          <w:dstrike w:val="0"/>
          <w:color w:val="auto"/>
          <w:sz w:val="21"/>
          <w:szCs w:val="21"/>
          <w:highlight w:val="none"/>
        </w:rPr>
        <w:t>2.表格内容均需按要求填写并加盖电子签章，不得留空，</w:t>
      </w:r>
      <w:r>
        <w:rPr>
          <w:rFonts w:hint="eastAsia" w:ascii="宋体" w:hAnsi="宋体" w:eastAsia="宋体" w:cs="宋体"/>
          <w:b/>
          <w:bCs/>
          <w:strike w:val="0"/>
          <w:dstrike w:val="0"/>
          <w:color w:val="auto"/>
          <w:sz w:val="21"/>
          <w:szCs w:val="21"/>
          <w:highlight w:val="none"/>
        </w:rPr>
        <w:t>否则按投标无效处理。</w:t>
      </w:r>
    </w:p>
    <w:p w14:paraId="61DC9619">
      <w:pPr>
        <w:pStyle w:val="23"/>
        <w:keepNext w:val="0"/>
        <w:keepLines w:val="0"/>
        <w:pageBreakBefore w:val="0"/>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3.如果招标文件需求为小于或大于某个数值标准时</w:t>
      </w:r>
      <w:r>
        <w:rPr>
          <w:rFonts w:hint="eastAsia" w:ascii="宋体" w:hAnsi="宋体" w:eastAsia="宋体" w:cs="宋体"/>
          <w:strike w:val="0"/>
          <w:dstrike w:val="0"/>
          <w:color w:val="auto"/>
          <w:sz w:val="21"/>
          <w:szCs w:val="21"/>
          <w:highlight w:val="none"/>
          <w:u w:val="single"/>
        </w:rPr>
        <w:t>（除特殊技术或服务要求）</w:t>
      </w:r>
      <w:r>
        <w:rPr>
          <w:rFonts w:hint="eastAsia" w:ascii="宋体" w:hAnsi="宋体" w:eastAsia="宋体" w:cs="宋体"/>
          <w:strike w:val="0"/>
          <w:dstrike w:val="0"/>
          <w:color w:val="auto"/>
          <w:sz w:val="21"/>
          <w:szCs w:val="21"/>
          <w:highlight w:val="none"/>
        </w:rPr>
        <w:t>，投标文件承诺不得直接复制招标文件需求，投标文件承诺内容应当写明投标货物具体参数或商务响应承诺的具体数值</w:t>
      </w:r>
      <w:bookmarkStart w:id="314" w:name="OLE_LINK286"/>
      <w:r>
        <w:rPr>
          <w:rFonts w:hint="eastAsia" w:ascii="宋体" w:hAnsi="宋体" w:eastAsia="宋体" w:cs="宋体"/>
          <w:strike w:val="0"/>
          <w:dstrike w:val="0"/>
          <w:color w:val="auto"/>
          <w:sz w:val="21"/>
          <w:szCs w:val="21"/>
          <w:highlight w:val="none"/>
        </w:rPr>
        <w:t>，</w:t>
      </w:r>
      <w:r>
        <w:rPr>
          <w:rFonts w:hint="eastAsia" w:ascii="宋体" w:hAnsi="宋体" w:eastAsia="宋体" w:cs="宋体"/>
          <w:b/>
          <w:bCs/>
          <w:strike w:val="0"/>
          <w:dstrike w:val="0"/>
          <w:color w:val="auto"/>
          <w:sz w:val="21"/>
          <w:szCs w:val="21"/>
          <w:highlight w:val="none"/>
        </w:rPr>
        <w:t>否则按投标无效处理。</w:t>
      </w:r>
      <w:bookmarkEnd w:id="314"/>
    </w:p>
    <w:p w14:paraId="0DEC815A">
      <w:pPr>
        <w:pStyle w:val="23"/>
        <w:keepNext w:val="0"/>
        <w:keepLines w:val="0"/>
        <w:pageBreakBefore w:val="0"/>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4.当投标文件的商务内容低于招标文件要求时，投标人应当如实写明“负偏离”，否则视为虚假应标。</w:t>
      </w:r>
    </w:p>
    <w:p w14:paraId="3CD01BE8">
      <w:pPr>
        <w:pStyle w:val="23"/>
        <w:keepNext w:val="0"/>
        <w:keepLines w:val="0"/>
        <w:pageBreakBefore w:val="0"/>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5.采购需求中带“▲”及其他标识的条款，也要分别在本表“投标文件的商务需求”、“投标文件承诺的商务条款”中标记。</w:t>
      </w:r>
    </w:p>
    <w:p w14:paraId="3E5ED525">
      <w:pPr>
        <w:keepNext w:val="0"/>
        <w:keepLines w:val="0"/>
        <w:pageBreakBefore w:val="0"/>
        <w:kinsoku/>
        <w:topLinePunct w:val="0"/>
        <w:bidi w:val="0"/>
        <w:spacing w:line="400" w:lineRule="exact"/>
        <w:ind w:left="3990" w:leftChars="1900"/>
        <w:contextualSpacing/>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 xml:space="preserve">投标人（电子签章）： </w:t>
      </w:r>
      <w:r>
        <w:rPr>
          <w:rFonts w:hint="eastAsia" w:ascii="宋体" w:hAnsi="宋体" w:eastAsia="宋体" w:cs="宋体"/>
          <w:strike w:val="0"/>
          <w:dstrike w:val="0"/>
          <w:color w:val="auto"/>
          <w:sz w:val="21"/>
          <w:szCs w:val="21"/>
          <w:highlight w:val="none"/>
          <w:u w:val="single"/>
        </w:rPr>
        <w:t xml:space="preserve">                        </w:t>
      </w:r>
    </w:p>
    <w:p w14:paraId="5B2F7CE0">
      <w:pPr>
        <w:keepNext w:val="0"/>
        <w:keepLines w:val="0"/>
        <w:pageBreakBefore w:val="0"/>
        <w:kinsoku/>
        <w:topLinePunct w:val="0"/>
        <w:bidi w:val="0"/>
        <w:spacing w:line="400" w:lineRule="exact"/>
        <w:ind w:left="3990" w:leftChars="1900"/>
        <w:contextualSpacing/>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年</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月</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日</w:t>
      </w:r>
    </w:p>
    <w:p w14:paraId="475E08B4">
      <w:pPr>
        <w:keepNext w:val="0"/>
        <w:keepLines w:val="0"/>
        <w:pageBreakBefore w:val="0"/>
        <w:kinsoku/>
        <w:topLinePunct w:val="0"/>
        <w:bidi w:val="0"/>
        <w:snapToGrid w:val="0"/>
        <w:spacing w:beforeLines="50" w:after="50" w:line="400" w:lineRule="exact"/>
        <w:ind w:left="142"/>
        <w:jc w:val="left"/>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br w:type="page"/>
      </w:r>
    </w:p>
    <w:p w14:paraId="31BCA785">
      <w:pPr>
        <w:keepNext w:val="0"/>
        <w:keepLines w:val="0"/>
        <w:pageBreakBefore w:val="0"/>
        <w:kinsoku/>
        <w:topLinePunct w:val="0"/>
        <w:bidi w:val="0"/>
        <w:snapToGrid w:val="0"/>
        <w:spacing w:beforeLines="50" w:after="50" w:line="400" w:lineRule="exact"/>
        <w:ind w:left="142"/>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8.服务需求偏离表格式</w:t>
      </w:r>
    </w:p>
    <w:p w14:paraId="4AABEB1E">
      <w:pPr>
        <w:keepNext w:val="0"/>
        <w:keepLines w:val="0"/>
        <w:pageBreakBefore w:val="0"/>
        <w:kinsoku/>
        <w:topLinePunct w:val="0"/>
        <w:bidi w:val="0"/>
        <w:snapToGrid w:val="0"/>
        <w:spacing w:before="50" w:after="50" w:line="400" w:lineRule="exact"/>
        <w:jc w:val="center"/>
        <w:outlineLvl w:val="3"/>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服务需求偏离表</w:t>
      </w:r>
    </w:p>
    <w:tbl>
      <w:tblPr>
        <w:tblStyle w:val="48"/>
        <w:tblW w:w="9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276"/>
        <w:gridCol w:w="1222"/>
        <w:gridCol w:w="1150"/>
        <w:gridCol w:w="2000"/>
        <w:gridCol w:w="2915"/>
      </w:tblGrid>
      <w:tr w14:paraId="68B5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jc w:val="center"/>
        </w:trPr>
        <w:tc>
          <w:tcPr>
            <w:tcW w:w="443" w:type="dxa"/>
            <w:vMerge w:val="restart"/>
            <w:tcBorders>
              <w:top w:val="single" w:color="auto" w:sz="4" w:space="0"/>
              <w:left w:val="single" w:color="auto" w:sz="4" w:space="0"/>
              <w:bottom w:val="single" w:color="auto" w:sz="4" w:space="0"/>
              <w:right w:val="single" w:color="auto" w:sz="4" w:space="0"/>
            </w:tcBorders>
            <w:vAlign w:val="center"/>
          </w:tcPr>
          <w:p w14:paraId="40D33983">
            <w:pPr>
              <w:keepNext w:val="0"/>
              <w:keepLines w:val="0"/>
              <w:pageBreakBefore w:val="0"/>
              <w:kinsoku/>
              <w:topLinePunct w:val="0"/>
              <w:bidi w:val="0"/>
              <w:spacing w:line="400" w:lineRule="exac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项号</w:t>
            </w:r>
          </w:p>
        </w:tc>
        <w:tc>
          <w:tcPr>
            <w:tcW w:w="2498" w:type="dxa"/>
            <w:gridSpan w:val="2"/>
            <w:tcBorders>
              <w:top w:val="single" w:color="auto" w:sz="4" w:space="0"/>
              <w:left w:val="single" w:color="auto" w:sz="4" w:space="0"/>
              <w:bottom w:val="single" w:color="auto" w:sz="4" w:space="0"/>
              <w:right w:val="single" w:color="auto" w:sz="4" w:space="0"/>
            </w:tcBorders>
            <w:vAlign w:val="center"/>
          </w:tcPr>
          <w:p w14:paraId="4FC92700">
            <w:pPr>
              <w:keepNext w:val="0"/>
              <w:keepLines w:val="0"/>
              <w:pageBreakBefore w:val="0"/>
              <w:kinsoku/>
              <w:topLinePunct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招标文件需求</w:t>
            </w:r>
          </w:p>
        </w:tc>
        <w:tc>
          <w:tcPr>
            <w:tcW w:w="3150" w:type="dxa"/>
            <w:gridSpan w:val="2"/>
            <w:tcBorders>
              <w:top w:val="single" w:color="auto" w:sz="4" w:space="0"/>
              <w:left w:val="single" w:color="auto" w:sz="4" w:space="0"/>
              <w:bottom w:val="single" w:color="auto" w:sz="4" w:space="0"/>
              <w:right w:val="single" w:color="auto" w:sz="4" w:space="0"/>
            </w:tcBorders>
            <w:vAlign w:val="center"/>
          </w:tcPr>
          <w:p w14:paraId="2C6D5F0D">
            <w:pPr>
              <w:keepNext w:val="0"/>
              <w:keepLines w:val="0"/>
              <w:pageBreakBefore w:val="0"/>
              <w:kinsoku/>
              <w:topLinePunct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投标文件承诺</w:t>
            </w:r>
          </w:p>
        </w:tc>
        <w:tc>
          <w:tcPr>
            <w:tcW w:w="2915" w:type="dxa"/>
            <w:vMerge w:val="restart"/>
            <w:tcBorders>
              <w:top w:val="single" w:color="auto" w:sz="4" w:space="0"/>
              <w:left w:val="single" w:color="auto" w:sz="4" w:space="0"/>
              <w:bottom w:val="single" w:color="auto" w:sz="4" w:space="0"/>
              <w:right w:val="single" w:color="auto" w:sz="4" w:space="0"/>
            </w:tcBorders>
            <w:vAlign w:val="center"/>
          </w:tcPr>
          <w:p w14:paraId="24A5354E">
            <w:pPr>
              <w:keepNext w:val="0"/>
              <w:keepLines w:val="0"/>
              <w:pageBreakBefore w:val="0"/>
              <w:kinsoku/>
              <w:topLinePunct w:val="0"/>
              <w:bidi w:val="0"/>
              <w:spacing w:line="400" w:lineRule="exac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偏离说明</w:t>
            </w:r>
          </w:p>
        </w:tc>
      </w:tr>
      <w:tr w14:paraId="3E38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443" w:type="dxa"/>
            <w:vMerge w:val="continue"/>
            <w:tcBorders>
              <w:top w:val="single" w:color="auto" w:sz="4" w:space="0"/>
              <w:left w:val="single" w:color="auto" w:sz="4" w:space="0"/>
              <w:bottom w:val="single" w:color="auto" w:sz="4" w:space="0"/>
              <w:right w:val="single" w:color="auto" w:sz="4" w:space="0"/>
            </w:tcBorders>
            <w:vAlign w:val="center"/>
          </w:tcPr>
          <w:p w14:paraId="298F1772">
            <w:pPr>
              <w:keepNext w:val="0"/>
              <w:keepLines w:val="0"/>
              <w:pageBreakBefore w:val="0"/>
              <w:widowControl/>
              <w:kinsoku/>
              <w:topLinePunct w:val="0"/>
              <w:bidi w:val="0"/>
              <w:spacing w:line="400" w:lineRule="exact"/>
              <w:jc w:val="left"/>
              <w:rPr>
                <w:rFonts w:hint="eastAsia" w:ascii="宋体" w:hAnsi="宋体" w:eastAsia="宋体" w:cs="宋体"/>
                <w:strike w:val="0"/>
                <w:dstrike w:val="0"/>
                <w:color w:val="auto"/>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64705844">
            <w:pPr>
              <w:keepNext w:val="0"/>
              <w:keepLines w:val="0"/>
              <w:pageBreakBefore w:val="0"/>
              <w:kinsoku/>
              <w:topLinePunct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标的名称</w:t>
            </w:r>
          </w:p>
        </w:tc>
        <w:tc>
          <w:tcPr>
            <w:tcW w:w="1222" w:type="dxa"/>
            <w:tcBorders>
              <w:top w:val="single" w:color="auto" w:sz="4" w:space="0"/>
              <w:left w:val="single" w:color="auto" w:sz="4" w:space="0"/>
              <w:bottom w:val="single" w:color="auto" w:sz="4" w:space="0"/>
              <w:right w:val="single" w:color="auto" w:sz="4" w:space="0"/>
            </w:tcBorders>
            <w:vAlign w:val="center"/>
          </w:tcPr>
          <w:p w14:paraId="177A59DE">
            <w:pPr>
              <w:keepNext w:val="0"/>
              <w:keepLines w:val="0"/>
              <w:pageBreakBefore w:val="0"/>
              <w:kinsoku/>
              <w:topLinePunct w:val="0"/>
              <w:bidi w:val="0"/>
              <w:spacing w:line="400" w:lineRule="exact"/>
              <w:jc w:val="center"/>
              <w:rPr>
                <w:rFonts w:hint="eastAsia" w:ascii="宋体" w:hAnsi="宋体" w:eastAsia="宋体" w:cs="宋体"/>
                <w:b/>
                <w:strike w:val="0"/>
                <w:dstrike w:val="0"/>
                <w:color w:val="auto"/>
                <w:sz w:val="21"/>
                <w:szCs w:val="21"/>
                <w:highlight w:val="none"/>
                <w:lang w:val="en-US" w:eastAsia="zh-CN"/>
              </w:rPr>
            </w:pPr>
            <w:r>
              <w:rPr>
                <w:rFonts w:hint="eastAsia" w:ascii="宋体" w:hAnsi="宋体" w:eastAsia="宋体" w:cs="宋体"/>
                <w:b/>
                <w:strike w:val="0"/>
                <w:dstrike w:val="0"/>
                <w:color w:val="auto"/>
                <w:sz w:val="21"/>
                <w:szCs w:val="21"/>
                <w:highlight w:val="none"/>
              </w:rPr>
              <w:t>服务</w:t>
            </w:r>
            <w:r>
              <w:rPr>
                <w:rFonts w:hint="eastAsia" w:ascii="宋体" w:hAnsi="宋体" w:eastAsia="宋体" w:cs="宋体"/>
                <w:b/>
                <w:strike w:val="0"/>
                <w:dstrike w:val="0"/>
                <w:color w:val="auto"/>
                <w:sz w:val="21"/>
                <w:szCs w:val="21"/>
                <w:highlight w:val="none"/>
                <w:lang w:val="en-US" w:eastAsia="zh-CN"/>
              </w:rPr>
              <w:t>内容及要求</w:t>
            </w:r>
          </w:p>
        </w:tc>
        <w:tc>
          <w:tcPr>
            <w:tcW w:w="1150" w:type="dxa"/>
            <w:tcBorders>
              <w:top w:val="single" w:color="auto" w:sz="4" w:space="0"/>
              <w:left w:val="single" w:color="auto" w:sz="4" w:space="0"/>
              <w:bottom w:val="single" w:color="auto" w:sz="4" w:space="0"/>
              <w:right w:val="single" w:color="auto" w:sz="4" w:space="0"/>
            </w:tcBorders>
            <w:vAlign w:val="center"/>
          </w:tcPr>
          <w:p w14:paraId="1F886EEF">
            <w:pPr>
              <w:keepNext w:val="0"/>
              <w:keepLines w:val="0"/>
              <w:pageBreakBefore w:val="0"/>
              <w:kinsoku/>
              <w:topLinePunct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标的名称</w:t>
            </w:r>
          </w:p>
        </w:tc>
        <w:tc>
          <w:tcPr>
            <w:tcW w:w="2000" w:type="dxa"/>
            <w:tcBorders>
              <w:top w:val="single" w:color="auto" w:sz="4" w:space="0"/>
              <w:left w:val="single" w:color="auto" w:sz="4" w:space="0"/>
              <w:bottom w:val="single" w:color="auto" w:sz="4" w:space="0"/>
              <w:right w:val="single" w:color="auto" w:sz="4" w:space="0"/>
            </w:tcBorders>
            <w:vAlign w:val="center"/>
          </w:tcPr>
          <w:p w14:paraId="778B9EDA">
            <w:pPr>
              <w:keepNext w:val="0"/>
              <w:keepLines w:val="0"/>
              <w:pageBreakBefore w:val="0"/>
              <w:kinsoku/>
              <w:topLinePunct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所提供服务的内容</w:t>
            </w:r>
          </w:p>
        </w:tc>
        <w:tc>
          <w:tcPr>
            <w:tcW w:w="2915" w:type="dxa"/>
            <w:vMerge w:val="continue"/>
            <w:tcBorders>
              <w:top w:val="single" w:color="auto" w:sz="4" w:space="0"/>
              <w:left w:val="single" w:color="auto" w:sz="4" w:space="0"/>
              <w:bottom w:val="single" w:color="auto" w:sz="4" w:space="0"/>
              <w:right w:val="single" w:color="auto" w:sz="4" w:space="0"/>
            </w:tcBorders>
            <w:vAlign w:val="center"/>
          </w:tcPr>
          <w:p w14:paraId="5D33B8C0">
            <w:pPr>
              <w:keepNext w:val="0"/>
              <w:keepLines w:val="0"/>
              <w:pageBreakBefore w:val="0"/>
              <w:widowControl/>
              <w:kinsoku/>
              <w:topLinePunct w:val="0"/>
              <w:bidi w:val="0"/>
              <w:spacing w:line="400" w:lineRule="exact"/>
              <w:jc w:val="left"/>
              <w:rPr>
                <w:rFonts w:hint="eastAsia" w:ascii="宋体" w:hAnsi="宋体" w:eastAsia="宋体" w:cs="宋体"/>
                <w:strike w:val="0"/>
                <w:dstrike w:val="0"/>
                <w:color w:val="auto"/>
                <w:sz w:val="21"/>
                <w:szCs w:val="21"/>
                <w:highlight w:val="none"/>
              </w:rPr>
            </w:pPr>
          </w:p>
        </w:tc>
      </w:tr>
      <w:tr w14:paraId="230EA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43" w:type="dxa"/>
            <w:vMerge w:val="restart"/>
            <w:tcBorders>
              <w:top w:val="single" w:color="auto" w:sz="4" w:space="0"/>
              <w:left w:val="single" w:color="auto" w:sz="4" w:space="0"/>
              <w:right w:val="single" w:color="auto" w:sz="4" w:space="0"/>
            </w:tcBorders>
            <w:vAlign w:val="center"/>
          </w:tcPr>
          <w:p w14:paraId="1538F4F2">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w:t>
            </w:r>
          </w:p>
        </w:tc>
        <w:tc>
          <w:tcPr>
            <w:tcW w:w="1276" w:type="dxa"/>
            <w:vMerge w:val="restart"/>
            <w:tcBorders>
              <w:top w:val="single" w:color="auto" w:sz="4" w:space="0"/>
              <w:left w:val="single" w:color="auto" w:sz="4" w:space="0"/>
              <w:right w:val="single" w:color="auto" w:sz="4" w:space="0"/>
            </w:tcBorders>
            <w:vAlign w:val="center"/>
          </w:tcPr>
          <w:p w14:paraId="1F1B30A5">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1222" w:type="dxa"/>
            <w:tcBorders>
              <w:top w:val="single" w:color="auto" w:sz="4" w:space="0"/>
              <w:left w:val="single" w:color="auto" w:sz="4" w:space="0"/>
              <w:bottom w:val="single" w:color="auto" w:sz="4" w:space="0"/>
              <w:right w:val="single" w:color="auto" w:sz="4" w:space="0"/>
            </w:tcBorders>
          </w:tcPr>
          <w:p w14:paraId="63C5D38F">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  ……</w:t>
            </w:r>
          </w:p>
        </w:tc>
        <w:tc>
          <w:tcPr>
            <w:tcW w:w="1150" w:type="dxa"/>
            <w:vMerge w:val="restart"/>
            <w:tcBorders>
              <w:top w:val="single" w:color="auto" w:sz="4" w:space="0"/>
              <w:left w:val="single" w:color="auto" w:sz="4" w:space="0"/>
              <w:right w:val="single" w:color="auto" w:sz="4" w:space="0"/>
            </w:tcBorders>
            <w:vAlign w:val="center"/>
          </w:tcPr>
          <w:p w14:paraId="0BF880FF">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2000" w:type="dxa"/>
            <w:tcBorders>
              <w:top w:val="single" w:color="auto" w:sz="4" w:space="0"/>
              <w:left w:val="single" w:color="auto" w:sz="4" w:space="0"/>
              <w:right w:val="single" w:color="auto" w:sz="4" w:space="0"/>
            </w:tcBorders>
          </w:tcPr>
          <w:p w14:paraId="2D382FF4">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  ……</w:t>
            </w:r>
          </w:p>
        </w:tc>
        <w:tc>
          <w:tcPr>
            <w:tcW w:w="2915" w:type="dxa"/>
            <w:tcBorders>
              <w:top w:val="single" w:color="auto" w:sz="4" w:space="0"/>
              <w:left w:val="single" w:color="auto" w:sz="4" w:space="0"/>
              <w:right w:val="single" w:color="auto" w:sz="4" w:space="0"/>
            </w:tcBorders>
            <w:vAlign w:val="center"/>
          </w:tcPr>
          <w:p w14:paraId="6F9F9188">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34ADE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43" w:type="dxa"/>
            <w:vMerge w:val="continue"/>
            <w:tcBorders>
              <w:left w:val="single" w:color="auto" w:sz="4" w:space="0"/>
              <w:right w:val="single" w:color="auto" w:sz="4" w:space="0"/>
            </w:tcBorders>
            <w:vAlign w:val="center"/>
          </w:tcPr>
          <w:p w14:paraId="72351B5E">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tc>
        <w:tc>
          <w:tcPr>
            <w:tcW w:w="1276" w:type="dxa"/>
            <w:vMerge w:val="continue"/>
            <w:tcBorders>
              <w:left w:val="single" w:color="auto" w:sz="4" w:space="0"/>
              <w:right w:val="single" w:color="auto" w:sz="4" w:space="0"/>
            </w:tcBorders>
            <w:vAlign w:val="center"/>
          </w:tcPr>
          <w:p w14:paraId="104B1781">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tc>
        <w:tc>
          <w:tcPr>
            <w:tcW w:w="1222" w:type="dxa"/>
            <w:tcBorders>
              <w:top w:val="single" w:color="auto" w:sz="4" w:space="0"/>
              <w:left w:val="single" w:color="auto" w:sz="4" w:space="0"/>
              <w:bottom w:val="single" w:color="auto" w:sz="4" w:space="0"/>
              <w:right w:val="single" w:color="auto" w:sz="4" w:space="0"/>
            </w:tcBorders>
          </w:tcPr>
          <w:p w14:paraId="27C14911">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  ……</w:t>
            </w:r>
          </w:p>
        </w:tc>
        <w:tc>
          <w:tcPr>
            <w:tcW w:w="1150" w:type="dxa"/>
            <w:vMerge w:val="continue"/>
            <w:tcBorders>
              <w:left w:val="single" w:color="auto" w:sz="4" w:space="0"/>
              <w:right w:val="single" w:color="auto" w:sz="4" w:space="0"/>
            </w:tcBorders>
            <w:vAlign w:val="center"/>
          </w:tcPr>
          <w:p w14:paraId="3185FC06">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tc>
        <w:tc>
          <w:tcPr>
            <w:tcW w:w="2000" w:type="dxa"/>
            <w:tcBorders>
              <w:left w:val="single" w:color="auto" w:sz="4" w:space="0"/>
              <w:right w:val="single" w:color="auto" w:sz="4" w:space="0"/>
            </w:tcBorders>
          </w:tcPr>
          <w:p w14:paraId="62443F71">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  ……</w:t>
            </w:r>
          </w:p>
        </w:tc>
        <w:tc>
          <w:tcPr>
            <w:tcW w:w="2915" w:type="dxa"/>
            <w:tcBorders>
              <w:left w:val="single" w:color="auto" w:sz="4" w:space="0"/>
              <w:right w:val="single" w:color="auto" w:sz="4" w:space="0"/>
            </w:tcBorders>
          </w:tcPr>
          <w:p w14:paraId="3E386BE8">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39406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43" w:type="dxa"/>
            <w:vMerge w:val="continue"/>
            <w:tcBorders>
              <w:left w:val="single" w:color="auto" w:sz="4" w:space="0"/>
              <w:right w:val="single" w:color="auto" w:sz="4" w:space="0"/>
            </w:tcBorders>
            <w:vAlign w:val="center"/>
          </w:tcPr>
          <w:p w14:paraId="0021C999">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tc>
        <w:tc>
          <w:tcPr>
            <w:tcW w:w="1276" w:type="dxa"/>
            <w:vMerge w:val="continue"/>
            <w:tcBorders>
              <w:left w:val="single" w:color="auto" w:sz="4" w:space="0"/>
              <w:right w:val="single" w:color="auto" w:sz="4" w:space="0"/>
            </w:tcBorders>
            <w:vAlign w:val="center"/>
          </w:tcPr>
          <w:p w14:paraId="66C89086">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tc>
        <w:tc>
          <w:tcPr>
            <w:tcW w:w="1222" w:type="dxa"/>
            <w:tcBorders>
              <w:top w:val="single" w:color="auto" w:sz="4" w:space="0"/>
              <w:left w:val="single" w:color="auto" w:sz="4" w:space="0"/>
              <w:bottom w:val="single" w:color="auto" w:sz="4" w:space="0"/>
              <w:right w:val="single" w:color="auto" w:sz="4" w:space="0"/>
            </w:tcBorders>
          </w:tcPr>
          <w:p w14:paraId="169E600D">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  ……</w:t>
            </w:r>
          </w:p>
        </w:tc>
        <w:tc>
          <w:tcPr>
            <w:tcW w:w="1150" w:type="dxa"/>
            <w:vMerge w:val="continue"/>
            <w:tcBorders>
              <w:left w:val="single" w:color="auto" w:sz="4" w:space="0"/>
              <w:right w:val="single" w:color="auto" w:sz="4" w:space="0"/>
            </w:tcBorders>
            <w:vAlign w:val="center"/>
          </w:tcPr>
          <w:p w14:paraId="3D0F4531">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tc>
        <w:tc>
          <w:tcPr>
            <w:tcW w:w="2000" w:type="dxa"/>
            <w:tcBorders>
              <w:left w:val="single" w:color="auto" w:sz="4" w:space="0"/>
              <w:right w:val="single" w:color="auto" w:sz="4" w:space="0"/>
            </w:tcBorders>
          </w:tcPr>
          <w:p w14:paraId="25A96E1F">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  ……</w:t>
            </w:r>
          </w:p>
        </w:tc>
        <w:tc>
          <w:tcPr>
            <w:tcW w:w="2915" w:type="dxa"/>
            <w:tcBorders>
              <w:left w:val="single" w:color="auto" w:sz="4" w:space="0"/>
              <w:right w:val="single" w:color="auto" w:sz="4" w:space="0"/>
            </w:tcBorders>
            <w:vAlign w:val="center"/>
          </w:tcPr>
          <w:p w14:paraId="0B34DB76">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5BC8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43" w:type="dxa"/>
            <w:vMerge w:val="continue"/>
            <w:tcBorders>
              <w:left w:val="single" w:color="auto" w:sz="4" w:space="0"/>
              <w:bottom w:val="single" w:color="auto" w:sz="4" w:space="0"/>
              <w:right w:val="single" w:color="auto" w:sz="4" w:space="0"/>
            </w:tcBorders>
            <w:vAlign w:val="center"/>
          </w:tcPr>
          <w:p w14:paraId="24C3F132">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tc>
        <w:tc>
          <w:tcPr>
            <w:tcW w:w="1276" w:type="dxa"/>
            <w:vMerge w:val="continue"/>
            <w:tcBorders>
              <w:left w:val="single" w:color="auto" w:sz="4" w:space="0"/>
              <w:bottom w:val="single" w:color="auto" w:sz="4" w:space="0"/>
              <w:right w:val="single" w:color="auto" w:sz="4" w:space="0"/>
            </w:tcBorders>
            <w:vAlign w:val="center"/>
          </w:tcPr>
          <w:p w14:paraId="2CA3D6BB">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tc>
        <w:tc>
          <w:tcPr>
            <w:tcW w:w="1222" w:type="dxa"/>
            <w:tcBorders>
              <w:top w:val="single" w:color="auto" w:sz="4" w:space="0"/>
              <w:left w:val="single" w:color="auto" w:sz="4" w:space="0"/>
              <w:bottom w:val="single" w:color="auto" w:sz="4" w:space="0"/>
              <w:right w:val="single" w:color="auto" w:sz="4" w:space="0"/>
            </w:tcBorders>
          </w:tcPr>
          <w:p w14:paraId="13CAB252">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1150" w:type="dxa"/>
            <w:vMerge w:val="continue"/>
            <w:tcBorders>
              <w:left w:val="single" w:color="auto" w:sz="4" w:space="0"/>
              <w:bottom w:val="single" w:color="auto" w:sz="4" w:space="0"/>
              <w:right w:val="single" w:color="auto" w:sz="4" w:space="0"/>
            </w:tcBorders>
            <w:vAlign w:val="center"/>
          </w:tcPr>
          <w:p w14:paraId="680017F5">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tc>
        <w:tc>
          <w:tcPr>
            <w:tcW w:w="2000" w:type="dxa"/>
            <w:tcBorders>
              <w:left w:val="single" w:color="auto" w:sz="4" w:space="0"/>
              <w:bottom w:val="single" w:color="auto" w:sz="4" w:space="0"/>
              <w:right w:val="single" w:color="auto" w:sz="4" w:space="0"/>
            </w:tcBorders>
          </w:tcPr>
          <w:p w14:paraId="2E9C6C65">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2915" w:type="dxa"/>
            <w:tcBorders>
              <w:left w:val="single" w:color="auto" w:sz="4" w:space="0"/>
              <w:bottom w:val="single" w:color="auto" w:sz="4" w:space="0"/>
              <w:right w:val="single" w:color="auto" w:sz="4" w:space="0"/>
            </w:tcBorders>
          </w:tcPr>
          <w:p w14:paraId="31A2937F">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703B1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43" w:type="dxa"/>
            <w:vMerge w:val="restart"/>
            <w:tcBorders>
              <w:left w:val="single" w:color="auto" w:sz="4" w:space="0"/>
              <w:right w:val="single" w:color="auto" w:sz="4" w:space="0"/>
            </w:tcBorders>
            <w:vAlign w:val="center"/>
          </w:tcPr>
          <w:p w14:paraId="5DCAD6E3">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w:t>
            </w:r>
          </w:p>
        </w:tc>
        <w:tc>
          <w:tcPr>
            <w:tcW w:w="1276" w:type="dxa"/>
            <w:vMerge w:val="restart"/>
            <w:tcBorders>
              <w:left w:val="single" w:color="auto" w:sz="4" w:space="0"/>
              <w:right w:val="single" w:color="auto" w:sz="4" w:space="0"/>
            </w:tcBorders>
            <w:vAlign w:val="center"/>
          </w:tcPr>
          <w:p w14:paraId="26468B8B">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1222" w:type="dxa"/>
            <w:tcBorders>
              <w:top w:val="single" w:color="auto" w:sz="4" w:space="0"/>
              <w:left w:val="single" w:color="auto" w:sz="4" w:space="0"/>
              <w:bottom w:val="single" w:color="auto" w:sz="4" w:space="0"/>
              <w:right w:val="single" w:color="auto" w:sz="4" w:space="0"/>
            </w:tcBorders>
          </w:tcPr>
          <w:p w14:paraId="2DA88E0D">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  ……</w:t>
            </w:r>
          </w:p>
        </w:tc>
        <w:tc>
          <w:tcPr>
            <w:tcW w:w="1150" w:type="dxa"/>
            <w:vMerge w:val="restart"/>
            <w:tcBorders>
              <w:left w:val="single" w:color="auto" w:sz="4" w:space="0"/>
              <w:right w:val="single" w:color="auto" w:sz="4" w:space="0"/>
            </w:tcBorders>
            <w:vAlign w:val="center"/>
          </w:tcPr>
          <w:p w14:paraId="3B2EB719">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2000" w:type="dxa"/>
            <w:tcBorders>
              <w:left w:val="single" w:color="auto" w:sz="4" w:space="0"/>
              <w:bottom w:val="single" w:color="auto" w:sz="4" w:space="0"/>
              <w:right w:val="single" w:color="auto" w:sz="4" w:space="0"/>
            </w:tcBorders>
          </w:tcPr>
          <w:p w14:paraId="574BFFF3">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  ……</w:t>
            </w:r>
          </w:p>
        </w:tc>
        <w:tc>
          <w:tcPr>
            <w:tcW w:w="2915" w:type="dxa"/>
            <w:tcBorders>
              <w:left w:val="single" w:color="auto" w:sz="4" w:space="0"/>
              <w:bottom w:val="single" w:color="auto" w:sz="4" w:space="0"/>
              <w:right w:val="single" w:color="auto" w:sz="4" w:space="0"/>
            </w:tcBorders>
            <w:vAlign w:val="center"/>
          </w:tcPr>
          <w:p w14:paraId="5D99D076">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2E722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43" w:type="dxa"/>
            <w:vMerge w:val="continue"/>
            <w:tcBorders>
              <w:left w:val="single" w:color="auto" w:sz="4" w:space="0"/>
              <w:right w:val="single" w:color="auto" w:sz="4" w:space="0"/>
            </w:tcBorders>
            <w:vAlign w:val="center"/>
          </w:tcPr>
          <w:p w14:paraId="0A62F6F2">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tc>
        <w:tc>
          <w:tcPr>
            <w:tcW w:w="1276" w:type="dxa"/>
            <w:vMerge w:val="continue"/>
            <w:tcBorders>
              <w:left w:val="single" w:color="auto" w:sz="4" w:space="0"/>
              <w:right w:val="single" w:color="auto" w:sz="4" w:space="0"/>
            </w:tcBorders>
            <w:vAlign w:val="center"/>
          </w:tcPr>
          <w:p w14:paraId="5E82D4D1">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tc>
        <w:tc>
          <w:tcPr>
            <w:tcW w:w="1222" w:type="dxa"/>
            <w:tcBorders>
              <w:top w:val="single" w:color="auto" w:sz="4" w:space="0"/>
              <w:left w:val="single" w:color="auto" w:sz="4" w:space="0"/>
              <w:bottom w:val="single" w:color="auto" w:sz="4" w:space="0"/>
              <w:right w:val="single" w:color="auto" w:sz="4" w:space="0"/>
            </w:tcBorders>
          </w:tcPr>
          <w:p w14:paraId="5BF766DD">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  ……</w:t>
            </w:r>
          </w:p>
        </w:tc>
        <w:tc>
          <w:tcPr>
            <w:tcW w:w="1150" w:type="dxa"/>
            <w:vMerge w:val="continue"/>
            <w:tcBorders>
              <w:left w:val="single" w:color="auto" w:sz="4" w:space="0"/>
              <w:right w:val="single" w:color="auto" w:sz="4" w:space="0"/>
            </w:tcBorders>
            <w:vAlign w:val="center"/>
          </w:tcPr>
          <w:p w14:paraId="09824ED6">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tc>
        <w:tc>
          <w:tcPr>
            <w:tcW w:w="2000" w:type="dxa"/>
            <w:tcBorders>
              <w:left w:val="single" w:color="auto" w:sz="4" w:space="0"/>
              <w:bottom w:val="single" w:color="auto" w:sz="4" w:space="0"/>
              <w:right w:val="single" w:color="auto" w:sz="4" w:space="0"/>
            </w:tcBorders>
          </w:tcPr>
          <w:p w14:paraId="54C7DBE6">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  ……</w:t>
            </w:r>
          </w:p>
        </w:tc>
        <w:tc>
          <w:tcPr>
            <w:tcW w:w="2915" w:type="dxa"/>
            <w:tcBorders>
              <w:left w:val="single" w:color="auto" w:sz="4" w:space="0"/>
              <w:bottom w:val="single" w:color="auto" w:sz="4" w:space="0"/>
              <w:right w:val="single" w:color="auto" w:sz="4" w:space="0"/>
            </w:tcBorders>
          </w:tcPr>
          <w:p w14:paraId="2769C335">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52CEE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43" w:type="dxa"/>
            <w:vMerge w:val="continue"/>
            <w:tcBorders>
              <w:left w:val="single" w:color="auto" w:sz="4" w:space="0"/>
              <w:right w:val="single" w:color="auto" w:sz="4" w:space="0"/>
            </w:tcBorders>
            <w:vAlign w:val="center"/>
          </w:tcPr>
          <w:p w14:paraId="25D1910C">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tc>
        <w:tc>
          <w:tcPr>
            <w:tcW w:w="1276" w:type="dxa"/>
            <w:vMerge w:val="continue"/>
            <w:tcBorders>
              <w:left w:val="single" w:color="auto" w:sz="4" w:space="0"/>
              <w:right w:val="single" w:color="auto" w:sz="4" w:space="0"/>
            </w:tcBorders>
            <w:vAlign w:val="center"/>
          </w:tcPr>
          <w:p w14:paraId="1130056B">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tc>
        <w:tc>
          <w:tcPr>
            <w:tcW w:w="1222" w:type="dxa"/>
            <w:tcBorders>
              <w:top w:val="single" w:color="auto" w:sz="4" w:space="0"/>
              <w:left w:val="single" w:color="auto" w:sz="4" w:space="0"/>
              <w:bottom w:val="single" w:color="auto" w:sz="4" w:space="0"/>
              <w:right w:val="single" w:color="auto" w:sz="4" w:space="0"/>
            </w:tcBorders>
          </w:tcPr>
          <w:p w14:paraId="05587102">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  ……</w:t>
            </w:r>
          </w:p>
        </w:tc>
        <w:tc>
          <w:tcPr>
            <w:tcW w:w="1150" w:type="dxa"/>
            <w:vMerge w:val="continue"/>
            <w:tcBorders>
              <w:left w:val="single" w:color="auto" w:sz="4" w:space="0"/>
              <w:right w:val="single" w:color="auto" w:sz="4" w:space="0"/>
            </w:tcBorders>
            <w:vAlign w:val="center"/>
          </w:tcPr>
          <w:p w14:paraId="61D4C150">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tc>
        <w:tc>
          <w:tcPr>
            <w:tcW w:w="2000" w:type="dxa"/>
            <w:tcBorders>
              <w:left w:val="single" w:color="auto" w:sz="4" w:space="0"/>
              <w:bottom w:val="single" w:color="auto" w:sz="4" w:space="0"/>
              <w:right w:val="single" w:color="auto" w:sz="4" w:space="0"/>
            </w:tcBorders>
          </w:tcPr>
          <w:p w14:paraId="622E67C8">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  ……</w:t>
            </w:r>
          </w:p>
        </w:tc>
        <w:tc>
          <w:tcPr>
            <w:tcW w:w="2915" w:type="dxa"/>
            <w:tcBorders>
              <w:left w:val="single" w:color="auto" w:sz="4" w:space="0"/>
              <w:bottom w:val="single" w:color="auto" w:sz="4" w:space="0"/>
              <w:right w:val="single" w:color="auto" w:sz="4" w:space="0"/>
            </w:tcBorders>
            <w:vAlign w:val="center"/>
          </w:tcPr>
          <w:p w14:paraId="7789D51E">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4EFD8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43" w:type="dxa"/>
            <w:vMerge w:val="continue"/>
            <w:tcBorders>
              <w:left w:val="single" w:color="auto" w:sz="4" w:space="0"/>
              <w:bottom w:val="single" w:color="auto" w:sz="4" w:space="0"/>
              <w:right w:val="single" w:color="auto" w:sz="4" w:space="0"/>
            </w:tcBorders>
            <w:vAlign w:val="center"/>
          </w:tcPr>
          <w:p w14:paraId="17BF55F3">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tc>
        <w:tc>
          <w:tcPr>
            <w:tcW w:w="1276" w:type="dxa"/>
            <w:vMerge w:val="continue"/>
            <w:tcBorders>
              <w:left w:val="single" w:color="auto" w:sz="4" w:space="0"/>
              <w:bottom w:val="single" w:color="auto" w:sz="4" w:space="0"/>
              <w:right w:val="single" w:color="auto" w:sz="4" w:space="0"/>
            </w:tcBorders>
            <w:vAlign w:val="center"/>
          </w:tcPr>
          <w:p w14:paraId="1172FB94">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tc>
        <w:tc>
          <w:tcPr>
            <w:tcW w:w="1222" w:type="dxa"/>
            <w:tcBorders>
              <w:top w:val="single" w:color="auto" w:sz="4" w:space="0"/>
              <w:left w:val="single" w:color="auto" w:sz="4" w:space="0"/>
              <w:bottom w:val="single" w:color="auto" w:sz="4" w:space="0"/>
              <w:right w:val="single" w:color="auto" w:sz="4" w:space="0"/>
            </w:tcBorders>
          </w:tcPr>
          <w:p w14:paraId="226F8530">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1150" w:type="dxa"/>
            <w:vMerge w:val="continue"/>
            <w:tcBorders>
              <w:left w:val="single" w:color="auto" w:sz="4" w:space="0"/>
              <w:bottom w:val="single" w:color="auto" w:sz="4" w:space="0"/>
              <w:right w:val="single" w:color="auto" w:sz="4" w:space="0"/>
            </w:tcBorders>
            <w:vAlign w:val="center"/>
          </w:tcPr>
          <w:p w14:paraId="29BF1181">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tc>
        <w:tc>
          <w:tcPr>
            <w:tcW w:w="2000" w:type="dxa"/>
            <w:tcBorders>
              <w:left w:val="single" w:color="auto" w:sz="4" w:space="0"/>
              <w:bottom w:val="single" w:color="auto" w:sz="4" w:space="0"/>
              <w:right w:val="single" w:color="auto" w:sz="4" w:space="0"/>
            </w:tcBorders>
          </w:tcPr>
          <w:p w14:paraId="75BC1557">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2915" w:type="dxa"/>
            <w:tcBorders>
              <w:left w:val="single" w:color="auto" w:sz="4" w:space="0"/>
              <w:bottom w:val="single" w:color="auto" w:sz="4" w:space="0"/>
              <w:right w:val="single" w:color="auto" w:sz="4" w:space="0"/>
            </w:tcBorders>
          </w:tcPr>
          <w:p w14:paraId="6CAF049C">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58E28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43" w:type="dxa"/>
            <w:vMerge w:val="restart"/>
            <w:tcBorders>
              <w:left w:val="single" w:color="auto" w:sz="4" w:space="0"/>
              <w:right w:val="single" w:color="auto" w:sz="4" w:space="0"/>
            </w:tcBorders>
            <w:vAlign w:val="center"/>
          </w:tcPr>
          <w:p w14:paraId="61224362">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1276" w:type="dxa"/>
            <w:vMerge w:val="restart"/>
            <w:tcBorders>
              <w:left w:val="single" w:color="auto" w:sz="4" w:space="0"/>
              <w:right w:val="single" w:color="auto" w:sz="4" w:space="0"/>
            </w:tcBorders>
            <w:vAlign w:val="center"/>
          </w:tcPr>
          <w:p w14:paraId="666C2DB5">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1222" w:type="dxa"/>
            <w:tcBorders>
              <w:top w:val="single" w:color="auto" w:sz="4" w:space="0"/>
              <w:left w:val="single" w:color="auto" w:sz="4" w:space="0"/>
              <w:bottom w:val="single" w:color="auto" w:sz="4" w:space="0"/>
              <w:right w:val="single" w:color="auto" w:sz="4" w:space="0"/>
            </w:tcBorders>
          </w:tcPr>
          <w:p w14:paraId="26687F8F">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  ……</w:t>
            </w:r>
          </w:p>
        </w:tc>
        <w:tc>
          <w:tcPr>
            <w:tcW w:w="1150" w:type="dxa"/>
            <w:vMerge w:val="restart"/>
            <w:tcBorders>
              <w:left w:val="single" w:color="auto" w:sz="4" w:space="0"/>
              <w:right w:val="single" w:color="auto" w:sz="4" w:space="0"/>
            </w:tcBorders>
            <w:vAlign w:val="center"/>
          </w:tcPr>
          <w:p w14:paraId="71E0E311">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2000" w:type="dxa"/>
            <w:tcBorders>
              <w:left w:val="single" w:color="auto" w:sz="4" w:space="0"/>
              <w:bottom w:val="single" w:color="auto" w:sz="4" w:space="0"/>
              <w:right w:val="single" w:color="auto" w:sz="4" w:space="0"/>
            </w:tcBorders>
          </w:tcPr>
          <w:p w14:paraId="311FD105">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  ……</w:t>
            </w:r>
          </w:p>
        </w:tc>
        <w:tc>
          <w:tcPr>
            <w:tcW w:w="2915" w:type="dxa"/>
            <w:tcBorders>
              <w:left w:val="single" w:color="auto" w:sz="4" w:space="0"/>
              <w:bottom w:val="single" w:color="auto" w:sz="4" w:space="0"/>
              <w:right w:val="single" w:color="auto" w:sz="4" w:space="0"/>
            </w:tcBorders>
            <w:vAlign w:val="center"/>
          </w:tcPr>
          <w:p w14:paraId="4854B22F">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00997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43" w:type="dxa"/>
            <w:vMerge w:val="continue"/>
            <w:tcBorders>
              <w:left w:val="single" w:color="auto" w:sz="4" w:space="0"/>
              <w:right w:val="single" w:color="auto" w:sz="4" w:space="0"/>
            </w:tcBorders>
            <w:vAlign w:val="center"/>
          </w:tcPr>
          <w:p w14:paraId="24BEB5AC">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tc>
        <w:tc>
          <w:tcPr>
            <w:tcW w:w="1276" w:type="dxa"/>
            <w:vMerge w:val="continue"/>
            <w:tcBorders>
              <w:left w:val="single" w:color="auto" w:sz="4" w:space="0"/>
              <w:right w:val="single" w:color="auto" w:sz="4" w:space="0"/>
            </w:tcBorders>
            <w:vAlign w:val="center"/>
          </w:tcPr>
          <w:p w14:paraId="3E2A5BD5">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tc>
        <w:tc>
          <w:tcPr>
            <w:tcW w:w="1222" w:type="dxa"/>
            <w:tcBorders>
              <w:top w:val="single" w:color="auto" w:sz="4" w:space="0"/>
              <w:left w:val="single" w:color="auto" w:sz="4" w:space="0"/>
              <w:bottom w:val="single" w:color="auto" w:sz="4" w:space="0"/>
              <w:right w:val="single" w:color="auto" w:sz="4" w:space="0"/>
            </w:tcBorders>
          </w:tcPr>
          <w:p w14:paraId="27DDDC48">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  ……</w:t>
            </w:r>
          </w:p>
        </w:tc>
        <w:tc>
          <w:tcPr>
            <w:tcW w:w="1150" w:type="dxa"/>
            <w:vMerge w:val="continue"/>
            <w:tcBorders>
              <w:left w:val="single" w:color="auto" w:sz="4" w:space="0"/>
              <w:right w:val="single" w:color="auto" w:sz="4" w:space="0"/>
            </w:tcBorders>
            <w:vAlign w:val="center"/>
          </w:tcPr>
          <w:p w14:paraId="1AD6DC6A">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tc>
        <w:tc>
          <w:tcPr>
            <w:tcW w:w="2000" w:type="dxa"/>
            <w:tcBorders>
              <w:left w:val="single" w:color="auto" w:sz="4" w:space="0"/>
              <w:bottom w:val="single" w:color="auto" w:sz="4" w:space="0"/>
              <w:right w:val="single" w:color="auto" w:sz="4" w:space="0"/>
            </w:tcBorders>
          </w:tcPr>
          <w:p w14:paraId="64502579">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  ……</w:t>
            </w:r>
          </w:p>
        </w:tc>
        <w:tc>
          <w:tcPr>
            <w:tcW w:w="2915" w:type="dxa"/>
            <w:tcBorders>
              <w:left w:val="single" w:color="auto" w:sz="4" w:space="0"/>
              <w:bottom w:val="single" w:color="auto" w:sz="4" w:space="0"/>
              <w:right w:val="single" w:color="auto" w:sz="4" w:space="0"/>
            </w:tcBorders>
          </w:tcPr>
          <w:p w14:paraId="5F23C0EE">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0AD4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43" w:type="dxa"/>
            <w:vMerge w:val="continue"/>
            <w:tcBorders>
              <w:left w:val="single" w:color="auto" w:sz="4" w:space="0"/>
              <w:right w:val="single" w:color="auto" w:sz="4" w:space="0"/>
            </w:tcBorders>
            <w:vAlign w:val="center"/>
          </w:tcPr>
          <w:p w14:paraId="11C05B2E">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tc>
        <w:tc>
          <w:tcPr>
            <w:tcW w:w="1276" w:type="dxa"/>
            <w:vMerge w:val="continue"/>
            <w:tcBorders>
              <w:left w:val="single" w:color="auto" w:sz="4" w:space="0"/>
              <w:right w:val="single" w:color="auto" w:sz="4" w:space="0"/>
            </w:tcBorders>
            <w:vAlign w:val="center"/>
          </w:tcPr>
          <w:p w14:paraId="597DC3A8">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tc>
        <w:tc>
          <w:tcPr>
            <w:tcW w:w="1222" w:type="dxa"/>
            <w:tcBorders>
              <w:top w:val="single" w:color="auto" w:sz="4" w:space="0"/>
              <w:left w:val="single" w:color="auto" w:sz="4" w:space="0"/>
              <w:bottom w:val="single" w:color="auto" w:sz="4" w:space="0"/>
              <w:right w:val="single" w:color="auto" w:sz="4" w:space="0"/>
            </w:tcBorders>
          </w:tcPr>
          <w:p w14:paraId="2AE497BF">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  ……</w:t>
            </w:r>
          </w:p>
        </w:tc>
        <w:tc>
          <w:tcPr>
            <w:tcW w:w="1150" w:type="dxa"/>
            <w:vMerge w:val="continue"/>
            <w:tcBorders>
              <w:left w:val="single" w:color="auto" w:sz="4" w:space="0"/>
              <w:right w:val="single" w:color="auto" w:sz="4" w:space="0"/>
            </w:tcBorders>
            <w:vAlign w:val="center"/>
          </w:tcPr>
          <w:p w14:paraId="4B7B0904">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tc>
        <w:tc>
          <w:tcPr>
            <w:tcW w:w="2000" w:type="dxa"/>
            <w:tcBorders>
              <w:left w:val="single" w:color="auto" w:sz="4" w:space="0"/>
              <w:bottom w:val="single" w:color="auto" w:sz="4" w:space="0"/>
              <w:right w:val="single" w:color="auto" w:sz="4" w:space="0"/>
            </w:tcBorders>
          </w:tcPr>
          <w:p w14:paraId="0B5A3EEF">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  ……</w:t>
            </w:r>
          </w:p>
        </w:tc>
        <w:tc>
          <w:tcPr>
            <w:tcW w:w="2915" w:type="dxa"/>
            <w:tcBorders>
              <w:left w:val="single" w:color="auto" w:sz="4" w:space="0"/>
              <w:bottom w:val="single" w:color="auto" w:sz="4" w:space="0"/>
              <w:right w:val="single" w:color="auto" w:sz="4" w:space="0"/>
            </w:tcBorders>
            <w:vAlign w:val="center"/>
          </w:tcPr>
          <w:p w14:paraId="5C76E850">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64B6B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43" w:type="dxa"/>
            <w:vMerge w:val="continue"/>
            <w:tcBorders>
              <w:left w:val="single" w:color="auto" w:sz="4" w:space="0"/>
              <w:bottom w:val="single" w:color="auto" w:sz="4" w:space="0"/>
              <w:right w:val="single" w:color="auto" w:sz="4" w:space="0"/>
            </w:tcBorders>
            <w:vAlign w:val="center"/>
          </w:tcPr>
          <w:p w14:paraId="35736995">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tc>
        <w:tc>
          <w:tcPr>
            <w:tcW w:w="1276" w:type="dxa"/>
            <w:vMerge w:val="continue"/>
            <w:tcBorders>
              <w:left w:val="single" w:color="auto" w:sz="4" w:space="0"/>
              <w:bottom w:val="single" w:color="auto" w:sz="4" w:space="0"/>
              <w:right w:val="single" w:color="auto" w:sz="4" w:space="0"/>
            </w:tcBorders>
            <w:vAlign w:val="center"/>
          </w:tcPr>
          <w:p w14:paraId="5D927207">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tc>
        <w:tc>
          <w:tcPr>
            <w:tcW w:w="1222" w:type="dxa"/>
            <w:tcBorders>
              <w:top w:val="single" w:color="auto" w:sz="4" w:space="0"/>
              <w:left w:val="single" w:color="auto" w:sz="4" w:space="0"/>
              <w:bottom w:val="single" w:color="auto" w:sz="4" w:space="0"/>
              <w:right w:val="single" w:color="auto" w:sz="4" w:space="0"/>
            </w:tcBorders>
          </w:tcPr>
          <w:p w14:paraId="2842260E">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1150" w:type="dxa"/>
            <w:vMerge w:val="continue"/>
            <w:tcBorders>
              <w:left w:val="single" w:color="auto" w:sz="4" w:space="0"/>
              <w:bottom w:val="single" w:color="auto" w:sz="4" w:space="0"/>
              <w:right w:val="single" w:color="auto" w:sz="4" w:space="0"/>
            </w:tcBorders>
            <w:vAlign w:val="center"/>
          </w:tcPr>
          <w:p w14:paraId="00E250B5">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tc>
        <w:tc>
          <w:tcPr>
            <w:tcW w:w="2000" w:type="dxa"/>
            <w:tcBorders>
              <w:left w:val="single" w:color="auto" w:sz="4" w:space="0"/>
              <w:bottom w:val="single" w:color="auto" w:sz="4" w:space="0"/>
              <w:right w:val="single" w:color="auto" w:sz="4" w:space="0"/>
            </w:tcBorders>
          </w:tcPr>
          <w:p w14:paraId="7D01628F">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2915" w:type="dxa"/>
            <w:tcBorders>
              <w:left w:val="single" w:color="auto" w:sz="4" w:space="0"/>
              <w:bottom w:val="single" w:color="auto" w:sz="4" w:space="0"/>
              <w:right w:val="single" w:color="auto" w:sz="4" w:space="0"/>
            </w:tcBorders>
          </w:tcPr>
          <w:p w14:paraId="22DFD350">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09CD8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006" w:type="dxa"/>
            <w:gridSpan w:val="6"/>
            <w:tcBorders>
              <w:top w:val="single" w:color="auto" w:sz="4" w:space="0"/>
              <w:left w:val="single" w:color="auto" w:sz="4" w:space="0"/>
              <w:bottom w:val="single" w:color="auto" w:sz="4" w:space="0"/>
              <w:right w:val="single" w:color="auto" w:sz="4" w:space="0"/>
            </w:tcBorders>
            <w:vAlign w:val="center"/>
          </w:tcPr>
          <w:p w14:paraId="54006BFF">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u w:val="none"/>
                <w:lang w:val="en-US" w:eastAsia="zh-CN"/>
              </w:rPr>
              <w:t>分包</w:t>
            </w:r>
            <w:r>
              <w:rPr>
                <w:rFonts w:hint="eastAsia" w:ascii="宋体" w:hAnsi="宋体" w:eastAsia="宋体" w:cs="宋体"/>
                <w:strike w:val="0"/>
                <w:dstrike w:val="0"/>
                <w:color w:val="auto"/>
                <w:sz w:val="21"/>
                <w:szCs w:val="21"/>
                <w:highlight w:val="none"/>
                <w:u w:val="single"/>
              </w:rPr>
              <w:t>　　</w:t>
            </w:r>
            <w:r>
              <w:rPr>
                <w:rFonts w:hint="eastAsia" w:ascii="宋体" w:hAnsi="宋体" w:eastAsia="宋体" w:cs="宋体"/>
                <w:strike w:val="0"/>
                <w:dstrike w:val="0"/>
                <w:color w:val="auto"/>
                <w:sz w:val="21"/>
                <w:szCs w:val="21"/>
                <w:highlight w:val="none"/>
              </w:rPr>
              <w:t>（此处有</w:t>
            </w:r>
            <w:r>
              <w:rPr>
                <w:rFonts w:hint="eastAsia" w:ascii="宋体" w:hAnsi="宋体" w:eastAsia="宋体" w:cs="宋体"/>
                <w:strike w:val="0"/>
                <w:dstrike w:val="0"/>
                <w:color w:val="auto"/>
                <w:sz w:val="21"/>
                <w:szCs w:val="21"/>
                <w:highlight w:val="none"/>
                <w:lang w:eastAsia="zh-CN"/>
              </w:rPr>
              <w:t>分</w:t>
            </w:r>
            <w:r>
              <w:rPr>
                <w:rFonts w:hint="eastAsia" w:ascii="宋体" w:hAnsi="宋体" w:eastAsia="宋体" w:cs="宋体"/>
                <w:strike w:val="0"/>
                <w:dstrike w:val="0"/>
                <w:color w:val="auto"/>
                <w:sz w:val="21"/>
                <w:szCs w:val="21"/>
                <w:highlight w:val="none"/>
                <w:lang w:val="en-US" w:eastAsia="zh-CN"/>
              </w:rPr>
              <w:t>包</w:t>
            </w:r>
            <w:r>
              <w:rPr>
                <w:rFonts w:hint="eastAsia" w:ascii="宋体" w:hAnsi="宋体" w:eastAsia="宋体" w:cs="宋体"/>
                <w:strike w:val="0"/>
                <w:dstrike w:val="0"/>
                <w:color w:val="auto"/>
                <w:sz w:val="21"/>
                <w:szCs w:val="21"/>
                <w:highlight w:val="none"/>
              </w:rPr>
              <w:t>时填写具体</w:t>
            </w:r>
            <w:r>
              <w:rPr>
                <w:rFonts w:hint="eastAsia" w:ascii="宋体" w:hAnsi="宋体" w:eastAsia="宋体" w:cs="宋体"/>
                <w:strike w:val="0"/>
                <w:dstrike w:val="0"/>
                <w:color w:val="auto"/>
                <w:sz w:val="21"/>
                <w:szCs w:val="21"/>
                <w:highlight w:val="none"/>
                <w:lang w:eastAsia="zh-CN"/>
              </w:rPr>
              <w:t>分</w:t>
            </w:r>
            <w:r>
              <w:rPr>
                <w:rFonts w:hint="eastAsia" w:ascii="宋体" w:hAnsi="宋体" w:eastAsia="宋体" w:cs="宋体"/>
                <w:strike w:val="0"/>
                <w:dstrike w:val="0"/>
                <w:color w:val="auto"/>
                <w:sz w:val="21"/>
                <w:szCs w:val="21"/>
                <w:highlight w:val="none"/>
                <w:lang w:val="en-US" w:eastAsia="zh-CN"/>
              </w:rPr>
              <w:t>包</w:t>
            </w:r>
            <w:r>
              <w:rPr>
                <w:rFonts w:hint="eastAsia" w:ascii="宋体" w:hAnsi="宋体" w:eastAsia="宋体" w:cs="宋体"/>
                <w:strike w:val="0"/>
                <w:dstrike w:val="0"/>
                <w:color w:val="auto"/>
                <w:sz w:val="21"/>
                <w:szCs w:val="21"/>
                <w:highlight w:val="none"/>
              </w:rPr>
              <w:t>号，无</w:t>
            </w:r>
            <w:r>
              <w:rPr>
                <w:rFonts w:hint="eastAsia" w:ascii="宋体" w:hAnsi="宋体" w:eastAsia="宋体" w:cs="宋体"/>
                <w:strike w:val="0"/>
                <w:dstrike w:val="0"/>
                <w:color w:val="auto"/>
                <w:sz w:val="21"/>
                <w:szCs w:val="21"/>
                <w:highlight w:val="none"/>
                <w:lang w:eastAsia="zh-CN"/>
              </w:rPr>
              <w:t>分</w:t>
            </w:r>
            <w:r>
              <w:rPr>
                <w:rFonts w:hint="eastAsia" w:ascii="宋体" w:hAnsi="宋体" w:eastAsia="宋体" w:cs="宋体"/>
                <w:strike w:val="0"/>
                <w:dstrike w:val="0"/>
                <w:color w:val="auto"/>
                <w:sz w:val="21"/>
                <w:szCs w:val="21"/>
                <w:highlight w:val="none"/>
                <w:lang w:val="en-US" w:eastAsia="zh-CN"/>
              </w:rPr>
              <w:t>包</w:t>
            </w:r>
            <w:r>
              <w:rPr>
                <w:rFonts w:hint="eastAsia" w:ascii="宋体" w:hAnsi="宋体" w:eastAsia="宋体" w:cs="宋体"/>
                <w:strike w:val="0"/>
                <w:dstrike w:val="0"/>
                <w:color w:val="auto"/>
                <w:sz w:val="21"/>
                <w:szCs w:val="21"/>
                <w:highlight w:val="none"/>
              </w:rPr>
              <w:t>时填写“无”）</w:t>
            </w:r>
          </w:p>
        </w:tc>
      </w:tr>
    </w:tbl>
    <w:p w14:paraId="49056A7D">
      <w:pPr>
        <w:pStyle w:val="20"/>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注：</w:t>
      </w:r>
    </w:p>
    <w:p w14:paraId="16CEC13D">
      <w:pPr>
        <w:pStyle w:val="23"/>
        <w:keepNext w:val="0"/>
        <w:keepLines w:val="0"/>
        <w:pageBreakBefore w:val="0"/>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1.请根据所投服务的实际技术服务参数，</w:t>
      </w:r>
      <w:r>
        <w:rPr>
          <w:rFonts w:hint="eastAsia" w:ascii="宋体" w:hAnsi="宋体" w:eastAsia="宋体" w:cs="宋体"/>
          <w:b/>
          <w:strike w:val="0"/>
          <w:dstrike w:val="0"/>
          <w:color w:val="auto"/>
          <w:sz w:val="21"/>
          <w:szCs w:val="21"/>
          <w:highlight w:val="none"/>
          <w:u w:val="single"/>
        </w:rPr>
        <w:t>逐条</w:t>
      </w:r>
      <w:r>
        <w:rPr>
          <w:rFonts w:hint="eastAsia" w:ascii="宋体" w:hAnsi="宋体" w:eastAsia="宋体" w:cs="宋体"/>
          <w:strike w:val="0"/>
          <w:dstrike w:val="0"/>
          <w:color w:val="auto"/>
          <w:sz w:val="21"/>
          <w:szCs w:val="21"/>
          <w:highlight w:val="none"/>
        </w:rPr>
        <w:t>对应本项目招标文件第二章“服务需求一览表”中的</w:t>
      </w:r>
      <w:r>
        <w:rPr>
          <w:rFonts w:hint="eastAsia" w:ascii="宋体" w:hAnsi="宋体" w:eastAsia="宋体" w:cs="宋体"/>
          <w:b/>
          <w:strike w:val="0"/>
          <w:dstrike w:val="0"/>
          <w:color w:val="auto"/>
          <w:sz w:val="21"/>
          <w:szCs w:val="21"/>
          <w:highlight w:val="none"/>
        </w:rPr>
        <w:t>“服务</w:t>
      </w:r>
      <w:r>
        <w:rPr>
          <w:rFonts w:hint="eastAsia" w:ascii="宋体" w:hAnsi="宋体" w:eastAsia="宋体" w:cs="宋体"/>
          <w:b/>
          <w:strike w:val="0"/>
          <w:dstrike w:val="0"/>
          <w:color w:val="auto"/>
          <w:sz w:val="21"/>
          <w:szCs w:val="21"/>
          <w:highlight w:val="none"/>
          <w:lang w:val="en-US" w:eastAsia="zh-CN"/>
        </w:rPr>
        <w:t>内容及要求</w:t>
      </w:r>
      <w:r>
        <w:rPr>
          <w:rFonts w:hint="eastAsia" w:ascii="宋体" w:hAnsi="宋体" w:eastAsia="宋体" w:cs="宋体"/>
          <w:b/>
          <w:strike w:val="0"/>
          <w:dstrike w:val="0"/>
          <w:color w:val="auto"/>
          <w:sz w:val="21"/>
          <w:szCs w:val="21"/>
          <w:highlight w:val="none"/>
        </w:rPr>
        <w:t>”</w:t>
      </w:r>
      <w:r>
        <w:rPr>
          <w:rFonts w:hint="eastAsia" w:ascii="宋体" w:hAnsi="宋体" w:eastAsia="宋体" w:cs="宋体"/>
          <w:strike w:val="0"/>
          <w:dstrike w:val="0"/>
          <w:color w:val="auto"/>
          <w:sz w:val="21"/>
          <w:szCs w:val="21"/>
          <w:highlight w:val="none"/>
        </w:rPr>
        <w:t>要求详细填写相应的具体内容。“偏离说明”一栏应当选择“正偏离”、“负偏离”或“无偏离”进行填写，</w:t>
      </w:r>
      <w:r>
        <w:rPr>
          <w:rFonts w:hint="eastAsia" w:ascii="宋体" w:hAnsi="宋体" w:eastAsia="宋体" w:cs="宋体"/>
          <w:b/>
          <w:bCs/>
          <w:strike w:val="0"/>
          <w:dstrike w:val="0"/>
          <w:color w:val="auto"/>
          <w:sz w:val="21"/>
          <w:szCs w:val="21"/>
          <w:highlight w:val="none"/>
        </w:rPr>
        <w:t>否则按投标无效处理。</w:t>
      </w:r>
    </w:p>
    <w:p w14:paraId="608B3DCC">
      <w:pPr>
        <w:pStyle w:val="23"/>
        <w:keepNext w:val="0"/>
        <w:keepLines w:val="0"/>
        <w:pageBreakBefore w:val="0"/>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2.表格内容均需按要求填写并加盖电子签章，不得留空，</w:t>
      </w:r>
      <w:r>
        <w:rPr>
          <w:rFonts w:hint="eastAsia" w:ascii="宋体" w:hAnsi="宋体" w:eastAsia="宋体" w:cs="宋体"/>
          <w:b/>
          <w:bCs/>
          <w:strike w:val="0"/>
          <w:dstrike w:val="0"/>
          <w:color w:val="auto"/>
          <w:sz w:val="21"/>
          <w:szCs w:val="21"/>
          <w:highlight w:val="none"/>
        </w:rPr>
        <w:t>否则按投标无效处理。</w:t>
      </w:r>
    </w:p>
    <w:p w14:paraId="366098D1">
      <w:pPr>
        <w:pStyle w:val="23"/>
        <w:keepNext w:val="0"/>
        <w:keepLines w:val="0"/>
        <w:pageBreakBefore w:val="0"/>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3.当投标文件的服务内容低于招标文件要求时，投标人应当如实写明“负偏离”，否则视为虚假应标。</w:t>
      </w:r>
    </w:p>
    <w:p w14:paraId="0CE39EC1">
      <w:pPr>
        <w:pStyle w:val="23"/>
        <w:keepNext w:val="0"/>
        <w:keepLines w:val="0"/>
        <w:pageBreakBefore w:val="0"/>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4.采购需求中带</w:t>
      </w:r>
      <w:bookmarkStart w:id="315" w:name="OLE_LINK288"/>
      <w:bookmarkStart w:id="316" w:name="OLE_LINK287"/>
      <w:r>
        <w:rPr>
          <w:rFonts w:hint="eastAsia" w:ascii="宋体" w:hAnsi="宋体" w:eastAsia="宋体" w:cs="宋体"/>
          <w:strike w:val="0"/>
          <w:dstrike w:val="0"/>
          <w:color w:val="auto"/>
          <w:sz w:val="21"/>
          <w:szCs w:val="21"/>
          <w:highlight w:val="none"/>
        </w:rPr>
        <w:t>“▲”及其他标识</w:t>
      </w:r>
      <w:bookmarkEnd w:id="315"/>
      <w:bookmarkEnd w:id="316"/>
      <w:r>
        <w:rPr>
          <w:rFonts w:hint="eastAsia" w:ascii="宋体" w:hAnsi="宋体" w:eastAsia="宋体" w:cs="宋体"/>
          <w:strike w:val="0"/>
          <w:dstrike w:val="0"/>
          <w:color w:val="auto"/>
          <w:sz w:val="21"/>
          <w:szCs w:val="21"/>
          <w:highlight w:val="none"/>
        </w:rPr>
        <w:t>的条款，也要分别在本表“服务</w:t>
      </w:r>
      <w:r>
        <w:rPr>
          <w:rFonts w:hint="eastAsia" w:ascii="宋体" w:hAnsi="宋体" w:eastAsia="宋体" w:cs="宋体"/>
          <w:strike w:val="0"/>
          <w:dstrike w:val="0"/>
          <w:color w:val="auto"/>
          <w:sz w:val="21"/>
          <w:szCs w:val="21"/>
          <w:highlight w:val="none"/>
          <w:lang w:val="en-US" w:eastAsia="zh-CN"/>
        </w:rPr>
        <w:t>内容及要求</w:t>
      </w:r>
      <w:r>
        <w:rPr>
          <w:rFonts w:hint="eastAsia" w:ascii="宋体" w:hAnsi="宋体" w:eastAsia="宋体" w:cs="宋体"/>
          <w:strike w:val="0"/>
          <w:dstrike w:val="0"/>
          <w:color w:val="auto"/>
          <w:sz w:val="21"/>
          <w:szCs w:val="21"/>
          <w:highlight w:val="none"/>
        </w:rPr>
        <w:t>”、“所提供服务的内容”中标记。</w:t>
      </w:r>
    </w:p>
    <w:p w14:paraId="32FC3AA2">
      <w:pPr>
        <w:pStyle w:val="23"/>
        <w:keepNext w:val="0"/>
        <w:keepLines w:val="0"/>
        <w:pageBreakBefore w:val="0"/>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5.如技术要求偏离表中的投标响应与佐证材料不一致的，以佐证材料为准。</w:t>
      </w:r>
    </w:p>
    <w:p w14:paraId="38BDD65B">
      <w:pPr>
        <w:keepNext w:val="0"/>
        <w:keepLines w:val="0"/>
        <w:pageBreakBefore w:val="0"/>
        <w:kinsoku/>
        <w:topLinePunct w:val="0"/>
        <w:bidi w:val="0"/>
        <w:snapToGrid w:val="0"/>
        <w:spacing w:line="400" w:lineRule="exact"/>
        <w:ind w:firstLine="420" w:firstLineChars="200"/>
        <w:rPr>
          <w:rFonts w:hint="eastAsia" w:ascii="宋体" w:hAnsi="宋体" w:eastAsia="宋体" w:cs="宋体"/>
          <w:strike w:val="0"/>
          <w:dstrike w:val="0"/>
          <w:color w:val="auto"/>
          <w:sz w:val="21"/>
          <w:szCs w:val="21"/>
          <w:highlight w:val="none"/>
        </w:rPr>
      </w:pPr>
    </w:p>
    <w:p w14:paraId="4BFE21ED">
      <w:pPr>
        <w:keepNext w:val="0"/>
        <w:keepLines w:val="0"/>
        <w:pageBreakBefore w:val="0"/>
        <w:kinsoku/>
        <w:topLinePunct w:val="0"/>
        <w:bidi w:val="0"/>
        <w:spacing w:line="400" w:lineRule="exact"/>
        <w:ind w:left="3990" w:leftChars="1900"/>
        <w:contextualSpacing/>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 xml:space="preserve">投标人（电子签章）： </w:t>
      </w:r>
      <w:r>
        <w:rPr>
          <w:rFonts w:hint="eastAsia" w:ascii="宋体" w:hAnsi="宋体" w:eastAsia="宋体" w:cs="宋体"/>
          <w:strike w:val="0"/>
          <w:dstrike w:val="0"/>
          <w:color w:val="auto"/>
          <w:sz w:val="21"/>
          <w:szCs w:val="21"/>
          <w:highlight w:val="none"/>
          <w:u w:val="single"/>
        </w:rPr>
        <w:t xml:space="preserve">                        </w:t>
      </w:r>
    </w:p>
    <w:p w14:paraId="65DDF942">
      <w:pPr>
        <w:keepNext w:val="0"/>
        <w:keepLines w:val="0"/>
        <w:pageBreakBefore w:val="0"/>
        <w:kinsoku/>
        <w:topLinePunct w:val="0"/>
        <w:bidi w:val="0"/>
        <w:spacing w:line="400" w:lineRule="exact"/>
        <w:ind w:left="3990" w:leftChars="1900"/>
        <w:contextualSpacing/>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年</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月</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日</w:t>
      </w:r>
    </w:p>
    <w:p w14:paraId="2EB94844">
      <w:pPr>
        <w:keepNext w:val="0"/>
        <w:keepLines w:val="0"/>
        <w:pageBreakBefore w:val="0"/>
        <w:kinsoku/>
        <w:topLinePunct w:val="0"/>
        <w:bidi w:val="0"/>
        <w:snapToGrid w:val="0"/>
        <w:spacing w:before="50" w:after="50" w:line="400" w:lineRule="exact"/>
        <w:rPr>
          <w:rFonts w:hint="eastAsia" w:ascii="宋体" w:hAnsi="宋体" w:eastAsia="宋体" w:cs="宋体"/>
          <w:strike w:val="0"/>
          <w:dstrike w:val="0"/>
          <w:color w:val="auto"/>
          <w:sz w:val="21"/>
          <w:szCs w:val="21"/>
          <w:highlight w:val="none"/>
        </w:rPr>
      </w:pPr>
    </w:p>
    <w:p w14:paraId="2D005DAF">
      <w:pPr>
        <w:keepNext w:val="0"/>
        <w:keepLines w:val="0"/>
        <w:pageBreakBefore w:val="0"/>
        <w:kinsoku/>
        <w:topLinePunct w:val="0"/>
        <w:bidi w:val="0"/>
        <w:snapToGrid w:val="0"/>
        <w:spacing w:beforeLines="50" w:after="50" w:line="400" w:lineRule="exact"/>
        <w:ind w:left="142"/>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br w:type="page"/>
      </w:r>
      <w:r>
        <w:rPr>
          <w:rFonts w:hint="eastAsia" w:ascii="宋体" w:hAnsi="宋体" w:eastAsia="宋体" w:cs="宋体"/>
          <w:b/>
          <w:strike w:val="0"/>
          <w:dstrike w:val="0"/>
          <w:color w:val="auto"/>
          <w:sz w:val="21"/>
          <w:szCs w:val="21"/>
          <w:highlight w:val="none"/>
        </w:rPr>
        <w:t>9.项目实施人员一览表格式</w:t>
      </w:r>
    </w:p>
    <w:p w14:paraId="6D5D1301">
      <w:pPr>
        <w:keepNext w:val="0"/>
        <w:keepLines w:val="0"/>
        <w:pageBreakBefore w:val="0"/>
        <w:kinsoku/>
        <w:topLinePunct w:val="0"/>
        <w:bidi w:val="0"/>
        <w:snapToGrid w:val="0"/>
        <w:spacing w:beforeLines="50" w:after="50" w:line="400" w:lineRule="exact"/>
        <w:ind w:left="142"/>
        <w:jc w:val="left"/>
        <w:rPr>
          <w:rFonts w:hint="eastAsia" w:ascii="宋体" w:hAnsi="宋体" w:eastAsia="宋体" w:cs="宋体"/>
          <w:b/>
          <w:strike w:val="0"/>
          <w:dstrike w:val="0"/>
          <w:color w:val="auto"/>
          <w:sz w:val="21"/>
          <w:szCs w:val="21"/>
          <w:highlight w:val="none"/>
        </w:rPr>
      </w:pPr>
    </w:p>
    <w:p w14:paraId="1407F191">
      <w:pPr>
        <w:keepNext w:val="0"/>
        <w:keepLines w:val="0"/>
        <w:pageBreakBefore w:val="0"/>
        <w:kinsoku/>
        <w:topLinePunct w:val="0"/>
        <w:bidi w:val="0"/>
        <w:snapToGrid w:val="0"/>
        <w:spacing w:beforeLines="50" w:after="50"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项目实施人员一览表</w:t>
      </w:r>
    </w:p>
    <w:p w14:paraId="3CF04E9C">
      <w:pPr>
        <w:pStyle w:val="47"/>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p w14:paraId="0A5AA1D3">
      <w:pPr>
        <w:pStyle w:val="21"/>
        <w:keepNext w:val="0"/>
        <w:keepLines w:val="0"/>
        <w:pageBreakBefore w:val="0"/>
        <w:kinsoku/>
        <w:topLinePunct w:val="0"/>
        <w:bidi w:val="0"/>
        <w:spacing w:line="400" w:lineRule="exact"/>
        <w:jc w:val="left"/>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（根据 第三章 投标人须知 投标人须知前附表 “资格证明文件”要求编制）</w:t>
      </w:r>
    </w:p>
    <w:p w14:paraId="3CF5787A">
      <w:pPr>
        <w:pStyle w:val="21"/>
        <w:keepNext w:val="0"/>
        <w:keepLines w:val="0"/>
        <w:pageBreakBefore w:val="0"/>
        <w:kinsoku/>
        <w:topLinePunct w:val="0"/>
        <w:bidi w:val="0"/>
        <w:spacing w:line="400" w:lineRule="exact"/>
        <w:jc w:val="left"/>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所投</w:t>
      </w:r>
      <w:r>
        <w:rPr>
          <w:rFonts w:hint="eastAsia" w:ascii="宋体" w:hAnsi="宋体" w:eastAsia="宋体" w:cs="宋体"/>
          <w:strike w:val="0"/>
          <w:dstrike w:val="0"/>
          <w:color w:val="auto"/>
          <w:sz w:val="21"/>
          <w:szCs w:val="21"/>
          <w:highlight w:val="none"/>
          <w:lang w:val="en-US" w:eastAsia="zh-CN"/>
        </w:rPr>
        <w:t>包号</w:t>
      </w: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z w:val="21"/>
          <w:szCs w:val="21"/>
          <w:highlight w:val="none"/>
          <w:lang w:val="en-US" w:eastAsia="zh-CN"/>
        </w:rPr>
        <w:t>分包</w:t>
      </w:r>
      <w:r>
        <w:rPr>
          <w:rFonts w:hint="eastAsia" w:ascii="宋体" w:hAnsi="宋体" w:eastAsia="宋体" w:cs="宋体"/>
          <w:strike w:val="0"/>
          <w:dstrike w:val="0"/>
          <w:color w:val="auto"/>
          <w:sz w:val="21"/>
          <w:szCs w:val="21"/>
          <w:highlight w:val="none"/>
        </w:rPr>
        <w:t xml:space="preserve"> </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u w:val="single"/>
          <w:lang w:val="en-US" w:eastAsia="zh-CN"/>
        </w:rPr>
        <w:t xml:space="preserve">    </w:t>
      </w:r>
      <w:r>
        <w:rPr>
          <w:rFonts w:hint="eastAsia" w:ascii="宋体" w:hAnsi="宋体" w:eastAsia="宋体" w:cs="宋体"/>
          <w:strike w:val="0"/>
          <w:dstrike w:val="0"/>
          <w:color w:val="auto"/>
          <w:sz w:val="21"/>
          <w:szCs w:val="21"/>
          <w:highlight w:val="none"/>
        </w:rPr>
        <w:t>（标段）</w:t>
      </w:r>
    </w:p>
    <w:tbl>
      <w:tblPr>
        <w:tblStyle w:val="48"/>
        <w:tblW w:w="8307" w:type="dxa"/>
        <w:jc w:val="center"/>
        <w:tblLayout w:type="fixed"/>
        <w:tblCellMar>
          <w:top w:w="0" w:type="dxa"/>
          <w:left w:w="108" w:type="dxa"/>
          <w:bottom w:w="0" w:type="dxa"/>
          <w:right w:w="108" w:type="dxa"/>
        </w:tblCellMar>
      </w:tblPr>
      <w:tblGrid>
        <w:gridCol w:w="632"/>
        <w:gridCol w:w="709"/>
        <w:gridCol w:w="708"/>
        <w:gridCol w:w="709"/>
        <w:gridCol w:w="709"/>
        <w:gridCol w:w="850"/>
        <w:gridCol w:w="709"/>
        <w:gridCol w:w="2133"/>
        <w:gridCol w:w="1148"/>
      </w:tblGrid>
      <w:tr w14:paraId="57493693">
        <w:trPr>
          <w:jc w:val="center"/>
        </w:trPr>
        <w:tc>
          <w:tcPr>
            <w:tcW w:w="632" w:type="dxa"/>
            <w:tcBorders>
              <w:top w:val="single" w:color="auto" w:sz="6" w:space="0"/>
              <w:left w:val="single" w:color="auto" w:sz="6" w:space="0"/>
              <w:bottom w:val="single" w:color="auto" w:sz="6" w:space="0"/>
              <w:right w:val="single" w:color="auto" w:sz="6" w:space="0"/>
            </w:tcBorders>
            <w:vAlign w:val="center"/>
          </w:tcPr>
          <w:p w14:paraId="2FD821DD">
            <w:pPr>
              <w:keepNext w:val="0"/>
              <w:keepLines w:val="0"/>
              <w:pageBreakBefore w:val="0"/>
              <w:kinsoku/>
              <w:topLinePunct w:val="0"/>
              <w:autoSpaceDE w:val="0"/>
              <w:autoSpaceDN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序号</w:t>
            </w:r>
          </w:p>
        </w:tc>
        <w:tc>
          <w:tcPr>
            <w:tcW w:w="709" w:type="dxa"/>
            <w:tcBorders>
              <w:top w:val="single" w:color="auto" w:sz="6" w:space="0"/>
              <w:left w:val="single" w:color="auto" w:sz="6" w:space="0"/>
              <w:bottom w:val="single" w:color="auto" w:sz="6" w:space="0"/>
              <w:right w:val="single" w:color="auto" w:sz="6" w:space="0"/>
            </w:tcBorders>
            <w:vAlign w:val="center"/>
          </w:tcPr>
          <w:p w14:paraId="5760A65F">
            <w:pPr>
              <w:keepNext w:val="0"/>
              <w:keepLines w:val="0"/>
              <w:pageBreakBefore w:val="0"/>
              <w:kinsoku/>
              <w:topLinePunct w:val="0"/>
              <w:autoSpaceDE w:val="0"/>
              <w:autoSpaceDN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姓名</w:t>
            </w:r>
          </w:p>
        </w:tc>
        <w:tc>
          <w:tcPr>
            <w:tcW w:w="708" w:type="dxa"/>
            <w:tcBorders>
              <w:top w:val="single" w:color="auto" w:sz="6" w:space="0"/>
              <w:left w:val="single" w:color="auto" w:sz="6" w:space="0"/>
              <w:bottom w:val="single" w:color="auto" w:sz="6" w:space="0"/>
              <w:right w:val="single" w:color="auto" w:sz="6" w:space="0"/>
            </w:tcBorders>
            <w:vAlign w:val="center"/>
          </w:tcPr>
          <w:p w14:paraId="6D8D469C">
            <w:pPr>
              <w:keepNext w:val="0"/>
              <w:keepLines w:val="0"/>
              <w:pageBreakBefore w:val="0"/>
              <w:kinsoku/>
              <w:topLinePunct w:val="0"/>
              <w:autoSpaceDE w:val="0"/>
              <w:autoSpaceDN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性别</w:t>
            </w:r>
          </w:p>
        </w:tc>
        <w:tc>
          <w:tcPr>
            <w:tcW w:w="709" w:type="dxa"/>
            <w:tcBorders>
              <w:top w:val="single" w:color="auto" w:sz="6" w:space="0"/>
              <w:left w:val="single" w:color="auto" w:sz="6" w:space="0"/>
              <w:bottom w:val="single" w:color="auto" w:sz="6" w:space="0"/>
              <w:right w:val="single" w:color="auto" w:sz="6" w:space="0"/>
            </w:tcBorders>
            <w:vAlign w:val="center"/>
          </w:tcPr>
          <w:p w14:paraId="4B233B7A">
            <w:pPr>
              <w:keepNext w:val="0"/>
              <w:keepLines w:val="0"/>
              <w:pageBreakBefore w:val="0"/>
              <w:kinsoku/>
              <w:topLinePunct w:val="0"/>
              <w:autoSpaceDE w:val="0"/>
              <w:autoSpaceDN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年龄</w:t>
            </w:r>
          </w:p>
        </w:tc>
        <w:tc>
          <w:tcPr>
            <w:tcW w:w="709" w:type="dxa"/>
            <w:tcBorders>
              <w:top w:val="single" w:color="auto" w:sz="6" w:space="0"/>
              <w:left w:val="single" w:color="auto" w:sz="6" w:space="0"/>
              <w:bottom w:val="single" w:color="auto" w:sz="6" w:space="0"/>
              <w:right w:val="single" w:color="auto" w:sz="6" w:space="0"/>
            </w:tcBorders>
            <w:vAlign w:val="center"/>
          </w:tcPr>
          <w:p w14:paraId="7AB20C1C">
            <w:pPr>
              <w:keepNext w:val="0"/>
              <w:keepLines w:val="0"/>
              <w:pageBreakBefore w:val="0"/>
              <w:kinsoku/>
              <w:topLinePunct w:val="0"/>
              <w:autoSpaceDE w:val="0"/>
              <w:autoSpaceDN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学历</w:t>
            </w:r>
          </w:p>
        </w:tc>
        <w:tc>
          <w:tcPr>
            <w:tcW w:w="850" w:type="dxa"/>
            <w:tcBorders>
              <w:top w:val="single" w:color="auto" w:sz="6" w:space="0"/>
              <w:left w:val="single" w:color="auto" w:sz="6" w:space="0"/>
              <w:bottom w:val="single" w:color="auto" w:sz="6" w:space="0"/>
              <w:right w:val="single" w:color="auto" w:sz="6" w:space="0"/>
            </w:tcBorders>
            <w:vAlign w:val="center"/>
          </w:tcPr>
          <w:p w14:paraId="3C79D8D8">
            <w:pPr>
              <w:keepNext w:val="0"/>
              <w:keepLines w:val="0"/>
              <w:pageBreakBefore w:val="0"/>
              <w:kinsoku/>
              <w:topLinePunct w:val="0"/>
              <w:autoSpaceDE w:val="0"/>
              <w:autoSpaceDN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专业</w:t>
            </w:r>
          </w:p>
        </w:tc>
        <w:tc>
          <w:tcPr>
            <w:tcW w:w="709" w:type="dxa"/>
            <w:tcBorders>
              <w:top w:val="single" w:color="auto" w:sz="6" w:space="0"/>
              <w:left w:val="single" w:color="auto" w:sz="6" w:space="0"/>
              <w:bottom w:val="single" w:color="auto" w:sz="6" w:space="0"/>
              <w:right w:val="single" w:color="auto" w:sz="6" w:space="0"/>
            </w:tcBorders>
            <w:vAlign w:val="center"/>
          </w:tcPr>
          <w:p w14:paraId="2D10CAC6">
            <w:pPr>
              <w:keepNext w:val="0"/>
              <w:keepLines w:val="0"/>
              <w:pageBreakBefore w:val="0"/>
              <w:kinsoku/>
              <w:topLinePunct w:val="0"/>
              <w:autoSpaceDE w:val="0"/>
              <w:autoSpaceDN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职称</w:t>
            </w:r>
          </w:p>
        </w:tc>
        <w:tc>
          <w:tcPr>
            <w:tcW w:w="2133" w:type="dxa"/>
            <w:tcBorders>
              <w:top w:val="single" w:color="auto" w:sz="6" w:space="0"/>
              <w:left w:val="single" w:color="auto" w:sz="6" w:space="0"/>
              <w:bottom w:val="single" w:color="auto" w:sz="6" w:space="0"/>
              <w:right w:val="single" w:color="auto" w:sz="6" w:space="0"/>
            </w:tcBorders>
            <w:vAlign w:val="center"/>
          </w:tcPr>
          <w:p w14:paraId="4C29ACAD">
            <w:pPr>
              <w:keepNext w:val="0"/>
              <w:keepLines w:val="0"/>
              <w:pageBreakBefore w:val="0"/>
              <w:kinsoku/>
              <w:topLinePunct w:val="0"/>
              <w:autoSpaceDE w:val="0"/>
              <w:autoSpaceDN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本项目中的职责</w:t>
            </w:r>
          </w:p>
        </w:tc>
        <w:tc>
          <w:tcPr>
            <w:tcW w:w="1148" w:type="dxa"/>
            <w:tcBorders>
              <w:top w:val="single" w:color="auto" w:sz="6" w:space="0"/>
              <w:left w:val="single" w:color="auto" w:sz="6" w:space="0"/>
              <w:bottom w:val="single" w:color="auto" w:sz="6" w:space="0"/>
              <w:right w:val="single" w:color="auto" w:sz="6" w:space="0"/>
            </w:tcBorders>
            <w:vAlign w:val="center"/>
          </w:tcPr>
          <w:p w14:paraId="2EF501B3">
            <w:pPr>
              <w:keepNext w:val="0"/>
              <w:keepLines w:val="0"/>
              <w:pageBreakBefore w:val="0"/>
              <w:kinsoku/>
              <w:topLinePunct w:val="0"/>
              <w:autoSpaceDE w:val="0"/>
              <w:autoSpaceDN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备注</w:t>
            </w:r>
          </w:p>
        </w:tc>
      </w:tr>
      <w:tr w14:paraId="6FF260F9">
        <w:tblPrEx>
          <w:tblCellMar>
            <w:top w:w="0" w:type="dxa"/>
            <w:left w:w="108" w:type="dxa"/>
            <w:bottom w:w="0" w:type="dxa"/>
            <w:right w:w="108" w:type="dxa"/>
          </w:tblCellMar>
        </w:tblPrEx>
        <w:trPr>
          <w:trHeight w:val="479" w:hRule="atLeast"/>
          <w:jc w:val="center"/>
        </w:trPr>
        <w:tc>
          <w:tcPr>
            <w:tcW w:w="632" w:type="dxa"/>
            <w:tcBorders>
              <w:top w:val="single" w:color="auto" w:sz="6" w:space="0"/>
              <w:left w:val="single" w:color="auto" w:sz="6" w:space="0"/>
              <w:bottom w:val="single" w:color="auto" w:sz="6" w:space="0"/>
              <w:right w:val="single" w:color="auto" w:sz="6" w:space="0"/>
            </w:tcBorders>
            <w:vAlign w:val="center"/>
          </w:tcPr>
          <w:p w14:paraId="285375A5">
            <w:pPr>
              <w:keepNext w:val="0"/>
              <w:keepLines w:val="0"/>
              <w:pageBreakBefore w:val="0"/>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w:t>
            </w:r>
          </w:p>
        </w:tc>
        <w:tc>
          <w:tcPr>
            <w:tcW w:w="709" w:type="dxa"/>
            <w:tcBorders>
              <w:top w:val="single" w:color="auto" w:sz="6" w:space="0"/>
              <w:left w:val="single" w:color="auto" w:sz="6" w:space="0"/>
              <w:bottom w:val="single" w:color="auto" w:sz="6" w:space="0"/>
              <w:right w:val="single" w:color="auto" w:sz="6" w:space="0"/>
            </w:tcBorders>
            <w:vAlign w:val="center"/>
          </w:tcPr>
          <w:p w14:paraId="754F5335">
            <w:pPr>
              <w:keepNext w:val="0"/>
              <w:keepLines w:val="0"/>
              <w:pageBreakBefore w:val="0"/>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708" w:type="dxa"/>
            <w:tcBorders>
              <w:top w:val="single" w:color="auto" w:sz="6" w:space="0"/>
              <w:left w:val="single" w:color="auto" w:sz="6" w:space="0"/>
              <w:bottom w:val="single" w:color="auto" w:sz="6" w:space="0"/>
              <w:right w:val="single" w:color="auto" w:sz="6" w:space="0"/>
            </w:tcBorders>
            <w:vAlign w:val="center"/>
          </w:tcPr>
          <w:p w14:paraId="2D63174A">
            <w:pPr>
              <w:keepNext w:val="0"/>
              <w:keepLines w:val="0"/>
              <w:pageBreakBefore w:val="0"/>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3EF53DCB">
            <w:pPr>
              <w:keepNext w:val="0"/>
              <w:keepLines w:val="0"/>
              <w:pageBreakBefore w:val="0"/>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41FD5C19">
            <w:pPr>
              <w:keepNext w:val="0"/>
              <w:keepLines w:val="0"/>
              <w:pageBreakBefore w:val="0"/>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531A4E17">
            <w:pPr>
              <w:keepNext w:val="0"/>
              <w:keepLines w:val="0"/>
              <w:pageBreakBefore w:val="0"/>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63AA278C">
            <w:pPr>
              <w:keepNext w:val="0"/>
              <w:keepLines w:val="0"/>
              <w:pageBreakBefore w:val="0"/>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2133" w:type="dxa"/>
            <w:tcBorders>
              <w:top w:val="single" w:color="auto" w:sz="6" w:space="0"/>
              <w:left w:val="single" w:color="auto" w:sz="6" w:space="0"/>
              <w:bottom w:val="single" w:color="auto" w:sz="6" w:space="0"/>
              <w:right w:val="single" w:color="auto" w:sz="6" w:space="0"/>
            </w:tcBorders>
            <w:vAlign w:val="center"/>
          </w:tcPr>
          <w:p w14:paraId="6DE80A5C">
            <w:pPr>
              <w:keepNext w:val="0"/>
              <w:keepLines w:val="0"/>
              <w:pageBreakBefore w:val="0"/>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如：项目负责人</w:t>
            </w:r>
          </w:p>
        </w:tc>
        <w:tc>
          <w:tcPr>
            <w:tcW w:w="1148" w:type="dxa"/>
            <w:tcBorders>
              <w:top w:val="single" w:color="auto" w:sz="6" w:space="0"/>
              <w:left w:val="single" w:color="auto" w:sz="6" w:space="0"/>
              <w:bottom w:val="single" w:color="auto" w:sz="6" w:space="0"/>
              <w:right w:val="single" w:color="auto" w:sz="6" w:space="0"/>
            </w:tcBorders>
            <w:vAlign w:val="center"/>
          </w:tcPr>
          <w:p w14:paraId="267A435C">
            <w:pPr>
              <w:keepNext w:val="0"/>
              <w:keepLines w:val="0"/>
              <w:pageBreakBefore w:val="0"/>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r>
      <w:tr w14:paraId="5005498C">
        <w:tblPrEx>
          <w:tblCellMar>
            <w:top w:w="0" w:type="dxa"/>
            <w:left w:w="108" w:type="dxa"/>
            <w:bottom w:w="0" w:type="dxa"/>
            <w:right w:w="108" w:type="dxa"/>
          </w:tblCellMar>
        </w:tblPrEx>
        <w:trPr>
          <w:trHeight w:val="473" w:hRule="atLeast"/>
          <w:jc w:val="center"/>
        </w:trPr>
        <w:tc>
          <w:tcPr>
            <w:tcW w:w="632" w:type="dxa"/>
            <w:tcBorders>
              <w:top w:val="single" w:color="auto" w:sz="6" w:space="0"/>
              <w:left w:val="single" w:color="auto" w:sz="6" w:space="0"/>
              <w:bottom w:val="single" w:color="auto" w:sz="6" w:space="0"/>
              <w:right w:val="single" w:color="auto" w:sz="6" w:space="0"/>
            </w:tcBorders>
            <w:vAlign w:val="center"/>
          </w:tcPr>
          <w:p w14:paraId="7B709AEC">
            <w:pPr>
              <w:keepNext w:val="0"/>
              <w:keepLines w:val="0"/>
              <w:pageBreakBefore w:val="0"/>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w:t>
            </w:r>
          </w:p>
        </w:tc>
        <w:tc>
          <w:tcPr>
            <w:tcW w:w="709" w:type="dxa"/>
            <w:tcBorders>
              <w:top w:val="single" w:color="auto" w:sz="6" w:space="0"/>
              <w:left w:val="single" w:color="auto" w:sz="6" w:space="0"/>
              <w:bottom w:val="single" w:color="auto" w:sz="6" w:space="0"/>
              <w:right w:val="single" w:color="auto" w:sz="6" w:space="0"/>
            </w:tcBorders>
            <w:vAlign w:val="center"/>
          </w:tcPr>
          <w:p w14:paraId="104581D8">
            <w:pPr>
              <w:keepNext w:val="0"/>
              <w:keepLines w:val="0"/>
              <w:pageBreakBefore w:val="0"/>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708" w:type="dxa"/>
            <w:tcBorders>
              <w:top w:val="single" w:color="auto" w:sz="6" w:space="0"/>
              <w:left w:val="single" w:color="auto" w:sz="6" w:space="0"/>
              <w:bottom w:val="single" w:color="auto" w:sz="6" w:space="0"/>
              <w:right w:val="single" w:color="auto" w:sz="6" w:space="0"/>
            </w:tcBorders>
            <w:vAlign w:val="center"/>
          </w:tcPr>
          <w:p w14:paraId="694A8A2B">
            <w:pPr>
              <w:keepNext w:val="0"/>
              <w:keepLines w:val="0"/>
              <w:pageBreakBefore w:val="0"/>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6EBB4622">
            <w:pPr>
              <w:keepNext w:val="0"/>
              <w:keepLines w:val="0"/>
              <w:pageBreakBefore w:val="0"/>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326C4625">
            <w:pPr>
              <w:keepNext w:val="0"/>
              <w:keepLines w:val="0"/>
              <w:pageBreakBefore w:val="0"/>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2D5BBC74">
            <w:pPr>
              <w:keepNext w:val="0"/>
              <w:keepLines w:val="0"/>
              <w:pageBreakBefore w:val="0"/>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0D986EA3">
            <w:pPr>
              <w:keepNext w:val="0"/>
              <w:keepLines w:val="0"/>
              <w:pageBreakBefore w:val="0"/>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2133" w:type="dxa"/>
            <w:tcBorders>
              <w:top w:val="single" w:color="auto" w:sz="6" w:space="0"/>
              <w:left w:val="single" w:color="auto" w:sz="6" w:space="0"/>
              <w:bottom w:val="single" w:color="auto" w:sz="6" w:space="0"/>
              <w:right w:val="single" w:color="auto" w:sz="6" w:space="0"/>
            </w:tcBorders>
            <w:vAlign w:val="center"/>
          </w:tcPr>
          <w:p w14:paraId="59BFB500">
            <w:pPr>
              <w:keepNext w:val="0"/>
              <w:keepLines w:val="0"/>
              <w:pageBreakBefore w:val="0"/>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1148" w:type="dxa"/>
            <w:tcBorders>
              <w:top w:val="single" w:color="auto" w:sz="6" w:space="0"/>
              <w:left w:val="single" w:color="auto" w:sz="6" w:space="0"/>
              <w:bottom w:val="single" w:color="auto" w:sz="6" w:space="0"/>
              <w:right w:val="single" w:color="auto" w:sz="6" w:space="0"/>
            </w:tcBorders>
            <w:vAlign w:val="center"/>
          </w:tcPr>
          <w:p w14:paraId="6C455EFD">
            <w:pPr>
              <w:keepNext w:val="0"/>
              <w:keepLines w:val="0"/>
              <w:pageBreakBefore w:val="0"/>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r>
      <w:tr w14:paraId="1C8D2A6F">
        <w:tblPrEx>
          <w:tblCellMar>
            <w:top w:w="0" w:type="dxa"/>
            <w:left w:w="108" w:type="dxa"/>
            <w:bottom w:w="0" w:type="dxa"/>
            <w:right w:w="108" w:type="dxa"/>
          </w:tblCellMar>
        </w:tblPrEx>
        <w:trPr>
          <w:trHeight w:val="473" w:hRule="atLeast"/>
          <w:jc w:val="center"/>
        </w:trPr>
        <w:tc>
          <w:tcPr>
            <w:tcW w:w="632" w:type="dxa"/>
            <w:tcBorders>
              <w:top w:val="single" w:color="auto" w:sz="6" w:space="0"/>
              <w:left w:val="single" w:color="auto" w:sz="6" w:space="0"/>
              <w:bottom w:val="single" w:color="auto" w:sz="6" w:space="0"/>
              <w:right w:val="single" w:color="auto" w:sz="6" w:space="0"/>
            </w:tcBorders>
            <w:vAlign w:val="center"/>
          </w:tcPr>
          <w:p w14:paraId="37540DA1">
            <w:pPr>
              <w:keepNext w:val="0"/>
              <w:keepLines w:val="0"/>
              <w:pageBreakBefore w:val="0"/>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w:t>
            </w:r>
          </w:p>
        </w:tc>
        <w:tc>
          <w:tcPr>
            <w:tcW w:w="709" w:type="dxa"/>
            <w:tcBorders>
              <w:top w:val="single" w:color="auto" w:sz="6" w:space="0"/>
              <w:left w:val="single" w:color="auto" w:sz="6" w:space="0"/>
              <w:bottom w:val="single" w:color="auto" w:sz="6" w:space="0"/>
              <w:right w:val="single" w:color="auto" w:sz="6" w:space="0"/>
            </w:tcBorders>
            <w:vAlign w:val="center"/>
          </w:tcPr>
          <w:p w14:paraId="06276F0F">
            <w:pPr>
              <w:keepNext w:val="0"/>
              <w:keepLines w:val="0"/>
              <w:pageBreakBefore w:val="0"/>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708" w:type="dxa"/>
            <w:tcBorders>
              <w:top w:val="single" w:color="auto" w:sz="6" w:space="0"/>
              <w:left w:val="single" w:color="auto" w:sz="6" w:space="0"/>
              <w:bottom w:val="single" w:color="auto" w:sz="6" w:space="0"/>
              <w:right w:val="single" w:color="auto" w:sz="6" w:space="0"/>
            </w:tcBorders>
            <w:vAlign w:val="center"/>
          </w:tcPr>
          <w:p w14:paraId="5EA4A93C">
            <w:pPr>
              <w:keepNext w:val="0"/>
              <w:keepLines w:val="0"/>
              <w:pageBreakBefore w:val="0"/>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1B955389">
            <w:pPr>
              <w:keepNext w:val="0"/>
              <w:keepLines w:val="0"/>
              <w:pageBreakBefore w:val="0"/>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4FE257F2">
            <w:pPr>
              <w:keepNext w:val="0"/>
              <w:keepLines w:val="0"/>
              <w:pageBreakBefore w:val="0"/>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6FC21C31">
            <w:pPr>
              <w:keepNext w:val="0"/>
              <w:keepLines w:val="0"/>
              <w:pageBreakBefore w:val="0"/>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511AE4DA">
            <w:pPr>
              <w:keepNext w:val="0"/>
              <w:keepLines w:val="0"/>
              <w:pageBreakBefore w:val="0"/>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2133" w:type="dxa"/>
            <w:tcBorders>
              <w:top w:val="single" w:color="auto" w:sz="6" w:space="0"/>
              <w:left w:val="single" w:color="auto" w:sz="6" w:space="0"/>
              <w:bottom w:val="single" w:color="auto" w:sz="6" w:space="0"/>
              <w:right w:val="single" w:color="auto" w:sz="6" w:space="0"/>
            </w:tcBorders>
            <w:vAlign w:val="center"/>
          </w:tcPr>
          <w:p w14:paraId="234424C5">
            <w:pPr>
              <w:keepNext w:val="0"/>
              <w:keepLines w:val="0"/>
              <w:pageBreakBefore w:val="0"/>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1148" w:type="dxa"/>
            <w:tcBorders>
              <w:top w:val="single" w:color="auto" w:sz="6" w:space="0"/>
              <w:left w:val="single" w:color="auto" w:sz="6" w:space="0"/>
              <w:bottom w:val="single" w:color="auto" w:sz="6" w:space="0"/>
              <w:right w:val="single" w:color="auto" w:sz="6" w:space="0"/>
            </w:tcBorders>
            <w:vAlign w:val="center"/>
          </w:tcPr>
          <w:p w14:paraId="792BEEC1">
            <w:pPr>
              <w:keepNext w:val="0"/>
              <w:keepLines w:val="0"/>
              <w:pageBreakBefore w:val="0"/>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r>
      <w:tr w14:paraId="724951CC">
        <w:tblPrEx>
          <w:tblCellMar>
            <w:top w:w="0" w:type="dxa"/>
            <w:left w:w="108" w:type="dxa"/>
            <w:bottom w:w="0" w:type="dxa"/>
            <w:right w:w="108" w:type="dxa"/>
          </w:tblCellMar>
        </w:tblPrEx>
        <w:trPr>
          <w:trHeight w:val="473" w:hRule="atLeast"/>
          <w:jc w:val="center"/>
        </w:trPr>
        <w:tc>
          <w:tcPr>
            <w:tcW w:w="632" w:type="dxa"/>
            <w:tcBorders>
              <w:top w:val="single" w:color="auto" w:sz="6" w:space="0"/>
              <w:left w:val="single" w:color="auto" w:sz="6" w:space="0"/>
              <w:bottom w:val="single" w:color="auto" w:sz="6" w:space="0"/>
              <w:right w:val="single" w:color="auto" w:sz="6" w:space="0"/>
            </w:tcBorders>
            <w:vAlign w:val="center"/>
          </w:tcPr>
          <w:p w14:paraId="254E0D3E">
            <w:pPr>
              <w:keepNext w:val="0"/>
              <w:keepLines w:val="0"/>
              <w:pageBreakBefore w:val="0"/>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709" w:type="dxa"/>
            <w:tcBorders>
              <w:top w:val="single" w:color="auto" w:sz="6" w:space="0"/>
              <w:left w:val="single" w:color="auto" w:sz="6" w:space="0"/>
              <w:bottom w:val="single" w:color="auto" w:sz="6" w:space="0"/>
              <w:right w:val="single" w:color="auto" w:sz="6" w:space="0"/>
            </w:tcBorders>
            <w:vAlign w:val="center"/>
          </w:tcPr>
          <w:p w14:paraId="05FA9557">
            <w:pPr>
              <w:keepNext w:val="0"/>
              <w:keepLines w:val="0"/>
              <w:pageBreakBefore w:val="0"/>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708" w:type="dxa"/>
            <w:tcBorders>
              <w:top w:val="single" w:color="auto" w:sz="6" w:space="0"/>
              <w:left w:val="single" w:color="auto" w:sz="6" w:space="0"/>
              <w:bottom w:val="single" w:color="auto" w:sz="6" w:space="0"/>
              <w:right w:val="single" w:color="auto" w:sz="6" w:space="0"/>
            </w:tcBorders>
            <w:vAlign w:val="center"/>
          </w:tcPr>
          <w:p w14:paraId="5064AD2B">
            <w:pPr>
              <w:keepNext w:val="0"/>
              <w:keepLines w:val="0"/>
              <w:pageBreakBefore w:val="0"/>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1AF7E6F1">
            <w:pPr>
              <w:keepNext w:val="0"/>
              <w:keepLines w:val="0"/>
              <w:pageBreakBefore w:val="0"/>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7B7DC9AA">
            <w:pPr>
              <w:keepNext w:val="0"/>
              <w:keepLines w:val="0"/>
              <w:pageBreakBefore w:val="0"/>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536E916F">
            <w:pPr>
              <w:keepNext w:val="0"/>
              <w:keepLines w:val="0"/>
              <w:pageBreakBefore w:val="0"/>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01744F03">
            <w:pPr>
              <w:keepNext w:val="0"/>
              <w:keepLines w:val="0"/>
              <w:pageBreakBefore w:val="0"/>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2133" w:type="dxa"/>
            <w:tcBorders>
              <w:top w:val="single" w:color="auto" w:sz="6" w:space="0"/>
              <w:left w:val="single" w:color="auto" w:sz="6" w:space="0"/>
              <w:bottom w:val="single" w:color="auto" w:sz="6" w:space="0"/>
              <w:right w:val="single" w:color="auto" w:sz="6" w:space="0"/>
            </w:tcBorders>
            <w:vAlign w:val="center"/>
          </w:tcPr>
          <w:p w14:paraId="7A767BD7">
            <w:pPr>
              <w:keepNext w:val="0"/>
              <w:keepLines w:val="0"/>
              <w:pageBreakBefore w:val="0"/>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1148" w:type="dxa"/>
            <w:tcBorders>
              <w:top w:val="single" w:color="auto" w:sz="6" w:space="0"/>
              <w:left w:val="single" w:color="auto" w:sz="6" w:space="0"/>
              <w:bottom w:val="single" w:color="auto" w:sz="6" w:space="0"/>
              <w:right w:val="single" w:color="auto" w:sz="6" w:space="0"/>
            </w:tcBorders>
            <w:vAlign w:val="center"/>
          </w:tcPr>
          <w:p w14:paraId="6286C924">
            <w:pPr>
              <w:keepNext w:val="0"/>
              <w:keepLines w:val="0"/>
              <w:pageBreakBefore w:val="0"/>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r>
    </w:tbl>
    <w:p w14:paraId="41D3BF40">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 xml:space="preserve">       注：</w:t>
      </w:r>
    </w:p>
    <w:p w14:paraId="172CBCDA">
      <w:pPr>
        <w:pStyle w:val="47"/>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1.在填写时，如本表格不适合投标单位的实际情况，可根据本表格式自行制表填写。</w:t>
      </w:r>
    </w:p>
    <w:p w14:paraId="26064224">
      <w:pPr>
        <w:pStyle w:val="47"/>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2.投标人应当附本表所列证书的复印件并加盖投标人电子签章。</w:t>
      </w:r>
    </w:p>
    <w:p w14:paraId="48CF42B1">
      <w:pPr>
        <w:pStyle w:val="47"/>
        <w:keepNext w:val="0"/>
        <w:keepLines w:val="0"/>
        <w:pageBreakBefore w:val="0"/>
        <w:kinsoku/>
        <w:topLinePunct w:val="0"/>
        <w:bidi w:val="0"/>
        <w:spacing w:line="400" w:lineRule="exact"/>
        <w:ind w:left="0" w:leftChars="0" w:firstLine="0" w:firstLineChars="0"/>
        <w:rPr>
          <w:rFonts w:hint="eastAsia" w:ascii="宋体" w:hAnsi="宋体" w:eastAsia="宋体" w:cs="宋体"/>
          <w:strike w:val="0"/>
          <w:dstrike w:val="0"/>
          <w:color w:val="auto"/>
          <w:sz w:val="21"/>
          <w:szCs w:val="21"/>
          <w:highlight w:val="none"/>
        </w:rPr>
      </w:pPr>
    </w:p>
    <w:p w14:paraId="09716146">
      <w:pPr>
        <w:keepNext w:val="0"/>
        <w:keepLines w:val="0"/>
        <w:pageBreakBefore w:val="0"/>
        <w:kinsoku/>
        <w:topLinePunct w:val="0"/>
        <w:bidi w:val="0"/>
        <w:spacing w:line="400" w:lineRule="exact"/>
        <w:ind w:left="3990" w:leftChars="1900"/>
        <w:contextualSpacing/>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 xml:space="preserve">投标人（电子签章）： </w:t>
      </w:r>
      <w:r>
        <w:rPr>
          <w:rFonts w:hint="eastAsia" w:ascii="宋体" w:hAnsi="宋体" w:eastAsia="宋体" w:cs="宋体"/>
          <w:strike w:val="0"/>
          <w:dstrike w:val="0"/>
          <w:color w:val="auto"/>
          <w:sz w:val="21"/>
          <w:szCs w:val="21"/>
          <w:highlight w:val="none"/>
          <w:u w:val="single"/>
        </w:rPr>
        <w:t xml:space="preserve">                        </w:t>
      </w:r>
    </w:p>
    <w:p w14:paraId="4D64139D">
      <w:pPr>
        <w:keepNext w:val="0"/>
        <w:keepLines w:val="0"/>
        <w:pageBreakBefore w:val="0"/>
        <w:kinsoku/>
        <w:topLinePunct w:val="0"/>
        <w:bidi w:val="0"/>
        <w:spacing w:line="400" w:lineRule="exact"/>
        <w:ind w:left="3990" w:leftChars="1900"/>
        <w:contextualSpacing/>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年</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月</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日</w:t>
      </w:r>
    </w:p>
    <w:p w14:paraId="59B7CFCA">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p w14:paraId="33321290">
      <w:pPr>
        <w:keepNext w:val="0"/>
        <w:keepLines w:val="0"/>
        <w:pageBreakBefore w:val="0"/>
        <w:widowControl/>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sz w:val="21"/>
          <w:szCs w:val="21"/>
          <w:highlight w:val="none"/>
        </w:rPr>
        <w:br w:type="page"/>
      </w:r>
    </w:p>
    <w:p w14:paraId="3497199C">
      <w:pPr>
        <w:keepNext w:val="0"/>
        <w:keepLines w:val="0"/>
        <w:pageBreakBefore w:val="0"/>
        <w:kinsoku/>
        <w:topLinePunct w:val="0"/>
        <w:bidi w:val="0"/>
        <w:snapToGrid w:val="0"/>
        <w:spacing w:beforeLines="50" w:after="50" w:line="400" w:lineRule="exact"/>
        <w:ind w:left="142"/>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10.拟投入设备一览表格式</w:t>
      </w:r>
    </w:p>
    <w:p w14:paraId="5E83B661">
      <w:pPr>
        <w:keepNext w:val="0"/>
        <w:keepLines w:val="0"/>
        <w:pageBreakBefore w:val="0"/>
        <w:kinsoku/>
        <w:topLinePunct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拟投入设备一览表</w:t>
      </w:r>
    </w:p>
    <w:p w14:paraId="6FFB0D8F">
      <w:pPr>
        <w:pStyle w:val="28"/>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所投</w:t>
      </w:r>
      <w:r>
        <w:rPr>
          <w:rFonts w:hint="eastAsia" w:ascii="宋体" w:hAnsi="宋体" w:eastAsia="宋体" w:cs="宋体"/>
          <w:strike w:val="0"/>
          <w:dstrike w:val="0"/>
          <w:color w:val="auto"/>
          <w:sz w:val="21"/>
          <w:szCs w:val="21"/>
          <w:highlight w:val="none"/>
          <w:lang w:val="en-US" w:eastAsia="zh-CN"/>
        </w:rPr>
        <w:t>包号</w:t>
      </w: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z w:val="21"/>
          <w:szCs w:val="21"/>
          <w:highlight w:val="none"/>
          <w:lang w:val="en-US" w:eastAsia="zh-CN"/>
        </w:rPr>
        <w:t>分包</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u w:val="single"/>
          <w:lang w:val="en-US" w:eastAsia="zh-CN"/>
        </w:rPr>
        <w:t xml:space="preserve">    </w:t>
      </w:r>
      <w:r>
        <w:rPr>
          <w:rFonts w:hint="eastAsia" w:ascii="宋体" w:hAnsi="宋体" w:eastAsia="宋体" w:cs="宋体"/>
          <w:strike w:val="0"/>
          <w:dstrike w:val="0"/>
          <w:color w:val="auto"/>
          <w:sz w:val="21"/>
          <w:szCs w:val="21"/>
          <w:highlight w:val="none"/>
        </w:rPr>
        <w:t>（标段）</w:t>
      </w:r>
    </w:p>
    <w:p w14:paraId="3CDA8A44">
      <w:pPr>
        <w:pStyle w:val="28"/>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tbl>
      <w:tblPr>
        <w:tblStyle w:val="48"/>
        <w:tblW w:w="897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3"/>
        <w:gridCol w:w="977"/>
        <w:gridCol w:w="1367"/>
        <w:gridCol w:w="783"/>
        <w:gridCol w:w="1450"/>
        <w:gridCol w:w="1200"/>
        <w:gridCol w:w="1100"/>
        <w:gridCol w:w="1567"/>
      </w:tblGrid>
      <w:tr w14:paraId="539334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19836746">
            <w:pPr>
              <w:keepNext w:val="0"/>
              <w:keepLines w:val="0"/>
              <w:pageBreakBefore w:val="0"/>
              <w:kinsoku/>
              <w:topLinePunct w:val="0"/>
              <w:bidi w:val="0"/>
              <w:snapToGrid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序号</w:t>
            </w:r>
          </w:p>
        </w:tc>
        <w:tc>
          <w:tcPr>
            <w:tcW w:w="977" w:type="dxa"/>
            <w:tcBorders>
              <w:top w:val="single" w:color="auto" w:sz="4" w:space="0"/>
              <w:left w:val="single" w:color="auto" w:sz="4" w:space="0"/>
              <w:bottom w:val="single" w:color="auto" w:sz="4" w:space="0"/>
              <w:right w:val="single" w:color="auto" w:sz="4" w:space="0"/>
            </w:tcBorders>
            <w:vAlign w:val="center"/>
          </w:tcPr>
          <w:p w14:paraId="5781FB3F">
            <w:pPr>
              <w:keepNext w:val="0"/>
              <w:keepLines w:val="0"/>
              <w:pageBreakBefore w:val="0"/>
              <w:kinsoku/>
              <w:topLinePunct w:val="0"/>
              <w:bidi w:val="0"/>
              <w:snapToGrid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设备类别</w:t>
            </w:r>
          </w:p>
        </w:tc>
        <w:tc>
          <w:tcPr>
            <w:tcW w:w="1367" w:type="dxa"/>
            <w:tcBorders>
              <w:top w:val="single" w:color="auto" w:sz="4" w:space="0"/>
              <w:left w:val="single" w:color="auto" w:sz="4" w:space="0"/>
              <w:bottom w:val="single" w:color="auto" w:sz="4" w:space="0"/>
              <w:right w:val="single" w:color="auto" w:sz="4" w:space="0"/>
            </w:tcBorders>
            <w:vAlign w:val="center"/>
          </w:tcPr>
          <w:p w14:paraId="27DEB201">
            <w:pPr>
              <w:keepNext w:val="0"/>
              <w:keepLines w:val="0"/>
              <w:pageBreakBefore w:val="0"/>
              <w:kinsoku/>
              <w:topLinePunct w:val="0"/>
              <w:bidi w:val="0"/>
              <w:snapToGrid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仪器名称/数量</w:t>
            </w:r>
          </w:p>
        </w:tc>
        <w:tc>
          <w:tcPr>
            <w:tcW w:w="783" w:type="dxa"/>
            <w:tcBorders>
              <w:top w:val="single" w:color="auto" w:sz="4" w:space="0"/>
              <w:left w:val="single" w:color="auto" w:sz="4" w:space="0"/>
              <w:bottom w:val="single" w:color="auto" w:sz="4" w:space="0"/>
              <w:right w:val="single" w:color="auto" w:sz="4" w:space="0"/>
            </w:tcBorders>
            <w:vAlign w:val="center"/>
          </w:tcPr>
          <w:p w14:paraId="487E0ACA">
            <w:pPr>
              <w:keepNext w:val="0"/>
              <w:keepLines w:val="0"/>
              <w:pageBreakBefore w:val="0"/>
              <w:kinsoku/>
              <w:topLinePunct w:val="0"/>
              <w:bidi w:val="0"/>
              <w:snapToGrid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数量</w:t>
            </w:r>
          </w:p>
        </w:tc>
        <w:tc>
          <w:tcPr>
            <w:tcW w:w="1450" w:type="dxa"/>
            <w:tcBorders>
              <w:top w:val="single" w:color="auto" w:sz="4" w:space="0"/>
              <w:left w:val="single" w:color="auto" w:sz="4" w:space="0"/>
              <w:bottom w:val="single" w:color="auto" w:sz="4" w:space="0"/>
              <w:right w:val="single" w:color="auto" w:sz="4" w:space="0"/>
            </w:tcBorders>
            <w:vAlign w:val="center"/>
          </w:tcPr>
          <w:p w14:paraId="7D7A69B3">
            <w:pPr>
              <w:keepNext w:val="0"/>
              <w:keepLines w:val="0"/>
              <w:pageBreakBefore w:val="0"/>
              <w:kinsoku/>
              <w:topLinePunct w:val="0"/>
              <w:bidi w:val="0"/>
              <w:snapToGrid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购买时间（提供发票）</w:t>
            </w:r>
          </w:p>
        </w:tc>
        <w:tc>
          <w:tcPr>
            <w:tcW w:w="1200" w:type="dxa"/>
            <w:tcBorders>
              <w:top w:val="single" w:color="auto" w:sz="4" w:space="0"/>
              <w:left w:val="single" w:color="auto" w:sz="4" w:space="0"/>
              <w:bottom w:val="single" w:color="auto" w:sz="4" w:space="0"/>
              <w:right w:val="single" w:color="auto" w:sz="4" w:space="0"/>
            </w:tcBorders>
            <w:vAlign w:val="center"/>
          </w:tcPr>
          <w:p w14:paraId="14CE6697">
            <w:pPr>
              <w:keepNext w:val="0"/>
              <w:keepLines w:val="0"/>
              <w:pageBreakBefore w:val="0"/>
              <w:kinsoku/>
              <w:topLinePunct w:val="0"/>
              <w:bidi w:val="0"/>
              <w:snapToGrid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金额（元）</w:t>
            </w:r>
          </w:p>
        </w:tc>
        <w:tc>
          <w:tcPr>
            <w:tcW w:w="1100" w:type="dxa"/>
            <w:tcBorders>
              <w:top w:val="single" w:color="auto" w:sz="4" w:space="0"/>
              <w:left w:val="single" w:color="auto" w:sz="4" w:space="0"/>
              <w:bottom w:val="single" w:color="auto" w:sz="4" w:space="0"/>
              <w:right w:val="single" w:color="auto" w:sz="4" w:space="0"/>
            </w:tcBorders>
            <w:vAlign w:val="center"/>
          </w:tcPr>
          <w:p w14:paraId="636C3DE8">
            <w:pPr>
              <w:keepNext w:val="0"/>
              <w:keepLines w:val="0"/>
              <w:pageBreakBefore w:val="0"/>
              <w:kinsoku/>
              <w:topLinePunct w:val="0"/>
              <w:bidi w:val="0"/>
              <w:snapToGrid w:val="0"/>
              <w:spacing w:line="400" w:lineRule="exac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校准证书及有效期</w:t>
            </w:r>
          </w:p>
        </w:tc>
        <w:tc>
          <w:tcPr>
            <w:tcW w:w="1567" w:type="dxa"/>
            <w:tcBorders>
              <w:top w:val="single" w:color="auto" w:sz="4" w:space="0"/>
              <w:left w:val="single" w:color="auto" w:sz="4" w:space="0"/>
              <w:bottom w:val="single" w:color="auto" w:sz="4" w:space="0"/>
              <w:right w:val="single" w:color="auto" w:sz="4" w:space="0"/>
            </w:tcBorders>
            <w:vAlign w:val="center"/>
          </w:tcPr>
          <w:p w14:paraId="689D58F7">
            <w:pPr>
              <w:keepNext w:val="0"/>
              <w:keepLines w:val="0"/>
              <w:pageBreakBefore w:val="0"/>
              <w:kinsoku/>
              <w:topLinePunct w:val="0"/>
              <w:bidi w:val="0"/>
              <w:snapToGrid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证明材料在投标文件中页码</w:t>
            </w:r>
          </w:p>
        </w:tc>
      </w:tr>
      <w:tr w14:paraId="6A9DFE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0594F738">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w:t>
            </w:r>
          </w:p>
        </w:tc>
        <w:tc>
          <w:tcPr>
            <w:tcW w:w="977" w:type="dxa"/>
            <w:tcBorders>
              <w:top w:val="single" w:color="auto" w:sz="4" w:space="0"/>
              <w:left w:val="single" w:color="auto" w:sz="4" w:space="0"/>
              <w:bottom w:val="single" w:color="auto" w:sz="4" w:space="0"/>
              <w:right w:val="single" w:color="auto" w:sz="4" w:space="0"/>
            </w:tcBorders>
            <w:vAlign w:val="center"/>
          </w:tcPr>
          <w:p w14:paraId="26A3D5F8">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367" w:type="dxa"/>
            <w:tcBorders>
              <w:top w:val="single" w:color="auto" w:sz="4" w:space="0"/>
              <w:left w:val="single" w:color="auto" w:sz="4" w:space="0"/>
              <w:bottom w:val="single" w:color="auto" w:sz="4" w:space="0"/>
              <w:right w:val="single" w:color="auto" w:sz="4" w:space="0"/>
            </w:tcBorders>
            <w:vAlign w:val="center"/>
          </w:tcPr>
          <w:p w14:paraId="17428A07">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783" w:type="dxa"/>
            <w:tcBorders>
              <w:top w:val="single" w:color="auto" w:sz="4" w:space="0"/>
              <w:left w:val="single" w:color="auto" w:sz="4" w:space="0"/>
              <w:bottom w:val="single" w:color="auto" w:sz="4" w:space="0"/>
              <w:right w:val="single" w:color="auto" w:sz="4" w:space="0"/>
            </w:tcBorders>
            <w:vAlign w:val="center"/>
          </w:tcPr>
          <w:p w14:paraId="5C6F90F6">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450" w:type="dxa"/>
            <w:tcBorders>
              <w:top w:val="single" w:color="auto" w:sz="4" w:space="0"/>
              <w:left w:val="single" w:color="auto" w:sz="4" w:space="0"/>
              <w:bottom w:val="single" w:color="auto" w:sz="4" w:space="0"/>
              <w:right w:val="single" w:color="auto" w:sz="4" w:space="0"/>
            </w:tcBorders>
            <w:vAlign w:val="center"/>
          </w:tcPr>
          <w:p w14:paraId="70E16277">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79EDB136">
            <w:pPr>
              <w:keepNext w:val="0"/>
              <w:keepLines w:val="0"/>
              <w:pageBreakBefore w:val="0"/>
              <w:kinsoku/>
              <w:topLinePunct w:val="0"/>
              <w:bidi w:val="0"/>
              <w:snapToGrid w:val="0"/>
              <w:spacing w:line="400" w:lineRule="exact"/>
              <w:rPr>
                <w:rFonts w:hint="eastAsia" w:ascii="宋体" w:hAnsi="宋体" w:eastAsia="宋体" w:cs="宋体"/>
                <w:strike w:val="0"/>
                <w:dstrike w:val="0"/>
                <w:color w:val="auto"/>
                <w:sz w:val="21"/>
                <w:szCs w:val="21"/>
                <w:highlight w:val="none"/>
              </w:rPr>
            </w:pPr>
          </w:p>
        </w:tc>
        <w:tc>
          <w:tcPr>
            <w:tcW w:w="1100" w:type="dxa"/>
            <w:tcBorders>
              <w:top w:val="single" w:color="auto" w:sz="4" w:space="0"/>
              <w:left w:val="single" w:color="auto" w:sz="4" w:space="0"/>
              <w:bottom w:val="single" w:color="auto" w:sz="4" w:space="0"/>
              <w:right w:val="single" w:color="auto" w:sz="4" w:space="0"/>
            </w:tcBorders>
            <w:vAlign w:val="center"/>
          </w:tcPr>
          <w:p w14:paraId="442989D8">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567" w:type="dxa"/>
            <w:tcBorders>
              <w:top w:val="single" w:color="auto" w:sz="4" w:space="0"/>
              <w:left w:val="single" w:color="auto" w:sz="4" w:space="0"/>
              <w:bottom w:val="single" w:color="auto" w:sz="4" w:space="0"/>
              <w:right w:val="single" w:color="auto" w:sz="4" w:space="0"/>
            </w:tcBorders>
            <w:vAlign w:val="center"/>
          </w:tcPr>
          <w:p w14:paraId="262776A4">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r>
      <w:tr w14:paraId="17F6A0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5CFB3B20">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w:t>
            </w:r>
          </w:p>
        </w:tc>
        <w:tc>
          <w:tcPr>
            <w:tcW w:w="977" w:type="dxa"/>
            <w:tcBorders>
              <w:top w:val="single" w:color="auto" w:sz="4" w:space="0"/>
              <w:left w:val="single" w:color="auto" w:sz="4" w:space="0"/>
              <w:bottom w:val="single" w:color="auto" w:sz="4" w:space="0"/>
              <w:right w:val="single" w:color="auto" w:sz="4" w:space="0"/>
            </w:tcBorders>
            <w:vAlign w:val="center"/>
          </w:tcPr>
          <w:p w14:paraId="7103CE69">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367" w:type="dxa"/>
            <w:tcBorders>
              <w:top w:val="single" w:color="auto" w:sz="4" w:space="0"/>
              <w:left w:val="single" w:color="auto" w:sz="4" w:space="0"/>
              <w:bottom w:val="single" w:color="auto" w:sz="4" w:space="0"/>
              <w:right w:val="single" w:color="auto" w:sz="4" w:space="0"/>
            </w:tcBorders>
            <w:vAlign w:val="center"/>
          </w:tcPr>
          <w:p w14:paraId="1A45D0FE">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783" w:type="dxa"/>
            <w:tcBorders>
              <w:top w:val="single" w:color="auto" w:sz="4" w:space="0"/>
              <w:left w:val="single" w:color="auto" w:sz="4" w:space="0"/>
              <w:bottom w:val="single" w:color="auto" w:sz="4" w:space="0"/>
              <w:right w:val="single" w:color="auto" w:sz="4" w:space="0"/>
            </w:tcBorders>
            <w:vAlign w:val="center"/>
          </w:tcPr>
          <w:p w14:paraId="0ADB1151">
            <w:pPr>
              <w:keepNext w:val="0"/>
              <w:keepLines w:val="0"/>
              <w:pageBreakBefore w:val="0"/>
              <w:kinsoku/>
              <w:topLinePunct w:val="0"/>
              <w:bidi w:val="0"/>
              <w:snapToGrid w:val="0"/>
              <w:spacing w:line="400" w:lineRule="exact"/>
              <w:jc w:val="center"/>
              <w:rPr>
                <w:rFonts w:hint="eastAsia" w:ascii="宋体" w:hAnsi="宋体" w:eastAsia="宋体" w:cs="宋体"/>
                <w:b/>
                <w:strike w:val="0"/>
                <w:dstrike w:val="0"/>
                <w:color w:val="auto"/>
                <w:sz w:val="21"/>
                <w:szCs w:val="21"/>
                <w:highlight w:val="none"/>
              </w:rPr>
            </w:pPr>
          </w:p>
        </w:tc>
        <w:tc>
          <w:tcPr>
            <w:tcW w:w="1450" w:type="dxa"/>
            <w:tcBorders>
              <w:top w:val="single" w:color="auto" w:sz="4" w:space="0"/>
              <w:left w:val="single" w:color="auto" w:sz="4" w:space="0"/>
              <w:bottom w:val="single" w:color="auto" w:sz="4" w:space="0"/>
              <w:right w:val="single" w:color="auto" w:sz="4" w:space="0"/>
            </w:tcBorders>
            <w:vAlign w:val="center"/>
          </w:tcPr>
          <w:p w14:paraId="2EBC29AB">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3011FADA">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100" w:type="dxa"/>
            <w:tcBorders>
              <w:top w:val="single" w:color="auto" w:sz="4" w:space="0"/>
              <w:left w:val="single" w:color="auto" w:sz="4" w:space="0"/>
              <w:bottom w:val="single" w:color="auto" w:sz="4" w:space="0"/>
              <w:right w:val="single" w:color="auto" w:sz="4" w:space="0"/>
            </w:tcBorders>
            <w:vAlign w:val="center"/>
          </w:tcPr>
          <w:p w14:paraId="6C27F758">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567" w:type="dxa"/>
            <w:tcBorders>
              <w:top w:val="single" w:color="auto" w:sz="4" w:space="0"/>
              <w:left w:val="single" w:color="auto" w:sz="4" w:space="0"/>
              <w:bottom w:val="single" w:color="auto" w:sz="4" w:space="0"/>
              <w:right w:val="single" w:color="auto" w:sz="4" w:space="0"/>
            </w:tcBorders>
            <w:vAlign w:val="center"/>
          </w:tcPr>
          <w:p w14:paraId="478877CA">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r>
      <w:tr w14:paraId="0BCBA8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458100C5">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w:t>
            </w:r>
          </w:p>
        </w:tc>
        <w:tc>
          <w:tcPr>
            <w:tcW w:w="977" w:type="dxa"/>
            <w:tcBorders>
              <w:top w:val="single" w:color="auto" w:sz="4" w:space="0"/>
              <w:left w:val="single" w:color="auto" w:sz="4" w:space="0"/>
              <w:bottom w:val="single" w:color="auto" w:sz="4" w:space="0"/>
              <w:right w:val="single" w:color="auto" w:sz="4" w:space="0"/>
            </w:tcBorders>
            <w:vAlign w:val="center"/>
          </w:tcPr>
          <w:p w14:paraId="599E24CE">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367" w:type="dxa"/>
            <w:tcBorders>
              <w:top w:val="single" w:color="auto" w:sz="4" w:space="0"/>
              <w:left w:val="single" w:color="auto" w:sz="4" w:space="0"/>
              <w:bottom w:val="single" w:color="auto" w:sz="4" w:space="0"/>
              <w:right w:val="single" w:color="auto" w:sz="4" w:space="0"/>
            </w:tcBorders>
            <w:vAlign w:val="center"/>
          </w:tcPr>
          <w:p w14:paraId="6579FD51">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783" w:type="dxa"/>
            <w:tcBorders>
              <w:top w:val="single" w:color="auto" w:sz="4" w:space="0"/>
              <w:left w:val="single" w:color="auto" w:sz="4" w:space="0"/>
              <w:bottom w:val="single" w:color="auto" w:sz="4" w:space="0"/>
              <w:right w:val="single" w:color="auto" w:sz="4" w:space="0"/>
            </w:tcBorders>
          </w:tcPr>
          <w:p w14:paraId="2DFCACD5">
            <w:pPr>
              <w:keepNext w:val="0"/>
              <w:keepLines w:val="0"/>
              <w:pageBreakBefore w:val="0"/>
              <w:kinsoku/>
              <w:topLinePunct w:val="0"/>
              <w:bidi w:val="0"/>
              <w:snapToGrid w:val="0"/>
              <w:spacing w:line="400" w:lineRule="exact"/>
              <w:jc w:val="center"/>
              <w:rPr>
                <w:rFonts w:hint="eastAsia" w:ascii="宋体" w:hAnsi="宋体" w:eastAsia="宋体" w:cs="宋体"/>
                <w:b/>
                <w:strike w:val="0"/>
                <w:dstrike w:val="0"/>
                <w:color w:val="auto"/>
                <w:sz w:val="21"/>
                <w:szCs w:val="21"/>
                <w:highlight w:val="none"/>
              </w:rPr>
            </w:pPr>
          </w:p>
        </w:tc>
        <w:tc>
          <w:tcPr>
            <w:tcW w:w="1450" w:type="dxa"/>
            <w:tcBorders>
              <w:top w:val="single" w:color="auto" w:sz="4" w:space="0"/>
              <w:left w:val="single" w:color="auto" w:sz="4" w:space="0"/>
              <w:bottom w:val="single" w:color="auto" w:sz="4" w:space="0"/>
              <w:right w:val="single" w:color="auto" w:sz="4" w:space="0"/>
            </w:tcBorders>
            <w:vAlign w:val="center"/>
          </w:tcPr>
          <w:p w14:paraId="1F5C9CEF">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503595CC">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100" w:type="dxa"/>
            <w:tcBorders>
              <w:top w:val="single" w:color="auto" w:sz="4" w:space="0"/>
              <w:left w:val="single" w:color="auto" w:sz="4" w:space="0"/>
              <w:bottom w:val="single" w:color="auto" w:sz="4" w:space="0"/>
              <w:right w:val="single" w:color="auto" w:sz="4" w:space="0"/>
            </w:tcBorders>
            <w:vAlign w:val="center"/>
          </w:tcPr>
          <w:p w14:paraId="0EB0D2DA">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567" w:type="dxa"/>
            <w:tcBorders>
              <w:top w:val="single" w:color="auto" w:sz="4" w:space="0"/>
              <w:left w:val="single" w:color="auto" w:sz="4" w:space="0"/>
              <w:bottom w:val="single" w:color="auto" w:sz="4" w:space="0"/>
              <w:right w:val="single" w:color="auto" w:sz="4" w:space="0"/>
            </w:tcBorders>
            <w:vAlign w:val="center"/>
          </w:tcPr>
          <w:p w14:paraId="09F3FEC4">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r>
      <w:tr w14:paraId="503988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2978C944">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977" w:type="dxa"/>
            <w:tcBorders>
              <w:top w:val="single" w:color="auto" w:sz="4" w:space="0"/>
              <w:left w:val="single" w:color="auto" w:sz="4" w:space="0"/>
              <w:bottom w:val="single" w:color="auto" w:sz="4" w:space="0"/>
              <w:right w:val="single" w:color="auto" w:sz="4" w:space="0"/>
            </w:tcBorders>
            <w:vAlign w:val="center"/>
          </w:tcPr>
          <w:p w14:paraId="29A560CD">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367" w:type="dxa"/>
            <w:tcBorders>
              <w:top w:val="single" w:color="auto" w:sz="4" w:space="0"/>
              <w:left w:val="single" w:color="auto" w:sz="4" w:space="0"/>
              <w:bottom w:val="single" w:color="auto" w:sz="4" w:space="0"/>
              <w:right w:val="single" w:color="auto" w:sz="4" w:space="0"/>
            </w:tcBorders>
            <w:vAlign w:val="center"/>
          </w:tcPr>
          <w:p w14:paraId="719232A7">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783" w:type="dxa"/>
            <w:tcBorders>
              <w:top w:val="single" w:color="auto" w:sz="4" w:space="0"/>
              <w:left w:val="single" w:color="auto" w:sz="4" w:space="0"/>
              <w:bottom w:val="single" w:color="auto" w:sz="4" w:space="0"/>
              <w:right w:val="single" w:color="auto" w:sz="4" w:space="0"/>
            </w:tcBorders>
          </w:tcPr>
          <w:p w14:paraId="481203DC">
            <w:pPr>
              <w:keepNext w:val="0"/>
              <w:keepLines w:val="0"/>
              <w:pageBreakBefore w:val="0"/>
              <w:kinsoku/>
              <w:topLinePunct w:val="0"/>
              <w:bidi w:val="0"/>
              <w:snapToGrid w:val="0"/>
              <w:spacing w:line="400" w:lineRule="exact"/>
              <w:jc w:val="center"/>
              <w:rPr>
                <w:rFonts w:hint="eastAsia" w:ascii="宋体" w:hAnsi="宋体" w:eastAsia="宋体" w:cs="宋体"/>
                <w:b/>
                <w:strike w:val="0"/>
                <w:dstrike w:val="0"/>
                <w:color w:val="auto"/>
                <w:sz w:val="21"/>
                <w:szCs w:val="21"/>
                <w:highlight w:val="none"/>
              </w:rPr>
            </w:pPr>
          </w:p>
        </w:tc>
        <w:tc>
          <w:tcPr>
            <w:tcW w:w="1450" w:type="dxa"/>
            <w:tcBorders>
              <w:top w:val="single" w:color="auto" w:sz="4" w:space="0"/>
              <w:left w:val="single" w:color="auto" w:sz="4" w:space="0"/>
              <w:bottom w:val="single" w:color="auto" w:sz="4" w:space="0"/>
              <w:right w:val="single" w:color="auto" w:sz="4" w:space="0"/>
            </w:tcBorders>
            <w:vAlign w:val="center"/>
          </w:tcPr>
          <w:p w14:paraId="6C964203">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7D4AF87C">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100" w:type="dxa"/>
            <w:tcBorders>
              <w:top w:val="single" w:color="auto" w:sz="4" w:space="0"/>
              <w:left w:val="single" w:color="auto" w:sz="4" w:space="0"/>
              <w:bottom w:val="single" w:color="auto" w:sz="4" w:space="0"/>
              <w:right w:val="single" w:color="auto" w:sz="4" w:space="0"/>
            </w:tcBorders>
            <w:vAlign w:val="center"/>
          </w:tcPr>
          <w:p w14:paraId="17C4D99E">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567" w:type="dxa"/>
            <w:tcBorders>
              <w:top w:val="single" w:color="auto" w:sz="4" w:space="0"/>
              <w:left w:val="single" w:color="auto" w:sz="4" w:space="0"/>
              <w:bottom w:val="single" w:color="auto" w:sz="4" w:space="0"/>
              <w:right w:val="single" w:color="auto" w:sz="4" w:space="0"/>
            </w:tcBorders>
            <w:vAlign w:val="center"/>
          </w:tcPr>
          <w:p w14:paraId="3F065952">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r>
      <w:tr w14:paraId="6F7B2A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8977" w:type="dxa"/>
            <w:gridSpan w:val="8"/>
            <w:tcBorders>
              <w:top w:val="single" w:color="auto" w:sz="4" w:space="0"/>
              <w:left w:val="single" w:color="auto" w:sz="4" w:space="0"/>
              <w:bottom w:val="single" w:color="auto" w:sz="4" w:space="0"/>
              <w:right w:val="single" w:color="auto" w:sz="4" w:space="0"/>
            </w:tcBorders>
          </w:tcPr>
          <w:p w14:paraId="345DC45D">
            <w:pPr>
              <w:keepNext w:val="0"/>
              <w:keepLines w:val="0"/>
              <w:pageBreakBefore w:val="0"/>
              <w:kinsoku/>
              <w:topLinePunct w:val="0"/>
              <w:bidi w:val="0"/>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注：需有效证明（属于</w:t>
            </w:r>
            <w:r>
              <w:rPr>
                <w:rFonts w:hint="eastAsia" w:ascii="宋体" w:hAnsi="宋体" w:eastAsia="宋体" w:cs="宋体"/>
                <w:strike w:val="0"/>
                <w:dstrike w:val="0"/>
                <w:color w:val="auto"/>
                <w:sz w:val="21"/>
                <w:szCs w:val="21"/>
                <w:highlight w:val="none"/>
                <w:lang w:eastAsia="zh-CN"/>
              </w:rPr>
              <w:t>投标人</w:t>
            </w:r>
            <w:r>
              <w:rPr>
                <w:rFonts w:hint="eastAsia" w:ascii="宋体" w:hAnsi="宋体" w:eastAsia="宋体" w:cs="宋体"/>
                <w:strike w:val="0"/>
                <w:dstrike w:val="0"/>
                <w:color w:val="auto"/>
                <w:sz w:val="21"/>
                <w:szCs w:val="21"/>
                <w:highlight w:val="none"/>
              </w:rPr>
              <w:t>自有，租用不予计算），即提供仪器设备列表、设备的彩色照片、采购发票（发票抬头为投标人名字）和检测有效期限证明扫描件、检定证书（校准证书）复印件等，并加盖公章，未提供不得分。</w:t>
            </w:r>
          </w:p>
        </w:tc>
      </w:tr>
    </w:tbl>
    <w:p w14:paraId="5435DC73">
      <w:pPr>
        <w:pStyle w:val="28"/>
        <w:keepNext w:val="0"/>
        <w:keepLines w:val="0"/>
        <w:pageBreakBefore w:val="0"/>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注：投标人按采购需求及评分办法要求对格式自行编制，须随表提交相应的证书复印件。</w:t>
      </w:r>
    </w:p>
    <w:p w14:paraId="43D1FDE6">
      <w:pPr>
        <w:keepNext w:val="0"/>
        <w:keepLines w:val="0"/>
        <w:pageBreakBefore w:val="0"/>
        <w:kinsoku/>
        <w:topLinePunct w:val="0"/>
        <w:bidi w:val="0"/>
        <w:snapToGrid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 xml:space="preserve"> </w:t>
      </w:r>
    </w:p>
    <w:p w14:paraId="4131F4F0">
      <w:pPr>
        <w:keepNext w:val="0"/>
        <w:keepLines w:val="0"/>
        <w:pageBreakBefore w:val="0"/>
        <w:kinsoku/>
        <w:topLinePunct w:val="0"/>
        <w:bidi w:val="0"/>
        <w:spacing w:line="400" w:lineRule="exact"/>
        <w:ind w:left="3990" w:leftChars="1900"/>
        <w:contextualSpacing/>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 xml:space="preserve">投标人（电子签章）： </w:t>
      </w:r>
      <w:r>
        <w:rPr>
          <w:rFonts w:hint="eastAsia" w:ascii="宋体" w:hAnsi="宋体" w:eastAsia="宋体" w:cs="宋体"/>
          <w:strike w:val="0"/>
          <w:dstrike w:val="0"/>
          <w:color w:val="auto"/>
          <w:sz w:val="21"/>
          <w:szCs w:val="21"/>
          <w:highlight w:val="none"/>
          <w:u w:val="single"/>
        </w:rPr>
        <w:t xml:space="preserve">                        </w:t>
      </w:r>
    </w:p>
    <w:p w14:paraId="3ED7B511">
      <w:pPr>
        <w:keepNext w:val="0"/>
        <w:keepLines w:val="0"/>
        <w:pageBreakBefore w:val="0"/>
        <w:kinsoku/>
        <w:topLinePunct w:val="0"/>
        <w:bidi w:val="0"/>
        <w:spacing w:line="400" w:lineRule="exact"/>
        <w:ind w:left="3990" w:leftChars="1900"/>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年</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月</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日</w:t>
      </w:r>
    </w:p>
    <w:p w14:paraId="52A23EBF">
      <w:pPr>
        <w:pStyle w:val="47"/>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p w14:paraId="6FFE70FE">
      <w:pPr>
        <w:keepNext w:val="0"/>
        <w:keepLines w:val="0"/>
        <w:pageBreakBefore w:val="0"/>
        <w:widowControl/>
        <w:kinsoku/>
        <w:topLinePunct w:val="0"/>
        <w:bidi w:val="0"/>
        <w:spacing w:line="400" w:lineRule="exact"/>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11.奖项（表彰）一览表格式</w:t>
      </w:r>
    </w:p>
    <w:p w14:paraId="54A99348">
      <w:pPr>
        <w:keepNext w:val="0"/>
        <w:keepLines w:val="0"/>
        <w:pageBreakBefore w:val="0"/>
        <w:kinsoku/>
        <w:topLinePunct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奖项（表彰）一览表</w:t>
      </w:r>
    </w:p>
    <w:p w14:paraId="29D380EE">
      <w:pPr>
        <w:pStyle w:val="28"/>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所投</w:t>
      </w:r>
      <w:r>
        <w:rPr>
          <w:rFonts w:hint="eastAsia" w:ascii="宋体" w:hAnsi="宋体" w:eastAsia="宋体" w:cs="宋体"/>
          <w:strike w:val="0"/>
          <w:dstrike w:val="0"/>
          <w:color w:val="auto"/>
          <w:sz w:val="21"/>
          <w:szCs w:val="21"/>
          <w:highlight w:val="none"/>
          <w:lang w:val="en-US" w:eastAsia="zh-CN"/>
        </w:rPr>
        <w:t>包号</w:t>
      </w: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z w:val="21"/>
          <w:szCs w:val="21"/>
          <w:highlight w:val="none"/>
          <w:lang w:val="en-US" w:eastAsia="zh-CN"/>
        </w:rPr>
        <w:t>分包</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u w:val="single"/>
          <w:lang w:val="en-US" w:eastAsia="zh-CN"/>
        </w:rPr>
        <w:t xml:space="preserve">    </w:t>
      </w:r>
      <w:r>
        <w:rPr>
          <w:rFonts w:hint="eastAsia" w:ascii="宋体" w:hAnsi="宋体" w:eastAsia="宋体" w:cs="宋体"/>
          <w:strike w:val="0"/>
          <w:dstrike w:val="0"/>
          <w:color w:val="auto"/>
          <w:sz w:val="21"/>
          <w:szCs w:val="21"/>
          <w:highlight w:val="none"/>
        </w:rPr>
        <w:t>（标段）</w:t>
      </w:r>
    </w:p>
    <w:tbl>
      <w:tblPr>
        <w:tblStyle w:val="48"/>
        <w:tblW w:w="910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9"/>
        <w:gridCol w:w="921"/>
        <w:gridCol w:w="1028"/>
        <w:gridCol w:w="2268"/>
        <w:gridCol w:w="1276"/>
        <w:gridCol w:w="1240"/>
        <w:gridCol w:w="1246"/>
        <w:gridCol w:w="529"/>
      </w:tblGrid>
      <w:tr w14:paraId="6DFE66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14:paraId="1C6553B1">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序号</w:t>
            </w:r>
          </w:p>
        </w:tc>
        <w:tc>
          <w:tcPr>
            <w:tcW w:w="921" w:type="dxa"/>
            <w:tcBorders>
              <w:top w:val="single" w:color="auto" w:sz="4" w:space="0"/>
              <w:left w:val="single" w:color="auto" w:sz="4" w:space="0"/>
              <w:bottom w:val="single" w:color="auto" w:sz="4" w:space="0"/>
              <w:right w:val="single" w:color="auto" w:sz="4" w:space="0"/>
            </w:tcBorders>
            <w:vAlign w:val="center"/>
          </w:tcPr>
          <w:p w14:paraId="2C5081A8">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奖项名称</w:t>
            </w:r>
          </w:p>
        </w:tc>
        <w:tc>
          <w:tcPr>
            <w:tcW w:w="1028" w:type="dxa"/>
            <w:tcBorders>
              <w:top w:val="single" w:color="auto" w:sz="4" w:space="0"/>
              <w:left w:val="single" w:color="auto" w:sz="4" w:space="0"/>
              <w:bottom w:val="single" w:color="auto" w:sz="4" w:space="0"/>
              <w:right w:val="single" w:color="auto" w:sz="4" w:space="0"/>
            </w:tcBorders>
            <w:vAlign w:val="center"/>
          </w:tcPr>
          <w:p w14:paraId="5F63D87F">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文号（如有）</w:t>
            </w:r>
          </w:p>
        </w:tc>
        <w:tc>
          <w:tcPr>
            <w:tcW w:w="2268" w:type="dxa"/>
            <w:tcBorders>
              <w:top w:val="single" w:color="auto" w:sz="4" w:space="0"/>
              <w:left w:val="single" w:color="auto" w:sz="4" w:space="0"/>
              <w:bottom w:val="single" w:color="auto" w:sz="4" w:space="0"/>
              <w:right w:val="single" w:color="auto" w:sz="4" w:space="0"/>
            </w:tcBorders>
            <w:vAlign w:val="center"/>
          </w:tcPr>
          <w:p w14:paraId="57D13656">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获得人（</w:t>
            </w:r>
            <w:r>
              <w:rPr>
                <w:rFonts w:hint="eastAsia" w:ascii="宋体" w:hAnsi="宋体" w:eastAsia="宋体" w:cs="宋体"/>
                <w:bCs/>
                <w:strike w:val="0"/>
                <w:dstrike w:val="0"/>
                <w:color w:val="auto"/>
                <w:sz w:val="21"/>
                <w:szCs w:val="21"/>
                <w:highlight w:val="none"/>
              </w:rPr>
              <w:t>投标人</w:t>
            </w:r>
            <w:r>
              <w:rPr>
                <w:rFonts w:hint="eastAsia" w:ascii="宋体" w:hAnsi="宋体" w:eastAsia="宋体" w:cs="宋体"/>
                <w:strike w:val="0"/>
                <w:dstrike w:val="0"/>
                <w:color w:val="auto"/>
                <w:sz w:val="21"/>
                <w:szCs w:val="21"/>
                <w:highlight w:val="none"/>
              </w:rPr>
              <w:t>或参与本项目的团队成员）</w:t>
            </w:r>
          </w:p>
        </w:tc>
        <w:tc>
          <w:tcPr>
            <w:tcW w:w="1276" w:type="dxa"/>
            <w:tcBorders>
              <w:top w:val="single" w:color="auto" w:sz="4" w:space="0"/>
              <w:left w:val="single" w:color="auto" w:sz="4" w:space="0"/>
              <w:bottom w:val="single" w:color="auto" w:sz="4" w:space="0"/>
              <w:right w:val="single" w:color="auto" w:sz="4" w:space="0"/>
            </w:tcBorders>
            <w:vAlign w:val="center"/>
          </w:tcPr>
          <w:p w14:paraId="342B5168">
            <w:pPr>
              <w:keepNext w:val="0"/>
              <w:keepLines w:val="0"/>
              <w:pageBreakBefore w:val="0"/>
              <w:kinsoku/>
              <w:topLinePunct w:val="0"/>
              <w:bidi w:val="0"/>
              <w:snapToGrid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奖项等级（市、厅等）</w:t>
            </w:r>
          </w:p>
        </w:tc>
        <w:tc>
          <w:tcPr>
            <w:tcW w:w="1240" w:type="dxa"/>
            <w:tcBorders>
              <w:top w:val="single" w:color="auto" w:sz="4" w:space="0"/>
              <w:left w:val="single" w:color="auto" w:sz="4" w:space="0"/>
              <w:bottom w:val="single" w:color="auto" w:sz="4" w:space="0"/>
              <w:right w:val="single" w:color="auto" w:sz="4" w:space="0"/>
            </w:tcBorders>
            <w:vAlign w:val="center"/>
          </w:tcPr>
          <w:p w14:paraId="24DD420F">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奖项类别（如实填写）</w:t>
            </w:r>
          </w:p>
        </w:tc>
        <w:tc>
          <w:tcPr>
            <w:tcW w:w="1246" w:type="dxa"/>
            <w:tcBorders>
              <w:top w:val="single" w:color="auto" w:sz="4" w:space="0"/>
              <w:left w:val="single" w:color="auto" w:sz="4" w:space="0"/>
              <w:bottom w:val="single" w:color="auto" w:sz="4" w:space="0"/>
              <w:right w:val="single" w:color="auto" w:sz="4" w:space="0"/>
            </w:tcBorders>
            <w:vAlign w:val="center"/>
          </w:tcPr>
          <w:p w14:paraId="007D9833">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证明材料所在页码</w:t>
            </w:r>
          </w:p>
        </w:tc>
        <w:tc>
          <w:tcPr>
            <w:tcW w:w="529" w:type="dxa"/>
            <w:tcBorders>
              <w:top w:val="single" w:color="auto" w:sz="4" w:space="0"/>
              <w:left w:val="single" w:color="auto" w:sz="4" w:space="0"/>
              <w:bottom w:val="single" w:color="auto" w:sz="4" w:space="0"/>
              <w:right w:val="single" w:color="auto" w:sz="4" w:space="0"/>
            </w:tcBorders>
            <w:vAlign w:val="center"/>
          </w:tcPr>
          <w:p w14:paraId="3846296D">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备注</w:t>
            </w:r>
          </w:p>
        </w:tc>
      </w:tr>
      <w:tr w14:paraId="418092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599" w:type="dxa"/>
            <w:tcBorders>
              <w:top w:val="single" w:color="auto" w:sz="4" w:space="0"/>
              <w:left w:val="single" w:color="auto" w:sz="4" w:space="0"/>
              <w:bottom w:val="single" w:color="auto" w:sz="4" w:space="0"/>
              <w:right w:val="single" w:color="auto" w:sz="4" w:space="0"/>
            </w:tcBorders>
          </w:tcPr>
          <w:p w14:paraId="17DC6B3C">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w:t>
            </w:r>
          </w:p>
        </w:tc>
        <w:tc>
          <w:tcPr>
            <w:tcW w:w="921" w:type="dxa"/>
            <w:tcBorders>
              <w:top w:val="single" w:color="auto" w:sz="4" w:space="0"/>
              <w:left w:val="single" w:color="auto" w:sz="4" w:space="0"/>
              <w:bottom w:val="single" w:color="auto" w:sz="4" w:space="0"/>
              <w:right w:val="single" w:color="auto" w:sz="4" w:space="0"/>
            </w:tcBorders>
            <w:vAlign w:val="center"/>
          </w:tcPr>
          <w:p w14:paraId="39DDD871">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028" w:type="dxa"/>
            <w:tcBorders>
              <w:top w:val="single" w:color="auto" w:sz="4" w:space="0"/>
              <w:left w:val="single" w:color="auto" w:sz="4" w:space="0"/>
              <w:bottom w:val="single" w:color="auto" w:sz="4" w:space="0"/>
              <w:right w:val="single" w:color="auto" w:sz="4" w:space="0"/>
            </w:tcBorders>
            <w:vAlign w:val="center"/>
          </w:tcPr>
          <w:p w14:paraId="07B866DC">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4F5D5549">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232F3A43">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40" w:type="dxa"/>
            <w:tcBorders>
              <w:top w:val="single" w:color="auto" w:sz="4" w:space="0"/>
              <w:left w:val="single" w:color="auto" w:sz="4" w:space="0"/>
              <w:bottom w:val="single" w:color="auto" w:sz="4" w:space="0"/>
              <w:right w:val="single" w:color="auto" w:sz="4" w:space="0"/>
            </w:tcBorders>
            <w:vAlign w:val="center"/>
          </w:tcPr>
          <w:p w14:paraId="4F3BB140">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14:paraId="4C009F0D">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529" w:type="dxa"/>
            <w:tcBorders>
              <w:top w:val="single" w:color="auto" w:sz="4" w:space="0"/>
              <w:left w:val="single" w:color="auto" w:sz="4" w:space="0"/>
              <w:bottom w:val="single" w:color="auto" w:sz="4" w:space="0"/>
              <w:right w:val="single" w:color="auto" w:sz="4" w:space="0"/>
            </w:tcBorders>
            <w:vAlign w:val="center"/>
          </w:tcPr>
          <w:p w14:paraId="0732BE8B">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r>
      <w:tr w14:paraId="0AA83B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599" w:type="dxa"/>
            <w:tcBorders>
              <w:top w:val="single" w:color="auto" w:sz="4" w:space="0"/>
              <w:left w:val="single" w:color="auto" w:sz="4" w:space="0"/>
              <w:bottom w:val="single" w:color="auto" w:sz="4" w:space="0"/>
              <w:right w:val="single" w:color="auto" w:sz="4" w:space="0"/>
            </w:tcBorders>
          </w:tcPr>
          <w:p w14:paraId="48E332AA">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w:t>
            </w:r>
          </w:p>
        </w:tc>
        <w:tc>
          <w:tcPr>
            <w:tcW w:w="921" w:type="dxa"/>
            <w:tcBorders>
              <w:top w:val="single" w:color="auto" w:sz="4" w:space="0"/>
              <w:left w:val="single" w:color="auto" w:sz="4" w:space="0"/>
              <w:bottom w:val="single" w:color="auto" w:sz="4" w:space="0"/>
              <w:right w:val="single" w:color="auto" w:sz="4" w:space="0"/>
            </w:tcBorders>
            <w:vAlign w:val="center"/>
          </w:tcPr>
          <w:p w14:paraId="7674CC67">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028" w:type="dxa"/>
            <w:tcBorders>
              <w:top w:val="single" w:color="auto" w:sz="4" w:space="0"/>
              <w:left w:val="single" w:color="auto" w:sz="4" w:space="0"/>
              <w:bottom w:val="single" w:color="auto" w:sz="4" w:space="0"/>
              <w:right w:val="single" w:color="auto" w:sz="4" w:space="0"/>
            </w:tcBorders>
            <w:vAlign w:val="center"/>
          </w:tcPr>
          <w:p w14:paraId="12A940E5">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49D5F562">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41B5CDC2">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40" w:type="dxa"/>
            <w:tcBorders>
              <w:top w:val="single" w:color="auto" w:sz="4" w:space="0"/>
              <w:left w:val="single" w:color="auto" w:sz="4" w:space="0"/>
              <w:bottom w:val="single" w:color="auto" w:sz="4" w:space="0"/>
              <w:right w:val="single" w:color="auto" w:sz="4" w:space="0"/>
            </w:tcBorders>
            <w:vAlign w:val="center"/>
          </w:tcPr>
          <w:p w14:paraId="4D1B6F88">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14:paraId="52C2845D">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529" w:type="dxa"/>
            <w:tcBorders>
              <w:top w:val="single" w:color="auto" w:sz="4" w:space="0"/>
              <w:left w:val="single" w:color="auto" w:sz="4" w:space="0"/>
              <w:bottom w:val="single" w:color="auto" w:sz="4" w:space="0"/>
              <w:right w:val="single" w:color="auto" w:sz="4" w:space="0"/>
            </w:tcBorders>
            <w:vAlign w:val="center"/>
          </w:tcPr>
          <w:p w14:paraId="67BC32BC">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r>
      <w:tr w14:paraId="52DF22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599" w:type="dxa"/>
            <w:tcBorders>
              <w:top w:val="single" w:color="auto" w:sz="4" w:space="0"/>
              <w:left w:val="single" w:color="auto" w:sz="4" w:space="0"/>
              <w:bottom w:val="single" w:color="auto" w:sz="4" w:space="0"/>
              <w:right w:val="single" w:color="auto" w:sz="4" w:space="0"/>
            </w:tcBorders>
          </w:tcPr>
          <w:p w14:paraId="23219118">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w:t>
            </w:r>
          </w:p>
        </w:tc>
        <w:tc>
          <w:tcPr>
            <w:tcW w:w="921" w:type="dxa"/>
            <w:tcBorders>
              <w:top w:val="single" w:color="auto" w:sz="4" w:space="0"/>
              <w:left w:val="single" w:color="auto" w:sz="4" w:space="0"/>
              <w:bottom w:val="single" w:color="auto" w:sz="4" w:space="0"/>
              <w:right w:val="single" w:color="auto" w:sz="4" w:space="0"/>
            </w:tcBorders>
            <w:vAlign w:val="center"/>
          </w:tcPr>
          <w:p w14:paraId="49271675">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028" w:type="dxa"/>
            <w:tcBorders>
              <w:top w:val="single" w:color="auto" w:sz="4" w:space="0"/>
              <w:left w:val="single" w:color="auto" w:sz="4" w:space="0"/>
              <w:bottom w:val="single" w:color="auto" w:sz="4" w:space="0"/>
              <w:right w:val="single" w:color="auto" w:sz="4" w:space="0"/>
            </w:tcBorders>
            <w:vAlign w:val="center"/>
          </w:tcPr>
          <w:p w14:paraId="289278ED">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1D8D2198">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52E3A73C">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40" w:type="dxa"/>
            <w:tcBorders>
              <w:top w:val="single" w:color="auto" w:sz="4" w:space="0"/>
              <w:left w:val="single" w:color="auto" w:sz="4" w:space="0"/>
              <w:bottom w:val="single" w:color="auto" w:sz="4" w:space="0"/>
              <w:right w:val="single" w:color="auto" w:sz="4" w:space="0"/>
            </w:tcBorders>
            <w:vAlign w:val="center"/>
          </w:tcPr>
          <w:p w14:paraId="441BC095">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14:paraId="20F3B0F9">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529" w:type="dxa"/>
            <w:tcBorders>
              <w:top w:val="single" w:color="auto" w:sz="4" w:space="0"/>
              <w:left w:val="single" w:color="auto" w:sz="4" w:space="0"/>
              <w:bottom w:val="single" w:color="auto" w:sz="4" w:space="0"/>
              <w:right w:val="single" w:color="auto" w:sz="4" w:space="0"/>
            </w:tcBorders>
            <w:vAlign w:val="center"/>
          </w:tcPr>
          <w:p w14:paraId="737A587E">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r>
      <w:tr w14:paraId="11DBE3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599" w:type="dxa"/>
            <w:tcBorders>
              <w:top w:val="single" w:color="auto" w:sz="4" w:space="0"/>
              <w:left w:val="single" w:color="auto" w:sz="4" w:space="0"/>
              <w:bottom w:val="single" w:color="auto" w:sz="4" w:space="0"/>
              <w:right w:val="single" w:color="auto" w:sz="4" w:space="0"/>
            </w:tcBorders>
          </w:tcPr>
          <w:p w14:paraId="0E6A5051">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921" w:type="dxa"/>
            <w:tcBorders>
              <w:top w:val="single" w:color="auto" w:sz="4" w:space="0"/>
              <w:left w:val="single" w:color="auto" w:sz="4" w:space="0"/>
              <w:bottom w:val="single" w:color="auto" w:sz="4" w:space="0"/>
              <w:right w:val="single" w:color="auto" w:sz="4" w:space="0"/>
            </w:tcBorders>
            <w:vAlign w:val="center"/>
          </w:tcPr>
          <w:p w14:paraId="223FA2C6">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028" w:type="dxa"/>
            <w:tcBorders>
              <w:top w:val="single" w:color="auto" w:sz="4" w:space="0"/>
              <w:left w:val="single" w:color="auto" w:sz="4" w:space="0"/>
              <w:bottom w:val="single" w:color="auto" w:sz="4" w:space="0"/>
              <w:right w:val="single" w:color="auto" w:sz="4" w:space="0"/>
            </w:tcBorders>
            <w:vAlign w:val="center"/>
          </w:tcPr>
          <w:p w14:paraId="46D6A483">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01CA0B06">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57A82985">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40" w:type="dxa"/>
            <w:tcBorders>
              <w:top w:val="single" w:color="auto" w:sz="4" w:space="0"/>
              <w:left w:val="single" w:color="auto" w:sz="4" w:space="0"/>
              <w:bottom w:val="single" w:color="auto" w:sz="4" w:space="0"/>
              <w:right w:val="single" w:color="auto" w:sz="4" w:space="0"/>
            </w:tcBorders>
            <w:vAlign w:val="center"/>
          </w:tcPr>
          <w:p w14:paraId="6CE6FF08">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14:paraId="32247C32">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529" w:type="dxa"/>
            <w:tcBorders>
              <w:top w:val="single" w:color="auto" w:sz="4" w:space="0"/>
              <w:left w:val="single" w:color="auto" w:sz="4" w:space="0"/>
              <w:bottom w:val="single" w:color="auto" w:sz="4" w:space="0"/>
              <w:right w:val="single" w:color="auto" w:sz="4" w:space="0"/>
            </w:tcBorders>
            <w:vAlign w:val="center"/>
          </w:tcPr>
          <w:p w14:paraId="3DE17F5C">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r>
    </w:tbl>
    <w:p w14:paraId="1570191E">
      <w:pPr>
        <w:pStyle w:val="28"/>
        <w:keepNext w:val="0"/>
        <w:keepLines w:val="0"/>
        <w:pageBreakBefore w:val="0"/>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注：投标人按采购需求及评分办法要求对格式自行编制，须随表提交相应的证书复印件。</w:t>
      </w:r>
    </w:p>
    <w:p w14:paraId="554B2A8E">
      <w:pPr>
        <w:keepNext w:val="0"/>
        <w:keepLines w:val="0"/>
        <w:pageBreakBefore w:val="0"/>
        <w:kinsoku/>
        <w:topLinePunct w:val="0"/>
        <w:bidi w:val="0"/>
        <w:snapToGrid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 xml:space="preserve"> </w:t>
      </w:r>
    </w:p>
    <w:p w14:paraId="75C7E737">
      <w:pPr>
        <w:keepNext w:val="0"/>
        <w:keepLines w:val="0"/>
        <w:pageBreakBefore w:val="0"/>
        <w:kinsoku/>
        <w:topLinePunct w:val="0"/>
        <w:bidi w:val="0"/>
        <w:snapToGrid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 xml:space="preserve"> </w:t>
      </w:r>
    </w:p>
    <w:p w14:paraId="6D36418C">
      <w:pPr>
        <w:keepNext w:val="0"/>
        <w:keepLines w:val="0"/>
        <w:pageBreakBefore w:val="0"/>
        <w:kinsoku/>
        <w:topLinePunct w:val="0"/>
        <w:bidi w:val="0"/>
        <w:spacing w:line="400" w:lineRule="exact"/>
        <w:ind w:left="3990" w:leftChars="1900"/>
        <w:contextualSpacing/>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 xml:space="preserve">投标人（电子签章）： </w:t>
      </w:r>
      <w:r>
        <w:rPr>
          <w:rFonts w:hint="eastAsia" w:ascii="宋体" w:hAnsi="宋体" w:eastAsia="宋体" w:cs="宋体"/>
          <w:strike w:val="0"/>
          <w:dstrike w:val="0"/>
          <w:color w:val="auto"/>
          <w:sz w:val="21"/>
          <w:szCs w:val="21"/>
          <w:highlight w:val="none"/>
          <w:u w:val="single"/>
        </w:rPr>
        <w:t xml:space="preserve">                        </w:t>
      </w:r>
    </w:p>
    <w:p w14:paraId="741AB054">
      <w:pPr>
        <w:keepNext w:val="0"/>
        <w:keepLines w:val="0"/>
        <w:pageBreakBefore w:val="0"/>
        <w:kinsoku/>
        <w:topLinePunct w:val="0"/>
        <w:bidi w:val="0"/>
        <w:spacing w:line="400" w:lineRule="exact"/>
        <w:ind w:left="3990" w:leftChars="1900"/>
        <w:contextualSpacing/>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年</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月</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日</w:t>
      </w:r>
    </w:p>
    <w:p w14:paraId="359EA8A8">
      <w:pPr>
        <w:keepNext w:val="0"/>
        <w:keepLines w:val="0"/>
        <w:pageBreakBefore w:val="0"/>
        <w:kinsoku/>
        <w:topLinePunct w:val="0"/>
        <w:bidi w:val="0"/>
        <w:snapToGrid w:val="0"/>
        <w:spacing w:beforeLines="50" w:after="50" w:line="400" w:lineRule="exact"/>
        <w:ind w:left="142"/>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12.相关业绩一览表格式</w:t>
      </w:r>
    </w:p>
    <w:p w14:paraId="4DC575B2">
      <w:pPr>
        <w:keepNext w:val="0"/>
        <w:keepLines w:val="0"/>
        <w:pageBreakBefore w:val="0"/>
        <w:kinsoku/>
        <w:topLinePunct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相关业绩一览表</w:t>
      </w:r>
    </w:p>
    <w:p w14:paraId="7A2F20DE">
      <w:pPr>
        <w:pStyle w:val="28"/>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所投</w:t>
      </w:r>
      <w:r>
        <w:rPr>
          <w:rFonts w:hint="eastAsia" w:ascii="宋体" w:hAnsi="宋体" w:eastAsia="宋体" w:cs="宋体"/>
          <w:strike w:val="0"/>
          <w:dstrike w:val="0"/>
          <w:color w:val="auto"/>
          <w:sz w:val="21"/>
          <w:szCs w:val="21"/>
          <w:highlight w:val="none"/>
          <w:lang w:val="en-US" w:eastAsia="zh-CN"/>
        </w:rPr>
        <w:t>包号</w:t>
      </w: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z w:val="21"/>
          <w:szCs w:val="21"/>
          <w:highlight w:val="none"/>
          <w:lang w:val="en-US" w:eastAsia="zh-CN"/>
        </w:rPr>
        <w:t>分包</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u w:val="single"/>
          <w:lang w:val="en-US" w:eastAsia="zh-CN"/>
        </w:rPr>
        <w:t xml:space="preserve">    </w:t>
      </w:r>
      <w:r>
        <w:rPr>
          <w:rFonts w:hint="eastAsia" w:ascii="宋体" w:hAnsi="宋体" w:eastAsia="宋体" w:cs="宋体"/>
          <w:strike w:val="0"/>
          <w:dstrike w:val="0"/>
          <w:color w:val="auto"/>
          <w:sz w:val="21"/>
          <w:szCs w:val="21"/>
          <w:highlight w:val="none"/>
        </w:rPr>
        <w:t>（标段）</w:t>
      </w:r>
    </w:p>
    <w:tbl>
      <w:tblPr>
        <w:tblStyle w:val="48"/>
        <w:tblW w:w="881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6"/>
        <w:gridCol w:w="919"/>
        <w:gridCol w:w="1134"/>
        <w:gridCol w:w="1134"/>
        <w:gridCol w:w="2274"/>
        <w:gridCol w:w="1284"/>
        <w:gridCol w:w="1450"/>
      </w:tblGrid>
      <w:tr w14:paraId="38C52A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616" w:type="dxa"/>
            <w:tcBorders>
              <w:top w:val="single" w:color="auto" w:sz="4" w:space="0"/>
              <w:left w:val="single" w:color="auto" w:sz="4" w:space="0"/>
              <w:bottom w:val="single" w:color="auto" w:sz="4" w:space="0"/>
              <w:right w:val="single" w:color="auto" w:sz="4" w:space="0"/>
            </w:tcBorders>
            <w:vAlign w:val="center"/>
          </w:tcPr>
          <w:p w14:paraId="371CD40D">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序号</w:t>
            </w:r>
          </w:p>
        </w:tc>
        <w:tc>
          <w:tcPr>
            <w:tcW w:w="919" w:type="dxa"/>
            <w:tcBorders>
              <w:top w:val="single" w:color="auto" w:sz="4" w:space="0"/>
              <w:left w:val="single" w:color="auto" w:sz="4" w:space="0"/>
              <w:bottom w:val="single" w:color="auto" w:sz="4" w:space="0"/>
              <w:right w:val="single" w:color="auto" w:sz="4" w:space="0"/>
            </w:tcBorders>
            <w:vAlign w:val="center"/>
          </w:tcPr>
          <w:p w14:paraId="46A650CB">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采购人名称</w:t>
            </w:r>
          </w:p>
        </w:tc>
        <w:tc>
          <w:tcPr>
            <w:tcW w:w="1134" w:type="dxa"/>
            <w:tcBorders>
              <w:top w:val="single" w:color="auto" w:sz="4" w:space="0"/>
              <w:left w:val="single" w:color="auto" w:sz="4" w:space="0"/>
              <w:bottom w:val="single" w:color="auto" w:sz="4" w:space="0"/>
              <w:right w:val="single" w:color="auto" w:sz="4" w:space="0"/>
            </w:tcBorders>
            <w:vAlign w:val="center"/>
          </w:tcPr>
          <w:p w14:paraId="24EE3F0E">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项目名称及编号</w:t>
            </w:r>
          </w:p>
        </w:tc>
        <w:tc>
          <w:tcPr>
            <w:tcW w:w="1134" w:type="dxa"/>
            <w:tcBorders>
              <w:top w:val="single" w:color="auto" w:sz="4" w:space="0"/>
              <w:left w:val="single" w:color="auto" w:sz="4" w:space="0"/>
              <w:bottom w:val="single" w:color="auto" w:sz="4" w:space="0"/>
              <w:right w:val="single" w:color="auto" w:sz="4" w:space="0"/>
            </w:tcBorders>
            <w:vAlign w:val="center"/>
          </w:tcPr>
          <w:p w14:paraId="25DFFA12">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合同金额</w:t>
            </w:r>
          </w:p>
          <w:p w14:paraId="2F99AAF4">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（万元）</w:t>
            </w:r>
          </w:p>
        </w:tc>
        <w:tc>
          <w:tcPr>
            <w:tcW w:w="2274" w:type="dxa"/>
            <w:tcBorders>
              <w:top w:val="single" w:color="auto" w:sz="4" w:space="0"/>
              <w:left w:val="single" w:color="auto" w:sz="4" w:space="0"/>
              <w:bottom w:val="single" w:color="auto" w:sz="4" w:space="0"/>
              <w:right w:val="single" w:color="auto" w:sz="4" w:space="0"/>
            </w:tcBorders>
            <w:vAlign w:val="center"/>
          </w:tcPr>
          <w:p w14:paraId="6E97D279">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证明材料（</w:t>
            </w:r>
            <w:r>
              <w:rPr>
                <w:rFonts w:hint="eastAsia" w:ascii="宋体" w:hAnsi="宋体" w:eastAsia="宋体" w:cs="宋体"/>
                <w:bCs/>
                <w:strike w:val="0"/>
                <w:dstrike w:val="0"/>
                <w:color w:val="auto"/>
                <w:sz w:val="21"/>
                <w:szCs w:val="21"/>
                <w:highlight w:val="none"/>
              </w:rPr>
              <w:t>中标通知书、项目合同或验收报告或其他履行合同</w:t>
            </w:r>
            <w:r>
              <w:rPr>
                <w:rFonts w:hint="eastAsia" w:ascii="宋体" w:hAnsi="宋体" w:eastAsia="宋体" w:cs="宋体"/>
                <w:strike w:val="0"/>
                <w:dstrike w:val="0"/>
                <w:color w:val="auto"/>
                <w:sz w:val="21"/>
                <w:szCs w:val="21"/>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54D49586">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证明材料所在页码</w:t>
            </w:r>
          </w:p>
        </w:tc>
        <w:tc>
          <w:tcPr>
            <w:tcW w:w="1450" w:type="dxa"/>
            <w:tcBorders>
              <w:top w:val="single" w:color="auto" w:sz="4" w:space="0"/>
              <w:left w:val="single" w:color="auto" w:sz="4" w:space="0"/>
              <w:bottom w:val="single" w:color="auto" w:sz="4" w:space="0"/>
              <w:right w:val="single" w:color="auto" w:sz="4" w:space="0"/>
            </w:tcBorders>
            <w:vAlign w:val="center"/>
          </w:tcPr>
          <w:p w14:paraId="3D1ECAA9">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采购人联系人及联系电话</w:t>
            </w:r>
          </w:p>
        </w:tc>
      </w:tr>
      <w:tr w14:paraId="5B07C9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616" w:type="dxa"/>
            <w:tcBorders>
              <w:top w:val="single" w:color="auto" w:sz="4" w:space="0"/>
              <w:left w:val="single" w:color="auto" w:sz="4" w:space="0"/>
              <w:bottom w:val="single" w:color="auto" w:sz="4" w:space="0"/>
              <w:right w:val="single" w:color="auto" w:sz="4" w:space="0"/>
            </w:tcBorders>
          </w:tcPr>
          <w:p w14:paraId="4E4C9470">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w:t>
            </w:r>
          </w:p>
        </w:tc>
        <w:tc>
          <w:tcPr>
            <w:tcW w:w="919" w:type="dxa"/>
            <w:tcBorders>
              <w:top w:val="single" w:color="auto" w:sz="4" w:space="0"/>
              <w:left w:val="single" w:color="auto" w:sz="4" w:space="0"/>
              <w:bottom w:val="single" w:color="auto" w:sz="4" w:space="0"/>
              <w:right w:val="single" w:color="auto" w:sz="4" w:space="0"/>
            </w:tcBorders>
            <w:vAlign w:val="center"/>
          </w:tcPr>
          <w:p w14:paraId="3A05C749">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41D0644">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2DBD99C">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370717D1">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5C540001">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450" w:type="dxa"/>
            <w:tcBorders>
              <w:top w:val="single" w:color="auto" w:sz="4" w:space="0"/>
              <w:left w:val="single" w:color="auto" w:sz="4" w:space="0"/>
              <w:bottom w:val="single" w:color="auto" w:sz="4" w:space="0"/>
              <w:right w:val="single" w:color="auto" w:sz="4" w:space="0"/>
            </w:tcBorders>
            <w:vAlign w:val="center"/>
          </w:tcPr>
          <w:p w14:paraId="717BB3A5">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r>
      <w:tr w14:paraId="439E54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616" w:type="dxa"/>
            <w:tcBorders>
              <w:top w:val="single" w:color="auto" w:sz="4" w:space="0"/>
              <w:left w:val="single" w:color="auto" w:sz="4" w:space="0"/>
              <w:bottom w:val="single" w:color="auto" w:sz="4" w:space="0"/>
              <w:right w:val="single" w:color="auto" w:sz="4" w:space="0"/>
            </w:tcBorders>
          </w:tcPr>
          <w:p w14:paraId="71E08E16">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w:t>
            </w:r>
          </w:p>
        </w:tc>
        <w:tc>
          <w:tcPr>
            <w:tcW w:w="919" w:type="dxa"/>
            <w:tcBorders>
              <w:top w:val="single" w:color="auto" w:sz="4" w:space="0"/>
              <w:left w:val="single" w:color="auto" w:sz="4" w:space="0"/>
              <w:bottom w:val="single" w:color="auto" w:sz="4" w:space="0"/>
              <w:right w:val="single" w:color="auto" w:sz="4" w:space="0"/>
            </w:tcBorders>
            <w:vAlign w:val="center"/>
          </w:tcPr>
          <w:p w14:paraId="5E621377">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47F931C">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B853E29">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7964108F">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77D06A3A">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450" w:type="dxa"/>
            <w:tcBorders>
              <w:top w:val="single" w:color="auto" w:sz="4" w:space="0"/>
              <w:left w:val="single" w:color="auto" w:sz="4" w:space="0"/>
              <w:bottom w:val="single" w:color="auto" w:sz="4" w:space="0"/>
              <w:right w:val="single" w:color="auto" w:sz="4" w:space="0"/>
            </w:tcBorders>
            <w:vAlign w:val="center"/>
          </w:tcPr>
          <w:p w14:paraId="4C04BE1A">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r>
      <w:tr w14:paraId="03B0FA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616" w:type="dxa"/>
            <w:tcBorders>
              <w:top w:val="single" w:color="auto" w:sz="4" w:space="0"/>
              <w:left w:val="single" w:color="auto" w:sz="4" w:space="0"/>
              <w:bottom w:val="single" w:color="auto" w:sz="4" w:space="0"/>
              <w:right w:val="single" w:color="auto" w:sz="4" w:space="0"/>
            </w:tcBorders>
          </w:tcPr>
          <w:p w14:paraId="41CBFD59">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w:t>
            </w:r>
          </w:p>
        </w:tc>
        <w:tc>
          <w:tcPr>
            <w:tcW w:w="919" w:type="dxa"/>
            <w:tcBorders>
              <w:top w:val="single" w:color="auto" w:sz="4" w:space="0"/>
              <w:left w:val="single" w:color="auto" w:sz="4" w:space="0"/>
              <w:bottom w:val="single" w:color="auto" w:sz="4" w:space="0"/>
              <w:right w:val="single" w:color="auto" w:sz="4" w:space="0"/>
            </w:tcBorders>
            <w:vAlign w:val="center"/>
          </w:tcPr>
          <w:p w14:paraId="4CA23C66">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8D04BF0">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508412C">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36865BD5">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6EC2DE30">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450" w:type="dxa"/>
            <w:tcBorders>
              <w:top w:val="single" w:color="auto" w:sz="4" w:space="0"/>
              <w:left w:val="single" w:color="auto" w:sz="4" w:space="0"/>
              <w:bottom w:val="single" w:color="auto" w:sz="4" w:space="0"/>
              <w:right w:val="single" w:color="auto" w:sz="4" w:space="0"/>
            </w:tcBorders>
            <w:vAlign w:val="center"/>
          </w:tcPr>
          <w:p w14:paraId="0BEAE5F5">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r>
      <w:tr w14:paraId="3FB7C9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616" w:type="dxa"/>
            <w:tcBorders>
              <w:top w:val="single" w:color="auto" w:sz="4" w:space="0"/>
              <w:left w:val="single" w:color="auto" w:sz="4" w:space="0"/>
              <w:bottom w:val="single" w:color="auto" w:sz="4" w:space="0"/>
              <w:right w:val="single" w:color="auto" w:sz="4" w:space="0"/>
            </w:tcBorders>
          </w:tcPr>
          <w:p w14:paraId="3D1DA87E">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919" w:type="dxa"/>
            <w:tcBorders>
              <w:top w:val="single" w:color="auto" w:sz="4" w:space="0"/>
              <w:left w:val="single" w:color="auto" w:sz="4" w:space="0"/>
              <w:bottom w:val="single" w:color="auto" w:sz="4" w:space="0"/>
              <w:right w:val="single" w:color="auto" w:sz="4" w:space="0"/>
            </w:tcBorders>
            <w:vAlign w:val="center"/>
          </w:tcPr>
          <w:p w14:paraId="0372FE9C">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1F2ABE3">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A6522B8">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5516B4D8">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2293B7AE">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450" w:type="dxa"/>
            <w:tcBorders>
              <w:top w:val="single" w:color="auto" w:sz="4" w:space="0"/>
              <w:left w:val="single" w:color="auto" w:sz="4" w:space="0"/>
              <w:bottom w:val="single" w:color="auto" w:sz="4" w:space="0"/>
              <w:right w:val="single" w:color="auto" w:sz="4" w:space="0"/>
            </w:tcBorders>
            <w:vAlign w:val="center"/>
          </w:tcPr>
          <w:p w14:paraId="711E8CD5">
            <w:pPr>
              <w:keepNext w:val="0"/>
              <w:keepLines w:val="0"/>
              <w:pageBreakBefore w:val="0"/>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r>
    </w:tbl>
    <w:p w14:paraId="068F5EE6">
      <w:pPr>
        <w:pStyle w:val="28"/>
        <w:keepNext w:val="0"/>
        <w:keepLines w:val="0"/>
        <w:pageBreakBefore w:val="0"/>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注：投标人按采购需求及评分办法要求对格式自行编制，须随表提交相应的证书复印件。</w:t>
      </w:r>
    </w:p>
    <w:p w14:paraId="0EC287A9">
      <w:pPr>
        <w:keepNext w:val="0"/>
        <w:keepLines w:val="0"/>
        <w:pageBreakBefore w:val="0"/>
        <w:kinsoku/>
        <w:topLinePunct w:val="0"/>
        <w:bidi w:val="0"/>
        <w:snapToGrid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 xml:space="preserve"> </w:t>
      </w:r>
    </w:p>
    <w:p w14:paraId="7146D628">
      <w:pPr>
        <w:keepNext w:val="0"/>
        <w:keepLines w:val="0"/>
        <w:pageBreakBefore w:val="0"/>
        <w:kinsoku/>
        <w:topLinePunct w:val="0"/>
        <w:bidi w:val="0"/>
        <w:snapToGrid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 xml:space="preserve"> </w:t>
      </w:r>
    </w:p>
    <w:p w14:paraId="40BAFD13">
      <w:pPr>
        <w:keepNext w:val="0"/>
        <w:keepLines w:val="0"/>
        <w:pageBreakBefore w:val="0"/>
        <w:kinsoku/>
        <w:topLinePunct w:val="0"/>
        <w:bidi w:val="0"/>
        <w:spacing w:line="400" w:lineRule="exact"/>
        <w:ind w:left="3990" w:leftChars="1900"/>
        <w:contextualSpacing/>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 xml:space="preserve">投标人（电子签章）： </w:t>
      </w:r>
      <w:r>
        <w:rPr>
          <w:rFonts w:hint="eastAsia" w:ascii="宋体" w:hAnsi="宋体" w:eastAsia="宋体" w:cs="宋体"/>
          <w:strike w:val="0"/>
          <w:dstrike w:val="0"/>
          <w:color w:val="auto"/>
          <w:sz w:val="21"/>
          <w:szCs w:val="21"/>
          <w:highlight w:val="none"/>
          <w:u w:val="single"/>
        </w:rPr>
        <w:t xml:space="preserve">                        </w:t>
      </w:r>
    </w:p>
    <w:p w14:paraId="6748E9D1">
      <w:pPr>
        <w:keepNext w:val="0"/>
        <w:keepLines w:val="0"/>
        <w:pageBreakBefore w:val="0"/>
        <w:kinsoku/>
        <w:topLinePunct w:val="0"/>
        <w:bidi w:val="0"/>
        <w:spacing w:line="400" w:lineRule="exact"/>
        <w:ind w:left="3990" w:leftChars="1900"/>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年</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月</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日</w:t>
      </w:r>
    </w:p>
    <w:p w14:paraId="42F0F60C">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p w14:paraId="16E21D9B">
      <w:pPr>
        <w:keepNext w:val="0"/>
        <w:keepLines w:val="0"/>
        <w:pageBreakBefore w:val="0"/>
        <w:widowControl/>
        <w:kinsoku/>
        <w:topLinePunct w:val="0"/>
        <w:bidi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br w:type="page"/>
      </w:r>
    </w:p>
    <w:p w14:paraId="66737377">
      <w:pPr>
        <w:keepNext w:val="0"/>
        <w:keepLines w:val="0"/>
        <w:pageBreakBefore w:val="0"/>
        <w:kinsoku/>
        <w:topLinePunct w:val="0"/>
        <w:bidi w:val="0"/>
        <w:snapToGrid w:val="0"/>
        <w:spacing w:beforeLines="50" w:after="50" w:line="400" w:lineRule="exact"/>
        <w:ind w:left="142"/>
        <w:jc w:val="left"/>
        <w:outlineLvl w:val="1"/>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五、其他文书、文件格式</w:t>
      </w:r>
    </w:p>
    <w:p w14:paraId="0933CA4D">
      <w:pPr>
        <w:keepNext w:val="0"/>
        <w:keepLines w:val="0"/>
        <w:pageBreakBefore w:val="0"/>
        <w:kinsoku/>
        <w:topLinePunct w:val="0"/>
        <w:bidi w:val="0"/>
        <w:snapToGrid w:val="0"/>
        <w:spacing w:beforeLines="50" w:after="50" w:line="400" w:lineRule="exact"/>
        <w:jc w:val="left"/>
        <w:outlineLvl w:val="2"/>
        <w:rPr>
          <w:rFonts w:hint="eastAsia" w:ascii="宋体" w:hAnsi="宋体" w:eastAsia="宋体" w:cs="宋体"/>
          <w:strike w:val="0"/>
          <w:dstrike w:val="0"/>
          <w:color w:val="auto"/>
          <w:sz w:val="21"/>
          <w:szCs w:val="21"/>
          <w:highlight w:val="none"/>
        </w:rPr>
      </w:pPr>
      <w:r>
        <w:rPr>
          <w:rFonts w:hint="eastAsia" w:ascii="宋体" w:hAnsi="宋体" w:eastAsia="宋体" w:cs="宋体"/>
          <w:b/>
          <w:strike w:val="0"/>
          <w:dstrike w:val="0"/>
          <w:color w:val="auto"/>
          <w:sz w:val="21"/>
          <w:szCs w:val="21"/>
          <w:highlight w:val="none"/>
          <w:lang w:val="en-US" w:eastAsia="zh-CN"/>
        </w:rPr>
        <w:t>1.</w:t>
      </w:r>
      <w:r>
        <w:rPr>
          <w:rFonts w:hint="eastAsia" w:ascii="宋体" w:hAnsi="宋体" w:eastAsia="宋体" w:cs="宋体"/>
          <w:b/>
          <w:strike w:val="0"/>
          <w:dstrike w:val="0"/>
          <w:color w:val="auto"/>
          <w:sz w:val="21"/>
          <w:szCs w:val="21"/>
          <w:highlight w:val="none"/>
        </w:rPr>
        <w:t>中小企业声明函格式</w:t>
      </w:r>
    </w:p>
    <w:p w14:paraId="4A6AD2EF">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p w14:paraId="0D396BAC">
      <w:pPr>
        <w:keepNext w:val="0"/>
        <w:keepLines w:val="0"/>
        <w:pageBreakBefore w:val="0"/>
        <w:kinsoku/>
        <w:topLinePunct w:val="0"/>
        <w:bidi w:val="0"/>
        <w:snapToGrid w:val="0"/>
        <w:spacing w:before="50" w:after="50" w:line="400" w:lineRule="exact"/>
        <w:jc w:val="center"/>
        <w:outlineLvl w:val="1"/>
        <w:rPr>
          <w:rFonts w:hint="eastAsia" w:ascii="宋体" w:hAnsi="宋体" w:eastAsia="宋体" w:cs="宋体"/>
          <w:b/>
          <w:strike w:val="0"/>
          <w:dstrike w:val="0"/>
          <w:color w:val="auto"/>
          <w:sz w:val="21"/>
          <w:szCs w:val="21"/>
          <w:highlight w:val="none"/>
          <w:lang w:eastAsia="zh-CN"/>
        </w:rPr>
      </w:pPr>
      <w:bookmarkStart w:id="317" w:name="_Toc71365926"/>
      <w:r>
        <w:rPr>
          <w:rFonts w:hint="eastAsia" w:ascii="宋体" w:hAnsi="宋体" w:eastAsia="宋体" w:cs="宋体"/>
          <w:b/>
          <w:strike w:val="0"/>
          <w:dstrike w:val="0"/>
          <w:color w:val="auto"/>
          <w:sz w:val="21"/>
          <w:szCs w:val="21"/>
          <w:highlight w:val="none"/>
        </w:rPr>
        <w:t>中小企业声明函（服务）</w:t>
      </w:r>
      <w:bookmarkEnd w:id="317"/>
    </w:p>
    <w:p w14:paraId="583C9282">
      <w:pPr>
        <w:pStyle w:val="41"/>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p w14:paraId="66EC038C">
      <w:pPr>
        <w:keepNext w:val="0"/>
        <w:keepLines w:val="0"/>
        <w:pageBreakBefore w:val="0"/>
        <w:kinsoku/>
        <w:topLinePunct w:val="0"/>
        <w:bidi w:val="0"/>
        <w:spacing w:line="400" w:lineRule="exact"/>
        <w:ind w:right="142" w:firstLine="617" w:firstLineChars="294"/>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本公司（联合体）郑重声明，根据《政府采购促进中小企业发展管理办法》（财库﹝2020﹞46号）的规定，本公司（联合体）参加</w:t>
      </w:r>
      <w:bookmarkStart w:id="318" w:name="OLE_LINK291"/>
      <w:r>
        <w:rPr>
          <w:rFonts w:hint="eastAsia" w:ascii="宋体" w:hAnsi="宋体" w:eastAsia="宋体" w:cs="宋体"/>
          <w:strike w:val="0"/>
          <w:dstrike w:val="0"/>
          <w:color w:val="auto"/>
          <w:sz w:val="21"/>
          <w:szCs w:val="21"/>
          <w:highlight w:val="none"/>
          <w:u w:val="single"/>
        </w:rPr>
        <w:t>（采购人）</w:t>
      </w:r>
      <w:r>
        <w:rPr>
          <w:rFonts w:hint="eastAsia" w:ascii="宋体" w:hAnsi="宋体" w:eastAsia="宋体" w:cs="宋体"/>
          <w:strike w:val="0"/>
          <w:dstrike w:val="0"/>
          <w:color w:val="auto"/>
          <w:sz w:val="21"/>
          <w:szCs w:val="21"/>
          <w:highlight w:val="none"/>
        </w:rPr>
        <w:t>的</w:t>
      </w:r>
      <w:r>
        <w:rPr>
          <w:rFonts w:hint="eastAsia" w:ascii="宋体" w:hAnsi="宋体" w:eastAsia="宋体" w:cs="宋体"/>
          <w:strike w:val="0"/>
          <w:dstrike w:val="0"/>
          <w:color w:val="auto"/>
          <w:sz w:val="21"/>
          <w:szCs w:val="21"/>
          <w:highlight w:val="none"/>
          <w:u w:val="single"/>
        </w:rPr>
        <w:t>（项目名称/项目编号）</w:t>
      </w:r>
      <w:bookmarkEnd w:id="318"/>
      <w:r>
        <w:rPr>
          <w:rFonts w:hint="eastAsia" w:ascii="宋体" w:hAnsi="宋体" w:eastAsia="宋体" w:cs="宋体"/>
          <w:strike w:val="0"/>
          <w:dstrike w:val="0"/>
          <w:color w:val="auto"/>
          <w:sz w:val="21"/>
          <w:szCs w:val="21"/>
          <w:highlight w:val="none"/>
        </w:rPr>
        <w:t>项目采购活动，服务全部由符合政策要求的中小企业承接。相关企业（含联合体中的中小企业、签订分包意向协议的中小企业）的具体情况如下：</w:t>
      </w:r>
    </w:p>
    <w:p w14:paraId="6870BCCF">
      <w:pPr>
        <w:keepNext w:val="0"/>
        <w:keepLines w:val="0"/>
        <w:pageBreakBefore w:val="0"/>
        <w:tabs>
          <w:tab w:val="left" w:pos="1384"/>
          <w:tab w:val="left" w:pos="4562"/>
          <w:tab w:val="left" w:pos="6803"/>
        </w:tabs>
        <w:kinsoku/>
        <w:topLinePunct w:val="0"/>
        <w:bidi w:val="0"/>
        <w:spacing w:line="400" w:lineRule="exact"/>
        <w:ind w:right="142" w:firstLine="676" w:firstLineChars="322"/>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w:t>
      </w:r>
      <w:r>
        <w:rPr>
          <w:rFonts w:hint="eastAsia" w:ascii="宋体" w:hAnsi="宋体" w:eastAsia="宋体" w:cs="宋体"/>
          <w:strike w:val="0"/>
          <w:dstrike w:val="0"/>
          <w:color w:val="auto"/>
          <w:sz w:val="21"/>
          <w:szCs w:val="21"/>
          <w:highlight w:val="none"/>
          <w:u w:val="single"/>
        </w:rPr>
        <w:t>（标的名称）</w:t>
      </w:r>
      <w:r>
        <w:rPr>
          <w:rFonts w:hint="eastAsia" w:ascii="宋体" w:hAnsi="宋体" w:eastAsia="宋体" w:cs="宋体"/>
          <w:strike w:val="0"/>
          <w:dstrike w:val="0"/>
          <w:color w:val="auto"/>
          <w:sz w:val="21"/>
          <w:szCs w:val="21"/>
          <w:highlight w:val="none"/>
        </w:rPr>
        <w:t>，属于</w:t>
      </w:r>
      <w:r>
        <w:rPr>
          <w:rFonts w:hint="eastAsia" w:ascii="宋体" w:hAnsi="宋体" w:eastAsia="宋体" w:cs="宋体"/>
          <w:strike w:val="0"/>
          <w:dstrike w:val="0"/>
          <w:color w:val="auto"/>
          <w:sz w:val="21"/>
          <w:szCs w:val="21"/>
          <w:highlight w:val="none"/>
          <w:u w:val="single"/>
        </w:rPr>
        <w:t>（采购文件中明确的所属行业）</w:t>
      </w:r>
      <w:r>
        <w:rPr>
          <w:rFonts w:hint="eastAsia" w:ascii="宋体" w:hAnsi="宋体" w:eastAsia="宋体" w:cs="宋体"/>
          <w:strike w:val="0"/>
          <w:dstrike w:val="0"/>
          <w:color w:val="auto"/>
          <w:sz w:val="21"/>
          <w:szCs w:val="21"/>
          <w:highlight w:val="none"/>
        </w:rPr>
        <w:t>；承接企业为</w:t>
      </w:r>
      <w:r>
        <w:rPr>
          <w:rFonts w:hint="eastAsia" w:ascii="宋体" w:hAnsi="宋体" w:eastAsia="宋体" w:cs="宋体"/>
          <w:strike w:val="0"/>
          <w:dstrike w:val="0"/>
          <w:color w:val="auto"/>
          <w:sz w:val="21"/>
          <w:szCs w:val="21"/>
          <w:highlight w:val="none"/>
          <w:u w:val="single"/>
        </w:rPr>
        <w:t>（企业名称）</w:t>
      </w:r>
      <w:r>
        <w:rPr>
          <w:rFonts w:hint="eastAsia" w:ascii="宋体" w:hAnsi="宋体" w:eastAsia="宋体" w:cs="宋体"/>
          <w:strike w:val="0"/>
          <w:dstrike w:val="0"/>
          <w:color w:val="auto"/>
          <w:sz w:val="21"/>
          <w:szCs w:val="21"/>
          <w:highlight w:val="none"/>
        </w:rPr>
        <w:t>，从业人员人，营业收入为万元，资产总额为万元，属于</w:t>
      </w:r>
      <w:r>
        <w:rPr>
          <w:rFonts w:hint="eastAsia" w:ascii="宋体" w:hAnsi="宋体" w:eastAsia="宋体" w:cs="宋体"/>
          <w:strike w:val="0"/>
          <w:dstrike w:val="0"/>
          <w:color w:val="auto"/>
          <w:sz w:val="21"/>
          <w:szCs w:val="21"/>
          <w:highlight w:val="none"/>
          <w:u w:val="single"/>
        </w:rPr>
        <w:t>（中型企业、小型企业、微型企业）</w:t>
      </w:r>
      <w:r>
        <w:rPr>
          <w:rFonts w:hint="eastAsia" w:ascii="宋体" w:hAnsi="宋体" w:eastAsia="宋体" w:cs="宋体"/>
          <w:strike w:val="0"/>
          <w:dstrike w:val="0"/>
          <w:color w:val="auto"/>
          <w:sz w:val="21"/>
          <w:szCs w:val="21"/>
          <w:highlight w:val="none"/>
        </w:rPr>
        <w:t>；</w:t>
      </w:r>
    </w:p>
    <w:p w14:paraId="1C5F017D">
      <w:pPr>
        <w:keepNext w:val="0"/>
        <w:keepLines w:val="0"/>
        <w:pageBreakBefore w:val="0"/>
        <w:tabs>
          <w:tab w:val="left" w:pos="1065"/>
          <w:tab w:val="left" w:pos="4262"/>
          <w:tab w:val="left" w:pos="6477"/>
        </w:tabs>
        <w:kinsoku/>
        <w:topLinePunct w:val="0"/>
        <w:bidi w:val="0"/>
        <w:spacing w:line="400" w:lineRule="exact"/>
        <w:ind w:right="84" w:firstLine="676" w:firstLineChars="322"/>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2.</w:t>
      </w:r>
      <w:r>
        <w:rPr>
          <w:rFonts w:hint="eastAsia" w:ascii="宋体" w:hAnsi="宋体" w:eastAsia="宋体" w:cs="宋体"/>
          <w:strike w:val="0"/>
          <w:dstrike w:val="0"/>
          <w:color w:val="auto"/>
          <w:sz w:val="21"/>
          <w:szCs w:val="21"/>
          <w:highlight w:val="none"/>
          <w:u w:val="single"/>
        </w:rPr>
        <w:t>（标的名称）</w:t>
      </w:r>
      <w:r>
        <w:rPr>
          <w:rFonts w:hint="eastAsia" w:ascii="宋体" w:hAnsi="宋体" w:eastAsia="宋体" w:cs="宋体"/>
          <w:strike w:val="0"/>
          <w:dstrike w:val="0"/>
          <w:color w:val="auto"/>
          <w:sz w:val="21"/>
          <w:szCs w:val="21"/>
          <w:highlight w:val="none"/>
        </w:rPr>
        <w:t>，属于</w:t>
      </w:r>
      <w:r>
        <w:rPr>
          <w:rFonts w:hint="eastAsia" w:ascii="宋体" w:hAnsi="宋体" w:eastAsia="宋体" w:cs="宋体"/>
          <w:strike w:val="0"/>
          <w:dstrike w:val="0"/>
          <w:color w:val="auto"/>
          <w:sz w:val="21"/>
          <w:szCs w:val="21"/>
          <w:highlight w:val="none"/>
          <w:u w:val="single"/>
        </w:rPr>
        <w:t>（采购文件中明确的所属行业）</w:t>
      </w:r>
      <w:r>
        <w:rPr>
          <w:rFonts w:hint="eastAsia" w:ascii="宋体" w:hAnsi="宋体" w:eastAsia="宋体" w:cs="宋体"/>
          <w:strike w:val="0"/>
          <w:dstrike w:val="0"/>
          <w:color w:val="auto"/>
          <w:sz w:val="21"/>
          <w:szCs w:val="21"/>
          <w:highlight w:val="none"/>
        </w:rPr>
        <w:t>；承接企业为</w:t>
      </w:r>
      <w:r>
        <w:rPr>
          <w:rFonts w:hint="eastAsia" w:ascii="宋体" w:hAnsi="宋体" w:eastAsia="宋体" w:cs="宋体"/>
          <w:strike w:val="0"/>
          <w:dstrike w:val="0"/>
          <w:color w:val="auto"/>
          <w:sz w:val="21"/>
          <w:szCs w:val="21"/>
          <w:highlight w:val="none"/>
          <w:u w:val="single"/>
        </w:rPr>
        <w:t>（企业名称）</w:t>
      </w:r>
      <w:r>
        <w:rPr>
          <w:rFonts w:hint="eastAsia" w:ascii="宋体" w:hAnsi="宋体" w:eastAsia="宋体" w:cs="宋体"/>
          <w:strike w:val="0"/>
          <w:dstrike w:val="0"/>
          <w:color w:val="auto"/>
          <w:sz w:val="21"/>
          <w:szCs w:val="21"/>
          <w:highlight w:val="none"/>
        </w:rPr>
        <w:t>，从业人员人，营业收入为万元，资产总额为万元，属于</w:t>
      </w:r>
      <w:r>
        <w:rPr>
          <w:rFonts w:hint="eastAsia" w:ascii="宋体" w:hAnsi="宋体" w:eastAsia="宋体" w:cs="宋体"/>
          <w:strike w:val="0"/>
          <w:dstrike w:val="0"/>
          <w:color w:val="auto"/>
          <w:sz w:val="21"/>
          <w:szCs w:val="21"/>
          <w:highlight w:val="none"/>
          <w:u w:val="single"/>
        </w:rPr>
        <w:t>（中型企业、小型企业、微型企业）</w:t>
      </w:r>
      <w:r>
        <w:rPr>
          <w:rFonts w:hint="eastAsia" w:ascii="宋体" w:hAnsi="宋体" w:eastAsia="宋体" w:cs="宋体"/>
          <w:strike w:val="0"/>
          <w:dstrike w:val="0"/>
          <w:color w:val="auto"/>
          <w:sz w:val="21"/>
          <w:szCs w:val="21"/>
          <w:highlight w:val="none"/>
        </w:rPr>
        <w:t>；</w:t>
      </w:r>
    </w:p>
    <w:p w14:paraId="282928E0">
      <w:pPr>
        <w:keepNext w:val="0"/>
        <w:keepLines w:val="0"/>
        <w:pageBreakBefore w:val="0"/>
        <w:kinsoku/>
        <w:topLinePunct w:val="0"/>
        <w:bidi w:val="0"/>
        <w:spacing w:line="400" w:lineRule="exact"/>
        <w:ind w:right="142" w:firstLine="617" w:firstLineChars="294"/>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 xml:space="preserve">…… </w:t>
      </w:r>
    </w:p>
    <w:p w14:paraId="52D432B4">
      <w:pPr>
        <w:keepNext w:val="0"/>
        <w:keepLines w:val="0"/>
        <w:pageBreakBefore w:val="0"/>
        <w:kinsoku/>
        <w:topLinePunct w:val="0"/>
        <w:bidi w:val="0"/>
        <w:spacing w:line="400" w:lineRule="exact"/>
        <w:ind w:right="142" w:firstLine="617" w:firstLineChars="294"/>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以上企业，不属于大企业的分支机构，不存在控股股东为大企业的情形，也不存在与大企业的负责人为同一人的情形。</w:t>
      </w:r>
    </w:p>
    <w:p w14:paraId="40BAFA3B">
      <w:pPr>
        <w:keepNext w:val="0"/>
        <w:keepLines w:val="0"/>
        <w:pageBreakBefore w:val="0"/>
        <w:kinsoku/>
        <w:topLinePunct w:val="0"/>
        <w:bidi w:val="0"/>
        <w:spacing w:line="400" w:lineRule="exact"/>
        <w:ind w:right="142" w:firstLine="617" w:firstLineChars="294"/>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本企业对上述声明内容的真实性负责。如有虚假，将依法承担相应责任。</w:t>
      </w:r>
    </w:p>
    <w:p w14:paraId="02EAB5EF">
      <w:pPr>
        <w:keepNext w:val="0"/>
        <w:keepLines w:val="0"/>
        <w:pageBreakBefore w:val="0"/>
        <w:kinsoku/>
        <w:topLinePunct w:val="0"/>
        <w:bidi w:val="0"/>
        <w:spacing w:line="400" w:lineRule="exact"/>
        <w:ind w:firstLine="420" w:firstLineChars="200"/>
        <w:contextualSpacing/>
        <w:rPr>
          <w:rFonts w:hint="eastAsia" w:ascii="宋体" w:hAnsi="宋体" w:eastAsia="宋体" w:cs="宋体"/>
          <w:strike w:val="0"/>
          <w:dstrike w:val="0"/>
          <w:color w:val="auto"/>
          <w:sz w:val="21"/>
          <w:szCs w:val="21"/>
          <w:highlight w:val="none"/>
        </w:rPr>
      </w:pPr>
    </w:p>
    <w:p w14:paraId="0351828D">
      <w:pPr>
        <w:keepNext w:val="0"/>
        <w:keepLines w:val="0"/>
        <w:pageBreakBefore w:val="0"/>
        <w:kinsoku/>
        <w:topLinePunct w:val="0"/>
        <w:bidi w:val="0"/>
        <w:spacing w:line="400" w:lineRule="exact"/>
        <w:ind w:left="3990" w:leftChars="1900"/>
        <w:contextualSpacing/>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 xml:space="preserve">投标人（电子签章）： </w:t>
      </w:r>
      <w:r>
        <w:rPr>
          <w:rFonts w:hint="eastAsia" w:ascii="宋体" w:hAnsi="宋体" w:eastAsia="宋体" w:cs="宋体"/>
          <w:strike w:val="0"/>
          <w:dstrike w:val="0"/>
          <w:color w:val="auto"/>
          <w:sz w:val="21"/>
          <w:szCs w:val="21"/>
          <w:highlight w:val="none"/>
          <w:u w:val="single"/>
        </w:rPr>
        <w:t xml:space="preserve">                        </w:t>
      </w:r>
    </w:p>
    <w:p w14:paraId="608BC879">
      <w:pPr>
        <w:keepNext w:val="0"/>
        <w:keepLines w:val="0"/>
        <w:pageBreakBefore w:val="0"/>
        <w:kinsoku/>
        <w:topLinePunct w:val="0"/>
        <w:bidi w:val="0"/>
        <w:spacing w:line="400" w:lineRule="exact"/>
        <w:ind w:left="3990" w:leftChars="1900"/>
        <w:contextualSpacing/>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年</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月</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日</w:t>
      </w:r>
    </w:p>
    <w:p w14:paraId="74B354A4">
      <w:pPr>
        <w:keepNext w:val="0"/>
        <w:keepLines w:val="0"/>
        <w:pageBreakBefore w:val="0"/>
        <w:kinsoku/>
        <w:topLinePunct w:val="0"/>
        <w:bidi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注：1.享受《政府采购促进中小企业发展管理办法》（财库〔2020〕46号）规定的中小企业扶持政策的，采购人、采购代理机构中标结果公开投标人的《中小企业声明函》。从业人员、营业收入、资产总额填报上一年度数据，无上一年度数据的新成立企业可不填报。</w:t>
      </w:r>
    </w:p>
    <w:p w14:paraId="7287A026">
      <w:pPr>
        <w:keepNext w:val="0"/>
        <w:keepLines w:val="0"/>
        <w:pageBreakBefore w:val="0"/>
        <w:kinsoku/>
        <w:topLinePunct w:val="0"/>
        <w:bidi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2.投标人提供的《中小企业声明函》与事实不符的，依照《中华人民共和国政府采购法》第七十七条第一款的规定追究法律责任。</w:t>
      </w:r>
    </w:p>
    <w:p w14:paraId="141F8B90">
      <w:pPr>
        <w:keepNext w:val="0"/>
        <w:keepLines w:val="0"/>
        <w:pageBreakBefore w:val="0"/>
        <w:kinsoku/>
        <w:topLinePunct w:val="0"/>
        <w:bidi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3.未完整填写以上空白处信息，声明函将做无效处理。</w:t>
      </w:r>
    </w:p>
    <w:p w14:paraId="29011594">
      <w:pPr>
        <w:keepNext w:val="0"/>
        <w:keepLines w:val="0"/>
        <w:pageBreakBefore w:val="0"/>
        <w:kinsoku/>
        <w:topLinePunct w:val="0"/>
        <w:bidi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4.本声明函主要供参加政府采购活动的中小企业填写，</w:t>
      </w:r>
      <w:r>
        <w:rPr>
          <w:rFonts w:hint="eastAsia" w:ascii="宋体" w:hAnsi="宋体" w:eastAsia="宋体" w:cs="宋体"/>
          <w:b/>
          <w:strike w:val="0"/>
          <w:dstrike w:val="0"/>
          <w:color w:val="auto"/>
          <w:sz w:val="21"/>
          <w:szCs w:val="21"/>
          <w:highlight w:val="none"/>
          <w:u w:val="single"/>
        </w:rPr>
        <w:t>非中小企业无需提供。</w:t>
      </w:r>
    </w:p>
    <w:p w14:paraId="656B1A75">
      <w:pPr>
        <w:keepNext w:val="0"/>
        <w:keepLines w:val="0"/>
        <w:pageBreakBefore w:val="0"/>
        <w:kinsoku/>
        <w:topLinePunct w:val="0"/>
        <w:bidi w:val="0"/>
        <w:spacing w:line="400" w:lineRule="exact"/>
        <w:jc w:val="left"/>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5.小型、微型企业提供中型企业提供的服务的，视同为中型企业。</w:t>
      </w:r>
      <w:r>
        <w:rPr>
          <w:rFonts w:hint="eastAsia" w:ascii="宋体" w:hAnsi="宋体" w:eastAsia="宋体" w:cs="宋体"/>
          <w:b/>
          <w:strike w:val="0"/>
          <w:dstrike w:val="0"/>
          <w:color w:val="auto"/>
          <w:sz w:val="21"/>
          <w:szCs w:val="21"/>
          <w:highlight w:val="none"/>
        </w:rPr>
        <w:br w:type="page"/>
      </w:r>
    </w:p>
    <w:p w14:paraId="49218295">
      <w:pPr>
        <w:keepNext w:val="0"/>
        <w:keepLines w:val="0"/>
        <w:pageBreakBefore w:val="0"/>
        <w:kinsoku/>
        <w:topLinePunct w:val="0"/>
        <w:bidi w:val="0"/>
        <w:snapToGrid w:val="0"/>
        <w:spacing w:beforeLines="50" w:after="50" w:line="400" w:lineRule="exact"/>
        <w:ind w:left="142"/>
        <w:jc w:val="lef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lang w:val="en-US" w:eastAsia="zh-CN"/>
        </w:rPr>
        <w:t>2</w:t>
      </w:r>
      <w:r>
        <w:rPr>
          <w:rFonts w:hint="eastAsia" w:ascii="宋体" w:hAnsi="宋体" w:eastAsia="宋体" w:cs="宋体"/>
          <w:b/>
          <w:strike w:val="0"/>
          <w:dstrike w:val="0"/>
          <w:color w:val="auto"/>
          <w:sz w:val="21"/>
          <w:szCs w:val="21"/>
          <w:highlight w:val="none"/>
        </w:rPr>
        <w:t>.残疾人福利性单位声明函格式</w:t>
      </w:r>
    </w:p>
    <w:p w14:paraId="0245E885">
      <w:pPr>
        <w:keepNext w:val="0"/>
        <w:keepLines w:val="0"/>
        <w:pageBreakBefore w:val="0"/>
        <w:kinsoku/>
        <w:topLinePunct w:val="0"/>
        <w:bidi w:val="0"/>
        <w:spacing w:line="400" w:lineRule="exact"/>
        <w:jc w:val="center"/>
        <w:rPr>
          <w:rFonts w:hint="eastAsia" w:ascii="宋体" w:hAnsi="宋体" w:eastAsia="宋体" w:cs="宋体"/>
          <w:b/>
          <w:strike w:val="0"/>
          <w:dstrike w:val="0"/>
          <w:color w:val="auto"/>
          <w:spacing w:val="6"/>
          <w:sz w:val="21"/>
          <w:szCs w:val="21"/>
          <w:highlight w:val="none"/>
        </w:rPr>
      </w:pPr>
    </w:p>
    <w:p w14:paraId="50E224F3">
      <w:pPr>
        <w:keepNext w:val="0"/>
        <w:keepLines w:val="0"/>
        <w:pageBreakBefore w:val="0"/>
        <w:kinsoku/>
        <w:topLinePunct w:val="0"/>
        <w:bidi w:val="0"/>
        <w:snapToGrid w:val="0"/>
        <w:spacing w:before="50" w:after="50"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残疾人福利性单位声明函</w:t>
      </w:r>
    </w:p>
    <w:p w14:paraId="68360BA6">
      <w:pPr>
        <w:keepNext w:val="0"/>
        <w:keepLines w:val="0"/>
        <w:pageBreakBefore w:val="0"/>
        <w:kinsoku/>
        <w:topLinePunct w:val="0"/>
        <w:bidi w:val="0"/>
        <w:spacing w:line="400" w:lineRule="exact"/>
        <w:contextualSpacing/>
        <w:rPr>
          <w:rFonts w:hint="eastAsia" w:ascii="宋体" w:hAnsi="宋体" w:eastAsia="宋体" w:cs="宋体"/>
          <w:strike w:val="0"/>
          <w:dstrike w:val="0"/>
          <w:color w:val="auto"/>
          <w:sz w:val="21"/>
          <w:szCs w:val="21"/>
          <w:highlight w:val="none"/>
        </w:rPr>
      </w:pPr>
    </w:p>
    <w:p w14:paraId="1C16C075">
      <w:pPr>
        <w:keepNext w:val="0"/>
        <w:keepLines w:val="0"/>
        <w:pageBreakBefore w:val="0"/>
        <w:kinsoku/>
        <w:topLinePunct w:val="0"/>
        <w:bidi w:val="0"/>
        <w:spacing w:line="400" w:lineRule="exact"/>
        <w:ind w:firstLine="420" w:firstLineChars="200"/>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eastAsia="宋体" w:cs="宋体"/>
          <w:strike w:val="0"/>
          <w:dstrike w:val="0"/>
          <w:color w:val="auto"/>
          <w:sz w:val="21"/>
          <w:szCs w:val="21"/>
          <w:highlight w:val="none"/>
          <w:u w:val="single"/>
        </w:rPr>
        <w:t>（采购人）</w:t>
      </w:r>
      <w:r>
        <w:rPr>
          <w:rFonts w:hint="eastAsia" w:ascii="宋体" w:hAnsi="宋体" w:eastAsia="宋体" w:cs="宋体"/>
          <w:strike w:val="0"/>
          <w:dstrike w:val="0"/>
          <w:color w:val="auto"/>
          <w:sz w:val="21"/>
          <w:szCs w:val="21"/>
          <w:highlight w:val="none"/>
        </w:rPr>
        <w:t>的</w:t>
      </w:r>
      <w:r>
        <w:rPr>
          <w:rFonts w:hint="eastAsia" w:ascii="宋体" w:hAnsi="宋体" w:eastAsia="宋体" w:cs="宋体"/>
          <w:strike w:val="0"/>
          <w:dstrike w:val="0"/>
          <w:color w:val="auto"/>
          <w:sz w:val="21"/>
          <w:szCs w:val="21"/>
          <w:highlight w:val="none"/>
          <w:u w:val="single"/>
        </w:rPr>
        <w:t>（项目名称/项目编号）</w:t>
      </w:r>
      <w:r>
        <w:rPr>
          <w:rFonts w:hint="eastAsia" w:ascii="宋体" w:hAnsi="宋体" w:eastAsia="宋体" w:cs="宋体"/>
          <w:strike w:val="0"/>
          <w:dstrike w:val="0"/>
          <w:color w:val="auto"/>
          <w:sz w:val="21"/>
          <w:szCs w:val="21"/>
          <w:highlight w:val="none"/>
        </w:rPr>
        <w:t>项目采购活动提供本单位制造的货物（由本单位承担工程/提供服务），或者提供其他残疾人福利性单位制造的货物（不包括使用非残疾人福利性单位注册商标的货物）。</w:t>
      </w:r>
    </w:p>
    <w:p w14:paraId="3CC73B76">
      <w:pPr>
        <w:keepNext w:val="0"/>
        <w:keepLines w:val="0"/>
        <w:pageBreakBefore w:val="0"/>
        <w:kinsoku/>
        <w:topLinePunct w:val="0"/>
        <w:bidi w:val="0"/>
        <w:spacing w:line="400" w:lineRule="exact"/>
        <w:ind w:firstLine="420" w:firstLineChars="200"/>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本单位对上述声明的真实性负责。如有虚假，将依法承担相应责任。</w:t>
      </w:r>
    </w:p>
    <w:p w14:paraId="7A4C6CAB">
      <w:pPr>
        <w:keepNext w:val="0"/>
        <w:keepLines w:val="0"/>
        <w:pageBreakBefore w:val="0"/>
        <w:kinsoku/>
        <w:topLinePunct w:val="0"/>
        <w:bidi w:val="0"/>
        <w:spacing w:line="400" w:lineRule="exact"/>
        <w:contextualSpacing/>
        <w:rPr>
          <w:rFonts w:hint="eastAsia" w:ascii="宋体" w:hAnsi="宋体" w:eastAsia="宋体" w:cs="宋体"/>
          <w:strike w:val="0"/>
          <w:dstrike w:val="0"/>
          <w:color w:val="auto"/>
          <w:sz w:val="21"/>
          <w:szCs w:val="21"/>
          <w:highlight w:val="none"/>
        </w:rPr>
      </w:pPr>
    </w:p>
    <w:p w14:paraId="419D2385">
      <w:pPr>
        <w:keepNext w:val="0"/>
        <w:keepLines w:val="0"/>
        <w:pageBreakBefore w:val="0"/>
        <w:kinsoku/>
        <w:topLinePunct w:val="0"/>
        <w:bidi w:val="0"/>
        <w:spacing w:line="400" w:lineRule="exact"/>
        <w:contextualSpacing/>
        <w:rPr>
          <w:rFonts w:hint="eastAsia" w:ascii="宋体" w:hAnsi="宋体" w:eastAsia="宋体" w:cs="宋体"/>
          <w:strike w:val="0"/>
          <w:dstrike w:val="0"/>
          <w:color w:val="auto"/>
          <w:sz w:val="21"/>
          <w:szCs w:val="21"/>
          <w:highlight w:val="none"/>
        </w:rPr>
      </w:pPr>
    </w:p>
    <w:p w14:paraId="18D587A9">
      <w:pPr>
        <w:keepNext w:val="0"/>
        <w:keepLines w:val="0"/>
        <w:pageBreakBefore w:val="0"/>
        <w:kinsoku/>
        <w:topLinePunct w:val="0"/>
        <w:bidi w:val="0"/>
        <w:spacing w:line="400" w:lineRule="exact"/>
        <w:ind w:left="3990" w:leftChars="1900"/>
        <w:contextualSpacing/>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 xml:space="preserve">投标人（电子签章）： </w:t>
      </w:r>
      <w:r>
        <w:rPr>
          <w:rFonts w:hint="eastAsia" w:ascii="宋体" w:hAnsi="宋体" w:eastAsia="宋体" w:cs="宋体"/>
          <w:strike w:val="0"/>
          <w:dstrike w:val="0"/>
          <w:color w:val="auto"/>
          <w:sz w:val="21"/>
          <w:szCs w:val="21"/>
          <w:highlight w:val="none"/>
          <w:u w:val="single"/>
        </w:rPr>
        <w:t xml:space="preserve">                        </w:t>
      </w:r>
    </w:p>
    <w:p w14:paraId="3479F58E">
      <w:pPr>
        <w:keepNext w:val="0"/>
        <w:keepLines w:val="0"/>
        <w:pageBreakBefore w:val="0"/>
        <w:kinsoku/>
        <w:topLinePunct w:val="0"/>
        <w:bidi w:val="0"/>
        <w:spacing w:line="400" w:lineRule="exact"/>
        <w:ind w:left="3990" w:leftChars="1900"/>
        <w:contextualSpacing/>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年</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月</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日</w:t>
      </w:r>
    </w:p>
    <w:p w14:paraId="5E38F66F">
      <w:pPr>
        <w:keepNext w:val="0"/>
        <w:keepLines w:val="0"/>
        <w:pageBreakBefore w:val="0"/>
        <w:kinsoku/>
        <w:topLinePunct w:val="0"/>
        <w:bidi w:val="0"/>
        <w:spacing w:line="400" w:lineRule="exact"/>
        <w:contextualSpacing/>
        <w:rPr>
          <w:rFonts w:hint="eastAsia" w:ascii="宋体" w:hAnsi="宋体" w:eastAsia="宋体" w:cs="宋体"/>
          <w:strike w:val="0"/>
          <w:dstrike w:val="0"/>
          <w:color w:val="auto"/>
          <w:sz w:val="21"/>
          <w:szCs w:val="21"/>
          <w:highlight w:val="none"/>
        </w:rPr>
      </w:pPr>
    </w:p>
    <w:p w14:paraId="615C1CDA">
      <w:pPr>
        <w:keepNext w:val="0"/>
        <w:keepLines w:val="0"/>
        <w:pageBreakBefore w:val="0"/>
        <w:kinsoku/>
        <w:topLinePunct w:val="0"/>
        <w:bidi w:val="0"/>
        <w:spacing w:line="400" w:lineRule="exact"/>
        <w:contextualSpacing/>
        <w:rPr>
          <w:rFonts w:hint="eastAsia" w:ascii="宋体" w:hAnsi="宋体" w:eastAsia="宋体" w:cs="宋体"/>
          <w:strike w:val="0"/>
          <w:dstrike w:val="0"/>
          <w:color w:val="auto"/>
          <w:sz w:val="21"/>
          <w:szCs w:val="21"/>
          <w:highlight w:val="none"/>
        </w:rPr>
      </w:pPr>
    </w:p>
    <w:p w14:paraId="3B70C99D">
      <w:pPr>
        <w:keepNext w:val="0"/>
        <w:keepLines w:val="0"/>
        <w:pageBreakBefore w:val="0"/>
        <w:kinsoku/>
        <w:topLinePunct w:val="0"/>
        <w:bidi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注：1.请根据自己的真实情况出具《残疾人福利性单位声明函》。依法享受中小企业优惠政策的，采购人或者采购代理机构在公告中标结果时，同时公告其《残疾人福利性单位声明函》，接受社会监督。</w:t>
      </w:r>
    </w:p>
    <w:p w14:paraId="064A23C5">
      <w:pPr>
        <w:keepNext w:val="0"/>
        <w:keepLines w:val="0"/>
        <w:pageBreakBefore w:val="0"/>
        <w:kinsoku/>
        <w:topLinePunct w:val="0"/>
        <w:bidi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2.投标人提供的《残疾人福利性单位声明函》与事实不符的，依照《中华人民共和国政府采购法》第七十七条第一款的规定追究法律责任。</w:t>
      </w:r>
    </w:p>
    <w:p w14:paraId="15C1A230">
      <w:pPr>
        <w:keepNext w:val="0"/>
        <w:keepLines w:val="0"/>
        <w:pageBreakBefore w:val="0"/>
        <w:kinsoku/>
        <w:topLinePunct w:val="0"/>
        <w:bidi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3.未完整填写以上空白处信息，声明函将做无效处理。</w:t>
      </w:r>
    </w:p>
    <w:p w14:paraId="70372579">
      <w:pPr>
        <w:keepNext w:val="0"/>
        <w:keepLines w:val="0"/>
        <w:pageBreakBefore w:val="0"/>
        <w:kinsoku/>
        <w:topLinePunct w:val="0"/>
        <w:bidi w:val="0"/>
        <w:spacing w:line="400" w:lineRule="exact"/>
        <w:contextualSpacing/>
        <w:rPr>
          <w:rFonts w:hint="eastAsia" w:ascii="宋体" w:hAnsi="宋体" w:eastAsia="宋体" w:cs="宋体"/>
          <w:strike w:val="0"/>
          <w:dstrike w:val="0"/>
          <w:color w:val="auto"/>
          <w:sz w:val="21"/>
          <w:szCs w:val="21"/>
          <w:highlight w:val="none"/>
        </w:rPr>
      </w:pPr>
    </w:p>
    <w:p w14:paraId="633076FF">
      <w:pPr>
        <w:keepNext w:val="0"/>
        <w:keepLines w:val="0"/>
        <w:pageBreakBefore w:val="0"/>
        <w:kinsoku/>
        <w:topLinePunct w:val="0"/>
        <w:bidi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br w:type="page"/>
      </w:r>
      <w:r>
        <w:rPr>
          <w:rFonts w:hint="eastAsia" w:ascii="宋体" w:hAnsi="宋体" w:eastAsia="宋体" w:cs="宋体"/>
          <w:b/>
          <w:strike w:val="0"/>
          <w:dstrike w:val="0"/>
          <w:color w:val="auto"/>
          <w:sz w:val="21"/>
          <w:szCs w:val="21"/>
          <w:highlight w:val="none"/>
          <w:lang w:val="en-US" w:eastAsia="zh-CN"/>
        </w:rPr>
        <w:t>3</w:t>
      </w:r>
      <w:r>
        <w:rPr>
          <w:rFonts w:hint="eastAsia" w:ascii="宋体" w:hAnsi="宋体" w:eastAsia="宋体" w:cs="宋体"/>
          <w:b/>
          <w:strike w:val="0"/>
          <w:dstrike w:val="0"/>
          <w:color w:val="auto"/>
          <w:sz w:val="21"/>
          <w:szCs w:val="21"/>
          <w:highlight w:val="none"/>
        </w:rPr>
        <w:t>.质疑函（格式）</w:t>
      </w:r>
    </w:p>
    <w:p w14:paraId="1F708486">
      <w:pPr>
        <w:keepNext w:val="0"/>
        <w:keepLines w:val="0"/>
        <w:pageBreakBefore w:val="0"/>
        <w:kinsoku/>
        <w:topLinePunct w:val="0"/>
        <w:bidi w:val="0"/>
        <w:snapToGrid w:val="0"/>
        <w:spacing w:before="50" w:after="50"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质疑函（格式）</w:t>
      </w:r>
    </w:p>
    <w:p w14:paraId="29B534FF">
      <w:pPr>
        <w:pStyle w:val="28"/>
        <w:keepNext w:val="0"/>
        <w:keepLines w:val="0"/>
        <w:pageBreakBefore w:val="0"/>
        <w:kinsoku/>
        <w:topLinePunct w:val="0"/>
        <w:bidi w:val="0"/>
        <w:snapToGrid w:val="0"/>
        <w:spacing w:line="400" w:lineRule="exact"/>
        <w:ind w:firstLine="422" w:firstLineChars="200"/>
        <w:outlineLvl w:val="1"/>
        <w:rPr>
          <w:rFonts w:hint="eastAsia" w:ascii="宋体" w:hAnsi="宋体" w:eastAsia="宋体" w:cs="宋体"/>
          <w:b/>
          <w:bCs/>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rPr>
        <w:t>一、质疑投标人基本信息：</w:t>
      </w:r>
    </w:p>
    <w:p w14:paraId="20678B93">
      <w:pPr>
        <w:pStyle w:val="28"/>
        <w:keepNext w:val="0"/>
        <w:keepLines w:val="0"/>
        <w:pageBreakBefore w:val="0"/>
        <w:kinsoku/>
        <w:topLinePunct w:val="0"/>
        <w:bidi w:val="0"/>
        <w:snapToGrid w:val="0"/>
        <w:spacing w:line="400" w:lineRule="exact"/>
        <w:ind w:firstLine="420" w:firstLineChars="200"/>
        <w:rPr>
          <w:rFonts w:hint="eastAsia" w:ascii="宋体" w:hAnsi="宋体" w:eastAsia="宋体" w:cs="宋体"/>
          <w:bCs/>
          <w:strike w:val="0"/>
          <w:dstrike w:val="0"/>
          <w:color w:val="auto"/>
          <w:sz w:val="21"/>
          <w:szCs w:val="21"/>
          <w:highlight w:val="none"/>
          <w:u w:val="single"/>
        </w:rPr>
      </w:pPr>
      <w:r>
        <w:rPr>
          <w:rFonts w:hint="eastAsia" w:ascii="宋体" w:hAnsi="宋体" w:eastAsia="宋体" w:cs="宋体"/>
          <w:bCs/>
          <w:strike w:val="0"/>
          <w:dstrike w:val="0"/>
          <w:color w:val="auto"/>
          <w:sz w:val="21"/>
          <w:szCs w:val="21"/>
          <w:highlight w:val="none"/>
        </w:rPr>
        <w:t>质疑投标人：</w:t>
      </w:r>
    </w:p>
    <w:p w14:paraId="02337C2B">
      <w:pPr>
        <w:pStyle w:val="28"/>
        <w:keepNext w:val="0"/>
        <w:keepLines w:val="0"/>
        <w:pageBreakBefore w:val="0"/>
        <w:kinsoku/>
        <w:topLinePunct w:val="0"/>
        <w:bidi w:val="0"/>
        <w:snapToGrid w:val="0"/>
        <w:spacing w:line="400" w:lineRule="exact"/>
        <w:ind w:firstLine="420" w:firstLineChars="200"/>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地址：邮编：</w:t>
      </w:r>
    </w:p>
    <w:p w14:paraId="3059FA31">
      <w:pPr>
        <w:pStyle w:val="28"/>
        <w:keepNext w:val="0"/>
        <w:keepLines w:val="0"/>
        <w:pageBreakBefore w:val="0"/>
        <w:kinsoku/>
        <w:topLinePunct w:val="0"/>
        <w:bidi w:val="0"/>
        <w:snapToGrid w:val="0"/>
        <w:spacing w:line="400" w:lineRule="exact"/>
        <w:ind w:firstLine="420" w:firstLineChars="200"/>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联系人：联系电话：</w:t>
      </w:r>
    </w:p>
    <w:p w14:paraId="2505651B">
      <w:pPr>
        <w:pStyle w:val="28"/>
        <w:keepNext w:val="0"/>
        <w:keepLines w:val="0"/>
        <w:pageBreakBefore w:val="0"/>
        <w:kinsoku/>
        <w:topLinePunct w:val="0"/>
        <w:bidi w:val="0"/>
        <w:snapToGrid w:val="0"/>
        <w:spacing w:line="400" w:lineRule="exact"/>
        <w:ind w:firstLine="420" w:firstLineChars="200"/>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授权代表：</w:t>
      </w:r>
    </w:p>
    <w:p w14:paraId="6203093A">
      <w:pPr>
        <w:pStyle w:val="28"/>
        <w:keepNext w:val="0"/>
        <w:keepLines w:val="0"/>
        <w:pageBreakBefore w:val="0"/>
        <w:kinsoku/>
        <w:topLinePunct w:val="0"/>
        <w:bidi w:val="0"/>
        <w:snapToGrid w:val="0"/>
        <w:spacing w:line="400" w:lineRule="exact"/>
        <w:ind w:firstLine="420" w:firstLineChars="200"/>
        <w:rPr>
          <w:rFonts w:hint="eastAsia" w:ascii="宋体" w:hAnsi="宋体" w:eastAsia="宋体" w:cs="宋体"/>
          <w:bCs/>
          <w:strike w:val="0"/>
          <w:dstrike w:val="0"/>
          <w:color w:val="auto"/>
          <w:sz w:val="21"/>
          <w:szCs w:val="21"/>
          <w:highlight w:val="none"/>
          <w:u w:val="single"/>
        </w:rPr>
      </w:pPr>
      <w:r>
        <w:rPr>
          <w:rFonts w:hint="eastAsia" w:ascii="宋体" w:hAnsi="宋体" w:eastAsia="宋体" w:cs="宋体"/>
          <w:bCs/>
          <w:strike w:val="0"/>
          <w:dstrike w:val="0"/>
          <w:color w:val="auto"/>
          <w:sz w:val="21"/>
          <w:szCs w:val="21"/>
          <w:highlight w:val="none"/>
        </w:rPr>
        <w:t>联系电话：</w:t>
      </w:r>
    </w:p>
    <w:p w14:paraId="7231F919">
      <w:pPr>
        <w:pStyle w:val="28"/>
        <w:keepNext w:val="0"/>
        <w:keepLines w:val="0"/>
        <w:pageBreakBefore w:val="0"/>
        <w:kinsoku/>
        <w:topLinePunct w:val="0"/>
        <w:bidi w:val="0"/>
        <w:snapToGrid w:val="0"/>
        <w:spacing w:line="400" w:lineRule="exact"/>
        <w:ind w:firstLine="420" w:firstLineChars="200"/>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地址：邮编：</w:t>
      </w:r>
    </w:p>
    <w:p w14:paraId="5294AD83">
      <w:pPr>
        <w:pStyle w:val="28"/>
        <w:keepNext w:val="0"/>
        <w:keepLines w:val="0"/>
        <w:pageBreakBefore w:val="0"/>
        <w:kinsoku/>
        <w:topLinePunct w:val="0"/>
        <w:bidi w:val="0"/>
        <w:snapToGrid w:val="0"/>
        <w:spacing w:line="400" w:lineRule="exact"/>
        <w:ind w:firstLine="422" w:firstLineChars="200"/>
        <w:outlineLvl w:val="1"/>
        <w:rPr>
          <w:rFonts w:hint="eastAsia" w:ascii="宋体" w:hAnsi="宋体" w:eastAsia="宋体" w:cs="宋体"/>
          <w:b/>
          <w:bCs/>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rPr>
        <w:t>二、质疑项目基本情况：</w:t>
      </w:r>
    </w:p>
    <w:p w14:paraId="1B2164CC">
      <w:pPr>
        <w:pStyle w:val="28"/>
        <w:keepNext w:val="0"/>
        <w:keepLines w:val="0"/>
        <w:pageBreakBefore w:val="0"/>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质疑</w:t>
      </w:r>
      <w:r>
        <w:rPr>
          <w:rFonts w:hint="eastAsia" w:ascii="宋体" w:hAnsi="宋体" w:eastAsia="宋体" w:cs="宋体"/>
          <w:strike w:val="0"/>
          <w:dstrike w:val="0"/>
          <w:color w:val="auto"/>
          <w:sz w:val="21"/>
          <w:szCs w:val="21"/>
          <w:highlight w:val="none"/>
        </w:rPr>
        <w:t>项目的名称：</w:t>
      </w:r>
    </w:p>
    <w:p w14:paraId="535317F5">
      <w:pPr>
        <w:pStyle w:val="28"/>
        <w:keepNext w:val="0"/>
        <w:keepLines w:val="0"/>
        <w:pageBreakBefore w:val="0"/>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质疑</w:t>
      </w:r>
      <w:r>
        <w:rPr>
          <w:rFonts w:hint="eastAsia" w:ascii="宋体" w:hAnsi="宋体" w:eastAsia="宋体" w:cs="宋体"/>
          <w:strike w:val="0"/>
          <w:dstrike w:val="0"/>
          <w:color w:val="auto"/>
          <w:sz w:val="21"/>
          <w:szCs w:val="21"/>
          <w:highlight w:val="none"/>
        </w:rPr>
        <w:t>项目的编号：</w:t>
      </w:r>
    </w:p>
    <w:p w14:paraId="2AC3AAAA">
      <w:pPr>
        <w:pStyle w:val="28"/>
        <w:keepNext w:val="0"/>
        <w:keepLines w:val="0"/>
        <w:pageBreakBefore w:val="0"/>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采购人名称：</w:t>
      </w:r>
    </w:p>
    <w:p w14:paraId="3D14F878">
      <w:pPr>
        <w:pStyle w:val="28"/>
        <w:keepNext w:val="0"/>
        <w:keepLines w:val="0"/>
        <w:pageBreakBefore w:val="0"/>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质疑事项：</w:t>
      </w:r>
    </w:p>
    <w:p w14:paraId="2B516405">
      <w:pPr>
        <w:pStyle w:val="28"/>
        <w:keepNext w:val="0"/>
        <w:keepLines w:val="0"/>
        <w:pageBreakBefore w:val="0"/>
        <w:kinsoku/>
        <w:topLinePunct w:val="0"/>
        <w:bidi w:val="0"/>
        <w:spacing w:line="400" w:lineRule="exact"/>
        <w:ind w:left="25" w:leftChars="12" w:firstLine="308" w:firstLineChars="147"/>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z w:val="21"/>
          <w:szCs w:val="21"/>
          <w:highlight w:val="none"/>
          <w:lang w:eastAsia="zh-CN"/>
        </w:rPr>
        <w:t>采购文件</w:t>
      </w:r>
      <w:r>
        <w:rPr>
          <w:rFonts w:hint="eastAsia" w:ascii="宋体" w:hAnsi="宋体" w:eastAsia="宋体" w:cs="宋体"/>
          <w:strike w:val="0"/>
          <w:dstrike w:val="0"/>
          <w:color w:val="auto"/>
          <w:sz w:val="21"/>
          <w:szCs w:val="21"/>
          <w:highlight w:val="none"/>
        </w:rPr>
        <w:t>获取日期：</w:t>
      </w:r>
    </w:p>
    <w:p w14:paraId="30EEE847">
      <w:pPr>
        <w:pStyle w:val="28"/>
        <w:keepNext w:val="0"/>
        <w:keepLines w:val="0"/>
        <w:pageBreakBefore w:val="0"/>
        <w:kinsoku/>
        <w:topLinePunct w:val="0"/>
        <w:bidi w:val="0"/>
        <w:spacing w:line="400" w:lineRule="exact"/>
        <w:ind w:left="25" w:leftChars="12" w:firstLine="308" w:firstLineChars="147"/>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□采购过程</w:t>
      </w:r>
    </w:p>
    <w:p w14:paraId="5922211E">
      <w:pPr>
        <w:pStyle w:val="28"/>
        <w:keepNext w:val="0"/>
        <w:keepLines w:val="0"/>
        <w:pageBreakBefore w:val="0"/>
        <w:kinsoku/>
        <w:topLinePunct w:val="0"/>
        <w:bidi w:val="0"/>
        <w:spacing w:line="400" w:lineRule="exact"/>
        <w:ind w:left="25" w:leftChars="12" w:firstLine="308" w:firstLineChars="147"/>
        <w:rPr>
          <w:rFonts w:hint="eastAsia" w:ascii="宋体" w:hAnsi="宋体" w:eastAsia="宋体" w:cs="宋体"/>
          <w:bCs/>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□采购结果</w:t>
      </w:r>
    </w:p>
    <w:p w14:paraId="684D67AD">
      <w:pPr>
        <w:pStyle w:val="28"/>
        <w:keepNext w:val="0"/>
        <w:keepLines w:val="0"/>
        <w:pageBreakBefore w:val="0"/>
        <w:kinsoku/>
        <w:topLinePunct w:val="0"/>
        <w:bidi w:val="0"/>
        <w:spacing w:line="400" w:lineRule="exact"/>
        <w:ind w:left="25" w:leftChars="12" w:firstLine="413" w:firstLineChars="196"/>
        <w:outlineLvl w:val="1"/>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三、质疑事项具体内容</w:t>
      </w:r>
    </w:p>
    <w:p w14:paraId="071E1C36">
      <w:pPr>
        <w:pStyle w:val="28"/>
        <w:keepNext w:val="0"/>
        <w:keepLines w:val="0"/>
        <w:pageBreakBefore w:val="0"/>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质疑事项1：</w:t>
      </w:r>
    </w:p>
    <w:p w14:paraId="5EA3B580">
      <w:pPr>
        <w:pStyle w:val="28"/>
        <w:keepNext w:val="0"/>
        <w:keepLines w:val="0"/>
        <w:pageBreakBefore w:val="0"/>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事实依据：</w:t>
      </w:r>
    </w:p>
    <w:p w14:paraId="4FA5EFB2">
      <w:pPr>
        <w:pStyle w:val="28"/>
        <w:keepNext w:val="0"/>
        <w:keepLines w:val="0"/>
        <w:pageBreakBefore w:val="0"/>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法律依据：</w:t>
      </w:r>
    </w:p>
    <w:p w14:paraId="56CD9D16">
      <w:pPr>
        <w:pStyle w:val="28"/>
        <w:keepNext w:val="0"/>
        <w:keepLines w:val="0"/>
        <w:pageBreakBefore w:val="0"/>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质疑事项2</w:t>
      </w:r>
    </w:p>
    <w:p w14:paraId="342E8B92">
      <w:pPr>
        <w:pStyle w:val="28"/>
        <w:keepNext w:val="0"/>
        <w:keepLines w:val="0"/>
        <w:pageBreakBefore w:val="0"/>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p w14:paraId="10088593">
      <w:pPr>
        <w:pStyle w:val="28"/>
        <w:keepNext w:val="0"/>
        <w:keepLines w:val="0"/>
        <w:pageBreakBefore w:val="0"/>
        <w:kinsoku/>
        <w:topLinePunct w:val="0"/>
        <w:bidi w:val="0"/>
        <w:spacing w:line="400" w:lineRule="exact"/>
        <w:ind w:left="25" w:leftChars="12" w:firstLine="413" w:firstLineChars="197"/>
        <w:outlineLvl w:val="1"/>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四、与质疑事项相关的质疑请求：</w:t>
      </w:r>
    </w:p>
    <w:p w14:paraId="0A8A2D3A">
      <w:pPr>
        <w:pStyle w:val="28"/>
        <w:keepNext w:val="0"/>
        <w:keepLines w:val="0"/>
        <w:pageBreakBefore w:val="0"/>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请求：</w:t>
      </w:r>
    </w:p>
    <w:p w14:paraId="509E6135">
      <w:pPr>
        <w:pStyle w:val="28"/>
        <w:keepNext w:val="0"/>
        <w:keepLines w:val="0"/>
        <w:pageBreakBefore w:val="0"/>
        <w:kinsoku/>
        <w:topLinePunct w:val="0"/>
        <w:bidi w:val="0"/>
        <w:spacing w:line="400" w:lineRule="exact"/>
        <w:ind w:left="25" w:leftChars="12" w:firstLine="308" w:firstLineChars="147"/>
        <w:rPr>
          <w:rFonts w:hint="eastAsia" w:ascii="宋体" w:hAnsi="宋体" w:eastAsia="宋体" w:cs="宋体"/>
          <w:strike w:val="0"/>
          <w:dstrike w:val="0"/>
          <w:color w:val="auto"/>
          <w:sz w:val="21"/>
          <w:szCs w:val="21"/>
          <w:highlight w:val="none"/>
        </w:rPr>
      </w:pPr>
    </w:p>
    <w:p w14:paraId="12DDEF09">
      <w:pPr>
        <w:pStyle w:val="28"/>
        <w:keepNext w:val="0"/>
        <w:keepLines w:val="0"/>
        <w:pageBreakBefore w:val="0"/>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签字（签章）：公章：</w:t>
      </w:r>
    </w:p>
    <w:p w14:paraId="0AEECBD6">
      <w:pPr>
        <w:pStyle w:val="28"/>
        <w:keepNext w:val="0"/>
        <w:keepLines w:val="0"/>
        <w:pageBreakBefore w:val="0"/>
        <w:kinsoku/>
        <w:topLinePunct w:val="0"/>
        <w:bidi w:val="0"/>
        <w:spacing w:line="400" w:lineRule="exact"/>
        <w:ind w:left="25" w:leftChars="12" w:firstLine="308" w:firstLineChars="147"/>
        <w:rPr>
          <w:rFonts w:hint="eastAsia" w:ascii="宋体" w:hAnsi="宋体" w:eastAsia="宋体" w:cs="宋体"/>
          <w:strike w:val="0"/>
          <w:dstrike w:val="0"/>
          <w:color w:val="auto"/>
          <w:sz w:val="21"/>
          <w:szCs w:val="21"/>
          <w:highlight w:val="none"/>
        </w:rPr>
      </w:pPr>
    </w:p>
    <w:p w14:paraId="20BF1B6E">
      <w:pPr>
        <w:pStyle w:val="28"/>
        <w:keepNext w:val="0"/>
        <w:keepLines w:val="0"/>
        <w:pageBreakBefore w:val="0"/>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w:t>
      </w:r>
    </w:p>
    <w:p w14:paraId="7199CDC1">
      <w:pPr>
        <w:pStyle w:val="28"/>
        <w:keepNext w:val="0"/>
        <w:keepLines w:val="0"/>
        <w:pageBreakBefore w:val="0"/>
        <w:kinsoku/>
        <w:topLinePunct w:val="0"/>
        <w:bidi w:val="0"/>
        <w:snapToGrid w:val="0"/>
        <w:spacing w:line="400" w:lineRule="exact"/>
        <w:rPr>
          <w:rFonts w:hint="eastAsia" w:ascii="宋体" w:hAnsi="宋体" w:eastAsia="宋体" w:cs="宋体"/>
          <w:b/>
          <w:strike w:val="0"/>
          <w:dstrike w:val="0"/>
          <w:color w:val="auto"/>
          <w:sz w:val="21"/>
          <w:szCs w:val="21"/>
          <w:highlight w:val="none"/>
        </w:rPr>
      </w:pPr>
    </w:p>
    <w:p w14:paraId="74DA5CD8">
      <w:pPr>
        <w:keepNext w:val="0"/>
        <w:keepLines w:val="0"/>
        <w:pageBreakBefore w:val="0"/>
        <w:widowControl/>
        <w:kinsoku/>
        <w:topLinePunct w:val="0"/>
        <w:bidi w:val="0"/>
        <w:spacing w:line="400" w:lineRule="exact"/>
        <w:jc w:val="left"/>
        <w:rPr>
          <w:rFonts w:hint="eastAsia" w:ascii="宋体" w:hAnsi="宋体" w:eastAsia="宋体" w:cs="宋体"/>
          <w:b/>
          <w:strike w:val="0"/>
          <w:dstrike w:val="0"/>
          <w:color w:val="auto"/>
          <w:kern w:val="0"/>
          <w:sz w:val="21"/>
          <w:szCs w:val="21"/>
          <w:highlight w:val="none"/>
        </w:rPr>
      </w:pPr>
      <w:r>
        <w:rPr>
          <w:rFonts w:hint="eastAsia" w:ascii="宋体" w:hAnsi="宋体" w:eastAsia="宋体" w:cs="宋体"/>
          <w:b/>
          <w:strike w:val="0"/>
          <w:dstrike w:val="0"/>
          <w:color w:val="auto"/>
          <w:sz w:val="21"/>
          <w:szCs w:val="21"/>
          <w:highlight w:val="none"/>
        </w:rPr>
        <w:br w:type="page"/>
      </w:r>
    </w:p>
    <w:p w14:paraId="5EC6C702">
      <w:pPr>
        <w:pStyle w:val="28"/>
        <w:keepNext w:val="0"/>
        <w:keepLines w:val="0"/>
        <w:pageBreakBefore w:val="0"/>
        <w:kinsoku/>
        <w:topLinePunct w:val="0"/>
        <w:bidi w:val="0"/>
        <w:snapToGrid w:val="0"/>
        <w:spacing w:line="400" w:lineRule="exac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说明：</w:t>
      </w:r>
    </w:p>
    <w:p w14:paraId="503B2187">
      <w:pPr>
        <w:pStyle w:val="28"/>
        <w:keepNext w:val="0"/>
        <w:keepLines w:val="0"/>
        <w:pageBreakBefore w:val="0"/>
        <w:kinsoku/>
        <w:topLinePunct w:val="0"/>
        <w:bidi w:val="0"/>
        <w:spacing w:line="400" w:lineRule="exact"/>
        <w:ind w:left="25" w:leftChars="12" w:firstLine="310" w:firstLineChars="147"/>
        <w:outlineLvl w:val="2"/>
        <w:rPr>
          <w:rFonts w:hint="eastAsia" w:ascii="宋体" w:hAnsi="宋体" w:eastAsia="宋体" w:cs="宋体"/>
          <w:b/>
          <w:bCs/>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1.投标人提出质疑时，应提交质疑函和必要的证明材料</w:t>
      </w:r>
      <w:r>
        <w:rPr>
          <w:rFonts w:hint="eastAsia" w:ascii="宋体" w:hAnsi="宋体" w:eastAsia="宋体" w:cs="宋体"/>
          <w:b/>
          <w:bCs/>
          <w:strike w:val="0"/>
          <w:dstrike w:val="0"/>
          <w:color w:val="auto"/>
          <w:sz w:val="21"/>
          <w:szCs w:val="21"/>
          <w:highlight w:val="none"/>
        </w:rPr>
        <w:t>。</w:t>
      </w:r>
    </w:p>
    <w:p w14:paraId="046022C7">
      <w:pPr>
        <w:pStyle w:val="28"/>
        <w:keepNext w:val="0"/>
        <w:keepLines w:val="0"/>
        <w:pageBreakBefore w:val="0"/>
        <w:kinsoku/>
        <w:topLinePunct w:val="0"/>
        <w:bidi w:val="0"/>
        <w:spacing w:line="400" w:lineRule="exact"/>
        <w:ind w:left="25" w:leftChars="12" w:firstLine="310" w:firstLineChars="147"/>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14:paraId="4ED66EBE">
      <w:pPr>
        <w:pStyle w:val="28"/>
        <w:keepNext w:val="0"/>
        <w:keepLines w:val="0"/>
        <w:pageBreakBefore w:val="0"/>
        <w:kinsoku/>
        <w:topLinePunct w:val="0"/>
        <w:bidi w:val="0"/>
        <w:spacing w:line="400" w:lineRule="exact"/>
        <w:ind w:left="25" w:leftChars="12" w:firstLine="310" w:firstLineChars="147"/>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3.质疑函的质疑事项应具体、明确，并有必要的事实依据和法律依据。</w:t>
      </w:r>
    </w:p>
    <w:p w14:paraId="1B7907C6">
      <w:pPr>
        <w:pStyle w:val="28"/>
        <w:keepNext w:val="0"/>
        <w:keepLines w:val="0"/>
        <w:pageBreakBefore w:val="0"/>
        <w:kinsoku/>
        <w:topLinePunct w:val="0"/>
        <w:bidi w:val="0"/>
        <w:spacing w:line="400" w:lineRule="exact"/>
        <w:ind w:left="25" w:leftChars="12" w:firstLine="310" w:firstLineChars="147"/>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4.质疑函的质疑请求应与质疑事项相关。</w:t>
      </w:r>
    </w:p>
    <w:p w14:paraId="101328D8">
      <w:pPr>
        <w:pStyle w:val="28"/>
        <w:keepNext w:val="0"/>
        <w:keepLines w:val="0"/>
        <w:pageBreakBefore w:val="0"/>
        <w:kinsoku/>
        <w:topLinePunct w:val="0"/>
        <w:bidi w:val="0"/>
        <w:spacing w:line="400" w:lineRule="exact"/>
        <w:ind w:left="25" w:leftChars="12" w:firstLine="310" w:firstLineChars="147"/>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5.质疑投标人为法人或者其他组织的，质疑函应由法定代表人、主要负责人，或者其授权代表签字或者盖章，并加盖公章。</w:t>
      </w:r>
    </w:p>
    <w:p w14:paraId="1261FE23">
      <w:pPr>
        <w:pStyle w:val="28"/>
        <w:keepNext w:val="0"/>
        <w:keepLines w:val="0"/>
        <w:pageBreakBefore w:val="0"/>
        <w:kinsoku/>
        <w:topLinePunct w:val="0"/>
        <w:bidi w:val="0"/>
        <w:snapToGrid w:val="0"/>
        <w:spacing w:line="400" w:lineRule="exact"/>
        <w:rPr>
          <w:rFonts w:hint="eastAsia" w:ascii="宋体" w:hAnsi="宋体" w:eastAsia="宋体" w:cs="宋体"/>
          <w:b/>
          <w:strike w:val="0"/>
          <w:dstrike w:val="0"/>
          <w:color w:val="auto"/>
          <w:sz w:val="21"/>
          <w:szCs w:val="21"/>
          <w:highlight w:val="none"/>
        </w:rPr>
      </w:pPr>
    </w:p>
    <w:p w14:paraId="52E80E64">
      <w:pPr>
        <w:keepNext w:val="0"/>
        <w:keepLines w:val="0"/>
        <w:pageBreakBefore w:val="0"/>
        <w:kinsoku/>
        <w:topLinePunct w:val="0"/>
        <w:bidi w:val="0"/>
        <w:spacing w:line="400" w:lineRule="exact"/>
        <w:jc w:val="left"/>
        <w:outlineLvl w:val="2"/>
        <w:rPr>
          <w:rFonts w:hint="eastAsia" w:ascii="宋体" w:hAnsi="宋体" w:eastAsia="宋体" w:cs="宋体"/>
          <w:b/>
          <w:bCs/>
          <w:strike w:val="0"/>
          <w:dstrike w:val="0"/>
          <w:color w:val="auto"/>
          <w:sz w:val="21"/>
          <w:szCs w:val="21"/>
          <w:highlight w:val="none"/>
        </w:rPr>
      </w:pPr>
      <w:r>
        <w:rPr>
          <w:rFonts w:hint="eastAsia" w:ascii="宋体" w:hAnsi="宋体" w:eastAsia="宋体" w:cs="宋体"/>
          <w:strike w:val="0"/>
          <w:dstrike w:val="0"/>
          <w:color w:val="auto"/>
          <w:sz w:val="21"/>
          <w:szCs w:val="21"/>
          <w:highlight w:val="none"/>
        </w:rPr>
        <w:br w:type="page"/>
      </w:r>
      <w:r>
        <w:rPr>
          <w:rFonts w:hint="eastAsia" w:ascii="宋体" w:hAnsi="宋体" w:eastAsia="宋体" w:cs="宋体"/>
          <w:b/>
          <w:strike w:val="0"/>
          <w:dstrike w:val="0"/>
          <w:color w:val="auto"/>
          <w:sz w:val="21"/>
          <w:szCs w:val="21"/>
          <w:highlight w:val="none"/>
          <w:lang w:val="en-US" w:eastAsia="zh-CN"/>
        </w:rPr>
        <w:t>4</w:t>
      </w:r>
      <w:r>
        <w:rPr>
          <w:rFonts w:hint="eastAsia" w:ascii="宋体" w:hAnsi="宋体" w:eastAsia="宋体" w:cs="宋体"/>
          <w:b/>
          <w:strike w:val="0"/>
          <w:dstrike w:val="0"/>
          <w:color w:val="auto"/>
          <w:sz w:val="21"/>
          <w:szCs w:val="21"/>
          <w:highlight w:val="none"/>
        </w:rPr>
        <w:t>.投诉书（格式）</w:t>
      </w:r>
    </w:p>
    <w:p w14:paraId="2B05B8B3">
      <w:pPr>
        <w:keepNext w:val="0"/>
        <w:keepLines w:val="0"/>
        <w:pageBreakBefore w:val="0"/>
        <w:kinsoku/>
        <w:topLinePunct w:val="0"/>
        <w:bidi w:val="0"/>
        <w:snapToGrid w:val="0"/>
        <w:spacing w:before="50" w:after="50"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投诉书（格式）</w:t>
      </w:r>
    </w:p>
    <w:p w14:paraId="46D5A396">
      <w:pPr>
        <w:pStyle w:val="28"/>
        <w:keepNext w:val="0"/>
        <w:keepLines w:val="0"/>
        <w:pageBreakBefore w:val="0"/>
        <w:kinsoku/>
        <w:topLinePunct w:val="0"/>
        <w:bidi w:val="0"/>
        <w:snapToGrid w:val="0"/>
        <w:spacing w:line="400" w:lineRule="exact"/>
        <w:ind w:firstLine="422" w:firstLineChars="200"/>
        <w:outlineLvl w:val="1"/>
        <w:rPr>
          <w:rFonts w:hint="eastAsia" w:ascii="宋体" w:hAnsi="宋体" w:eastAsia="宋体" w:cs="宋体"/>
          <w:b/>
          <w:bCs/>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rPr>
        <w:t>一、投诉相关主体基本情况：</w:t>
      </w:r>
    </w:p>
    <w:p w14:paraId="7C0B88EC">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u w:val="single"/>
        </w:rPr>
      </w:pPr>
      <w:r>
        <w:rPr>
          <w:rFonts w:hint="eastAsia" w:ascii="宋体" w:hAnsi="宋体" w:eastAsia="宋体" w:cs="宋体"/>
          <w:bCs/>
          <w:strike w:val="0"/>
          <w:dstrike w:val="0"/>
          <w:color w:val="auto"/>
          <w:sz w:val="21"/>
          <w:szCs w:val="21"/>
          <w:highlight w:val="none"/>
        </w:rPr>
        <w:t>投标人：</w:t>
      </w:r>
    </w:p>
    <w:p w14:paraId="4CA576F1">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地址：邮编：</w:t>
      </w:r>
    </w:p>
    <w:p w14:paraId="09F42028">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u w:val="single"/>
        </w:rPr>
      </w:pPr>
      <w:r>
        <w:rPr>
          <w:rFonts w:hint="eastAsia" w:ascii="宋体" w:hAnsi="宋体" w:eastAsia="宋体" w:cs="宋体"/>
          <w:bCs/>
          <w:strike w:val="0"/>
          <w:dstrike w:val="0"/>
          <w:color w:val="auto"/>
          <w:sz w:val="21"/>
          <w:szCs w:val="21"/>
          <w:highlight w:val="none"/>
        </w:rPr>
        <w:t>法定代表人/主要负责人：</w:t>
      </w:r>
    </w:p>
    <w:p w14:paraId="63001AFE">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联系电话：</w:t>
      </w:r>
    </w:p>
    <w:p w14:paraId="582B1185">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u w:val="single"/>
        </w:rPr>
      </w:pPr>
      <w:r>
        <w:rPr>
          <w:rFonts w:hint="eastAsia" w:ascii="宋体" w:hAnsi="宋体" w:eastAsia="宋体" w:cs="宋体"/>
          <w:bCs/>
          <w:strike w:val="0"/>
          <w:dstrike w:val="0"/>
          <w:color w:val="auto"/>
          <w:sz w:val="21"/>
          <w:szCs w:val="21"/>
          <w:highlight w:val="none"/>
        </w:rPr>
        <w:t>授权代表：联系电话：</w:t>
      </w:r>
    </w:p>
    <w:p w14:paraId="1E9149D3">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u w:val="single"/>
        </w:rPr>
      </w:pPr>
      <w:r>
        <w:rPr>
          <w:rFonts w:hint="eastAsia" w:ascii="宋体" w:hAnsi="宋体" w:eastAsia="宋体" w:cs="宋体"/>
          <w:bCs/>
          <w:strike w:val="0"/>
          <w:dstrike w:val="0"/>
          <w:color w:val="auto"/>
          <w:sz w:val="21"/>
          <w:szCs w:val="21"/>
          <w:highlight w:val="none"/>
        </w:rPr>
        <w:t>地址：</w:t>
      </w:r>
    </w:p>
    <w:p w14:paraId="4D6DC4C4">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邮编：</w:t>
      </w:r>
    </w:p>
    <w:p w14:paraId="7E97806B">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被投诉人1：</w:t>
      </w:r>
    </w:p>
    <w:p w14:paraId="6EB47225">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u w:val="single"/>
        </w:rPr>
      </w:pPr>
      <w:r>
        <w:rPr>
          <w:rFonts w:hint="eastAsia" w:ascii="宋体" w:hAnsi="宋体" w:eastAsia="宋体" w:cs="宋体"/>
          <w:bCs/>
          <w:strike w:val="0"/>
          <w:dstrike w:val="0"/>
          <w:color w:val="auto"/>
          <w:sz w:val="21"/>
          <w:szCs w:val="21"/>
          <w:highlight w:val="none"/>
        </w:rPr>
        <w:t>地址：</w:t>
      </w:r>
    </w:p>
    <w:p w14:paraId="22368F33">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邮编：</w:t>
      </w:r>
    </w:p>
    <w:p w14:paraId="645D4161">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u w:val="single"/>
        </w:rPr>
      </w:pPr>
      <w:r>
        <w:rPr>
          <w:rFonts w:hint="eastAsia" w:ascii="宋体" w:hAnsi="宋体" w:eastAsia="宋体" w:cs="宋体"/>
          <w:bCs/>
          <w:strike w:val="0"/>
          <w:dstrike w:val="0"/>
          <w:color w:val="auto"/>
          <w:sz w:val="21"/>
          <w:szCs w:val="21"/>
          <w:highlight w:val="none"/>
        </w:rPr>
        <w:t>联系人：联系电话：</w:t>
      </w:r>
    </w:p>
    <w:p w14:paraId="4A13BB1A">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被投诉人2：</w:t>
      </w:r>
    </w:p>
    <w:p w14:paraId="43F16B3A">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w:t>
      </w:r>
    </w:p>
    <w:p w14:paraId="646C2A91">
      <w:pPr>
        <w:pStyle w:val="28"/>
        <w:keepNext w:val="0"/>
        <w:keepLines w:val="0"/>
        <w:pageBreakBefore w:val="0"/>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相关投标人：地址：邮编：联系人：联系电话：</w:t>
      </w:r>
    </w:p>
    <w:p w14:paraId="0482D516">
      <w:pPr>
        <w:pStyle w:val="28"/>
        <w:keepNext w:val="0"/>
        <w:keepLines w:val="0"/>
        <w:pageBreakBefore w:val="0"/>
        <w:kinsoku/>
        <w:topLinePunct w:val="0"/>
        <w:bidi w:val="0"/>
        <w:snapToGrid w:val="0"/>
        <w:spacing w:line="400" w:lineRule="exact"/>
        <w:ind w:firstLine="422" w:firstLineChars="200"/>
        <w:outlineLvl w:val="1"/>
        <w:rPr>
          <w:rFonts w:hint="eastAsia" w:ascii="宋体" w:hAnsi="宋体" w:eastAsia="宋体" w:cs="宋体"/>
          <w:b/>
          <w:bCs/>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rPr>
        <w:t>二、投诉项目基本情况：</w:t>
      </w:r>
    </w:p>
    <w:p w14:paraId="60C256B1">
      <w:pPr>
        <w:pStyle w:val="28"/>
        <w:keepNext w:val="0"/>
        <w:keepLines w:val="0"/>
        <w:pageBreakBefore w:val="0"/>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采购</w:t>
      </w:r>
      <w:r>
        <w:rPr>
          <w:rFonts w:hint="eastAsia" w:ascii="宋体" w:hAnsi="宋体" w:eastAsia="宋体" w:cs="宋体"/>
          <w:strike w:val="0"/>
          <w:dstrike w:val="0"/>
          <w:color w:val="auto"/>
          <w:sz w:val="21"/>
          <w:szCs w:val="21"/>
          <w:highlight w:val="none"/>
        </w:rPr>
        <w:t>项目的名称：</w:t>
      </w:r>
    </w:p>
    <w:p w14:paraId="0E3810AC">
      <w:pPr>
        <w:pStyle w:val="28"/>
        <w:keepNext w:val="0"/>
        <w:keepLines w:val="0"/>
        <w:pageBreakBefore w:val="0"/>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采购</w:t>
      </w:r>
      <w:r>
        <w:rPr>
          <w:rFonts w:hint="eastAsia" w:ascii="宋体" w:hAnsi="宋体" w:eastAsia="宋体" w:cs="宋体"/>
          <w:strike w:val="0"/>
          <w:dstrike w:val="0"/>
          <w:color w:val="auto"/>
          <w:sz w:val="21"/>
          <w:szCs w:val="21"/>
          <w:highlight w:val="none"/>
        </w:rPr>
        <w:t>项目的编号：</w:t>
      </w:r>
    </w:p>
    <w:p w14:paraId="1DC1E238">
      <w:pPr>
        <w:pStyle w:val="28"/>
        <w:keepNext w:val="0"/>
        <w:keepLines w:val="0"/>
        <w:pageBreakBefore w:val="0"/>
        <w:kinsoku/>
        <w:topLinePunct w:val="0"/>
        <w:bidi w:val="0"/>
        <w:spacing w:line="400" w:lineRule="exact"/>
        <w:ind w:left="25" w:leftChars="12" w:firstLine="413" w:firstLineChars="197"/>
        <w:rPr>
          <w:rFonts w:hint="eastAsia" w:ascii="宋体" w:hAnsi="宋体" w:eastAsia="宋体" w:cs="宋体"/>
          <w:bCs/>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采购人名称：</w:t>
      </w:r>
    </w:p>
    <w:p w14:paraId="7791FCD9">
      <w:pPr>
        <w:pStyle w:val="28"/>
        <w:keepNext w:val="0"/>
        <w:keepLines w:val="0"/>
        <w:pageBreakBefore w:val="0"/>
        <w:kinsoku/>
        <w:topLinePunct w:val="0"/>
        <w:bidi w:val="0"/>
        <w:spacing w:line="400" w:lineRule="exact"/>
        <w:ind w:left="25" w:leftChars="12" w:firstLine="413" w:firstLineChars="197"/>
        <w:rPr>
          <w:rFonts w:hint="eastAsia" w:ascii="宋体" w:hAnsi="宋体" w:eastAsia="宋体" w:cs="宋体"/>
          <w:bCs/>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代理机构名称：</w:t>
      </w:r>
    </w:p>
    <w:p w14:paraId="37AD8350">
      <w:pPr>
        <w:pStyle w:val="28"/>
        <w:keepNext w:val="0"/>
        <w:keepLines w:val="0"/>
        <w:pageBreakBefore w:val="0"/>
        <w:kinsoku/>
        <w:topLinePunct w:val="0"/>
        <w:bidi w:val="0"/>
        <w:spacing w:line="400" w:lineRule="exact"/>
        <w:ind w:left="25" w:leftChars="12" w:firstLine="413" w:firstLineChars="197"/>
        <w:rPr>
          <w:rFonts w:hint="eastAsia" w:ascii="宋体" w:hAnsi="宋体" w:eastAsia="宋体" w:cs="宋体"/>
          <w:bCs/>
          <w:strike w:val="0"/>
          <w:dstrike w:val="0"/>
          <w:color w:val="auto"/>
          <w:sz w:val="21"/>
          <w:szCs w:val="21"/>
          <w:highlight w:val="none"/>
          <w:u w:val="single"/>
        </w:rPr>
      </w:pPr>
      <w:r>
        <w:rPr>
          <w:rFonts w:hint="eastAsia" w:ascii="宋体" w:hAnsi="宋体" w:eastAsia="宋体" w:cs="宋体"/>
          <w:bCs/>
          <w:strike w:val="0"/>
          <w:dstrike w:val="0"/>
          <w:color w:val="auto"/>
          <w:sz w:val="21"/>
          <w:szCs w:val="21"/>
          <w:highlight w:val="none"/>
        </w:rPr>
        <w:t>采购文件公告：</w:t>
      </w:r>
      <w:r>
        <w:rPr>
          <w:rFonts w:hint="eastAsia" w:ascii="宋体" w:hAnsi="宋体" w:eastAsia="宋体" w:cs="宋体"/>
          <w:bCs/>
          <w:strike w:val="0"/>
          <w:dstrike w:val="0"/>
          <w:color w:val="auto"/>
          <w:sz w:val="21"/>
          <w:szCs w:val="21"/>
          <w:highlight w:val="none"/>
          <w:u w:val="single"/>
        </w:rPr>
        <w:t>是/否</w:t>
      </w:r>
      <w:r>
        <w:rPr>
          <w:rFonts w:hint="eastAsia" w:ascii="宋体" w:hAnsi="宋体" w:eastAsia="宋体" w:cs="宋体"/>
          <w:bCs/>
          <w:strike w:val="0"/>
          <w:dstrike w:val="0"/>
          <w:color w:val="auto"/>
          <w:sz w:val="21"/>
          <w:szCs w:val="21"/>
          <w:highlight w:val="none"/>
        </w:rPr>
        <w:t>公告期限：</w:t>
      </w:r>
    </w:p>
    <w:p w14:paraId="221CEA43">
      <w:pPr>
        <w:pStyle w:val="28"/>
        <w:keepNext w:val="0"/>
        <w:keepLines w:val="0"/>
        <w:pageBreakBefore w:val="0"/>
        <w:kinsoku/>
        <w:topLinePunct w:val="0"/>
        <w:bidi w:val="0"/>
        <w:spacing w:line="400" w:lineRule="exact"/>
        <w:ind w:left="25" w:leftChars="12" w:firstLine="413" w:firstLineChars="197"/>
        <w:rPr>
          <w:rFonts w:hint="eastAsia" w:ascii="宋体" w:hAnsi="宋体" w:eastAsia="宋体" w:cs="宋体"/>
          <w:b/>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采购结果公告：</w:t>
      </w:r>
      <w:r>
        <w:rPr>
          <w:rFonts w:hint="eastAsia" w:ascii="宋体" w:hAnsi="宋体" w:eastAsia="宋体" w:cs="宋体"/>
          <w:bCs/>
          <w:strike w:val="0"/>
          <w:dstrike w:val="0"/>
          <w:color w:val="auto"/>
          <w:sz w:val="21"/>
          <w:szCs w:val="21"/>
          <w:highlight w:val="none"/>
          <w:u w:val="single"/>
        </w:rPr>
        <w:t>是/否</w:t>
      </w:r>
      <w:r>
        <w:rPr>
          <w:rFonts w:hint="eastAsia" w:ascii="宋体" w:hAnsi="宋体" w:eastAsia="宋体" w:cs="宋体"/>
          <w:bCs/>
          <w:strike w:val="0"/>
          <w:dstrike w:val="0"/>
          <w:color w:val="auto"/>
          <w:sz w:val="21"/>
          <w:szCs w:val="21"/>
          <w:highlight w:val="none"/>
        </w:rPr>
        <w:t>公告期限：</w:t>
      </w:r>
    </w:p>
    <w:p w14:paraId="3D9E1599">
      <w:pPr>
        <w:pStyle w:val="28"/>
        <w:keepNext w:val="0"/>
        <w:keepLines w:val="0"/>
        <w:pageBreakBefore w:val="0"/>
        <w:kinsoku/>
        <w:topLinePunct w:val="0"/>
        <w:bidi w:val="0"/>
        <w:spacing w:line="400" w:lineRule="exact"/>
        <w:ind w:left="25" w:leftChars="12" w:firstLine="413" w:firstLineChars="196"/>
        <w:outlineLvl w:val="1"/>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三、质疑基本情况</w:t>
      </w:r>
    </w:p>
    <w:p w14:paraId="3B5A3182">
      <w:pPr>
        <w:pStyle w:val="28"/>
        <w:keepNext w:val="0"/>
        <w:keepLines w:val="0"/>
        <w:pageBreakBefore w:val="0"/>
        <w:kinsoku/>
        <w:topLinePunct w:val="0"/>
        <w:bidi w:val="0"/>
        <w:spacing w:line="400" w:lineRule="exact"/>
        <w:ind w:left="25" w:leftChars="12"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投诉人于年月日，向提出质疑，质疑事项为：</w:t>
      </w:r>
    </w:p>
    <w:p w14:paraId="3CD142ED">
      <w:pPr>
        <w:pStyle w:val="28"/>
        <w:keepNext w:val="0"/>
        <w:keepLines w:val="0"/>
        <w:pageBreakBefore w:val="0"/>
        <w:kinsoku/>
        <w:topLinePunct w:val="0"/>
        <w:bidi w:val="0"/>
        <w:spacing w:line="400" w:lineRule="exact"/>
        <w:ind w:firstLine="241"/>
        <w:rPr>
          <w:rFonts w:hint="eastAsia" w:ascii="宋体" w:hAnsi="宋体" w:eastAsia="宋体" w:cs="宋体"/>
          <w:bCs/>
          <w:strike w:val="0"/>
          <w:dstrike w:val="0"/>
          <w:color w:val="auto"/>
          <w:sz w:val="21"/>
          <w:szCs w:val="21"/>
          <w:highlight w:val="none"/>
          <w:u w:val="single"/>
        </w:rPr>
      </w:pPr>
    </w:p>
    <w:p w14:paraId="03DE3664">
      <w:pPr>
        <w:pStyle w:val="28"/>
        <w:keepNext w:val="0"/>
        <w:keepLines w:val="0"/>
        <w:pageBreakBefore w:val="0"/>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bCs/>
          <w:strike w:val="0"/>
          <w:dstrike w:val="0"/>
          <w:color w:val="auto"/>
          <w:sz w:val="21"/>
          <w:szCs w:val="21"/>
          <w:highlight w:val="none"/>
          <w:u w:val="single"/>
        </w:rPr>
        <w:t>采购人/代理机构</w:t>
      </w:r>
      <w:r>
        <w:rPr>
          <w:rFonts w:hint="eastAsia" w:ascii="宋体" w:hAnsi="宋体" w:eastAsia="宋体" w:cs="宋体"/>
          <w:bCs/>
          <w:strike w:val="0"/>
          <w:dstrike w:val="0"/>
          <w:color w:val="auto"/>
          <w:sz w:val="21"/>
          <w:szCs w:val="21"/>
          <w:highlight w:val="none"/>
        </w:rPr>
        <w:t>于</w:t>
      </w:r>
      <w:r>
        <w:rPr>
          <w:rFonts w:hint="eastAsia" w:ascii="宋体" w:hAnsi="宋体" w:eastAsia="宋体" w:cs="宋体"/>
          <w:strike w:val="0"/>
          <w:dstrike w:val="0"/>
          <w:color w:val="auto"/>
          <w:sz w:val="21"/>
          <w:szCs w:val="21"/>
          <w:highlight w:val="none"/>
        </w:rPr>
        <w:t>年月日，</w:t>
      </w:r>
      <w:r>
        <w:rPr>
          <w:rFonts w:hint="eastAsia" w:ascii="宋体" w:hAnsi="宋体" w:eastAsia="宋体" w:cs="宋体"/>
          <w:bCs/>
          <w:strike w:val="0"/>
          <w:dstrike w:val="0"/>
          <w:color w:val="auto"/>
          <w:sz w:val="21"/>
          <w:szCs w:val="21"/>
          <w:highlight w:val="none"/>
        </w:rPr>
        <w:t>就质疑事项作出了答复/没有在法定期限内作出答复。</w:t>
      </w:r>
    </w:p>
    <w:p w14:paraId="75FAD54F">
      <w:pPr>
        <w:pStyle w:val="28"/>
        <w:keepNext w:val="0"/>
        <w:keepLines w:val="0"/>
        <w:pageBreakBefore w:val="0"/>
        <w:kinsoku/>
        <w:topLinePunct w:val="0"/>
        <w:bidi w:val="0"/>
        <w:spacing w:line="400" w:lineRule="exact"/>
        <w:ind w:left="25" w:leftChars="12" w:firstLine="413" w:firstLineChars="196"/>
        <w:outlineLvl w:val="1"/>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四、投诉事项具体内容</w:t>
      </w:r>
    </w:p>
    <w:p w14:paraId="0FB35EE7">
      <w:pPr>
        <w:pStyle w:val="28"/>
        <w:keepNext w:val="0"/>
        <w:keepLines w:val="0"/>
        <w:pageBreakBefore w:val="0"/>
        <w:kinsoku/>
        <w:topLinePunct w:val="0"/>
        <w:bidi w:val="0"/>
        <w:spacing w:line="400" w:lineRule="exact"/>
        <w:ind w:left="25" w:leftChars="12" w:firstLine="413" w:firstLineChars="197"/>
        <w:rPr>
          <w:rFonts w:hint="eastAsia" w:ascii="宋体" w:hAnsi="宋体" w:eastAsia="宋体" w:cs="宋体"/>
          <w:bCs/>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投诉事项1：</w:t>
      </w:r>
    </w:p>
    <w:p w14:paraId="76E670D6">
      <w:pPr>
        <w:pStyle w:val="28"/>
        <w:keepNext w:val="0"/>
        <w:keepLines w:val="0"/>
        <w:pageBreakBefore w:val="0"/>
        <w:kinsoku/>
        <w:topLinePunct w:val="0"/>
        <w:bidi w:val="0"/>
        <w:spacing w:line="400" w:lineRule="exact"/>
        <w:ind w:firstLine="420" w:firstLineChars="200"/>
        <w:rPr>
          <w:rFonts w:hint="eastAsia" w:ascii="宋体" w:hAnsi="宋体" w:eastAsia="宋体" w:cs="宋体"/>
          <w:bCs/>
          <w:strike w:val="0"/>
          <w:dstrike w:val="0"/>
          <w:color w:val="auto"/>
          <w:sz w:val="21"/>
          <w:szCs w:val="21"/>
          <w:highlight w:val="none"/>
          <w:u w:val="single"/>
        </w:rPr>
      </w:pPr>
      <w:r>
        <w:rPr>
          <w:rFonts w:hint="eastAsia" w:ascii="宋体" w:hAnsi="宋体" w:eastAsia="宋体" w:cs="宋体"/>
          <w:bCs/>
          <w:strike w:val="0"/>
          <w:dstrike w:val="0"/>
          <w:color w:val="auto"/>
          <w:sz w:val="21"/>
          <w:szCs w:val="21"/>
          <w:highlight w:val="none"/>
        </w:rPr>
        <w:t>事实依据：</w:t>
      </w:r>
    </w:p>
    <w:p w14:paraId="60DC27E2">
      <w:pPr>
        <w:pStyle w:val="28"/>
        <w:keepNext w:val="0"/>
        <w:keepLines w:val="0"/>
        <w:pageBreakBefore w:val="0"/>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p>
    <w:p w14:paraId="403826C0">
      <w:pPr>
        <w:pStyle w:val="28"/>
        <w:keepNext w:val="0"/>
        <w:keepLines w:val="0"/>
        <w:pageBreakBefore w:val="0"/>
        <w:kinsoku/>
        <w:topLinePunct w:val="0"/>
        <w:bidi w:val="0"/>
        <w:spacing w:line="400" w:lineRule="exact"/>
        <w:ind w:firstLine="420" w:firstLineChars="200"/>
        <w:rPr>
          <w:rFonts w:hint="eastAsia" w:ascii="宋体" w:hAnsi="宋体" w:eastAsia="宋体" w:cs="宋体"/>
          <w:bCs/>
          <w:strike w:val="0"/>
          <w:dstrike w:val="0"/>
          <w:color w:val="auto"/>
          <w:sz w:val="21"/>
          <w:szCs w:val="21"/>
          <w:highlight w:val="none"/>
          <w:u w:val="single"/>
        </w:rPr>
      </w:pPr>
      <w:r>
        <w:rPr>
          <w:rFonts w:hint="eastAsia" w:ascii="宋体" w:hAnsi="宋体" w:eastAsia="宋体" w:cs="宋体"/>
          <w:bCs/>
          <w:strike w:val="0"/>
          <w:dstrike w:val="0"/>
          <w:color w:val="auto"/>
          <w:sz w:val="21"/>
          <w:szCs w:val="21"/>
          <w:highlight w:val="none"/>
        </w:rPr>
        <w:t>法律依据：</w:t>
      </w:r>
    </w:p>
    <w:p w14:paraId="3F250E8F">
      <w:pPr>
        <w:pStyle w:val="28"/>
        <w:keepNext w:val="0"/>
        <w:keepLines w:val="0"/>
        <w:pageBreakBefore w:val="0"/>
        <w:kinsoku/>
        <w:topLinePunct w:val="0"/>
        <w:bidi w:val="0"/>
        <w:spacing w:line="400" w:lineRule="exact"/>
        <w:ind w:left="25" w:leftChars="12" w:firstLine="308" w:firstLineChars="147"/>
        <w:rPr>
          <w:rFonts w:hint="eastAsia" w:ascii="宋体" w:hAnsi="宋体" w:eastAsia="宋体" w:cs="宋体"/>
          <w:bCs/>
          <w:strike w:val="0"/>
          <w:dstrike w:val="0"/>
          <w:color w:val="auto"/>
          <w:sz w:val="21"/>
          <w:szCs w:val="21"/>
          <w:highlight w:val="none"/>
          <w:u w:val="single"/>
        </w:rPr>
      </w:pPr>
    </w:p>
    <w:p w14:paraId="2D1385BE">
      <w:pPr>
        <w:pStyle w:val="28"/>
        <w:keepNext w:val="0"/>
        <w:keepLines w:val="0"/>
        <w:pageBreakBefore w:val="0"/>
        <w:kinsoku/>
        <w:topLinePunct w:val="0"/>
        <w:bidi w:val="0"/>
        <w:spacing w:line="400" w:lineRule="exact"/>
        <w:ind w:left="25" w:leftChars="12" w:firstLine="413" w:firstLineChars="197"/>
        <w:rPr>
          <w:rFonts w:hint="eastAsia" w:ascii="宋体" w:hAnsi="宋体" w:eastAsia="宋体" w:cs="宋体"/>
          <w:bCs/>
          <w:strike w:val="0"/>
          <w:dstrike w:val="0"/>
          <w:color w:val="auto"/>
          <w:sz w:val="21"/>
          <w:szCs w:val="21"/>
          <w:highlight w:val="none"/>
        </w:rPr>
      </w:pPr>
      <w:r>
        <w:rPr>
          <w:rFonts w:hint="eastAsia" w:ascii="宋体" w:hAnsi="宋体" w:eastAsia="宋体" w:cs="宋体"/>
          <w:strike w:val="0"/>
          <w:dstrike w:val="0"/>
          <w:color w:val="auto"/>
          <w:sz w:val="21"/>
          <w:szCs w:val="21"/>
          <w:highlight w:val="none"/>
        </w:rPr>
        <w:t xml:space="preserve">投诉事项2  </w:t>
      </w:r>
    </w:p>
    <w:p w14:paraId="4EFA72B2">
      <w:pPr>
        <w:pStyle w:val="28"/>
        <w:keepNext w:val="0"/>
        <w:keepLines w:val="0"/>
        <w:pageBreakBefore w:val="0"/>
        <w:kinsoku/>
        <w:topLinePunct w:val="0"/>
        <w:bidi w:val="0"/>
        <w:spacing w:line="400" w:lineRule="exact"/>
        <w:ind w:left="25" w:leftChars="12" w:firstLine="413" w:firstLineChars="197"/>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w:t>
      </w:r>
    </w:p>
    <w:p w14:paraId="06D12F4D">
      <w:pPr>
        <w:pStyle w:val="28"/>
        <w:keepNext w:val="0"/>
        <w:keepLines w:val="0"/>
        <w:pageBreakBefore w:val="0"/>
        <w:kinsoku/>
        <w:topLinePunct w:val="0"/>
        <w:bidi w:val="0"/>
        <w:spacing w:line="400" w:lineRule="exact"/>
        <w:ind w:left="25" w:leftChars="12" w:firstLine="413" w:firstLineChars="196"/>
        <w:outlineLvl w:val="1"/>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五、与投诉事项相关的投诉请求：</w:t>
      </w:r>
    </w:p>
    <w:p w14:paraId="095CEA41">
      <w:pPr>
        <w:pStyle w:val="28"/>
        <w:keepNext w:val="0"/>
        <w:keepLines w:val="0"/>
        <w:pageBreakBefore w:val="0"/>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请求：</w:t>
      </w:r>
    </w:p>
    <w:p w14:paraId="7DCCD89C">
      <w:pPr>
        <w:pStyle w:val="28"/>
        <w:keepNext w:val="0"/>
        <w:keepLines w:val="0"/>
        <w:pageBreakBefore w:val="0"/>
        <w:kinsoku/>
        <w:topLinePunct w:val="0"/>
        <w:bidi w:val="0"/>
        <w:spacing w:line="400" w:lineRule="exact"/>
        <w:ind w:left="25" w:leftChars="12" w:firstLine="308" w:firstLineChars="147"/>
        <w:rPr>
          <w:rFonts w:hint="eastAsia" w:ascii="宋体" w:hAnsi="宋体" w:eastAsia="宋体" w:cs="宋体"/>
          <w:strike w:val="0"/>
          <w:dstrike w:val="0"/>
          <w:color w:val="auto"/>
          <w:sz w:val="21"/>
          <w:szCs w:val="21"/>
          <w:highlight w:val="none"/>
        </w:rPr>
      </w:pPr>
    </w:p>
    <w:p w14:paraId="1D9D3BCC">
      <w:pPr>
        <w:pStyle w:val="28"/>
        <w:keepNext w:val="0"/>
        <w:keepLines w:val="0"/>
        <w:pageBreakBefore w:val="0"/>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签字（签章）：公章：</w:t>
      </w:r>
    </w:p>
    <w:p w14:paraId="67069392">
      <w:pPr>
        <w:pStyle w:val="28"/>
        <w:keepNext w:val="0"/>
        <w:keepLines w:val="0"/>
        <w:pageBreakBefore w:val="0"/>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w:t>
      </w:r>
    </w:p>
    <w:p w14:paraId="29D9ACF6">
      <w:pPr>
        <w:pStyle w:val="28"/>
        <w:keepNext w:val="0"/>
        <w:keepLines w:val="0"/>
        <w:pageBreakBefore w:val="0"/>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p>
    <w:p w14:paraId="5F13B939">
      <w:pPr>
        <w:pStyle w:val="28"/>
        <w:keepNext w:val="0"/>
        <w:keepLines w:val="0"/>
        <w:pageBreakBefore w:val="0"/>
        <w:kinsoku/>
        <w:topLinePunct w:val="0"/>
        <w:bidi w:val="0"/>
        <w:snapToGrid w:val="0"/>
        <w:spacing w:line="400" w:lineRule="exac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说明：</w:t>
      </w:r>
    </w:p>
    <w:p w14:paraId="40EC0664">
      <w:pPr>
        <w:pStyle w:val="28"/>
        <w:keepNext w:val="0"/>
        <w:keepLines w:val="0"/>
        <w:pageBreakBefore w:val="0"/>
        <w:kinsoku/>
        <w:topLinePunct w:val="0"/>
        <w:bidi w:val="0"/>
        <w:spacing w:line="400" w:lineRule="exact"/>
        <w:ind w:left="25" w:leftChars="12" w:firstLine="310" w:firstLineChars="147"/>
        <w:rPr>
          <w:rFonts w:hint="eastAsia" w:ascii="宋体" w:hAnsi="宋体" w:eastAsia="宋体" w:cs="宋体"/>
          <w:b/>
          <w:bCs/>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1.投诉人提起投诉时，应当提交投诉书和必要的证明材料，并按照被投诉人和与投诉事项有关的投标人数量提供投诉书副本</w:t>
      </w:r>
      <w:r>
        <w:rPr>
          <w:rFonts w:hint="eastAsia" w:ascii="宋体" w:hAnsi="宋体" w:eastAsia="宋体" w:cs="宋体"/>
          <w:b/>
          <w:bCs/>
          <w:strike w:val="0"/>
          <w:dstrike w:val="0"/>
          <w:color w:val="auto"/>
          <w:sz w:val="21"/>
          <w:szCs w:val="21"/>
          <w:highlight w:val="none"/>
        </w:rPr>
        <w:t>。</w:t>
      </w:r>
    </w:p>
    <w:p w14:paraId="0102A2D5">
      <w:pPr>
        <w:pStyle w:val="28"/>
        <w:keepNext w:val="0"/>
        <w:keepLines w:val="0"/>
        <w:pageBreakBefore w:val="0"/>
        <w:kinsoku/>
        <w:topLinePunct w:val="0"/>
        <w:bidi w:val="0"/>
        <w:spacing w:line="400" w:lineRule="exact"/>
        <w:ind w:left="25" w:leftChars="12" w:firstLine="310" w:firstLineChars="147"/>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91B2680">
      <w:pPr>
        <w:pStyle w:val="28"/>
        <w:keepNext w:val="0"/>
        <w:keepLines w:val="0"/>
        <w:pageBreakBefore w:val="0"/>
        <w:kinsoku/>
        <w:topLinePunct w:val="0"/>
        <w:bidi w:val="0"/>
        <w:spacing w:line="400" w:lineRule="exact"/>
        <w:ind w:left="25" w:leftChars="12" w:firstLine="310" w:firstLineChars="147"/>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3.投诉书应简要列明质疑事项，质疑函、质疑答复等作为附件材料提供。</w:t>
      </w:r>
    </w:p>
    <w:p w14:paraId="18253005">
      <w:pPr>
        <w:pStyle w:val="28"/>
        <w:keepNext w:val="0"/>
        <w:keepLines w:val="0"/>
        <w:pageBreakBefore w:val="0"/>
        <w:kinsoku/>
        <w:topLinePunct w:val="0"/>
        <w:bidi w:val="0"/>
        <w:spacing w:line="400" w:lineRule="exact"/>
        <w:ind w:left="25" w:leftChars="12" w:firstLine="310" w:firstLineChars="147"/>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4.投诉书的投诉事项应具体、明确，并有必要的事实依据和法律依据。</w:t>
      </w:r>
    </w:p>
    <w:p w14:paraId="0BF9169C">
      <w:pPr>
        <w:pStyle w:val="28"/>
        <w:keepNext w:val="0"/>
        <w:keepLines w:val="0"/>
        <w:pageBreakBefore w:val="0"/>
        <w:kinsoku/>
        <w:topLinePunct w:val="0"/>
        <w:bidi w:val="0"/>
        <w:spacing w:line="400" w:lineRule="exact"/>
        <w:ind w:left="25" w:leftChars="12" w:firstLine="310" w:firstLineChars="147"/>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5.投诉书的投诉请求应与投诉事项相关。</w:t>
      </w:r>
    </w:p>
    <w:p w14:paraId="707AE27D">
      <w:pPr>
        <w:pStyle w:val="28"/>
        <w:keepNext w:val="0"/>
        <w:keepLines w:val="0"/>
        <w:pageBreakBefore w:val="0"/>
        <w:kinsoku/>
        <w:topLinePunct w:val="0"/>
        <w:bidi w:val="0"/>
        <w:spacing w:line="400" w:lineRule="exact"/>
        <w:ind w:left="25" w:leftChars="12" w:firstLine="310" w:firstLineChars="147"/>
        <w:rPr>
          <w:rFonts w:hint="eastAsia" w:ascii="宋体" w:hAnsi="宋体" w:eastAsia="宋体" w:cs="宋体"/>
          <w:b/>
          <w:strike w:val="0"/>
          <w:dstrike w:val="0"/>
          <w:color w:val="auto"/>
          <w:sz w:val="21"/>
          <w:szCs w:val="21"/>
          <w:highlight w:val="none"/>
        </w:rPr>
        <w:sectPr>
          <w:footerReference r:id="rId15" w:type="first"/>
          <w:footerReference r:id="rId13" w:type="default"/>
          <w:footerReference r:id="rId14" w:type="even"/>
          <w:pgSz w:w="11906" w:h="16838"/>
          <w:pgMar w:top="1440" w:right="1800" w:bottom="1440" w:left="1800" w:header="737" w:footer="680" w:gutter="113"/>
          <w:pgNumType w:fmt="decimal"/>
          <w:cols w:space="720" w:num="1"/>
          <w:docGrid w:linePitch="312" w:charSpace="0"/>
        </w:sectPr>
      </w:pPr>
      <w:r>
        <w:rPr>
          <w:rFonts w:hint="eastAsia" w:ascii="宋体" w:hAnsi="宋体" w:eastAsia="宋体" w:cs="宋体"/>
          <w:b/>
          <w:strike w:val="0"/>
          <w:dstrike w:val="0"/>
          <w:color w:val="auto"/>
          <w:sz w:val="21"/>
          <w:szCs w:val="21"/>
          <w:highlight w:val="none"/>
        </w:rPr>
        <w:t>6.投诉人为法人或者其他组织的，投诉书应由法定代表人、主要负责人，或者其授权代表签字或者盖章，并加盖公章。</w:t>
      </w:r>
    </w:p>
    <w:p w14:paraId="51149FFB">
      <w:pPr>
        <w:keepNext w:val="0"/>
        <w:keepLines w:val="0"/>
        <w:pageBreakBefore w:val="0"/>
        <w:tabs>
          <w:tab w:val="left" w:pos="576"/>
        </w:tabs>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b/>
          <w:bCs/>
          <w:strike w:val="0"/>
          <w:dstrike w:val="0"/>
          <w:color w:val="auto"/>
          <w:sz w:val="21"/>
          <w:szCs w:val="21"/>
          <w:highlight w:val="none"/>
        </w:rPr>
        <w:t>广西壮族自治区政府采购项目合同验收书（格式）</w:t>
      </w:r>
    </w:p>
    <w:p w14:paraId="54556565">
      <w:pPr>
        <w:keepNext w:val="0"/>
        <w:keepLines w:val="0"/>
        <w:pageBreakBefore w:val="0"/>
        <w:widowControl/>
        <w:kinsoku/>
        <w:topLinePunct w:val="0"/>
        <w:bidi w:val="0"/>
        <w:snapToGrid w:val="0"/>
        <w:spacing w:before="100" w:beforeAutospacing="1" w:after="100" w:afterAutospacing="1" w:line="400" w:lineRule="exact"/>
        <w:ind w:left="-359" w:leftChars="-171" w:firstLine="420" w:firstLineChars="20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根据政府采购项目（</w:t>
      </w:r>
      <w:r>
        <w:rPr>
          <w:rFonts w:hint="eastAsia" w:ascii="宋体" w:hAnsi="宋体" w:eastAsia="宋体" w:cs="宋体"/>
          <w:strike w:val="0"/>
          <w:dstrike w:val="0"/>
          <w:color w:val="auto"/>
          <w:kern w:val="0"/>
          <w:sz w:val="21"/>
          <w:szCs w:val="21"/>
          <w:highlight w:val="none"/>
          <w:u w:val="single"/>
        </w:rPr>
        <w:t>采购合同编号：</w:t>
      </w:r>
      <w:r>
        <w:rPr>
          <w:rFonts w:hint="eastAsia" w:ascii="宋体" w:hAnsi="宋体" w:eastAsia="宋体" w:cs="宋体"/>
          <w:strike w:val="0"/>
          <w:dstrike w:val="0"/>
          <w:color w:val="auto"/>
          <w:kern w:val="0"/>
          <w:sz w:val="21"/>
          <w:szCs w:val="21"/>
          <w:highlight w:val="none"/>
          <w:u w:val="single"/>
        </w:rPr>
        <w:softHyphen/>
      </w:r>
      <w:r>
        <w:rPr>
          <w:rFonts w:hint="eastAsia" w:ascii="宋体" w:hAnsi="宋体" w:eastAsia="宋体" w:cs="宋体"/>
          <w:strike w:val="0"/>
          <w:dstrike w:val="0"/>
          <w:color w:val="auto"/>
          <w:kern w:val="0"/>
          <w:sz w:val="21"/>
          <w:szCs w:val="21"/>
          <w:highlight w:val="none"/>
          <w:u w:val="single"/>
        </w:rPr>
        <w:t xml:space="preserve">    </w:t>
      </w:r>
      <w:r>
        <w:rPr>
          <w:rFonts w:hint="eastAsia" w:ascii="宋体" w:hAnsi="宋体" w:eastAsia="宋体" w:cs="宋体"/>
          <w:strike w:val="0"/>
          <w:dstrike w:val="0"/>
          <w:color w:val="auto"/>
          <w:kern w:val="0"/>
          <w:sz w:val="21"/>
          <w:szCs w:val="21"/>
          <w:highlight w:val="none"/>
        </w:rPr>
        <w:t>）的约定，我单位对（</w:t>
      </w:r>
      <w:r>
        <w:rPr>
          <w:rFonts w:hint="eastAsia" w:ascii="宋体" w:hAnsi="宋体" w:eastAsia="宋体" w:cs="宋体"/>
          <w:strike w:val="0"/>
          <w:dstrike w:val="0"/>
          <w:color w:val="auto"/>
          <w:kern w:val="0"/>
          <w:sz w:val="21"/>
          <w:szCs w:val="21"/>
          <w:highlight w:val="none"/>
          <w:u w:val="single"/>
        </w:rPr>
        <w:t xml:space="preserve">  项目名称   </w:t>
      </w:r>
      <w:r>
        <w:rPr>
          <w:rFonts w:hint="eastAsia" w:ascii="宋体" w:hAnsi="宋体" w:eastAsia="宋体" w:cs="宋体"/>
          <w:strike w:val="0"/>
          <w:dstrike w:val="0"/>
          <w:color w:val="auto"/>
          <w:kern w:val="0"/>
          <w:sz w:val="21"/>
          <w:szCs w:val="21"/>
          <w:highlight w:val="none"/>
        </w:rPr>
        <w:t>） 政府采购项目中标（或成交）投标人（</w:t>
      </w:r>
      <w:r>
        <w:rPr>
          <w:rFonts w:hint="eastAsia" w:ascii="宋体" w:hAnsi="宋体" w:eastAsia="宋体" w:cs="宋体"/>
          <w:strike w:val="0"/>
          <w:dstrike w:val="0"/>
          <w:color w:val="auto"/>
          <w:kern w:val="0"/>
          <w:sz w:val="21"/>
          <w:szCs w:val="21"/>
          <w:highlight w:val="none"/>
          <w:u w:val="single"/>
        </w:rPr>
        <w:t xml:space="preserve">            公司名称              </w:t>
      </w:r>
      <w:r>
        <w:rPr>
          <w:rFonts w:hint="eastAsia" w:ascii="宋体" w:hAnsi="宋体" w:eastAsia="宋体" w:cs="宋体"/>
          <w:strike w:val="0"/>
          <w:dstrike w:val="0"/>
          <w:color w:val="auto"/>
          <w:kern w:val="0"/>
          <w:sz w:val="21"/>
          <w:szCs w:val="21"/>
          <w:highlight w:val="none"/>
        </w:rPr>
        <w:t>）提供的货物（或工程、服务）进行了验收，验收情况如下：</w:t>
      </w:r>
    </w:p>
    <w:tbl>
      <w:tblPr>
        <w:tblStyle w:val="48"/>
        <w:tblW w:w="877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055"/>
        <w:gridCol w:w="2294"/>
        <w:gridCol w:w="946"/>
        <w:gridCol w:w="2495"/>
        <w:gridCol w:w="205"/>
        <w:gridCol w:w="793"/>
        <w:gridCol w:w="982"/>
      </w:tblGrid>
      <w:tr w14:paraId="75C54B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3349" w:type="dxa"/>
            <w:gridSpan w:val="2"/>
            <w:tcBorders>
              <w:top w:val="single" w:color="auto" w:sz="8" w:space="0"/>
              <w:left w:val="single" w:color="auto" w:sz="8" w:space="0"/>
              <w:bottom w:val="single" w:color="auto" w:sz="8" w:space="0"/>
              <w:right w:val="single" w:color="auto" w:sz="8" w:space="0"/>
            </w:tcBorders>
            <w:vAlign w:val="center"/>
          </w:tcPr>
          <w:p w14:paraId="6CA5E3D7">
            <w:pPr>
              <w:keepNext w:val="0"/>
              <w:keepLines w:val="0"/>
              <w:pageBreakBefore w:val="0"/>
              <w:widowControl/>
              <w:kinsoku/>
              <w:topLinePunct w:val="0"/>
              <w:bidi w:val="0"/>
              <w:snapToGrid w:val="0"/>
              <w:spacing w:before="100" w:beforeAutospacing="1" w:after="100" w:afterAutospacing="1" w:line="400" w:lineRule="exact"/>
              <w:ind w:left="-3" w:firstLine="4" w:firstLineChars="2"/>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验收方式：</w:t>
            </w:r>
          </w:p>
        </w:tc>
        <w:tc>
          <w:tcPr>
            <w:tcW w:w="5421" w:type="dxa"/>
            <w:gridSpan w:val="5"/>
            <w:tcBorders>
              <w:top w:val="single" w:color="auto" w:sz="8" w:space="0"/>
              <w:left w:val="single" w:color="auto" w:sz="8" w:space="0"/>
              <w:bottom w:val="single" w:color="auto" w:sz="8" w:space="0"/>
              <w:right w:val="single" w:color="auto" w:sz="8" w:space="0"/>
            </w:tcBorders>
            <w:vAlign w:val="center"/>
          </w:tcPr>
          <w:p w14:paraId="588B6AFD">
            <w:pPr>
              <w:keepNext w:val="0"/>
              <w:keepLines w:val="0"/>
              <w:pageBreakBefore w:val="0"/>
              <w:widowControl/>
              <w:kinsoku/>
              <w:topLinePunct w:val="0"/>
              <w:bidi w:val="0"/>
              <w:snapToGrid w:val="0"/>
              <w:spacing w:before="100" w:beforeAutospacing="1" w:after="100" w:afterAutospacing="1" w:line="400" w:lineRule="exact"/>
              <w:ind w:left="-3" w:firstLine="420" w:firstLineChars="200"/>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□自行验收         □委托验收</w:t>
            </w:r>
          </w:p>
        </w:tc>
      </w:tr>
      <w:tr w14:paraId="4F1CF7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1055" w:type="dxa"/>
            <w:tcBorders>
              <w:top w:val="single" w:color="auto" w:sz="8" w:space="0"/>
              <w:left w:val="single" w:color="auto" w:sz="8" w:space="0"/>
              <w:bottom w:val="single" w:color="auto" w:sz="8" w:space="0"/>
              <w:right w:val="single" w:color="auto" w:sz="8" w:space="0"/>
            </w:tcBorders>
            <w:vAlign w:val="center"/>
          </w:tcPr>
          <w:p w14:paraId="10CCD645">
            <w:pPr>
              <w:keepNext w:val="0"/>
              <w:keepLines w:val="0"/>
              <w:pageBreakBefore w:val="0"/>
              <w:widowControl/>
              <w:kinsoku/>
              <w:topLinePunct w:val="0"/>
              <w:bidi w:val="0"/>
              <w:snapToGrid w:val="0"/>
              <w:spacing w:before="100" w:beforeAutospacing="1" w:after="100" w:afterAutospacing="1" w:line="400" w:lineRule="exact"/>
              <w:ind w:firstLine="2" w:firstLineChars="1"/>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序号</w:t>
            </w:r>
          </w:p>
        </w:tc>
        <w:tc>
          <w:tcPr>
            <w:tcW w:w="2294" w:type="dxa"/>
            <w:tcBorders>
              <w:top w:val="single" w:color="auto" w:sz="8" w:space="0"/>
              <w:left w:val="single" w:color="auto" w:sz="8" w:space="0"/>
              <w:bottom w:val="single" w:color="auto" w:sz="8" w:space="0"/>
              <w:right w:val="single" w:color="auto" w:sz="8" w:space="0"/>
            </w:tcBorders>
            <w:vAlign w:val="center"/>
          </w:tcPr>
          <w:p w14:paraId="4D36C191">
            <w:pPr>
              <w:keepNext w:val="0"/>
              <w:keepLines w:val="0"/>
              <w:pageBreakBefore w:val="0"/>
              <w:widowControl/>
              <w:kinsoku/>
              <w:topLinePunct w:val="0"/>
              <w:bidi w:val="0"/>
              <w:snapToGrid w:val="0"/>
              <w:spacing w:before="100" w:beforeAutospacing="1" w:after="100" w:afterAutospacing="1" w:line="400" w:lineRule="exact"/>
              <w:ind w:left="-3" w:firstLine="2" w:firstLineChars="1"/>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名  称</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7043B1C4">
            <w:pPr>
              <w:keepNext w:val="0"/>
              <w:keepLines w:val="0"/>
              <w:pageBreakBefore w:val="0"/>
              <w:widowControl/>
              <w:kinsoku/>
              <w:topLinePunct w:val="0"/>
              <w:bidi w:val="0"/>
              <w:snapToGrid w:val="0"/>
              <w:spacing w:before="100" w:beforeAutospacing="1" w:after="100" w:afterAutospacing="1" w:line="400" w:lineRule="exact"/>
              <w:ind w:left="-3" w:firstLine="2" w:firstLineChars="1"/>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货物型号规格、标准及配置等（或服务内容、标准）</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0CABCEFB">
            <w:pPr>
              <w:keepNext w:val="0"/>
              <w:keepLines w:val="0"/>
              <w:pageBreakBefore w:val="0"/>
              <w:widowControl/>
              <w:kinsoku/>
              <w:topLinePunct w:val="0"/>
              <w:bidi w:val="0"/>
              <w:snapToGrid w:val="0"/>
              <w:spacing w:before="100" w:beforeAutospacing="1" w:after="100" w:afterAutospacing="1"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数量</w:t>
            </w:r>
          </w:p>
        </w:tc>
        <w:tc>
          <w:tcPr>
            <w:tcW w:w="982" w:type="dxa"/>
            <w:tcBorders>
              <w:top w:val="single" w:color="auto" w:sz="8" w:space="0"/>
              <w:left w:val="single" w:color="auto" w:sz="8" w:space="0"/>
              <w:bottom w:val="single" w:color="auto" w:sz="8" w:space="0"/>
              <w:right w:val="single" w:color="auto" w:sz="8" w:space="0"/>
            </w:tcBorders>
            <w:vAlign w:val="center"/>
          </w:tcPr>
          <w:p w14:paraId="1C451769">
            <w:pPr>
              <w:keepNext w:val="0"/>
              <w:keepLines w:val="0"/>
              <w:pageBreakBefore w:val="0"/>
              <w:widowControl/>
              <w:kinsoku/>
              <w:topLinePunct w:val="0"/>
              <w:bidi w:val="0"/>
              <w:snapToGrid w:val="0"/>
              <w:spacing w:before="100" w:beforeAutospacing="1" w:after="100" w:afterAutospacing="1" w:line="400" w:lineRule="exact"/>
              <w:ind w:left="-3" w:firstLine="2" w:firstLineChars="1"/>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金  额</w:t>
            </w:r>
          </w:p>
        </w:tc>
      </w:tr>
      <w:tr w14:paraId="337A8B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055" w:type="dxa"/>
            <w:tcBorders>
              <w:top w:val="single" w:color="auto" w:sz="8" w:space="0"/>
              <w:left w:val="single" w:color="auto" w:sz="8" w:space="0"/>
              <w:bottom w:val="single" w:color="auto" w:sz="8" w:space="0"/>
              <w:right w:val="single" w:color="auto" w:sz="8" w:space="0"/>
            </w:tcBorders>
            <w:vAlign w:val="center"/>
          </w:tcPr>
          <w:p w14:paraId="72D55AB3">
            <w:pPr>
              <w:keepNext w:val="0"/>
              <w:keepLines w:val="0"/>
              <w:pageBreakBefore w:val="0"/>
              <w:widowControl/>
              <w:kinsoku/>
              <w:topLinePunct w:val="0"/>
              <w:bidi w:val="0"/>
              <w:snapToGrid w:val="0"/>
              <w:spacing w:before="100" w:beforeAutospacing="1" w:after="100" w:afterAutospacing="1" w:line="400" w:lineRule="exact"/>
              <w:ind w:left="-3" w:firstLine="4" w:firstLineChars="2"/>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w:t>
            </w:r>
          </w:p>
        </w:tc>
        <w:tc>
          <w:tcPr>
            <w:tcW w:w="2294" w:type="dxa"/>
            <w:tcBorders>
              <w:top w:val="single" w:color="auto" w:sz="8" w:space="0"/>
              <w:left w:val="single" w:color="auto" w:sz="8" w:space="0"/>
              <w:bottom w:val="single" w:color="auto" w:sz="8" w:space="0"/>
              <w:right w:val="single" w:color="auto" w:sz="8" w:space="0"/>
            </w:tcBorders>
            <w:vAlign w:val="center"/>
          </w:tcPr>
          <w:p w14:paraId="4E3350BA">
            <w:pPr>
              <w:keepNext w:val="0"/>
              <w:keepLines w:val="0"/>
              <w:pageBreakBefore w:val="0"/>
              <w:widowControl/>
              <w:kinsoku/>
              <w:topLinePunct w:val="0"/>
              <w:bidi w:val="0"/>
              <w:snapToGrid w:val="0"/>
              <w:spacing w:before="100" w:beforeAutospacing="1" w:after="100" w:afterAutospacing="1" w:line="400" w:lineRule="exact"/>
              <w:ind w:left="-3" w:firstLine="420" w:firstLineChars="20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76A40219">
            <w:pPr>
              <w:keepNext w:val="0"/>
              <w:keepLines w:val="0"/>
              <w:pageBreakBefore w:val="0"/>
              <w:widowControl/>
              <w:kinsoku/>
              <w:topLinePunct w:val="0"/>
              <w:bidi w:val="0"/>
              <w:snapToGrid w:val="0"/>
              <w:spacing w:before="100" w:beforeAutospacing="1" w:after="100" w:afterAutospacing="1" w:line="400" w:lineRule="exact"/>
              <w:ind w:left="-3" w:firstLine="420" w:firstLineChars="20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52B10901">
            <w:pPr>
              <w:keepNext w:val="0"/>
              <w:keepLines w:val="0"/>
              <w:pageBreakBefore w:val="0"/>
              <w:widowControl/>
              <w:kinsoku/>
              <w:topLinePunct w:val="0"/>
              <w:bidi w:val="0"/>
              <w:snapToGrid w:val="0"/>
              <w:spacing w:before="100" w:beforeAutospacing="1" w:after="100" w:afterAutospacing="1" w:line="400" w:lineRule="exact"/>
              <w:ind w:firstLine="420" w:firstLineChars="20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w:t>
            </w:r>
          </w:p>
        </w:tc>
        <w:tc>
          <w:tcPr>
            <w:tcW w:w="982" w:type="dxa"/>
            <w:tcBorders>
              <w:top w:val="single" w:color="auto" w:sz="8" w:space="0"/>
              <w:left w:val="single" w:color="auto" w:sz="8" w:space="0"/>
              <w:bottom w:val="single" w:color="auto" w:sz="8" w:space="0"/>
              <w:right w:val="single" w:color="auto" w:sz="8" w:space="0"/>
            </w:tcBorders>
            <w:vAlign w:val="center"/>
          </w:tcPr>
          <w:p w14:paraId="07EBDEE8">
            <w:pPr>
              <w:keepNext w:val="0"/>
              <w:keepLines w:val="0"/>
              <w:pageBreakBefore w:val="0"/>
              <w:widowControl/>
              <w:kinsoku/>
              <w:topLinePunct w:val="0"/>
              <w:bidi w:val="0"/>
              <w:snapToGrid w:val="0"/>
              <w:spacing w:before="100" w:beforeAutospacing="1" w:after="100" w:afterAutospacing="1" w:line="400" w:lineRule="exact"/>
              <w:ind w:firstLine="420" w:firstLineChars="20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w:t>
            </w:r>
          </w:p>
        </w:tc>
      </w:tr>
      <w:tr w14:paraId="604F39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055" w:type="dxa"/>
            <w:tcBorders>
              <w:top w:val="single" w:color="auto" w:sz="8" w:space="0"/>
              <w:left w:val="single" w:color="auto" w:sz="8" w:space="0"/>
              <w:bottom w:val="single" w:color="auto" w:sz="8" w:space="0"/>
              <w:right w:val="single" w:color="auto" w:sz="8" w:space="0"/>
            </w:tcBorders>
            <w:vAlign w:val="center"/>
          </w:tcPr>
          <w:p w14:paraId="67B3EC40">
            <w:pPr>
              <w:keepNext w:val="0"/>
              <w:keepLines w:val="0"/>
              <w:pageBreakBefore w:val="0"/>
              <w:widowControl/>
              <w:kinsoku/>
              <w:topLinePunct w:val="0"/>
              <w:bidi w:val="0"/>
              <w:snapToGrid w:val="0"/>
              <w:spacing w:before="100" w:beforeAutospacing="1" w:after="100" w:afterAutospacing="1" w:line="400" w:lineRule="exact"/>
              <w:ind w:left="-3" w:firstLine="420" w:firstLineChars="20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w:t>
            </w:r>
          </w:p>
        </w:tc>
        <w:tc>
          <w:tcPr>
            <w:tcW w:w="2294" w:type="dxa"/>
            <w:tcBorders>
              <w:top w:val="single" w:color="auto" w:sz="8" w:space="0"/>
              <w:left w:val="single" w:color="auto" w:sz="8" w:space="0"/>
              <w:bottom w:val="single" w:color="auto" w:sz="8" w:space="0"/>
              <w:right w:val="single" w:color="auto" w:sz="8" w:space="0"/>
            </w:tcBorders>
            <w:vAlign w:val="center"/>
          </w:tcPr>
          <w:p w14:paraId="3E59B492">
            <w:pPr>
              <w:keepNext w:val="0"/>
              <w:keepLines w:val="0"/>
              <w:pageBreakBefore w:val="0"/>
              <w:widowControl/>
              <w:kinsoku/>
              <w:topLinePunct w:val="0"/>
              <w:bidi w:val="0"/>
              <w:snapToGrid w:val="0"/>
              <w:spacing w:before="100" w:beforeAutospacing="1" w:after="100" w:afterAutospacing="1" w:line="400" w:lineRule="exact"/>
              <w:ind w:left="-3" w:firstLine="420" w:firstLineChars="20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2FA6AEBD">
            <w:pPr>
              <w:keepNext w:val="0"/>
              <w:keepLines w:val="0"/>
              <w:pageBreakBefore w:val="0"/>
              <w:widowControl/>
              <w:kinsoku/>
              <w:topLinePunct w:val="0"/>
              <w:bidi w:val="0"/>
              <w:snapToGrid w:val="0"/>
              <w:spacing w:before="100" w:beforeAutospacing="1" w:after="100" w:afterAutospacing="1" w:line="400" w:lineRule="exact"/>
              <w:ind w:left="-3" w:firstLine="420" w:firstLineChars="20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52677DD6">
            <w:pPr>
              <w:keepNext w:val="0"/>
              <w:keepLines w:val="0"/>
              <w:pageBreakBefore w:val="0"/>
              <w:widowControl/>
              <w:kinsoku/>
              <w:topLinePunct w:val="0"/>
              <w:bidi w:val="0"/>
              <w:snapToGrid w:val="0"/>
              <w:spacing w:before="100" w:beforeAutospacing="1" w:after="100" w:afterAutospacing="1" w:line="400" w:lineRule="exact"/>
              <w:ind w:firstLine="420" w:firstLineChars="20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w:t>
            </w:r>
          </w:p>
        </w:tc>
        <w:tc>
          <w:tcPr>
            <w:tcW w:w="982" w:type="dxa"/>
            <w:tcBorders>
              <w:top w:val="single" w:color="auto" w:sz="8" w:space="0"/>
              <w:left w:val="single" w:color="auto" w:sz="8" w:space="0"/>
              <w:bottom w:val="single" w:color="auto" w:sz="8" w:space="0"/>
              <w:right w:val="single" w:color="auto" w:sz="8" w:space="0"/>
            </w:tcBorders>
            <w:vAlign w:val="center"/>
          </w:tcPr>
          <w:p w14:paraId="02CAA59F">
            <w:pPr>
              <w:keepNext w:val="0"/>
              <w:keepLines w:val="0"/>
              <w:pageBreakBefore w:val="0"/>
              <w:widowControl/>
              <w:kinsoku/>
              <w:topLinePunct w:val="0"/>
              <w:bidi w:val="0"/>
              <w:snapToGrid w:val="0"/>
              <w:spacing w:before="100" w:beforeAutospacing="1" w:after="100" w:afterAutospacing="1" w:line="400" w:lineRule="exact"/>
              <w:ind w:firstLine="420" w:firstLineChars="20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w:t>
            </w:r>
          </w:p>
        </w:tc>
      </w:tr>
      <w:tr w14:paraId="187794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055" w:type="dxa"/>
            <w:tcBorders>
              <w:top w:val="single" w:color="auto" w:sz="8" w:space="0"/>
              <w:left w:val="single" w:color="auto" w:sz="8" w:space="0"/>
              <w:bottom w:val="single" w:color="auto" w:sz="8" w:space="0"/>
              <w:right w:val="single" w:color="auto" w:sz="8" w:space="0"/>
            </w:tcBorders>
            <w:vAlign w:val="center"/>
          </w:tcPr>
          <w:p w14:paraId="0E7FB73D">
            <w:pPr>
              <w:keepNext w:val="0"/>
              <w:keepLines w:val="0"/>
              <w:pageBreakBefore w:val="0"/>
              <w:widowControl/>
              <w:kinsoku/>
              <w:topLinePunct w:val="0"/>
              <w:bidi w:val="0"/>
              <w:snapToGrid w:val="0"/>
              <w:spacing w:before="100" w:beforeAutospacing="1" w:after="100" w:afterAutospacing="1" w:line="400" w:lineRule="exact"/>
              <w:ind w:left="-3" w:firstLine="420" w:firstLineChars="20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w:t>
            </w:r>
          </w:p>
        </w:tc>
        <w:tc>
          <w:tcPr>
            <w:tcW w:w="2294" w:type="dxa"/>
            <w:tcBorders>
              <w:top w:val="single" w:color="auto" w:sz="8" w:space="0"/>
              <w:left w:val="single" w:color="auto" w:sz="8" w:space="0"/>
              <w:bottom w:val="single" w:color="auto" w:sz="8" w:space="0"/>
              <w:right w:val="single" w:color="auto" w:sz="8" w:space="0"/>
            </w:tcBorders>
            <w:vAlign w:val="center"/>
          </w:tcPr>
          <w:p w14:paraId="0841DE3A">
            <w:pPr>
              <w:keepNext w:val="0"/>
              <w:keepLines w:val="0"/>
              <w:pageBreakBefore w:val="0"/>
              <w:widowControl/>
              <w:kinsoku/>
              <w:topLinePunct w:val="0"/>
              <w:bidi w:val="0"/>
              <w:snapToGrid w:val="0"/>
              <w:spacing w:before="100" w:beforeAutospacing="1" w:after="100" w:afterAutospacing="1" w:line="400" w:lineRule="exact"/>
              <w:ind w:left="-3" w:firstLine="420" w:firstLineChars="20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2B1FF87F">
            <w:pPr>
              <w:keepNext w:val="0"/>
              <w:keepLines w:val="0"/>
              <w:pageBreakBefore w:val="0"/>
              <w:widowControl/>
              <w:kinsoku/>
              <w:topLinePunct w:val="0"/>
              <w:bidi w:val="0"/>
              <w:snapToGrid w:val="0"/>
              <w:spacing w:before="100" w:beforeAutospacing="1" w:after="100" w:afterAutospacing="1" w:line="400" w:lineRule="exact"/>
              <w:ind w:left="-3" w:firstLine="420" w:firstLineChars="20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170A7D46">
            <w:pPr>
              <w:keepNext w:val="0"/>
              <w:keepLines w:val="0"/>
              <w:pageBreakBefore w:val="0"/>
              <w:widowControl/>
              <w:kinsoku/>
              <w:topLinePunct w:val="0"/>
              <w:bidi w:val="0"/>
              <w:snapToGrid w:val="0"/>
              <w:spacing w:before="100" w:beforeAutospacing="1" w:after="100" w:afterAutospacing="1" w:line="400" w:lineRule="exact"/>
              <w:ind w:firstLine="420" w:firstLineChars="20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w:t>
            </w:r>
          </w:p>
        </w:tc>
        <w:tc>
          <w:tcPr>
            <w:tcW w:w="982" w:type="dxa"/>
            <w:tcBorders>
              <w:top w:val="single" w:color="auto" w:sz="8" w:space="0"/>
              <w:left w:val="single" w:color="auto" w:sz="8" w:space="0"/>
              <w:bottom w:val="single" w:color="auto" w:sz="8" w:space="0"/>
              <w:right w:val="single" w:color="auto" w:sz="8" w:space="0"/>
            </w:tcBorders>
            <w:vAlign w:val="center"/>
          </w:tcPr>
          <w:p w14:paraId="3D30137B">
            <w:pPr>
              <w:keepNext w:val="0"/>
              <w:keepLines w:val="0"/>
              <w:pageBreakBefore w:val="0"/>
              <w:widowControl/>
              <w:kinsoku/>
              <w:topLinePunct w:val="0"/>
              <w:bidi w:val="0"/>
              <w:snapToGrid w:val="0"/>
              <w:spacing w:before="100" w:beforeAutospacing="1" w:after="100" w:afterAutospacing="1" w:line="400" w:lineRule="exact"/>
              <w:ind w:firstLine="420" w:firstLineChars="20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w:t>
            </w:r>
          </w:p>
        </w:tc>
      </w:tr>
      <w:tr w14:paraId="0271AA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790" w:type="dxa"/>
            <w:gridSpan w:val="4"/>
            <w:tcBorders>
              <w:top w:val="single" w:color="auto" w:sz="8" w:space="0"/>
              <w:left w:val="single" w:color="auto" w:sz="8" w:space="0"/>
              <w:bottom w:val="single" w:color="auto" w:sz="8" w:space="0"/>
              <w:right w:val="single" w:color="auto" w:sz="8" w:space="0"/>
            </w:tcBorders>
            <w:vAlign w:val="center"/>
          </w:tcPr>
          <w:p w14:paraId="4F2E4E53">
            <w:pPr>
              <w:keepNext w:val="0"/>
              <w:keepLines w:val="0"/>
              <w:pageBreakBefore w:val="0"/>
              <w:widowControl/>
              <w:kinsoku/>
              <w:topLinePunct w:val="0"/>
              <w:bidi w:val="0"/>
              <w:snapToGrid w:val="0"/>
              <w:spacing w:before="100" w:beforeAutospacing="1" w:after="100" w:afterAutospacing="1" w:line="400" w:lineRule="exact"/>
              <w:ind w:left="-3" w:firstLine="4" w:firstLineChars="2"/>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合        计</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004779A0">
            <w:pPr>
              <w:keepNext w:val="0"/>
              <w:keepLines w:val="0"/>
              <w:pageBreakBefore w:val="0"/>
              <w:widowControl/>
              <w:kinsoku/>
              <w:topLinePunct w:val="0"/>
              <w:bidi w:val="0"/>
              <w:snapToGrid w:val="0"/>
              <w:spacing w:before="100" w:beforeAutospacing="1" w:after="100" w:afterAutospacing="1" w:line="400" w:lineRule="exact"/>
              <w:ind w:firstLine="420" w:firstLineChars="20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w:t>
            </w:r>
          </w:p>
        </w:tc>
        <w:tc>
          <w:tcPr>
            <w:tcW w:w="982" w:type="dxa"/>
            <w:tcBorders>
              <w:top w:val="single" w:color="auto" w:sz="8" w:space="0"/>
              <w:left w:val="single" w:color="auto" w:sz="8" w:space="0"/>
              <w:bottom w:val="single" w:color="auto" w:sz="8" w:space="0"/>
              <w:right w:val="single" w:color="auto" w:sz="8" w:space="0"/>
            </w:tcBorders>
            <w:vAlign w:val="center"/>
          </w:tcPr>
          <w:p w14:paraId="34A1BD7F">
            <w:pPr>
              <w:keepNext w:val="0"/>
              <w:keepLines w:val="0"/>
              <w:pageBreakBefore w:val="0"/>
              <w:widowControl/>
              <w:kinsoku/>
              <w:topLinePunct w:val="0"/>
              <w:bidi w:val="0"/>
              <w:snapToGrid w:val="0"/>
              <w:spacing w:before="100" w:beforeAutospacing="1" w:after="100" w:afterAutospacing="1" w:line="400" w:lineRule="exact"/>
              <w:ind w:firstLine="420" w:firstLineChars="20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w:t>
            </w:r>
          </w:p>
        </w:tc>
      </w:tr>
      <w:tr w14:paraId="3703CF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8770" w:type="dxa"/>
            <w:gridSpan w:val="7"/>
            <w:tcBorders>
              <w:top w:val="single" w:color="auto" w:sz="8" w:space="0"/>
              <w:left w:val="single" w:color="auto" w:sz="8" w:space="0"/>
              <w:bottom w:val="single" w:color="auto" w:sz="8" w:space="0"/>
              <w:right w:val="single" w:color="auto" w:sz="8" w:space="0"/>
            </w:tcBorders>
            <w:vAlign w:val="center"/>
          </w:tcPr>
          <w:p w14:paraId="1B564F12">
            <w:pPr>
              <w:keepNext w:val="0"/>
              <w:keepLines w:val="0"/>
              <w:pageBreakBefore w:val="0"/>
              <w:widowControl/>
              <w:kinsoku/>
              <w:topLinePunct w:val="0"/>
              <w:bidi w:val="0"/>
              <w:snapToGrid w:val="0"/>
              <w:spacing w:before="100" w:beforeAutospacing="1" w:after="100" w:afterAutospacing="1" w:line="400" w:lineRule="exact"/>
              <w:ind w:firstLine="2" w:firstLineChars="1"/>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合计大写金额：   仟    佰    拾    万    仟    佰    拾    元</w:t>
            </w:r>
          </w:p>
        </w:tc>
      </w:tr>
      <w:tr w14:paraId="75020F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1055" w:type="dxa"/>
            <w:tcBorders>
              <w:top w:val="single" w:color="auto" w:sz="8" w:space="0"/>
              <w:left w:val="single" w:color="auto" w:sz="8" w:space="0"/>
              <w:bottom w:val="single" w:color="auto" w:sz="8" w:space="0"/>
              <w:right w:val="single" w:color="auto" w:sz="8" w:space="0"/>
            </w:tcBorders>
            <w:vAlign w:val="center"/>
          </w:tcPr>
          <w:p w14:paraId="66CF2806">
            <w:pPr>
              <w:keepNext w:val="0"/>
              <w:keepLines w:val="0"/>
              <w:pageBreakBefore w:val="0"/>
              <w:widowControl/>
              <w:kinsoku/>
              <w:topLinePunct w:val="0"/>
              <w:bidi w:val="0"/>
              <w:snapToGrid w:val="0"/>
              <w:spacing w:before="100" w:beforeAutospacing="1" w:after="100" w:afterAutospacing="1" w:line="400" w:lineRule="exact"/>
              <w:ind w:firstLine="2" w:firstLineChars="1"/>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实际供货日期</w:t>
            </w:r>
          </w:p>
        </w:tc>
        <w:tc>
          <w:tcPr>
            <w:tcW w:w="3240" w:type="dxa"/>
            <w:gridSpan w:val="2"/>
            <w:tcBorders>
              <w:top w:val="single" w:color="auto" w:sz="8" w:space="0"/>
              <w:left w:val="single" w:color="auto" w:sz="8" w:space="0"/>
              <w:bottom w:val="single" w:color="auto" w:sz="8" w:space="0"/>
              <w:right w:val="single" w:color="auto" w:sz="8" w:space="0"/>
            </w:tcBorders>
            <w:vAlign w:val="center"/>
          </w:tcPr>
          <w:p w14:paraId="5CA2D0A1">
            <w:pPr>
              <w:keepNext w:val="0"/>
              <w:keepLines w:val="0"/>
              <w:pageBreakBefore w:val="0"/>
              <w:kinsoku/>
              <w:topLinePunct w:val="0"/>
              <w:bidi w:val="0"/>
              <w:snapToGrid w:val="0"/>
              <w:spacing w:before="100" w:beforeAutospacing="1" w:after="100" w:afterAutospacing="1" w:line="400" w:lineRule="exact"/>
              <w:ind w:firstLine="420" w:firstLineChars="200"/>
              <w:jc w:val="left"/>
              <w:rPr>
                <w:rFonts w:hint="eastAsia" w:ascii="宋体" w:hAnsi="宋体" w:eastAsia="宋体" w:cs="宋体"/>
                <w:strike w:val="0"/>
                <w:dstrike w:val="0"/>
                <w:color w:val="auto"/>
                <w:kern w:val="0"/>
                <w:sz w:val="21"/>
                <w:szCs w:val="21"/>
                <w:highlight w:val="none"/>
              </w:rPr>
            </w:pPr>
          </w:p>
        </w:tc>
        <w:tc>
          <w:tcPr>
            <w:tcW w:w="2700" w:type="dxa"/>
            <w:gridSpan w:val="2"/>
            <w:tcBorders>
              <w:top w:val="single" w:color="auto" w:sz="8" w:space="0"/>
              <w:left w:val="single" w:color="auto" w:sz="8" w:space="0"/>
              <w:bottom w:val="single" w:color="auto" w:sz="8" w:space="0"/>
              <w:right w:val="single" w:color="auto" w:sz="8" w:space="0"/>
            </w:tcBorders>
            <w:vAlign w:val="center"/>
          </w:tcPr>
          <w:p w14:paraId="688409F5">
            <w:pPr>
              <w:keepNext w:val="0"/>
              <w:keepLines w:val="0"/>
              <w:pageBreakBefore w:val="0"/>
              <w:kinsoku/>
              <w:topLinePunct w:val="0"/>
              <w:bidi w:val="0"/>
              <w:snapToGrid w:val="0"/>
              <w:spacing w:before="100" w:beforeAutospacing="1" w:after="100" w:afterAutospacing="1" w:line="400" w:lineRule="exact"/>
              <w:ind w:firstLine="39" w:firstLineChars="19"/>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合同交货验收日期</w:t>
            </w:r>
          </w:p>
        </w:tc>
        <w:tc>
          <w:tcPr>
            <w:tcW w:w="1775" w:type="dxa"/>
            <w:gridSpan w:val="2"/>
            <w:tcBorders>
              <w:top w:val="single" w:color="auto" w:sz="8" w:space="0"/>
              <w:left w:val="single" w:color="auto" w:sz="8" w:space="0"/>
              <w:bottom w:val="single" w:color="auto" w:sz="8" w:space="0"/>
              <w:right w:val="single" w:color="auto" w:sz="8" w:space="0"/>
            </w:tcBorders>
            <w:vAlign w:val="center"/>
          </w:tcPr>
          <w:p w14:paraId="0C5F354D">
            <w:pPr>
              <w:keepNext w:val="0"/>
              <w:keepLines w:val="0"/>
              <w:pageBreakBefore w:val="0"/>
              <w:kinsoku/>
              <w:topLinePunct w:val="0"/>
              <w:bidi w:val="0"/>
              <w:snapToGrid w:val="0"/>
              <w:spacing w:before="100" w:beforeAutospacing="1" w:after="100" w:afterAutospacing="1" w:line="400" w:lineRule="exact"/>
              <w:ind w:firstLine="420" w:firstLineChars="200"/>
              <w:jc w:val="left"/>
              <w:rPr>
                <w:rFonts w:hint="eastAsia" w:ascii="宋体" w:hAnsi="宋体" w:eastAsia="宋体" w:cs="宋体"/>
                <w:strike w:val="0"/>
                <w:dstrike w:val="0"/>
                <w:color w:val="auto"/>
                <w:kern w:val="0"/>
                <w:sz w:val="21"/>
                <w:szCs w:val="21"/>
                <w:highlight w:val="none"/>
              </w:rPr>
            </w:pPr>
          </w:p>
        </w:tc>
      </w:tr>
      <w:tr w14:paraId="5B085B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4" w:hRule="atLeast"/>
          <w:jc w:val="center"/>
        </w:trPr>
        <w:tc>
          <w:tcPr>
            <w:tcW w:w="1055" w:type="dxa"/>
            <w:tcBorders>
              <w:top w:val="single" w:color="auto" w:sz="8" w:space="0"/>
              <w:left w:val="single" w:color="auto" w:sz="8" w:space="0"/>
              <w:bottom w:val="single" w:color="auto" w:sz="8" w:space="0"/>
              <w:right w:val="single" w:color="auto" w:sz="8" w:space="0"/>
            </w:tcBorders>
            <w:vAlign w:val="center"/>
          </w:tcPr>
          <w:p w14:paraId="0652C619">
            <w:pPr>
              <w:keepNext w:val="0"/>
              <w:keepLines w:val="0"/>
              <w:pageBreakBefore w:val="0"/>
              <w:widowControl/>
              <w:kinsoku/>
              <w:topLinePunct w:val="0"/>
              <w:bidi w:val="0"/>
              <w:snapToGrid w:val="0"/>
              <w:spacing w:before="100" w:beforeAutospacing="1" w:after="100" w:afterAutospacing="1" w:line="400" w:lineRule="exact"/>
              <w:ind w:firstLine="420" w:firstLineChars="200"/>
              <w:jc w:val="left"/>
              <w:rPr>
                <w:rFonts w:hint="eastAsia" w:ascii="宋体" w:hAnsi="宋体" w:eastAsia="宋体" w:cs="宋体"/>
                <w:strike w:val="0"/>
                <w:dstrike w:val="0"/>
                <w:color w:val="auto"/>
                <w:kern w:val="0"/>
                <w:sz w:val="21"/>
                <w:szCs w:val="21"/>
                <w:highlight w:val="none"/>
              </w:rPr>
            </w:pPr>
          </w:p>
        </w:tc>
        <w:tc>
          <w:tcPr>
            <w:tcW w:w="3240" w:type="dxa"/>
            <w:gridSpan w:val="2"/>
            <w:tcBorders>
              <w:top w:val="single" w:color="auto" w:sz="8" w:space="0"/>
              <w:left w:val="single" w:color="auto" w:sz="8" w:space="0"/>
              <w:bottom w:val="single" w:color="auto" w:sz="8" w:space="0"/>
              <w:right w:val="single" w:color="auto" w:sz="8" w:space="0"/>
            </w:tcBorders>
            <w:vAlign w:val="center"/>
          </w:tcPr>
          <w:p w14:paraId="1BD1C9FF">
            <w:pPr>
              <w:keepNext w:val="0"/>
              <w:keepLines w:val="0"/>
              <w:pageBreakBefore w:val="0"/>
              <w:kinsoku/>
              <w:topLinePunct w:val="0"/>
              <w:bidi w:val="0"/>
              <w:snapToGrid w:val="0"/>
              <w:spacing w:before="100" w:beforeAutospacing="1" w:after="100" w:afterAutospacing="1" w:line="400" w:lineRule="exact"/>
              <w:ind w:firstLine="420" w:firstLineChars="200"/>
              <w:jc w:val="left"/>
              <w:rPr>
                <w:rFonts w:hint="eastAsia" w:ascii="宋体" w:hAnsi="宋体" w:eastAsia="宋体" w:cs="宋体"/>
                <w:strike w:val="0"/>
                <w:dstrike w:val="0"/>
                <w:color w:val="auto"/>
                <w:kern w:val="0"/>
                <w:sz w:val="21"/>
                <w:szCs w:val="21"/>
                <w:highlight w:val="none"/>
              </w:rPr>
            </w:pPr>
          </w:p>
        </w:tc>
        <w:tc>
          <w:tcPr>
            <w:tcW w:w="2700" w:type="dxa"/>
            <w:gridSpan w:val="2"/>
            <w:tcBorders>
              <w:top w:val="single" w:color="auto" w:sz="8" w:space="0"/>
              <w:left w:val="single" w:color="auto" w:sz="8" w:space="0"/>
              <w:bottom w:val="single" w:color="auto" w:sz="8" w:space="0"/>
              <w:right w:val="single" w:color="auto" w:sz="8" w:space="0"/>
            </w:tcBorders>
            <w:vAlign w:val="center"/>
          </w:tcPr>
          <w:p w14:paraId="6A8DBC47">
            <w:pPr>
              <w:keepNext w:val="0"/>
              <w:keepLines w:val="0"/>
              <w:pageBreakBefore w:val="0"/>
              <w:kinsoku/>
              <w:topLinePunct w:val="0"/>
              <w:bidi w:val="0"/>
              <w:snapToGrid w:val="0"/>
              <w:spacing w:before="100" w:beforeAutospacing="1" w:after="100" w:afterAutospacing="1" w:line="400" w:lineRule="exact"/>
              <w:ind w:left="590" w:firstLine="420" w:firstLineChars="200"/>
              <w:jc w:val="left"/>
              <w:rPr>
                <w:rFonts w:hint="eastAsia" w:ascii="宋体" w:hAnsi="宋体" w:eastAsia="宋体" w:cs="宋体"/>
                <w:strike w:val="0"/>
                <w:dstrike w:val="0"/>
                <w:color w:val="auto"/>
                <w:kern w:val="0"/>
                <w:sz w:val="21"/>
                <w:szCs w:val="21"/>
                <w:highlight w:val="none"/>
              </w:rPr>
            </w:pPr>
          </w:p>
        </w:tc>
        <w:tc>
          <w:tcPr>
            <w:tcW w:w="1775" w:type="dxa"/>
            <w:gridSpan w:val="2"/>
            <w:tcBorders>
              <w:top w:val="single" w:color="auto" w:sz="8" w:space="0"/>
              <w:left w:val="single" w:color="auto" w:sz="8" w:space="0"/>
              <w:bottom w:val="single" w:color="auto" w:sz="8" w:space="0"/>
              <w:right w:val="single" w:color="auto" w:sz="8" w:space="0"/>
            </w:tcBorders>
            <w:vAlign w:val="center"/>
          </w:tcPr>
          <w:p w14:paraId="0329E10E">
            <w:pPr>
              <w:keepNext w:val="0"/>
              <w:keepLines w:val="0"/>
              <w:pageBreakBefore w:val="0"/>
              <w:kinsoku/>
              <w:topLinePunct w:val="0"/>
              <w:bidi w:val="0"/>
              <w:snapToGrid w:val="0"/>
              <w:spacing w:before="100" w:beforeAutospacing="1" w:after="100" w:afterAutospacing="1" w:line="400" w:lineRule="exact"/>
              <w:ind w:firstLine="420" w:firstLineChars="200"/>
              <w:jc w:val="left"/>
              <w:rPr>
                <w:rFonts w:hint="eastAsia" w:ascii="宋体" w:hAnsi="宋体" w:eastAsia="宋体" w:cs="宋体"/>
                <w:strike w:val="0"/>
                <w:dstrike w:val="0"/>
                <w:color w:val="auto"/>
                <w:kern w:val="0"/>
                <w:sz w:val="21"/>
                <w:szCs w:val="21"/>
                <w:highlight w:val="none"/>
              </w:rPr>
            </w:pPr>
          </w:p>
        </w:tc>
      </w:tr>
      <w:tr w14:paraId="2C0363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05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AA16830">
            <w:pPr>
              <w:keepNext w:val="0"/>
              <w:keepLines w:val="0"/>
              <w:pageBreakBefore w:val="0"/>
              <w:widowControl/>
              <w:kinsoku/>
              <w:topLinePunct w:val="0"/>
              <w:bidi w:val="0"/>
              <w:snapToGrid w:val="0"/>
              <w:spacing w:before="100" w:beforeAutospacing="1" w:after="100" w:afterAutospacing="1"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验收具体内容</w:t>
            </w:r>
          </w:p>
        </w:tc>
        <w:tc>
          <w:tcPr>
            <w:tcW w:w="7715"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B2DEAD">
            <w:pPr>
              <w:keepNext w:val="0"/>
              <w:keepLines w:val="0"/>
              <w:pageBreakBefore w:val="0"/>
              <w:widowControl/>
              <w:kinsoku/>
              <w:topLinePunct w:val="0"/>
              <w:bidi w:val="0"/>
              <w:snapToGrid w:val="0"/>
              <w:spacing w:before="100" w:beforeAutospacing="1" w:after="100" w:afterAutospacing="1"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sz w:val="21"/>
                <w:szCs w:val="21"/>
                <w:highlight w:val="none"/>
              </w:rPr>
              <w:t>（应</w:t>
            </w:r>
            <w:r>
              <w:rPr>
                <w:rFonts w:hint="eastAsia" w:ascii="宋体" w:hAnsi="宋体" w:eastAsia="宋体" w:cs="宋体"/>
                <w:strike w:val="0"/>
                <w:dstrike w:val="0"/>
                <w:color w:val="auto"/>
                <w:kern w:val="0"/>
                <w:sz w:val="21"/>
                <w:szCs w:val="21"/>
                <w:highlight w:val="none"/>
              </w:rPr>
              <w:t>按采购合同、采购文件、投标</w:t>
            </w:r>
            <w:r>
              <w:rPr>
                <w:rFonts w:hint="eastAsia" w:ascii="宋体" w:hAnsi="宋体" w:eastAsia="宋体" w:cs="宋体"/>
                <w:strike w:val="0"/>
                <w:dstrike w:val="0"/>
                <w:color w:val="auto"/>
                <w:kern w:val="0"/>
                <w:sz w:val="21"/>
                <w:szCs w:val="21"/>
                <w:highlight w:val="none"/>
                <w:lang w:eastAsia="zh-CN"/>
              </w:rPr>
              <w:t>投标文件</w:t>
            </w:r>
            <w:r>
              <w:rPr>
                <w:rFonts w:hint="eastAsia" w:ascii="宋体" w:hAnsi="宋体" w:eastAsia="宋体" w:cs="宋体"/>
                <w:strike w:val="0"/>
                <w:dstrike w:val="0"/>
                <w:color w:val="auto"/>
                <w:kern w:val="0"/>
                <w:sz w:val="21"/>
                <w:szCs w:val="21"/>
                <w:highlight w:val="none"/>
              </w:rPr>
              <w:t>及验收方案等进行验收；并核对</w:t>
            </w:r>
            <w:r>
              <w:rPr>
                <w:rFonts w:hint="eastAsia" w:ascii="宋体" w:hAnsi="宋体" w:eastAsia="宋体" w:cs="宋体"/>
                <w:strike w:val="0"/>
                <w:dstrike w:val="0"/>
                <w:color w:val="auto"/>
                <w:sz w:val="21"/>
                <w:szCs w:val="21"/>
                <w:highlight w:val="none"/>
              </w:rPr>
              <w:t>中标或者成交投标人在安装调试等方面是否违反合同约定或服务规范要求、提供的质量保证证明材料是否齐全、应有的配件及附件是否达到合同约定等</w:t>
            </w:r>
            <w:r>
              <w:rPr>
                <w:rFonts w:hint="eastAsia" w:ascii="宋体" w:hAnsi="宋体" w:eastAsia="宋体" w:cs="宋体"/>
                <w:strike w:val="0"/>
                <w:dstrike w:val="0"/>
                <w:color w:val="auto"/>
                <w:kern w:val="0"/>
                <w:sz w:val="21"/>
                <w:szCs w:val="21"/>
                <w:highlight w:val="none"/>
              </w:rPr>
              <w:t>。可附件)</w:t>
            </w:r>
          </w:p>
        </w:tc>
      </w:tr>
      <w:tr w14:paraId="50807A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81" w:hRule="atLeast"/>
          <w:jc w:val="center"/>
        </w:trPr>
        <w:tc>
          <w:tcPr>
            <w:tcW w:w="1055"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2824A6">
            <w:pPr>
              <w:keepNext w:val="0"/>
              <w:keepLines w:val="0"/>
              <w:pageBreakBefore w:val="0"/>
              <w:widowControl/>
              <w:kinsoku/>
              <w:topLinePunct w:val="0"/>
              <w:bidi w:val="0"/>
              <w:spacing w:before="100" w:beforeAutospacing="1" w:after="100" w:afterAutospacing="1"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验收小组意见</w:t>
            </w:r>
          </w:p>
        </w:tc>
        <w:tc>
          <w:tcPr>
            <w:tcW w:w="7715" w:type="dxa"/>
            <w:gridSpan w:val="6"/>
            <w:tcBorders>
              <w:top w:val="single" w:color="auto" w:sz="8" w:space="0"/>
              <w:left w:val="single" w:color="auto" w:sz="8" w:space="0"/>
              <w:bottom w:val="single" w:color="auto" w:sz="4" w:space="0"/>
              <w:right w:val="single" w:color="auto" w:sz="8" w:space="0"/>
            </w:tcBorders>
            <w:vAlign w:val="center"/>
          </w:tcPr>
          <w:p w14:paraId="6FA65783">
            <w:pPr>
              <w:keepNext w:val="0"/>
              <w:keepLines w:val="0"/>
              <w:pageBreakBefore w:val="0"/>
              <w:widowControl/>
              <w:kinsoku/>
              <w:topLinePunct w:val="0"/>
              <w:bidi w:val="0"/>
              <w:spacing w:before="100" w:beforeAutospacing="1" w:after="100" w:afterAutospacing="1"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验收结论性意见：</w:t>
            </w:r>
          </w:p>
          <w:p w14:paraId="3323FB50">
            <w:pPr>
              <w:keepNext w:val="0"/>
              <w:keepLines w:val="0"/>
              <w:pageBreakBefore w:val="0"/>
              <w:widowControl/>
              <w:kinsoku/>
              <w:topLinePunct w:val="0"/>
              <w:bidi w:val="0"/>
              <w:spacing w:before="100" w:beforeAutospacing="1" w:after="100" w:afterAutospacing="1" w:line="400" w:lineRule="exact"/>
              <w:jc w:val="left"/>
              <w:rPr>
                <w:rFonts w:hint="eastAsia" w:ascii="宋体" w:hAnsi="宋体" w:eastAsia="宋体" w:cs="宋体"/>
                <w:strike w:val="0"/>
                <w:dstrike w:val="0"/>
                <w:color w:val="auto"/>
                <w:kern w:val="0"/>
                <w:sz w:val="21"/>
                <w:szCs w:val="21"/>
                <w:highlight w:val="none"/>
              </w:rPr>
            </w:pPr>
          </w:p>
        </w:tc>
      </w:tr>
      <w:tr w14:paraId="0F317D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7" w:hRule="atLeast"/>
          <w:jc w:val="center"/>
        </w:trPr>
        <w:tc>
          <w:tcPr>
            <w:tcW w:w="1055" w:type="dxa"/>
            <w:vMerge w:val="continue"/>
            <w:tcBorders>
              <w:top w:val="single" w:color="auto" w:sz="8" w:space="0"/>
              <w:left w:val="single" w:color="auto" w:sz="8" w:space="0"/>
              <w:bottom w:val="single" w:color="auto" w:sz="8" w:space="0"/>
              <w:right w:val="single" w:color="auto" w:sz="8" w:space="0"/>
            </w:tcBorders>
            <w:vAlign w:val="center"/>
          </w:tcPr>
          <w:p w14:paraId="268BACF8">
            <w:pPr>
              <w:keepNext w:val="0"/>
              <w:keepLines w:val="0"/>
              <w:pageBreakBefore w:val="0"/>
              <w:widowControl/>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7715" w:type="dxa"/>
            <w:gridSpan w:val="6"/>
            <w:tcBorders>
              <w:top w:val="single" w:color="auto" w:sz="4" w:space="0"/>
              <w:left w:val="single" w:color="auto" w:sz="8" w:space="0"/>
              <w:bottom w:val="single" w:color="auto" w:sz="8" w:space="0"/>
              <w:right w:val="single" w:color="auto" w:sz="8" w:space="0"/>
            </w:tcBorders>
            <w:vAlign w:val="center"/>
          </w:tcPr>
          <w:p w14:paraId="3A4FA8D7">
            <w:pPr>
              <w:keepNext w:val="0"/>
              <w:keepLines w:val="0"/>
              <w:pageBreakBefore w:val="0"/>
              <w:kinsoku/>
              <w:topLinePunct w:val="0"/>
              <w:bidi w:val="0"/>
              <w:spacing w:before="100" w:beforeAutospacing="1" w:after="100" w:afterAutospacing="1" w:line="400" w:lineRule="exact"/>
              <w:ind w:firstLine="84" w:firstLineChars="4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有异议的意见和说明理由：</w:t>
            </w:r>
          </w:p>
          <w:p w14:paraId="7BC81DE2">
            <w:pPr>
              <w:keepNext w:val="0"/>
              <w:keepLines w:val="0"/>
              <w:pageBreakBefore w:val="0"/>
              <w:kinsoku/>
              <w:topLinePunct w:val="0"/>
              <w:bidi w:val="0"/>
              <w:spacing w:before="100" w:beforeAutospacing="1" w:after="100" w:afterAutospacing="1"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xml:space="preserve">                                      签字：</w:t>
            </w:r>
          </w:p>
        </w:tc>
      </w:tr>
      <w:tr w14:paraId="4CC66F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7" w:hRule="atLeast"/>
          <w:jc w:val="center"/>
        </w:trPr>
        <w:tc>
          <w:tcPr>
            <w:tcW w:w="8770" w:type="dxa"/>
            <w:gridSpan w:val="7"/>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BF7E7CD">
            <w:pPr>
              <w:keepNext w:val="0"/>
              <w:keepLines w:val="0"/>
              <w:pageBreakBefore w:val="0"/>
              <w:widowControl/>
              <w:kinsoku/>
              <w:topLinePunct w:val="0"/>
              <w:bidi w:val="0"/>
              <w:spacing w:before="100" w:beforeAutospacing="1" w:after="100" w:afterAutospacing="1"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验收小组成员签字：</w:t>
            </w:r>
          </w:p>
        </w:tc>
      </w:tr>
      <w:tr w14:paraId="6100EE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6" w:hRule="atLeast"/>
          <w:jc w:val="center"/>
        </w:trPr>
        <w:tc>
          <w:tcPr>
            <w:tcW w:w="8770" w:type="dxa"/>
            <w:gridSpan w:val="7"/>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C43B81">
            <w:pPr>
              <w:keepNext w:val="0"/>
              <w:keepLines w:val="0"/>
              <w:pageBreakBefore w:val="0"/>
              <w:widowControl/>
              <w:kinsoku/>
              <w:topLinePunct w:val="0"/>
              <w:bidi w:val="0"/>
              <w:spacing w:before="100" w:beforeAutospacing="1" w:after="100" w:afterAutospacing="1"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监督人员或其他相关人员签字：</w:t>
            </w:r>
          </w:p>
          <w:p w14:paraId="34CDC6D1">
            <w:pPr>
              <w:keepNext w:val="0"/>
              <w:keepLines w:val="0"/>
              <w:pageBreakBefore w:val="0"/>
              <w:widowControl/>
              <w:kinsoku/>
              <w:topLinePunct w:val="0"/>
              <w:bidi w:val="0"/>
              <w:spacing w:before="100" w:beforeAutospacing="1" w:after="100" w:afterAutospacing="1" w:line="400" w:lineRule="exact"/>
              <w:ind w:firstLine="65" w:firstLineChars="31"/>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或受邀机构的意见（盖章）：</w:t>
            </w:r>
          </w:p>
        </w:tc>
      </w:tr>
      <w:tr w14:paraId="533476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8" w:hRule="atLeast"/>
          <w:jc w:val="center"/>
        </w:trPr>
        <w:tc>
          <w:tcPr>
            <w:tcW w:w="4295" w:type="dxa"/>
            <w:gridSpan w:val="3"/>
            <w:tcBorders>
              <w:top w:val="single" w:color="auto" w:sz="8" w:space="0"/>
              <w:left w:val="single" w:color="auto" w:sz="8" w:space="0"/>
              <w:bottom w:val="single" w:color="auto" w:sz="8" w:space="0"/>
              <w:right w:val="nil"/>
            </w:tcBorders>
            <w:tcMar>
              <w:top w:w="0" w:type="dxa"/>
              <w:left w:w="108" w:type="dxa"/>
              <w:bottom w:w="0" w:type="dxa"/>
              <w:right w:w="108" w:type="dxa"/>
            </w:tcMar>
            <w:vAlign w:val="center"/>
          </w:tcPr>
          <w:p w14:paraId="69B0A5A3">
            <w:pPr>
              <w:keepNext w:val="0"/>
              <w:keepLines w:val="0"/>
              <w:pageBreakBefore w:val="0"/>
              <w:widowControl/>
              <w:kinsoku/>
              <w:topLinePunct w:val="0"/>
              <w:bidi w:val="0"/>
              <w:spacing w:before="100" w:beforeAutospacing="1" w:after="100" w:afterAutospacing="1" w:line="400" w:lineRule="exact"/>
              <w:ind w:firstLine="65" w:firstLineChars="31"/>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中标或者成交投标人负责人签字或盖章：</w:t>
            </w:r>
          </w:p>
          <w:p w14:paraId="2024063C">
            <w:pPr>
              <w:keepNext w:val="0"/>
              <w:keepLines w:val="0"/>
              <w:pageBreakBefore w:val="0"/>
              <w:widowControl/>
              <w:kinsoku/>
              <w:topLinePunct w:val="0"/>
              <w:bidi w:val="0"/>
              <w:spacing w:before="100" w:beforeAutospacing="1" w:after="100" w:afterAutospacing="1"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联系电话：         年 月 日</w:t>
            </w:r>
          </w:p>
        </w:tc>
        <w:tc>
          <w:tcPr>
            <w:tcW w:w="4475" w:type="dxa"/>
            <w:gridSpan w:val="4"/>
            <w:tcBorders>
              <w:top w:val="single" w:color="auto" w:sz="8" w:space="0"/>
              <w:left w:val="nil"/>
              <w:bottom w:val="single" w:color="auto" w:sz="8" w:space="0"/>
              <w:right w:val="single" w:color="auto" w:sz="8" w:space="0"/>
            </w:tcBorders>
            <w:vAlign w:val="center"/>
          </w:tcPr>
          <w:p w14:paraId="76D4137C">
            <w:pPr>
              <w:keepNext w:val="0"/>
              <w:keepLines w:val="0"/>
              <w:pageBreakBefore w:val="0"/>
              <w:widowControl/>
              <w:kinsoku/>
              <w:topLinePunct w:val="0"/>
              <w:bidi w:val="0"/>
              <w:spacing w:before="100" w:beforeAutospacing="1" w:after="100" w:afterAutospacing="1"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采购人或受托机构的意见（盖章）：</w:t>
            </w:r>
          </w:p>
          <w:p w14:paraId="078D7FFA">
            <w:pPr>
              <w:keepNext w:val="0"/>
              <w:keepLines w:val="0"/>
              <w:pageBreakBefore w:val="0"/>
              <w:widowControl/>
              <w:kinsoku/>
              <w:topLinePunct w:val="0"/>
              <w:bidi w:val="0"/>
              <w:spacing w:before="100" w:beforeAutospacing="1" w:after="100" w:afterAutospacing="1"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联系电话：                 年   月   日</w:t>
            </w:r>
          </w:p>
        </w:tc>
      </w:tr>
    </w:tbl>
    <w:p w14:paraId="78085ABF">
      <w:pPr>
        <w:pStyle w:val="28"/>
        <w:keepNext w:val="0"/>
        <w:keepLines w:val="0"/>
        <w:pageBreakBefore w:val="0"/>
        <w:kinsoku/>
        <w:topLinePunct w:val="0"/>
        <w:bidi w:val="0"/>
        <w:spacing w:line="400" w:lineRule="exact"/>
        <w:ind w:left="25" w:leftChars="12" w:firstLine="310" w:firstLineChars="147"/>
        <w:rPr>
          <w:rFonts w:hint="eastAsia" w:ascii="宋体" w:hAnsi="宋体" w:eastAsia="宋体" w:cs="宋体"/>
          <w:b/>
          <w:strike w:val="0"/>
          <w:dstrike w:val="0"/>
          <w:color w:val="auto"/>
          <w:sz w:val="21"/>
          <w:szCs w:val="21"/>
          <w:highlight w:val="none"/>
        </w:rPr>
        <w:sectPr>
          <w:footerReference r:id="rId18" w:type="first"/>
          <w:footerReference r:id="rId16" w:type="default"/>
          <w:footerReference r:id="rId17" w:type="even"/>
          <w:pgSz w:w="11906" w:h="16838"/>
          <w:pgMar w:top="1440" w:right="1800" w:bottom="1440" w:left="1800" w:header="720" w:footer="720" w:gutter="0"/>
          <w:pgNumType w:fmt="decimal"/>
          <w:cols w:space="720" w:num="1"/>
          <w:docGrid w:type="lines" w:linePitch="331" w:charSpace="0"/>
        </w:sectPr>
      </w:pPr>
    </w:p>
    <w:p w14:paraId="1919C108">
      <w:pPr>
        <w:keepNext w:val="0"/>
        <w:keepLines w:val="0"/>
        <w:pageBreakBefore w:val="0"/>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政府采购项目履约保证金退付意见书（参考）</w:t>
      </w:r>
    </w:p>
    <w:p w14:paraId="70B250EA">
      <w:pPr>
        <w:keepNext w:val="0"/>
        <w:keepLines w:val="0"/>
        <w:pageBreakBefore w:val="0"/>
        <w:kinsoku/>
        <w:topLinePunct w:val="0"/>
        <w:bidi w:val="0"/>
        <w:spacing w:line="400" w:lineRule="exact"/>
        <w:jc w:val="center"/>
        <w:rPr>
          <w:rFonts w:hint="eastAsia" w:ascii="宋体" w:hAnsi="宋体" w:eastAsia="宋体" w:cs="宋体"/>
          <w:strike w:val="0"/>
          <w:dstrike w:val="0"/>
          <w:color w:val="auto"/>
          <w:sz w:val="21"/>
          <w:szCs w:val="21"/>
          <w:highlight w:val="none"/>
        </w:rPr>
      </w:pPr>
    </w:p>
    <w:tbl>
      <w:tblPr>
        <w:tblStyle w:val="48"/>
        <w:tblW w:w="89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904"/>
      </w:tblGrid>
      <w:tr w14:paraId="6F20F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14:paraId="6F56A7E7">
            <w:pPr>
              <w:keepNext w:val="0"/>
              <w:keepLines w:val="0"/>
              <w:pageBreakBefore w:val="0"/>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供</w:t>
            </w:r>
          </w:p>
          <w:p w14:paraId="4F79E48F">
            <w:pPr>
              <w:keepNext w:val="0"/>
              <w:keepLines w:val="0"/>
              <w:pageBreakBefore w:val="0"/>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应</w:t>
            </w:r>
          </w:p>
          <w:p w14:paraId="7DF2A370">
            <w:pPr>
              <w:keepNext w:val="0"/>
              <w:keepLines w:val="0"/>
              <w:pageBreakBefore w:val="0"/>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商</w:t>
            </w:r>
          </w:p>
          <w:p w14:paraId="0ED953C5">
            <w:pPr>
              <w:keepNext w:val="0"/>
              <w:keepLines w:val="0"/>
              <w:pageBreakBefore w:val="0"/>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申</w:t>
            </w:r>
          </w:p>
          <w:p w14:paraId="78583ACA">
            <w:pPr>
              <w:keepNext w:val="0"/>
              <w:keepLines w:val="0"/>
              <w:pageBreakBefore w:val="0"/>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请</w:t>
            </w:r>
          </w:p>
        </w:tc>
        <w:tc>
          <w:tcPr>
            <w:tcW w:w="7904" w:type="dxa"/>
            <w:vAlign w:val="center"/>
          </w:tcPr>
          <w:p w14:paraId="080735A6">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项目编号：</w:t>
            </w:r>
          </w:p>
        </w:tc>
      </w:tr>
      <w:tr w14:paraId="18D7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14:paraId="11FA1193">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tc>
        <w:tc>
          <w:tcPr>
            <w:tcW w:w="7904" w:type="dxa"/>
            <w:vAlign w:val="center"/>
          </w:tcPr>
          <w:p w14:paraId="58568CA1">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项目名称：</w:t>
            </w:r>
          </w:p>
        </w:tc>
      </w:tr>
      <w:tr w14:paraId="1E35C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vAlign w:val="top"/>
          </w:tcPr>
          <w:p w14:paraId="70E765F3">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tc>
        <w:tc>
          <w:tcPr>
            <w:tcW w:w="7904" w:type="dxa"/>
            <w:vAlign w:val="top"/>
          </w:tcPr>
          <w:p w14:paraId="442F85A4">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 xml:space="preserve">  </w:t>
            </w:r>
          </w:p>
          <w:p w14:paraId="28323FB9">
            <w:pPr>
              <w:keepNext w:val="0"/>
              <w:keepLines w:val="0"/>
              <w:pageBreakBefore w:val="0"/>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该项目已于</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年</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月</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日验收并交付使用。根据合同规定，该项目的履约保证金期限于</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年</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月</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日已满，请将履约保证金</w:t>
            </w:r>
          </w:p>
          <w:p w14:paraId="0F6EB678">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（大写）￥</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（小写）退付到达以下</w:t>
            </w:r>
            <w:r>
              <w:rPr>
                <w:rFonts w:hint="eastAsia" w:ascii="宋体" w:hAnsi="宋体" w:eastAsia="宋体" w:cs="宋体"/>
                <w:strike w:val="0"/>
                <w:dstrike w:val="0"/>
                <w:color w:val="auto"/>
                <w:sz w:val="21"/>
                <w:szCs w:val="21"/>
                <w:highlight w:val="none"/>
                <w:lang w:eastAsia="zh-CN"/>
              </w:rPr>
              <w:t>账户</w:t>
            </w:r>
            <w:r>
              <w:rPr>
                <w:rFonts w:hint="eastAsia" w:ascii="宋体" w:hAnsi="宋体" w:eastAsia="宋体" w:cs="宋体"/>
                <w:strike w:val="0"/>
                <w:dstrike w:val="0"/>
                <w:color w:val="auto"/>
                <w:sz w:val="21"/>
                <w:szCs w:val="21"/>
                <w:highlight w:val="none"/>
              </w:rPr>
              <w:t>。</w:t>
            </w:r>
          </w:p>
          <w:p w14:paraId="391B9CFD">
            <w:pPr>
              <w:keepNext w:val="0"/>
              <w:keepLines w:val="0"/>
              <w:pageBreakBefore w:val="0"/>
              <w:kinsoku/>
              <w:topLinePunct w:val="0"/>
              <w:bidi w:val="0"/>
              <w:spacing w:line="400" w:lineRule="exact"/>
              <w:ind w:firstLine="705"/>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单位名称：</w:t>
            </w:r>
          </w:p>
          <w:p w14:paraId="48AE7E82">
            <w:pPr>
              <w:keepNext w:val="0"/>
              <w:keepLines w:val="0"/>
              <w:pageBreakBefore w:val="0"/>
              <w:kinsoku/>
              <w:topLinePunct w:val="0"/>
              <w:bidi w:val="0"/>
              <w:spacing w:line="400" w:lineRule="exact"/>
              <w:ind w:firstLine="705"/>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开户银行：</w:t>
            </w:r>
          </w:p>
          <w:p w14:paraId="47251D9A">
            <w:pPr>
              <w:keepNext w:val="0"/>
              <w:keepLines w:val="0"/>
              <w:pageBreakBefore w:val="0"/>
              <w:kinsoku/>
              <w:topLinePunct w:val="0"/>
              <w:bidi w:val="0"/>
              <w:spacing w:line="400" w:lineRule="exact"/>
              <w:ind w:firstLine="705"/>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帐   号：</w:t>
            </w:r>
          </w:p>
          <w:p w14:paraId="2E4A8EB9">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联系人及电话：</w:t>
            </w:r>
          </w:p>
          <w:p w14:paraId="4DD96BC9">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p w14:paraId="6E0C38A6">
            <w:pPr>
              <w:keepNext w:val="0"/>
              <w:keepLines w:val="0"/>
              <w:pageBreakBefore w:val="0"/>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 xml:space="preserve">         投标人签章：</w:t>
            </w:r>
          </w:p>
          <w:p w14:paraId="768E7458">
            <w:pPr>
              <w:keepNext w:val="0"/>
              <w:keepLines w:val="0"/>
              <w:pageBreakBefore w:val="0"/>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 xml:space="preserve">                           年    月     日</w:t>
            </w:r>
          </w:p>
        </w:tc>
      </w:tr>
      <w:tr w14:paraId="33BB3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vAlign w:val="center"/>
          </w:tcPr>
          <w:p w14:paraId="1709212A">
            <w:pPr>
              <w:keepNext w:val="0"/>
              <w:keepLines w:val="0"/>
              <w:pageBreakBefore w:val="0"/>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采</w:t>
            </w:r>
          </w:p>
          <w:p w14:paraId="6F44D2C8">
            <w:pPr>
              <w:keepNext w:val="0"/>
              <w:keepLines w:val="0"/>
              <w:pageBreakBefore w:val="0"/>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购</w:t>
            </w:r>
          </w:p>
          <w:p w14:paraId="05A10235">
            <w:pPr>
              <w:keepNext w:val="0"/>
              <w:keepLines w:val="0"/>
              <w:pageBreakBefore w:val="0"/>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人</w:t>
            </w:r>
          </w:p>
          <w:p w14:paraId="7D719A77">
            <w:pPr>
              <w:keepNext w:val="0"/>
              <w:keepLines w:val="0"/>
              <w:pageBreakBefore w:val="0"/>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意</w:t>
            </w:r>
          </w:p>
          <w:p w14:paraId="6580B1B8">
            <w:pPr>
              <w:keepNext w:val="0"/>
              <w:keepLines w:val="0"/>
              <w:pageBreakBefore w:val="0"/>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见</w:t>
            </w:r>
          </w:p>
        </w:tc>
        <w:tc>
          <w:tcPr>
            <w:tcW w:w="7904" w:type="dxa"/>
            <w:vAlign w:val="top"/>
          </w:tcPr>
          <w:p w14:paraId="4F9B4B50">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p w14:paraId="7219B4DB">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退付意见：（是否同意退付履约保证金及退付金额）</w:t>
            </w:r>
          </w:p>
          <w:p w14:paraId="1CE04F72">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p w14:paraId="0C0A16EF">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p w14:paraId="0443798F">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p w14:paraId="06C13BC4">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p w14:paraId="6F481A23">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联系人及电话：                         采购人签章</w:t>
            </w:r>
          </w:p>
          <w:p w14:paraId="33D16F12">
            <w:pPr>
              <w:keepNext w:val="0"/>
              <w:keepLines w:val="0"/>
              <w:pageBreakBefore w:val="0"/>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 xml:space="preserve">                                        年    月     日</w:t>
            </w:r>
          </w:p>
        </w:tc>
      </w:tr>
      <w:tr w14:paraId="50DFF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vAlign w:val="center"/>
          </w:tcPr>
          <w:p w14:paraId="4584302B">
            <w:pPr>
              <w:keepNext w:val="0"/>
              <w:keepLines w:val="0"/>
              <w:pageBreakBefore w:val="0"/>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备注</w:t>
            </w:r>
          </w:p>
        </w:tc>
        <w:tc>
          <w:tcPr>
            <w:tcW w:w="7904" w:type="dxa"/>
            <w:vAlign w:val="top"/>
          </w:tcPr>
          <w:p w14:paraId="44E8EFFE">
            <w:pPr>
              <w:keepNext w:val="0"/>
              <w:keepLines w:val="0"/>
              <w:pageBreakBefore w:val="0"/>
              <w:kinsoku/>
              <w:topLinePunct w:val="0"/>
              <w:bidi w:val="0"/>
              <w:spacing w:line="400" w:lineRule="exact"/>
              <w:rPr>
                <w:rFonts w:hint="eastAsia" w:ascii="宋体" w:hAnsi="宋体" w:eastAsia="宋体" w:cs="宋体"/>
                <w:strike w:val="0"/>
                <w:dstrike w:val="0"/>
                <w:color w:val="auto"/>
                <w:sz w:val="21"/>
                <w:szCs w:val="21"/>
                <w:highlight w:val="none"/>
              </w:rPr>
            </w:pPr>
          </w:p>
        </w:tc>
      </w:tr>
    </w:tbl>
    <w:p w14:paraId="02E0A188">
      <w:pPr>
        <w:pStyle w:val="21"/>
        <w:keepNext w:val="0"/>
        <w:keepLines w:val="0"/>
        <w:pageBreakBefore w:val="0"/>
        <w:kinsoku/>
        <w:topLinePunct w:val="0"/>
        <w:bidi w:val="0"/>
        <w:spacing w:line="400" w:lineRule="exact"/>
        <w:ind w:left="450" w:leftChars="114" w:hanging="211" w:hangingChars="100"/>
        <w:rPr>
          <w:rFonts w:hint="eastAsia" w:ascii="宋体" w:hAnsi="宋体" w:eastAsia="宋体" w:cs="宋体"/>
          <w:b/>
          <w:bCs/>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rPr>
        <w:t>注：投标人凭经采购人审批的退付意见书到保证金收取单位办理履约保证金退付事宜。</w:t>
      </w:r>
    </w:p>
    <w:p w14:paraId="79B4D7B8">
      <w:pPr>
        <w:pStyle w:val="28"/>
        <w:keepNext w:val="0"/>
        <w:keepLines w:val="0"/>
        <w:pageBreakBefore w:val="0"/>
        <w:kinsoku/>
        <w:topLinePunct w:val="0"/>
        <w:bidi w:val="0"/>
        <w:snapToGrid w:val="0"/>
        <w:spacing w:before="120" w:after="120" w:line="400" w:lineRule="exact"/>
        <w:rPr>
          <w:rFonts w:hint="eastAsia" w:ascii="宋体" w:hAnsi="宋体" w:eastAsia="宋体" w:cs="宋体"/>
          <w:strike w:val="0"/>
          <w:dstrike w:val="0"/>
          <w:color w:val="auto"/>
          <w:sz w:val="21"/>
          <w:szCs w:val="21"/>
          <w:highlight w:val="none"/>
        </w:rPr>
      </w:pPr>
    </w:p>
    <w:p w14:paraId="1BACC949">
      <w:pPr>
        <w:rPr>
          <w:rFonts w:hint="eastAsia" w:asciiTheme="minorEastAsia" w:hAnsiTheme="minorEastAsia" w:eastAsiaTheme="minorEastAsia" w:cstheme="minorEastAsia"/>
          <w:strike w:val="0"/>
          <w:dstrike w:val="0"/>
          <w:color w:val="auto"/>
          <w:highlight w:val="none"/>
        </w:rPr>
      </w:pPr>
    </w:p>
    <w:sectPr>
      <w:pgSz w:w="11906" w:h="16838"/>
      <w:pgMar w:top="1440" w:right="1800" w:bottom="1440" w:left="1800" w:header="720" w:footer="720" w:gutter="0"/>
      <w:pgNumType w:fmt="decimal"/>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CF6114D-98EF-4186-A3AA-2B34692617DC}"/>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_x000B__x000C_">
    <w:altName w:val="宋体"/>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entury">
    <w:panose1 w:val="02040604050505020304"/>
    <w:charset w:val="00"/>
    <w:family w:val="roman"/>
    <w:pitch w:val="default"/>
    <w:sig w:usb0="00000287" w:usb1="00000000" w:usb2="00000000" w:usb3="00000000" w:csb0="2000009F" w:csb1="DFD70000"/>
  </w:font>
  <w:font w:name="Arial Unicode MS">
    <w:panose1 w:val="020B0604020202020204"/>
    <w:charset w:val="86"/>
    <w:family w:val="roman"/>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embedRegular r:id="rId2" w:fontKey="{52A0F05F-0A57-40EA-9615-6316F6AA6A8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B1500">
    <w:pPr>
      <w:snapToGrid w:val="0"/>
      <w:rPr>
        <w:rFonts w:ascii="Calibri" w:hAnsi="Calibri"/>
        <w:kern w:val="0"/>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57C1E">
    <w:pPr>
      <w:pStyle w:val="2"/>
      <w:ind w:right="360"/>
      <w:jc w:val="both"/>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ED01A">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118140">
                          <w:pPr>
                            <w:pStyle w:val="2"/>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D118140">
                    <w:pPr>
                      <w:pStyle w:val="2"/>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CDA81">
    <w:pPr>
      <w:pStyle w:val="2"/>
      <w:framePr w:wrap="around" w:vAnchor="text" w:hAnchor="margin" w:xAlign="center" w:y="1"/>
      <w:rPr>
        <w:rStyle w:val="52"/>
      </w:rPr>
    </w:pPr>
    <w:r>
      <w:fldChar w:fldCharType="begin"/>
    </w:r>
    <w:r>
      <w:rPr>
        <w:rStyle w:val="52"/>
      </w:rPr>
      <w:instrText xml:space="preserve">PAGE  </w:instrText>
    </w:r>
    <w:r>
      <w:fldChar w:fldCharType="end"/>
    </w:r>
  </w:p>
  <w:p w14:paraId="4AC5B0FE">
    <w:pPr>
      <w:pStyle w:val="2"/>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1FEBE">
    <w:pPr>
      <w:pStyle w:val="2"/>
      <w:framePr w:wrap="around" w:vAnchor="text" w:hAnchor="margin" w:xAlign="right" w:y="1"/>
      <w:rPr>
        <w:rStyle w:val="52"/>
      </w:rPr>
    </w:pPr>
    <w:r>
      <w:fldChar w:fldCharType="begin"/>
    </w:r>
    <w:r>
      <w:rPr>
        <w:rStyle w:val="52"/>
      </w:rPr>
      <w:instrText xml:space="preserve">PAGE  </w:instrText>
    </w:r>
    <w:r>
      <w:fldChar w:fldCharType="separate"/>
    </w:r>
    <w:r>
      <w:rPr>
        <w:rStyle w:val="52"/>
      </w:rPr>
      <w:t>122</w:t>
    </w:r>
    <w:r>
      <w:fldChar w:fldCharType="end"/>
    </w:r>
  </w:p>
  <w:p w14:paraId="45EED64D">
    <w:pPr>
      <w:pStyle w:val="2"/>
      <w:ind w:right="360"/>
      <w:jc w:val="both"/>
    </w:pP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23908">
    <w:pPr>
      <w:framePr w:wrap="around" w:vAnchor="text" w:hAnchor="margin" w:xAlign="center" w:yAlign="top"/>
      <w:snapToGrid w:val="0"/>
      <w:jc w:val="left"/>
      <w:rPr>
        <w:rFonts w:ascii="Calibri" w:hAnsi="Calibri"/>
        <w:kern w:val="0"/>
        <w:sz w:val="18"/>
        <w:szCs w:val="18"/>
      </w:rPr>
    </w:pPr>
    <w:r>
      <w:rPr>
        <w:rFonts w:ascii="Calibri" w:hAnsi="Calibri"/>
        <w:kern w:val="0"/>
        <w:sz w:val="18"/>
        <w:szCs w:val="18"/>
      </w:rPr>
      <w:fldChar w:fldCharType="begin"/>
    </w:r>
    <w:r>
      <w:rPr>
        <w:rFonts w:ascii="Calibri" w:hAnsi="Calibri"/>
        <w:kern w:val="0"/>
        <w:sz w:val="18"/>
        <w:szCs w:val="18"/>
      </w:rPr>
      <w:instrText xml:space="preserve">PAGE  </w:instrText>
    </w:r>
    <w:r>
      <w:rPr>
        <w:rFonts w:ascii="Calibri" w:hAnsi="Calibri"/>
        <w:kern w:val="0"/>
        <w:sz w:val="18"/>
        <w:szCs w:val="18"/>
      </w:rPr>
      <w:fldChar w:fldCharType="separate"/>
    </w:r>
    <w:r>
      <w:rPr>
        <w:rFonts w:ascii="Calibri" w:hAnsi="Calibri"/>
        <w:kern w:val="0"/>
        <w:sz w:val="18"/>
        <w:szCs w:val="18"/>
      </w:rPr>
      <w:t>25</w:t>
    </w:r>
    <w:r>
      <w:rPr>
        <w:rFonts w:ascii="Calibri" w:hAnsi="Calibri"/>
        <w:kern w:val="0"/>
        <w:sz w:val="18"/>
        <w:szCs w:val="18"/>
      </w:rPr>
      <w:fldChar w:fldCharType="end"/>
    </w:r>
  </w:p>
  <w:p w14:paraId="0D9DFCB6">
    <w:pPr>
      <w:snapToGrid w:val="0"/>
      <w:jc w:val="left"/>
      <w:rPr>
        <w:rFonts w:ascii="Calibri" w:hAnsi="Calibri"/>
        <w:kern w:val="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EBCE4">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D9227">
    <w:pPr>
      <w:pStyle w:val="2"/>
      <w:framePr w:wrap="around" w:vAnchor="text" w:hAnchor="margin" w:xAlign="center" w:y="1"/>
      <w:rPr>
        <w:rStyle w:val="52"/>
      </w:rPr>
    </w:pPr>
    <w:r>
      <w:fldChar w:fldCharType="begin"/>
    </w:r>
    <w:r>
      <w:rPr>
        <w:rStyle w:val="52"/>
      </w:rPr>
      <w:instrText xml:space="preserve">PAGE  </w:instrText>
    </w:r>
    <w:r>
      <w:fldChar w:fldCharType="end"/>
    </w:r>
  </w:p>
  <w:p w14:paraId="45760DB1">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C4076">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CE085">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0D48A">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F0D48A">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9F416">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3096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853096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4BB6D">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2B3F44">
                          <w:pPr>
                            <w:pStyle w:val="2"/>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92B3F44">
                    <w:pPr>
                      <w:pStyle w:val="2"/>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92BF1">
    <w:pPr>
      <w:pStyle w:val="2"/>
      <w:framePr w:wrap="around" w:vAnchor="text" w:hAnchor="margin" w:xAlign="center" w:y="1"/>
      <w:rPr>
        <w:rStyle w:val="52"/>
      </w:rPr>
    </w:pPr>
    <w:r>
      <w:fldChar w:fldCharType="begin"/>
    </w:r>
    <w:r>
      <w:rPr>
        <w:rStyle w:val="52"/>
      </w:rPr>
      <w:instrText xml:space="preserve">PAGE  </w:instrText>
    </w:r>
    <w:r>
      <w:fldChar w:fldCharType="end"/>
    </w:r>
  </w:p>
  <w:p w14:paraId="1B537485">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4FE1C">
    <w:pPr>
      <w:pStyle w:val="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49AE3">
    <w:pPr>
      <w:pStyle w:val="34"/>
      <w:pBdr>
        <w:top w:val="none" w:color="auto" w:sz="0" w:space="0"/>
        <w:left w:val="none" w:color="auto" w:sz="0" w:space="0"/>
        <w:bottom w:val="none" w:color="auto" w:sz="0" w:space="1"/>
        <w:right w:val="none" w:color="auto" w:sz="0" w:space="0"/>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12149">
    <w:pPr>
      <w:pStyle w:val="34"/>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4"/>
      <w:lvlText w:val="%1."/>
      <w:lvlJc w:val="left"/>
      <w:pPr>
        <w:tabs>
          <w:tab w:val="left" w:pos="1200"/>
        </w:tabs>
        <w:ind w:left="1200" w:hanging="360"/>
      </w:p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11"/>
      <w:suff w:val="nothing"/>
      <w:lvlText w:val=""/>
      <w:lvlJc w:val="left"/>
      <w:pPr>
        <w:ind w:left="0" w:firstLine="0"/>
      </w:pPr>
      <w:rPr>
        <w:rFonts w:hint="eastAsia"/>
      </w:rPr>
    </w:lvl>
    <w:lvl w:ilvl="6" w:tentative="0">
      <w:start w:val="1"/>
      <w:numFmt w:val="none"/>
      <w:pStyle w:val="12"/>
      <w:suff w:val="nothing"/>
      <w:lvlText w:val=""/>
      <w:lvlJc w:val="left"/>
      <w:pPr>
        <w:ind w:left="0" w:firstLine="0"/>
      </w:pPr>
      <w:rPr>
        <w:rFonts w:hint="eastAsia"/>
      </w:rPr>
    </w:lvl>
    <w:lvl w:ilvl="7" w:tentative="0">
      <w:start w:val="1"/>
      <w:numFmt w:val="none"/>
      <w:pStyle w:val="13"/>
      <w:suff w:val="nothing"/>
      <w:lvlText w:val=""/>
      <w:lvlJc w:val="left"/>
      <w:pPr>
        <w:ind w:left="0" w:firstLine="0"/>
      </w:pPr>
      <w:rPr>
        <w:rFonts w:hint="eastAsia"/>
      </w:rPr>
    </w:lvl>
    <w:lvl w:ilvl="8" w:tentative="0">
      <w:start w:val="1"/>
      <w:numFmt w:val="none"/>
      <w:pStyle w:val="14"/>
      <w:suff w:val="nothing"/>
      <w:lvlText w:val=""/>
      <w:lvlJc w:val="left"/>
      <w:pPr>
        <w:ind w:left="0" w:firstLine="0"/>
      </w:pPr>
      <w:rPr>
        <w:rFonts w:hint="eastAsia"/>
      </w:rPr>
    </w:lvl>
  </w:abstractNum>
  <w:abstractNum w:abstractNumId="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138"/>
      <w:suff w:val="nothing"/>
      <w:lvlText w:val="%1%2.%3.%4　"/>
      <w:lvlJc w:val="left"/>
      <w:pPr>
        <w:ind w:left="0" w:firstLine="0"/>
      </w:pPr>
      <w:rPr>
        <w:rFonts w:hint="eastAsia" w:ascii="黑体" w:eastAsia="黑体"/>
        <w:b w:val="0"/>
        <w:i w:val="0"/>
        <w:color w:val="auto"/>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hideSpellingErrors/>
  <w:revisionView w:markup="0"/>
  <w:trackRevisions w:val="1"/>
  <w:documentProtection w:edit="readOnly" w:enforcement="1" w:cryptProviderType="rsaFull" w:cryptAlgorithmClass="hash" w:cryptAlgorithmType="typeAny" w:cryptAlgorithmSid="4" w:cryptSpinCount="0" w:hash="AQxP9G76bMRbI6SU2j9Eweh0HXo=" w:salt="8TcOgli5+9SJroRRRvlVEg=="/>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2OTcyNWZlNDA1YTc2OGIwMTdjNTU2ZmQwNTk2NWEifQ=="/>
  </w:docVars>
  <w:rsids>
    <w:rsidRoot w:val="00F9008B"/>
    <w:rsid w:val="0000010C"/>
    <w:rsid w:val="00000266"/>
    <w:rsid w:val="000004FE"/>
    <w:rsid w:val="00000FE0"/>
    <w:rsid w:val="00001068"/>
    <w:rsid w:val="0000114A"/>
    <w:rsid w:val="000011FA"/>
    <w:rsid w:val="00001433"/>
    <w:rsid w:val="00001731"/>
    <w:rsid w:val="00001C2D"/>
    <w:rsid w:val="00001C55"/>
    <w:rsid w:val="00001CA8"/>
    <w:rsid w:val="00001FAE"/>
    <w:rsid w:val="00002291"/>
    <w:rsid w:val="0000251C"/>
    <w:rsid w:val="0000257D"/>
    <w:rsid w:val="000026A2"/>
    <w:rsid w:val="00002DBF"/>
    <w:rsid w:val="00002EC0"/>
    <w:rsid w:val="00003224"/>
    <w:rsid w:val="000033F5"/>
    <w:rsid w:val="0000356F"/>
    <w:rsid w:val="0000358C"/>
    <w:rsid w:val="00003BEF"/>
    <w:rsid w:val="00003D90"/>
    <w:rsid w:val="00004130"/>
    <w:rsid w:val="0000431F"/>
    <w:rsid w:val="00004634"/>
    <w:rsid w:val="0000494E"/>
    <w:rsid w:val="00004D8B"/>
    <w:rsid w:val="00004DF8"/>
    <w:rsid w:val="00004E67"/>
    <w:rsid w:val="000059E2"/>
    <w:rsid w:val="000061EA"/>
    <w:rsid w:val="00006AE7"/>
    <w:rsid w:val="00006B9B"/>
    <w:rsid w:val="00006BCA"/>
    <w:rsid w:val="00006C35"/>
    <w:rsid w:val="000072B1"/>
    <w:rsid w:val="00007329"/>
    <w:rsid w:val="0000794D"/>
    <w:rsid w:val="000079C2"/>
    <w:rsid w:val="00007BA7"/>
    <w:rsid w:val="00007E28"/>
    <w:rsid w:val="00007E84"/>
    <w:rsid w:val="00007FE8"/>
    <w:rsid w:val="00010401"/>
    <w:rsid w:val="000105A1"/>
    <w:rsid w:val="000107AD"/>
    <w:rsid w:val="00010835"/>
    <w:rsid w:val="0001094D"/>
    <w:rsid w:val="000112DF"/>
    <w:rsid w:val="000117D5"/>
    <w:rsid w:val="00011842"/>
    <w:rsid w:val="00011922"/>
    <w:rsid w:val="00011A0B"/>
    <w:rsid w:val="00011DA6"/>
    <w:rsid w:val="00012137"/>
    <w:rsid w:val="000121FF"/>
    <w:rsid w:val="00012456"/>
    <w:rsid w:val="00012527"/>
    <w:rsid w:val="000125B8"/>
    <w:rsid w:val="00012692"/>
    <w:rsid w:val="00012C05"/>
    <w:rsid w:val="000133D9"/>
    <w:rsid w:val="00013446"/>
    <w:rsid w:val="00013509"/>
    <w:rsid w:val="000135BC"/>
    <w:rsid w:val="000135DC"/>
    <w:rsid w:val="000136D6"/>
    <w:rsid w:val="00013E23"/>
    <w:rsid w:val="00013F88"/>
    <w:rsid w:val="00014085"/>
    <w:rsid w:val="00014D89"/>
    <w:rsid w:val="00014DD9"/>
    <w:rsid w:val="00014EE0"/>
    <w:rsid w:val="000151E4"/>
    <w:rsid w:val="0001528B"/>
    <w:rsid w:val="00015577"/>
    <w:rsid w:val="000156E4"/>
    <w:rsid w:val="000159A7"/>
    <w:rsid w:val="00015E5B"/>
    <w:rsid w:val="00015FB8"/>
    <w:rsid w:val="0001609F"/>
    <w:rsid w:val="0001635B"/>
    <w:rsid w:val="00016508"/>
    <w:rsid w:val="00016549"/>
    <w:rsid w:val="00016784"/>
    <w:rsid w:val="00016814"/>
    <w:rsid w:val="00016987"/>
    <w:rsid w:val="00016BF7"/>
    <w:rsid w:val="000170A9"/>
    <w:rsid w:val="0001720C"/>
    <w:rsid w:val="0001767E"/>
    <w:rsid w:val="0001776D"/>
    <w:rsid w:val="00017874"/>
    <w:rsid w:val="00017F31"/>
    <w:rsid w:val="00020607"/>
    <w:rsid w:val="00020899"/>
    <w:rsid w:val="0002103A"/>
    <w:rsid w:val="000217E4"/>
    <w:rsid w:val="00021852"/>
    <w:rsid w:val="000218A0"/>
    <w:rsid w:val="00021A12"/>
    <w:rsid w:val="00022524"/>
    <w:rsid w:val="00022612"/>
    <w:rsid w:val="00022622"/>
    <w:rsid w:val="000230C0"/>
    <w:rsid w:val="0002316F"/>
    <w:rsid w:val="00023363"/>
    <w:rsid w:val="000235F3"/>
    <w:rsid w:val="00023644"/>
    <w:rsid w:val="00023712"/>
    <w:rsid w:val="0002382A"/>
    <w:rsid w:val="000244F6"/>
    <w:rsid w:val="00024914"/>
    <w:rsid w:val="0002497F"/>
    <w:rsid w:val="00024B5A"/>
    <w:rsid w:val="00024CF1"/>
    <w:rsid w:val="00024E25"/>
    <w:rsid w:val="00024E3C"/>
    <w:rsid w:val="00024EB0"/>
    <w:rsid w:val="0002646A"/>
    <w:rsid w:val="0002651D"/>
    <w:rsid w:val="00026CFD"/>
    <w:rsid w:val="0002731A"/>
    <w:rsid w:val="00027376"/>
    <w:rsid w:val="00027533"/>
    <w:rsid w:val="00027C8B"/>
    <w:rsid w:val="00027CD9"/>
    <w:rsid w:val="00030242"/>
    <w:rsid w:val="0003062A"/>
    <w:rsid w:val="00030A25"/>
    <w:rsid w:val="00030B06"/>
    <w:rsid w:val="00030B61"/>
    <w:rsid w:val="00030C86"/>
    <w:rsid w:val="00030DB9"/>
    <w:rsid w:val="00030E54"/>
    <w:rsid w:val="00030EEE"/>
    <w:rsid w:val="00031380"/>
    <w:rsid w:val="00031817"/>
    <w:rsid w:val="0003183A"/>
    <w:rsid w:val="00031CDC"/>
    <w:rsid w:val="000323D8"/>
    <w:rsid w:val="00032461"/>
    <w:rsid w:val="0003263B"/>
    <w:rsid w:val="0003282C"/>
    <w:rsid w:val="00032F6D"/>
    <w:rsid w:val="0003304A"/>
    <w:rsid w:val="0003317E"/>
    <w:rsid w:val="00033413"/>
    <w:rsid w:val="000337F3"/>
    <w:rsid w:val="00034B24"/>
    <w:rsid w:val="00034C27"/>
    <w:rsid w:val="00034E28"/>
    <w:rsid w:val="00034E2A"/>
    <w:rsid w:val="00035275"/>
    <w:rsid w:val="000352AD"/>
    <w:rsid w:val="0003577F"/>
    <w:rsid w:val="00035A65"/>
    <w:rsid w:val="00036466"/>
    <w:rsid w:val="0003675E"/>
    <w:rsid w:val="00036FD5"/>
    <w:rsid w:val="00037F87"/>
    <w:rsid w:val="00037FA2"/>
    <w:rsid w:val="000400D0"/>
    <w:rsid w:val="00040343"/>
    <w:rsid w:val="00040C53"/>
    <w:rsid w:val="00040E89"/>
    <w:rsid w:val="00041104"/>
    <w:rsid w:val="00041138"/>
    <w:rsid w:val="000425AC"/>
    <w:rsid w:val="0004291F"/>
    <w:rsid w:val="00042D2C"/>
    <w:rsid w:val="00042F4A"/>
    <w:rsid w:val="0004334D"/>
    <w:rsid w:val="00043AC8"/>
    <w:rsid w:val="00043BE5"/>
    <w:rsid w:val="00043DAA"/>
    <w:rsid w:val="00044003"/>
    <w:rsid w:val="00044216"/>
    <w:rsid w:val="00044527"/>
    <w:rsid w:val="00044897"/>
    <w:rsid w:val="00044ACF"/>
    <w:rsid w:val="00044B2E"/>
    <w:rsid w:val="00044D74"/>
    <w:rsid w:val="00044FD5"/>
    <w:rsid w:val="000453CC"/>
    <w:rsid w:val="000454F4"/>
    <w:rsid w:val="00045D1E"/>
    <w:rsid w:val="00045E69"/>
    <w:rsid w:val="00045EF4"/>
    <w:rsid w:val="0004651A"/>
    <w:rsid w:val="00046547"/>
    <w:rsid w:val="000466D7"/>
    <w:rsid w:val="00046753"/>
    <w:rsid w:val="00046E8C"/>
    <w:rsid w:val="0004712C"/>
    <w:rsid w:val="00047254"/>
    <w:rsid w:val="00047B5B"/>
    <w:rsid w:val="00047CA4"/>
    <w:rsid w:val="00047E41"/>
    <w:rsid w:val="0005022B"/>
    <w:rsid w:val="00050771"/>
    <w:rsid w:val="000509BA"/>
    <w:rsid w:val="00050CCD"/>
    <w:rsid w:val="000513F3"/>
    <w:rsid w:val="000519B5"/>
    <w:rsid w:val="00051B92"/>
    <w:rsid w:val="00051D89"/>
    <w:rsid w:val="00052287"/>
    <w:rsid w:val="000522E0"/>
    <w:rsid w:val="000529CC"/>
    <w:rsid w:val="00052D8C"/>
    <w:rsid w:val="000532F4"/>
    <w:rsid w:val="000535A9"/>
    <w:rsid w:val="000536AE"/>
    <w:rsid w:val="00053EEB"/>
    <w:rsid w:val="00054CD5"/>
    <w:rsid w:val="00054D03"/>
    <w:rsid w:val="000550AC"/>
    <w:rsid w:val="0005584D"/>
    <w:rsid w:val="00055CC3"/>
    <w:rsid w:val="00055CD8"/>
    <w:rsid w:val="00055CEE"/>
    <w:rsid w:val="00055FB7"/>
    <w:rsid w:val="000566FA"/>
    <w:rsid w:val="00056A2B"/>
    <w:rsid w:val="00056C01"/>
    <w:rsid w:val="00056D18"/>
    <w:rsid w:val="00056DA8"/>
    <w:rsid w:val="00056E37"/>
    <w:rsid w:val="00056EE2"/>
    <w:rsid w:val="00056FE2"/>
    <w:rsid w:val="0005709E"/>
    <w:rsid w:val="000570FB"/>
    <w:rsid w:val="000575B8"/>
    <w:rsid w:val="00057854"/>
    <w:rsid w:val="00057FF2"/>
    <w:rsid w:val="00060131"/>
    <w:rsid w:val="0006026B"/>
    <w:rsid w:val="00060293"/>
    <w:rsid w:val="00061341"/>
    <w:rsid w:val="00061BD3"/>
    <w:rsid w:val="00061BDA"/>
    <w:rsid w:val="00061C86"/>
    <w:rsid w:val="00061E44"/>
    <w:rsid w:val="000621FE"/>
    <w:rsid w:val="00062B90"/>
    <w:rsid w:val="00062C70"/>
    <w:rsid w:val="00062CD8"/>
    <w:rsid w:val="00062DD0"/>
    <w:rsid w:val="00062E6F"/>
    <w:rsid w:val="000630C7"/>
    <w:rsid w:val="0006400F"/>
    <w:rsid w:val="000642AC"/>
    <w:rsid w:val="000645DD"/>
    <w:rsid w:val="00064ACD"/>
    <w:rsid w:val="00064D7E"/>
    <w:rsid w:val="00064F65"/>
    <w:rsid w:val="00064FD0"/>
    <w:rsid w:val="0006534A"/>
    <w:rsid w:val="000658BE"/>
    <w:rsid w:val="00065A5D"/>
    <w:rsid w:val="00065BA2"/>
    <w:rsid w:val="000661CA"/>
    <w:rsid w:val="00066224"/>
    <w:rsid w:val="0006668D"/>
    <w:rsid w:val="00066896"/>
    <w:rsid w:val="00066FE3"/>
    <w:rsid w:val="00067002"/>
    <w:rsid w:val="00067993"/>
    <w:rsid w:val="00067B1C"/>
    <w:rsid w:val="00067CED"/>
    <w:rsid w:val="00067F66"/>
    <w:rsid w:val="0007041A"/>
    <w:rsid w:val="00070634"/>
    <w:rsid w:val="00070883"/>
    <w:rsid w:val="000708D1"/>
    <w:rsid w:val="00070C3F"/>
    <w:rsid w:val="0007102C"/>
    <w:rsid w:val="00071B20"/>
    <w:rsid w:val="00071C74"/>
    <w:rsid w:val="00071D68"/>
    <w:rsid w:val="00071FCE"/>
    <w:rsid w:val="00072661"/>
    <w:rsid w:val="00072CCC"/>
    <w:rsid w:val="00072EA0"/>
    <w:rsid w:val="0007315D"/>
    <w:rsid w:val="00073549"/>
    <w:rsid w:val="00073EFF"/>
    <w:rsid w:val="00074496"/>
    <w:rsid w:val="0007483E"/>
    <w:rsid w:val="00074BAC"/>
    <w:rsid w:val="000751DB"/>
    <w:rsid w:val="0007542D"/>
    <w:rsid w:val="000755B9"/>
    <w:rsid w:val="0007563A"/>
    <w:rsid w:val="0007578F"/>
    <w:rsid w:val="00075E43"/>
    <w:rsid w:val="000764A9"/>
    <w:rsid w:val="00077706"/>
    <w:rsid w:val="00077878"/>
    <w:rsid w:val="00077939"/>
    <w:rsid w:val="00077D0B"/>
    <w:rsid w:val="000804EF"/>
    <w:rsid w:val="00080558"/>
    <w:rsid w:val="000807BC"/>
    <w:rsid w:val="00080998"/>
    <w:rsid w:val="00081050"/>
    <w:rsid w:val="0008118D"/>
    <w:rsid w:val="00081230"/>
    <w:rsid w:val="000814E2"/>
    <w:rsid w:val="000818C9"/>
    <w:rsid w:val="00081A21"/>
    <w:rsid w:val="00081CBB"/>
    <w:rsid w:val="00081D42"/>
    <w:rsid w:val="000822EF"/>
    <w:rsid w:val="0008241E"/>
    <w:rsid w:val="000826F5"/>
    <w:rsid w:val="000829B1"/>
    <w:rsid w:val="00082AAB"/>
    <w:rsid w:val="0008307D"/>
    <w:rsid w:val="000831E9"/>
    <w:rsid w:val="000833BB"/>
    <w:rsid w:val="00083A4C"/>
    <w:rsid w:val="00083CA2"/>
    <w:rsid w:val="00084483"/>
    <w:rsid w:val="0008452D"/>
    <w:rsid w:val="0008467B"/>
    <w:rsid w:val="000850FA"/>
    <w:rsid w:val="000857A6"/>
    <w:rsid w:val="0008599A"/>
    <w:rsid w:val="00085ADD"/>
    <w:rsid w:val="00085C12"/>
    <w:rsid w:val="00085DA0"/>
    <w:rsid w:val="00085F82"/>
    <w:rsid w:val="00086388"/>
    <w:rsid w:val="00086506"/>
    <w:rsid w:val="00086A92"/>
    <w:rsid w:val="00086B6E"/>
    <w:rsid w:val="00086C2F"/>
    <w:rsid w:val="00086C64"/>
    <w:rsid w:val="00086C77"/>
    <w:rsid w:val="00087272"/>
    <w:rsid w:val="000874BB"/>
    <w:rsid w:val="0008781A"/>
    <w:rsid w:val="000905DF"/>
    <w:rsid w:val="00090942"/>
    <w:rsid w:val="00090951"/>
    <w:rsid w:val="00090A61"/>
    <w:rsid w:val="000918F5"/>
    <w:rsid w:val="000919B5"/>
    <w:rsid w:val="00091C1D"/>
    <w:rsid w:val="00091E08"/>
    <w:rsid w:val="00092100"/>
    <w:rsid w:val="000922D8"/>
    <w:rsid w:val="000929F5"/>
    <w:rsid w:val="00092F99"/>
    <w:rsid w:val="00093169"/>
    <w:rsid w:val="000932E7"/>
    <w:rsid w:val="0009333A"/>
    <w:rsid w:val="000933C3"/>
    <w:rsid w:val="00093459"/>
    <w:rsid w:val="00093B8B"/>
    <w:rsid w:val="000951E7"/>
    <w:rsid w:val="00095982"/>
    <w:rsid w:val="00095B82"/>
    <w:rsid w:val="00096098"/>
    <w:rsid w:val="000961B2"/>
    <w:rsid w:val="000964D4"/>
    <w:rsid w:val="000969D9"/>
    <w:rsid w:val="000969ED"/>
    <w:rsid w:val="00096AC7"/>
    <w:rsid w:val="00096F37"/>
    <w:rsid w:val="000974DE"/>
    <w:rsid w:val="00097FE5"/>
    <w:rsid w:val="000A0354"/>
    <w:rsid w:val="000A091F"/>
    <w:rsid w:val="000A0958"/>
    <w:rsid w:val="000A0FCC"/>
    <w:rsid w:val="000A1033"/>
    <w:rsid w:val="000A22A7"/>
    <w:rsid w:val="000A2712"/>
    <w:rsid w:val="000A2877"/>
    <w:rsid w:val="000A28F9"/>
    <w:rsid w:val="000A3145"/>
    <w:rsid w:val="000A355D"/>
    <w:rsid w:val="000A35DA"/>
    <w:rsid w:val="000A371E"/>
    <w:rsid w:val="000A3759"/>
    <w:rsid w:val="000A3DE5"/>
    <w:rsid w:val="000A4011"/>
    <w:rsid w:val="000A41F7"/>
    <w:rsid w:val="000A45D5"/>
    <w:rsid w:val="000A490E"/>
    <w:rsid w:val="000A529E"/>
    <w:rsid w:val="000A5B49"/>
    <w:rsid w:val="000A5FE5"/>
    <w:rsid w:val="000A6158"/>
    <w:rsid w:val="000A6684"/>
    <w:rsid w:val="000A6839"/>
    <w:rsid w:val="000A69EA"/>
    <w:rsid w:val="000A7194"/>
    <w:rsid w:val="000A7218"/>
    <w:rsid w:val="000A740A"/>
    <w:rsid w:val="000A7446"/>
    <w:rsid w:val="000A7E7F"/>
    <w:rsid w:val="000A7ECD"/>
    <w:rsid w:val="000B01AB"/>
    <w:rsid w:val="000B04DD"/>
    <w:rsid w:val="000B0D70"/>
    <w:rsid w:val="000B0F01"/>
    <w:rsid w:val="000B1346"/>
    <w:rsid w:val="000B162B"/>
    <w:rsid w:val="000B1914"/>
    <w:rsid w:val="000B19DC"/>
    <w:rsid w:val="000B1CA2"/>
    <w:rsid w:val="000B202E"/>
    <w:rsid w:val="000B2093"/>
    <w:rsid w:val="000B2293"/>
    <w:rsid w:val="000B24A4"/>
    <w:rsid w:val="000B255C"/>
    <w:rsid w:val="000B2D91"/>
    <w:rsid w:val="000B2FCA"/>
    <w:rsid w:val="000B395E"/>
    <w:rsid w:val="000B39C3"/>
    <w:rsid w:val="000B3A00"/>
    <w:rsid w:val="000B4420"/>
    <w:rsid w:val="000B4840"/>
    <w:rsid w:val="000B4D79"/>
    <w:rsid w:val="000B5272"/>
    <w:rsid w:val="000B539E"/>
    <w:rsid w:val="000B5627"/>
    <w:rsid w:val="000B5671"/>
    <w:rsid w:val="000B6479"/>
    <w:rsid w:val="000B6AC4"/>
    <w:rsid w:val="000B6BF0"/>
    <w:rsid w:val="000B6CE8"/>
    <w:rsid w:val="000B7DAF"/>
    <w:rsid w:val="000B7E2E"/>
    <w:rsid w:val="000C0026"/>
    <w:rsid w:val="000C0091"/>
    <w:rsid w:val="000C034B"/>
    <w:rsid w:val="000C071C"/>
    <w:rsid w:val="000C0986"/>
    <w:rsid w:val="000C0BB4"/>
    <w:rsid w:val="000C0BEE"/>
    <w:rsid w:val="000C11CB"/>
    <w:rsid w:val="000C138B"/>
    <w:rsid w:val="000C1AED"/>
    <w:rsid w:val="000C1CB9"/>
    <w:rsid w:val="000C2159"/>
    <w:rsid w:val="000C21BB"/>
    <w:rsid w:val="000C289B"/>
    <w:rsid w:val="000C352F"/>
    <w:rsid w:val="000C3805"/>
    <w:rsid w:val="000C3F01"/>
    <w:rsid w:val="000C410D"/>
    <w:rsid w:val="000C420D"/>
    <w:rsid w:val="000C4773"/>
    <w:rsid w:val="000C4944"/>
    <w:rsid w:val="000C4E24"/>
    <w:rsid w:val="000C5C4A"/>
    <w:rsid w:val="000C5C4D"/>
    <w:rsid w:val="000C5F01"/>
    <w:rsid w:val="000C5F95"/>
    <w:rsid w:val="000C63C4"/>
    <w:rsid w:val="000C66C1"/>
    <w:rsid w:val="000C68F3"/>
    <w:rsid w:val="000C6F0B"/>
    <w:rsid w:val="000C6F32"/>
    <w:rsid w:val="000C6FEF"/>
    <w:rsid w:val="000C7512"/>
    <w:rsid w:val="000C778C"/>
    <w:rsid w:val="000C7833"/>
    <w:rsid w:val="000C7E1B"/>
    <w:rsid w:val="000C7E73"/>
    <w:rsid w:val="000D001B"/>
    <w:rsid w:val="000D025A"/>
    <w:rsid w:val="000D0A45"/>
    <w:rsid w:val="000D0DF8"/>
    <w:rsid w:val="000D136E"/>
    <w:rsid w:val="000D14AC"/>
    <w:rsid w:val="000D15BA"/>
    <w:rsid w:val="000D15BE"/>
    <w:rsid w:val="000D2300"/>
    <w:rsid w:val="000D25B3"/>
    <w:rsid w:val="000D2BCC"/>
    <w:rsid w:val="000D2C9B"/>
    <w:rsid w:val="000D2D34"/>
    <w:rsid w:val="000D311C"/>
    <w:rsid w:val="000D32CC"/>
    <w:rsid w:val="000D35FD"/>
    <w:rsid w:val="000D3AAA"/>
    <w:rsid w:val="000D3D2D"/>
    <w:rsid w:val="000D3D99"/>
    <w:rsid w:val="000D4653"/>
    <w:rsid w:val="000D4696"/>
    <w:rsid w:val="000D4817"/>
    <w:rsid w:val="000D4C01"/>
    <w:rsid w:val="000D4D0C"/>
    <w:rsid w:val="000D4FB9"/>
    <w:rsid w:val="000D529D"/>
    <w:rsid w:val="000D54B4"/>
    <w:rsid w:val="000D584B"/>
    <w:rsid w:val="000D5EE9"/>
    <w:rsid w:val="000D5F55"/>
    <w:rsid w:val="000D6372"/>
    <w:rsid w:val="000D6979"/>
    <w:rsid w:val="000D6CE7"/>
    <w:rsid w:val="000D6E2C"/>
    <w:rsid w:val="000D6E38"/>
    <w:rsid w:val="000D6E63"/>
    <w:rsid w:val="000D711C"/>
    <w:rsid w:val="000D7B6E"/>
    <w:rsid w:val="000E0048"/>
    <w:rsid w:val="000E03BB"/>
    <w:rsid w:val="000E0644"/>
    <w:rsid w:val="000E076D"/>
    <w:rsid w:val="000E087C"/>
    <w:rsid w:val="000E173D"/>
    <w:rsid w:val="000E187C"/>
    <w:rsid w:val="000E1AB3"/>
    <w:rsid w:val="000E1B28"/>
    <w:rsid w:val="000E1E8D"/>
    <w:rsid w:val="000E1EBC"/>
    <w:rsid w:val="000E2164"/>
    <w:rsid w:val="000E2173"/>
    <w:rsid w:val="000E220B"/>
    <w:rsid w:val="000E2266"/>
    <w:rsid w:val="000E2A50"/>
    <w:rsid w:val="000E30F2"/>
    <w:rsid w:val="000E316B"/>
    <w:rsid w:val="000E362C"/>
    <w:rsid w:val="000E3D08"/>
    <w:rsid w:val="000E4728"/>
    <w:rsid w:val="000E476F"/>
    <w:rsid w:val="000E4D1F"/>
    <w:rsid w:val="000E5100"/>
    <w:rsid w:val="000E512F"/>
    <w:rsid w:val="000E5658"/>
    <w:rsid w:val="000E5698"/>
    <w:rsid w:val="000E5723"/>
    <w:rsid w:val="000E581B"/>
    <w:rsid w:val="000E60DF"/>
    <w:rsid w:val="000E64B2"/>
    <w:rsid w:val="000E65D2"/>
    <w:rsid w:val="000E6919"/>
    <w:rsid w:val="000E6A49"/>
    <w:rsid w:val="000E6B1B"/>
    <w:rsid w:val="000E6DF3"/>
    <w:rsid w:val="000E6F0C"/>
    <w:rsid w:val="000E732D"/>
    <w:rsid w:val="000E7F81"/>
    <w:rsid w:val="000F01E9"/>
    <w:rsid w:val="000F07ED"/>
    <w:rsid w:val="000F0CF2"/>
    <w:rsid w:val="000F1401"/>
    <w:rsid w:val="000F1A32"/>
    <w:rsid w:val="000F1B8C"/>
    <w:rsid w:val="000F1CC2"/>
    <w:rsid w:val="000F1D15"/>
    <w:rsid w:val="000F1DCB"/>
    <w:rsid w:val="000F270A"/>
    <w:rsid w:val="000F2938"/>
    <w:rsid w:val="000F2968"/>
    <w:rsid w:val="000F2A55"/>
    <w:rsid w:val="000F34C8"/>
    <w:rsid w:val="000F35A6"/>
    <w:rsid w:val="000F38BC"/>
    <w:rsid w:val="000F3E2A"/>
    <w:rsid w:val="000F4D26"/>
    <w:rsid w:val="000F5107"/>
    <w:rsid w:val="000F5639"/>
    <w:rsid w:val="000F58A4"/>
    <w:rsid w:val="000F5F99"/>
    <w:rsid w:val="000F6167"/>
    <w:rsid w:val="000F6833"/>
    <w:rsid w:val="000F6A24"/>
    <w:rsid w:val="000F6E4A"/>
    <w:rsid w:val="000F73C6"/>
    <w:rsid w:val="000F7616"/>
    <w:rsid w:val="000F7DC6"/>
    <w:rsid w:val="000F7DE9"/>
    <w:rsid w:val="000F7E1F"/>
    <w:rsid w:val="000F7F7A"/>
    <w:rsid w:val="001002F4"/>
    <w:rsid w:val="00100743"/>
    <w:rsid w:val="00100A6C"/>
    <w:rsid w:val="00100C3C"/>
    <w:rsid w:val="00100EDD"/>
    <w:rsid w:val="001011FC"/>
    <w:rsid w:val="0010165F"/>
    <w:rsid w:val="00101E7C"/>
    <w:rsid w:val="001022DD"/>
    <w:rsid w:val="001023DC"/>
    <w:rsid w:val="00102572"/>
    <w:rsid w:val="00102946"/>
    <w:rsid w:val="00102FBF"/>
    <w:rsid w:val="0010333D"/>
    <w:rsid w:val="0010372A"/>
    <w:rsid w:val="00103F28"/>
    <w:rsid w:val="00103F41"/>
    <w:rsid w:val="00104662"/>
    <w:rsid w:val="00104D5D"/>
    <w:rsid w:val="00104F34"/>
    <w:rsid w:val="0010521A"/>
    <w:rsid w:val="001053C5"/>
    <w:rsid w:val="001055AD"/>
    <w:rsid w:val="00105B3E"/>
    <w:rsid w:val="00105BA2"/>
    <w:rsid w:val="00105C14"/>
    <w:rsid w:val="00106078"/>
    <w:rsid w:val="001061F0"/>
    <w:rsid w:val="001065A3"/>
    <w:rsid w:val="00106610"/>
    <w:rsid w:val="00106831"/>
    <w:rsid w:val="0010683E"/>
    <w:rsid w:val="0010691D"/>
    <w:rsid w:val="00106B33"/>
    <w:rsid w:val="00106E69"/>
    <w:rsid w:val="00107992"/>
    <w:rsid w:val="00107F55"/>
    <w:rsid w:val="00110AC5"/>
    <w:rsid w:val="00110F0B"/>
    <w:rsid w:val="0011108B"/>
    <w:rsid w:val="00111136"/>
    <w:rsid w:val="00111164"/>
    <w:rsid w:val="00111580"/>
    <w:rsid w:val="00111761"/>
    <w:rsid w:val="00112164"/>
    <w:rsid w:val="0011241F"/>
    <w:rsid w:val="0011274B"/>
    <w:rsid w:val="001128BF"/>
    <w:rsid w:val="00112D09"/>
    <w:rsid w:val="00112E8F"/>
    <w:rsid w:val="00112EDB"/>
    <w:rsid w:val="00112F03"/>
    <w:rsid w:val="00112F38"/>
    <w:rsid w:val="00113821"/>
    <w:rsid w:val="00113D66"/>
    <w:rsid w:val="00114058"/>
    <w:rsid w:val="0011449E"/>
    <w:rsid w:val="00115222"/>
    <w:rsid w:val="001153EF"/>
    <w:rsid w:val="00115460"/>
    <w:rsid w:val="00115D55"/>
    <w:rsid w:val="00115E45"/>
    <w:rsid w:val="00115F85"/>
    <w:rsid w:val="00116255"/>
    <w:rsid w:val="0011688E"/>
    <w:rsid w:val="00116ACD"/>
    <w:rsid w:val="00116D94"/>
    <w:rsid w:val="0011718F"/>
    <w:rsid w:val="0011734F"/>
    <w:rsid w:val="00117B7D"/>
    <w:rsid w:val="00117D23"/>
    <w:rsid w:val="00117EFC"/>
    <w:rsid w:val="001205A8"/>
    <w:rsid w:val="00120854"/>
    <w:rsid w:val="00120C28"/>
    <w:rsid w:val="00120CAC"/>
    <w:rsid w:val="00121766"/>
    <w:rsid w:val="001219B6"/>
    <w:rsid w:val="0012219A"/>
    <w:rsid w:val="0012242C"/>
    <w:rsid w:val="00122939"/>
    <w:rsid w:val="00122A64"/>
    <w:rsid w:val="00122FDA"/>
    <w:rsid w:val="001232A3"/>
    <w:rsid w:val="00123694"/>
    <w:rsid w:val="0012388A"/>
    <w:rsid w:val="0012388C"/>
    <w:rsid w:val="0012395F"/>
    <w:rsid w:val="00123AFA"/>
    <w:rsid w:val="00123C8C"/>
    <w:rsid w:val="00123E8B"/>
    <w:rsid w:val="001248A2"/>
    <w:rsid w:val="00124B43"/>
    <w:rsid w:val="00124DF8"/>
    <w:rsid w:val="001250B3"/>
    <w:rsid w:val="001253EA"/>
    <w:rsid w:val="00125B66"/>
    <w:rsid w:val="00125B99"/>
    <w:rsid w:val="00126160"/>
    <w:rsid w:val="00126DB5"/>
    <w:rsid w:val="00126DCD"/>
    <w:rsid w:val="00127178"/>
    <w:rsid w:val="00127F09"/>
    <w:rsid w:val="0013002A"/>
    <w:rsid w:val="0013085D"/>
    <w:rsid w:val="0013089C"/>
    <w:rsid w:val="00130A2D"/>
    <w:rsid w:val="00130BE1"/>
    <w:rsid w:val="00130F54"/>
    <w:rsid w:val="001310EE"/>
    <w:rsid w:val="001312EF"/>
    <w:rsid w:val="00131888"/>
    <w:rsid w:val="00131F17"/>
    <w:rsid w:val="0013212F"/>
    <w:rsid w:val="001323F9"/>
    <w:rsid w:val="0013251F"/>
    <w:rsid w:val="00133088"/>
    <w:rsid w:val="00133113"/>
    <w:rsid w:val="0013321E"/>
    <w:rsid w:val="00133346"/>
    <w:rsid w:val="001335B1"/>
    <w:rsid w:val="00133B2C"/>
    <w:rsid w:val="00133B4E"/>
    <w:rsid w:val="0013410F"/>
    <w:rsid w:val="001346AF"/>
    <w:rsid w:val="00134990"/>
    <w:rsid w:val="00134FB4"/>
    <w:rsid w:val="001354D1"/>
    <w:rsid w:val="001357F6"/>
    <w:rsid w:val="00135840"/>
    <w:rsid w:val="00135A0A"/>
    <w:rsid w:val="00135BB9"/>
    <w:rsid w:val="00135D81"/>
    <w:rsid w:val="00136179"/>
    <w:rsid w:val="0013621D"/>
    <w:rsid w:val="00136354"/>
    <w:rsid w:val="001365DC"/>
    <w:rsid w:val="00136674"/>
    <w:rsid w:val="00136B0E"/>
    <w:rsid w:val="00136C3B"/>
    <w:rsid w:val="001376AB"/>
    <w:rsid w:val="0013777C"/>
    <w:rsid w:val="00137D5F"/>
    <w:rsid w:val="00140082"/>
    <w:rsid w:val="00140175"/>
    <w:rsid w:val="00140757"/>
    <w:rsid w:val="001409E8"/>
    <w:rsid w:val="00140ACD"/>
    <w:rsid w:val="00140AF0"/>
    <w:rsid w:val="00140D07"/>
    <w:rsid w:val="001410CF"/>
    <w:rsid w:val="00141113"/>
    <w:rsid w:val="00141A3A"/>
    <w:rsid w:val="00141BD9"/>
    <w:rsid w:val="00141E53"/>
    <w:rsid w:val="001420AD"/>
    <w:rsid w:val="001423FA"/>
    <w:rsid w:val="001427B5"/>
    <w:rsid w:val="001427CD"/>
    <w:rsid w:val="001428CF"/>
    <w:rsid w:val="00142D0C"/>
    <w:rsid w:val="00142E3C"/>
    <w:rsid w:val="00143387"/>
    <w:rsid w:val="00143B53"/>
    <w:rsid w:val="00143EC8"/>
    <w:rsid w:val="00144013"/>
    <w:rsid w:val="00144139"/>
    <w:rsid w:val="00144698"/>
    <w:rsid w:val="001448DA"/>
    <w:rsid w:val="001455C3"/>
    <w:rsid w:val="00145A17"/>
    <w:rsid w:val="00145BBE"/>
    <w:rsid w:val="001460B5"/>
    <w:rsid w:val="0014641F"/>
    <w:rsid w:val="001464A8"/>
    <w:rsid w:val="001467BB"/>
    <w:rsid w:val="00146CA8"/>
    <w:rsid w:val="0014723E"/>
    <w:rsid w:val="00147884"/>
    <w:rsid w:val="00147AFE"/>
    <w:rsid w:val="00150664"/>
    <w:rsid w:val="00150827"/>
    <w:rsid w:val="00150B0D"/>
    <w:rsid w:val="00150E10"/>
    <w:rsid w:val="001518E2"/>
    <w:rsid w:val="00151A32"/>
    <w:rsid w:val="00151BA2"/>
    <w:rsid w:val="00151BDE"/>
    <w:rsid w:val="00151E31"/>
    <w:rsid w:val="00151F9B"/>
    <w:rsid w:val="00152289"/>
    <w:rsid w:val="00152425"/>
    <w:rsid w:val="00152BAD"/>
    <w:rsid w:val="00152CE3"/>
    <w:rsid w:val="00152CEC"/>
    <w:rsid w:val="00152E5C"/>
    <w:rsid w:val="00153652"/>
    <w:rsid w:val="00153697"/>
    <w:rsid w:val="00153741"/>
    <w:rsid w:val="00153956"/>
    <w:rsid w:val="00153A11"/>
    <w:rsid w:val="00153AC7"/>
    <w:rsid w:val="00153B95"/>
    <w:rsid w:val="00154146"/>
    <w:rsid w:val="00154190"/>
    <w:rsid w:val="001545EA"/>
    <w:rsid w:val="001549BA"/>
    <w:rsid w:val="00154BBF"/>
    <w:rsid w:val="00155099"/>
    <w:rsid w:val="00155143"/>
    <w:rsid w:val="001552FA"/>
    <w:rsid w:val="00155415"/>
    <w:rsid w:val="00155983"/>
    <w:rsid w:val="00155C85"/>
    <w:rsid w:val="00155CB4"/>
    <w:rsid w:val="001567A1"/>
    <w:rsid w:val="00156841"/>
    <w:rsid w:val="00156A6C"/>
    <w:rsid w:val="00156B10"/>
    <w:rsid w:val="00156F55"/>
    <w:rsid w:val="001573F6"/>
    <w:rsid w:val="00157673"/>
    <w:rsid w:val="001576FE"/>
    <w:rsid w:val="00157823"/>
    <w:rsid w:val="0015790D"/>
    <w:rsid w:val="00157C5E"/>
    <w:rsid w:val="00157DD3"/>
    <w:rsid w:val="0016015A"/>
    <w:rsid w:val="0016020E"/>
    <w:rsid w:val="00160503"/>
    <w:rsid w:val="00160D7C"/>
    <w:rsid w:val="00160E30"/>
    <w:rsid w:val="0016106D"/>
    <w:rsid w:val="001612E1"/>
    <w:rsid w:val="001614DB"/>
    <w:rsid w:val="0016194E"/>
    <w:rsid w:val="0016236C"/>
    <w:rsid w:val="00162625"/>
    <w:rsid w:val="00162B1A"/>
    <w:rsid w:val="0016304F"/>
    <w:rsid w:val="001630A8"/>
    <w:rsid w:val="00163826"/>
    <w:rsid w:val="00163943"/>
    <w:rsid w:val="00163BA1"/>
    <w:rsid w:val="00163DDF"/>
    <w:rsid w:val="00163F22"/>
    <w:rsid w:val="0016417B"/>
    <w:rsid w:val="001642E1"/>
    <w:rsid w:val="0016470E"/>
    <w:rsid w:val="001649D3"/>
    <w:rsid w:val="00164CD8"/>
    <w:rsid w:val="00164E0A"/>
    <w:rsid w:val="001652D7"/>
    <w:rsid w:val="00165816"/>
    <w:rsid w:val="00165A5F"/>
    <w:rsid w:val="001661D0"/>
    <w:rsid w:val="00166223"/>
    <w:rsid w:val="001662F2"/>
    <w:rsid w:val="001669EE"/>
    <w:rsid w:val="001674C6"/>
    <w:rsid w:val="001677E8"/>
    <w:rsid w:val="0016793E"/>
    <w:rsid w:val="00167D4D"/>
    <w:rsid w:val="0017031E"/>
    <w:rsid w:val="0017054C"/>
    <w:rsid w:val="00170635"/>
    <w:rsid w:val="0017070D"/>
    <w:rsid w:val="00170837"/>
    <w:rsid w:val="00170D08"/>
    <w:rsid w:val="00170D09"/>
    <w:rsid w:val="00171035"/>
    <w:rsid w:val="001712BD"/>
    <w:rsid w:val="001713B7"/>
    <w:rsid w:val="001716FE"/>
    <w:rsid w:val="00171ADB"/>
    <w:rsid w:val="00171E2C"/>
    <w:rsid w:val="00172029"/>
    <w:rsid w:val="00172131"/>
    <w:rsid w:val="001724B9"/>
    <w:rsid w:val="00172FCA"/>
    <w:rsid w:val="001733A4"/>
    <w:rsid w:val="001735D4"/>
    <w:rsid w:val="00173AB9"/>
    <w:rsid w:val="00173EED"/>
    <w:rsid w:val="00173FAA"/>
    <w:rsid w:val="001742F8"/>
    <w:rsid w:val="00174368"/>
    <w:rsid w:val="001744EA"/>
    <w:rsid w:val="00174D82"/>
    <w:rsid w:val="00174E44"/>
    <w:rsid w:val="00175053"/>
    <w:rsid w:val="001753B7"/>
    <w:rsid w:val="001757E7"/>
    <w:rsid w:val="00175873"/>
    <w:rsid w:val="00175C59"/>
    <w:rsid w:val="00176033"/>
    <w:rsid w:val="001760BC"/>
    <w:rsid w:val="00176674"/>
    <w:rsid w:val="00176818"/>
    <w:rsid w:val="001768ED"/>
    <w:rsid w:val="00176B82"/>
    <w:rsid w:val="00176E3B"/>
    <w:rsid w:val="00176ECB"/>
    <w:rsid w:val="0017752D"/>
    <w:rsid w:val="0017759F"/>
    <w:rsid w:val="00177832"/>
    <w:rsid w:val="001802DE"/>
    <w:rsid w:val="001804BC"/>
    <w:rsid w:val="0018057A"/>
    <w:rsid w:val="00181178"/>
    <w:rsid w:val="0018119E"/>
    <w:rsid w:val="0018152C"/>
    <w:rsid w:val="00181A74"/>
    <w:rsid w:val="00181C57"/>
    <w:rsid w:val="00181DBA"/>
    <w:rsid w:val="00181EEF"/>
    <w:rsid w:val="00181F26"/>
    <w:rsid w:val="00181F3E"/>
    <w:rsid w:val="00182B37"/>
    <w:rsid w:val="00182FE0"/>
    <w:rsid w:val="00183197"/>
    <w:rsid w:val="00183482"/>
    <w:rsid w:val="00183778"/>
    <w:rsid w:val="001837E8"/>
    <w:rsid w:val="00183911"/>
    <w:rsid w:val="00184103"/>
    <w:rsid w:val="001845FB"/>
    <w:rsid w:val="00184877"/>
    <w:rsid w:val="00184B72"/>
    <w:rsid w:val="00184FB1"/>
    <w:rsid w:val="001857FB"/>
    <w:rsid w:val="00185DA6"/>
    <w:rsid w:val="00185F64"/>
    <w:rsid w:val="00186096"/>
    <w:rsid w:val="001862FE"/>
    <w:rsid w:val="001866F1"/>
    <w:rsid w:val="00186E20"/>
    <w:rsid w:val="0018724F"/>
    <w:rsid w:val="0018772E"/>
    <w:rsid w:val="00187A94"/>
    <w:rsid w:val="0019029E"/>
    <w:rsid w:val="00190804"/>
    <w:rsid w:val="0019088F"/>
    <w:rsid w:val="00190C51"/>
    <w:rsid w:val="00190DD7"/>
    <w:rsid w:val="0019122E"/>
    <w:rsid w:val="0019170B"/>
    <w:rsid w:val="0019170C"/>
    <w:rsid w:val="001917F3"/>
    <w:rsid w:val="00191C53"/>
    <w:rsid w:val="00191DDF"/>
    <w:rsid w:val="00191E99"/>
    <w:rsid w:val="00192215"/>
    <w:rsid w:val="00192769"/>
    <w:rsid w:val="00192DDE"/>
    <w:rsid w:val="00193034"/>
    <w:rsid w:val="00193382"/>
    <w:rsid w:val="00193ACC"/>
    <w:rsid w:val="00193BFE"/>
    <w:rsid w:val="00194055"/>
    <w:rsid w:val="00194FDC"/>
    <w:rsid w:val="00195322"/>
    <w:rsid w:val="0019560E"/>
    <w:rsid w:val="001958E3"/>
    <w:rsid w:val="0019601B"/>
    <w:rsid w:val="00196048"/>
    <w:rsid w:val="00196A82"/>
    <w:rsid w:val="0019769B"/>
    <w:rsid w:val="00197798"/>
    <w:rsid w:val="001979F9"/>
    <w:rsid w:val="00197CF3"/>
    <w:rsid w:val="00197FFE"/>
    <w:rsid w:val="001A0D25"/>
    <w:rsid w:val="001A0E14"/>
    <w:rsid w:val="001A142F"/>
    <w:rsid w:val="001A1570"/>
    <w:rsid w:val="001A1917"/>
    <w:rsid w:val="001A19D5"/>
    <w:rsid w:val="001A1C64"/>
    <w:rsid w:val="001A1DFB"/>
    <w:rsid w:val="001A1E7F"/>
    <w:rsid w:val="001A21F1"/>
    <w:rsid w:val="001A240C"/>
    <w:rsid w:val="001A2918"/>
    <w:rsid w:val="001A2D02"/>
    <w:rsid w:val="001A3076"/>
    <w:rsid w:val="001A3163"/>
    <w:rsid w:val="001A31A5"/>
    <w:rsid w:val="001A389C"/>
    <w:rsid w:val="001A3B75"/>
    <w:rsid w:val="001A4027"/>
    <w:rsid w:val="001A46F7"/>
    <w:rsid w:val="001A46FB"/>
    <w:rsid w:val="001A4EA6"/>
    <w:rsid w:val="001A4EC9"/>
    <w:rsid w:val="001A57A5"/>
    <w:rsid w:val="001A5944"/>
    <w:rsid w:val="001A5DC7"/>
    <w:rsid w:val="001A5FB1"/>
    <w:rsid w:val="001A698A"/>
    <w:rsid w:val="001A6CCC"/>
    <w:rsid w:val="001A6E3B"/>
    <w:rsid w:val="001A6FF4"/>
    <w:rsid w:val="001A70C8"/>
    <w:rsid w:val="001A71C9"/>
    <w:rsid w:val="001A7429"/>
    <w:rsid w:val="001A760C"/>
    <w:rsid w:val="001A770F"/>
    <w:rsid w:val="001A7977"/>
    <w:rsid w:val="001A799B"/>
    <w:rsid w:val="001A7A93"/>
    <w:rsid w:val="001A7AC7"/>
    <w:rsid w:val="001A7C38"/>
    <w:rsid w:val="001B00C5"/>
    <w:rsid w:val="001B02F8"/>
    <w:rsid w:val="001B0ABF"/>
    <w:rsid w:val="001B1921"/>
    <w:rsid w:val="001B2104"/>
    <w:rsid w:val="001B2279"/>
    <w:rsid w:val="001B24BA"/>
    <w:rsid w:val="001B2729"/>
    <w:rsid w:val="001B2866"/>
    <w:rsid w:val="001B2881"/>
    <w:rsid w:val="001B2B5B"/>
    <w:rsid w:val="001B2B73"/>
    <w:rsid w:val="001B3675"/>
    <w:rsid w:val="001B37C8"/>
    <w:rsid w:val="001B3EFC"/>
    <w:rsid w:val="001B485D"/>
    <w:rsid w:val="001B48BA"/>
    <w:rsid w:val="001B4B2C"/>
    <w:rsid w:val="001B4E9C"/>
    <w:rsid w:val="001B4F10"/>
    <w:rsid w:val="001B5154"/>
    <w:rsid w:val="001B54BF"/>
    <w:rsid w:val="001B5CF6"/>
    <w:rsid w:val="001B600E"/>
    <w:rsid w:val="001B6149"/>
    <w:rsid w:val="001B6E30"/>
    <w:rsid w:val="001B7B44"/>
    <w:rsid w:val="001B7C83"/>
    <w:rsid w:val="001B7D67"/>
    <w:rsid w:val="001B7F9E"/>
    <w:rsid w:val="001C0206"/>
    <w:rsid w:val="001C0246"/>
    <w:rsid w:val="001C04D4"/>
    <w:rsid w:val="001C0654"/>
    <w:rsid w:val="001C0B1A"/>
    <w:rsid w:val="001C0B34"/>
    <w:rsid w:val="001C1237"/>
    <w:rsid w:val="001C12A3"/>
    <w:rsid w:val="001C13BA"/>
    <w:rsid w:val="001C17BB"/>
    <w:rsid w:val="001C187E"/>
    <w:rsid w:val="001C1A37"/>
    <w:rsid w:val="001C1B4B"/>
    <w:rsid w:val="001C1C49"/>
    <w:rsid w:val="001C286F"/>
    <w:rsid w:val="001C2B86"/>
    <w:rsid w:val="001C2F54"/>
    <w:rsid w:val="001C3308"/>
    <w:rsid w:val="001C396B"/>
    <w:rsid w:val="001C3A1F"/>
    <w:rsid w:val="001C3BBB"/>
    <w:rsid w:val="001C40D1"/>
    <w:rsid w:val="001C468A"/>
    <w:rsid w:val="001C469F"/>
    <w:rsid w:val="001C4A38"/>
    <w:rsid w:val="001C4A9E"/>
    <w:rsid w:val="001C4DF2"/>
    <w:rsid w:val="001C5001"/>
    <w:rsid w:val="001C5103"/>
    <w:rsid w:val="001C52A8"/>
    <w:rsid w:val="001C5ADF"/>
    <w:rsid w:val="001C5E8E"/>
    <w:rsid w:val="001C6120"/>
    <w:rsid w:val="001C6175"/>
    <w:rsid w:val="001C6516"/>
    <w:rsid w:val="001C6865"/>
    <w:rsid w:val="001C6B5C"/>
    <w:rsid w:val="001C6D0D"/>
    <w:rsid w:val="001C7155"/>
    <w:rsid w:val="001C7E48"/>
    <w:rsid w:val="001D039B"/>
    <w:rsid w:val="001D045D"/>
    <w:rsid w:val="001D078D"/>
    <w:rsid w:val="001D0849"/>
    <w:rsid w:val="001D088F"/>
    <w:rsid w:val="001D11A9"/>
    <w:rsid w:val="001D1258"/>
    <w:rsid w:val="001D1AB8"/>
    <w:rsid w:val="001D1CD7"/>
    <w:rsid w:val="001D1D5E"/>
    <w:rsid w:val="001D24A8"/>
    <w:rsid w:val="001D286F"/>
    <w:rsid w:val="001D2C94"/>
    <w:rsid w:val="001D33D9"/>
    <w:rsid w:val="001D36F6"/>
    <w:rsid w:val="001D3C23"/>
    <w:rsid w:val="001D3E35"/>
    <w:rsid w:val="001D4303"/>
    <w:rsid w:val="001D45E5"/>
    <w:rsid w:val="001D461A"/>
    <w:rsid w:val="001D4A9D"/>
    <w:rsid w:val="001D4AAD"/>
    <w:rsid w:val="001D4C2F"/>
    <w:rsid w:val="001D4FE9"/>
    <w:rsid w:val="001D565A"/>
    <w:rsid w:val="001D5AFA"/>
    <w:rsid w:val="001D5CDC"/>
    <w:rsid w:val="001D652D"/>
    <w:rsid w:val="001D6A35"/>
    <w:rsid w:val="001D728B"/>
    <w:rsid w:val="001D784A"/>
    <w:rsid w:val="001D79E3"/>
    <w:rsid w:val="001E03B4"/>
    <w:rsid w:val="001E04A4"/>
    <w:rsid w:val="001E07C5"/>
    <w:rsid w:val="001E0CFA"/>
    <w:rsid w:val="001E0DA8"/>
    <w:rsid w:val="001E176D"/>
    <w:rsid w:val="001E1BCE"/>
    <w:rsid w:val="001E1E05"/>
    <w:rsid w:val="001E2086"/>
    <w:rsid w:val="001E339F"/>
    <w:rsid w:val="001E3629"/>
    <w:rsid w:val="001E3A6E"/>
    <w:rsid w:val="001E3E7D"/>
    <w:rsid w:val="001E40F0"/>
    <w:rsid w:val="001E4172"/>
    <w:rsid w:val="001E42A9"/>
    <w:rsid w:val="001E477B"/>
    <w:rsid w:val="001E47F5"/>
    <w:rsid w:val="001E4F08"/>
    <w:rsid w:val="001E5490"/>
    <w:rsid w:val="001E5730"/>
    <w:rsid w:val="001E5A97"/>
    <w:rsid w:val="001E5E2E"/>
    <w:rsid w:val="001E6352"/>
    <w:rsid w:val="001E6984"/>
    <w:rsid w:val="001E6ADE"/>
    <w:rsid w:val="001E70AD"/>
    <w:rsid w:val="001E7237"/>
    <w:rsid w:val="001E7AD1"/>
    <w:rsid w:val="001E7AF6"/>
    <w:rsid w:val="001E7D9D"/>
    <w:rsid w:val="001F01B8"/>
    <w:rsid w:val="001F0FC3"/>
    <w:rsid w:val="001F1188"/>
    <w:rsid w:val="001F1549"/>
    <w:rsid w:val="001F15D9"/>
    <w:rsid w:val="001F1B8D"/>
    <w:rsid w:val="001F248C"/>
    <w:rsid w:val="001F274F"/>
    <w:rsid w:val="001F289C"/>
    <w:rsid w:val="001F2A19"/>
    <w:rsid w:val="001F2BF9"/>
    <w:rsid w:val="001F2EE1"/>
    <w:rsid w:val="001F3AF2"/>
    <w:rsid w:val="001F5D7B"/>
    <w:rsid w:val="001F6008"/>
    <w:rsid w:val="001F604B"/>
    <w:rsid w:val="001F6387"/>
    <w:rsid w:val="001F641B"/>
    <w:rsid w:val="001F6D4D"/>
    <w:rsid w:val="001F6D54"/>
    <w:rsid w:val="001F6DB9"/>
    <w:rsid w:val="001F6EBA"/>
    <w:rsid w:val="001F75DA"/>
    <w:rsid w:val="001F78BE"/>
    <w:rsid w:val="00200434"/>
    <w:rsid w:val="0020079C"/>
    <w:rsid w:val="0020096B"/>
    <w:rsid w:val="00200D69"/>
    <w:rsid w:val="00200D9B"/>
    <w:rsid w:val="00200F9D"/>
    <w:rsid w:val="0020130D"/>
    <w:rsid w:val="002013C5"/>
    <w:rsid w:val="00201916"/>
    <w:rsid w:val="002019FA"/>
    <w:rsid w:val="00201D06"/>
    <w:rsid w:val="00201E9F"/>
    <w:rsid w:val="00201F1D"/>
    <w:rsid w:val="0020217D"/>
    <w:rsid w:val="002022D2"/>
    <w:rsid w:val="00202D15"/>
    <w:rsid w:val="00202F25"/>
    <w:rsid w:val="002035B3"/>
    <w:rsid w:val="00203664"/>
    <w:rsid w:val="00203929"/>
    <w:rsid w:val="00203CD6"/>
    <w:rsid w:val="00203D01"/>
    <w:rsid w:val="0020406E"/>
    <w:rsid w:val="00204460"/>
    <w:rsid w:val="00205151"/>
    <w:rsid w:val="002051EA"/>
    <w:rsid w:val="00205CBC"/>
    <w:rsid w:val="00205DFD"/>
    <w:rsid w:val="00205FCE"/>
    <w:rsid w:val="00206121"/>
    <w:rsid w:val="00206259"/>
    <w:rsid w:val="00206342"/>
    <w:rsid w:val="002074B7"/>
    <w:rsid w:val="0020758D"/>
    <w:rsid w:val="00207C7B"/>
    <w:rsid w:val="00207D5D"/>
    <w:rsid w:val="00210487"/>
    <w:rsid w:val="00210ABD"/>
    <w:rsid w:val="00211267"/>
    <w:rsid w:val="00211470"/>
    <w:rsid w:val="00211922"/>
    <w:rsid w:val="0021213A"/>
    <w:rsid w:val="002121B4"/>
    <w:rsid w:val="0021265F"/>
    <w:rsid w:val="00213232"/>
    <w:rsid w:val="002132CD"/>
    <w:rsid w:val="00213817"/>
    <w:rsid w:val="0021423F"/>
    <w:rsid w:val="00214428"/>
    <w:rsid w:val="002145EB"/>
    <w:rsid w:val="00214F82"/>
    <w:rsid w:val="00215033"/>
    <w:rsid w:val="00215356"/>
    <w:rsid w:val="00215834"/>
    <w:rsid w:val="00215A2A"/>
    <w:rsid w:val="00215CC2"/>
    <w:rsid w:val="00215ED8"/>
    <w:rsid w:val="00215FAF"/>
    <w:rsid w:val="002162C6"/>
    <w:rsid w:val="00216AE1"/>
    <w:rsid w:val="00217700"/>
    <w:rsid w:val="002177E2"/>
    <w:rsid w:val="0021783B"/>
    <w:rsid w:val="00217B1C"/>
    <w:rsid w:val="002205F3"/>
    <w:rsid w:val="002206D4"/>
    <w:rsid w:val="0022085B"/>
    <w:rsid w:val="00220BC9"/>
    <w:rsid w:val="00220E53"/>
    <w:rsid w:val="00220F3E"/>
    <w:rsid w:val="0022176C"/>
    <w:rsid w:val="002225D1"/>
    <w:rsid w:val="0022267D"/>
    <w:rsid w:val="002229B6"/>
    <w:rsid w:val="002230FA"/>
    <w:rsid w:val="00223D8B"/>
    <w:rsid w:val="00223DF2"/>
    <w:rsid w:val="002246C2"/>
    <w:rsid w:val="002247FA"/>
    <w:rsid w:val="002249A2"/>
    <w:rsid w:val="00224C0C"/>
    <w:rsid w:val="002256C2"/>
    <w:rsid w:val="002256D0"/>
    <w:rsid w:val="00225C8E"/>
    <w:rsid w:val="00226428"/>
    <w:rsid w:val="002265A9"/>
    <w:rsid w:val="002266CB"/>
    <w:rsid w:val="00227052"/>
    <w:rsid w:val="00227194"/>
    <w:rsid w:val="002272D5"/>
    <w:rsid w:val="0022738E"/>
    <w:rsid w:val="00227906"/>
    <w:rsid w:val="00227934"/>
    <w:rsid w:val="00227E21"/>
    <w:rsid w:val="00230A10"/>
    <w:rsid w:val="0023104C"/>
    <w:rsid w:val="00231132"/>
    <w:rsid w:val="00231D05"/>
    <w:rsid w:val="0023241A"/>
    <w:rsid w:val="00232D9D"/>
    <w:rsid w:val="00232DE6"/>
    <w:rsid w:val="002332AC"/>
    <w:rsid w:val="002336E2"/>
    <w:rsid w:val="00233AC2"/>
    <w:rsid w:val="00233BAF"/>
    <w:rsid w:val="00233E3A"/>
    <w:rsid w:val="00233F80"/>
    <w:rsid w:val="00235420"/>
    <w:rsid w:val="00235610"/>
    <w:rsid w:val="00235700"/>
    <w:rsid w:val="00235A56"/>
    <w:rsid w:val="00235DE0"/>
    <w:rsid w:val="00236F0A"/>
    <w:rsid w:val="002374CA"/>
    <w:rsid w:val="00237B47"/>
    <w:rsid w:val="00237D60"/>
    <w:rsid w:val="0024065B"/>
    <w:rsid w:val="002409A6"/>
    <w:rsid w:val="00240C63"/>
    <w:rsid w:val="00240D91"/>
    <w:rsid w:val="00240EA5"/>
    <w:rsid w:val="00241132"/>
    <w:rsid w:val="00241205"/>
    <w:rsid w:val="002418C5"/>
    <w:rsid w:val="00241AB6"/>
    <w:rsid w:val="00241F90"/>
    <w:rsid w:val="002421FD"/>
    <w:rsid w:val="0024261D"/>
    <w:rsid w:val="00242712"/>
    <w:rsid w:val="00242820"/>
    <w:rsid w:val="0024298E"/>
    <w:rsid w:val="00242DFB"/>
    <w:rsid w:val="002437B0"/>
    <w:rsid w:val="00243807"/>
    <w:rsid w:val="002440AC"/>
    <w:rsid w:val="00244365"/>
    <w:rsid w:val="0024459A"/>
    <w:rsid w:val="002446A3"/>
    <w:rsid w:val="00244771"/>
    <w:rsid w:val="00244903"/>
    <w:rsid w:val="00244AFB"/>
    <w:rsid w:val="002451AD"/>
    <w:rsid w:val="002453DF"/>
    <w:rsid w:val="00245A81"/>
    <w:rsid w:val="00246010"/>
    <w:rsid w:val="002462A5"/>
    <w:rsid w:val="002469D4"/>
    <w:rsid w:val="00246B86"/>
    <w:rsid w:val="00246CFB"/>
    <w:rsid w:val="00247334"/>
    <w:rsid w:val="00247335"/>
    <w:rsid w:val="002473EF"/>
    <w:rsid w:val="00247598"/>
    <w:rsid w:val="002477B9"/>
    <w:rsid w:val="00247B69"/>
    <w:rsid w:val="00247CBE"/>
    <w:rsid w:val="00250A1F"/>
    <w:rsid w:val="00250ADA"/>
    <w:rsid w:val="00250DDB"/>
    <w:rsid w:val="00250EB6"/>
    <w:rsid w:val="00250F1D"/>
    <w:rsid w:val="00251FF1"/>
    <w:rsid w:val="002520BA"/>
    <w:rsid w:val="00252234"/>
    <w:rsid w:val="002528E3"/>
    <w:rsid w:val="00252944"/>
    <w:rsid w:val="00252D55"/>
    <w:rsid w:val="00252D82"/>
    <w:rsid w:val="00253006"/>
    <w:rsid w:val="002533F5"/>
    <w:rsid w:val="002536B3"/>
    <w:rsid w:val="00253C60"/>
    <w:rsid w:val="00253F21"/>
    <w:rsid w:val="0025429D"/>
    <w:rsid w:val="0025436D"/>
    <w:rsid w:val="0025462B"/>
    <w:rsid w:val="0025486F"/>
    <w:rsid w:val="002549E9"/>
    <w:rsid w:val="00254FF6"/>
    <w:rsid w:val="00255099"/>
    <w:rsid w:val="00255221"/>
    <w:rsid w:val="002555C6"/>
    <w:rsid w:val="00255E14"/>
    <w:rsid w:val="00255FF9"/>
    <w:rsid w:val="00256225"/>
    <w:rsid w:val="00256292"/>
    <w:rsid w:val="00257059"/>
    <w:rsid w:val="0025712F"/>
    <w:rsid w:val="002571C5"/>
    <w:rsid w:val="00257395"/>
    <w:rsid w:val="00257550"/>
    <w:rsid w:val="00257857"/>
    <w:rsid w:val="002578DA"/>
    <w:rsid w:val="00257CBC"/>
    <w:rsid w:val="00257D28"/>
    <w:rsid w:val="00257F0F"/>
    <w:rsid w:val="002602C2"/>
    <w:rsid w:val="002602DA"/>
    <w:rsid w:val="0026040B"/>
    <w:rsid w:val="002604F2"/>
    <w:rsid w:val="00260802"/>
    <w:rsid w:val="002609E3"/>
    <w:rsid w:val="00261223"/>
    <w:rsid w:val="002617AB"/>
    <w:rsid w:val="00261D08"/>
    <w:rsid w:val="00261DA3"/>
    <w:rsid w:val="00261DCC"/>
    <w:rsid w:val="00262121"/>
    <w:rsid w:val="00262160"/>
    <w:rsid w:val="002624D0"/>
    <w:rsid w:val="00262F9F"/>
    <w:rsid w:val="0026338A"/>
    <w:rsid w:val="00263EC7"/>
    <w:rsid w:val="002648E7"/>
    <w:rsid w:val="0026491B"/>
    <w:rsid w:val="00264A36"/>
    <w:rsid w:val="00264AE4"/>
    <w:rsid w:val="00264B06"/>
    <w:rsid w:val="00264C1B"/>
    <w:rsid w:val="00264E10"/>
    <w:rsid w:val="00265D10"/>
    <w:rsid w:val="00265E2E"/>
    <w:rsid w:val="002661AB"/>
    <w:rsid w:val="0026742B"/>
    <w:rsid w:val="002674FE"/>
    <w:rsid w:val="0026782E"/>
    <w:rsid w:val="00267E59"/>
    <w:rsid w:val="002702F6"/>
    <w:rsid w:val="00270310"/>
    <w:rsid w:val="00270748"/>
    <w:rsid w:val="002708B7"/>
    <w:rsid w:val="00270CAB"/>
    <w:rsid w:val="0027117F"/>
    <w:rsid w:val="002712DC"/>
    <w:rsid w:val="00271875"/>
    <w:rsid w:val="002718FF"/>
    <w:rsid w:val="00271955"/>
    <w:rsid w:val="00271C68"/>
    <w:rsid w:val="00272278"/>
    <w:rsid w:val="00272432"/>
    <w:rsid w:val="00272633"/>
    <w:rsid w:val="00272D2C"/>
    <w:rsid w:val="00272E48"/>
    <w:rsid w:val="00272FBF"/>
    <w:rsid w:val="0027352A"/>
    <w:rsid w:val="002739B5"/>
    <w:rsid w:val="00273A10"/>
    <w:rsid w:val="00273A58"/>
    <w:rsid w:val="002744BD"/>
    <w:rsid w:val="00274513"/>
    <w:rsid w:val="00274638"/>
    <w:rsid w:val="00274CAB"/>
    <w:rsid w:val="00274E8A"/>
    <w:rsid w:val="00275A53"/>
    <w:rsid w:val="00275FCE"/>
    <w:rsid w:val="002766B8"/>
    <w:rsid w:val="0027680F"/>
    <w:rsid w:val="00276DEF"/>
    <w:rsid w:val="0027708D"/>
    <w:rsid w:val="002777C0"/>
    <w:rsid w:val="0028044D"/>
    <w:rsid w:val="002804F1"/>
    <w:rsid w:val="00281006"/>
    <w:rsid w:val="002815B1"/>
    <w:rsid w:val="00281893"/>
    <w:rsid w:val="00281C1F"/>
    <w:rsid w:val="00281EEA"/>
    <w:rsid w:val="00281F88"/>
    <w:rsid w:val="0028288D"/>
    <w:rsid w:val="002829B7"/>
    <w:rsid w:val="00282B82"/>
    <w:rsid w:val="00282C74"/>
    <w:rsid w:val="00282E5B"/>
    <w:rsid w:val="002831D0"/>
    <w:rsid w:val="002834D5"/>
    <w:rsid w:val="00283995"/>
    <w:rsid w:val="00283B11"/>
    <w:rsid w:val="002841A9"/>
    <w:rsid w:val="00284313"/>
    <w:rsid w:val="00284554"/>
    <w:rsid w:val="00284759"/>
    <w:rsid w:val="002848AD"/>
    <w:rsid w:val="002849C2"/>
    <w:rsid w:val="00284DE4"/>
    <w:rsid w:val="00285154"/>
    <w:rsid w:val="00285BF2"/>
    <w:rsid w:val="00285C78"/>
    <w:rsid w:val="00285DF8"/>
    <w:rsid w:val="00285E54"/>
    <w:rsid w:val="0028619E"/>
    <w:rsid w:val="00286238"/>
    <w:rsid w:val="0028625F"/>
    <w:rsid w:val="002863CE"/>
    <w:rsid w:val="0028781A"/>
    <w:rsid w:val="00287B7E"/>
    <w:rsid w:val="00287BF8"/>
    <w:rsid w:val="00287E20"/>
    <w:rsid w:val="002900EB"/>
    <w:rsid w:val="00290B8A"/>
    <w:rsid w:val="00290DF5"/>
    <w:rsid w:val="0029110F"/>
    <w:rsid w:val="00291492"/>
    <w:rsid w:val="00291527"/>
    <w:rsid w:val="0029199A"/>
    <w:rsid w:val="00291BBE"/>
    <w:rsid w:val="00291FEB"/>
    <w:rsid w:val="00292B17"/>
    <w:rsid w:val="00293146"/>
    <w:rsid w:val="0029361E"/>
    <w:rsid w:val="002939F4"/>
    <w:rsid w:val="00293D68"/>
    <w:rsid w:val="0029408A"/>
    <w:rsid w:val="00294352"/>
    <w:rsid w:val="002944A0"/>
    <w:rsid w:val="002946E4"/>
    <w:rsid w:val="0029495C"/>
    <w:rsid w:val="002957D9"/>
    <w:rsid w:val="00295B52"/>
    <w:rsid w:val="00295B96"/>
    <w:rsid w:val="00296024"/>
    <w:rsid w:val="00296293"/>
    <w:rsid w:val="00296AF7"/>
    <w:rsid w:val="00297047"/>
    <w:rsid w:val="002972F9"/>
    <w:rsid w:val="00297612"/>
    <w:rsid w:val="002977CA"/>
    <w:rsid w:val="00297837"/>
    <w:rsid w:val="00297ED7"/>
    <w:rsid w:val="002A0007"/>
    <w:rsid w:val="002A03AA"/>
    <w:rsid w:val="002A056D"/>
    <w:rsid w:val="002A07FE"/>
    <w:rsid w:val="002A094D"/>
    <w:rsid w:val="002A0C7D"/>
    <w:rsid w:val="002A0CAF"/>
    <w:rsid w:val="002A0DDB"/>
    <w:rsid w:val="002A1565"/>
    <w:rsid w:val="002A16A9"/>
    <w:rsid w:val="002A175E"/>
    <w:rsid w:val="002A1F96"/>
    <w:rsid w:val="002A2941"/>
    <w:rsid w:val="002A2DC4"/>
    <w:rsid w:val="002A33DB"/>
    <w:rsid w:val="002A399B"/>
    <w:rsid w:val="002A3B11"/>
    <w:rsid w:val="002A3BB9"/>
    <w:rsid w:val="002A3E69"/>
    <w:rsid w:val="002A44F9"/>
    <w:rsid w:val="002A493F"/>
    <w:rsid w:val="002A49EF"/>
    <w:rsid w:val="002A4B8B"/>
    <w:rsid w:val="002A5107"/>
    <w:rsid w:val="002A5193"/>
    <w:rsid w:val="002A535E"/>
    <w:rsid w:val="002A5DBD"/>
    <w:rsid w:val="002A6406"/>
    <w:rsid w:val="002A6432"/>
    <w:rsid w:val="002A6CF0"/>
    <w:rsid w:val="002A6FFC"/>
    <w:rsid w:val="002A7010"/>
    <w:rsid w:val="002A70BA"/>
    <w:rsid w:val="002A724C"/>
    <w:rsid w:val="002A750E"/>
    <w:rsid w:val="002A7A57"/>
    <w:rsid w:val="002A7BB2"/>
    <w:rsid w:val="002A7BFB"/>
    <w:rsid w:val="002A7DCB"/>
    <w:rsid w:val="002B0685"/>
    <w:rsid w:val="002B0B53"/>
    <w:rsid w:val="002B124F"/>
    <w:rsid w:val="002B1617"/>
    <w:rsid w:val="002B1A90"/>
    <w:rsid w:val="002B1B4F"/>
    <w:rsid w:val="002B1D11"/>
    <w:rsid w:val="002B1E8B"/>
    <w:rsid w:val="002B273B"/>
    <w:rsid w:val="002B29AA"/>
    <w:rsid w:val="002B2A7E"/>
    <w:rsid w:val="002B2D11"/>
    <w:rsid w:val="002B2D75"/>
    <w:rsid w:val="002B2F1B"/>
    <w:rsid w:val="002B3332"/>
    <w:rsid w:val="002B34C7"/>
    <w:rsid w:val="002B3C2C"/>
    <w:rsid w:val="002B4B18"/>
    <w:rsid w:val="002B5269"/>
    <w:rsid w:val="002B5AFB"/>
    <w:rsid w:val="002B6254"/>
    <w:rsid w:val="002B6320"/>
    <w:rsid w:val="002B6499"/>
    <w:rsid w:val="002B66AC"/>
    <w:rsid w:val="002B6852"/>
    <w:rsid w:val="002B691B"/>
    <w:rsid w:val="002B6BED"/>
    <w:rsid w:val="002B6D39"/>
    <w:rsid w:val="002B6D81"/>
    <w:rsid w:val="002B720D"/>
    <w:rsid w:val="002B76E3"/>
    <w:rsid w:val="002B77E1"/>
    <w:rsid w:val="002C0325"/>
    <w:rsid w:val="002C0656"/>
    <w:rsid w:val="002C0714"/>
    <w:rsid w:val="002C08AA"/>
    <w:rsid w:val="002C0A79"/>
    <w:rsid w:val="002C0A96"/>
    <w:rsid w:val="002C1422"/>
    <w:rsid w:val="002C152B"/>
    <w:rsid w:val="002C1697"/>
    <w:rsid w:val="002C1BF4"/>
    <w:rsid w:val="002C1E0D"/>
    <w:rsid w:val="002C2266"/>
    <w:rsid w:val="002C2356"/>
    <w:rsid w:val="002C2752"/>
    <w:rsid w:val="002C28EB"/>
    <w:rsid w:val="002C316C"/>
    <w:rsid w:val="002C322C"/>
    <w:rsid w:val="002C3265"/>
    <w:rsid w:val="002C39E8"/>
    <w:rsid w:val="002C3AED"/>
    <w:rsid w:val="002C3E56"/>
    <w:rsid w:val="002C3E8A"/>
    <w:rsid w:val="002C414C"/>
    <w:rsid w:val="002C4692"/>
    <w:rsid w:val="002C49F8"/>
    <w:rsid w:val="002C4B49"/>
    <w:rsid w:val="002C4C2F"/>
    <w:rsid w:val="002C5522"/>
    <w:rsid w:val="002C5776"/>
    <w:rsid w:val="002C5EED"/>
    <w:rsid w:val="002C66DE"/>
    <w:rsid w:val="002C6CA4"/>
    <w:rsid w:val="002C7193"/>
    <w:rsid w:val="002C7699"/>
    <w:rsid w:val="002C7A49"/>
    <w:rsid w:val="002D0128"/>
    <w:rsid w:val="002D0638"/>
    <w:rsid w:val="002D0B52"/>
    <w:rsid w:val="002D0E85"/>
    <w:rsid w:val="002D0FA7"/>
    <w:rsid w:val="002D12FB"/>
    <w:rsid w:val="002D13AA"/>
    <w:rsid w:val="002D147F"/>
    <w:rsid w:val="002D19D1"/>
    <w:rsid w:val="002D1F35"/>
    <w:rsid w:val="002D1FA3"/>
    <w:rsid w:val="002D20CD"/>
    <w:rsid w:val="002D23C6"/>
    <w:rsid w:val="002D24F0"/>
    <w:rsid w:val="002D25EB"/>
    <w:rsid w:val="002D2992"/>
    <w:rsid w:val="002D29F3"/>
    <w:rsid w:val="002D2DC5"/>
    <w:rsid w:val="002D3126"/>
    <w:rsid w:val="002D3381"/>
    <w:rsid w:val="002D3427"/>
    <w:rsid w:val="002D3529"/>
    <w:rsid w:val="002D3A96"/>
    <w:rsid w:val="002D3AE7"/>
    <w:rsid w:val="002D3D0A"/>
    <w:rsid w:val="002D3EF0"/>
    <w:rsid w:val="002D478E"/>
    <w:rsid w:val="002D47AE"/>
    <w:rsid w:val="002D4A94"/>
    <w:rsid w:val="002D4C7C"/>
    <w:rsid w:val="002D59C6"/>
    <w:rsid w:val="002D5D5C"/>
    <w:rsid w:val="002D6216"/>
    <w:rsid w:val="002D65FF"/>
    <w:rsid w:val="002D6925"/>
    <w:rsid w:val="002D6D10"/>
    <w:rsid w:val="002D71E2"/>
    <w:rsid w:val="002D77F4"/>
    <w:rsid w:val="002D7B6A"/>
    <w:rsid w:val="002E0026"/>
    <w:rsid w:val="002E047F"/>
    <w:rsid w:val="002E06D1"/>
    <w:rsid w:val="002E08E8"/>
    <w:rsid w:val="002E0918"/>
    <w:rsid w:val="002E0BAA"/>
    <w:rsid w:val="002E0C70"/>
    <w:rsid w:val="002E0D96"/>
    <w:rsid w:val="002E0EA5"/>
    <w:rsid w:val="002E0F1C"/>
    <w:rsid w:val="002E0FEA"/>
    <w:rsid w:val="002E1BCE"/>
    <w:rsid w:val="002E1DD4"/>
    <w:rsid w:val="002E1E19"/>
    <w:rsid w:val="002E1FAC"/>
    <w:rsid w:val="002E283F"/>
    <w:rsid w:val="002E2854"/>
    <w:rsid w:val="002E2DC2"/>
    <w:rsid w:val="002E2E69"/>
    <w:rsid w:val="002E2E74"/>
    <w:rsid w:val="002E32D2"/>
    <w:rsid w:val="002E361B"/>
    <w:rsid w:val="002E37AB"/>
    <w:rsid w:val="002E3A80"/>
    <w:rsid w:val="002E3B13"/>
    <w:rsid w:val="002E3ECB"/>
    <w:rsid w:val="002E3FB9"/>
    <w:rsid w:val="002E41C7"/>
    <w:rsid w:val="002E51DF"/>
    <w:rsid w:val="002E5455"/>
    <w:rsid w:val="002E57B9"/>
    <w:rsid w:val="002E6127"/>
    <w:rsid w:val="002E6885"/>
    <w:rsid w:val="002E698A"/>
    <w:rsid w:val="002E70EA"/>
    <w:rsid w:val="002E72E4"/>
    <w:rsid w:val="002E739D"/>
    <w:rsid w:val="002E7731"/>
    <w:rsid w:val="002E7D4B"/>
    <w:rsid w:val="002F0F36"/>
    <w:rsid w:val="002F0F9A"/>
    <w:rsid w:val="002F1276"/>
    <w:rsid w:val="002F175B"/>
    <w:rsid w:val="002F1986"/>
    <w:rsid w:val="002F1E5F"/>
    <w:rsid w:val="002F224E"/>
    <w:rsid w:val="002F253C"/>
    <w:rsid w:val="002F2A49"/>
    <w:rsid w:val="002F3275"/>
    <w:rsid w:val="002F3550"/>
    <w:rsid w:val="002F3A4F"/>
    <w:rsid w:val="002F3B63"/>
    <w:rsid w:val="002F3C56"/>
    <w:rsid w:val="002F3D4D"/>
    <w:rsid w:val="002F4390"/>
    <w:rsid w:val="002F46B0"/>
    <w:rsid w:val="002F4B17"/>
    <w:rsid w:val="002F5150"/>
    <w:rsid w:val="002F5463"/>
    <w:rsid w:val="002F58C2"/>
    <w:rsid w:val="002F5932"/>
    <w:rsid w:val="002F5C85"/>
    <w:rsid w:val="002F603B"/>
    <w:rsid w:val="002F6201"/>
    <w:rsid w:val="002F6493"/>
    <w:rsid w:val="002F669F"/>
    <w:rsid w:val="002F724B"/>
    <w:rsid w:val="002F72BA"/>
    <w:rsid w:val="00300196"/>
    <w:rsid w:val="00300267"/>
    <w:rsid w:val="003004D2"/>
    <w:rsid w:val="00300543"/>
    <w:rsid w:val="00300D6B"/>
    <w:rsid w:val="00301380"/>
    <w:rsid w:val="00301E89"/>
    <w:rsid w:val="00302052"/>
    <w:rsid w:val="003020C2"/>
    <w:rsid w:val="00302142"/>
    <w:rsid w:val="00302169"/>
    <w:rsid w:val="00302612"/>
    <w:rsid w:val="0030268B"/>
    <w:rsid w:val="003028A4"/>
    <w:rsid w:val="00302F7D"/>
    <w:rsid w:val="0030305F"/>
    <w:rsid w:val="00303093"/>
    <w:rsid w:val="00303254"/>
    <w:rsid w:val="003032D8"/>
    <w:rsid w:val="003033FA"/>
    <w:rsid w:val="00303A0D"/>
    <w:rsid w:val="003044D9"/>
    <w:rsid w:val="003049D2"/>
    <w:rsid w:val="00304C15"/>
    <w:rsid w:val="00304D8A"/>
    <w:rsid w:val="00305216"/>
    <w:rsid w:val="0030555B"/>
    <w:rsid w:val="00305B7A"/>
    <w:rsid w:val="003061F5"/>
    <w:rsid w:val="0030628F"/>
    <w:rsid w:val="0030694D"/>
    <w:rsid w:val="00306A49"/>
    <w:rsid w:val="00306D27"/>
    <w:rsid w:val="00307117"/>
    <w:rsid w:val="0030722F"/>
    <w:rsid w:val="0030739C"/>
    <w:rsid w:val="0030766B"/>
    <w:rsid w:val="00307A2C"/>
    <w:rsid w:val="00310229"/>
    <w:rsid w:val="00310446"/>
    <w:rsid w:val="00310D51"/>
    <w:rsid w:val="003113C7"/>
    <w:rsid w:val="00311B36"/>
    <w:rsid w:val="00311C92"/>
    <w:rsid w:val="003126C1"/>
    <w:rsid w:val="00312BF9"/>
    <w:rsid w:val="00313321"/>
    <w:rsid w:val="003133AE"/>
    <w:rsid w:val="0031371B"/>
    <w:rsid w:val="00314156"/>
    <w:rsid w:val="00314CF8"/>
    <w:rsid w:val="00314FAF"/>
    <w:rsid w:val="0031535B"/>
    <w:rsid w:val="003154DD"/>
    <w:rsid w:val="00315FEA"/>
    <w:rsid w:val="00316EC4"/>
    <w:rsid w:val="00316F76"/>
    <w:rsid w:val="003170F4"/>
    <w:rsid w:val="0031738F"/>
    <w:rsid w:val="003176EA"/>
    <w:rsid w:val="00317974"/>
    <w:rsid w:val="0032035D"/>
    <w:rsid w:val="003205E9"/>
    <w:rsid w:val="0032067C"/>
    <w:rsid w:val="00320A73"/>
    <w:rsid w:val="00320B28"/>
    <w:rsid w:val="00320C31"/>
    <w:rsid w:val="00320CB9"/>
    <w:rsid w:val="0032123E"/>
    <w:rsid w:val="00321311"/>
    <w:rsid w:val="003216D5"/>
    <w:rsid w:val="003216FF"/>
    <w:rsid w:val="00321866"/>
    <w:rsid w:val="00321A83"/>
    <w:rsid w:val="00321C1A"/>
    <w:rsid w:val="00321C6C"/>
    <w:rsid w:val="00321F6B"/>
    <w:rsid w:val="00322179"/>
    <w:rsid w:val="00322389"/>
    <w:rsid w:val="003223CA"/>
    <w:rsid w:val="00322BE5"/>
    <w:rsid w:val="00322E87"/>
    <w:rsid w:val="003230DD"/>
    <w:rsid w:val="0032312D"/>
    <w:rsid w:val="00323466"/>
    <w:rsid w:val="003234ED"/>
    <w:rsid w:val="00323AA5"/>
    <w:rsid w:val="00323F73"/>
    <w:rsid w:val="00324249"/>
    <w:rsid w:val="003242E4"/>
    <w:rsid w:val="00324525"/>
    <w:rsid w:val="0032468D"/>
    <w:rsid w:val="00324926"/>
    <w:rsid w:val="00324986"/>
    <w:rsid w:val="00324B25"/>
    <w:rsid w:val="00325005"/>
    <w:rsid w:val="0032522F"/>
    <w:rsid w:val="003253C4"/>
    <w:rsid w:val="0032550F"/>
    <w:rsid w:val="00325992"/>
    <w:rsid w:val="00325B74"/>
    <w:rsid w:val="0032626F"/>
    <w:rsid w:val="0032638F"/>
    <w:rsid w:val="00326B59"/>
    <w:rsid w:val="00326BD4"/>
    <w:rsid w:val="00326E49"/>
    <w:rsid w:val="003272C6"/>
    <w:rsid w:val="00327752"/>
    <w:rsid w:val="00327C7C"/>
    <w:rsid w:val="00327CE3"/>
    <w:rsid w:val="00330009"/>
    <w:rsid w:val="003301E6"/>
    <w:rsid w:val="0033085E"/>
    <w:rsid w:val="00330FA2"/>
    <w:rsid w:val="003310AB"/>
    <w:rsid w:val="0033119E"/>
    <w:rsid w:val="003314D2"/>
    <w:rsid w:val="003315A9"/>
    <w:rsid w:val="00331712"/>
    <w:rsid w:val="00331A3F"/>
    <w:rsid w:val="00332191"/>
    <w:rsid w:val="003323DC"/>
    <w:rsid w:val="003325E0"/>
    <w:rsid w:val="00332720"/>
    <w:rsid w:val="00332EED"/>
    <w:rsid w:val="00332F1F"/>
    <w:rsid w:val="00332FB1"/>
    <w:rsid w:val="003333AB"/>
    <w:rsid w:val="003333AD"/>
    <w:rsid w:val="003334A7"/>
    <w:rsid w:val="003337E8"/>
    <w:rsid w:val="00333A14"/>
    <w:rsid w:val="00333B2A"/>
    <w:rsid w:val="00333FD5"/>
    <w:rsid w:val="003345B8"/>
    <w:rsid w:val="003350E9"/>
    <w:rsid w:val="003351BA"/>
    <w:rsid w:val="0033520F"/>
    <w:rsid w:val="003358A3"/>
    <w:rsid w:val="0033596B"/>
    <w:rsid w:val="00335A93"/>
    <w:rsid w:val="00336070"/>
    <w:rsid w:val="0033650E"/>
    <w:rsid w:val="00336907"/>
    <w:rsid w:val="003369DF"/>
    <w:rsid w:val="00336AD1"/>
    <w:rsid w:val="00336B95"/>
    <w:rsid w:val="00336C71"/>
    <w:rsid w:val="00336D96"/>
    <w:rsid w:val="00336DFC"/>
    <w:rsid w:val="00337230"/>
    <w:rsid w:val="003377D0"/>
    <w:rsid w:val="00337A3F"/>
    <w:rsid w:val="00337D75"/>
    <w:rsid w:val="00340020"/>
    <w:rsid w:val="003404E2"/>
    <w:rsid w:val="00340AFD"/>
    <w:rsid w:val="00341162"/>
    <w:rsid w:val="00341866"/>
    <w:rsid w:val="00341DAF"/>
    <w:rsid w:val="00341FCB"/>
    <w:rsid w:val="00342181"/>
    <w:rsid w:val="0034268A"/>
    <w:rsid w:val="0034288F"/>
    <w:rsid w:val="003428B4"/>
    <w:rsid w:val="00342B37"/>
    <w:rsid w:val="00343560"/>
    <w:rsid w:val="00343A20"/>
    <w:rsid w:val="0034402B"/>
    <w:rsid w:val="0034449E"/>
    <w:rsid w:val="0034472A"/>
    <w:rsid w:val="003447B2"/>
    <w:rsid w:val="00344D46"/>
    <w:rsid w:val="003451F0"/>
    <w:rsid w:val="003461CB"/>
    <w:rsid w:val="003465A5"/>
    <w:rsid w:val="00346817"/>
    <w:rsid w:val="003470A1"/>
    <w:rsid w:val="00347440"/>
    <w:rsid w:val="003475EA"/>
    <w:rsid w:val="00347A27"/>
    <w:rsid w:val="00347BC0"/>
    <w:rsid w:val="00347CD4"/>
    <w:rsid w:val="00347E2E"/>
    <w:rsid w:val="0035033D"/>
    <w:rsid w:val="00350375"/>
    <w:rsid w:val="00350A55"/>
    <w:rsid w:val="00350DF8"/>
    <w:rsid w:val="00351386"/>
    <w:rsid w:val="00351708"/>
    <w:rsid w:val="00351A8A"/>
    <w:rsid w:val="003522E8"/>
    <w:rsid w:val="0035266A"/>
    <w:rsid w:val="0035279C"/>
    <w:rsid w:val="00352E14"/>
    <w:rsid w:val="003535D2"/>
    <w:rsid w:val="0035384D"/>
    <w:rsid w:val="00353991"/>
    <w:rsid w:val="00353C0B"/>
    <w:rsid w:val="0035450D"/>
    <w:rsid w:val="0035460D"/>
    <w:rsid w:val="00354AE4"/>
    <w:rsid w:val="00354B0A"/>
    <w:rsid w:val="00355264"/>
    <w:rsid w:val="00355445"/>
    <w:rsid w:val="0035551B"/>
    <w:rsid w:val="003555ED"/>
    <w:rsid w:val="00355911"/>
    <w:rsid w:val="00355BFC"/>
    <w:rsid w:val="00355F90"/>
    <w:rsid w:val="0035608B"/>
    <w:rsid w:val="0035636B"/>
    <w:rsid w:val="00356433"/>
    <w:rsid w:val="00357424"/>
    <w:rsid w:val="00357B95"/>
    <w:rsid w:val="00357BE9"/>
    <w:rsid w:val="00357E83"/>
    <w:rsid w:val="00357F44"/>
    <w:rsid w:val="003601A2"/>
    <w:rsid w:val="003605DB"/>
    <w:rsid w:val="00360624"/>
    <w:rsid w:val="00361327"/>
    <w:rsid w:val="00361789"/>
    <w:rsid w:val="0036196D"/>
    <w:rsid w:val="00361A59"/>
    <w:rsid w:val="00362136"/>
    <w:rsid w:val="0036268A"/>
    <w:rsid w:val="003627BD"/>
    <w:rsid w:val="00362997"/>
    <w:rsid w:val="00362C59"/>
    <w:rsid w:val="00362F94"/>
    <w:rsid w:val="00363040"/>
    <w:rsid w:val="003630B7"/>
    <w:rsid w:val="003630EE"/>
    <w:rsid w:val="00363786"/>
    <w:rsid w:val="003638A4"/>
    <w:rsid w:val="003639BF"/>
    <w:rsid w:val="00363E41"/>
    <w:rsid w:val="00363FD2"/>
    <w:rsid w:val="00364091"/>
    <w:rsid w:val="003641F6"/>
    <w:rsid w:val="0036447A"/>
    <w:rsid w:val="0036560B"/>
    <w:rsid w:val="0036572E"/>
    <w:rsid w:val="00366005"/>
    <w:rsid w:val="00366168"/>
    <w:rsid w:val="003663D9"/>
    <w:rsid w:val="003666BF"/>
    <w:rsid w:val="00366707"/>
    <w:rsid w:val="003668D4"/>
    <w:rsid w:val="00366BC3"/>
    <w:rsid w:val="00366FA9"/>
    <w:rsid w:val="0036713F"/>
    <w:rsid w:val="00367B19"/>
    <w:rsid w:val="00367DE3"/>
    <w:rsid w:val="00367E49"/>
    <w:rsid w:val="003700E6"/>
    <w:rsid w:val="0037017C"/>
    <w:rsid w:val="00370490"/>
    <w:rsid w:val="00370633"/>
    <w:rsid w:val="00371C86"/>
    <w:rsid w:val="0037229E"/>
    <w:rsid w:val="003722CE"/>
    <w:rsid w:val="0037236C"/>
    <w:rsid w:val="003729DE"/>
    <w:rsid w:val="003735D3"/>
    <w:rsid w:val="0037386D"/>
    <w:rsid w:val="00373956"/>
    <w:rsid w:val="003739A4"/>
    <w:rsid w:val="00374153"/>
    <w:rsid w:val="00374671"/>
    <w:rsid w:val="003750E0"/>
    <w:rsid w:val="00375AF1"/>
    <w:rsid w:val="00375C2F"/>
    <w:rsid w:val="00375FC5"/>
    <w:rsid w:val="00376281"/>
    <w:rsid w:val="003762F8"/>
    <w:rsid w:val="00376599"/>
    <w:rsid w:val="00376943"/>
    <w:rsid w:val="003769BA"/>
    <w:rsid w:val="00377871"/>
    <w:rsid w:val="003778B2"/>
    <w:rsid w:val="00377D0E"/>
    <w:rsid w:val="00377E58"/>
    <w:rsid w:val="003804EE"/>
    <w:rsid w:val="003805E3"/>
    <w:rsid w:val="00380618"/>
    <w:rsid w:val="0038062E"/>
    <w:rsid w:val="003806D7"/>
    <w:rsid w:val="00380757"/>
    <w:rsid w:val="003807F7"/>
    <w:rsid w:val="00380F88"/>
    <w:rsid w:val="00381610"/>
    <w:rsid w:val="00382106"/>
    <w:rsid w:val="00382657"/>
    <w:rsid w:val="00382708"/>
    <w:rsid w:val="00382ADF"/>
    <w:rsid w:val="00382B82"/>
    <w:rsid w:val="00383050"/>
    <w:rsid w:val="00383399"/>
    <w:rsid w:val="003834CE"/>
    <w:rsid w:val="00383FFA"/>
    <w:rsid w:val="003844BF"/>
    <w:rsid w:val="00384E30"/>
    <w:rsid w:val="00384F87"/>
    <w:rsid w:val="003850F9"/>
    <w:rsid w:val="0038518F"/>
    <w:rsid w:val="003854D5"/>
    <w:rsid w:val="0038552A"/>
    <w:rsid w:val="003856F1"/>
    <w:rsid w:val="003859EA"/>
    <w:rsid w:val="003862DC"/>
    <w:rsid w:val="00386649"/>
    <w:rsid w:val="0038709E"/>
    <w:rsid w:val="00387965"/>
    <w:rsid w:val="00387D30"/>
    <w:rsid w:val="00390B1E"/>
    <w:rsid w:val="00391753"/>
    <w:rsid w:val="00391C7F"/>
    <w:rsid w:val="00391EC3"/>
    <w:rsid w:val="00392454"/>
    <w:rsid w:val="00392C85"/>
    <w:rsid w:val="00392D29"/>
    <w:rsid w:val="00392FD8"/>
    <w:rsid w:val="0039390C"/>
    <w:rsid w:val="00393E11"/>
    <w:rsid w:val="00394475"/>
    <w:rsid w:val="00394AE6"/>
    <w:rsid w:val="00394C70"/>
    <w:rsid w:val="00394FCC"/>
    <w:rsid w:val="0039517A"/>
    <w:rsid w:val="003958B9"/>
    <w:rsid w:val="00395B51"/>
    <w:rsid w:val="0039624D"/>
    <w:rsid w:val="003964DD"/>
    <w:rsid w:val="00396796"/>
    <w:rsid w:val="00396EC6"/>
    <w:rsid w:val="003970BA"/>
    <w:rsid w:val="0039746C"/>
    <w:rsid w:val="003978CA"/>
    <w:rsid w:val="00397DC6"/>
    <w:rsid w:val="003A0E82"/>
    <w:rsid w:val="003A0F54"/>
    <w:rsid w:val="003A0FAC"/>
    <w:rsid w:val="003A1584"/>
    <w:rsid w:val="003A184D"/>
    <w:rsid w:val="003A1959"/>
    <w:rsid w:val="003A1F3A"/>
    <w:rsid w:val="003A1F68"/>
    <w:rsid w:val="003A1FB7"/>
    <w:rsid w:val="003A228C"/>
    <w:rsid w:val="003A2EDC"/>
    <w:rsid w:val="003A371E"/>
    <w:rsid w:val="003A3794"/>
    <w:rsid w:val="003A3957"/>
    <w:rsid w:val="003A3A9D"/>
    <w:rsid w:val="003A41DC"/>
    <w:rsid w:val="003A4316"/>
    <w:rsid w:val="003A4530"/>
    <w:rsid w:val="003A45C2"/>
    <w:rsid w:val="003A462A"/>
    <w:rsid w:val="003A47D9"/>
    <w:rsid w:val="003A580B"/>
    <w:rsid w:val="003A595F"/>
    <w:rsid w:val="003A5AA4"/>
    <w:rsid w:val="003A5EEC"/>
    <w:rsid w:val="003A693E"/>
    <w:rsid w:val="003A6B7A"/>
    <w:rsid w:val="003A721D"/>
    <w:rsid w:val="003A79AE"/>
    <w:rsid w:val="003A7CA3"/>
    <w:rsid w:val="003B00B6"/>
    <w:rsid w:val="003B01C4"/>
    <w:rsid w:val="003B09D5"/>
    <w:rsid w:val="003B0BB0"/>
    <w:rsid w:val="003B0E8E"/>
    <w:rsid w:val="003B0EA8"/>
    <w:rsid w:val="003B11EE"/>
    <w:rsid w:val="003B15F8"/>
    <w:rsid w:val="003B1B18"/>
    <w:rsid w:val="003B1B60"/>
    <w:rsid w:val="003B1D0E"/>
    <w:rsid w:val="003B20F5"/>
    <w:rsid w:val="003B230B"/>
    <w:rsid w:val="003B23BC"/>
    <w:rsid w:val="003B28BA"/>
    <w:rsid w:val="003B28F6"/>
    <w:rsid w:val="003B2DB5"/>
    <w:rsid w:val="003B2F05"/>
    <w:rsid w:val="003B3331"/>
    <w:rsid w:val="003B354B"/>
    <w:rsid w:val="003B3966"/>
    <w:rsid w:val="003B39B7"/>
    <w:rsid w:val="003B4754"/>
    <w:rsid w:val="003B4C10"/>
    <w:rsid w:val="003B4C78"/>
    <w:rsid w:val="003B4D0E"/>
    <w:rsid w:val="003B4EB0"/>
    <w:rsid w:val="003B5094"/>
    <w:rsid w:val="003B51F2"/>
    <w:rsid w:val="003B5F6A"/>
    <w:rsid w:val="003B6B7F"/>
    <w:rsid w:val="003B6BFA"/>
    <w:rsid w:val="003B6C4B"/>
    <w:rsid w:val="003B6E93"/>
    <w:rsid w:val="003B75DB"/>
    <w:rsid w:val="003B7820"/>
    <w:rsid w:val="003C01A4"/>
    <w:rsid w:val="003C0219"/>
    <w:rsid w:val="003C0C12"/>
    <w:rsid w:val="003C14D1"/>
    <w:rsid w:val="003C16EE"/>
    <w:rsid w:val="003C1B38"/>
    <w:rsid w:val="003C1C87"/>
    <w:rsid w:val="003C21DF"/>
    <w:rsid w:val="003C21EA"/>
    <w:rsid w:val="003C26B6"/>
    <w:rsid w:val="003C2C85"/>
    <w:rsid w:val="003C2F61"/>
    <w:rsid w:val="003C324E"/>
    <w:rsid w:val="003C345E"/>
    <w:rsid w:val="003C3DD8"/>
    <w:rsid w:val="003C4409"/>
    <w:rsid w:val="003C4725"/>
    <w:rsid w:val="003C4997"/>
    <w:rsid w:val="003C4B0B"/>
    <w:rsid w:val="003C4DA5"/>
    <w:rsid w:val="003C502A"/>
    <w:rsid w:val="003C55EF"/>
    <w:rsid w:val="003C5666"/>
    <w:rsid w:val="003C60CC"/>
    <w:rsid w:val="003C63DB"/>
    <w:rsid w:val="003C64F4"/>
    <w:rsid w:val="003C6D4E"/>
    <w:rsid w:val="003C6FD1"/>
    <w:rsid w:val="003C724B"/>
    <w:rsid w:val="003C73DB"/>
    <w:rsid w:val="003D0185"/>
    <w:rsid w:val="003D02CB"/>
    <w:rsid w:val="003D0382"/>
    <w:rsid w:val="003D069C"/>
    <w:rsid w:val="003D0FA0"/>
    <w:rsid w:val="003D1315"/>
    <w:rsid w:val="003D18F6"/>
    <w:rsid w:val="003D191E"/>
    <w:rsid w:val="003D1A19"/>
    <w:rsid w:val="003D1A40"/>
    <w:rsid w:val="003D1DD4"/>
    <w:rsid w:val="003D2027"/>
    <w:rsid w:val="003D2253"/>
    <w:rsid w:val="003D22A5"/>
    <w:rsid w:val="003D23A4"/>
    <w:rsid w:val="003D2592"/>
    <w:rsid w:val="003D29A3"/>
    <w:rsid w:val="003D3414"/>
    <w:rsid w:val="003D3426"/>
    <w:rsid w:val="003D358F"/>
    <w:rsid w:val="003D3654"/>
    <w:rsid w:val="003D3721"/>
    <w:rsid w:val="003D413A"/>
    <w:rsid w:val="003D42B5"/>
    <w:rsid w:val="003D454F"/>
    <w:rsid w:val="003D4A86"/>
    <w:rsid w:val="003D4A9F"/>
    <w:rsid w:val="003D4B23"/>
    <w:rsid w:val="003D4C5D"/>
    <w:rsid w:val="003D5B38"/>
    <w:rsid w:val="003D5BB5"/>
    <w:rsid w:val="003D5C14"/>
    <w:rsid w:val="003D6287"/>
    <w:rsid w:val="003D643B"/>
    <w:rsid w:val="003D646D"/>
    <w:rsid w:val="003D654B"/>
    <w:rsid w:val="003D6722"/>
    <w:rsid w:val="003D7428"/>
    <w:rsid w:val="003D77F2"/>
    <w:rsid w:val="003D78CC"/>
    <w:rsid w:val="003D7D01"/>
    <w:rsid w:val="003D7D25"/>
    <w:rsid w:val="003D7ED8"/>
    <w:rsid w:val="003E0003"/>
    <w:rsid w:val="003E0099"/>
    <w:rsid w:val="003E0237"/>
    <w:rsid w:val="003E08C7"/>
    <w:rsid w:val="003E0A37"/>
    <w:rsid w:val="003E1180"/>
    <w:rsid w:val="003E1427"/>
    <w:rsid w:val="003E1A72"/>
    <w:rsid w:val="003E1C35"/>
    <w:rsid w:val="003E1CF0"/>
    <w:rsid w:val="003E2582"/>
    <w:rsid w:val="003E2880"/>
    <w:rsid w:val="003E28FB"/>
    <w:rsid w:val="003E2A00"/>
    <w:rsid w:val="003E2C34"/>
    <w:rsid w:val="003E2CCD"/>
    <w:rsid w:val="003E2E2B"/>
    <w:rsid w:val="003E382C"/>
    <w:rsid w:val="003E3C08"/>
    <w:rsid w:val="003E3D00"/>
    <w:rsid w:val="003E4531"/>
    <w:rsid w:val="003E4771"/>
    <w:rsid w:val="003E4BBD"/>
    <w:rsid w:val="003E4D4C"/>
    <w:rsid w:val="003E54A8"/>
    <w:rsid w:val="003E5833"/>
    <w:rsid w:val="003E5A41"/>
    <w:rsid w:val="003E5DA8"/>
    <w:rsid w:val="003E60EC"/>
    <w:rsid w:val="003E6149"/>
    <w:rsid w:val="003E7109"/>
    <w:rsid w:val="003E74D7"/>
    <w:rsid w:val="003E77DC"/>
    <w:rsid w:val="003E7BC1"/>
    <w:rsid w:val="003F0045"/>
    <w:rsid w:val="003F0453"/>
    <w:rsid w:val="003F0C9F"/>
    <w:rsid w:val="003F144A"/>
    <w:rsid w:val="003F15D8"/>
    <w:rsid w:val="003F18FB"/>
    <w:rsid w:val="003F1B02"/>
    <w:rsid w:val="003F1EFE"/>
    <w:rsid w:val="003F2240"/>
    <w:rsid w:val="003F2460"/>
    <w:rsid w:val="003F2E7B"/>
    <w:rsid w:val="003F3172"/>
    <w:rsid w:val="003F3467"/>
    <w:rsid w:val="003F392E"/>
    <w:rsid w:val="003F39C5"/>
    <w:rsid w:val="003F3CD5"/>
    <w:rsid w:val="003F3D16"/>
    <w:rsid w:val="003F4033"/>
    <w:rsid w:val="003F4473"/>
    <w:rsid w:val="003F449F"/>
    <w:rsid w:val="003F4953"/>
    <w:rsid w:val="003F4B02"/>
    <w:rsid w:val="003F4CF5"/>
    <w:rsid w:val="003F4E31"/>
    <w:rsid w:val="003F51EE"/>
    <w:rsid w:val="003F5248"/>
    <w:rsid w:val="003F574E"/>
    <w:rsid w:val="003F60D6"/>
    <w:rsid w:val="003F6428"/>
    <w:rsid w:val="003F68E9"/>
    <w:rsid w:val="003F728C"/>
    <w:rsid w:val="003F77C5"/>
    <w:rsid w:val="003F7E15"/>
    <w:rsid w:val="003F7FDA"/>
    <w:rsid w:val="004000F4"/>
    <w:rsid w:val="00400E65"/>
    <w:rsid w:val="00401282"/>
    <w:rsid w:val="00401296"/>
    <w:rsid w:val="004013AD"/>
    <w:rsid w:val="00401E20"/>
    <w:rsid w:val="004021C0"/>
    <w:rsid w:val="004024F9"/>
    <w:rsid w:val="004028CE"/>
    <w:rsid w:val="00402A12"/>
    <w:rsid w:val="00402F22"/>
    <w:rsid w:val="0040313D"/>
    <w:rsid w:val="0040360E"/>
    <w:rsid w:val="00403CBD"/>
    <w:rsid w:val="004043FA"/>
    <w:rsid w:val="0040480F"/>
    <w:rsid w:val="00404970"/>
    <w:rsid w:val="00405181"/>
    <w:rsid w:val="0040567F"/>
    <w:rsid w:val="00405873"/>
    <w:rsid w:val="00405969"/>
    <w:rsid w:val="00405F09"/>
    <w:rsid w:val="00405F3A"/>
    <w:rsid w:val="004066F4"/>
    <w:rsid w:val="00406A32"/>
    <w:rsid w:val="0040760B"/>
    <w:rsid w:val="00410117"/>
    <w:rsid w:val="00410C32"/>
    <w:rsid w:val="00411237"/>
    <w:rsid w:val="00411557"/>
    <w:rsid w:val="00411994"/>
    <w:rsid w:val="00411D03"/>
    <w:rsid w:val="00411D74"/>
    <w:rsid w:val="00411D8F"/>
    <w:rsid w:val="00411DDE"/>
    <w:rsid w:val="00411F84"/>
    <w:rsid w:val="00412069"/>
    <w:rsid w:val="004121A1"/>
    <w:rsid w:val="004122D1"/>
    <w:rsid w:val="00412477"/>
    <w:rsid w:val="00412570"/>
    <w:rsid w:val="004125B0"/>
    <w:rsid w:val="004127A2"/>
    <w:rsid w:val="0041280A"/>
    <w:rsid w:val="00412A9D"/>
    <w:rsid w:val="00412CB1"/>
    <w:rsid w:val="00412EF3"/>
    <w:rsid w:val="004133A5"/>
    <w:rsid w:val="004134A6"/>
    <w:rsid w:val="00413D45"/>
    <w:rsid w:val="00414197"/>
    <w:rsid w:val="004144D7"/>
    <w:rsid w:val="00414BB4"/>
    <w:rsid w:val="00414D68"/>
    <w:rsid w:val="00414FD9"/>
    <w:rsid w:val="00415773"/>
    <w:rsid w:val="00415CAE"/>
    <w:rsid w:val="00415EE7"/>
    <w:rsid w:val="004160FA"/>
    <w:rsid w:val="0041626B"/>
    <w:rsid w:val="0041669E"/>
    <w:rsid w:val="00416ACA"/>
    <w:rsid w:val="00416C56"/>
    <w:rsid w:val="00416D7F"/>
    <w:rsid w:val="00416F06"/>
    <w:rsid w:val="0041709D"/>
    <w:rsid w:val="00417294"/>
    <w:rsid w:val="004176B8"/>
    <w:rsid w:val="00417B99"/>
    <w:rsid w:val="00417CE0"/>
    <w:rsid w:val="00417E0E"/>
    <w:rsid w:val="004209D5"/>
    <w:rsid w:val="00420C2D"/>
    <w:rsid w:val="00420FAF"/>
    <w:rsid w:val="00421184"/>
    <w:rsid w:val="004212C1"/>
    <w:rsid w:val="004214B7"/>
    <w:rsid w:val="00421510"/>
    <w:rsid w:val="00421B04"/>
    <w:rsid w:val="00421C84"/>
    <w:rsid w:val="00421FB5"/>
    <w:rsid w:val="00422115"/>
    <w:rsid w:val="004226ED"/>
    <w:rsid w:val="00422AF4"/>
    <w:rsid w:val="004235F4"/>
    <w:rsid w:val="004236C9"/>
    <w:rsid w:val="00423CF3"/>
    <w:rsid w:val="00423E18"/>
    <w:rsid w:val="00423F4D"/>
    <w:rsid w:val="004245E4"/>
    <w:rsid w:val="00424B7C"/>
    <w:rsid w:val="0042500C"/>
    <w:rsid w:val="00425514"/>
    <w:rsid w:val="004256BD"/>
    <w:rsid w:val="00425863"/>
    <w:rsid w:val="00425B05"/>
    <w:rsid w:val="00425D02"/>
    <w:rsid w:val="00425EDC"/>
    <w:rsid w:val="00426C3E"/>
    <w:rsid w:val="00426F98"/>
    <w:rsid w:val="004275CD"/>
    <w:rsid w:val="00427E74"/>
    <w:rsid w:val="00427FEB"/>
    <w:rsid w:val="00427FF2"/>
    <w:rsid w:val="004305C0"/>
    <w:rsid w:val="00430ADA"/>
    <w:rsid w:val="00430B20"/>
    <w:rsid w:val="00430B6C"/>
    <w:rsid w:val="00431DE0"/>
    <w:rsid w:val="00431F6F"/>
    <w:rsid w:val="0043227C"/>
    <w:rsid w:val="00433580"/>
    <w:rsid w:val="004335C0"/>
    <w:rsid w:val="00434193"/>
    <w:rsid w:val="004345E1"/>
    <w:rsid w:val="00434A64"/>
    <w:rsid w:val="00435121"/>
    <w:rsid w:val="00435715"/>
    <w:rsid w:val="0043571B"/>
    <w:rsid w:val="00435EE0"/>
    <w:rsid w:val="00435F29"/>
    <w:rsid w:val="0043610C"/>
    <w:rsid w:val="0043637A"/>
    <w:rsid w:val="004366FF"/>
    <w:rsid w:val="004375A9"/>
    <w:rsid w:val="00437D83"/>
    <w:rsid w:val="0044014D"/>
    <w:rsid w:val="004401DD"/>
    <w:rsid w:val="00440344"/>
    <w:rsid w:val="00441264"/>
    <w:rsid w:val="00441B0F"/>
    <w:rsid w:val="0044208D"/>
    <w:rsid w:val="004425C6"/>
    <w:rsid w:val="0044275F"/>
    <w:rsid w:val="00442A34"/>
    <w:rsid w:val="0044393A"/>
    <w:rsid w:val="00443D5D"/>
    <w:rsid w:val="00444086"/>
    <w:rsid w:val="00444351"/>
    <w:rsid w:val="004458E6"/>
    <w:rsid w:val="00445CBA"/>
    <w:rsid w:val="00445E81"/>
    <w:rsid w:val="004463CB"/>
    <w:rsid w:val="00446458"/>
    <w:rsid w:val="004466F7"/>
    <w:rsid w:val="00446858"/>
    <w:rsid w:val="00446878"/>
    <w:rsid w:val="00446BF6"/>
    <w:rsid w:val="00446C99"/>
    <w:rsid w:val="0044707B"/>
    <w:rsid w:val="00447304"/>
    <w:rsid w:val="004476F6"/>
    <w:rsid w:val="00447CDD"/>
    <w:rsid w:val="00447D6D"/>
    <w:rsid w:val="00450127"/>
    <w:rsid w:val="0045075F"/>
    <w:rsid w:val="004511DC"/>
    <w:rsid w:val="0045138C"/>
    <w:rsid w:val="0045147F"/>
    <w:rsid w:val="004516AD"/>
    <w:rsid w:val="004518A5"/>
    <w:rsid w:val="00451E84"/>
    <w:rsid w:val="00451EA3"/>
    <w:rsid w:val="00451F01"/>
    <w:rsid w:val="00451F12"/>
    <w:rsid w:val="00452335"/>
    <w:rsid w:val="004524F6"/>
    <w:rsid w:val="00454145"/>
    <w:rsid w:val="00454660"/>
    <w:rsid w:val="004546A7"/>
    <w:rsid w:val="00454831"/>
    <w:rsid w:val="004548DF"/>
    <w:rsid w:val="0045578E"/>
    <w:rsid w:val="00455C3A"/>
    <w:rsid w:val="00456CC0"/>
    <w:rsid w:val="00457933"/>
    <w:rsid w:val="00457C78"/>
    <w:rsid w:val="00460735"/>
    <w:rsid w:val="00460AD5"/>
    <w:rsid w:val="00460EB8"/>
    <w:rsid w:val="00461090"/>
    <w:rsid w:val="004611A7"/>
    <w:rsid w:val="00461991"/>
    <w:rsid w:val="00461ACB"/>
    <w:rsid w:val="00461C43"/>
    <w:rsid w:val="00462125"/>
    <w:rsid w:val="0046223B"/>
    <w:rsid w:val="00462C64"/>
    <w:rsid w:val="00462EE5"/>
    <w:rsid w:val="00463216"/>
    <w:rsid w:val="0046334D"/>
    <w:rsid w:val="00463911"/>
    <w:rsid w:val="00463976"/>
    <w:rsid w:val="00463C95"/>
    <w:rsid w:val="00463E1C"/>
    <w:rsid w:val="00464052"/>
    <w:rsid w:val="00464236"/>
    <w:rsid w:val="00464542"/>
    <w:rsid w:val="00465153"/>
    <w:rsid w:val="00465602"/>
    <w:rsid w:val="004656A4"/>
    <w:rsid w:val="004656B4"/>
    <w:rsid w:val="0046599C"/>
    <w:rsid w:val="00465B4E"/>
    <w:rsid w:val="00465F01"/>
    <w:rsid w:val="00466224"/>
    <w:rsid w:val="00466A4A"/>
    <w:rsid w:val="00466AFD"/>
    <w:rsid w:val="00466BA2"/>
    <w:rsid w:val="00467497"/>
    <w:rsid w:val="004700C5"/>
    <w:rsid w:val="00470696"/>
    <w:rsid w:val="00470EB5"/>
    <w:rsid w:val="004713A5"/>
    <w:rsid w:val="00471415"/>
    <w:rsid w:val="004718E1"/>
    <w:rsid w:val="00471FEC"/>
    <w:rsid w:val="00472177"/>
    <w:rsid w:val="00472234"/>
    <w:rsid w:val="004724C9"/>
    <w:rsid w:val="00472585"/>
    <w:rsid w:val="0047278F"/>
    <w:rsid w:val="00472C4E"/>
    <w:rsid w:val="004735F6"/>
    <w:rsid w:val="00474130"/>
    <w:rsid w:val="0047486A"/>
    <w:rsid w:val="00474A79"/>
    <w:rsid w:val="00474EDD"/>
    <w:rsid w:val="0047510C"/>
    <w:rsid w:val="004758F7"/>
    <w:rsid w:val="00475A6C"/>
    <w:rsid w:val="004764AF"/>
    <w:rsid w:val="00476D04"/>
    <w:rsid w:val="00476F58"/>
    <w:rsid w:val="00476F7F"/>
    <w:rsid w:val="0047775E"/>
    <w:rsid w:val="00477917"/>
    <w:rsid w:val="00477AAE"/>
    <w:rsid w:val="00477AF6"/>
    <w:rsid w:val="00477B3B"/>
    <w:rsid w:val="00477BCB"/>
    <w:rsid w:val="004801A7"/>
    <w:rsid w:val="00480E47"/>
    <w:rsid w:val="0048145D"/>
    <w:rsid w:val="00481562"/>
    <w:rsid w:val="00481666"/>
    <w:rsid w:val="0048181B"/>
    <w:rsid w:val="00481AFA"/>
    <w:rsid w:val="00481B2B"/>
    <w:rsid w:val="00481F2B"/>
    <w:rsid w:val="004820C5"/>
    <w:rsid w:val="00482198"/>
    <w:rsid w:val="004823D8"/>
    <w:rsid w:val="00482F20"/>
    <w:rsid w:val="00483196"/>
    <w:rsid w:val="0048340F"/>
    <w:rsid w:val="004839B4"/>
    <w:rsid w:val="00483A2B"/>
    <w:rsid w:val="0048423C"/>
    <w:rsid w:val="00484449"/>
    <w:rsid w:val="004852CE"/>
    <w:rsid w:val="0048540C"/>
    <w:rsid w:val="00485B5F"/>
    <w:rsid w:val="00485F92"/>
    <w:rsid w:val="004860BD"/>
    <w:rsid w:val="0048660A"/>
    <w:rsid w:val="004866E1"/>
    <w:rsid w:val="004867B2"/>
    <w:rsid w:val="00486BAF"/>
    <w:rsid w:val="00486C72"/>
    <w:rsid w:val="00487AC8"/>
    <w:rsid w:val="00487D3A"/>
    <w:rsid w:val="0049017A"/>
    <w:rsid w:val="00490954"/>
    <w:rsid w:val="0049102F"/>
    <w:rsid w:val="00491602"/>
    <w:rsid w:val="0049277A"/>
    <w:rsid w:val="00492B38"/>
    <w:rsid w:val="00492FE4"/>
    <w:rsid w:val="00493035"/>
    <w:rsid w:val="004930F5"/>
    <w:rsid w:val="00493321"/>
    <w:rsid w:val="004936DE"/>
    <w:rsid w:val="004949B0"/>
    <w:rsid w:val="0049521C"/>
    <w:rsid w:val="0049544E"/>
    <w:rsid w:val="00495492"/>
    <w:rsid w:val="00495670"/>
    <w:rsid w:val="0049567B"/>
    <w:rsid w:val="0049604B"/>
    <w:rsid w:val="00496666"/>
    <w:rsid w:val="00496AC9"/>
    <w:rsid w:val="00497A8E"/>
    <w:rsid w:val="00497A9D"/>
    <w:rsid w:val="00497C60"/>
    <w:rsid w:val="004A040E"/>
    <w:rsid w:val="004A042D"/>
    <w:rsid w:val="004A11E0"/>
    <w:rsid w:val="004A1953"/>
    <w:rsid w:val="004A1FC5"/>
    <w:rsid w:val="004A2158"/>
    <w:rsid w:val="004A29A5"/>
    <w:rsid w:val="004A2C0D"/>
    <w:rsid w:val="004A3225"/>
    <w:rsid w:val="004A374A"/>
    <w:rsid w:val="004A395B"/>
    <w:rsid w:val="004A3C59"/>
    <w:rsid w:val="004A3FB9"/>
    <w:rsid w:val="004A3FE2"/>
    <w:rsid w:val="004A4195"/>
    <w:rsid w:val="004A480D"/>
    <w:rsid w:val="004A4D76"/>
    <w:rsid w:val="004A5851"/>
    <w:rsid w:val="004A5A91"/>
    <w:rsid w:val="004A5B0F"/>
    <w:rsid w:val="004A5CF1"/>
    <w:rsid w:val="004A66E0"/>
    <w:rsid w:val="004A7AAE"/>
    <w:rsid w:val="004A7B6D"/>
    <w:rsid w:val="004A7D49"/>
    <w:rsid w:val="004A7E52"/>
    <w:rsid w:val="004A7F21"/>
    <w:rsid w:val="004B056F"/>
    <w:rsid w:val="004B07C6"/>
    <w:rsid w:val="004B08DB"/>
    <w:rsid w:val="004B0A3A"/>
    <w:rsid w:val="004B13BB"/>
    <w:rsid w:val="004B1422"/>
    <w:rsid w:val="004B1DF2"/>
    <w:rsid w:val="004B24EB"/>
    <w:rsid w:val="004B29AC"/>
    <w:rsid w:val="004B2BB2"/>
    <w:rsid w:val="004B2C4E"/>
    <w:rsid w:val="004B2E75"/>
    <w:rsid w:val="004B3C8B"/>
    <w:rsid w:val="004B44A9"/>
    <w:rsid w:val="004B4509"/>
    <w:rsid w:val="004B452A"/>
    <w:rsid w:val="004B4871"/>
    <w:rsid w:val="004B4ADF"/>
    <w:rsid w:val="004B4C00"/>
    <w:rsid w:val="004B4E06"/>
    <w:rsid w:val="004B5493"/>
    <w:rsid w:val="004B5914"/>
    <w:rsid w:val="004B5A08"/>
    <w:rsid w:val="004B60C0"/>
    <w:rsid w:val="004B60F3"/>
    <w:rsid w:val="004B6585"/>
    <w:rsid w:val="004B6C77"/>
    <w:rsid w:val="004B6CD8"/>
    <w:rsid w:val="004B6D0A"/>
    <w:rsid w:val="004B6DA4"/>
    <w:rsid w:val="004B794C"/>
    <w:rsid w:val="004B7995"/>
    <w:rsid w:val="004C02B3"/>
    <w:rsid w:val="004C098E"/>
    <w:rsid w:val="004C0BBE"/>
    <w:rsid w:val="004C0E2F"/>
    <w:rsid w:val="004C1705"/>
    <w:rsid w:val="004C222E"/>
    <w:rsid w:val="004C2246"/>
    <w:rsid w:val="004C23D4"/>
    <w:rsid w:val="004C2561"/>
    <w:rsid w:val="004C25B4"/>
    <w:rsid w:val="004C2806"/>
    <w:rsid w:val="004C29BD"/>
    <w:rsid w:val="004C3120"/>
    <w:rsid w:val="004C3A7A"/>
    <w:rsid w:val="004C3ADD"/>
    <w:rsid w:val="004C3C00"/>
    <w:rsid w:val="004C4104"/>
    <w:rsid w:val="004C428E"/>
    <w:rsid w:val="004C441A"/>
    <w:rsid w:val="004C4775"/>
    <w:rsid w:val="004C483D"/>
    <w:rsid w:val="004C48A9"/>
    <w:rsid w:val="004C4D05"/>
    <w:rsid w:val="004C590B"/>
    <w:rsid w:val="004C5BF4"/>
    <w:rsid w:val="004C5E9D"/>
    <w:rsid w:val="004C6017"/>
    <w:rsid w:val="004C62DE"/>
    <w:rsid w:val="004C6367"/>
    <w:rsid w:val="004C63C7"/>
    <w:rsid w:val="004C6860"/>
    <w:rsid w:val="004C6D39"/>
    <w:rsid w:val="004C6D98"/>
    <w:rsid w:val="004C7217"/>
    <w:rsid w:val="004C7743"/>
    <w:rsid w:val="004C77A7"/>
    <w:rsid w:val="004C7B38"/>
    <w:rsid w:val="004D039E"/>
    <w:rsid w:val="004D04A3"/>
    <w:rsid w:val="004D0B93"/>
    <w:rsid w:val="004D0C9F"/>
    <w:rsid w:val="004D0E9D"/>
    <w:rsid w:val="004D14B6"/>
    <w:rsid w:val="004D15FD"/>
    <w:rsid w:val="004D1A0A"/>
    <w:rsid w:val="004D2369"/>
    <w:rsid w:val="004D2485"/>
    <w:rsid w:val="004D27A8"/>
    <w:rsid w:val="004D2CFC"/>
    <w:rsid w:val="004D316D"/>
    <w:rsid w:val="004D36BA"/>
    <w:rsid w:val="004D3A57"/>
    <w:rsid w:val="004D3CFD"/>
    <w:rsid w:val="004D47FF"/>
    <w:rsid w:val="004D4D35"/>
    <w:rsid w:val="004D4E8D"/>
    <w:rsid w:val="004D518F"/>
    <w:rsid w:val="004D5394"/>
    <w:rsid w:val="004D54D7"/>
    <w:rsid w:val="004D5BB7"/>
    <w:rsid w:val="004D6053"/>
    <w:rsid w:val="004D6CF6"/>
    <w:rsid w:val="004D6FA4"/>
    <w:rsid w:val="004D715A"/>
    <w:rsid w:val="004D753A"/>
    <w:rsid w:val="004D7C23"/>
    <w:rsid w:val="004E01C6"/>
    <w:rsid w:val="004E0212"/>
    <w:rsid w:val="004E042E"/>
    <w:rsid w:val="004E0ADC"/>
    <w:rsid w:val="004E0FB1"/>
    <w:rsid w:val="004E1043"/>
    <w:rsid w:val="004E19DB"/>
    <w:rsid w:val="004E1DCA"/>
    <w:rsid w:val="004E1EEC"/>
    <w:rsid w:val="004E202D"/>
    <w:rsid w:val="004E21A9"/>
    <w:rsid w:val="004E21B4"/>
    <w:rsid w:val="004E252B"/>
    <w:rsid w:val="004E2861"/>
    <w:rsid w:val="004E2A85"/>
    <w:rsid w:val="004E3016"/>
    <w:rsid w:val="004E3C42"/>
    <w:rsid w:val="004E3F72"/>
    <w:rsid w:val="004E47D5"/>
    <w:rsid w:val="004E4A5C"/>
    <w:rsid w:val="004E4A78"/>
    <w:rsid w:val="004E551E"/>
    <w:rsid w:val="004E584D"/>
    <w:rsid w:val="004E58F6"/>
    <w:rsid w:val="004E5E37"/>
    <w:rsid w:val="004E5E4C"/>
    <w:rsid w:val="004E5F79"/>
    <w:rsid w:val="004E623E"/>
    <w:rsid w:val="004E6587"/>
    <w:rsid w:val="004E6589"/>
    <w:rsid w:val="004E6608"/>
    <w:rsid w:val="004E6A1D"/>
    <w:rsid w:val="004E6C10"/>
    <w:rsid w:val="004E6C25"/>
    <w:rsid w:val="004E6CF9"/>
    <w:rsid w:val="004E6F3C"/>
    <w:rsid w:val="004E7152"/>
    <w:rsid w:val="004E734E"/>
    <w:rsid w:val="004E7EC0"/>
    <w:rsid w:val="004E7F48"/>
    <w:rsid w:val="004F014E"/>
    <w:rsid w:val="004F023B"/>
    <w:rsid w:val="004F0BC6"/>
    <w:rsid w:val="004F1123"/>
    <w:rsid w:val="004F12F0"/>
    <w:rsid w:val="004F1715"/>
    <w:rsid w:val="004F17DA"/>
    <w:rsid w:val="004F1C82"/>
    <w:rsid w:val="004F1D81"/>
    <w:rsid w:val="004F2CC2"/>
    <w:rsid w:val="004F355B"/>
    <w:rsid w:val="004F3BD2"/>
    <w:rsid w:val="004F3CBF"/>
    <w:rsid w:val="004F4372"/>
    <w:rsid w:val="004F43E0"/>
    <w:rsid w:val="004F45EB"/>
    <w:rsid w:val="004F5079"/>
    <w:rsid w:val="004F521B"/>
    <w:rsid w:val="004F52BB"/>
    <w:rsid w:val="004F5582"/>
    <w:rsid w:val="004F59B8"/>
    <w:rsid w:val="004F62A7"/>
    <w:rsid w:val="004F62F9"/>
    <w:rsid w:val="004F66B3"/>
    <w:rsid w:val="004F6F24"/>
    <w:rsid w:val="004F6FA7"/>
    <w:rsid w:val="004F7070"/>
    <w:rsid w:val="004F71FB"/>
    <w:rsid w:val="004F7352"/>
    <w:rsid w:val="004F7889"/>
    <w:rsid w:val="00500148"/>
    <w:rsid w:val="0050015C"/>
    <w:rsid w:val="00500418"/>
    <w:rsid w:val="00500CCF"/>
    <w:rsid w:val="00500E62"/>
    <w:rsid w:val="005010DE"/>
    <w:rsid w:val="005011FD"/>
    <w:rsid w:val="0050164B"/>
    <w:rsid w:val="00501665"/>
    <w:rsid w:val="00501A86"/>
    <w:rsid w:val="00501AA5"/>
    <w:rsid w:val="00502958"/>
    <w:rsid w:val="00502BD2"/>
    <w:rsid w:val="00502DA4"/>
    <w:rsid w:val="00503319"/>
    <w:rsid w:val="00503CFF"/>
    <w:rsid w:val="00503F83"/>
    <w:rsid w:val="00503FCC"/>
    <w:rsid w:val="005040BB"/>
    <w:rsid w:val="0050421C"/>
    <w:rsid w:val="00504A9B"/>
    <w:rsid w:val="00504E9A"/>
    <w:rsid w:val="00504F83"/>
    <w:rsid w:val="00505574"/>
    <w:rsid w:val="005059B9"/>
    <w:rsid w:val="00505E0F"/>
    <w:rsid w:val="00505F64"/>
    <w:rsid w:val="00506DCD"/>
    <w:rsid w:val="00507325"/>
    <w:rsid w:val="00507583"/>
    <w:rsid w:val="00507C36"/>
    <w:rsid w:val="00507C56"/>
    <w:rsid w:val="00507F13"/>
    <w:rsid w:val="0051034E"/>
    <w:rsid w:val="005109D4"/>
    <w:rsid w:val="00510CF4"/>
    <w:rsid w:val="0051105A"/>
    <w:rsid w:val="0051126F"/>
    <w:rsid w:val="0051160A"/>
    <w:rsid w:val="0051170D"/>
    <w:rsid w:val="00511735"/>
    <w:rsid w:val="005118BA"/>
    <w:rsid w:val="00511A4E"/>
    <w:rsid w:val="00511F61"/>
    <w:rsid w:val="005123C0"/>
    <w:rsid w:val="00512D87"/>
    <w:rsid w:val="0051301A"/>
    <w:rsid w:val="005130DA"/>
    <w:rsid w:val="00513430"/>
    <w:rsid w:val="0051354B"/>
    <w:rsid w:val="00513A23"/>
    <w:rsid w:val="00513DDA"/>
    <w:rsid w:val="00513E19"/>
    <w:rsid w:val="005148B4"/>
    <w:rsid w:val="00514B29"/>
    <w:rsid w:val="00514C5C"/>
    <w:rsid w:val="00514E8C"/>
    <w:rsid w:val="005152B1"/>
    <w:rsid w:val="005152F0"/>
    <w:rsid w:val="0051532D"/>
    <w:rsid w:val="00515832"/>
    <w:rsid w:val="00515856"/>
    <w:rsid w:val="00515F50"/>
    <w:rsid w:val="005162B7"/>
    <w:rsid w:val="005163E6"/>
    <w:rsid w:val="00516804"/>
    <w:rsid w:val="005172EC"/>
    <w:rsid w:val="0051740D"/>
    <w:rsid w:val="0051746E"/>
    <w:rsid w:val="005178CE"/>
    <w:rsid w:val="00517A2A"/>
    <w:rsid w:val="00517D9B"/>
    <w:rsid w:val="00517DF6"/>
    <w:rsid w:val="00517EBF"/>
    <w:rsid w:val="005205FF"/>
    <w:rsid w:val="00521356"/>
    <w:rsid w:val="00521955"/>
    <w:rsid w:val="00521CAB"/>
    <w:rsid w:val="00521DFB"/>
    <w:rsid w:val="005224EF"/>
    <w:rsid w:val="00522654"/>
    <w:rsid w:val="00522835"/>
    <w:rsid w:val="0052293D"/>
    <w:rsid w:val="00522AF4"/>
    <w:rsid w:val="00522F6E"/>
    <w:rsid w:val="00523499"/>
    <w:rsid w:val="0052373F"/>
    <w:rsid w:val="00523BC7"/>
    <w:rsid w:val="00523C08"/>
    <w:rsid w:val="00523C10"/>
    <w:rsid w:val="00523E23"/>
    <w:rsid w:val="005245D5"/>
    <w:rsid w:val="005247FE"/>
    <w:rsid w:val="00524889"/>
    <w:rsid w:val="0052575D"/>
    <w:rsid w:val="00525985"/>
    <w:rsid w:val="005259FC"/>
    <w:rsid w:val="00525A53"/>
    <w:rsid w:val="005260C7"/>
    <w:rsid w:val="005260F1"/>
    <w:rsid w:val="00526569"/>
    <w:rsid w:val="00526726"/>
    <w:rsid w:val="00526A27"/>
    <w:rsid w:val="00526F91"/>
    <w:rsid w:val="00527256"/>
    <w:rsid w:val="00527934"/>
    <w:rsid w:val="00527AC0"/>
    <w:rsid w:val="00527B57"/>
    <w:rsid w:val="00527C8D"/>
    <w:rsid w:val="00527C9C"/>
    <w:rsid w:val="00530034"/>
    <w:rsid w:val="005309A4"/>
    <w:rsid w:val="00530AC4"/>
    <w:rsid w:val="00531143"/>
    <w:rsid w:val="00531F4B"/>
    <w:rsid w:val="00531F7B"/>
    <w:rsid w:val="00532064"/>
    <w:rsid w:val="0053264D"/>
    <w:rsid w:val="0053268A"/>
    <w:rsid w:val="0053309E"/>
    <w:rsid w:val="005330FE"/>
    <w:rsid w:val="00533169"/>
    <w:rsid w:val="00533194"/>
    <w:rsid w:val="005332C8"/>
    <w:rsid w:val="00533B31"/>
    <w:rsid w:val="00534021"/>
    <w:rsid w:val="0053464E"/>
    <w:rsid w:val="005348C2"/>
    <w:rsid w:val="00534CBD"/>
    <w:rsid w:val="00534D48"/>
    <w:rsid w:val="005352C8"/>
    <w:rsid w:val="00535490"/>
    <w:rsid w:val="005354C1"/>
    <w:rsid w:val="00535975"/>
    <w:rsid w:val="00535F99"/>
    <w:rsid w:val="00536356"/>
    <w:rsid w:val="0053691D"/>
    <w:rsid w:val="00536BBB"/>
    <w:rsid w:val="00536CBB"/>
    <w:rsid w:val="00536DDD"/>
    <w:rsid w:val="00537033"/>
    <w:rsid w:val="005370FC"/>
    <w:rsid w:val="0053735E"/>
    <w:rsid w:val="00537403"/>
    <w:rsid w:val="0053745D"/>
    <w:rsid w:val="005376F8"/>
    <w:rsid w:val="005379EF"/>
    <w:rsid w:val="00537CBA"/>
    <w:rsid w:val="00540A37"/>
    <w:rsid w:val="00540B49"/>
    <w:rsid w:val="00541415"/>
    <w:rsid w:val="005418DB"/>
    <w:rsid w:val="00541B51"/>
    <w:rsid w:val="00542751"/>
    <w:rsid w:val="005434EA"/>
    <w:rsid w:val="005435CD"/>
    <w:rsid w:val="005436B8"/>
    <w:rsid w:val="00544E94"/>
    <w:rsid w:val="00545AA7"/>
    <w:rsid w:val="00545D55"/>
    <w:rsid w:val="005461A7"/>
    <w:rsid w:val="005461AB"/>
    <w:rsid w:val="0054659D"/>
    <w:rsid w:val="00546C6A"/>
    <w:rsid w:val="00546FBA"/>
    <w:rsid w:val="00547F04"/>
    <w:rsid w:val="005506BD"/>
    <w:rsid w:val="00550924"/>
    <w:rsid w:val="00550952"/>
    <w:rsid w:val="00550B1F"/>
    <w:rsid w:val="00550D63"/>
    <w:rsid w:val="00550EF1"/>
    <w:rsid w:val="00550FC4"/>
    <w:rsid w:val="0055101E"/>
    <w:rsid w:val="00551075"/>
    <w:rsid w:val="005513C8"/>
    <w:rsid w:val="00551E07"/>
    <w:rsid w:val="00552204"/>
    <w:rsid w:val="0055236E"/>
    <w:rsid w:val="005524F7"/>
    <w:rsid w:val="00552AAB"/>
    <w:rsid w:val="00553274"/>
    <w:rsid w:val="0055352C"/>
    <w:rsid w:val="005538A6"/>
    <w:rsid w:val="0055396C"/>
    <w:rsid w:val="00554CAB"/>
    <w:rsid w:val="00554F94"/>
    <w:rsid w:val="00555161"/>
    <w:rsid w:val="00555A59"/>
    <w:rsid w:val="00555BB7"/>
    <w:rsid w:val="00555DE6"/>
    <w:rsid w:val="00555EB3"/>
    <w:rsid w:val="005567F6"/>
    <w:rsid w:val="0055695F"/>
    <w:rsid w:val="00556E29"/>
    <w:rsid w:val="00556EC2"/>
    <w:rsid w:val="00557474"/>
    <w:rsid w:val="00557DAA"/>
    <w:rsid w:val="00557DAD"/>
    <w:rsid w:val="005605A8"/>
    <w:rsid w:val="00560721"/>
    <w:rsid w:val="00561138"/>
    <w:rsid w:val="00561443"/>
    <w:rsid w:val="00561572"/>
    <w:rsid w:val="00561699"/>
    <w:rsid w:val="0056194F"/>
    <w:rsid w:val="005619E1"/>
    <w:rsid w:val="00561A6A"/>
    <w:rsid w:val="00561EEE"/>
    <w:rsid w:val="00562152"/>
    <w:rsid w:val="00562629"/>
    <w:rsid w:val="005628FE"/>
    <w:rsid w:val="00562CAD"/>
    <w:rsid w:val="0056364B"/>
    <w:rsid w:val="00563D49"/>
    <w:rsid w:val="00564191"/>
    <w:rsid w:val="00564557"/>
    <w:rsid w:val="0056458C"/>
    <w:rsid w:val="00564628"/>
    <w:rsid w:val="005648B9"/>
    <w:rsid w:val="00564A3C"/>
    <w:rsid w:val="00564C5F"/>
    <w:rsid w:val="00564F82"/>
    <w:rsid w:val="005653AF"/>
    <w:rsid w:val="00565501"/>
    <w:rsid w:val="00565755"/>
    <w:rsid w:val="0056601E"/>
    <w:rsid w:val="00566406"/>
    <w:rsid w:val="005664A6"/>
    <w:rsid w:val="00566519"/>
    <w:rsid w:val="00566538"/>
    <w:rsid w:val="0056663C"/>
    <w:rsid w:val="0056725A"/>
    <w:rsid w:val="0056741F"/>
    <w:rsid w:val="00567647"/>
    <w:rsid w:val="0056781B"/>
    <w:rsid w:val="00567BE2"/>
    <w:rsid w:val="00567F96"/>
    <w:rsid w:val="00570102"/>
    <w:rsid w:val="00570505"/>
    <w:rsid w:val="00570541"/>
    <w:rsid w:val="00570FDD"/>
    <w:rsid w:val="005712E6"/>
    <w:rsid w:val="0057153C"/>
    <w:rsid w:val="00571E47"/>
    <w:rsid w:val="00572942"/>
    <w:rsid w:val="005730DB"/>
    <w:rsid w:val="00573251"/>
    <w:rsid w:val="005733A8"/>
    <w:rsid w:val="00573B5B"/>
    <w:rsid w:val="00573B78"/>
    <w:rsid w:val="00573F55"/>
    <w:rsid w:val="00574070"/>
    <w:rsid w:val="00575148"/>
    <w:rsid w:val="0057540E"/>
    <w:rsid w:val="005757B6"/>
    <w:rsid w:val="005761E2"/>
    <w:rsid w:val="0058000F"/>
    <w:rsid w:val="00580557"/>
    <w:rsid w:val="0058074F"/>
    <w:rsid w:val="00580A76"/>
    <w:rsid w:val="00581042"/>
    <w:rsid w:val="00581703"/>
    <w:rsid w:val="00581B15"/>
    <w:rsid w:val="00581E0A"/>
    <w:rsid w:val="005821DD"/>
    <w:rsid w:val="00583908"/>
    <w:rsid w:val="005844A7"/>
    <w:rsid w:val="00584757"/>
    <w:rsid w:val="00584E21"/>
    <w:rsid w:val="00584EF8"/>
    <w:rsid w:val="00585063"/>
    <w:rsid w:val="00585CD7"/>
    <w:rsid w:val="00585E41"/>
    <w:rsid w:val="0058608B"/>
    <w:rsid w:val="005863C1"/>
    <w:rsid w:val="0058654D"/>
    <w:rsid w:val="00586786"/>
    <w:rsid w:val="00586E49"/>
    <w:rsid w:val="005874AF"/>
    <w:rsid w:val="00587729"/>
    <w:rsid w:val="00587886"/>
    <w:rsid w:val="00587A66"/>
    <w:rsid w:val="00590147"/>
    <w:rsid w:val="0059028F"/>
    <w:rsid w:val="0059045E"/>
    <w:rsid w:val="0059068C"/>
    <w:rsid w:val="00590BD1"/>
    <w:rsid w:val="00590D26"/>
    <w:rsid w:val="00591276"/>
    <w:rsid w:val="00591490"/>
    <w:rsid w:val="0059151A"/>
    <w:rsid w:val="005916C9"/>
    <w:rsid w:val="00591883"/>
    <w:rsid w:val="00591C7E"/>
    <w:rsid w:val="00591D27"/>
    <w:rsid w:val="00591DCF"/>
    <w:rsid w:val="005929B4"/>
    <w:rsid w:val="00592A3C"/>
    <w:rsid w:val="005935DF"/>
    <w:rsid w:val="0059367F"/>
    <w:rsid w:val="00593720"/>
    <w:rsid w:val="00593909"/>
    <w:rsid w:val="00593A71"/>
    <w:rsid w:val="005941E1"/>
    <w:rsid w:val="005943E2"/>
    <w:rsid w:val="00594B8A"/>
    <w:rsid w:val="00595009"/>
    <w:rsid w:val="005954B7"/>
    <w:rsid w:val="0059571E"/>
    <w:rsid w:val="00595A05"/>
    <w:rsid w:val="00595F17"/>
    <w:rsid w:val="00595F3D"/>
    <w:rsid w:val="00595F89"/>
    <w:rsid w:val="00596053"/>
    <w:rsid w:val="00596873"/>
    <w:rsid w:val="00596BB3"/>
    <w:rsid w:val="00596BD4"/>
    <w:rsid w:val="00596FA8"/>
    <w:rsid w:val="005971A7"/>
    <w:rsid w:val="00597310"/>
    <w:rsid w:val="005977AB"/>
    <w:rsid w:val="00597953"/>
    <w:rsid w:val="005A01C5"/>
    <w:rsid w:val="005A0532"/>
    <w:rsid w:val="005A07E7"/>
    <w:rsid w:val="005A0A57"/>
    <w:rsid w:val="005A0B9F"/>
    <w:rsid w:val="005A0DBB"/>
    <w:rsid w:val="005A0EBD"/>
    <w:rsid w:val="005A1270"/>
    <w:rsid w:val="005A1295"/>
    <w:rsid w:val="005A1FBF"/>
    <w:rsid w:val="005A29B1"/>
    <w:rsid w:val="005A2DDF"/>
    <w:rsid w:val="005A2EBF"/>
    <w:rsid w:val="005A380B"/>
    <w:rsid w:val="005A3B9E"/>
    <w:rsid w:val="005A4056"/>
    <w:rsid w:val="005A4890"/>
    <w:rsid w:val="005A49D4"/>
    <w:rsid w:val="005A4D7C"/>
    <w:rsid w:val="005A51C9"/>
    <w:rsid w:val="005A5A96"/>
    <w:rsid w:val="005A5D7F"/>
    <w:rsid w:val="005A5DC0"/>
    <w:rsid w:val="005A6B6D"/>
    <w:rsid w:val="005A6ED5"/>
    <w:rsid w:val="005A6F0E"/>
    <w:rsid w:val="005A6F57"/>
    <w:rsid w:val="005A71E8"/>
    <w:rsid w:val="005A7235"/>
    <w:rsid w:val="005A78B3"/>
    <w:rsid w:val="005A795B"/>
    <w:rsid w:val="005A7BAF"/>
    <w:rsid w:val="005B05FA"/>
    <w:rsid w:val="005B0652"/>
    <w:rsid w:val="005B09D6"/>
    <w:rsid w:val="005B1213"/>
    <w:rsid w:val="005B1B07"/>
    <w:rsid w:val="005B1B55"/>
    <w:rsid w:val="005B1C52"/>
    <w:rsid w:val="005B1DBD"/>
    <w:rsid w:val="005B2387"/>
    <w:rsid w:val="005B2414"/>
    <w:rsid w:val="005B26B0"/>
    <w:rsid w:val="005B330E"/>
    <w:rsid w:val="005B383D"/>
    <w:rsid w:val="005B3EBD"/>
    <w:rsid w:val="005B3F0C"/>
    <w:rsid w:val="005B43A8"/>
    <w:rsid w:val="005B48E8"/>
    <w:rsid w:val="005B4A25"/>
    <w:rsid w:val="005B4FFF"/>
    <w:rsid w:val="005B5093"/>
    <w:rsid w:val="005B564F"/>
    <w:rsid w:val="005B56D9"/>
    <w:rsid w:val="005B56EA"/>
    <w:rsid w:val="005B5BA3"/>
    <w:rsid w:val="005B5E62"/>
    <w:rsid w:val="005B6A8B"/>
    <w:rsid w:val="005B7230"/>
    <w:rsid w:val="005B7D76"/>
    <w:rsid w:val="005B7E97"/>
    <w:rsid w:val="005B7F46"/>
    <w:rsid w:val="005C07D2"/>
    <w:rsid w:val="005C09A7"/>
    <w:rsid w:val="005C102D"/>
    <w:rsid w:val="005C132C"/>
    <w:rsid w:val="005C17E7"/>
    <w:rsid w:val="005C17FB"/>
    <w:rsid w:val="005C1833"/>
    <w:rsid w:val="005C1838"/>
    <w:rsid w:val="005C18C2"/>
    <w:rsid w:val="005C1ACE"/>
    <w:rsid w:val="005C2063"/>
    <w:rsid w:val="005C244F"/>
    <w:rsid w:val="005C26AC"/>
    <w:rsid w:val="005C2767"/>
    <w:rsid w:val="005C2922"/>
    <w:rsid w:val="005C2988"/>
    <w:rsid w:val="005C2C01"/>
    <w:rsid w:val="005C2F60"/>
    <w:rsid w:val="005C30A7"/>
    <w:rsid w:val="005C323D"/>
    <w:rsid w:val="005C3772"/>
    <w:rsid w:val="005C39C3"/>
    <w:rsid w:val="005C3D2B"/>
    <w:rsid w:val="005C41F4"/>
    <w:rsid w:val="005C4229"/>
    <w:rsid w:val="005C4580"/>
    <w:rsid w:val="005C49BB"/>
    <w:rsid w:val="005C5065"/>
    <w:rsid w:val="005C52F3"/>
    <w:rsid w:val="005C564C"/>
    <w:rsid w:val="005C56EA"/>
    <w:rsid w:val="005C5803"/>
    <w:rsid w:val="005C6234"/>
    <w:rsid w:val="005C64DC"/>
    <w:rsid w:val="005C6605"/>
    <w:rsid w:val="005C6703"/>
    <w:rsid w:val="005C71A0"/>
    <w:rsid w:val="005C71F5"/>
    <w:rsid w:val="005C75B8"/>
    <w:rsid w:val="005C7802"/>
    <w:rsid w:val="005C7B50"/>
    <w:rsid w:val="005C7C30"/>
    <w:rsid w:val="005D029E"/>
    <w:rsid w:val="005D0427"/>
    <w:rsid w:val="005D0776"/>
    <w:rsid w:val="005D07AE"/>
    <w:rsid w:val="005D0A0B"/>
    <w:rsid w:val="005D0C83"/>
    <w:rsid w:val="005D0F22"/>
    <w:rsid w:val="005D113B"/>
    <w:rsid w:val="005D135F"/>
    <w:rsid w:val="005D1497"/>
    <w:rsid w:val="005D1732"/>
    <w:rsid w:val="005D1AB2"/>
    <w:rsid w:val="005D205F"/>
    <w:rsid w:val="005D2D9A"/>
    <w:rsid w:val="005D2FDD"/>
    <w:rsid w:val="005D35C0"/>
    <w:rsid w:val="005D3A6E"/>
    <w:rsid w:val="005D3B21"/>
    <w:rsid w:val="005D4019"/>
    <w:rsid w:val="005D41DC"/>
    <w:rsid w:val="005D460F"/>
    <w:rsid w:val="005D4DC5"/>
    <w:rsid w:val="005D51B6"/>
    <w:rsid w:val="005D522A"/>
    <w:rsid w:val="005D5442"/>
    <w:rsid w:val="005D5BA4"/>
    <w:rsid w:val="005D5C22"/>
    <w:rsid w:val="005D5E6C"/>
    <w:rsid w:val="005D63A9"/>
    <w:rsid w:val="005D6558"/>
    <w:rsid w:val="005D65D5"/>
    <w:rsid w:val="005D6C56"/>
    <w:rsid w:val="005D6F49"/>
    <w:rsid w:val="005D74FC"/>
    <w:rsid w:val="005D7A66"/>
    <w:rsid w:val="005D7BD5"/>
    <w:rsid w:val="005D7E8A"/>
    <w:rsid w:val="005E06FA"/>
    <w:rsid w:val="005E0C6E"/>
    <w:rsid w:val="005E11A5"/>
    <w:rsid w:val="005E13D4"/>
    <w:rsid w:val="005E1435"/>
    <w:rsid w:val="005E17E9"/>
    <w:rsid w:val="005E1F7E"/>
    <w:rsid w:val="005E21F3"/>
    <w:rsid w:val="005E235C"/>
    <w:rsid w:val="005E3078"/>
    <w:rsid w:val="005E34C0"/>
    <w:rsid w:val="005E392E"/>
    <w:rsid w:val="005E4514"/>
    <w:rsid w:val="005E4565"/>
    <w:rsid w:val="005E45F3"/>
    <w:rsid w:val="005E48EA"/>
    <w:rsid w:val="005E49CA"/>
    <w:rsid w:val="005E4ADD"/>
    <w:rsid w:val="005E4BAB"/>
    <w:rsid w:val="005E5384"/>
    <w:rsid w:val="005E5427"/>
    <w:rsid w:val="005E5428"/>
    <w:rsid w:val="005E54CA"/>
    <w:rsid w:val="005E5A74"/>
    <w:rsid w:val="005E5A7C"/>
    <w:rsid w:val="005E5C33"/>
    <w:rsid w:val="005E5D8E"/>
    <w:rsid w:val="005E6472"/>
    <w:rsid w:val="005E6976"/>
    <w:rsid w:val="005E6C7A"/>
    <w:rsid w:val="005E703B"/>
    <w:rsid w:val="005E721A"/>
    <w:rsid w:val="005E74EC"/>
    <w:rsid w:val="005E784C"/>
    <w:rsid w:val="005E7917"/>
    <w:rsid w:val="005E7AB6"/>
    <w:rsid w:val="005E7B1E"/>
    <w:rsid w:val="005E7CBC"/>
    <w:rsid w:val="005E7E4D"/>
    <w:rsid w:val="005F0854"/>
    <w:rsid w:val="005F0A62"/>
    <w:rsid w:val="005F0FA8"/>
    <w:rsid w:val="005F1C5D"/>
    <w:rsid w:val="005F2317"/>
    <w:rsid w:val="005F2550"/>
    <w:rsid w:val="005F262B"/>
    <w:rsid w:val="005F28A5"/>
    <w:rsid w:val="005F2B2D"/>
    <w:rsid w:val="005F2FD5"/>
    <w:rsid w:val="005F340A"/>
    <w:rsid w:val="005F3AE8"/>
    <w:rsid w:val="005F3B09"/>
    <w:rsid w:val="005F3B47"/>
    <w:rsid w:val="005F47C1"/>
    <w:rsid w:val="005F4926"/>
    <w:rsid w:val="005F4B6F"/>
    <w:rsid w:val="005F5009"/>
    <w:rsid w:val="005F5054"/>
    <w:rsid w:val="005F530F"/>
    <w:rsid w:val="005F5C41"/>
    <w:rsid w:val="005F60BE"/>
    <w:rsid w:val="005F65D9"/>
    <w:rsid w:val="005F6768"/>
    <w:rsid w:val="005F699C"/>
    <w:rsid w:val="005F69CF"/>
    <w:rsid w:val="005F6E39"/>
    <w:rsid w:val="005F6E58"/>
    <w:rsid w:val="005F7031"/>
    <w:rsid w:val="005F704C"/>
    <w:rsid w:val="005F789D"/>
    <w:rsid w:val="005F7A22"/>
    <w:rsid w:val="005F7B9D"/>
    <w:rsid w:val="005F7CF0"/>
    <w:rsid w:val="00600501"/>
    <w:rsid w:val="006009D5"/>
    <w:rsid w:val="00600B0C"/>
    <w:rsid w:val="00600D1A"/>
    <w:rsid w:val="00601038"/>
    <w:rsid w:val="00601E52"/>
    <w:rsid w:val="00602C4B"/>
    <w:rsid w:val="00602DFA"/>
    <w:rsid w:val="006031D1"/>
    <w:rsid w:val="006033BF"/>
    <w:rsid w:val="00603702"/>
    <w:rsid w:val="00603B4B"/>
    <w:rsid w:val="00603F20"/>
    <w:rsid w:val="006046B5"/>
    <w:rsid w:val="00604F37"/>
    <w:rsid w:val="0060508A"/>
    <w:rsid w:val="006055AF"/>
    <w:rsid w:val="00605942"/>
    <w:rsid w:val="00605C9F"/>
    <w:rsid w:val="00606366"/>
    <w:rsid w:val="006068E8"/>
    <w:rsid w:val="00606ADB"/>
    <w:rsid w:val="00606C07"/>
    <w:rsid w:val="006072DE"/>
    <w:rsid w:val="006075F4"/>
    <w:rsid w:val="006078A8"/>
    <w:rsid w:val="00607BAD"/>
    <w:rsid w:val="00607EC7"/>
    <w:rsid w:val="0061048A"/>
    <w:rsid w:val="00610959"/>
    <w:rsid w:val="006109B7"/>
    <w:rsid w:val="00610AE7"/>
    <w:rsid w:val="00610EC7"/>
    <w:rsid w:val="00611178"/>
    <w:rsid w:val="0061148D"/>
    <w:rsid w:val="00611A29"/>
    <w:rsid w:val="00611D01"/>
    <w:rsid w:val="00611F1E"/>
    <w:rsid w:val="00612010"/>
    <w:rsid w:val="006122EC"/>
    <w:rsid w:val="006124B3"/>
    <w:rsid w:val="00612611"/>
    <w:rsid w:val="00612622"/>
    <w:rsid w:val="0061279A"/>
    <w:rsid w:val="00612C60"/>
    <w:rsid w:val="00613009"/>
    <w:rsid w:val="006132EA"/>
    <w:rsid w:val="00613CA5"/>
    <w:rsid w:val="00613E24"/>
    <w:rsid w:val="0061401C"/>
    <w:rsid w:val="0061420B"/>
    <w:rsid w:val="00614287"/>
    <w:rsid w:val="00614BD4"/>
    <w:rsid w:val="00614D33"/>
    <w:rsid w:val="0061537D"/>
    <w:rsid w:val="0061537F"/>
    <w:rsid w:val="006156D7"/>
    <w:rsid w:val="00615CF1"/>
    <w:rsid w:val="00615DEA"/>
    <w:rsid w:val="00615E26"/>
    <w:rsid w:val="00616675"/>
    <w:rsid w:val="006166CD"/>
    <w:rsid w:val="00616A60"/>
    <w:rsid w:val="00616D0C"/>
    <w:rsid w:val="00616EE6"/>
    <w:rsid w:val="006171FB"/>
    <w:rsid w:val="00617283"/>
    <w:rsid w:val="006175AE"/>
    <w:rsid w:val="006177B0"/>
    <w:rsid w:val="00617A2A"/>
    <w:rsid w:val="00617B5B"/>
    <w:rsid w:val="0062036B"/>
    <w:rsid w:val="006207F4"/>
    <w:rsid w:val="00620C67"/>
    <w:rsid w:val="00621407"/>
    <w:rsid w:val="00621479"/>
    <w:rsid w:val="006214D7"/>
    <w:rsid w:val="00621646"/>
    <w:rsid w:val="00621711"/>
    <w:rsid w:val="00621803"/>
    <w:rsid w:val="00621A34"/>
    <w:rsid w:val="006220F1"/>
    <w:rsid w:val="0062269A"/>
    <w:rsid w:val="006237F5"/>
    <w:rsid w:val="00623C54"/>
    <w:rsid w:val="00623E46"/>
    <w:rsid w:val="00623E5A"/>
    <w:rsid w:val="00624104"/>
    <w:rsid w:val="00624604"/>
    <w:rsid w:val="00624A17"/>
    <w:rsid w:val="00624BA2"/>
    <w:rsid w:val="00624D2C"/>
    <w:rsid w:val="00624DD0"/>
    <w:rsid w:val="00624F7F"/>
    <w:rsid w:val="00625145"/>
    <w:rsid w:val="00625367"/>
    <w:rsid w:val="00625447"/>
    <w:rsid w:val="00625EB0"/>
    <w:rsid w:val="00625ED6"/>
    <w:rsid w:val="006262EE"/>
    <w:rsid w:val="006266AC"/>
    <w:rsid w:val="00626768"/>
    <w:rsid w:val="0062677B"/>
    <w:rsid w:val="00626DE4"/>
    <w:rsid w:val="00627402"/>
    <w:rsid w:val="00627474"/>
    <w:rsid w:val="006274D8"/>
    <w:rsid w:val="006278D2"/>
    <w:rsid w:val="006279F9"/>
    <w:rsid w:val="00627CEA"/>
    <w:rsid w:val="00627E37"/>
    <w:rsid w:val="00630480"/>
    <w:rsid w:val="0063058E"/>
    <w:rsid w:val="006305F8"/>
    <w:rsid w:val="00630E44"/>
    <w:rsid w:val="006313F7"/>
    <w:rsid w:val="006315CB"/>
    <w:rsid w:val="0063197B"/>
    <w:rsid w:val="00631DA7"/>
    <w:rsid w:val="00632200"/>
    <w:rsid w:val="006327BB"/>
    <w:rsid w:val="00632B9C"/>
    <w:rsid w:val="00632F18"/>
    <w:rsid w:val="006332D7"/>
    <w:rsid w:val="0063333D"/>
    <w:rsid w:val="006338EE"/>
    <w:rsid w:val="00633C7B"/>
    <w:rsid w:val="00634225"/>
    <w:rsid w:val="00634F0D"/>
    <w:rsid w:val="00635003"/>
    <w:rsid w:val="006351CE"/>
    <w:rsid w:val="006352FD"/>
    <w:rsid w:val="00635B15"/>
    <w:rsid w:val="00635D02"/>
    <w:rsid w:val="00635D76"/>
    <w:rsid w:val="00636037"/>
    <w:rsid w:val="006362E1"/>
    <w:rsid w:val="006367DA"/>
    <w:rsid w:val="00636B49"/>
    <w:rsid w:val="00637053"/>
    <w:rsid w:val="006370E1"/>
    <w:rsid w:val="00637382"/>
    <w:rsid w:val="006375B2"/>
    <w:rsid w:val="006375BB"/>
    <w:rsid w:val="00637865"/>
    <w:rsid w:val="0063788C"/>
    <w:rsid w:val="00640059"/>
    <w:rsid w:val="00640304"/>
    <w:rsid w:val="00640713"/>
    <w:rsid w:val="006409EE"/>
    <w:rsid w:val="00640BF7"/>
    <w:rsid w:val="00640FFF"/>
    <w:rsid w:val="00641436"/>
    <w:rsid w:val="00641761"/>
    <w:rsid w:val="006420C2"/>
    <w:rsid w:val="006425FC"/>
    <w:rsid w:val="00642631"/>
    <w:rsid w:val="0064289D"/>
    <w:rsid w:val="00642DF5"/>
    <w:rsid w:val="0064304A"/>
    <w:rsid w:val="00643765"/>
    <w:rsid w:val="0064380B"/>
    <w:rsid w:val="00643A4F"/>
    <w:rsid w:val="00643AAB"/>
    <w:rsid w:val="00643FF5"/>
    <w:rsid w:val="006440D9"/>
    <w:rsid w:val="006441FD"/>
    <w:rsid w:val="006442BE"/>
    <w:rsid w:val="00644354"/>
    <w:rsid w:val="0064446D"/>
    <w:rsid w:val="00644CB1"/>
    <w:rsid w:val="00644E5A"/>
    <w:rsid w:val="00644F2C"/>
    <w:rsid w:val="00644F8F"/>
    <w:rsid w:val="006450DD"/>
    <w:rsid w:val="00645141"/>
    <w:rsid w:val="00645349"/>
    <w:rsid w:val="00645AEE"/>
    <w:rsid w:val="00646428"/>
    <w:rsid w:val="00646677"/>
    <w:rsid w:val="00646984"/>
    <w:rsid w:val="00646AFD"/>
    <w:rsid w:val="0064707F"/>
    <w:rsid w:val="0064717F"/>
    <w:rsid w:val="006471E8"/>
    <w:rsid w:val="00647E90"/>
    <w:rsid w:val="00647FA3"/>
    <w:rsid w:val="006500F7"/>
    <w:rsid w:val="00650400"/>
    <w:rsid w:val="0065052D"/>
    <w:rsid w:val="00650732"/>
    <w:rsid w:val="00650769"/>
    <w:rsid w:val="00651012"/>
    <w:rsid w:val="006516B7"/>
    <w:rsid w:val="006518E4"/>
    <w:rsid w:val="00651FB8"/>
    <w:rsid w:val="006520D5"/>
    <w:rsid w:val="0065239B"/>
    <w:rsid w:val="00652BA0"/>
    <w:rsid w:val="00653045"/>
    <w:rsid w:val="0065375E"/>
    <w:rsid w:val="00653A25"/>
    <w:rsid w:val="00653D93"/>
    <w:rsid w:val="00653FDA"/>
    <w:rsid w:val="006541A0"/>
    <w:rsid w:val="00654723"/>
    <w:rsid w:val="006547BF"/>
    <w:rsid w:val="00654E99"/>
    <w:rsid w:val="00654ED0"/>
    <w:rsid w:val="00655104"/>
    <w:rsid w:val="0065541B"/>
    <w:rsid w:val="0065548F"/>
    <w:rsid w:val="00655633"/>
    <w:rsid w:val="0065573C"/>
    <w:rsid w:val="006559BB"/>
    <w:rsid w:val="00655A99"/>
    <w:rsid w:val="00655D93"/>
    <w:rsid w:val="00655E86"/>
    <w:rsid w:val="00656614"/>
    <w:rsid w:val="00656C4D"/>
    <w:rsid w:val="006577CD"/>
    <w:rsid w:val="00657CCC"/>
    <w:rsid w:val="00657DB6"/>
    <w:rsid w:val="00660162"/>
    <w:rsid w:val="0066036D"/>
    <w:rsid w:val="006604FA"/>
    <w:rsid w:val="006606AA"/>
    <w:rsid w:val="00660879"/>
    <w:rsid w:val="00660B3F"/>
    <w:rsid w:val="006610B1"/>
    <w:rsid w:val="00661639"/>
    <w:rsid w:val="00661655"/>
    <w:rsid w:val="0066174D"/>
    <w:rsid w:val="00661DC2"/>
    <w:rsid w:val="00661E36"/>
    <w:rsid w:val="00661F16"/>
    <w:rsid w:val="006621AE"/>
    <w:rsid w:val="0066318A"/>
    <w:rsid w:val="006631D3"/>
    <w:rsid w:val="00663D0F"/>
    <w:rsid w:val="00664525"/>
    <w:rsid w:val="0066465B"/>
    <w:rsid w:val="00664975"/>
    <w:rsid w:val="00664C81"/>
    <w:rsid w:val="0066500E"/>
    <w:rsid w:val="0066521A"/>
    <w:rsid w:val="0066540C"/>
    <w:rsid w:val="00665E70"/>
    <w:rsid w:val="00665EAE"/>
    <w:rsid w:val="00665FF1"/>
    <w:rsid w:val="0066617C"/>
    <w:rsid w:val="006661EA"/>
    <w:rsid w:val="00666749"/>
    <w:rsid w:val="00666909"/>
    <w:rsid w:val="00666EBC"/>
    <w:rsid w:val="00667189"/>
    <w:rsid w:val="006671F0"/>
    <w:rsid w:val="0066749E"/>
    <w:rsid w:val="00667C84"/>
    <w:rsid w:val="00667CCB"/>
    <w:rsid w:val="00667EFD"/>
    <w:rsid w:val="00670475"/>
    <w:rsid w:val="00670770"/>
    <w:rsid w:val="00670B8C"/>
    <w:rsid w:val="00670C4A"/>
    <w:rsid w:val="00671F3E"/>
    <w:rsid w:val="006723C0"/>
    <w:rsid w:val="00672482"/>
    <w:rsid w:val="00672947"/>
    <w:rsid w:val="00672A18"/>
    <w:rsid w:val="0067322C"/>
    <w:rsid w:val="006735D0"/>
    <w:rsid w:val="0067365C"/>
    <w:rsid w:val="006739E9"/>
    <w:rsid w:val="00673DC9"/>
    <w:rsid w:val="006741CE"/>
    <w:rsid w:val="006746BD"/>
    <w:rsid w:val="00674B90"/>
    <w:rsid w:val="00674BF2"/>
    <w:rsid w:val="00674D52"/>
    <w:rsid w:val="00674E43"/>
    <w:rsid w:val="00674F93"/>
    <w:rsid w:val="0067546F"/>
    <w:rsid w:val="00675A06"/>
    <w:rsid w:val="00675F8E"/>
    <w:rsid w:val="00676287"/>
    <w:rsid w:val="00676CE4"/>
    <w:rsid w:val="00676D4B"/>
    <w:rsid w:val="00676EC2"/>
    <w:rsid w:val="00676F61"/>
    <w:rsid w:val="00676FA5"/>
    <w:rsid w:val="006770EF"/>
    <w:rsid w:val="006771A4"/>
    <w:rsid w:val="006771AD"/>
    <w:rsid w:val="0067728F"/>
    <w:rsid w:val="006774A8"/>
    <w:rsid w:val="00677572"/>
    <w:rsid w:val="00677DC1"/>
    <w:rsid w:val="00680064"/>
    <w:rsid w:val="006802E6"/>
    <w:rsid w:val="00681229"/>
    <w:rsid w:val="00681514"/>
    <w:rsid w:val="0068185E"/>
    <w:rsid w:val="006819B3"/>
    <w:rsid w:val="00681BE5"/>
    <w:rsid w:val="00681E30"/>
    <w:rsid w:val="0068228F"/>
    <w:rsid w:val="0068329C"/>
    <w:rsid w:val="0068379B"/>
    <w:rsid w:val="00683D79"/>
    <w:rsid w:val="00683D98"/>
    <w:rsid w:val="00683D99"/>
    <w:rsid w:val="00684079"/>
    <w:rsid w:val="00684482"/>
    <w:rsid w:val="0068484C"/>
    <w:rsid w:val="0068489C"/>
    <w:rsid w:val="006848EE"/>
    <w:rsid w:val="006856AA"/>
    <w:rsid w:val="0068629B"/>
    <w:rsid w:val="00686425"/>
    <w:rsid w:val="0068645C"/>
    <w:rsid w:val="006865C2"/>
    <w:rsid w:val="00686C12"/>
    <w:rsid w:val="00686C91"/>
    <w:rsid w:val="00686D75"/>
    <w:rsid w:val="006870D6"/>
    <w:rsid w:val="0068736A"/>
    <w:rsid w:val="0068749F"/>
    <w:rsid w:val="00687D17"/>
    <w:rsid w:val="00690024"/>
    <w:rsid w:val="006903A4"/>
    <w:rsid w:val="00690CAA"/>
    <w:rsid w:val="00690EFB"/>
    <w:rsid w:val="0069137B"/>
    <w:rsid w:val="006913EC"/>
    <w:rsid w:val="006914B7"/>
    <w:rsid w:val="00691742"/>
    <w:rsid w:val="00691A66"/>
    <w:rsid w:val="00691DEE"/>
    <w:rsid w:val="00692242"/>
    <w:rsid w:val="0069236E"/>
    <w:rsid w:val="00692704"/>
    <w:rsid w:val="00692A9C"/>
    <w:rsid w:val="00692D88"/>
    <w:rsid w:val="00692E67"/>
    <w:rsid w:val="00692F9E"/>
    <w:rsid w:val="00693ACF"/>
    <w:rsid w:val="00693EE5"/>
    <w:rsid w:val="00694081"/>
    <w:rsid w:val="006944C5"/>
    <w:rsid w:val="00694B8D"/>
    <w:rsid w:val="006951DB"/>
    <w:rsid w:val="0069561C"/>
    <w:rsid w:val="00695634"/>
    <w:rsid w:val="00695CA9"/>
    <w:rsid w:val="0069600D"/>
    <w:rsid w:val="006963AE"/>
    <w:rsid w:val="00697053"/>
    <w:rsid w:val="0069732F"/>
    <w:rsid w:val="00697912"/>
    <w:rsid w:val="006A02DC"/>
    <w:rsid w:val="006A0402"/>
    <w:rsid w:val="006A066A"/>
    <w:rsid w:val="006A06CA"/>
    <w:rsid w:val="006A083E"/>
    <w:rsid w:val="006A0D86"/>
    <w:rsid w:val="006A0FFD"/>
    <w:rsid w:val="006A1170"/>
    <w:rsid w:val="006A14A3"/>
    <w:rsid w:val="006A159D"/>
    <w:rsid w:val="006A18BF"/>
    <w:rsid w:val="006A1AD3"/>
    <w:rsid w:val="006A1D3E"/>
    <w:rsid w:val="006A1F58"/>
    <w:rsid w:val="006A242E"/>
    <w:rsid w:val="006A26AB"/>
    <w:rsid w:val="006A298D"/>
    <w:rsid w:val="006A2BB4"/>
    <w:rsid w:val="006A2F80"/>
    <w:rsid w:val="006A3CD3"/>
    <w:rsid w:val="006A3F19"/>
    <w:rsid w:val="006A3FD6"/>
    <w:rsid w:val="006A4076"/>
    <w:rsid w:val="006A436F"/>
    <w:rsid w:val="006A4E5B"/>
    <w:rsid w:val="006A4FA5"/>
    <w:rsid w:val="006A59D8"/>
    <w:rsid w:val="006A5A4B"/>
    <w:rsid w:val="006A62F1"/>
    <w:rsid w:val="006A6B7B"/>
    <w:rsid w:val="006A6BD1"/>
    <w:rsid w:val="006A7279"/>
    <w:rsid w:val="006A77B1"/>
    <w:rsid w:val="006A7855"/>
    <w:rsid w:val="006A78F8"/>
    <w:rsid w:val="006A7A03"/>
    <w:rsid w:val="006A7C26"/>
    <w:rsid w:val="006A7CD2"/>
    <w:rsid w:val="006A7E27"/>
    <w:rsid w:val="006B010E"/>
    <w:rsid w:val="006B03CA"/>
    <w:rsid w:val="006B0494"/>
    <w:rsid w:val="006B091F"/>
    <w:rsid w:val="006B0B1E"/>
    <w:rsid w:val="006B0CAF"/>
    <w:rsid w:val="006B0ED0"/>
    <w:rsid w:val="006B0EED"/>
    <w:rsid w:val="006B147E"/>
    <w:rsid w:val="006B14F8"/>
    <w:rsid w:val="006B1DF6"/>
    <w:rsid w:val="006B233F"/>
    <w:rsid w:val="006B275E"/>
    <w:rsid w:val="006B28EA"/>
    <w:rsid w:val="006B2B2C"/>
    <w:rsid w:val="006B2DA3"/>
    <w:rsid w:val="006B2FBB"/>
    <w:rsid w:val="006B378A"/>
    <w:rsid w:val="006B3BD5"/>
    <w:rsid w:val="006B4185"/>
    <w:rsid w:val="006B4224"/>
    <w:rsid w:val="006B4493"/>
    <w:rsid w:val="006B453E"/>
    <w:rsid w:val="006B4772"/>
    <w:rsid w:val="006B4B62"/>
    <w:rsid w:val="006B53DC"/>
    <w:rsid w:val="006B5423"/>
    <w:rsid w:val="006B5855"/>
    <w:rsid w:val="006B5AB2"/>
    <w:rsid w:val="006B5BB6"/>
    <w:rsid w:val="006B5BC7"/>
    <w:rsid w:val="006B5C67"/>
    <w:rsid w:val="006B6B5D"/>
    <w:rsid w:val="006B6BF6"/>
    <w:rsid w:val="006B6C0D"/>
    <w:rsid w:val="006B7652"/>
    <w:rsid w:val="006B7A88"/>
    <w:rsid w:val="006C031D"/>
    <w:rsid w:val="006C08D5"/>
    <w:rsid w:val="006C166D"/>
    <w:rsid w:val="006C1818"/>
    <w:rsid w:val="006C1BA7"/>
    <w:rsid w:val="006C1D7E"/>
    <w:rsid w:val="006C1F8B"/>
    <w:rsid w:val="006C2721"/>
    <w:rsid w:val="006C2B18"/>
    <w:rsid w:val="006C2BE5"/>
    <w:rsid w:val="006C316A"/>
    <w:rsid w:val="006C3674"/>
    <w:rsid w:val="006C3868"/>
    <w:rsid w:val="006C38FF"/>
    <w:rsid w:val="006C3E6E"/>
    <w:rsid w:val="006C3EC0"/>
    <w:rsid w:val="006C3EEA"/>
    <w:rsid w:val="006C3F92"/>
    <w:rsid w:val="006C42FA"/>
    <w:rsid w:val="006C43A6"/>
    <w:rsid w:val="006C4694"/>
    <w:rsid w:val="006C4A4A"/>
    <w:rsid w:val="006C4E89"/>
    <w:rsid w:val="006C53EB"/>
    <w:rsid w:val="006C5434"/>
    <w:rsid w:val="006C5D29"/>
    <w:rsid w:val="006C6277"/>
    <w:rsid w:val="006C6348"/>
    <w:rsid w:val="006C650D"/>
    <w:rsid w:val="006C69A5"/>
    <w:rsid w:val="006C6FA0"/>
    <w:rsid w:val="006C702F"/>
    <w:rsid w:val="006C7740"/>
    <w:rsid w:val="006D0389"/>
    <w:rsid w:val="006D03CD"/>
    <w:rsid w:val="006D07E5"/>
    <w:rsid w:val="006D0848"/>
    <w:rsid w:val="006D0BA5"/>
    <w:rsid w:val="006D0C15"/>
    <w:rsid w:val="006D0D8B"/>
    <w:rsid w:val="006D0FBF"/>
    <w:rsid w:val="006D10DC"/>
    <w:rsid w:val="006D10F2"/>
    <w:rsid w:val="006D1586"/>
    <w:rsid w:val="006D19C1"/>
    <w:rsid w:val="006D258E"/>
    <w:rsid w:val="006D2785"/>
    <w:rsid w:val="006D2827"/>
    <w:rsid w:val="006D2848"/>
    <w:rsid w:val="006D2B19"/>
    <w:rsid w:val="006D2EC9"/>
    <w:rsid w:val="006D336E"/>
    <w:rsid w:val="006D3592"/>
    <w:rsid w:val="006D3A05"/>
    <w:rsid w:val="006D3B62"/>
    <w:rsid w:val="006D3EF8"/>
    <w:rsid w:val="006D3FDF"/>
    <w:rsid w:val="006D4527"/>
    <w:rsid w:val="006D4A72"/>
    <w:rsid w:val="006D4B05"/>
    <w:rsid w:val="006D4F86"/>
    <w:rsid w:val="006D5B35"/>
    <w:rsid w:val="006D5F98"/>
    <w:rsid w:val="006D6237"/>
    <w:rsid w:val="006D6665"/>
    <w:rsid w:val="006D7098"/>
    <w:rsid w:val="006D740E"/>
    <w:rsid w:val="006D7F72"/>
    <w:rsid w:val="006E00B7"/>
    <w:rsid w:val="006E0E29"/>
    <w:rsid w:val="006E0E5B"/>
    <w:rsid w:val="006E12A0"/>
    <w:rsid w:val="006E154E"/>
    <w:rsid w:val="006E17DD"/>
    <w:rsid w:val="006E1AF3"/>
    <w:rsid w:val="006E22ED"/>
    <w:rsid w:val="006E2F03"/>
    <w:rsid w:val="006E3023"/>
    <w:rsid w:val="006E3369"/>
    <w:rsid w:val="006E3525"/>
    <w:rsid w:val="006E3D12"/>
    <w:rsid w:val="006E4234"/>
    <w:rsid w:val="006E449C"/>
    <w:rsid w:val="006E4713"/>
    <w:rsid w:val="006E4726"/>
    <w:rsid w:val="006E4E72"/>
    <w:rsid w:val="006E4E82"/>
    <w:rsid w:val="006E50D0"/>
    <w:rsid w:val="006E56FE"/>
    <w:rsid w:val="006E5F41"/>
    <w:rsid w:val="006E643E"/>
    <w:rsid w:val="006E64BD"/>
    <w:rsid w:val="006E663E"/>
    <w:rsid w:val="006E6EDF"/>
    <w:rsid w:val="006E6FEA"/>
    <w:rsid w:val="006E7BA5"/>
    <w:rsid w:val="006E7E8C"/>
    <w:rsid w:val="006F01B0"/>
    <w:rsid w:val="006F01E8"/>
    <w:rsid w:val="006F02D7"/>
    <w:rsid w:val="006F06C0"/>
    <w:rsid w:val="006F0864"/>
    <w:rsid w:val="006F0EBB"/>
    <w:rsid w:val="006F0FCF"/>
    <w:rsid w:val="006F1177"/>
    <w:rsid w:val="006F174D"/>
    <w:rsid w:val="006F1A6A"/>
    <w:rsid w:val="006F1C00"/>
    <w:rsid w:val="006F1E96"/>
    <w:rsid w:val="006F21C0"/>
    <w:rsid w:val="006F2706"/>
    <w:rsid w:val="006F2990"/>
    <w:rsid w:val="006F2B33"/>
    <w:rsid w:val="006F2D24"/>
    <w:rsid w:val="006F2F8E"/>
    <w:rsid w:val="006F34BB"/>
    <w:rsid w:val="006F352A"/>
    <w:rsid w:val="006F37F7"/>
    <w:rsid w:val="006F3909"/>
    <w:rsid w:val="006F4036"/>
    <w:rsid w:val="006F41CC"/>
    <w:rsid w:val="006F4284"/>
    <w:rsid w:val="006F428E"/>
    <w:rsid w:val="006F48E1"/>
    <w:rsid w:val="006F4B9B"/>
    <w:rsid w:val="006F4CCE"/>
    <w:rsid w:val="006F4FA0"/>
    <w:rsid w:val="006F5096"/>
    <w:rsid w:val="006F5160"/>
    <w:rsid w:val="006F5374"/>
    <w:rsid w:val="006F60DF"/>
    <w:rsid w:val="006F64DE"/>
    <w:rsid w:val="006F6766"/>
    <w:rsid w:val="006F68C1"/>
    <w:rsid w:val="006F6CE2"/>
    <w:rsid w:val="006F6E10"/>
    <w:rsid w:val="006F7A2E"/>
    <w:rsid w:val="006F7A80"/>
    <w:rsid w:val="007004E2"/>
    <w:rsid w:val="00700F4A"/>
    <w:rsid w:val="00700F57"/>
    <w:rsid w:val="007014F8"/>
    <w:rsid w:val="0070150D"/>
    <w:rsid w:val="007016D2"/>
    <w:rsid w:val="007018D8"/>
    <w:rsid w:val="00701979"/>
    <w:rsid w:val="00701C6E"/>
    <w:rsid w:val="007029E8"/>
    <w:rsid w:val="00703107"/>
    <w:rsid w:val="00703138"/>
    <w:rsid w:val="0070315D"/>
    <w:rsid w:val="00703277"/>
    <w:rsid w:val="0070356D"/>
    <w:rsid w:val="007038A6"/>
    <w:rsid w:val="00703981"/>
    <w:rsid w:val="007039A6"/>
    <w:rsid w:val="00703B92"/>
    <w:rsid w:val="00703CD7"/>
    <w:rsid w:val="00703CDF"/>
    <w:rsid w:val="00703D7E"/>
    <w:rsid w:val="00703E73"/>
    <w:rsid w:val="0070495F"/>
    <w:rsid w:val="00704A08"/>
    <w:rsid w:val="00704B6E"/>
    <w:rsid w:val="00704F10"/>
    <w:rsid w:val="00704F73"/>
    <w:rsid w:val="0070508D"/>
    <w:rsid w:val="0070542E"/>
    <w:rsid w:val="00705849"/>
    <w:rsid w:val="00705949"/>
    <w:rsid w:val="00705A8B"/>
    <w:rsid w:val="00705E33"/>
    <w:rsid w:val="0070604A"/>
    <w:rsid w:val="007060D4"/>
    <w:rsid w:val="0070624C"/>
    <w:rsid w:val="00706451"/>
    <w:rsid w:val="00707724"/>
    <w:rsid w:val="00707E0F"/>
    <w:rsid w:val="007104D4"/>
    <w:rsid w:val="0071068A"/>
    <w:rsid w:val="007106CE"/>
    <w:rsid w:val="00710E19"/>
    <w:rsid w:val="00710E52"/>
    <w:rsid w:val="007114C9"/>
    <w:rsid w:val="0071154B"/>
    <w:rsid w:val="0071174F"/>
    <w:rsid w:val="0071196A"/>
    <w:rsid w:val="007120FD"/>
    <w:rsid w:val="0071243C"/>
    <w:rsid w:val="007129A4"/>
    <w:rsid w:val="007130CA"/>
    <w:rsid w:val="007131CF"/>
    <w:rsid w:val="007133C0"/>
    <w:rsid w:val="00713613"/>
    <w:rsid w:val="007137C6"/>
    <w:rsid w:val="007138FC"/>
    <w:rsid w:val="0071393D"/>
    <w:rsid w:val="00713BEF"/>
    <w:rsid w:val="00713E79"/>
    <w:rsid w:val="00714073"/>
    <w:rsid w:val="00714245"/>
    <w:rsid w:val="00715441"/>
    <w:rsid w:val="00715739"/>
    <w:rsid w:val="0071576C"/>
    <w:rsid w:val="00715C94"/>
    <w:rsid w:val="007165F0"/>
    <w:rsid w:val="0071671B"/>
    <w:rsid w:val="00716759"/>
    <w:rsid w:val="00716A09"/>
    <w:rsid w:val="007170DB"/>
    <w:rsid w:val="00717847"/>
    <w:rsid w:val="00717880"/>
    <w:rsid w:val="00717CA8"/>
    <w:rsid w:val="007205E7"/>
    <w:rsid w:val="007209C4"/>
    <w:rsid w:val="00721E9E"/>
    <w:rsid w:val="00722246"/>
    <w:rsid w:val="0072247D"/>
    <w:rsid w:val="007227FE"/>
    <w:rsid w:val="007228F8"/>
    <w:rsid w:val="007233C3"/>
    <w:rsid w:val="007238D7"/>
    <w:rsid w:val="00723C95"/>
    <w:rsid w:val="007244E7"/>
    <w:rsid w:val="0072505F"/>
    <w:rsid w:val="00725261"/>
    <w:rsid w:val="00725B00"/>
    <w:rsid w:val="00725E9F"/>
    <w:rsid w:val="00726012"/>
    <w:rsid w:val="0072680C"/>
    <w:rsid w:val="00726B3D"/>
    <w:rsid w:val="00726C64"/>
    <w:rsid w:val="00727FCC"/>
    <w:rsid w:val="007302C6"/>
    <w:rsid w:val="007307FA"/>
    <w:rsid w:val="007310B7"/>
    <w:rsid w:val="00731237"/>
    <w:rsid w:val="00731245"/>
    <w:rsid w:val="00731A22"/>
    <w:rsid w:val="0073207E"/>
    <w:rsid w:val="00732523"/>
    <w:rsid w:val="00732664"/>
    <w:rsid w:val="007328B9"/>
    <w:rsid w:val="00732BA7"/>
    <w:rsid w:val="007333EA"/>
    <w:rsid w:val="00733601"/>
    <w:rsid w:val="00733A57"/>
    <w:rsid w:val="00733F36"/>
    <w:rsid w:val="00733F6F"/>
    <w:rsid w:val="007340CE"/>
    <w:rsid w:val="00734781"/>
    <w:rsid w:val="007349FC"/>
    <w:rsid w:val="00734B6F"/>
    <w:rsid w:val="00734DFD"/>
    <w:rsid w:val="00734FF5"/>
    <w:rsid w:val="007351A5"/>
    <w:rsid w:val="00735293"/>
    <w:rsid w:val="00735376"/>
    <w:rsid w:val="0073558F"/>
    <w:rsid w:val="007363EA"/>
    <w:rsid w:val="00736A02"/>
    <w:rsid w:val="00736E06"/>
    <w:rsid w:val="00736E37"/>
    <w:rsid w:val="00737286"/>
    <w:rsid w:val="007373DB"/>
    <w:rsid w:val="00737847"/>
    <w:rsid w:val="00737F27"/>
    <w:rsid w:val="00737FD3"/>
    <w:rsid w:val="00740240"/>
    <w:rsid w:val="007403D5"/>
    <w:rsid w:val="007407DB"/>
    <w:rsid w:val="00740AF0"/>
    <w:rsid w:val="00740BFC"/>
    <w:rsid w:val="00740F76"/>
    <w:rsid w:val="00741037"/>
    <w:rsid w:val="00741D4D"/>
    <w:rsid w:val="00742088"/>
    <w:rsid w:val="007422B3"/>
    <w:rsid w:val="00742402"/>
    <w:rsid w:val="007424BF"/>
    <w:rsid w:val="00742997"/>
    <w:rsid w:val="00743442"/>
    <w:rsid w:val="007435F1"/>
    <w:rsid w:val="00743DDD"/>
    <w:rsid w:val="00744620"/>
    <w:rsid w:val="00744625"/>
    <w:rsid w:val="007446BB"/>
    <w:rsid w:val="00744AF1"/>
    <w:rsid w:val="00744C06"/>
    <w:rsid w:val="007455BB"/>
    <w:rsid w:val="00745882"/>
    <w:rsid w:val="00745A04"/>
    <w:rsid w:val="00745A0F"/>
    <w:rsid w:val="00745C91"/>
    <w:rsid w:val="00745DFD"/>
    <w:rsid w:val="00746048"/>
    <w:rsid w:val="00746197"/>
    <w:rsid w:val="0074689C"/>
    <w:rsid w:val="00746B3F"/>
    <w:rsid w:val="00747117"/>
    <w:rsid w:val="00747314"/>
    <w:rsid w:val="007473A9"/>
    <w:rsid w:val="007479C2"/>
    <w:rsid w:val="00747B0D"/>
    <w:rsid w:val="00747BB8"/>
    <w:rsid w:val="007503EA"/>
    <w:rsid w:val="00751452"/>
    <w:rsid w:val="007521A5"/>
    <w:rsid w:val="00752488"/>
    <w:rsid w:val="00753566"/>
    <w:rsid w:val="00753704"/>
    <w:rsid w:val="00753959"/>
    <w:rsid w:val="00753A39"/>
    <w:rsid w:val="00753DD6"/>
    <w:rsid w:val="00754A4A"/>
    <w:rsid w:val="00754FC1"/>
    <w:rsid w:val="00755466"/>
    <w:rsid w:val="007566FB"/>
    <w:rsid w:val="007567A8"/>
    <w:rsid w:val="00756D6A"/>
    <w:rsid w:val="0075728B"/>
    <w:rsid w:val="007575F6"/>
    <w:rsid w:val="0075761B"/>
    <w:rsid w:val="00760141"/>
    <w:rsid w:val="0076043F"/>
    <w:rsid w:val="00760D17"/>
    <w:rsid w:val="00760E3D"/>
    <w:rsid w:val="00760F66"/>
    <w:rsid w:val="00761150"/>
    <w:rsid w:val="007611F8"/>
    <w:rsid w:val="00761200"/>
    <w:rsid w:val="00761931"/>
    <w:rsid w:val="00761BD1"/>
    <w:rsid w:val="007627BA"/>
    <w:rsid w:val="0076291E"/>
    <w:rsid w:val="00762B16"/>
    <w:rsid w:val="00762C76"/>
    <w:rsid w:val="00762D81"/>
    <w:rsid w:val="0076317B"/>
    <w:rsid w:val="007634D0"/>
    <w:rsid w:val="007643D5"/>
    <w:rsid w:val="0076473C"/>
    <w:rsid w:val="00765366"/>
    <w:rsid w:val="00765914"/>
    <w:rsid w:val="00765F7A"/>
    <w:rsid w:val="0076614D"/>
    <w:rsid w:val="0076624C"/>
    <w:rsid w:val="0076627D"/>
    <w:rsid w:val="00766304"/>
    <w:rsid w:val="007668D4"/>
    <w:rsid w:val="00766AAD"/>
    <w:rsid w:val="00767A28"/>
    <w:rsid w:val="00767DD2"/>
    <w:rsid w:val="00770264"/>
    <w:rsid w:val="0077082B"/>
    <w:rsid w:val="00770E60"/>
    <w:rsid w:val="007710D0"/>
    <w:rsid w:val="00771C8F"/>
    <w:rsid w:val="0077266E"/>
    <w:rsid w:val="0077292E"/>
    <w:rsid w:val="00772A5F"/>
    <w:rsid w:val="00772FED"/>
    <w:rsid w:val="007737D4"/>
    <w:rsid w:val="007737D8"/>
    <w:rsid w:val="0077391C"/>
    <w:rsid w:val="00773D24"/>
    <w:rsid w:val="00774375"/>
    <w:rsid w:val="00774576"/>
    <w:rsid w:val="007745DA"/>
    <w:rsid w:val="007746C2"/>
    <w:rsid w:val="0077508A"/>
    <w:rsid w:val="00775475"/>
    <w:rsid w:val="00775567"/>
    <w:rsid w:val="00775E0D"/>
    <w:rsid w:val="00776343"/>
    <w:rsid w:val="00776416"/>
    <w:rsid w:val="00776C7B"/>
    <w:rsid w:val="00776CEF"/>
    <w:rsid w:val="00777423"/>
    <w:rsid w:val="00777DA3"/>
    <w:rsid w:val="00777E7E"/>
    <w:rsid w:val="00777EFA"/>
    <w:rsid w:val="007804DD"/>
    <w:rsid w:val="00780663"/>
    <w:rsid w:val="00780C09"/>
    <w:rsid w:val="00780EC1"/>
    <w:rsid w:val="00780F3B"/>
    <w:rsid w:val="0078115B"/>
    <w:rsid w:val="007816EE"/>
    <w:rsid w:val="00781C50"/>
    <w:rsid w:val="00781E77"/>
    <w:rsid w:val="00782071"/>
    <w:rsid w:val="00782432"/>
    <w:rsid w:val="00782783"/>
    <w:rsid w:val="00782946"/>
    <w:rsid w:val="00782ECD"/>
    <w:rsid w:val="0078324C"/>
    <w:rsid w:val="007835E1"/>
    <w:rsid w:val="0078363B"/>
    <w:rsid w:val="00783CCF"/>
    <w:rsid w:val="00783F5B"/>
    <w:rsid w:val="00784609"/>
    <w:rsid w:val="00784720"/>
    <w:rsid w:val="0078481D"/>
    <w:rsid w:val="00784D91"/>
    <w:rsid w:val="00784F08"/>
    <w:rsid w:val="007855E1"/>
    <w:rsid w:val="007859FC"/>
    <w:rsid w:val="00785B55"/>
    <w:rsid w:val="00785F1E"/>
    <w:rsid w:val="00785F4C"/>
    <w:rsid w:val="0078609C"/>
    <w:rsid w:val="00786355"/>
    <w:rsid w:val="00787370"/>
    <w:rsid w:val="007874AE"/>
    <w:rsid w:val="0078750B"/>
    <w:rsid w:val="00787A31"/>
    <w:rsid w:val="00787F5E"/>
    <w:rsid w:val="0079024D"/>
    <w:rsid w:val="00791069"/>
    <w:rsid w:val="007911B8"/>
    <w:rsid w:val="00791DAE"/>
    <w:rsid w:val="00792872"/>
    <w:rsid w:val="007930E8"/>
    <w:rsid w:val="00793747"/>
    <w:rsid w:val="00793759"/>
    <w:rsid w:val="00793A57"/>
    <w:rsid w:val="00793A9C"/>
    <w:rsid w:val="00793D67"/>
    <w:rsid w:val="00793EF6"/>
    <w:rsid w:val="00793F28"/>
    <w:rsid w:val="007944D2"/>
    <w:rsid w:val="0079457A"/>
    <w:rsid w:val="007945A9"/>
    <w:rsid w:val="00794AC7"/>
    <w:rsid w:val="00794B19"/>
    <w:rsid w:val="00794B83"/>
    <w:rsid w:val="00794FFA"/>
    <w:rsid w:val="00795B8D"/>
    <w:rsid w:val="00795E34"/>
    <w:rsid w:val="00795F0E"/>
    <w:rsid w:val="007961D5"/>
    <w:rsid w:val="00796B21"/>
    <w:rsid w:val="007973B9"/>
    <w:rsid w:val="0079798B"/>
    <w:rsid w:val="00797D8F"/>
    <w:rsid w:val="007A0501"/>
    <w:rsid w:val="007A0C00"/>
    <w:rsid w:val="007A0E15"/>
    <w:rsid w:val="007A137F"/>
    <w:rsid w:val="007A176E"/>
    <w:rsid w:val="007A18A2"/>
    <w:rsid w:val="007A19BF"/>
    <w:rsid w:val="007A211D"/>
    <w:rsid w:val="007A2A69"/>
    <w:rsid w:val="007A2CF1"/>
    <w:rsid w:val="007A3290"/>
    <w:rsid w:val="007A349D"/>
    <w:rsid w:val="007A3579"/>
    <w:rsid w:val="007A384E"/>
    <w:rsid w:val="007A3DA8"/>
    <w:rsid w:val="007A3EDF"/>
    <w:rsid w:val="007A41B5"/>
    <w:rsid w:val="007A41E2"/>
    <w:rsid w:val="007A4486"/>
    <w:rsid w:val="007A4682"/>
    <w:rsid w:val="007A4DDF"/>
    <w:rsid w:val="007A5879"/>
    <w:rsid w:val="007A58A8"/>
    <w:rsid w:val="007A5B3D"/>
    <w:rsid w:val="007A5BDC"/>
    <w:rsid w:val="007A6194"/>
    <w:rsid w:val="007A6276"/>
    <w:rsid w:val="007A629D"/>
    <w:rsid w:val="007A64DF"/>
    <w:rsid w:val="007A6610"/>
    <w:rsid w:val="007A69FA"/>
    <w:rsid w:val="007A6D51"/>
    <w:rsid w:val="007A6DD3"/>
    <w:rsid w:val="007A6FF3"/>
    <w:rsid w:val="007A70BB"/>
    <w:rsid w:val="007A714F"/>
    <w:rsid w:val="007A7169"/>
    <w:rsid w:val="007A71DC"/>
    <w:rsid w:val="007A76B8"/>
    <w:rsid w:val="007A7963"/>
    <w:rsid w:val="007A7A04"/>
    <w:rsid w:val="007B04FF"/>
    <w:rsid w:val="007B0976"/>
    <w:rsid w:val="007B0CAC"/>
    <w:rsid w:val="007B149B"/>
    <w:rsid w:val="007B15F3"/>
    <w:rsid w:val="007B1701"/>
    <w:rsid w:val="007B1B5F"/>
    <w:rsid w:val="007B1C32"/>
    <w:rsid w:val="007B1DBB"/>
    <w:rsid w:val="007B1E0F"/>
    <w:rsid w:val="007B2319"/>
    <w:rsid w:val="007B2DBF"/>
    <w:rsid w:val="007B2FBF"/>
    <w:rsid w:val="007B3BCD"/>
    <w:rsid w:val="007B3E13"/>
    <w:rsid w:val="007B4044"/>
    <w:rsid w:val="007B4046"/>
    <w:rsid w:val="007B4300"/>
    <w:rsid w:val="007B4DF0"/>
    <w:rsid w:val="007B4FCE"/>
    <w:rsid w:val="007B520F"/>
    <w:rsid w:val="007B55D5"/>
    <w:rsid w:val="007B5602"/>
    <w:rsid w:val="007B565C"/>
    <w:rsid w:val="007B595F"/>
    <w:rsid w:val="007B5D75"/>
    <w:rsid w:val="007B5E97"/>
    <w:rsid w:val="007B6177"/>
    <w:rsid w:val="007B63C4"/>
    <w:rsid w:val="007B6D5E"/>
    <w:rsid w:val="007B7115"/>
    <w:rsid w:val="007B736B"/>
    <w:rsid w:val="007B7851"/>
    <w:rsid w:val="007C012E"/>
    <w:rsid w:val="007C055A"/>
    <w:rsid w:val="007C0853"/>
    <w:rsid w:val="007C0C90"/>
    <w:rsid w:val="007C0E07"/>
    <w:rsid w:val="007C0E86"/>
    <w:rsid w:val="007C1CD7"/>
    <w:rsid w:val="007C1D04"/>
    <w:rsid w:val="007C21CD"/>
    <w:rsid w:val="007C249E"/>
    <w:rsid w:val="007C26CF"/>
    <w:rsid w:val="007C271B"/>
    <w:rsid w:val="007C2C14"/>
    <w:rsid w:val="007C2D63"/>
    <w:rsid w:val="007C2ECF"/>
    <w:rsid w:val="007C3A55"/>
    <w:rsid w:val="007C3D67"/>
    <w:rsid w:val="007C404B"/>
    <w:rsid w:val="007C4166"/>
    <w:rsid w:val="007C44E1"/>
    <w:rsid w:val="007C479E"/>
    <w:rsid w:val="007C48DD"/>
    <w:rsid w:val="007C4A05"/>
    <w:rsid w:val="007C5711"/>
    <w:rsid w:val="007C57B9"/>
    <w:rsid w:val="007C5969"/>
    <w:rsid w:val="007C6325"/>
    <w:rsid w:val="007C6CAD"/>
    <w:rsid w:val="007C73A3"/>
    <w:rsid w:val="007C7669"/>
    <w:rsid w:val="007C7975"/>
    <w:rsid w:val="007C7CC3"/>
    <w:rsid w:val="007C7EF5"/>
    <w:rsid w:val="007D003E"/>
    <w:rsid w:val="007D0227"/>
    <w:rsid w:val="007D061F"/>
    <w:rsid w:val="007D06AC"/>
    <w:rsid w:val="007D0741"/>
    <w:rsid w:val="007D09C6"/>
    <w:rsid w:val="007D0A53"/>
    <w:rsid w:val="007D0FFC"/>
    <w:rsid w:val="007D1013"/>
    <w:rsid w:val="007D140E"/>
    <w:rsid w:val="007D1618"/>
    <w:rsid w:val="007D1794"/>
    <w:rsid w:val="007D19AD"/>
    <w:rsid w:val="007D19EC"/>
    <w:rsid w:val="007D1B28"/>
    <w:rsid w:val="007D2608"/>
    <w:rsid w:val="007D30C3"/>
    <w:rsid w:val="007D315E"/>
    <w:rsid w:val="007D3351"/>
    <w:rsid w:val="007D35AC"/>
    <w:rsid w:val="007D36B1"/>
    <w:rsid w:val="007D36D7"/>
    <w:rsid w:val="007D3BA1"/>
    <w:rsid w:val="007D3EC8"/>
    <w:rsid w:val="007D3FAA"/>
    <w:rsid w:val="007D4074"/>
    <w:rsid w:val="007D40AC"/>
    <w:rsid w:val="007D4317"/>
    <w:rsid w:val="007D45D6"/>
    <w:rsid w:val="007D4C12"/>
    <w:rsid w:val="007D4E34"/>
    <w:rsid w:val="007D57E0"/>
    <w:rsid w:val="007D5962"/>
    <w:rsid w:val="007D5A2B"/>
    <w:rsid w:val="007D6213"/>
    <w:rsid w:val="007D63B2"/>
    <w:rsid w:val="007D651D"/>
    <w:rsid w:val="007D6FEE"/>
    <w:rsid w:val="007D71B7"/>
    <w:rsid w:val="007D73D5"/>
    <w:rsid w:val="007D7C66"/>
    <w:rsid w:val="007D7CF3"/>
    <w:rsid w:val="007D7DC0"/>
    <w:rsid w:val="007E0274"/>
    <w:rsid w:val="007E02A7"/>
    <w:rsid w:val="007E0358"/>
    <w:rsid w:val="007E0415"/>
    <w:rsid w:val="007E0991"/>
    <w:rsid w:val="007E0B2C"/>
    <w:rsid w:val="007E0BD1"/>
    <w:rsid w:val="007E0F93"/>
    <w:rsid w:val="007E107F"/>
    <w:rsid w:val="007E22C2"/>
    <w:rsid w:val="007E2463"/>
    <w:rsid w:val="007E264C"/>
    <w:rsid w:val="007E2FD7"/>
    <w:rsid w:val="007E310B"/>
    <w:rsid w:val="007E3275"/>
    <w:rsid w:val="007E38DA"/>
    <w:rsid w:val="007E3D65"/>
    <w:rsid w:val="007E3EE2"/>
    <w:rsid w:val="007E47E7"/>
    <w:rsid w:val="007E4A98"/>
    <w:rsid w:val="007E4EB6"/>
    <w:rsid w:val="007E5DD7"/>
    <w:rsid w:val="007E6228"/>
    <w:rsid w:val="007E6FB9"/>
    <w:rsid w:val="007E709D"/>
    <w:rsid w:val="007E7139"/>
    <w:rsid w:val="007E7366"/>
    <w:rsid w:val="007E7499"/>
    <w:rsid w:val="007E7805"/>
    <w:rsid w:val="007E7EA1"/>
    <w:rsid w:val="007E7EA4"/>
    <w:rsid w:val="007E7FC5"/>
    <w:rsid w:val="007F0079"/>
    <w:rsid w:val="007F03CE"/>
    <w:rsid w:val="007F04D3"/>
    <w:rsid w:val="007F0F0B"/>
    <w:rsid w:val="007F113C"/>
    <w:rsid w:val="007F137D"/>
    <w:rsid w:val="007F17B5"/>
    <w:rsid w:val="007F182A"/>
    <w:rsid w:val="007F234A"/>
    <w:rsid w:val="007F25BA"/>
    <w:rsid w:val="007F28F0"/>
    <w:rsid w:val="007F2D8D"/>
    <w:rsid w:val="007F2EBF"/>
    <w:rsid w:val="007F3044"/>
    <w:rsid w:val="007F3249"/>
    <w:rsid w:val="007F36DC"/>
    <w:rsid w:val="007F3704"/>
    <w:rsid w:val="007F3C03"/>
    <w:rsid w:val="007F4657"/>
    <w:rsid w:val="007F4A02"/>
    <w:rsid w:val="007F5609"/>
    <w:rsid w:val="007F5625"/>
    <w:rsid w:val="007F568A"/>
    <w:rsid w:val="007F59F7"/>
    <w:rsid w:val="007F5E21"/>
    <w:rsid w:val="007F6413"/>
    <w:rsid w:val="007F676E"/>
    <w:rsid w:val="007F6B11"/>
    <w:rsid w:val="007F6E2B"/>
    <w:rsid w:val="007F7D12"/>
    <w:rsid w:val="007F7F02"/>
    <w:rsid w:val="0080005F"/>
    <w:rsid w:val="00800258"/>
    <w:rsid w:val="00800C97"/>
    <w:rsid w:val="00801C16"/>
    <w:rsid w:val="0080220F"/>
    <w:rsid w:val="008022B6"/>
    <w:rsid w:val="008026A7"/>
    <w:rsid w:val="00802735"/>
    <w:rsid w:val="00802770"/>
    <w:rsid w:val="008028C2"/>
    <w:rsid w:val="00802DDB"/>
    <w:rsid w:val="00802FC1"/>
    <w:rsid w:val="00803445"/>
    <w:rsid w:val="008037D8"/>
    <w:rsid w:val="00803B7E"/>
    <w:rsid w:val="00803DA6"/>
    <w:rsid w:val="00803FB9"/>
    <w:rsid w:val="008040D9"/>
    <w:rsid w:val="0080436E"/>
    <w:rsid w:val="0080473B"/>
    <w:rsid w:val="00804937"/>
    <w:rsid w:val="00804C02"/>
    <w:rsid w:val="00804C07"/>
    <w:rsid w:val="00804E1E"/>
    <w:rsid w:val="00804E43"/>
    <w:rsid w:val="008050F5"/>
    <w:rsid w:val="0080519C"/>
    <w:rsid w:val="0080553F"/>
    <w:rsid w:val="0080571C"/>
    <w:rsid w:val="0080582F"/>
    <w:rsid w:val="00805B7A"/>
    <w:rsid w:val="00805E3C"/>
    <w:rsid w:val="00805E48"/>
    <w:rsid w:val="00806552"/>
    <w:rsid w:val="00807ADD"/>
    <w:rsid w:val="0081077A"/>
    <w:rsid w:val="00810BC2"/>
    <w:rsid w:val="00810C1E"/>
    <w:rsid w:val="00810C87"/>
    <w:rsid w:val="00811647"/>
    <w:rsid w:val="00811683"/>
    <w:rsid w:val="00811AFF"/>
    <w:rsid w:val="00812373"/>
    <w:rsid w:val="00812C7C"/>
    <w:rsid w:val="00812D30"/>
    <w:rsid w:val="00813394"/>
    <w:rsid w:val="00813677"/>
    <w:rsid w:val="00813F3A"/>
    <w:rsid w:val="008140E8"/>
    <w:rsid w:val="008148D4"/>
    <w:rsid w:val="0081491F"/>
    <w:rsid w:val="00814941"/>
    <w:rsid w:val="00814A65"/>
    <w:rsid w:val="00814BD9"/>
    <w:rsid w:val="008158AC"/>
    <w:rsid w:val="00815BEC"/>
    <w:rsid w:val="00815F76"/>
    <w:rsid w:val="008161B8"/>
    <w:rsid w:val="00816805"/>
    <w:rsid w:val="00816BE8"/>
    <w:rsid w:val="00816CD5"/>
    <w:rsid w:val="00816DBD"/>
    <w:rsid w:val="00816FE2"/>
    <w:rsid w:val="00817062"/>
    <w:rsid w:val="0081739E"/>
    <w:rsid w:val="0081785D"/>
    <w:rsid w:val="00817991"/>
    <w:rsid w:val="00817F58"/>
    <w:rsid w:val="008203C5"/>
    <w:rsid w:val="00820684"/>
    <w:rsid w:val="00820B84"/>
    <w:rsid w:val="00821748"/>
    <w:rsid w:val="0082199B"/>
    <w:rsid w:val="00821C2A"/>
    <w:rsid w:val="00821C61"/>
    <w:rsid w:val="008227B7"/>
    <w:rsid w:val="008230E9"/>
    <w:rsid w:val="008238E7"/>
    <w:rsid w:val="00823915"/>
    <w:rsid w:val="008243A8"/>
    <w:rsid w:val="00824925"/>
    <w:rsid w:val="00824C8B"/>
    <w:rsid w:val="008252E8"/>
    <w:rsid w:val="00825BA8"/>
    <w:rsid w:val="00825C14"/>
    <w:rsid w:val="00826313"/>
    <w:rsid w:val="0082641D"/>
    <w:rsid w:val="008267CA"/>
    <w:rsid w:val="0082691A"/>
    <w:rsid w:val="00826E45"/>
    <w:rsid w:val="008270A4"/>
    <w:rsid w:val="008270EE"/>
    <w:rsid w:val="0082722B"/>
    <w:rsid w:val="0082745B"/>
    <w:rsid w:val="00827C1B"/>
    <w:rsid w:val="00827F76"/>
    <w:rsid w:val="00827FF9"/>
    <w:rsid w:val="00830048"/>
    <w:rsid w:val="0083016B"/>
    <w:rsid w:val="008301F1"/>
    <w:rsid w:val="00830235"/>
    <w:rsid w:val="008303F1"/>
    <w:rsid w:val="008306AB"/>
    <w:rsid w:val="00830C0E"/>
    <w:rsid w:val="00830DD6"/>
    <w:rsid w:val="008313E0"/>
    <w:rsid w:val="008317EC"/>
    <w:rsid w:val="0083195D"/>
    <w:rsid w:val="00831B7B"/>
    <w:rsid w:val="00831D90"/>
    <w:rsid w:val="00832485"/>
    <w:rsid w:val="008324F3"/>
    <w:rsid w:val="00832691"/>
    <w:rsid w:val="008327F2"/>
    <w:rsid w:val="0083296B"/>
    <w:rsid w:val="00832B8A"/>
    <w:rsid w:val="00833547"/>
    <w:rsid w:val="00833852"/>
    <w:rsid w:val="00833967"/>
    <w:rsid w:val="00833AB9"/>
    <w:rsid w:val="00833B62"/>
    <w:rsid w:val="0083407C"/>
    <w:rsid w:val="0083436A"/>
    <w:rsid w:val="00834820"/>
    <w:rsid w:val="00834A6D"/>
    <w:rsid w:val="00834C82"/>
    <w:rsid w:val="00834DB6"/>
    <w:rsid w:val="00834F93"/>
    <w:rsid w:val="00835063"/>
    <w:rsid w:val="00835F72"/>
    <w:rsid w:val="00840C4A"/>
    <w:rsid w:val="00841029"/>
    <w:rsid w:val="008411B9"/>
    <w:rsid w:val="0084122F"/>
    <w:rsid w:val="00841573"/>
    <w:rsid w:val="00841D08"/>
    <w:rsid w:val="00842A0F"/>
    <w:rsid w:val="00842D43"/>
    <w:rsid w:val="0084323E"/>
    <w:rsid w:val="00843D50"/>
    <w:rsid w:val="008441D9"/>
    <w:rsid w:val="0084464E"/>
    <w:rsid w:val="008458BF"/>
    <w:rsid w:val="008461BA"/>
    <w:rsid w:val="00846262"/>
    <w:rsid w:val="00846370"/>
    <w:rsid w:val="008463E8"/>
    <w:rsid w:val="00847665"/>
    <w:rsid w:val="008478B7"/>
    <w:rsid w:val="00847925"/>
    <w:rsid w:val="00847BC5"/>
    <w:rsid w:val="00847F11"/>
    <w:rsid w:val="00850010"/>
    <w:rsid w:val="008503F4"/>
    <w:rsid w:val="008504A0"/>
    <w:rsid w:val="00850996"/>
    <w:rsid w:val="00850AC1"/>
    <w:rsid w:val="00850C2A"/>
    <w:rsid w:val="00850DFA"/>
    <w:rsid w:val="00851331"/>
    <w:rsid w:val="008516D1"/>
    <w:rsid w:val="00851CC8"/>
    <w:rsid w:val="00852003"/>
    <w:rsid w:val="0085212C"/>
    <w:rsid w:val="0085223F"/>
    <w:rsid w:val="00852708"/>
    <w:rsid w:val="008529FD"/>
    <w:rsid w:val="00852F9E"/>
    <w:rsid w:val="00854053"/>
    <w:rsid w:val="008543AC"/>
    <w:rsid w:val="008548B8"/>
    <w:rsid w:val="00854965"/>
    <w:rsid w:val="00854FF2"/>
    <w:rsid w:val="008554D1"/>
    <w:rsid w:val="00855897"/>
    <w:rsid w:val="008558E0"/>
    <w:rsid w:val="00856456"/>
    <w:rsid w:val="00856570"/>
    <w:rsid w:val="008568BD"/>
    <w:rsid w:val="008569E0"/>
    <w:rsid w:val="008570C0"/>
    <w:rsid w:val="0085745B"/>
    <w:rsid w:val="00857AF7"/>
    <w:rsid w:val="00857BE5"/>
    <w:rsid w:val="00860109"/>
    <w:rsid w:val="008601BD"/>
    <w:rsid w:val="00860324"/>
    <w:rsid w:val="00860359"/>
    <w:rsid w:val="00860942"/>
    <w:rsid w:val="00860C5B"/>
    <w:rsid w:val="00860E43"/>
    <w:rsid w:val="00861252"/>
    <w:rsid w:val="008612CB"/>
    <w:rsid w:val="0086171A"/>
    <w:rsid w:val="0086226C"/>
    <w:rsid w:val="008629A1"/>
    <w:rsid w:val="008637E1"/>
    <w:rsid w:val="00863B23"/>
    <w:rsid w:val="00863C07"/>
    <w:rsid w:val="00863DD4"/>
    <w:rsid w:val="008640B7"/>
    <w:rsid w:val="00864379"/>
    <w:rsid w:val="008644A4"/>
    <w:rsid w:val="0086476A"/>
    <w:rsid w:val="00864A6C"/>
    <w:rsid w:val="00864B5C"/>
    <w:rsid w:val="00864BB1"/>
    <w:rsid w:val="00864DF7"/>
    <w:rsid w:val="00865278"/>
    <w:rsid w:val="008654F9"/>
    <w:rsid w:val="008658C0"/>
    <w:rsid w:val="00866388"/>
    <w:rsid w:val="008666E8"/>
    <w:rsid w:val="0086676C"/>
    <w:rsid w:val="00866FE3"/>
    <w:rsid w:val="0086716F"/>
    <w:rsid w:val="0086722D"/>
    <w:rsid w:val="00867459"/>
    <w:rsid w:val="00867D56"/>
    <w:rsid w:val="00867D70"/>
    <w:rsid w:val="0087018F"/>
    <w:rsid w:val="0087051D"/>
    <w:rsid w:val="00870646"/>
    <w:rsid w:val="008706C3"/>
    <w:rsid w:val="00870BAA"/>
    <w:rsid w:val="00870D91"/>
    <w:rsid w:val="008710C1"/>
    <w:rsid w:val="008716D1"/>
    <w:rsid w:val="008716ED"/>
    <w:rsid w:val="008718AD"/>
    <w:rsid w:val="0087193F"/>
    <w:rsid w:val="008724E6"/>
    <w:rsid w:val="008728C8"/>
    <w:rsid w:val="0087317F"/>
    <w:rsid w:val="00873205"/>
    <w:rsid w:val="008735E8"/>
    <w:rsid w:val="00873662"/>
    <w:rsid w:val="0087377E"/>
    <w:rsid w:val="00873A1D"/>
    <w:rsid w:val="008741EE"/>
    <w:rsid w:val="008742F7"/>
    <w:rsid w:val="00874594"/>
    <w:rsid w:val="00874776"/>
    <w:rsid w:val="0087487C"/>
    <w:rsid w:val="00874A07"/>
    <w:rsid w:val="00874B75"/>
    <w:rsid w:val="00874DCF"/>
    <w:rsid w:val="00874F2B"/>
    <w:rsid w:val="00875007"/>
    <w:rsid w:val="008750DB"/>
    <w:rsid w:val="008751B4"/>
    <w:rsid w:val="0087527F"/>
    <w:rsid w:val="008754B5"/>
    <w:rsid w:val="00875AF3"/>
    <w:rsid w:val="008762E7"/>
    <w:rsid w:val="008765E9"/>
    <w:rsid w:val="00876605"/>
    <w:rsid w:val="00876B13"/>
    <w:rsid w:val="00876E47"/>
    <w:rsid w:val="00877940"/>
    <w:rsid w:val="00877A52"/>
    <w:rsid w:val="00877B67"/>
    <w:rsid w:val="00880017"/>
    <w:rsid w:val="00880305"/>
    <w:rsid w:val="0088088A"/>
    <w:rsid w:val="00880A3F"/>
    <w:rsid w:val="00880EE2"/>
    <w:rsid w:val="00881155"/>
    <w:rsid w:val="008813BC"/>
    <w:rsid w:val="00881604"/>
    <w:rsid w:val="00881732"/>
    <w:rsid w:val="008818A2"/>
    <w:rsid w:val="008818AC"/>
    <w:rsid w:val="00881B6D"/>
    <w:rsid w:val="00881FF9"/>
    <w:rsid w:val="0088213D"/>
    <w:rsid w:val="008821C6"/>
    <w:rsid w:val="0088243D"/>
    <w:rsid w:val="0088251A"/>
    <w:rsid w:val="00882530"/>
    <w:rsid w:val="00882AE6"/>
    <w:rsid w:val="00882D28"/>
    <w:rsid w:val="008836B1"/>
    <w:rsid w:val="00883A35"/>
    <w:rsid w:val="00883A67"/>
    <w:rsid w:val="00883E35"/>
    <w:rsid w:val="00884319"/>
    <w:rsid w:val="008848E9"/>
    <w:rsid w:val="00884B74"/>
    <w:rsid w:val="00884FD8"/>
    <w:rsid w:val="00885244"/>
    <w:rsid w:val="008857C7"/>
    <w:rsid w:val="008858B3"/>
    <w:rsid w:val="00885BF6"/>
    <w:rsid w:val="00885EAD"/>
    <w:rsid w:val="008866CF"/>
    <w:rsid w:val="00886782"/>
    <w:rsid w:val="008867F7"/>
    <w:rsid w:val="008869A1"/>
    <w:rsid w:val="00886B3F"/>
    <w:rsid w:val="00887756"/>
    <w:rsid w:val="008878B9"/>
    <w:rsid w:val="0089015D"/>
    <w:rsid w:val="0089021A"/>
    <w:rsid w:val="0089022E"/>
    <w:rsid w:val="00890475"/>
    <w:rsid w:val="00890A7C"/>
    <w:rsid w:val="00890CE5"/>
    <w:rsid w:val="00890D11"/>
    <w:rsid w:val="00891095"/>
    <w:rsid w:val="008910EE"/>
    <w:rsid w:val="00891A26"/>
    <w:rsid w:val="00891BCE"/>
    <w:rsid w:val="008921A8"/>
    <w:rsid w:val="008923F8"/>
    <w:rsid w:val="008928F1"/>
    <w:rsid w:val="00892BBF"/>
    <w:rsid w:val="00892DB5"/>
    <w:rsid w:val="0089314F"/>
    <w:rsid w:val="0089387F"/>
    <w:rsid w:val="00893F27"/>
    <w:rsid w:val="00893F8F"/>
    <w:rsid w:val="008942BD"/>
    <w:rsid w:val="008945D8"/>
    <w:rsid w:val="00894654"/>
    <w:rsid w:val="0089478A"/>
    <w:rsid w:val="0089480A"/>
    <w:rsid w:val="00894B91"/>
    <w:rsid w:val="00894D46"/>
    <w:rsid w:val="00894FE5"/>
    <w:rsid w:val="00895658"/>
    <w:rsid w:val="008956DA"/>
    <w:rsid w:val="00895BA9"/>
    <w:rsid w:val="00895D79"/>
    <w:rsid w:val="0089601B"/>
    <w:rsid w:val="0089655D"/>
    <w:rsid w:val="00896784"/>
    <w:rsid w:val="00896C56"/>
    <w:rsid w:val="00897051"/>
    <w:rsid w:val="00897824"/>
    <w:rsid w:val="00897BCB"/>
    <w:rsid w:val="00897C07"/>
    <w:rsid w:val="00897DBA"/>
    <w:rsid w:val="008A02FA"/>
    <w:rsid w:val="008A06A8"/>
    <w:rsid w:val="008A0BCE"/>
    <w:rsid w:val="008A0E6C"/>
    <w:rsid w:val="008A1187"/>
    <w:rsid w:val="008A1AAC"/>
    <w:rsid w:val="008A204E"/>
    <w:rsid w:val="008A2081"/>
    <w:rsid w:val="008A20CA"/>
    <w:rsid w:val="008A239B"/>
    <w:rsid w:val="008A25DA"/>
    <w:rsid w:val="008A25E2"/>
    <w:rsid w:val="008A28B6"/>
    <w:rsid w:val="008A2956"/>
    <w:rsid w:val="008A2B59"/>
    <w:rsid w:val="008A2BE6"/>
    <w:rsid w:val="008A2EA1"/>
    <w:rsid w:val="008A2EF6"/>
    <w:rsid w:val="008A325B"/>
    <w:rsid w:val="008A332F"/>
    <w:rsid w:val="008A3480"/>
    <w:rsid w:val="008A3642"/>
    <w:rsid w:val="008A3C36"/>
    <w:rsid w:val="008A4606"/>
    <w:rsid w:val="008A4F3C"/>
    <w:rsid w:val="008A51AD"/>
    <w:rsid w:val="008A53BA"/>
    <w:rsid w:val="008A551D"/>
    <w:rsid w:val="008A56BA"/>
    <w:rsid w:val="008A570A"/>
    <w:rsid w:val="008A58E4"/>
    <w:rsid w:val="008A58E7"/>
    <w:rsid w:val="008A5945"/>
    <w:rsid w:val="008A595E"/>
    <w:rsid w:val="008A5C1D"/>
    <w:rsid w:val="008A5E85"/>
    <w:rsid w:val="008A615A"/>
    <w:rsid w:val="008A6255"/>
    <w:rsid w:val="008A6357"/>
    <w:rsid w:val="008A64AA"/>
    <w:rsid w:val="008A650C"/>
    <w:rsid w:val="008A659A"/>
    <w:rsid w:val="008A66E1"/>
    <w:rsid w:val="008A66E8"/>
    <w:rsid w:val="008A6A36"/>
    <w:rsid w:val="008A6CB9"/>
    <w:rsid w:val="008A6DC1"/>
    <w:rsid w:val="008A6DD4"/>
    <w:rsid w:val="008A7083"/>
    <w:rsid w:val="008A7100"/>
    <w:rsid w:val="008A7139"/>
    <w:rsid w:val="008A7387"/>
    <w:rsid w:val="008A776D"/>
    <w:rsid w:val="008A7BE8"/>
    <w:rsid w:val="008A7C74"/>
    <w:rsid w:val="008B003F"/>
    <w:rsid w:val="008B03BD"/>
    <w:rsid w:val="008B04C0"/>
    <w:rsid w:val="008B04FC"/>
    <w:rsid w:val="008B09E1"/>
    <w:rsid w:val="008B0A83"/>
    <w:rsid w:val="008B0DCF"/>
    <w:rsid w:val="008B0E93"/>
    <w:rsid w:val="008B0F7E"/>
    <w:rsid w:val="008B0F8D"/>
    <w:rsid w:val="008B198D"/>
    <w:rsid w:val="008B1FC5"/>
    <w:rsid w:val="008B23A8"/>
    <w:rsid w:val="008B24AB"/>
    <w:rsid w:val="008B29A4"/>
    <w:rsid w:val="008B2BB4"/>
    <w:rsid w:val="008B2C30"/>
    <w:rsid w:val="008B320E"/>
    <w:rsid w:val="008B36FB"/>
    <w:rsid w:val="008B3C2B"/>
    <w:rsid w:val="008B4679"/>
    <w:rsid w:val="008B494B"/>
    <w:rsid w:val="008B4D00"/>
    <w:rsid w:val="008B4D13"/>
    <w:rsid w:val="008B4E78"/>
    <w:rsid w:val="008B4FE2"/>
    <w:rsid w:val="008B53A1"/>
    <w:rsid w:val="008B5C7B"/>
    <w:rsid w:val="008B61A1"/>
    <w:rsid w:val="008B66EE"/>
    <w:rsid w:val="008B670A"/>
    <w:rsid w:val="008B6793"/>
    <w:rsid w:val="008B6E87"/>
    <w:rsid w:val="008B7588"/>
    <w:rsid w:val="008B75C2"/>
    <w:rsid w:val="008B787A"/>
    <w:rsid w:val="008B7921"/>
    <w:rsid w:val="008C077D"/>
    <w:rsid w:val="008C09DB"/>
    <w:rsid w:val="008C0A89"/>
    <w:rsid w:val="008C0CBD"/>
    <w:rsid w:val="008C0E71"/>
    <w:rsid w:val="008C1852"/>
    <w:rsid w:val="008C29AF"/>
    <w:rsid w:val="008C2AF0"/>
    <w:rsid w:val="008C2CFF"/>
    <w:rsid w:val="008C2E1E"/>
    <w:rsid w:val="008C2E22"/>
    <w:rsid w:val="008C2E93"/>
    <w:rsid w:val="008C2ED2"/>
    <w:rsid w:val="008C3BD8"/>
    <w:rsid w:val="008C3D4D"/>
    <w:rsid w:val="008C4026"/>
    <w:rsid w:val="008C417E"/>
    <w:rsid w:val="008C5B51"/>
    <w:rsid w:val="008C5F0A"/>
    <w:rsid w:val="008C6105"/>
    <w:rsid w:val="008C6124"/>
    <w:rsid w:val="008C6334"/>
    <w:rsid w:val="008C66BD"/>
    <w:rsid w:val="008C68BD"/>
    <w:rsid w:val="008C6968"/>
    <w:rsid w:val="008C6DA1"/>
    <w:rsid w:val="008C72E6"/>
    <w:rsid w:val="008C742A"/>
    <w:rsid w:val="008C74C7"/>
    <w:rsid w:val="008C7648"/>
    <w:rsid w:val="008C76A5"/>
    <w:rsid w:val="008C76D5"/>
    <w:rsid w:val="008C7714"/>
    <w:rsid w:val="008C7F4F"/>
    <w:rsid w:val="008D007F"/>
    <w:rsid w:val="008D00F3"/>
    <w:rsid w:val="008D03C3"/>
    <w:rsid w:val="008D07D7"/>
    <w:rsid w:val="008D0F27"/>
    <w:rsid w:val="008D11F0"/>
    <w:rsid w:val="008D15A2"/>
    <w:rsid w:val="008D1839"/>
    <w:rsid w:val="008D18CD"/>
    <w:rsid w:val="008D1C12"/>
    <w:rsid w:val="008D1F4E"/>
    <w:rsid w:val="008D1F86"/>
    <w:rsid w:val="008D20E0"/>
    <w:rsid w:val="008D2126"/>
    <w:rsid w:val="008D2B6E"/>
    <w:rsid w:val="008D335C"/>
    <w:rsid w:val="008D341F"/>
    <w:rsid w:val="008D35B7"/>
    <w:rsid w:val="008D3D10"/>
    <w:rsid w:val="008D4007"/>
    <w:rsid w:val="008D436A"/>
    <w:rsid w:val="008D46D3"/>
    <w:rsid w:val="008D4C72"/>
    <w:rsid w:val="008D4CF8"/>
    <w:rsid w:val="008D5291"/>
    <w:rsid w:val="008D5368"/>
    <w:rsid w:val="008D561B"/>
    <w:rsid w:val="008D582B"/>
    <w:rsid w:val="008D5CF9"/>
    <w:rsid w:val="008D5D0A"/>
    <w:rsid w:val="008D6794"/>
    <w:rsid w:val="008D6F61"/>
    <w:rsid w:val="008D7282"/>
    <w:rsid w:val="008D77AE"/>
    <w:rsid w:val="008D7F65"/>
    <w:rsid w:val="008E004A"/>
    <w:rsid w:val="008E0178"/>
    <w:rsid w:val="008E02F8"/>
    <w:rsid w:val="008E089B"/>
    <w:rsid w:val="008E12AF"/>
    <w:rsid w:val="008E1342"/>
    <w:rsid w:val="008E17F3"/>
    <w:rsid w:val="008E1DC9"/>
    <w:rsid w:val="008E1F11"/>
    <w:rsid w:val="008E211C"/>
    <w:rsid w:val="008E24E4"/>
    <w:rsid w:val="008E25C5"/>
    <w:rsid w:val="008E26AB"/>
    <w:rsid w:val="008E28EC"/>
    <w:rsid w:val="008E2BB3"/>
    <w:rsid w:val="008E2BC5"/>
    <w:rsid w:val="008E2C79"/>
    <w:rsid w:val="008E3176"/>
    <w:rsid w:val="008E3564"/>
    <w:rsid w:val="008E3A0B"/>
    <w:rsid w:val="008E3A90"/>
    <w:rsid w:val="008E3AAB"/>
    <w:rsid w:val="008E3C05"/>
    <w:rsid w:val="008E4043"/>
    <w:rsid w:val="008E42BF"/>
    <w:rsid w:val="008E4520"/>
    <w:rsid w:val="008E4F0F"/>
    <w:rsid w:val="008E54E8"/>
    <w:rsid w:val="008E5740"/>
    <w:rsid w:val="008E5868"/>
    <w:rsid w:val="008E5ADB"/>
    <w:rsid w:val="008E5DC8"/>
    <w:rsid w:val="008E5F70"/>
    <w:rsid w:val="008E6465"/>
    <w:rsid w:val="008E6C57"/>
    <w:rsid w:val="008E6FEF"/>
    <w:rsid w:val="008E7082"/>
    <w:rsid w:val="008E725B"/>
    <w:rsid w:val="008E72AF"/>
    <w:rsid w:val="008F0062"/>
    <w:rsid w:val="008F069E"/>
    <w:rsid w:val="008F0952"/>
    <w:rsid w:val="008F1154"/>
    <w:rsid w:val="008F1B84"/>
    <w:rsid w:val="008F1B9D"/>
    <w:rsid w:val="008F1DB6"/>
    <w:rsid w:val="008F337C"/>
    <w:rsid w:val="008F33A8"/>
    <w:rsid w:val="008F3563"/>
    <w:rsid w:val="008F39C0"/>
    <w:rsid w:val="008F39E4"/>
    <w:rsid w:val="008F408D"/>
    <w:rsid w:val="008F4E63"/>
    <w:rsid w:val="008F57CD"/>
    <w:rsid w:val="008F5960"/>
    <w:rsid w:val="008F5CD0"/>
    <w:rsid w:val="008F629A"/>
    <w:rsid w:val="008F6422"/>
    <w:rsid w:val="008F648A"/>
    <w:rsid w:val="008F6A9B"/>
    <w:rsid w:val="008F6AFD"/>
    <w:rsid w:val="008F6F03"/>
    <w:rsid w:val="008F7603"/>
    <w:rsid w:val="008F769D"/>
    <w:rsid w:val="008F76B7"/>
    <w:rsid w:val="008F76D4"/>
    <w:rsid w:val="008F76DC"/>
    <w:rsid w:val="008F7AC2"/>
    <w:rsid w:val="008F7D2F"/>
    <w:rsid w:val="00900201"/>
    <w:rsid w:val="00900274"/>
    <w:rsid w:val="0090066C"/>
    <w:rsid w:val="00900DF7"/>
    <w:rsid w:val="009013C5"/>
    <w:rsid w:val="0090147B"/>
    <w:rsid w:val="00901499"/>
    <w:rsid w:val="00901649"/>
    <w:rsid w:val="009019D7"/>
    <w:rsid w:val="00901AB6"/>
    <w:rsid w:val="00901CBA"/>
    <w:rsid w:val="00901CBF"/>
    <w:rsid w:val="00901DC6"/>
    <w:rsid w:val="009021DC"/>
    <w:rsid w:val="0090254E"/>
    <w:rsid w:val="00903026"/>
    <w:rsid w:val="0090313D"/>
    <w:rsid w:val="0090357B"/>
    <w:rsid w:val="009036DC"/>
    <w:rsid w:val="00903832"/>
    <w:rsid w:val="00903A97"/>
    <w:rsid w:val="009042D0"/>
    <w:rsid w:val="009044BE"/>
    <w:rsid w:val="009048EB"/>
    <w:rsid w:val="00904913"/>
    <w:rsid w:val="009049AC"/>
    <w:rsid w:val="00904B73"/>
    <w:rsid w:val="00904B8A"/>
    <w:rsid w:val="00904C15"/>
    <w:rsid w:val="009050B3"/>
    <w:rsid w:val="00905298"/>
    <w:rsid w:val="00905593"/>
    <w:rsid w:val="00905945"/>
    <w:rsid w:val="00905FEB"/>
    <w:rsid w:val="00906164"/>
    <w:rsid w:val="00906252"/>
    <w:rsid w:val="0090672E"/>
    <w:rsid w:val="009067F3"/>
    <w:rsid w:val="009068C6"/>
    <w:rsid w:val="00906A4F"/>
    <w:rsid w:val="00906BD6"/>
    <w:rsid w:val="00906EFF"/>
    <w:rsid w:val="00907074"/>
    <w:rsid w:val="009073C7"/>
    <w:rsid w:val="009078B7"/>
    <w:rsid w:val="009078BA"/>
    <w:rsid w:val="009079C7"/>
    <w:rsid w:val="009079F7"/>
    <w:rsid w:val="00907B44"/>
    <w:rsid w:val="00907B56"/>
    <w:rsid w:val="00907C33"/>
    <w:rsid w:val="009108D2"/>
    <w:rsid w:val="00910C20"/>
    <w:rsid w:val="00910FE1"/>
    <w:rsid w:val="00910FE6"/>
    <w:rsid w:val="0091106A"/>
    <w:rsid w:val="0091144D"/>
    <w:rsid w:val="00911C09"/>
    <w:rsid w:val="00911D1C"/>
    <w:rsid w:val="00912BFF"/>
    <w:rsid w:val="00912F38"/>
    <w:rsid w:val="00912F45"/>
    <w:rsid w:val="00912F55"/>
    <w:rsid w:val="0091340D"/>
    <w:rsid w:val="00913C58"/>
    <w:rsid w:val="009140B4"/>
    <w:rsid w:val="00914174"/>
    <w:rsid w:val="0091428A"/>
    <w:rsid w:val="00914733"/>
    <w:rsid w:val="0091495E"/>
    <w:rsid w:val="00914AA5"/>
    <w:rsid w:val="0091574C"/>
    <w:rsid w:val="009162DD"/>
    <w:rsid w:val="009163E7"/>
    <w:rsid w:val="0091640E"/>
    <w:rsid w:val="00916431"/>
    <w:rsid w:val="009166F2"/>
    <w:rsid w:val="0091671A"/>
    <w:rsid w:val="009169F6"/>
    <w:rsid w:val="00916C33"/>
    <w:rsid w:val="0091719D"/>
    <w:rsid w:val="009175AB"/>
    <w:rsid w:val="00917903"/>
    <w:rsid w:val="00917B9D"/>
    <w:rsid w:val="00917BEA"/>
    <w:rsid w:val="00917C12"/>
    <w:rsid w:val="00917CB0"/>
    <w:rsid w:val="00920189"/>
    <w:rsid w:val="00920203"/>
    <w:rsid w:val="009203A2"/>
    <w:rsid w:val="00920410"/>
    <w:rsid w:val="009204EC"/>
    <w:rsid w:val="00920666"/>
    <w:rsid w:val="00920997"/>
    <w:rsid w:val="00920B1E"/>
    <w:rsid w:val="00920DD5"/>
    <w:rsid w:val="00921161"/>
    <w:rsid w:val="00921577"/>
    <w:rsid w:val="0092236D"/>
    <w:rsid w:val="00922492"/>
    <w:rsid w:val="009224EB"/>
    <w:rsid w:val="009225DD"/>
    <w:rsid w:val="00922621"/>
    <w:rsid w:val="0092272F"/>
    <w:rsid w:val="00922BE2"/>
    <w:rsid w:val="00922EDE"/>
    <w:rsid w:val="009237D9"/>
    <w:rsid w:val="00923A17"/>
    <w:rsid w:val="00923EB9"/>
    <w:rsid w:val="0092406C"/>
    <w:rsid w:val="00924096"/>
    <w:rsid w:val="009240D8"/>
    <w:rsid w:val="009243BC"/>
    <w:rsid w:val="009244D5"/>
    <w:rsid w:val="0092523A"/>
    <w:rsid w:val="009252F1"/>
    <w:rsid w:val="00925366"/>
    <w:rsid w:val="00925588"/>
    <w:rsid w:val="00925A0E"/>
    <w:rsid w:val="00925AF5"/>
    <w:rsid w:val="00925C4F"/>
    <w:rsid w:val="00925EA0"/>
    <w:rsid w:val="009261FC"/>
    <w:rsid w:val="00926268"/>
    <w:rsid w:val="00926416"/>
    <w:rsid w:val="009264A2"/>
    <w:rsid w:val="00926DF4"/>
    <w:rsid w:val="0092715D"/>
    <w:rsid w:val="00927299"/>
    <w:rsid w:val="00927585"/>
    <w:rsid w:val="00927E88"/>
    <w:rsid w:val="00930632"/>
    <w:rsid w:val="009310BC"/>
    <w:rsid w:val="0093163A"/>
    <w:rsid w:val="00931D3F"/>
    <w:rsid w:val="009324C4"/>
    <w:rsid w:val="00932671"/>
    <w:rsid w:val="00932928"/>
    <w:rsid w:val="00932A7A"/>
    <w:rsid w:val="00932D12"/>
    <w:rsid w:val="00932D26"/>
    <w:rsid w:val="00932D49"/>
    <w:rsid w:val="009330BF"/>
    <w:rsid w:val="00933817"/>
    <w:rsid w:val="00933C87"/>
    <w:rsid w:val="00933EE7"/>
    <w:rsid w:val="00934510"/>
    <w:rsid w:val="0093476C"/>
    <w:rsid w:val="00935640"/>
    <w:rsid w:val="00935A1E"/>
    <w:rsid w:val="00935AA3"/>
    <w:rsid w:val="00935B7C"/>
    <w:rsid w:val="00935BC9"/>
    <w:rsid w:val="00935E3A"/>
    <w:rsid w:val="00936005"/>
    <w:rsid w:val="0093607C"/>
    <w:rsid w:val="009363E8"/>
    <w:rsid w:val="00936939"/>
    <w:rsid w:val="00936C5C"/>
    <w:rsid w:val="00937F4A"/>
    <w:rsid w:val="00940008"/>
    <w:rsid w:val="00940FFA"/>
    <w:rsid w:val="00941503"/>
    <w:rsid w:val="0094187D"/>
    <w:rsid w:val="00941A4A"/>
    <w:rsid w:val="00942134"/>
    <w:rsid w:val="009423ED"/>
    <w:rsid w:val="00942C90"/>
    <w:rsid w:val="00942F29"/>
    <w:rsid w:val="00942FB6"/>
    <w:rsid w:val="00942FEB"/>
    <w:rsid w:val="009430E1"/>
    <w:rsid w:val="009434EB"/>
    <w:rsid w:val="00943EA6"/>
    <w:rsid w:val="00944089"/>
    <w:rsid w:val="009443F2"/>
    <w:rsid w:val="00944510"/>
    <w:rsid w:val="009448F2"/>
    <w:rsid w:val="009451E0"/>
    <w:rsid w:val="0094524B"/>
    <w:rsid w:val="009456E3"/>
    <w:rsid w:val="00945759"/>
    <w:rsid w:val="00945925"/>
    <w:rsid w:val="00945949"/>
    <w:rsid w:val="00945FEB"/>
    <w:rsid w:val="009466E9"/>
    <w:rsid w:val="00946C02"/>
    <w:rsid w:val="00946CB3"/>
    <w:rsid w:val="00946D20"/>
    <w:rsid w:val="00946E51"/>
    <w:rsid w:val="009470FE"/>
    <w:rsid w:val="009473F4"/>
    <w:rsid w:val="0094767D"/>
    <w:rsid w:val="009478DA"/>
    <w:rsid w:val="00947930"/>
    <w:rsid w:val="009479B2"/>
    <w:rsid w:val="00947C9D"/>
    <w:rsid w:val="00947D89"/>
    <w:rsid w:val="00947EB9"/>
    <w:rsid w:val="00950231"/>
    <w:rsid w:val="00950794"/>
    <w:rsid w:val="009507AA"/>
    <w:rsid w:val="009509EF"/>
    <w:rsid w:val="009515CA"/>
    <w:rsid w:val="00951691"/>
    <w:rsid w:val="00951FCE"/>
    <w:rsid w:val="0095200F"/>
    <w:rsid w:val="009521CC"/>
    <w:rsid w:val="0095226C"/>
    <w:rsid w:val="0095251C"/>
    <w:rsid w:val="0095269B"/>
    <w:rsid w:val="00952C05"/>
    <w:rsid w:val="00952D52"/>
    <w:rsid w:val="00952D88"/>
    <w:rsid w:val="0095382B"/>
    <w:rsid w:val="009540B7"/>
    <w:rsid w:val="009543D0"/>
    <w:rsid w:val="00954405"/>
    <w:rsid w:val="0095448C"/>
    <w:rsid w:val="00954AF9"/>
    <w:rsid w:val="00954DAE"/>
    <w:rsid w:val="00954E43"/>
    <w:rsid w:val="00955410"/>
    <w:rsid w:val="009554A4"/>
    <w:rsid w:val="009558EE"/>
    <w:rsid w:val="009559D5"/>
    <w:rsid w:val="00955C17"/>
    <w:rsid w:val="00955EC5"/>
    <w:rsid w:val="00955FFA"/>
    <w:rsid w:val="00956170"/>
    <w:rsid w:val="00956BA1"/>
    <w:rsid w:val="00956D42"/>
    <w:rsid w:val="00956F0F"/>
    <w:rsid w:val="0095727F"/>
    <w:rsid w:val="009572AF"/>
    <w:rsid w:val="00957BAF"/>
    <w:rsid w:val="00957E41"/>
    <w:rsid w:val="0096016E"/>
    <w:rsid w:val="0096023A"/>
    <w:rsid w:val="009607AB"/>
    <w:rsid w:val="00961154"/>
    <w:rsid w:val="00961243"/>
    <w:rsid w:val="009615DB"/>
    <w:rsid w:val="00961B2E"/>
    <w:rsid w:val="009625E6"/>
    <w:rsid w:val="00962683"/>
    <w:rsid w:val="00962760"/>
    <w:rsid w:val="00962E23"/>
    <w:rsid w:val="009633ED"/>
    <w:rsid w:val="00964622"/>
    <w:rsid w:val="0096487C"/>
    <w:rsid w:val="00964B45"/>
    <w:rsid w:val="00964BC2"/>
    <w:rsid w:val="00964D4A"/>
    <w:rsid w:val="00964EAE"/>
    <w:rsid w:val="00965023"/>
    <w:rsid w:val="009650B7"/>
    <w:rsid w:val="0096515D"/>
    <w:rsid w:val="00965841"/>
    <w:rsid w:val="00966623"/>
    <w:rsid w:val="00967195"/>
    <w:rsid w:val="009678DB"/>
    <w:rsid w:val="00967F25"/>
    <w:rsid w:val="00970728"/>
    <w:rsid w:val="009707C9"/>
    <w:rsid w:val="00971303"/>
    <w:rsid w:val="00971615"/>
    <w:rsid w:val="00971E0B"/>
    <w:rsid w:val="00972101"/>
    <w:rsid w:val="00972285"/>
    <w:rsid w:val="009723CC"/>
    <w:rsid w:val="0097288E"/>
    <w:rsid w:val="00972947"/>
    <w:rsid w:val="00972FB5"/>
    <w:rsid w:val="00973607"/>
    <w:rsid w:val="009736FE"/>
    <w:rsid w:val="00973B96"/>
    <w:rsid w:val="00973E3C"/>
    <w:rsid w:val="009742EA"/>
    <w:rsid w:val="00974763"/>
    <w:rsid w:val="009757CA"/>
    <w:rsid w:val="00976E76"/>
    <w:rsid w:val="00977A14"/>
    <w:rsid w:val="00977E58"/>
    <w:rsid w:val="00977E9B"/>
    <w:rsid w:val="009807BF"/>
    <w:rsid w:val="00980848"/>
    <w:rsid w:val="009809CE"/>
    <w:rsid w:val="0098131F"/>
    <w:rsid w:val="00981479"/>
    <w:rsid w:val="009814DA"/>
    <w:rsid w:val="00981614"/>
    <w:rsid w:val="00981A85"/>
    <w:rsid w:val="00981CF0"/>
    <w:rsid w:val="00981E05"/>
    <w:rsid w:val="00981F74"/>
    <w:rsid w:val="0098237C"/>
    <w:rsid w:val="009829B3"/>
    <w:rsid w:val="00982C31"/>
    <w:rsid w:val="00982D45"/>
    <w:rsid w:val="00983131"/>
    <w:rsid w:val="00983165"/>
    <w:rsid w:val="00983343"/>
    <w:rsid w:val="009833C4"/>
    <w:rsid w:val="009833C6"/>
    <w:rsid w:val="009834E0"/>
    <w:rsid w:val="009838FF"/>
    <w:rsid w:val="0098410C"/>
    <w:rsid w:val="00984149"/>
    <w:rsid w:val="009843F8"/>
    <w:rsid w:val="009846BB"/>
    <w:rsid w:val="00984788"/>
    <w:rsid w:val="00984909"/>
    <w:rsid w:val="00984AC9"/>
    <w:rsid w:val="00984FF3"/>
    <w:rsid w:val="00984FF9"/>
    <w:rsid w:val="009850C5"/>
    <w:rsid w:val="009851A6"/>
    <w:rsid w:val="0098581A"/>
    <w:rsid w:val="00985DAD"/>
    <w:rsid w:val="00986326"/>
    <w:rsid w:val="00986849"/>
    <w:rsid w:val="00986852"/>
    <w:rsid w:val="00986BB7"/>
    <w:rsid w:val="00986D32"/>
    <w:rsid w:val="00986D4B"/>
    <w:rsid w:val="00986F6D"/>
    <w:rsid w:val="0098727C"/>
    <w:rsid w:val="00987708"/>
    <w:rsid w:val="00987944"/>
    <w:rsid w:val="00987DF0"/>
    <w:rsid w:val="00987E2E"/>
    <w:rsid w:val="0099008B"/>
    <w:rsid w:val="00990101"/>
    <w:rsid w:val="0099031D"/>
    <w:rsid w:val="00990AD3"/>
    <w:rsid w:val="0099177B"/>
    <w:rsid w:val="00991B8C"/>
    <w:rsid w:val="00991C48"/>
    <w:rsid w:val="00991DED"/>
    <w:rsid w:val="00991FAA"/>
    <w:rsid w:val="00993060"/>
    <w:rsid w:val="0099367E"/>
    <w:rsid w:val="00993E67"/>
    <w:rsid w:val="00993FE4"/>
    <w:rsid w:val="0099425E"/>
    <w:rsid w:val="0099439D"/>
    <w:rsid w:val="00994592"/>
    <w:rsid w:val="00994942"/>
    <w:rsid w:val="00994A58"/>
    <w:rsid w:val="00994CDC"/>
    <w:rsid w:val="0099510E"/>
    <w:rsid w:val="00995AB4"/>
    <w:rsid w:val="00995AC3"/>
    <w:rsid w:val="0099687C"/>
    <w:rsid w:val="009969CD"/>
    <w:rsid w:val="009974EA"/>
    <w:rsid w:val="0099770A"/>
    <w:rsid w:val="00997769"/>
    <w:rsid w:val="00997A2E"/>
    <w:rsid w:val="009A02E8"/>
    <w:rsid w:val="009A048E"/>
    <w:rsid w:val="009A0CDA"/>
    <w:rsid w:val="009A107E"/>
    <w:rsid w:val="009A119F"/>
    <w:rsid w:val="009A1609"/>
    <w:rsid w:val="009A16A3"/>
    <w:rsid w:val="009A1702"/>
    <w:rsid w:val="009A1A7E"/>
    <w:rsid w:val="009A297F"/>
    <w:rsid w:val="009A3480"/>
    <w:rsid w:val="009A3DB8"/>
    <w:rsid w:val="009A41B4"/>
    <w:rsid w:val="009A43B3"/>
    <w:rsid w:val="009A464D"/>
    <w:rsid w:val="009A496F"/>
    <w:rsid w:val="009A4B78"/>
    <w:rsid w:val="009A4C02"/>
    <w:rsid w:val="009A4D73"/>
    <w:rsid w:val="009A4E41"/>
    <w:rsid w:val="009A5297"/>
    <w:rsid w:val="009A5851"/>
    <w:rsid w:val="009A58E0"/>
    <w:rsid w:val="009A5D40"/>
    <w:rsid w:val="009A5E10"/>
    <w:rsid w:val="009A5E40"/>
    <w:rsid w:val="009A5EF4"/>
    <w:rsid w:val="009A6273"/>
    <w:rsid w:val="009A6665"/>
    <w:rsid w:val="009A72AC"/>
    <w:rsid w:val="009A743F"/>
    <w:rsid w:val="009A74F7"/>
    <w:rsid w:val="009A7D55"/>
    <w:rsid w:val="009A7FF0"/>
    <w:rsid w:val="009B00F2"/>
    <w:rsid w:val="009B0602"/>
    <w:rsid w:val="009B0FB2"/>
    <w:rsid w:val="009B1113"/>
    <w:rsid w:val="009B17CB"/>
    <w:rsid w:val="009B19C0"/>
    <w:rsid w:val="009B1C34"/>
    <w:rsid w:val="009B1D22"/>
    <w:rsid w:val="009B1E86"/>
    <w:rsid w:val="009B1EA3"/>
    <w:rsid w:val="009B24B1"/>
    <w:rsid w:val="009B27C4"/>
    <w:rsid w:val="009B2BE6"/>
    <w:rsid w:val="009B2CAF"/>
    <w:rsid w:val="009B2D92"/>
    <w:rsid w:val="009B31DE"/>
    <w:rsid w:val="009B3250"/>
    <w:rsid w:val="009B333D"/>
    <w:rsid w:val="009B33C3"/>
    <w:rsid w:val="009B3D24"/>
    <w:rsid w:val="009B42D2"/>
    <w:rsid w:val="009B4A06"/>
    <w:rsid w:val="009B5F7E"/>
    <w:rsid w:val="009B60EA"/>
    <w:rsid w:val="009B6B3C"/>
    <w:rsid w:val="009B6DAB"/>
    <w:rsid w:val="009B70C8"/>
    <w:rsid w:val="009B737C"/>
    <w:rsid w:val="009B73E7"/>
    <w:rsid w:val="009B742E"/>
    <w:rsid w:val="009C0AC6"/>
    <w:rsid w:val="009C0D5F"/>
    <w:rsid w:val="009C11B2"/>
    <w:rsid w:val="009C1456"/>
    <w:rsid w:val="009C164F"/>
    <w:rsid w:val="009C1C30"/>
    <w:rsid w:val="009C1F38"/>
    <w:rsid w:val="009C1F6E"/>
    <w:rsid w:val="009C22DD"/>
    <w:rsid w:val="009C26AB"/>
    <w:rsid w:val="009C29D5"/>
    <w:rsid w:val="009C30A0"/>
    <w:rsid w:val="009C359E"/>
    <w:rsid w:val="009C37FE"/>
    <w:rsid w:val="009C3D5F"/>
    <w:rsid w:val="009C3F1E"/>
    <w:rsid w:val="009C4082"/>
    <w:rsid w:val="009C48F7"/>
    <w:rsid w:val="009C4A38"/>
    <w:rsid w:val="009C4A72"/>
    <w:rsid w:val="009C4AD8"/>
    <w:rsid w:val="009C4D3D"/>
    <w:rsid w:val="009C5303"/>
    <w:rsid w:val="009C55E2"/>
    <w:rsid w:val="009C5A4E"/>
    <w:rsid w:val="009C5EE5"/>
    <w:rsid w:val="009C61E3"/>
    <w:rsid w:val="009C67E8"/>
    <w:rsid w:val="009C6B56"/>
    <w:rsid w:val="009C7018"/>
    <w:rsid w:val="009C7335"/>
    <w:rsid w:val="009C774B"/>
    <w:rsid w:val="009C7DB8"/>
    <w:rsid w:val="009C7E6D"/>
    <w:rsid w:val="009C7FF0"/>
    <w:rsid w:val="009D010D"/>
    <w:rsid w:val="009D0130"/>
    <w:rsid w:val="009D0244"/>
    <w:rsid w:val="009D0AAD"/>
    <w:rsid w:val="009D0F71"/>
    <w:rsid w:val="009D111C"/>
    <w:rsid w:val="009D13FB"/>
    <w:rsid w:val="009D16CA"/>
    <w:rsid w:val="009D17A0"/>
    <w:rsid w:val="009D1903"/>
    <w:rsid w:val="009D1F7A"/>
    <w:rsid w:val="009D2873"/>
    <w:rsid w:val="009D2942"/>
    <w:rsid w:val="009D2BE9"/>
    <w:rsid w:val="009D31E4"/>
    <w:rsid w:val="009D3A1A"/>
    <w:rsid w:val="009D426A"/>
    <w:rsid w:val="009D4275"/>
    <w:rsid w:val="009D493E"/>
    <w:rsid w:val="009D51C2"/>
    <w:rsid w:val="009D5BDB"/>
    <w:rsid w:val="009D6B03"/>
    <w:rsid w:val="009D6B3D"/>
    <w:rsid w:val="009D72F7"/>
    <w:rsid w:val="009D7422"/>
    <w:rsid w:val="009D78E7"/>
    <w:rsid w:val="009D7979"/>
    <w:rsid w:val="009D7E96"/>
    <w:rsid w:val="009E0742"/>
    <w:rsid w:val="009E0B29"/>
    <w:rsid w:val="009E0B97"/>
    <w:rsid w:val="009E1291"/>
    <w:rsid w:val="009E12BC"/>
    <w:rsid w:val="009E139D"/>
    <w:rsid w:val="009E1BE9"/>
    <w:rsid w:val="009E224D"/>
    <w:rsid w:val="009E26D5"/>
    <w:rsid w:val="009E2A07"/>
    <w:rsid w:val="009E2B4F"/>
    <w:rsid w:val="009E3398"/>
    <w:rsid w:val="009E33CF"/>
    <w:rsid w:val="009E3577"/>
    <w:rsid w:val="009E37A5"/>
    <w:rsid w:val="009E395B"/>
    <w:rsid w:val="009E3D2B"/>
    <w:rsid w:val="009E3E84"/>
    <w:rsid w:val="009E4097"/>
    <w:rsid w:val="009E44B3"/>
    <w:rsid w:val="009E4664"/>
    <w:rsid w:val="009E4D8E"/>
    <w:rsid w:val="009E4E90"/>
    <w:rsid w:val="009E4EB7"/>
    <w:rsid w:val="009E57C1"/>
    <w:rsid w:val="009E624A"/>
    <w:rsid w:val="009E640E"/>
    <w:rsid w:val="009E6566"/>
    <w:rsid w:val="009E6864"/>
    <w:rsid w:val="009E6B32"/>
    <w:rsid w:val="009E7039"/>
    <w:rsid w:val="009E70F3"/>
    <w:rsid w:val="009E7308"/>
    <w:rsid w:val="009E750E"/>
    <w:rsid w:val="009E7B71"/>
    <w:rsid w:val="009E7E98"/>
    <w:rsid w:val="009F00EE"/>
    <w:rsid w:val="009F0827"/>
    <w:rsid w:val="009F0A07"/>
    <w:rsid w:val="009F0BED"/>
    <w:rsid w:val="009F0F55"/>
    <w:rsid w:val="009F1673"/>
    <w:rsid w:val="009F25D5"/>
    <w:rsid w:val="009F263A"/>
    <w:rsid w:val="009F2A4E"/>
    <w:rsid w:val="009F2EE6"/>
    <w:rsid w:val="009F3255"/>
    <w:rsid w:val="009F34AA"/>
    <w:rsid w:val="009F3A19"/>
    <w:rsid w:val="009F3C63"/>
    <w:rsid w:val="009F3DCE"/>
    <w:rsid w:val="009F3F29"/>
    <w:rsid w:val="009F4298"/>
    <w:rsid w:val="009F44FF"/>
    <w:rsid w:val="009F45E2"/>
    <w:rsid w:val="009F46E8"/>
    <w:rsid w:val="009F472D"/>
    <w:rsid w:val="009F4CF0"/>
    <w:rsid w:val="009F4E88"/>
    <w:rsid w:val="009F50D1"/>
    <w:rsid w:val="009F539C"/>
    <w:rsid w:val="009F573B"/>
    <w:rsid w:val="009F5918"/>
    <w:rsid w:val="009F596D"/>
    <w:rsid w:val="009F6A91"/>
    <w:rsid w:val="009F6AA9"/>
    <w:rsid w:val="009F6C72"/>
    <w:rsid w:val="009F71A6"/>
    <w:rsid w:val="009F71AA"/>
    <w:rsid w:val="009F754A"/>
    <w:rsid w:val="009F791F"/>
    <w:rsid w:val="009F7A7E"/>
    <w:rsid w:val="009F7F86"/>
    <w:rsid w:val="00A00164"/>
    <w:rsid w:val="00A0034D"/>
    <w:rsid w:val="00A00970"/>
    <w:rsid w:val="00A00BFB"/>
    <w:rsid w:val="00A00DCF"/>
    <w:rsid w:val="00A01105"/>
    <w:rsid w:val="00A0126C"/>
    <w:rsid w:val="00A012DA"/>
    <w:rsid w:val="00A0187E"/>
    <w:rsid w:val="00A0193F"/>
    <w:rsid w:val="00A023A6"/>
    <w:rsid w:val="00A026F0"/>
    <w:rsid w:val="00A02F2D"/>
    <w:rsid w:val="00A02F61"/>
    <w:rsid w:val="00A03E0E"/>
    <w:rsid w:val="00A040D1"/>
    <w:rsid w:val="00A0441D"/>
    <w:rsid w:val="00A044B7"/>
    <w:rsid w:val="00A04A0A"/>
    <w:rsid w:val="00A04EB8"/>
    <w:rsid w:val="00A050A8"/>
    <w:rsid w:val="00A0537E"/>
    <w:rsid w:val="00A054F5"/>
    <w:rsid w:val="00A056A3"/>
    <w:rsid w:val="00A059AF"/>
    <w:rsid w:val="00A05B51"/>
    <w:rsid w:val="00A05B6F"/>
    <w:rsid w:val="00A05FF0"/>
    <w:rsid w:val="00A06089"/>
    <w:rsid w:val="00A06286"/>
    <w:rsid w:val="00A06318"/>
    <w:rsid w:val="00A063BC"/>
    <w:rsid w:val="00A067D7"/>
    <w:rsid w:val="00A068E1"/>
    <w:rsid w:val="00A06A80"/>
    <w:rsid w:val="00A06D8A"/>
    <w:rsid w:val="00A0711F"/>
    <w:rsid w:val="00A0777B"/>
    <w:rsid w:val="00A07B0B"/>
    <w:rsid w:val="00A07E2F"/>
    <w:rsid w:val="00A102A0"/>
    <w:rsid w:val="00A10860"/>
    <w:rsid w:val="00A114FA"/>
    <w:rsid w:val="00A11527"/>
    <w:rsid w:val="00A11AF3"/>
    <w:rsid w:val="00A122B3"/>
    <w:rsid w:val="00A122BB"/>
    <w:rsid w:val="00A1257F"/>
    <w:rsid w:val="00A12ACF"/>
    <w:rsid w:val="00A12C09"/>
    <w:rsid w:val="00A13084"/>
    <w:rsid w:val="00A1327F"/>
    <w:rsid w:val="00A13817"/>
    <w:rsid w:val="00A13859"/>
    <w:rsid w:val="00A138D3"/>
    <w:rsid w:val="00A13E0F"/>
    <w:rsid w:val="00A144B7"/>
    <w:rsid w:val="00A149B4"/>
    <w:rsid w:val="00A152A0"/>
    <w:rsid w:val="00A152D3"/>
    <w:rsid w:val="00A15F4F"/>
    <w:rsid w:val="00A160AB"/>
    <w:rsid w:val="00A16745"/>
    <w:rsid w:val="00A16747"/>
    <w:rsid w:val="00A16B03"/>
    <w:rsid w:val="00A17E24"/>
    <w:rsid w:val="00A17E93"/>
    <w:rsid w:val="00A20013"/>
    <w:rsid w:val="00A200E6"/>
    <w:rsid w:val="00A2056F"/>
    <w:rsid w:val="00A20582"/>
    <w:rsid w:val="00A20C65"/>
    <w:rsid w:val="00A2106B"/>
    <w:rsid w:val="00A21767"/>
    <w:rsid w:val="00A21FD5"/>
    <w:rsid w:val="00A22751"/>
    <w:rsid w:val="00A22940"/>
    <w:rsid w:val="00A22C96"/>
    <w:rsid w:val="00A23102"/>
    <w:rsid w:val="00A233D8"/>
    <w:rsid w:val="00A2343F"/>
    <w:rsid w:val="00A23505"/>
    <w:rsid w:val="00A236AC"/>
    <w:rsid w:val="00A236B1"/>
    <w:rsid w:val="00A237D0"/>
    <w:rsid w:val="00A23A4D"/>
    <w:rsid w:val="00A2428B"/>
    <w:rsid w:val="00A2433B"/>
    <w:rsid w:val="00A247E5"/>
    <w:rsid w:val="00A248BD"/>
    <w:rsid w:val="00A24D81"/>
    <w:rsid w:val="00A24EA5"/>
    <w:rsid w:val="00A25173"/>
    <w:rsid w:val="00A252F0"/>
    <w:rsid w:val="00A254EA"/>
    <w:rsid w:val="00A25602"/>
    <w:rsid w:val="00A259F2"/>
    <w:rsid w:val="00A263F6"/>
    <w:rsid w:val="00A26463"/>
    <w:rsid w:val="00A2660E"/>
    <w:rsid w:val="00A26916"/>
    <w:rsid w:val="00A26B47"/>
    <w:rsid w:val="00A26C56"/>
    <w:rsid w:val="00A26FF1"/>
    <w:rsid w:val="00A27547"/>
    <w:rsid w:val="00A27776"/>
    <w:rsid w:val="00A27806"/>
    <w:rsid w:val="00A27E86"/>
    <w:rsid w:val="00A3068C"/>
    <w:rsid w:val="00A30D88"/>
    <w:rsid w:val="00A30EC5"/>
    <w:rsid w:val="00A3127F"/>
    <w:rsid w:val="00A31922"/>
    <w:rsid w:val="00A31A00"/>
    <w:rsid w:val="00A31BCC"/>
    <w:rsid w:val="00A31C70"/>
    <w:rsid w:val="00A31C87"/>
    <w:rsid w:val="00A325BB"/>
    <w:rsid w:val="00A3297A"/>
    <w:rsid w:val="00A32A58"/>
    <w:rsid w:val="00A32EEC"/>
    <w:rsid w:val="00A336C5"/>
    <w:rsid w:val="00A339D9"/>
    <w:rsid w:val="00A33BD6"/>
    <w:rsid w:val="00A3510A"/>
    <w:rsid w:val="00A3515F"/>
    <w:rsid w:val="00A35751"/>
    <w:rsid w:val="00A3577F"/>
    <w:rsid w:val="00A358C3"/>
    <w:rsid w:val="00A35BBC"/>
    <w:rsid w:val="00A35DAB"/>
    <w:rsid w:val="00A35F0D"/>
    <w:rsid w:val="00A36724"/>
    <w:rsid w:val="00A367AF"/>
    <w:rsid w:val="00A36C13"/>
    <w:rsid w:val="00A371D8"/>
    <w:rsid w:val="00A377C2"/>
    <w:rsid w:val="00A378E3"/>
    <w:rsid w:val="00A37A31"/>
    <w:rsid w:val="00A37DE0"/>
    <w:rsid w:val="00A40B1F"/>
    <w:rsid w:val="00A40B31"/>
    <w:rsid w:val="00A40B4D"/>
    <w:rsid w:val="00A411E2"/>
    <w:rsid w:val="00A41373"/>
    <w:rsid w:val="00A41638"/>
    <w:rsid w:val="00A41959"/>
    <w:rsid w:val="00A41A3F"/>
    <w:rsid w:val="00A41B15"/>
    <w:rsid w:val="00A41DE9"/>
    <w:rsid w:val="00A4224E"/>
    <w:rsid w:val="00A4229F"/>
    <w:rsid w:val="00A423DC"/>
    <w:rsid w:val="00A4240E"/>
    <w:rsid w:val="00A425DA"/>
    <w:rsid w:val="00A428A9"/>
    <w:rsid w:val="00A42962"/>
    <w:rsid w:val="00A42ACA"/>
    <w:rsid w:val="00A4327C"/>
    <w:rsid w:val="00A43A2F"/>
    <w:rsid w:val="00A43AAB"/>
    <w:rsid w:val="00A43AFE"/>
    <w:rsid w:val="00A44734"/>
    <w:rsid w:val="00A447E3"/>
    <w:rsid w:val="00A448CD"/>
    <w:rsid w:val="00A44AAD"/>
    <w:rsid w:val="00A44D3B"/>
    <w:rsid w:val="00A45241"/>
    <w:rsid w:val="00A45280"/>
    <w:rsid w:val="00A452B8"/>
    <w:rsid w:val="00A45BF7"/>
    <w:rsid w:val="00A463B5"/>
    <w:rsid w:val="00A463BA"/>
    <w:rsid w:val="00A46675"/>
    <w:rsid w:val="00A46A5F"/>
    <w:rsid w:val="00A46C85"/>
    <w:rsid w:val="00A46ECC"/>
    <w:rsid w:val="00A471A3"/>
    <w:rsid w:val="00A4731A"/>
    <w:rsid w:val="00A474D7"/>
    <w:rsid w:val="00A47597"/>
    <w:rsid w:val="00A477AC"/>
    <w:rsid w:val="00A47E44"/>
    <w:rsid w:val="00A47F91"/>
    <w:rsid w:val="00A507D7"/>
    <w:rsid w:val="00A50A5C"/>
    <w:rsid w:val="00A50BE2"/>
    <w:rsid w:val="00A50C1A"/>
    <w:rsid w:val="00A50CC6"/>
    <w:rsid w:val="00A50DF3"/>
    <w:rsid w:val="00A50E40"/>
    <w:rsid w:val="00A51462"/>
    <w:rsid w:val="00A51946"/>
    <w:rsid w:val="00A51FF7"/>
    <w:rsid w:val="00A52079"/>
    <w:rsid w:val="00A52143"/>
    <w:rsid w:val="00A521E9"/>
    <w:rsid w:val="00A5298E"/>
    <w:rsid w:val="00A52B3E"/>
    <w:rsid w:val="00A5313B"/>
    <w:rsid w:val="00A5320E"/>
    <w:rsid w:val="00A5366D"/>
    <w:rsid w:val="00A53F7B"/>
    <w:rsid w:val="00A54090"/>
    <w:rsid w:val="00A54282"/>
    <w:rsid w:val="00A54373"/>
    <w:rsid w:val="00A546F1"/>
    <w:rsid w:val="00A549D3"/>
    <w:rsid w:val="00A54DF0"/>
    <w:rsid w:val="00A55691"/>
    <w:rsid w:val="00A567CB"/>
    <w:rsid w:val="00A57E98"/>
    <w:rsid w:val="00A60017"/>
    <w:rsid w:val="00A60849"/>
    <w:rsid w:val="00A60E46"/>
    <w:rsid w:val="00A6105B"/>
    <w:rsid w:val="00A61355"/>
    <w:rsid w:val="00A61668"/>
    <w:rsid w:val="00A621D3"/>
    <w:rsid w:val="00A6287C"/>
    <w:rsid w:val="00A628F8"/>
    <w:rsid w:val="00A62B7A"/>
    <w:rsid w:val="00A62C7E"/>
    <w:rsid w:val="00A62D09"/>
    <w:rsid w:val="00A631A1"/>
    <w:rsid w:val="00A632EA"/>
    <w:rsid w:val="00A6339D"/>
    <w:rsid w:val="00A634BE"/>
    <w:rsid w:val="00A63836"/>
    <w:rsid w:val="00A63847"/>
    <w:rsid w:val="00A6386B"/>
    <w:rsid w:val="00A63AD7"/>
    <w:rsid w:val="00A63BFD"/>
    <w:rsid w:val="00A6491F"/>
    <w:rsid w:val="00A64C72"/>
    <w:rsid w:val="00A64D1A"/>
    <w:rsid w:val="00A65320"/>
    <w:rsid w:val="00A65615"/>
    <w:rsid w:val="00A65BA5"/>
    <w:rsid w:val="00A66354"/>
    <w:rsid w:val="00A66DC5"/>
    <w:rsid w:val="00A66E37"/>
    <w:rsid w:val="00A66ECF"/>
    <w:rsid w:val="00A66FB5"/>
    <w:rsid w:val="00A67769"/>
    <w:rsid w:val="00A67E38"/>
    <w:rsid w:val="00A703E4"/>
    <w:rsid w:val="00A704C9"/>
    <w:rsid w:val="00A70B7C"/>
    <w:rsid w:val="00A70DC6"/>
    <w:rsid w:val="00A71080"/>
    <w:rsid w:val="00A71986"/>
    <w:rsid w:val="00A71E3D"/>
    <w:rsid w:val="00A71E73"/>
    <w:rsid w:val="00A71FBA"/>
    <w:rsid w:val="00A72410"/>
    <w:rsid w:val="00A72740"/>
    <w:rsid w:val="00A7289A"/>
    <w:rsid w:val="00A73109"/>
    <w:rsid w:val="00A739A8"/>
    <w:rsid w:val="00A73A64"/>
    <w:rsid w:val="00A73E93"/>
    <w:rsid w:val="00A742AD"/>
    <w:rsid w:val="00A746D7"/>
    <w:rsid w:val="00A74AB2"/>
    <w:rsid w:val="00A75A27"/>
    <w:rsid w:val="00A75A46"/>
    <w:rsid w:val="00A75B36"/>
    <w:rsid w:val="00A7663A"/>
    <w:rsid w:val="00A7696B"/>
    <w:rsid w:val="00A769D4"/>
    <w:rsid w:val="00A77207"/>
    <w:rsid w:val="00A7773C"/>
    <w:rsid w:val="00A77EFF"/>
    <w:rsid w:val="00A8008F"/>
    <w:rsid w:val="00A804C7"/>
    <w:rsid w:val="00A80625"/>
    <w:rsid w:val="00A80857"/>
    <w:rsid w:val="00A80A39"/>
    <w:rsid w:val="00A80D41"/>
    <w:rsid w:val="00A80DF0"/>
    <w:rsid w:val="00A80E64"/>
    <w:rsid w:val="00A8193F"/>
    <w:rsid w:val="00A81A16"/>
    <w:rsid w:val="00A823A7"/>
    <w:rsid w:val="00A824D4"/>
    <w:rsid w:val="00A825C8"/>
    <w:rsid w:val="00A82742"/>
    <w:rsid w:val="00A82954"/>
    <w:rsid w:val="00A82A29"/>
    <w:rsid w:val="00A83984"/>
    <w:rsid w:val="00A83A1E"/>
    <w:rsid w:val="00A84198"/>
    <w:rsid w:val="00A841AB"/>
    <w:rsid w:val="00A84A93"/>
    <w:rsid w:val="00A84FFD"/>
    <w:rsid w:val="00A85056"/>
    <w:rsid w:val="00A85172"/>
    <w:rsid w:val="00A854AF"/>
    <w:rsid w:val="00A85B06"/>
    <w:rsid w:val="00A86104"/>
    <w:rsid w:val="00A86266"/>
    <w:rsid w:val="00A8655A"/>
    <w:rsid w:val="00A87203"/>
    <w:rsid w:val="00A87432"/>
    <w:rsid w:val="00A87744"/>
    <w:rsid w:val="00A87AE6"/>
    <w:rsid w:val="00A87B09"/>
    <w:rsid w:val="00A87C22"/>
    <w:rsid w:val="00A87F74"/>
    <w:rsid w:val="00A90590"/>
    <w:rsid w:val="00A90A97"/>
    <w:rsid w:val="00A90CB4"/>
    <w:rsid w:val="00A910DA"/>
    <w:rsid w:val="00A920E1"/>
    <w:rsid w:val="00A92667"/>
    <w:rsid w:val="00A92859"/>
    <w:rsid w:val="00A92AFD"/>
    <w:rsid w:val="00A92DC4"/>
    <w:rsid w:val="00A933AE"/>
    <w:rsid w:val="00A933B2"/>
    <w:rsid w:val="00A93863"/>
    <w:rsid w:val="00A93928"/>
    <w:rsid w:val="00A93D80"/>
    <w:rsid w:val="00A9415E"/>
    <w:rsid w:val="00A9423F"/>
    <w:rsid w:val="00A94EBD"/>
    <w:rsid w:val="00A9510D"/>
    <w:rsid w:val="00A95580"/>
    <w:rsid w:val="00A95673"/>
    <w:rsid w:val="00A956AC"/>
    <w:rsid w:val="00A95D2A"/>
    <w:rsid w:val="00A96214"/>
    <w:rsid w:val="00A967E8"/>
    <w:rsid w:val="00A978D3"/>
    <w:rsid w:val="00A97F4B"/>
    <w:rsid w:val="00AA04C5"/>
    <w:rsid w:val="00AA10B1"/>
    <w:rsid w:val="00AA1104"/>
    <w:rsid w:val="00AA2803"/>
    <w:rsid w:val="00AA2AB3"/>
    <w:rsid w:val="00AA2BF2"/>
    <w:rsid w:val="00AA2D68"/>
    <w:rsid w:val="00AA2D6F"/>
    <w:rsid w:val="00AA3351"/>
    <w:rsid w:val="00AA3709"/>
    <w:rsid w:val="00AA3987"/>
    <w:rsid w:val="00AA3B68"/>
    <w:rsid w:val="00AA3E79"/>
    <w:rsid w:val="00AA42D3"/>
    <w:rsid w:val="00AA4F2C"/>
    <w:rsid w:val="00AA4FB4"/>
    <w:rsid w:val="00AA4FE5"/>
    <w:rsid w:val="00AA5C0B"/>
    <w:rsid w:val="00AA5E3B"/>
    <w:rsid w:val="00AA5E73"/>
    <w:rsid w:val="00AA63AD"/>
    <w:rsid w:val="00AA65B4"/>
    <w:rsid w:val="00AA6A75"/>
    <w:rsid w:val="00AA6CB9"/>
    <w:rsid w:val="00AA745E"/>
    <w:rsid w:val="00AA7D4D"/>
    <w:rsid w:val="00AB04AB"/>
    <w:rsid w:val="00AB0733"/>
    <w:rsid w:val="00AB0743"/>
    <w:rsid w:val="00AB09D2"/>
    <w:rsid w:val="00AB0B64"/>
    <w:rsid w:val="00AB0C30"/>
    <w:rsid w:val="00AB0E97"/>
    <w:rsid w:val="00AB156E"/>
    <w:rsid w:val="00AB157A"/>
    <w:rsid w:val="00AB176B"/>
    <w:rsid w:val="00AB1F2D"/>
    <w:rsid w:val="00AB32A5"/>
    <w:rsid w:val="00AB37E6"/>
    <w:rsid w:val="00AB3DBA"/>
    <w:rsid w:val="00AB4136"/>
    <w:rsid w:val="00AB431C"/>
    <w:rsid w:val="00AB470E"/>
    <w:rsid w:val="00AB51E1"/>
    <w:rsid w:val="00AB5467"/>
    <w:rsid w:val="00AB5514"/>
    <w:rsid w:val="00AB5A7E"/>
    <w:rsid w:val="00AB6979"/>
    <w:rsid w:val="00AB7538"/>
    <w:rsid w:val="00AB75A3"/>
    <w:rsid w:val="00AB77F3"/>
    <w:rsid w:val="00AC0256"/>
    <w:rsid w:val="00AC0334"/>
    <w:rsid w:val="00AC04B9"/>
    <w:rsid w:val="00AC0AAD"/>
    <w:rsid w:val="00AC0C9D"/>
    <w:rsid w:val="00AC1231"/>
    <w:rsid w:val="00AC1992"/>
    <w:rsid w:val="00AC1E14"/>
    <w:rsid w:val="00AC2CFA"/>
    <w:rsid w:val="00AC3263"/>
    <w:rsid w:val="00AC337E"/>
    <w:rsid w:val="00AC3E12"/>
    <w:rsid w:val="00AC406E"/>
    <w:rsid w:val="00AC4087"/>
    <w:rsid w:val="00AC430C"/>
    <w:rsid w:val="00AC4951"/>
    <w:rsid w:val="00AC4A6B"/>
    <w:rsid w:val="00AC579B"/>
    <w:rsid w:val="00AC5C19"/>
    <w:rsid w:val="00AC5E44"/>
    <w:rsid w:val="00AC60F0"/>
    <w:rsid w:val="00AC6385"/>
    <w:rsid w:val="00AC6657"/>
    <w:rsid w:val="00AC6D7A"/>
    <w:rsid w:val="00AC717E"/>
    <w:rsid w:val="00AC7363"/>
    <w:rsid w:val="00AC7401"/>
    <w:rsid w:val="00AC750C"/>
    <w:rsid w:val="00AC7901"/>
    <w:rsid w:val="00AC79F3"/>
    <w:rsid w:val="00AC7A6A"/>
    <w:rsid w:val="00AC7FDD"/>
    <w:rsid w:val="00AD0949"/>
    <w:rsid w:val="00AD0A20"/>
    <w:rsid w:val="00AD0D5F"/>
    <w:rsid w:val="00AD0F1D"/>
    <w:rsid w:val="00AD0F60"/>
    <w:rsid w:val="00AD1179"/>
    <w:rsid w:val="00AD1359"/>
    <w:rsid w:val="00AD19F0"/>
    <w:rsid w:val="00AD1C25"/>
    <w:rsid w:val="00AD1FCE"/>
    <w:rsid w:val="00AD24D1"/>
    <w:rsid w:val="00AD26E1"/>
    <w:rsid w:val="00AD29CC"/>
    <w:rsid w:val="00AD2D18"/>
    <w:rsid w:val="00AD3268"/>
    <w:rsid w:val="00AD3652"/>
    <w:rsid w:val="00AD3DE2"/>
    <w:rsid w:val="00AD4135"/>
    <w:rsid w:val="00AD4261"/>
    <w:rsid w:val="00AD46F5"/>
    <w:rsid w:val="00AD4CB1"/>
    <w:rsid w:val="00AD51A3"/>
    <w:rsid w:val="00AD598B"/>
    <w:rsid w:val="00AD7154"/>
    <w:rsid w:val="00AD797D"/>
    <w:rsid w:val="00AD7E02"/>
    <w:rsid w:val="00AE0034"/>
    <w:rsid w:val="00AE0483"/>
    <w:rsid w:val="00AE08DD"/>
    <w:rsid w:val="00AE1310"/>
    <w:rsid w:val="00AE13BD"/>
    <w:rsid w:val="00AE156F"/>
    <w:rsid w:val="00AE1A0B"/>
    <w:rsid w:val="00AE1ABF"/>
    <w:rsid w:val="00AE1AF9"/>
    <w:rsid w:val="00AE1E60"/>
    <w:rsid w:val="00AE1EAC"/>
    <w:rsid w:val="00AE2068"/>
    <w:rsid w:val="00AE2258"/>
    <w:rsid w:val="00AE277E"/>
    <w:rsid w:val="00AE2A36"/>
    <w:rsid w:val="00AE2BC6"/>
    <w:rsid w:val="00AE2CCC"/>
    <w:rsid w:val="00AE2FDC"/>
    <w:rsid w:val="00AE3251"/>
    <w:rsid w:val="00AE33DA"/>
    <w:rsid w:val="00AE3B0A"/>
    <w:rsid w:val="00AE3FE0"/>
    <w:rsid w:val="00AE491C"/>
    <w:rsid w:val="00AE4D5C"/>
    <w:rsid w:val="00AE4FE1"/>
    <w:rsid w:val="00AE5058"/>
    <w:rsid w:val="00AE51CD"/>
    <w:rsid w:val="00AE5471"/>
    <w:rsid w:val="00AE54AA"/>
    <w:rsid w:val="00AE57AE"/>
    <w:rsid w:val="00AE59A3"/>
    <w:rsid w:val="00AE5F18"/>
    <w:rsid w:val="00AE60E4"/>
    <w:rsid w:val="00AE6872"/>
    <w:rsid w:val="00AE6C58"/>
    <w:rsid w:val="00AE715B"/>
    <w:rsid w:val="00AE72C4"/>
    <w:rsid w:val="00AE7F05"/>
    <w:rsid w:val="00AE7F38"/>
    <w:rsid w:val="00AF054D"/>
    <w:rsid w:val="00AF0870"/>
    <w:rsid w:val="00AF0939"/>
    <w:rsid w:val="00AF0981"/>
    <w:rsid w:val="00AF0A84"/>
    <w:rsid w:val="00AF0ED8"/>
    <w:rsid w:val="00AF0F9C"/>
    <w:rsid w:val="00AF10F0"/>
    <w:rsid w:val="00AF193F"/>
    <w:rsid w:val="00AF24E7"/>
    <w:rsid w:val="00AF272B"/>
    <w:rsid w:val="00AF291B"/>
    <w:rsid w:val="00AF2C74"/>
    <w:rsid w:val="00AF2DAA"/>
    <w:rsid w:val="00AF2EBD"/>
    <w:rsid w:val="00AF2FF1"/>
    <w:rsid w:val="00AF33AE"/>
    <w:rsid w:val="00AF34C9"/>
    <w:rsid w:val="00AF37AF"/>
    <w:rsid w:val="00AF3C7B"/>
    <w:rsid w:val="00AF3CDC"/>
    <w:rsid w:val="00AF44B1"/>
    <w:rsid w:val="00AF5189"/>
    <w:rsid w:val="00AF51D4"/>
    <w:rsid w:val="00AF5800"/>
    <w:rsid w:val="00AF6986"/>
    <w:rsid w:val="00AF69FE"/>
    <w:rsid w:val="00AF6A77"/>
    <w:rsid w:val="00AF6AD6"/>
    <w:rsid w:val="00AF6D1B"/>
    <w:rsid w:val="00AF6F4B"/>
    <w:rsid w:val="00AF73ED"/>
    <w:rsid w:val="00AF768E"/>
    <w:rsid w:val="00AF7B5B"/>
    <w:rsid w:val="00AF7D69"/>
    <w:rsid w:val="00AF7ED2"/>
    <w:rsid w:val="00B003BD"/>
    <w:rsid w:val="00B004D8"/>
    <w:rsid w:val="00B00830"/>
    <w:rsid w:val="00B00B72"/>
    <w:rsid w:val="00B00CC5"/>
    <w:rsid w:val="00B016D2"/>
    <w:rsid w:val="00B017BC"/>
    <w:rsid w:val="00B01EEE"/>
    <w:rsid w:val="00B02091"/>
    <w:rsid w:val="00B02B43"/>
    <w:rsid w:val="00B02B73"/>
    <w:rsid w:val="00B03D36"/>
    <w:rsid w:val="00B04540"/>
    <w:rsid w:val="00B046F1"/>
    <w:rsid w:val="00B05116"/>
    <w:rsid w:val="00B051A7"/>
    <w:rsid w:val="00B05D46"/>
    <w:rsid w:val="00B05F1A"/>
    <w:rsid w:val="00B06DF8"/>
    <w:rsid w:val="00B07B33"/>
    <w:rsid w:val="00B07B78"/>
    <w:rsid w:val="00B07FA2"/>
    <w:rsid w:val="00B07FCE"/>
    <w:rsid w:val="00B1005E"/>
    <w:rsid w:val="00B100CF"/>
    <w:rsid w:val="00B10262"/>
    <w:rsid w:val="00B1074F"/>
    <w:rsid w:val="00B10E82"/>
    <w:rsid w:val="00B110A3"/>
    <w:rsid w:val="00B111A6"/>
    <w:rsid w:val="00B115E5"/>
    <w:rsid w:val="00B118EE"/>
    <w:rsid w:val="00B11B03"/>
    <w:rsid w:val="00B11B79"/>
    <w:rsid w:val="00B11C5B"/>
    <w:rsid w:val="00B11C91"/>
    <w:rsid w:val="00B121CD"/>
    <w:rsid w:val="00B12343"/>
    <w:rsid w:val="00B12529"/>
    <w:rsid w:val="00B12675"/>
    <w:rsid w:val="00B128C5"/>
    <w:rsid w:val="00B12B11"/>
    <w:rsid w:val="00B12C94"/>
    <w:rsid w:val="00B12D5B"/>
    <w:rsid w:val="00B135AB"/>
    <w:rsid w:val="00B135D7"/>
    <w:rsid w:val="00B13797"/>
    <w:rsid w:val="00B137BF"/>
    <w:rsid w:val="00B137C2"/>
    <w:rsid w:val="00B13A1B"/>
    <w:rsid w:val="00B13A76"/>
    <w:rsid w:val="00B13DC3"/>
    <w:rsid w:val="00B142D9"/>
    <w:rsid w:val="00B148DD"/>
    <w:rsid w:val="00B14B3E"/>
    <w:rsid w:val="00B14BC4"/>
    <w:rsid w:val="00B158A3"/>
    <w:rsid w:val="00B15B25"/>
    <w:rsid w:val="00B15C36"/>
    <w:rsid w:val="00B15EA0"/>
    <w:rsid w:val="00B16028"/>
    <w:rsid w:val="00B16069"/>
    <w:rsid w:val="00B17A4E"/>
    <w:rsid w:val="00B17B30"/>
    <w:rsid w:val="00B17C2F"/>
    <w:rsid w:val="00B17C6E"/>
    <w:rsid w:val="00B20A9E"/>
    <w:rsid w:val="00B20FE7"/>
    <w:rsid w:val="00B21048"/>
    <w:rsid w:val="00B213A7"/>
    <w:rsid w:val="00B2153E"/>
    <w:rsid w:val="00B21F72"/>
    <w:rsid w:val="00B21FA7"/>
    <w:rsid w:val="00B22022"/>
    <w:rsid w:val="00B225E4"/>
    <w:rsid w:val="00B231C5"/>
    <w:rsid w:val="00B23803"/>
    <w:rsid w:val="00B23F7A"/>
    <w:rsid w:val="00B240B1"/>
    <w:rsid w:val="00B24208"/>
    <w:rsid w:val="00B24374"/>
    <w:rsid w:val="00B2438B"/>
    <w:rsid w:val="00B24728"/>
    <w:rsid w:val="00B248A9"/>
    <w:rsid w:val="00B2490A"/>
    <w:rsid w:val="00B24BE3"/>
    <w:rsid w:val="00B24D28"/>
    <w:rsid w:val="00B24F1C"/>
    <w:rsid w:val="00B25454"/>
    <w:rsid w:val="00B2580C"/>
    <w:rsid w:val="00B25D76"/>
    <w:rsid w:val="00B2681D"/>
    <w:rsid w:val="00B27032"/>
    <w:rsid w:val="00B27085"/>
    <w:rsid w:val="00B30003"/>
    <w:rsid w:val="00B3015C"/>
    <w:rsid w:val="00B30AD9"/>
    <w:rsid w:val="00B31201"/>
    <w:rsid w:val="00B31B00"/>
    <w:rsid w:val="00B31B4B"/>
    <w:rsid w:val="00B31E36"/>
    <w:rsid w:val="00B32E26"/>
    <w:rsid w:val="00B338B7"/>
    <w:rsid w:val="00B34061"/>
    <w:rsid w:val="00B34376"/>
    <w:rsid w:val="00B3440A"/>
    <w:rsid w:val="00B34441"/>
    <w:rsid w:val="00B34608"/>
    <w:rsid w:val="00B350F3"/>
    <w:rsid w:val="00B35338"/>
    <w:rsid w:val="00B35533"/>
    <w:rsid w:val="00B35534"/>
    <w:rsid w:val="00B35A87"/>
    <w:rsid w:val="00B35AFD"/>
    <w:rsid w:val="00B35DB3"/>
    <w:rsid w:val="00B35F9A"/>
    <w:rsid w:val="00B3609C"/>
    <w:rsid w:val="00B36236"/>
    <w:rsid w:val="00B3632F"/>
    <w:rsid w:val="00B3662E"/>
    <w:rsid w:val="00B366D2"/>
    <w:rsid w:val="00B366FA"/>
    <w:rsid w:val="00B36E86"/>
    <w:rsid w:val="00B3796A"/>
    <w:rsid w:val="00B379BA"/>
    <w:rsid w:val="00B412FD"/>
    <w:rsid w:val="00B41B15"/>
    <w:rsid w:val="00B41D87"/>
    <w:rsid w:val="00B421EC"/>
    <w:rsid w:val="00B422BE"/>
    <w:rsid w:val="00B4241D"/>
    <w:rsid w:val="00B426BB"/>
    <w:rsid w:val="00B427AF"/>
    <w:rsid w:val="00B42EB9"/>
    <w:rsid w:val="00B435BD"/>
    <w:rsid w:val="00B436F0"/>
    <w:rsid w:val="00B43A03"/>
    <w:rsid w:val="00B440B8"/>
    <w:rsid w:val="00B441FE"/>
    <w:rsid w:val="00B44317"/>
    <w:rsid w:val="00B44821"/>
    <w:rsid w:val="00B44AD3"/>
    <w:rsid w:val="00B450EB"/>
    <w:rsid w:val="00B45152"/>
    <w:rsid w:val="00B451AC"/>
    <w:rsid w:val="00B455D2"/>
    <w:rsid w:val="00B4563E"/>
    <w:rsid w:val="00B45E54"/>
    <w:rsid w:val="00B45E9C"/>
    <w:rsid w:val="00B464E4"/>
    <w:rsid w:val="00B46650"/>
    <w:rsid w:val="00B4689A"/>
    <w:rsid w:val="00B46D5F"/>
    <w:rsid w:val="00B46E7B"/>
    <w:rsid w:val="00B47DC5"/>
    <w:rsid w:val="00B47E1B"/>
    <w:rsid w:val="00B5030F"/>
    <w:rsid w:val="00B505B3"/>
    <w:rsid w:val="00B50882"/>
    <w:rsid w:val="00B50A74"/>
    <w:rsid w:val="00B520A0"/>
    <w:rsid w:val="00B5220F"/>
    <w:rsid w:val="00B5257E"/>
    <w:rsid w:val="00B525CE"/>
    <w:rsid w:val="00B52795"/>
    <w:rsid w:val="00B52809"/>
    <w:rsid w:val="00B52CFD"/>
    <w:rsid w:val="00B52EED"/>
    <w:rsid w:val="00B53103"/>
    <w:rsid w:val="00B53507"/>
    <w:rsid w:val="00B5353D"/>
    <w:rsid w:val="00B53E64"/>
    <w:rsid w:val="00B54057"/>
    <w:rsid w:val="00B545A8"/>
    <w:rsid w:val="00B54C1A"/>
    <w:rsid w:val="00B55006"/>
    <w:rsid w:val="00B55F22"/>
    <w:rsid w:val="00B56312"/>
    <w:rsid w:val="00B56527"/>
    <w:rsid w:val="00B56B97"/>
    <w:rsid w:val="00B57019"/>
    <w:rsid w:val="00B576DA"/>
    <w:rsid w:val="00B57710"/>
    <w:rsid w:val="00B57B1A"/>
    <w:rsid w:val="00B57DF5"/>
    <w:rsid w:val="00B601C9"/>
    <w:rsid w:val="00B60D04"/>
    <w:rsid w:val="00B6158F"/>
    <w:rsid w:val="00B61D5D"/>
    <w:rsid w:val="00B61EE8"/>
    <w:rsid w:val="00B628C3"/>
    <w:rsid w:val="00B633A3"/>
    <w:rsid w:val="00B63533"/>
    <w:rsid w:val="00B6394E"/>
    <w:rsid w:val="00B63BDB"/>
    <w:rsid w:val="00B64106"/>
    <w:rsid w:val="00B64A0E"/>
    <w:rsid w:val="00B64DDF"/>
    <w:rsid w:val="00B64F40"/>
    <w:rsid w:val="00B6601E"/>
    <w:rsid w:val="00B662C1"/>
    <w:rsid w:val="00B663AA"/>
    <w:rsid w:val="00B66816"/>
    <w:rsid w:val="00B66909"/>
    <w:rsid w:val="00B66DD5"/>
    <w:rsid w:val="00B672B4"/>
    <w:rsid w:val="00B67722"/>
    <w:rsid w:val="00B67783"/>
    <w:rsid w:val="00B67B97"/>
    <w:rsid w:val="00B67F01"/>
    <w:rsid w:val="00B70329"/>
    <w:rsid w:val="00B70764"/>
    <w:rsid w:val="00B70C9E"/>
    <w:rsid w:val="00B711AB"/>
    <w:rsid w:val="00B714F0"/>
    <w:rsid w:val="00B71A40"/>
    <w:rsid w:val="00B71C52"/>
    <w:rsid w:val="00B71C8C"/>
    <w:rsid w:val="00B71CB4"/>
    <w:rsid w:val="00B71FD7"/>
    <w:rsid w:val="00B725E7"/>
    <w:rsid w:val="00B72C07"/>
    <w:rsid w:val="00B72DF7"/>
    <w:rsid w:val="00B72F42"/>
    <w:rsid w:val="00B733FB"/>
    <w:rsid w:val="00B738C0"/>
    <w:rsid w:val="00B73E44"/>
    <w:rsid w:val="00B74290"/>
    <w:rsid w:val="00B74510"/>
    <w:rsid w:val="00B74BD4"/>
    <w:rsid w:val="00B74BF7"/>
    <w:rsid w:val="00B75B72"/>
    <w:rsid w:val="00B76185"/>
    <w:rsid w:val="00B761BB"/>
    <w:rsid w:val="00B76BCD"/>
    <w:rsid w:val="00B77080"/>
    <w:rsid w:val="00B7786D"/>
    <w:rsid w:val="00B779E6"/>
    <w:rsid w:val="00B77A85"/>
    <w:rsid w:val="00B804E2"/>
    <w:rsid w:val="00B80E8E"/>
    <w:rsid w:val="00B80F9D"/>
    <w:rsid w:val="00B811B2"/>
    <w:rsid w:val="00B8130C"/>
    <w:rsid w:val="00B81BA3"/>
    <w:rsid w:val="00B81BBB"/>
    <w:rsid w:val="00B82213"/>
    <w:rsid w:val="00B8239F"/>
    <w:rsid w:val="00B8276E"/>
    <w:rsid w:val="00B82A5D"/>
    <w:rsid w:val="00B834BD"/>
    <w:rsid w:val="00B83A62"/>
    <w:rsid w:val="00B83AC4"/>
    <w:rsid w:val="00B83B59"/>
    <w:rsid w:val="00B84252"/>
    <w:rsid w:val="00B8468F"/>
    <w:rsid w:val="00B849F1"/>
    <w:rsid w:val="00B84FC6"/>
    <w:rsid w:val="00B857F5"/>
    <w:rsid w:val="00B86AEC"/>
    <w:rsid w:val="00B86D6C"/>
    <w:rsid w:val="00B86EB5"/>
    <w:rsid w:val="00B86F47"/>
    <w:rsid w:val="00B871F7"/>
    <w:rsid w:val="00B874B4"/>
    <w:rsid w:val="00B876C1"/>
    <w:rsid w:val="00B8787A"/>
    <w:rsid w:val="00B87887"/>
    <w:rsid w:val="00B90123"/>
    <w:rsid w:val="00B90196"/>
    <w:rsid w:val="00B902F5"/>
    <w:rsid w:val="00B90518"/>
    <w:rsid w:val="00B90845"/>
    <w:rsid w:val="00B90F83"/>
    <w:rsid w:val="00B911C1"/>
    <w:rsid w:val="00B91374"/>
    <w:rsid w:val="00B91AC1"/>
    <w:rsid w:val="00B91B7F"/>
    <w:rsid w:val="00B921B2"/>
    <w:rsid w:val="00B922C3"/>
    <w:rsid w:val="00B9272A"/>
    <w:rsid w:val="00B9272E"/>
    <w:rsid w:val="00B927A7"/>
    <w:rsid w:val="00B92B9E"/>
    <w:rsid w:val="00B93315"/>
    <w:rsid w:val="00B93457"/>
    <w:rsid w:val="00B93519"/>
    <w:rsid w:val="00B9372A"/>
    <w:rsid w:val="00B9425C"/>
    <w:rsid w:val="00B94AAF"/>
    <w:rsid w:val="00B953FF"/>
    <w:rsid w:val="00B9565B"/>
    <w:rsid w:val="00B95DB7"/>
    <w:rsid w:val="00B9622D"/>
    <w:rsid w:val="00B96263"/>
    <w:rsid w:val="00B9635D"/>
    <w:rsid w:val="00B968A5"/>
    <w:rsid w:val="00B972CD"/>
    <w:rsid w:val="00B97D02"/>
    <w:rsid w:val="00B97DDD"/>
    <w:rsid w:val="00BA0304"/>
    <w:rsid w:val="00BA0557"/>
    <w:rsid w:val="00BA08B0"/>
    <w:rsid w:val="00BA0DFD"/>
    <w:rsid w:val="00BA19C4"/>
    <w:rsid w:val="00BA2C59"/>
    <w:rsid w:val="00BA3038"/>
    <w:rsid w:val="00BA360A"/>
    <w:rsid w:val="00BA370A"/>
    <w:rsid w:val="00BA37FD"/>
    <w:rsid w:val="00BA4032"/>
    <w:rsid w:val="00BA435D"/>
    <w:rsid w:val="00BA48BC"/>
    <w:rsid w:val="00BA4A29"/>
    <w:rsid w:val="00BA4A43"/>
    <w:rsid w:val="00BA4BE7"/>
    <w:rsid w:val="00BA5242"/>
    <w:rsid w:val="00BA5982"/>
    <w:rsid w:val="00BA5F20"/>
    <w:rsid w:val="00BA5F44"/>
    <w:rsid w:val="00BA68D9"/>
    <w:rsid w:val="00BA6FD8"/>
    <w:rsid w:val="00BA712E"/>
    <w:rsid w:val="00BA7172"/>
    <w:rsid w:val="00BA72CF"/>
    <w:rsid w:val="00BA781E"/>
    <w:rsid w:val="00BA7830"/>
    <w:rsid w:val="00BA79A1"/>
    <w:rsid w:val="00BA7B01"/>
    <w:rsid w:val="00BB02D7"/>
    <w:rsid w:val="00BB0D9F"/>
    <w:rsid w:val="00BB0DEE"/>
    <w:rsid w:val="00BB0F06"/>
    <w:rsid w:val="00BB0F93"/>
    <w:rsid w:val="00BB1031"/>
    <w:rsid w:val="00BB16A7"/>
    <w:rsid w:val="00BB1B33"/>
    <w:rsid w:val="00BB1D1F"/>
    <w:rsid w:val="00BB2073"/>
    <w:rsid w:val="00BB2350"/>
    <w:rsid w:val="00BB2480"/>
    <w:rsid w:val="00BB27FD"/>
    <w:rsid w:val="00BB2C4E"/>
    <w:rsid w:val="00BB2E29"/>
    <w:rsid w:val="00BB2F74"/>
    <w:rsid w:val="00BB3206"/>
    <w:rsid w:val="00BB32C2"/>
    <w:rsid w:val="00BB3B0D"/>
    <w:rsid w:val="00BB41FB"/>
    <w:rsid w:val="00BB4369"/>
    <w:rsid w:val="00BB524C"/>
    <w:rsid w:val="00BB5DAB"/>
    <w:rsid w:val="00BB5F1E"/>
    <w:rsid w:val="00BB6076"/>
    <w:rsid w:val="00BB6195"/>
    <w:rsid w:val="00BB61A3"/>
    <w:rsid w:val="00BB67CE"/>
    <w:rsid w:val="00BB67EA"/>
    <w:rsid w:val="00BB707E"/>
    <w:rsid w:val="00BB7568"/>
    <w:rsid w:val="00BB7AAB"/>
    <w:rsid w:val="00BC007C"/>
    <w:rsid w:val="00BC0157"/>
    <w:rsid w:val="00BC0247"/>
    <w:rsid w:val="00BC0497"/>
    <w:rsid w:val="00BC081C"/>
    <w:rsid w:val="00BC0900"/>
    <w:rsid w:val="00BC0986"/>
    <w:rsid w:val="00BC0AB2"/>
    <w:rsid w:val="00BC1308"/>
    <w:rsid w:val="00BC19A5"/>
    <w:rsid w:val="00BC1BF4"/>
    <w:rsid w:val="00BC2012"/>
    <w:rsid w:val="00BC2600"/>
    <w:rsid w:val="00BC2F24"/>
    <w:rsid w:val="00BC3254"/>
    <w:rsid w:val="00BC33BE"/>
    <w:rsid w:val="00BC3A47"/>
    <w:rsid w:val="00BC3EEB"/>
    <w:rsid w:val="00BC4780"/>
    <w:rsid w:val="00BC505B"/>
    <w:rsid w:val="00BC52C8"/>
    <w:rsid w:val="00BC5485"/>
    <w:rsid w:val="00BC549C"/>
    <w:rsid w:val="00BC570E"/>
    <w:rsid w:val="00BC5A6C"/>
    <w:rsid w:val="00BC5AF6"/>
    <w:rsid w:val="00BC5B4B"/>
    <w:rsid w:val="00BC5EDB"/>
    <w:rsid w:val="00BC69A2"/>
    <w:rsid w:val="00BC6ED6"/>
    <w:rsid w:val="00BC6F03"/>
    <w:rsid w:val="00BC6FA1"/>
    <w:rsid w:val="00BC70CE"/>
    <w:rsid w:val="00BC7487"/>
    <w:rsid w:val="00BD03F5"/>
    <w:rsid w:val="00BD0570"/>
    <w:rsid w:val="00BD06F9"/>
    <w:rsid w:val="00BD0853"/>
    <w:rsid w:val="00BD0EE1"/>
    <w:rsid w:val="00BD10FE"/>
    <w:rsid w:val="00BD112D"/>
    <w:rsid w:val="00BD1267"/>
    <w:rsid w:val="00BD214E"/>
    <w:rsid w:val="00BD2199"/>
    <w:rsid w:val="00BD2395"/>
    <w:rsid w:val="00BD25B8"/>
    <w:rsid w:val="00BD2827"/>
    <w:rsid w:val="00BD2842"/>
    <w:rsid w:val="00BD29E9"/>
    <w:rsid w:val="00BD3120"/>
    <w:rsid w:val="00BD3354"/>
    <w:rsid w:val="00BD378D"/>
    <w:rsid w:val="00BD384E"/>
    <w:rsid w:val="00BD395F"/>
    <w:rsid w:val="00BD3E76"/>
    <w:rsid w:val="00BD3EE2"/>
    <w:rsid w:val="00BD3FCF"/>
    <w:rsid w:val="00BD42D2"/>
    <w:rsid w:val="00BD44F0"/>
    <w:rsid w:val="00BD451B"/>
    <w:rsid w:val="00BD47D7"/>
    <w:rsid w:val="00BD4EFB"/>
    <w:rsid w:val="00BD5076"/>
    <w:rsid w:val="00BD5551"/>
    <w:rsid w:val="00BD5984"/>
    <w:rsid w:val="00BD60EB"/>
    <w:rsid w:val="00BD6D43"/>
    <w:rsid w:val="00BD6F81"/>
    <w:rsid w:val="00BD7090"/>
    <w:rsid w:val="00BD7490"/>
    <w:rsid w:val="00BD767F"/>
    <w:rsid w:val="00BD7979"/>
    <w:rsid w:val="00BD7DA0"/>
    <w:rsid w:val="00BE05DB"/>
    <w:rsid w:val="00BE096B"/>
    <w:rsid w:val="00BE09C3"/>
    <w:rsid w:val="00BE0B10"/>
    <w:rsid w:val="00BE0BB8"/>
    <w:rsid w:val="00BE0C27"/>
    <w:rsid w:val="00BE15BB"/>
    <w:rsid w:val="00BE198F"/>
    <w:rsid w:val="00BE38FB"/>
    <w:rsid w:val="00BE3FA4"/>
    <w:rsid w:val="00BE4BE9"/>
    <w:rsid w:val="00BE4CCF"/>
    <w:rsid w:val="00BE5964"/>
    <w:rsid w:val="00BE5D68"/>
    <w:rsid w:val="00BE617C"/>
    <w:rsid w:val="00BE660B"/>
    <w:rsid w:val="00BE6A40"/>
    <w:rsid w:val="00BE6AFE"/>
    <w:rsid w:val="00BE6BBE"/>
    <w:rsid w:val="00BE6C12"/>
    <w:rsid w:val="00BE7021"/>
    <w:rsid w:val="00BE7300"/>
    <w:rsid w:val="00BE76F7"/>
    <w:rsid w:val="00BE784F"/>
    <w:rsid w:val="00BE79C6"/>
    <w:rsid w:val="00BE7E37"/>
    <w:rsid w:val="00BF0238"/>
    <w:rsid w:val="00BF04AF"/>
    <w:rsid w:val="00BF0717"/>
    <w:rsid w:val="00BF0749"/>
    <w:rsid w:val="00BF09F0"/>
    <w:rsid w:val="00BF1750"/>
    <w:rsid w:val="00BF178E"/>
    <w:rsid w:val="00BF189F"/>
    <w:rsid w:val="00BF18F2"/>
    <w:rsid w:val="00BF1B44"/>
    <w:rsid w:val="00BF1CBF"/>
    <w:rsid w:val="00BF1F01"/>
    <w:rsid w:val="00BF1FC2"/>
    <w:rsid w:val="00BF23CC"/>
    <w:rsid w:val="00BF243F"/>
    <w:rsid w:val="00BF2708"/>
    <w:rsid w:val="00BF4C2B"/>
    <w:rsid w:val="00BF507A"/>
    <w:rsid w:val="00BF5217"/>
    <w:rsid w:val="00BF52EA"/>
    <w:rsid w:val="00BF53F1"/>
    <w:rsid w:val="00BF5717"/>
    <w:rsid w:val="00BF585E"/>
    <w:rsid w:val="00BF58AA"/>
    <w:rsid w:val="00BF5B9D"/>
    <w:rsid w:val="00BF5C45"/>
    <w:rsid w:val="00BF5FA3"/>
    <w:rsid w:val="00BF62F2"/>
    <w:rsid w:val="00BF63A5"/>
    <w:rsid w:val="00BF69C0"/>
    <w:rsid w:val="00BF6E34"/>
    <w:rsid w:val="00BF72A7"/>
    <w:rsid w:val="00BF7558"/>
    <w:rsid w:val="00BF7DD2"/>
    <w:rsid w:val="00C0111E"/>
    <w:rsid w:val="00C021FD"/>
    <w:rsid w:val="00C02376"/>
    <w:rsid w:val="00C02676"/>
    <w:rsid w:val="00C029AB"/>
    <w:rsid w:val="00C029B7"/>
    <w:rsid w:val="00C02BAF"/>
    <w:rsid w:val="00C02D74"/>
    <w:rsid w:val="00C033ED"/>
    <w:rsid w:val="00C035AD"/>
    <w:rsid w:val="00C03BD5"/>
    <w:rsid w:val="00C03C8B"/>
    <w:rsid w:val="00C03F3C"/>
    <w:rsid w:val="00C0425C"/>
    <w:rsid w:val="00C049BE"/>
    <w:rsid w:val="00C04A71"/>
    <w:rsid w:val="00C04DD4"/>
    <w:rsid w:val="00C04DF0"/>
    <w:rsid w:val="00C050BB"/>
    <w:rsid w:val="00C055B3"/>
    <w:rsid w:val="00C05A4C"/>
    <w:rsid w:val="00C05A67"/>
    <w:rsid w:val="00C0641F"/>
    <w:rsid w:val="00C06E6F"/>
    <w:rsid w:val="00C07371"/>
    <w:rsid w:val="00C075DB"/>
    <w:rsid w:val="00C07EBA"/>
    <w:rsid w:val="00C07FBC"/>
    <w:rsid w:val="00C100E7"/>
    <w:rsid w:val="00C10BFB"/>
    <w:rsid w:val="00C10D84"/>
    <w:rsid w:val="00C1106B"/>
    <w:rsid w:val="00C11113"/>
    <w:rsid w:val="00C11687"/>
    <w:rsid w:val="00C11E28"/>
    <w:rsid w:val="00C11F66"/>
    <w:rsid w:val="00C1225B"/>
    <w:rsid w:val="00C122F9"/>
    <w:rsid w:val="00C1253A"/>
    <w:rsid w:val="00C128C9"/>
    <w:rsid w:val="00C12CF3"/>
    <w:rsid w:val="00C12F88"/>
    <w:rsid w:val="00C131A8"/>
    <w:rsid w:val="00C1322D"/>
    <w:rsid w:val="00C135A3"/>
    <w:rsid w:val="00C146E8"/>
    <w:rsid w:val="00C1477A"/>
    <w:rsid w:val="00C14A62"/>
    <w:rsid w:val="00C150EE"/>
    <w:rsid w:val="00C150EF"/>
    <w:rsid w:val="00C151F5"/>
    <w:rsid w:val="00C157F2"/>
    <w:rsid w:val="00C158EB"/>
    <w:rsid w:val="00C159B1"/>
    <w:rsid w:val="00C15D51"/>
    <w:rsid w:val="00C161F5"/>
    <w:rsid w:val="00C16BE6"/>
    <w:rsid w:val="00C16C92"/>
    <w:rsid w:val="00C1706B"/>
    <w:rsid w:val="00C1749D"/>
    <w:rsid w:val="00C17BB2"/>
    <w:rsid w:val="00C17DB7"/>
    <w:rsid w:val="00C17E48"/>
    <w:rsid w:val="00C17F0B"/>
    <w:rsid w:val="00C201E7"/>
    <w:rsid w:val="00C20374"/>
    <w:rsid w:val="00C20506"/>
    <w:rsid w:val="00C2054A"/>
    <w:rsid w:val="00C20AA2"/>
    <w:rsid w:val="00C20B91"/>
    <w:rsid w:val="00C20C36"/>
    <w:rsid w:val="00C20F8D"/>
    <w:rsid w:val="00C21155"/>
    <w:rsid w:val="00C2146C"/>
    <w:rsid w:val="00C214D7"/>
    <w:rsid w:val="00C21561"/>
    <w:rsid w:val="00C217EE"/>
    <w:rsid w:val="00C22487"/>
    <w:rsid w:val="00C22784"/>
    <w:rsid w:val="00C23843"/>
    <w:rsid w:val="00C23A4C"/>
    <w:rsid w:val="00C240D3"/>
    <w:rsid w:val="00C2419D"/>
    <w:rsid w:val="00C243A4"/>
    <w:rsid w:val="00C24416"/>
    <w:rsid w:val="00C248DB"/>
    <w:rsid w:val="00C24E56"/>
    <w:rsid w:val="00C25070"/>
    <w:rsid w:val="00C25B4E"/>
    <w:rsid w:val="00C26170"/>
    <w:rsid w:val="00C26B5A"/>
    <w:rsid w:val="00C26D52"/>
    <w:rsid w:val="00C26D81"/>
    <w:rsid w:val="00C30084"/>
    <w:rsid w:val="00C303E4"/>
    <w:rsid w:val="00C30775"/>
    <w:rsid w:val="00C30B8D"/>
    <w:rsid w:val="00C3134E"/>
    <w:rsid w:val="00C315D8"/>
    <w:rsid w:val="00C31C4A"/>
    <w:rsid w:val="00C31D2D"/>
    <w:rsid w:val="00C31FCD"/>
    <w:rsid w:val="00C32062"/>
    <w:rsid w:val="00C3209A"/>
    <w:rsid w:val="00C323D7"/>
    <w:rsid w:val="00C32638"/>
    <w:rsid w:val="00C32639"/>
    <w:rsid w:val="00C32808"/>
    <w:rsid w:val="00C32AD2"/>
    <w:rsid w:val="00C32DE8"/>
    <w:rsid w:val="00C32E33"/>
    <w:rsid w:val="00C33114"/>
    <w:rsid w:val="00C34193"/>
    <w:rsid w:val="00C347FD"/>
    <w:rsid w:val="00C34C1E"/>
    <w:rsid w:val="00C34DAE"/>
    <w:rsid w:val="00C34E1E"/>
    <w:rsid w:val="00C34E5A"/>
    <w:rsid w:val="00C353D2"/>
    <w:rsid w:val="00C35797"/>
    <w:rsid w:val="00C35D9C"/>
    <w:rsid w:val="00C36219"/>
    <w:rsid w:val="00C3698E"/>
    <w:rsid w:val="00C36CCA"/>
    <w:rsid w:val="00C36E1C"/>
    <w:rsid w:val="00C36F42"/>
    <w:rsid w:val="00C3718A"/>
    <w:rsid w:val="00C371A8"/>
    <w:rsid w:val="00C3728D"/>
    <w:rsid w:val="00C377C6"/>
    <w:rsid w:val="00C379C5"/>
    <w:rsid w:val="00C37EC9"/>
    <w:rsid w:val="00C37EEE"/>
    <w:rsid w:val="00C40453"/>
    <w:rsid w:val="00C40E71"/>
    <w:rsid w:val="00C40FBC"/>
    <w:rsid w:val="00C4141D"/>
    <w:rsid w:val="00C41879"/>
    <w:rsid w:val="00C419E6"/>
    <w:rsid w:val="00C41A7C"/>
    <w:rsid w:val="00C41D64"/>
    <w:rsid w:val="00C4204C"/>
    <w:rsid w:val="00C42CEF"/>
    <w:rsid w:val="00C42D55"/>
    <w:rsid w:val="00C43080"/>
    <w:rsid w:val="00C4370E"/>
    <w:rsid w:val="00C43823"/>
    <w:rsid w:val="00C4384B"/>
    <w:rsid w:val="00C4393C"/>
    <w:rsid w:val="00C43A22"/>
    <w:rsid w:val="00C43F2D"/>
    <w:rsid w:val="00C44068"/>
    <w:rsid w:val="00C442AE"/>
    <w:rsid w:val="00C44B32"/>
    <w:rsid w:val="00C44DCD"/>
    <w:rsid w:val="00C4518B"/>
    <w:rsid w:val="00C45780"/>
    <w:rsid w:val="00C458D6"/>
    <w:rsid w:val="00C45919"/>
    <w:rsid w:val="00C45C79"/>
    <w:rsid w:val="00C4655A"/>
    <w:rsid w:val="00C466BF"/>
    <w:rsid w:val="00C46968"/>
    <w:rsid w:val="00C47385"/>
    <w:rsid w:val="00C47555"/>
    <w:rsid w:val="00C476AC"/>
    <w:rsid w:val="00C47E67"/>
    <w:rsid w:val="00C47F68"/>
    <w:rsid w:val="00C47FD9"/>
    <w:rsid w:val="00C504C1"/>
    <w:rsid w:val="00C509CE"/>
    <w:rsid w:val="00C50A5C"/>
    <w:rsid w:val="00C50C1A"/>
    <w:rsid w:val="00C50E1E"/>
    <w:rsid w:val="00C51508"/>
    <w:rsid w:val="00C519BD"/>
    <w:rsid w:val="00C51D73"/>
    <w:rsid w:val="00C52A05"/>
    <w:rsid w:val="00C52E97"/>
    <w:rsid w:val="00C52EAF"/>
    <w:rsid w:val="00C53189"/>
    <w:rsid w:val="00C534E5"/>
    <w:rsid w:val="00C534F4"/>
    <w:rsid w:val="00C5375B"/>
    <w:rsid w:val="00C53B15"/>
    <w:rsid w:val="00C53DA9"/>
    <w:rsid w:val="00C53EF7"/>
    <w:rsid w:val="00C54280"/>
    <w:rsid w:val="00C54490"/>
    <w:rsid w:val="00C54616"/>
    <w:rsid w:val="00C54929"/>
    <w:rsid w:val="00C550B6"/>
    <w:rsid w:val="00C55373"/>
    <w:rsid w:val="00C556B1"/>
    <w:rsid w:val="00C557BE"/>
    <w:rsid w:val="00C55A05"/>
    <w:rsid w:val="00C56101"/>
    <w:rsid w:val="00C565F2"/>
    <w:rsid w:val="00C567A8"/>
    <w:rsid w:val="00C567E3"/>
    <w:rsid w:val="00C56979"/>
    <w:rsid w:val="00C56C45"/>
    <w:rsid w:val="00C573CC"/>
    <w:rsid w:val="00C575BE"/>
    <w:rsid w:val="00C57A14"/>
    <w:rsid w:val="00C57AD5"/>
    <w:rsid w:val="00C57B81"/>
    <w:rsid w:val="00C57FB9"/>
    <w:rsid w:val="00C6077B"/>
    <w:rsid w:val="00C60950"/>
    <w:rsid w:val="00C609C2"/>
    <w:rsid w:val="00C60D8A"/>
    <w:rsid w:val="00C60DD1"/>
    <w:rsid w:val="00C6151E"/>
    <w:rsid w:val="00C61565"/>
    <w:rsid w:val="00C61574"/>
    <w:rsid w:val="00C615B4"/>
    <w:rsid w:val="00C616CA"/>
    <w:rsid w:val="00C61AC6"/>
    <w:rsid w:val="00C61ACF"/>
    <w:rsid w:val="00C61F5C"/>
    <w:rsid w:val="00C6211D"/>
    <w:rsid w:val="00C622D1"/>
    <w:rsid w:val="00C62537"/>
    <w:rsid w:val="00C62AAC"/>
    <w:rsid w:val="00C62AE0"/>
    <w:rsid w:val="00C62B32"/>
    <w:rsid w:val="00C632E7"/>
    <w:rsid w:val="00C63796"/>
    <w:rsid w:val="00C63DED"/>
    <w:rsid w:val="00C63E88"/>
    <w:rsid w:val="00C6436D"/>
    <w:rsid w:val="00C64F97"/>
    <w:rsid w:val="00C651E4"/>
    <w:rsid w:val="00C65585"/>
    <w:rsid w:val="00C656EB"/>
    <w:rsid w:val="00C65DF4"/>
    <w:rsid w:val="00C661C6"/>
    <w:rsid w:val="00C673D9"/>
    <w:rsid w:val="00C674A0"/>
    <w:rsid w:val="00C6773B"/>
    <w:rsid w:val="00C67B49"/>
    <w:rsid w:val="00C703D1"/>
    <w:rsid w:val="00C70AB9"/>
    <w:rsid w:val="00C710E1"/>
    <w:rsid w:val="00C711F5"/>
    <w:rsid w:val="00C71326"/>
    <w:rsid w:val="00C713A1"/>
    <w:rsid w:val="00C71828"/>
    <w:rsid w:val="00C72030"/>
    <w:rsid w:val="00C72105"/>
    <w:rsid w:val="00C726B9"/>
    <w:rsid w:val="00C73B6E"/>
    <w:rsid w:val="00C73E08"/>
    <w:rsid w:val="00C74503"/>
    <w:rsid w:val="00C74520"/>
    <w:rsid w:val="00C74954"/>
    <w:rsid w:val="00C76028"/>
    <w:rsid w:val="00C76184"/>
    <w:rsid w:val="00C76462"/>
    <w:rsid w:val="00C7673D"/>
    <w:rsid w:val="00C76A80"/>
    <w:rsid w:val="00C76C27"/>
    <w:rsid w:val="00C76F07"/>
    <w:rsid w:val="00C7713F"/>
    <w:rsid w:val="00C77602"/>
    <w:rsid w:val="00C77960"/>
    <w:rsid w:val="00C77A13"/>
    <w:rsid w:val="00C77EF6"/>
    <w:rsid w:val="00C809E5"/>
    <w:rsid w:val="00C80A20"/>
    <w:rsid w:val="00C80A4A"/>
    <w:rsid w:val="00C80B4B"/>
    <w:rsid w:val="00C80D63"/>
    <w:rsid w:val="00C812D5"/>
    <w:rsid w:val="00C81BEA"/>
    <w:rsid w:val="00C81DF5"/>
    <w:rsid w:val="00C82188"/>
    <w:rsid w:val="00C8242B"/>
    <w:rsid w:val="00C82A50"/>
    <w:rsid w:val="00C83240"/>
    <w:rsid w:val="00C83381"/>
    <w:rsid w:val="00C83607"/>
    <w:rsid w:val="00C83768"/>
    <w:rsid w:val="00C83B18"/>
    <w:rsid w:val="00C840C3"/>
    <w:rsid w:val="00C841B4"/>
    <w:rsid w:val="00C84266"/>
    <w:rsid w:val="00C844DA"/>
    <w:rsid w:val="00C8466F"/>
    <w:rsid w:val="00C849E0"/>
    <w:rsid w:val="00C84B74"/>
    <w:rsid w:val="00C8512A"/>
    <w:rsid w:val="00C85342"/>
    <w:rsid w:val="00C85378"/>
    <w:rsid w:val="00C85856"/>
    <w:rsid w:val="00C85970"/>
    <w:rsid w:val="00C85E9B"/>
    <w:rsid w:val="00C8645C"/>
    <w:rsid w:val="00C867C8"/>
    <w:rsid w:val="00C86D71"/>
    <w:rsid w:val="00C874C8"/>
    <w:rsid w:val="00C90165"/>
    <w:rsid w:val="00C901AC"/>
    <w:rsid w:val="00C902DA"/>
    <w:rsid w:val="00C90733"/>
    <w:rsid w:val="00C910FA"/>
    <w:rsid w:val="00C91177"/>
    <w:rsid w:val="00C91E7B"/>
    <w:rsid w:val="00C921C4"/>
    <w:rsid w:val="00C9235F"/>
    <w:rsid w:val="00C9257F"/>
    <w:rsid w:val="00C9319C"/>
    <w:rsid w:val="00C934F6"/>
    <w:rsid w:val="00C93874"/>
    <w:rsid w:val="00C93A4C"/>
    <w:rsid w:val="00C944EB"/>
    <w:rsid w:val="00C94FD2"/>
    <w:rsid w:val="00C95341"/>
    <w:rsid w:val="00C95B76"/>
    <w:rsid w:val="00C964C3"/>
    <w:rsid w:val="00C96635"/>
    <w:rsid w:val="00C966B7"/>
    <w:rsid w:val="00C9672E"/>
    <w:rsid w:val="00C969DB"/>
    <w:rsid w:val="00C96A6E"/>
    <w:rsid w:val="00C96E7F"/>
    <w:rsid w:val="00C97751"/>
    <w:rsid w:val="00C97A4A"/>
    <w:rsid w:val="00C97DC9"/>
    <w:rsid w:val="00C97EE3"/>
    <w:rsid w:val="00CA00ED"/>
    <w:rsid w:val="00CA042A"/>
    <w:rsid w:val="00CA1098"/>
    <w:rsid w:val="00CA12BA"/>
    <w:rsid w:val="00CA12E4"/>
    <w:rsid w:val="00CA165C"/>
    <w:rsid w:val="00CA1913"/>
    <w:rsid w:val="00CA1C0D"/>
    <w:rsid w:val="00CA1DAE"/>
    <w:rsid w:val="00CA1E62"/>
    <w:rsid w:val="00CA2267"/>
    <w:rsid w:val="00CA38AD"/>
    <w:rsid w:val="00CA3E41"/>
    <w:rsid w:val="00CA3EEE"/>
    <w:rsid w:val="00CA4527"/>
    <w:rsid w:val="00CA4668"/>
    <w:rsid w:val="00CA4D68"/>
    <w:rsid w:val="00CA5098"/>
    <w:rsid w:val="00CA5503"/>
    <w:rsid w:val="00CA5E99"/>
    <w:rsid w:val="00CA642A"/>
    <w:rsid w:val="00CA664A"/>
    <w:rsid w:val="00CA66C3"/>
    <w:rsid w:val="00CA6CAD"/>
    <w:rsid w:val="00CA70A8"/>
    <w:rsid w:val="00CA70D0"/>
    <w:rsid w:val="00CA74A4"/>
    <w:rsid w:val="00CA7683"/>
    <w:rsid w:val="00CA7D87"/>
    <w:rsid w:val="00CA7E74"/>
    <w:rsid w:val="00CA7EA1"/>
    <w:rsid w:val="00CA7EEB"/>
    <w:rsid w:val="00CB009B"/>
    <w:rsid w:val="00CB0231"/>
    <w:rsid w:val="00CB0838"/>
    <w:rsid w:val="00CB092E"/>
    <w:rsid w:val="00CB0D7F"/>
    <w:rsid w:val="00CB1697"/>
    <w:rsid w:val="00CB1803"/>
    <w:rsid w:val="00CB1AFD"/>
    <w:rsid w:val="00CB1EB3"/>
    <w:rsid w:val="00CB2126"/>
    <w:rsid w:val="00CB2308"/>
    <w:rsid w:val="00CB24AD"/>
    <w:rsid w:val="00CB2828"/>
    <w:rsid w:val="00CB2C59"/>
    <w:rsid w:val="00CB2D9C"/>
    <w:rsid w:val="00CB2FD3"/>
    <w:rsid w:val="00CB3135"/>
    <w:rsid w:val="00CB3384"/>
    <w:rsid w:val="00CB33CC"/>
    <w:rsid w:val="00CB34AB"/>
    <w:rsid w:val="00CB3529"/>
    <w:rsid w:val="00CB38A9"/>
    <w:rsid w:val="00CB3A45"/>
    <w:rsid w:val="00CB4183"/>
    <w:rsid w:val="00CB4728"/>
    <w:rsid w:val="00CB58FB"/>
    <w:rsid w:val="00CB59E7"/>
    <w:rsid w:val="00CB5D27"/>
    <w:rsid w:val="00CB5E4A"/>
    <w:rsid w:val="00CB6FCA"/>
    <w:rsid w:val="00CB724D"/>
    <w:rsid w:val="00CB73EA"/>
    <w:rsid w:val="00CB76E3"/>
    <w:rsid w:val="00CB7BAC"/>
    <w:rsid w:val="00CB7D4E"/>
    <w:rsid w:val="00CB7F1F"/>
    <w:rsid w:val="00CB7F2A"/>
    <w:rsid w:val="00CC002B"/>
    <w:rsid w:val="00CC07E5"/>
    <w:rsid w:val="00CC09F0"/>
    <w:rsid w:val="00CC0AB5"/>
    <w:rsid w:val="00CC0C11"/>
    <w:rsid w:val="00CC1F52"/>
    <w:rsid w:val="00CC1FB7"/>
    <w:rsid w:val="00CC1FEE"/>
    <w:rsid w:val="00CC233F"/>
    <w:rsid w:val="00CC26B5"/>
    <w:rsid w:val="00CC27FD"/>
    <w:rsid w:val="00CC29A4"/>
    <w:rsid w:val="00CC2EC7"/>
    <w:rsid w:val="00CC2FC2"/>
    <w:rsid w:val="00CC3180"/>
    <w:rsid w:val="00CC31E8"/>
    <w:rsid w:val="00CC3AB9"/>
    <w:rsid w:val="00CC3C9E"/>
    <w:rsid w:val="00CC3FDB"/>
    <w:rsid w:val="00CC457D"/>
    <w:rsid w:val="00CC45E0"/>
    <w:rsid w:val="00CC4BBE"/>
    <w:rsid w:val="00CC4BC3"/>
    <w:rsid w:val="00CC4C4B"/>
    <w:rsid w:val="00CC50C7"/>
    <w:rsid w:val="00CC5324"/>
    <w:rsid w:val="00CC55AC"/>
    <w:rsid w:val="00CC5859"/>
    <w:rsid w:val="00CC5C91"/>
    <w:rsid w:val="00CC6D1C"/>
    <w:rsid w:val="00CC6DCA"/>
    <w:rsid w:val="00CC71DD"/>
    <w:rsid w:val="00CC71F3"/>
    <w:rsid w:val="00CC72C0"/>
    <w:rsid w:val="00CC7502"/>
    <w:rsid w:val="00CC757D"/>
    <w:rsid w:val="00CC795E"/>
    <w:rsid w:val="00CC798D"/>
    <w:rsid w:val="00CC7C74"/>
    <w:rsid w:val="00CD00DB"/>
    <w:rsid w:val="00CD0119"/>
    <w:rsid w:val="00CD07FD"/>
    <w:rsid w:val="00CD0866"/>
    <w:rsid w:val="00CD0DEA"/>
    <w:rsid w:val="00CD1169"/>
    <w:rsid w:val="00CD15F1"/>
    <w:rsid w:val="00CD16C7"/>
    <w:rsid w:val="00CD1A40"/>
    <w:rsid w:val="00CD1B33"/>
    <w:rsid w:val="00CD1C47"/>
    <w:rsid w:val="00CD22C2"/>
    <w:rsid w:val="00CD23E3"/>
    <w:rsid w:val="00CD25F3"/>
    <w:rsid w:val="00CD27FF"/>
    <w:rsid w:val="00CD2875"/>
    <w:rsid w:val="00CD2DF3"/>
    <w:rsid w:val="00CD305C"/>
    <w:rsid w:val="00CD3218"/>
    <w:rsid w:val="00CD3263"/>
    <w:rsid w:val="00CD356C"/>
    <w:rsid w:val="00CD3A6D"/>
    <w:rsid w:val="00CD3E5A"/>
    <w:rsid w:val="00CD3E63"/>
    <w:rsid w:val="00CD4073"/>
    <w:rsid w:val="00CD40A3"/>
    <w:rsid w:val="00CD425B"/>
    <w:rsid w:val="00CD4461"/>
    <w:rsid w:val="00CD47EC"/>
    <w:rsid w:val="00CD4CD3"/>
    <w:rsid w:val="00CD5249"/>
    <w:rsid w:val="00CD5854"/>
    <w:rsid w:val="00CD589F"/>
    <w:rsid w:val="00CD5CAE"/>
    <w:rsid w:val="00CD5E82"/>
    <w:rsid w:val="00CD5FE2"/>
    <w:rsid w:val="00CD60C9"/>
    <w:rsid w:val="00CD6345"/>
    <w:rsid w:val="00CD6596"/>
    <w:rsid w:val="00CD6BBB"/>
    <w:rsid w:val="00CD6EC2"/>
    <w:rsid w:val="00CD70BF"/>
    <w:rsid w:val="00CD7319"/>
    <w:rsid w:val="00CD7482"/>
    <w:rsid w:val="00CE02FE"/>
    <w:rsid w:val="00CE03CB"/>
    <w:rsid w:val="00CE07C1"/>
    <w:rsid w:val="00CE0A2C"/>
    <w:rsid w:val="00CE1171"/>
    <w:rsid w:val="00CE1303"/>
    <w:rsid w:val="00CE1567"/>
    <w:rsid w:val="00CE15E9"/>
    <w:rsid w:val="00CE1859"/>
    <w:rsid w:val="00CE186F"/>
    <w:rsid w:val="00CE20E3"/>
    <w:rsid w:val="00CE273A"/>
    <w:rsid w:val="00CE321C"/>
    <w:rsid w:val="00CE32E8"/>
    <w:rsid w:val="00CE353C"/>
    <w:rsid w:val="00CE3700"/>
    <w:rsid w:val="00CE38E9"/>
    <w:rsid w:val="00CE3B69"/>
    <w:rsid w:val="00CE4559"/>
    <w:rsid w:val="00CE4CE5"/>
    <w:rsid w:val="00CE5118"/>
    <w:rsid w:val="00CE5487"/>
    <w:rsid w:val="00CE54D8"/>
    <w:rsid w:val="00CE59B5"/>
    <w:rsid w:val="00CE59DB"/>
    <w:rsid w:val="00CE5B6A"/>
    <w:rsid w:val="00CE5D3A"/>
    <w:rsid w:val="00CE67D8"/>
    <w:rsid w:val="00CE68EA"/>
    <w:rsid w:val="00CE6AF8"/>
    <w:rsid w:val="00CE7381"/>
    <w:rsid w:val="00CE73F9"/>
    <w:rsid w:val="00CE7447"/>
    <w:rsid w:val="00CE74CE"/>
    <w:rsid w:val="00CE7B94"/>
    <w:rsid w:val="00CE7C74"/>
    <w:rsid w:val="00CE7E05"/>
    <w:rsid w:val="00CF0464"/>
    <w:rsid w:val="00CF0829"/>
    <w:rsid w:val="00CF0B67"/>
    <w:rsid w:val="00CF0BF9"/>
    <w:rsid w:val="00CF0E74"/>
    <w:rsid w:val="00CF1156"/>
    <w:rsid w:val="00CF1833"/>
    <w:rsid w:val="00CF1853"/>
    <w:rsid w:val="00CF1AA1"/>
    <w:rsid w:val="00CF1AEA"/>
    <w:rsid w:val="00CF1AEE"/>
    <w:rsid w:val="00CF2091"/>
    <w:rsid w:val="00CF2191"/>
    <w:rsid w:val="00CF21F6"/>
    <w:rsid w:val="00CF2278"/>
    <w:rsid w:val="00CF2B55"/>
    <w:rsid w:val="00CF2C62"/>
    <w:rsid w:val="00CF2F66"/>
    <w:rsid w:val="00CF337B"/>
    <w:rsid w:val="00CF3FE7"/>
    <w:rsid w:val="00CF40E4"/>
    <w:rsid w:val="00CF4416"/>
    <w:rsid w:val="00CF485B"/>
    <w:rsid w:val="00CF4F87"/>
    <w:rsid w:val="00CF4FF3"/>
    <w:rsid w:val="00CF56B3"/>
    <w:rsid w:val="00CF5762"/>
    <w:rsid w:val="00CF64EF"/>
    <w:rsid w:val="00CF65B4"/>
    <w:rsid w:val="00CF6803"/>
    <w:rsid w:val="00CF69B0"/>
    <w:rsid w:val="00CF6C05"/>
    <w:rsid w:val="00CF7285"/>
    <w:rsid w:val="00CF7485"/>
    <w:rsid w:val="00CF764E"/>
    <w:rsid w:val="00CF7E56"/>
    <w:rsid w:val="00D000B5"/>
    <w:rsid w:val="00D01502"/>
    <w:rsid w:val="00D01744"/>
    <w:rsid w:val="00D01984"/>
    <w:rsid w:val="00D019CB"/>
    <w:rsid w:val="00D01AEB"/>
    <w:rsid w:val="00D01C03"/>
    <w:rsid w:val="00D025CE"/>
    <w:rsid w:val="00D02A0F"/>
    <w:rsid w:val="00D02CA6"/>
    <w:rsid w:val="00D02DF3"/>
    <w:rsid w:val="00D02F5A"/>
    <w:rsid w:val="00D03181"/>
    <w:rsid w:val="00D0343C"/>
    <w:rsid w:val="00D0353D"/>
    <w:rsid w:val="00D037DC"/>
    <w:rsid w:val="00D0383B"/>
    <w:rsid w:val="00D03A8A"/>
    <w:rsid w:val="00D03DA5"/>
    <w:rsid w:val="00D03F27"/>
    <w:rsid w:val="00D043EE"/>
    <w:rsid w:val="00D0470D"/>
    <w:rsid w:val="00D05249"/>
    <w:rsid w:val="00D055A8"/>
    <w:rsid w:val="00D055CA"/>
    <w:rsid w:val="00D057A1"/>
    <w:rsid w:val="00D059FC"/>
    <w:rsid w:val="00D05DEF"/>
    <w:rsid w:val="00D062A6"/>
    <w:rsid w:val="00D0630D"/>
    <w:rsid w:val="00D06861"/>
    <w:rsid w:val="00D0688A"/>
    <w:rsid w:val="00D06BBB"/>
    <w:rsid w:val="00D06F22"/>
    <w:rsid w:val="00D07A9C"/>
    <w:rsid w:val="00D07C8C"/>
    <w:rsid w:val="00D1000D"/>
    <w:rsid w:val="00D10076"/>
    <w:rsid w:val="00D1033B"/>
    <w:rsid w:val="00D10360"/>
    <w:rsid w:val="00D10477"/>
    <w:rsid w:val="00D107E2"/>
    <w:rsid w:val="00D11A41"/>
    <w:rsid w:val="00D11D76"/>
    <w:rsid w:val="00D11F5E"/>
    <w:rsid w:val="00D121F5"/>
    <w:rsid w:val="00D126E4"/>
    <w:rsid w:val="00D12D44"/>
    <w:rsid w:val="00D12E6B"/>
    <w:rsid w:val="00D131BF"/>
    <w:rsid w:val="00D13A90"/>
    <w:rsid w:val="00D13DCD"/>
    <w:rsid w:val="00D13DFF"/>
    <w:rsid w:val="00D140E6"/>
    <w:rsid w:val="00D141A3"/>
    <w:rsid w:val="00D147C9"/>
    <w:rsid w:val="00D14DD4"/>
    <w:rsid w:val="00D158EF"/>
    <w:rsid w:val="00D15C14"/>
    <w:rsid w:val="00D15E74"/>
    <w:rsid w:val="00D15FAA"/>
    <w:rsid w:val="00D1629A"/>
    <w:rsid w:val="00D16B7C"/>
    <w:rsid w:val="00D16ECB"/>
    <w:rsid w:val="00D16EEE"/>
    <w:rsid w:val="00D17167"/>
    <w:rsid w:val="00D17BA5"/>
    <w:rsid w:val="00D17CBF"/>
    <w:rsid w:val="00D2058D"/>
    <w:rsid w:val="00D206A3"/>
    <w:rsid w:val="00D20DEF"/>
    <w:rsid w:val="00D20F35"/>
    <w:rsid w:val="00D2176E"/>
    <w:rsid w:val="00D2182A"/>
    <w:rsid w:val="00D2193D"/>
    <w:rsid w:val="00D21BCD"/>
    <w:rsid w:val="00D22105"/>
    <w:rsid w:val="00D2211C"/>
    <w:rsid w:val="00D22259"/>
    <w:rsid w:val="00D2263F"/>
    <w:rsid w:val="00D22B55"/>
    <w:rsid w:val="00D22C81"/>
    <w:rsid w:val="00D22CE5"/>
    <w:rsid w:val="00D23055"/>
    <w:rsid w:val="00D230AD"/>
    <w:rsid w:val="00D2320E"/>
    <w:rsid w:val="00D2327A"/>
    <w:rsid w:val="00D237D2"/>
    <w:rsid w:val="00D23C7C"/>
    <w:rsid w:val="00D24790"/>
    <w:rsid w:val="00D24C7B"/>
    <w:rsid w:val="00D25000"/>
    <w:rsid w:val="00D2518E"/>
    <w:rsid w:val="00D251A1"/>
    <w:rsid w:val="00D251AB"/>
    <w:rsid w:val="00D25240"/>
    <w:rsid w:val="00D253DC"/>
    <w:rsid w:val="00D25AC6"/>
    <w:rsid w:val="00D26025"/>
    <w:rsid w:val="00D261D3"/>
    <w:rsid w:val="00D2684B"/>
    <w:rsid w:val="00D30109"/>
    <w:rsid w:val="00D30463"/>
    <w:rsid w:val="00D307B9"/>
    <w:rsid w:val="00D30952"/>
    <w:rsid w:val="00D319DF"/>
    <w:rsid w:val="00D31C02"/>
    <w:rsid w:val="00D3225E"/>
    <w:rsid w:val="00D324BC"/>
    <w:rsid w:val="00D32B9F"/>
    <w:rsid w:val="00D33565"/>
    <w:rsid w:val="00D336D4"/>
    <w:rsid w:val="00D33761"/>
    <w:rsid w:val="00D33762"/>
    <w:rsid w:val="00D341C7"/>
    <w:rsid w:val="00D344B7"/>
    <w:rsid w:val="00D344EB"/>
    <w:rsid w:val="00D34BD1"/>
    <w:rsid w:val="00D35177"/>
    <w:rsid w:val="00D35699"/>
    <w:rsid w:val="00D356CB"/>
    <w:rsid w:val="00D356E1"/>
    <w:rsid w:val="00D3573E"/>
    <w:rsid w:val="00D36EF3"/>
    <w:rsid w:val="00D373AA"/>
    <w:rsid w:val="00D37C2F"/>
    <w:rsid w:val="00D40340"/>
    <w:rsid w:val="00D403B0"/>
    <w:rsid w:val="00D40609"/>
    <w:rsid w:val="00D40983"/>
    <w:rsid w:val="00D41188"/>
    <w:rsid w:val="00D417D3"/>
    <w:rsid w:val="00D418D5"/>
    <w:rsid w:val="00D41940"/>
    <w:rsid w:val="00D41C08"/>
    <w:rsid w:val="00D41DB1"/>
    <w:rsid w:val="00D4249C"/>
    <w:rsid w:val="00D4276D"/>
    <w:rsid w:val="00D42798"/>
    <w:rsid w:val="00D42963"/>
    <w:rsid w:val="00D42970"/>
    <w:rsid w:val="00D43AED"/>
    <w:rsid w:val="00D44916"/>
    <w:rsid w:val="00D44AA9"/>
    <w:rsid w:val="00D450C7"/>
    <w:rsid w:val="00D451EF"/>
    <w:rsid w:val="00D45526"/>
    <w:rsid w:val="00D45999"/>
    <w:rsid w:val="00D45AE4"/>
    <w:rsid w:val="00D45CA4"/>
    <w:rsid w:val="00D45EA7"/>
    <w:rsid w:val="00D45EE7"/>
    <w:rsid w:val="00D45F22"/>
    <w:rsid w:val="00D46109"/>
    <w:rsid w:val="00D466E8"/>
    <w:rsid w:val="00D469C6"/>
    <w:rsid w:val="00D46AB9"/>
    <w:rsid w:val="00D47178"/>
    <w:rsid w:val="00D4730F"/>
    <w:rsid w:val="00D4752E"/>
    <w:rsid w:val="00D47842"/>
    <w:rsid w:val="00D47BEF"/>
    <w:rsid w:val="00D50323"/>
    <w:rsid w:val="00D50826"/>
    <w:rsid w:val="00D50BEB"/>
    <w:rsid w:val="00D50C9B"/>
    <w:rsid w:val="00D51675"/>
    <w:rsid w:val="00D51F73"/>
    <w:rsid w:val="00D522D6"/>
    <w:rsid w:val="00D52827"/>
    <w:rsid w:val="00D529BE"/>
    <w:rsid w:val="00D52CF6"/>
    <w:rsid w:val="00D5332D"/>
    <w:rsid w:val="00D5339B"/>
    <w:rsid w:val="00D53A68"/>
    <w:rsid w:val="00D53D3E"/>
    <w:rsid w:val="00D5410C"/>
    <w:rsid w:val="00D5455E"/>
    <w:rsid w:val="00D547E0"/>
    <w:rsid w:val="00D54901"/>
    <w:rsid w:val="00D54992"/>
    <w:rsid w:val="00D55291"/>
    <w:rsid w:val="00D55C48"/>
    <w:rsid w:val="00D55D65"/>
    <w:rsid w:val="00D55E47"/>
    <w:rsid w:val="00D56392"/>
    <w:rsid w:val="00D56997"/>
    <w:rsid w:val="00D570E6"/>
    <w:rsid w:val="00D5730F"/>
    <w:rsid w:val="00D5774F"/>
    <w:rsid w:val="00D60809"/>
    <w:rsid w:val="00D60D7F"/>
    <w:rsid w:val="00D6152D"/>
    <w:rsid w:val="00D6164F"/>
    <w:rsid w:val="00D61C9C"/>
    <w:rsid w:val="00D61FC2"/>
    <w:rsid w:val="00D62111"/>
    <w:rsid w:val="00D62229"/>
    <w:rsid w:val="00D625B8"/>
    <w:rsid w:val="00D626F8"/>
    <w:rsid w:val="00D62A03"/>
    <w:rsid w:val="00D632D9"/>
    <w:rsid w:val="00D636DC"/>
    <w:rsid w:val="00D63AA6"/>
    <w:rsid w:val="00D63F14"/>
    <w:rsid w:val="00D63F4C"/>
    <w:rsid w:val="00D64613"/>
    <w:rsid w:val="00D6467E"/>
    <w:rsid w:val="00D64702"/>
    <w:rsid w:val="00D66BFD"/>
    <w:rsid w:val="00D66C91"/>
    <w:rsid w:val="00D674EE"/>
    <w:rsid w:val="00D67535"/>
    <w:rsid w:val="00D67A4D"/>
    <w:rsid w:val="00D67BC9"/>
    <w:rsid w:val="00D67DBC"/>
    <w:rsid w:val="00D704D9"/>
    <w:rsid w:val="00D70806"/>
    <w:rsid w:val="00D70934"/>
    <w:rsid w:val="00D70BD2"/>
    <w:rsid w:val="00D70DAB"/>
    <w:rsid w:val="00D713F2"/>
    <w:rsid w:val="00D721B1"/>
    <w:rsid w:val="00D7226B"/>
    <w:rsid w:val="00D72705"/>
    <w:rsid w:val="00D72F93"/>
    <w:rsid w:val="00D730EE"/>
    <w:rsid w:val="00D738BF"/>
    <w:rsid w:val="00D73B93"/>
    <w:rsid w:val="00D73C95"/>
    <w:rsid w:val="00D7400F"/>
    <w:rsid w:val="00D745C1"/>
    <w:rsid w:val="00D74784"/>
    <w:rsid w:val="00D756F6"/>
    <w:rsid w:val="00D75731"/>
    <w:rsid w:val="00D75B45"/>
    <w:rsid w:val="00D75B5C"/>
    <w:rsid w:val="00D75E2C"/>
    <w:rsid w:val="00D75F30"/>
    <w:rsid w:val="00D75F8C"/>
    <w:rsid w:val="00D76050"/>
    <w:rsid w:val="00D761DD"/>
    <w:rsid w:val="00D76309"/>
    <w:rsid w:val="00D76423"/>
    <w:rsid w:val="00D766DD"/>
    <w:rsid w:val="00D767BF"/>
    <w:rsid w:val="00D768D9"/>
    <w:rsid w:val="00D76990"/>
    <w:rsid w:val="00D77278"/>
    <w:rsid w:val="00D7749B"/>
    <w:rsid w:val="00D775B5"/>
    <w:rsid w:val="00D77961"/>
    <w:rsid w:val="00D77A47"/>
    <w:rsid w:val="00D77B20"/>
    <w:rsid w:val="00D77B3B"/>
    <w:rsid w:val="00D77C5A"/>
    <w:rsid w:val="00D8007C"/>
    <w:rsid w:val="00D800BF"/>
    <w:rsid w:val="00D800D8"/>
    <w:rsid w:val="00D8079F"/>
    <w:rsid w:val="00D80C00"/>
    <w:rsid w:val="00D80D0D"/>
    <w:rsid w:val="00D8103B"/>
    <w:rsid w:val="00D8111B"/>
    <w:rsid w:val="00D81242"/>
    <w:rsid w:val="00D812D2"/>
    <w:rsid w:val="00D81764"/>
    <w:rsid w:val="00D81D10"/>
    <w:rsid w:val="00D82C80"/>
    <w:rsid w:val="00D82D02"/>
    <w:rsid w:val="00D82D0F"/>
    <w:rsid w:val="00D83A5A"/>
    <w:rsid w:val="00D83E9B"/>
    <w:rsid w:val="00D84157"/>
    <w:rsid w:val="00D84641"/>
    <w:rsid w:val="00D84BD7"/>
    <w:rsid w:val="00D84DCA"/>
    <w:rsid w:val="00D85114"/>
    <w:rsid w:val="00D857BC"/>
    <w:rsid w:val="00D85CC6"/>
    <w:rsid w:val="00D861E5"/>
    <w:rsid w:val="00D86A92"/>
    <w:rsid w:val="00D871B6"/>
    <w:rsid w:val="00D875E1"/>
    <w:rsid w:val="00D876AE"/>
    <w:rsid w:val="00D87ACE"/>
    <w:rsid w:val="00D87D2E"/>
    <w:rsid w:val="00D87F1E"/>
    <w:rsid w:val="00D90275"/>
    <w:rsid w:val="00D902F5"/>
    <w:rsid w:val="00D9075D"/>
    <w:rsid w:val="00D90959"/>
    <w:rsid w:val="00D91410"/>
    <w:rsid w:val="00D91438"/>
    <w:rsid w:val="00D91594"/>
    <w:rsid w:val="00D91ABE"/>
    <w:rsid w:val="00D91DFB"/>
    <w:rsid w:val="00D921DA"/>
    <w:rsid w:val="00D927A8"/>
    <w:rsid w:val="00D92C2F"/>
    <w:rsid w:val="00D92F7F"/>
    <w:rsid w:val="00D930AC"/>
    <w:rsid w:val="00D932BC"/>
    <w:rsid w:val="00D9385C"/>
    <w:rsid w:val="00D9459D"/>
    <w:rsid w:val="00D94730"/>
    <w:rsid w:val="00D94858"/>
    <w:rsid w:val="00D94972"/>
    <w:rsid w:val="00D954A1"/>
    <w:rsid w:val="00D95519"/>
    <w:rsid w:val="00D95744"/>
    <w:rsid w:val="00D958FC"/>
    <w:rsid w:val="00D959AE"/>
    <w:rsid w:val="00D95DC2"/>
    <w:rsid w:val="00D96678"/>
    <w:rsid w:val="00D9673A"/>
    <w:rsid w:val="00D96C73"/>
    <w:rsid w:val="00D96D46"/>
    <w:rsid w:val="00D96DCC"/>
    <w:rsid w:val="00D974B1"/>
    <w:rsid w:val="00D97C27"/>
    <w:rsid w:val="00D97F9C"/>
    <w:rsid w:val="00DA032C"/>
    <w:rsid w:val="00DA0526"/>
    <w:rsid w:val="00DA0639"/>
    <w:rsid w:val="00DA0812"/>
    <w:rsid w:val="00DA0B8C"/>
    <w:rsid w:val="00DA0CF7"/>
    <w:rsid w:val="00DA0E96"/>
    <w:rsid w:val="00DA1203"/>
    <w:rsid w:val="00DA14A0"/>
    <w:rsid w:val="00DA18DA"/>
    <w:rsid w:val="00DA1C31"/>
    <w:rsid w:val="00DA1F0C"/>
    <w:rsid w:val="00DA1FE8"/>
    <w:rsid w:val="00DA20D8"/>
    <w:rsid w:val="00DA21D9"/>
    <w:rsid w:val="00DA3565"/>
    <w:rsid w:val="00DA3A5B"/>
    <w:rsid w:val="00DA3D0B"/>
    <w:rsid w:val="00DA3F51"/>
    <w:rsid w:val="00DA45DB"/>
    <w:rsid w:val="00DA48D9"/>
    <w:rsid w:val="00DA49F8"/>
    <w:rsid w:val="00DA4AAE"/>
    <w:rsid w:val="00DA5572"/>
    <w:rsid w:val="00DA5682"/>
    <w:rsid w:val="00DA5D5D"/>
    <w:rsid w:val="00DA6588"/>
    <w:rsid w:val="00DA6906"/>
    <w:rsid w:val="00DA6A15"/>
    <w:rsid w:val="00DA6CC2"/>
    <w:rsid w:val="00DA7029"/>
    <w:rsid w:val="00DA726C"/>
    <w:rsid w:val="00DA77A0"/>
    <w:rsid w:val="00DB09A2"/>
    <w:rsid w:val="00DB0DEB"/>
    <w:rsid w:val="00DB103D"/>
    <w:rsid w:val="00DB1060"/>
    <w:rsid w:val="00DB1448"/>
    <w:rsid w:val="00DB1907"/>
    <w:rsid w:val="00DB1998"/>
    <w:rsid w:val="00DB1FC4"/>
    <w:rsid w:val="00DB21F0"/>
    <w:rsid w:val="00DB2C5F"/>
    <w:rsid w:val="00DB2C97"/>
    <w:rsid w:val="00DB3A58"/>
    <w:rsid w:val="00DB3BDF"/>
    <w:rsid w:val="00DB3C58"/>
    <w:rsid w:val="00DB3D46"/>
    <w:rsid w:val="00DB401C"/>
    <w:rsid w:val="00DB46C8"/>
    <w:rsid w:val="00DB540E"/>
    <w:rsid w:val="00DB58EB"/>
    <w:rsid w:val="00DB5A63"/>
    <w:rsid w:val="00DB6166"/>
    <w:rsid w:val="00DB656B"/>
    <w:rsid w:val="00DB691E"/>
    <w:rsid w:val="00DB6C99"/>
    <w:rsid w:val="00DB75A3"/>
    <w:rsid w:val="00DB7F04"/>
    <w:rsid w:val="00DB7FF9"/>
    <w:rsid w:val="00DC0574"/>
    <w:rsid w:val="00DC0C65"/>
    <w:rsid w:val="00DC0EF0"/>
    <w:rsid w:val="00DC1169"/>
    <w:rsid w:val="00DC1275"/>
    <w:rsid w:val="00DC14BA"/>
    <w:rsid w:val="00DC16BF"/>
    <w:rsid w:val="00DC16E1"/>
    <w:rsid w:val="00DC16FC"/>
    <w:rsid w:val="00DC1881"/>
    <w:rsid w:val="00DC1ED7"/>
    <w:rsid w:val="00DC3993"/>
    <w:rsid w:val="00DC3A6F"/>
    <w:rsid w:val="00DC3D1C"/>
    <w:rsid w:val="00DC43CF"/>
    <w:rsid w:val="00DC43E1"/>
    <w:rsid w:val="00DC50CB"/>
    <w:rsid w:val="00DC5199"/>
    <w:rsid w:val="00DC52BA"/>
    <w:rsid w:val="00DC5A32"/>
    <w:rsid w:val="00DC5BA8"/>
    <w:rsid w:val="00DC5DDC"/>
    <w:rsid w:val="00DC5E2C"/>
    <w:rsid w:val="00DC5E4E"/>
    <w:rsid w:val="00DC5F75"/>
    <w:rsid w:val="00DC6281"/>
    <w:rsid w:val="00DC63E6"/>
    <w:rsid w:val="00DC651B"/>
    <w:rsid w:val="00DC662F"/>
    <w:rsid w:val="00DC6E78"/>
    <w:rsid w:val="00DC729A"/>
    <w:rsid w:val="00DC73B1"/>
    <w:rsid w:val="00DC74A4"/>
    <w:rsid w:val="00DC7519"/>
    <w:rsid w:val="00DC7584"/>
    <w:rsid w:val="00DC7630"/>
    <w:rsid w:val="00DC7E73"/>
    <w:rsid w:val="00DC7EB5"/>
    <w:rsid w:val="00DD02AB"/>
    <w:rsid w:val="00DD04AC"/>
    <w:rsid w:val="00DD04DD"/>
    <w:rsid w:val="00DD0891"/>
    <w:rsid w:val="00DD0B35"/>
    <w:rsid w:val="00DD0C4D"/>
    <w:rsid w:val="00DD0F9F"/>
    <w:rsid w:val="00DD11A7"/>
    <w:rsid w:val="00DD1298"/>
    <w:rsid w:val="00DD1A9F"/>
    <w:rsid w:val="00DD2300"/>
    <w:rsid w:val="00DD2309"/>
    <w:rsid w:val="00DD28B3"/>
    <w:rsid w:val="00DD28D1"/>
    <w:rsid w:val="00DD2DE3"/>
    <w:rsid w:val="00DD2DE8"/>
    <w:rsid w:val="00DD316F"/>
    <w:rsid w:val="00DD3268"/>
    <w:rsid w:val="00DD3279"/>
    <w:rsid w:val="00DD357C"/>
    <w:rsid w:val="00DD37CA"/>
    <w:rsid w:val="00DD3D55"/>
    <w:rsid w:val="00DD3DF7"/>
    <w:rsid w:val="00DD4792"/>
    <w:rsid w:val="00DD4AE2"/>
    <w:rsid w:val="00DD4BFA"/>
    <w:rsid w:val="00DD4D84"/>
    <w:rsid w:val="00DD5165"/>
    <w:rsid w:val="00DD51F8"/>
    <w:rsid w:val="00DD54A2"/>
    <w:rsid w:val="00DD5E72"/>
    <w:rsid w:val="00DD6388"/>
    <w:rsid w:val="00DD6C53"/>
    <w:rsid w:val="00DD7198"/>
    <w:rsid w:val="00DD7CB6"/>
    <w:rsid w:val="00DE0077"/>
    <w:rsid w:val="00DE0137"/>
    <w:rsid w:val="00DE01BA"/>
    <w:rsid w:val="00DE0DCF"/>
    <w:rsid w:val="00DE137B"/>
    <w:rsid w:val="00DE19D9"/>
    <w:rsid w:val="00DE1DC6"/>
    <w:rsid w:val="00DE1F77"/>
    <w:rsid w:val="00DE21C6"/>
    <w:rsid w:val="00DE22AA"/>
    <w:rsid w:val="00DE288F"/>
    <w:rsid w:val="00DE2C45"/>
    <w:rsid w:val="00DE2D49"/>
    <w:rsid w:val="00DE2D83"/>
    <w:rsid w:val="00DE2F4E"/>
    <w:rsid w:val="00DE33CD"/>
    <w:rsid w:val="00DE3849"/>
    <w:rsid w:val="00DE3E48"/>
    <w:rsid w:val="00DE3E66"/>
    <w:rsid w:val="00DE3F75"/>
    <w:rsid w:val="00DE41FC"/>
    <w:rsid w:val="00DE45F5"/>
    <w:rsid w:val="00DE49BE"/>
    <w:rsid w:val="00DE4AAD"/>
    <w:rsid w:val="00DE4C0C"/>
    <w:rsid w:val="00DE4FC8"/>
    <w:rsid w:val="00DE53B5"/>
    <w:rsid w:val="00DE5A50"/>
    <w:rsid w:val="00DE60C5"/>
    <w:rsid w:val="00DE64A9"/>
    <w:rsid w:val="00DE6617"/>
    <w:rsid w:val="00DE6CAD"/>
    <w:rsid w:val="00DE6D0C"/>
    <w:rsid w:val="00DE7323"/>
    <w:rsid w:val="00DE75F0"/>
    <w:rsid w:val="00DE77CB"/>
    <w:rsid w:val="00DE795A"/>
    <w:rsid w:val="00DE7A6B"/>
    <w:rsid w:val="00DE7EBA"/>
    <w:rsid w:val="00DF04BD"/>
    <w:rsid w:val="00DF068D"/>
    <w:rsid w:val="00DF0D3A"/>
    <w:rsid w:val="00DF140A"/>
    <w:rsid w:val="00DF1A9A"/>
    <w:rsid w:val="00DF1C2D"/>
    <w:rsid w:val="00DF1DE9"/>
    <w:rsid w:val="00DF1F8A"/>
    <w:rsid w:val="00DF2209"/>
    <w:rsid w:val="00DF248E"/>
    <w:rsid w:val="00DF3577"/>
    <w:rsid w:val="00DF3F39"/>
    <w:rsid w:val="00DF4063"/>
    <w:rsid w:val="00DF41AD"/>
    <w:rsid w:val="00DF4B0D"/>
    <w:rsid w:val="00DF5487"/>
    <w:rsid w:val="00DF5F13"/>
    <w:rsid w:val="00DF624D"/>
    <w:rsid w:val="00DF63DD"/>
    <w:rsid w:val="00DF6B62"/>
    <w:rsid w:val="00DF7583"/>
    <w:rsid w:val="00DF7BD0"/>
    <w:rsid w:val="00DF7BDF"/>
    <w:rsid w:val="00E00303"/>
    <w:rsid w:val="00E00836"/>
    <w:rsid w:val="00E00983"/>
    <w:rsid w:val="00E00A62"/>
    <w:rsid w:val="00E00CC1"/>
    <w:rsid w:val="00E010A0"/>
    <w:rsid w:val="00E0125E"/>
    <w:rsid w:val="00E01668"/>
    <w:rsid w:val="00E0173A"/>
    <w:rsid w:val="00E01849"/>
    <w:rsid w:val="00E019E0"/>
    <w:rsid w:val="00E01C90"/>
    <w:rsid w:val="00E020D1"/>
    <w:rsid w:val="00E02B64"/>
    <w:rsid w:val="00E02EAD"/>
    <w:rsid w:val="00E03D3F"/>
    <w:rsid w:val="00E03DED"/>
    <w:rsid w:val="00E0437C"/>
    <w:rsid w:val="00E044FC"/>
    <w:rsid w:val="00E0452C"/>
    <w:rsid w:val="00E04600"/>
    <w:rsid w:val="00E048BD"/>
    <w:rsid w:val="00E04D61"/>
    <w:rsid w:val="00E0504C"/>
    <w:rsid w:val="00E05074"/>
    <w:rsid w:val="00E05489"/>
    <w:rsid w:val="00E055EE"/>
    <w:rsid w:val="00E05741"/>
    <w:rsid w:val="00E05F7F"/>
    <w:rsid w:val="00E06549"/>
    <w:rsid w:val="00E06886"/>
    <w:rsid w:val="00E06930"/>
    <w:rsid w:val="00E06971"/>
    <w:rsid w:val="00E069E1"/>
    <w:rsid w:val="00E06C41"/>
    <w:rsid w:val="00E07181"/>
    <w:rsid w:val="00E10183"/>
    <w:rsid w:val="00E105B3"/>
    <w:rsid w:val="00E10846"/>
    <w:rsid w:val="00E10883"/>
    <w:rsid w:val="00E108F4"/>
    <w:rsid w:val="00E10B75"/>
    <w:rsid w:val="00E10D4E"/>
    <w:rsid w:val="00E1100C"/>
    <w:rsid w:val="00E11489"/>
    <w:rsid w:val="00E11711"/>
    <w:rsid w:val="00E11E63"/>
    <w:rsid w:val="00E11F94"/>
    <w:rsid w:val="00E12696"/>
    <w:rsid w:val="00E129E1"/>
    <w:rsid w:val="00E12B8C"/>
    <w:rsid w:val="00E1310D"/>
    <w:rsid w:val="00E13133"/>
    <w:rsid w:val="00E13359"/>
    <w:rsid w:val="00E1345D"/>
    <w:rsid w:val="00E138BF"/>
    <w:rsid w:val="00E142FF"/>
    <w:rsid w:val="00E14874"/>
    <w:rsid w:val="00E14EC9"/>
    <w:rsid w:val="00E14EFA"/>
    <w:rsid w:val="00E1519D"/>
    <w:rsid w:val="00E151B9"/>
    <w:rsid w:val="00E152A7"/>
    <w:rsid w:val="00E15430"/>
    <w:rsid w:val="00E158C4"/>
    <w:rsid w:val="00E15F2E"/>
    <w:rsid w:val="00E161E6"/>
    <w:rsid w:val="00E167C9"/>
    <w:rsid w:val="00E1698C"/>
    <w:rsid w:val="00E16AA0"/>
    <w:rsid w:val="00E16B7E"/>
    <w:rsid w:val="00E16BDB"/>
    <w:rsid w:val="00E16C91"/>
    <w:rsid w:val="00E172BE"/>
    <w:rsid w:val="00E175E0"/>
    <w:rsid w:val="00E1762A"/>
    <w:rsid w:val="00E17991"/>
    <w:rsid w:val="00E17CF7"/>
    <w:rsid w:val="00E205D6"/>
    <w:rsid w:val="00E209AB"/>
    <w:rsid w:val="00E20B25"/>
    <w:rsid w:val="00E216EC"/>
    <w:rsid w:val="00E2189A"/>
    <w:rsid w:val="00E21A60"/>
    <w:rsid w:val="00E21CE8"/>
    <w:rsid w:val="00E22356"/>
    <w:rsid w:val="00E223C2"/>
    <w:rsid w:val="00E22B5A"/>
    <w:rsid w:val="00E22B68"/>
    <w:rsid w:val="00E231C9"/>
    <w:rsid w:val="00E23EBF"/>
    <w:rsid w:val="00E23FD5"/>
    <w:rsid w:val="00E24669"/>
    <w:rsid w:val="00E24836"/>
    <w:rsid w:val="00E24C48"/>
    <w:rsid w:val="00E24EE4"/>
    <w:rsid w:val="00E255D7"/>
    <w:rsid w:val="00E25981"/>
    <w:rsid w:val="00E25996"/>
    <w:rsid w:val="00E26141"/>
    <w:rsid w:val="00E26534"/>
    <w:rsid w:val="00E266F5"/>
    <w:rsid w:val="00E26CCC"/>
    <w:rsid w:val="00E270D3"/>
    <w:rsid w:val="00E27971"/>
    <w:rsid w:val="00E27FC7"/>
    <w:rsid w:val="00E3050B"/>
    <w:rsid w:val="00E30700"/>
    <w:rsid w:val="00E31360"/>
    <w:rsid w:val="00E31A4F"/>
    <w:rsid w:val="00E31D28"/>
    <w:rsid w:val="00E321F6"/>
    <w:rsid w:val="00E32425"/>
    <w:rsid w:val="00E32506"/>
    <w:rsid w:val="00E3252C"/>
    <w:rsid w:val="00E325FF"/>
    <w:rsid w:val="00E32938"/>
    <w:rsid w:val="00E32CB8"/>
    <w:rsid w:val="00E32EB7"/>
    <w:rsid w:val="00E33367"/>
    <w:rsid w:val="00E3391C"/>
    <w:rsid w:val="00E3440F"/>
    <w:rsid w:val="00E344F2"/>
    <w:rsid w:val="00E34F3A"/>
    <w:rsid w:val="00E35F99"/>
    <w:rsid w:val="00E35F9A"/>
    <w:rsid w:val="00E3637F"/>
    <w:rsid w:val="00E364B6"/>
    <w:rsid w:val="00E36723"/>
    <w:rsid w:val="00E36E20"/>
    <w:rsid w:val="00E37102"/>
    <w:rsid w:val="00E37125"/>
    <w:rsid w:val="00E3713C"/>
    <w:rsid w:val="00E37470"/>
    <w:rsid w:val="00E3767B"/>
    <w:rsid w:val="00E37704"/>
    <w:rsid w:val="00E37E1C"/>
    <w:rsid w:val="00E40126"/>
    <w:rsid w:val="00E4013B"/>
    <w:rsid w:val="00E40149"/>
    <w:rsid w:val="00E402D3"/>
    <w:rsid w:val="00E40BC3"/>
    <w:rsid w:val="00E40C85"/>
    <w:rsid w:val="00E40CBF"/>
    <w:rsid w:val="00E40E7D"/>
    <w:rsid w:val="00E40EE4"/>
    <w:rsid w:val="00E413C6"/>
    <w:rsid w:val="00E4141C"/>
    <w:rsid w:val="00E420D5"/>
    <w:rsid w:val="00E42517"/>
    <w:rsid w:val="00E42600"/>
    <w:rsid w:val="00E42948"/>
    <w:rsid w:val="00E42BA3"/>
    <w:rsid w:val="00E42D55"/>
    <w:rsid w:val="00E42D70"/>
    <w:rsid w:val="00E42FFE"/>
    <w:rsid w:val="00E4316E"/>
    <w:rsid w:val="00E435AB"/>
    <w:rsid w:val="00E43ADC"/>
    <w:rsid w:val="00E44275"/>
    <w:rsid w:val="00E44705"/>
    <w:rsid w:val="00E44777"/>
    <w:rsid w:val="00E44F67"/>
    <w:rsid w:val="00E4535F"/>
    <w:rsid w:val="00E4546F"/>
    <w:rsid w:val="00E455E3"/>
    <w:rsid w:val="00E45657"/>
    <w:rsid w:val="00E46370"/>
    <w:rsid w:val="00E466BC"/>
    <w:rsid w:val="00E4686A"/>
    <w:rsid w:val="00E469F2"/>
    <w:rsid w:val="00E46EE9"/>
    <w:rsid w:val="00E46FA1"/>
    <w:rsid w:val="00E472F0"/>
    <w:rsid w:val="00E479FD"/>
    <w:rsid w:val="00E47A09"/>
    <w:rsid w:val="00E47F1A"/>
    <w:rsid w:val="00E504D6"/>
    <w:rsid w:val="00E50B6F"/>
    <w:rsid w:val="00E50D06"/>
    <w:rsid w:val="00E50EBE"/>
    <w:rsid w:val="00E50F69"/>
    <w:rsid w:val="00E50FC6"/>
    <w:rsid w:val="00E51709"/>
    <w:rsid w:val="00E51D89"/>
    <w:rsid w:val="00E5227B"/>
    <w:rsid w:val="00E52372"/>
    <w:rsid w:val="00E5255A"/>
    <w:rsid w:val="00E52786"/>
    <w:rsid w:val="00E52D79"/>
    <w:rsid w:val="00E52F05"/>
    <w:rsid w:val="00E53579"/>
    <w:rsid w:val="00E53EA2"/>
    <w:rsid w:val="00E53F5F"/>
    <w:rsid w:val="00E540A9"/>
    <w:rsid w:val="00E540CA"/>
    <w:rsid w:val="00E54F07"/>
    <w:rsid w:val="00E54F3A"/>
    <w:rsid w:val="00E55560"/>
    <w:rsid w:val="00E55712"/>
    <w:rsid w:val="00E559F9"/>
    <w:rsid w:val="00E55B28"/>
    <w:rsid w:val="00E55F77"/>
    <w:rsid w:val="00E56079"/>
    <w:rsid w:val="00E56251"/>
    <w:rsid w:val="00E5642F"/>
    <w:rsid w:val="00E56B41"/>
    <w:rsid w:val="00E56D4A"/>
    <w:rsid w:val="00E57119"/>
    <w:rsid w:val="00E5719E"/>
    <w:rsid w:val="00E57708"/>
    <w:rsid w:val="00E57D7B"/>
    <w:rsid w:val="00E57F4B"/>
    <w:rsid w:val="00E60109"/>
    <w:rsid w:val="00E602E5"/>
    <w:rsid w:val="00E602F8"/>
    <w:rsid w:val="00E6085B"/>
    <w:rsid w:val="00E60D01"/>
    <w:rsid w:val="00E60FBA"/>
    <w:rsid w:val="00E60FBF"/>
    <w:rsid w:val="00E611AE"/>
    <w:rsid w:val="00E616F9"/>
    <w:rsid w:val="00E61852"/>
    <w:rsid w:val="00E61A0C"/>
    <w:rsid w:val="00E61B5C"/>
    <w:rsid w:val="00E61D22"/>
    <w:rsid w:val="00E61D96"/>
    <w:rsid w:val="00E61E4B"/>
    <w:rsid w:val="00E63DA2"/>
    <w:rsid w:val="00E641E8"/>
    <w:rsid w:val="00E642AF"/>
    <w:rsid w:val="00E644C6"/>
    <w:rsid w:val="00E64555"/>
    <w:rsid w:val="00E64595"/>
    <w:rsid w:val="00E646BB"/>
    <w:rsid w:val="00E64D24"/>
    <w:rsid w:val="00E64FAF"/>
    <w:rsid w:val="00E653A6"/>
    <w:rsid w:val="00E6540C"/>
    <w:rsid w:val="00E6549C"/>
    <w:rsid w:val="00E654B9"/>
    <w:rsid w:val="00E655D4"/>
    <w:rsid w:val="00E6589D"/>
    <w:rsid w:val="00E6595B"/>
    <w:rsid w:val="00E65DBD"/>
    <w:rsid w:val="00E65E8C"/>
    <w:rsid w:val="00E665E7"/>
    <w:rsid w:val="00E66C96"/>
    <w:rsid w:val="00E66D89"/>
    <w:rsid w:val="00E675A3"/>
    <w:rsid w:val="00E67D87"/>
    <w:rsid w:val="00E70130"/>
    <w:rsid w:val="00E70684"/>
    <w:rsid w:val="00E70D73"/>
    <w:rsid w:val="00E70F63"/>
    <w:rsid w:val="00E71063"/>
    <w:rsid w:val="00E710E2"/>
    <w:rsid w:val="00E715FC"/>
    <w:rsid w:val="00E71A45"/>
    <w:rsid w:val="00E71B55"/>
    <w:rsid w:val="00E71C21"/>
    <w:rsid w:val="00E72230"/>
    <w:rsid w:val="00E729F7"/>
    <w:rsid w:val="00E72F23"/>
    <w:rsid w:val="00E730FC"/>
    <w:rsid w:val="00E73481"/>
    <w:rsid w:val="00E737D1"/>
    <w:rsid w:val="00E7385A"/>
    <w:rsid w:val="00E7391F"/>
    <w:rsid w:val="00E73CE6"/>
    <w:rsid w:val="00E74780"/>
    <w:rsid w:val="00E74956"/>
    <w:rsid w:val="00E74E39"/>
    <w:rsid w:val="00E752F7"/>
    <w:rsid w:val="00E7572F"/>
    <w:rsid w:val="00E75848"/>
    <w:rsid w:val="00E759D4"/>
    <w:rsid w:val="00E76107"/>
    <w:rsid w:val="00E7631B"/>
    <w:rsid w:val="00E76336"/>
    <w:rsid w:val="00E76348"/>
    <w:rsid w:val="00E7660E"/>
    <w:rsid w:val="00E76696"/>
    <w:rsid w:val="00E769DA"/>
    <w:rsid w:val="00E76A3C"/>
    <w:rsid w:val="00E76ECE"/>
    <w:rsid w:val="00E76F9B"/>
    <w:rsid w:val="00E771FC"/>
    <w:rsid w:val="00E773E5"/>
    <w:rsid w:val="00E77BDD"/>
    <w:rsid w:val="00E806D3"/>
    <w:rsid w:val="00E80D3C"/>
    <w:rsid w:val="00E81C34"/>
    <w:rsid w:val="00E81D83"/>
    <w:rsid w:val="00E821BB"/>
    <w:rsid w:val="00E821CC"/>
    <w:rsid w:val="00E822E9"/>
    <w:rsid w:val="00E826FE"/>
    <w:rsid w:val="00E8275E"/>
    <w:rsid w:val="00E827AF"/>
    <w:rsid w:val="00E82843"/>
    <w:rsid w:val="00E829D3"/>
    <w:rsid w:val="00E82CA6"/>
    <w:rsid w:val="00E82DE9"/>
    <w:rsid w:val="00E83253"/>
    <w:rsid w:val="00E83714"/>
    <w:rsid w:val="00E83831"/>
    <w:rsid w:val="00E84053"/>
    <w:rsid w:val="00E844AB"/>
    <w:rsid w:val="00E84C97"/>
    <w:rsid w:val="00E85005"/>
    <w:rsid w:val="00E85296"/>
    <w:rsid w:val="00E8533B"/>
    <w:rsid w:val="00E85E4E"/>
    <w:rsid w:val="00E85FE5"/>
    <w:rsid w:val="00E86327"/>
    <w:rsid w:val="00E86A7A"/>
    <w:rsid w:val="00E86AC8"/>
    <w:rsid w:val="00E86DF0"/>
    <w:rsid w:val="00E8788A"/>
    <w:rsid w:val="00E87BD2"/>
    <w:rsid w:val="00E87CDC"/>
    <w:rsid w:val="00E87FFB"/>
    <w:rsid w:val="00E902B1"/>
    <w:rsid w:val="00E90B33"/>
    <w:rsid w:val="00E90DAF"/>
    <w:rsid w:val="00E911E0"/>
    <w:rsid w:val="00E91863"/>
    <w:rsid w:val="00E9250D"/>
    <w:rsid w:val="00E9262F"/>
    <w:rsid w:val="00E92A1F"/>
    <w:rsid w:val="00E93407"/>
    <w:rsid w:val="00E936E9"/>
    <w:rsid w:val="00E940A8"/>
    <w:rsid w:val="00E947E8"/>
    <w:rsid w:val="00E94AB3"/>
    <w:rsid w:val="00E94B0F"/>
    <w:rsid w:val="00E94C6B"/>
    <w:rsid w:val="00E95016"/>
    <w:rsid w:val="00E9503F"/>
    <w:rsid w:val="00E9534E"/>
    <w:rsid w:val="00E953E0"/>
    <w:rsid w:val="00E956F3"/>
    <w:rsid w:val="00E958AA"/>
    <w:rsid w:val="00E967B9"/>
    <w:rsid w:val="00E96E21"/>
    <w:rsid w:val="00E96E68"/>
    <w:rsid w:val="00E97013"/>
    <w:rsid w:val="00E97087"/>
    <w:rsid w:val="00E9782F"/>
    <w:rsid w:val="00E97D34"/>
    <w:rsid w:val="00E97EA1"/>
    <w:rsid w:val="00EA0BBE"/>
    <w:rsid w:val="00EA1650"/>
    <w:rsid w:val="00EA1FBC"/>
    <w:rsid w:val="00EA20A1"/>
    <w:rsid w:val="00EA212B"/>
    <w:rsid w:val="00EA2185"/>
    <w:rsid w:val="00EA24B5"/>
    <w:rsid w:val="00EA2D44"/>
    <w:rsid w:val="00EA3382"/>
    <w:rsid w:val="00EA3A1D"/>
    <w:rsid w:val="00EA3CD7"/>
    <w:rsid w:val="00EA3E2D"/>
    <w:rsid w:val="00EA4010"/>
    <w:rsid w:val="00EA429D"/>
    <w:rsid w:val="00EA43AF"/>
    <w:rsid w:val="00EA44DC"/>
    <w:rsid w:val="00EA4676"/>
    <w:rsid w:val="00EA47FB"/>
    <w:rsid w:val="00EA4C7C"/>
    <w:rsid w:val="00EA4D4C"/>
    <w:rsid w:val="00EA504D"/>
    <w:rsid w:val="00EA554F"/>
    <w:rsid w:val="00EA593B"/>
    <w:rsid w:val="00EA6250"/>
    <w:rsid w:val="00EA66A4"/>
    <w:rsid w:val="00EA6819"/>
    <w:rsid w:val="00EA6A1E"/>
    <w:rsid w:val="00EA70B8"/>
    <w:rsid w:val="00EA75BD"/>
    <w:rsid w:val="00EA7C47"/>
    <w:rsid w:val="00EB0F0F"/>
    <w:rsid w:val="00EB12A5"/>
    <w:rsid w:val="00EB166D"/>
    <w:rsid w:val="00EB1CC9"/>
    <w:rsid w:val="00EB1DEF"/>
    <w:rsid w:val="00EB217D"/>
    <w:rsid w:val="00EB2418"/>
    <w:rsid w:val="00EB24D8"/>
    <w:rsid w:val="00EB277B"/>
    <w:rsid w:val="00EB2994"/>
    <w:rsid w:val="00EB2BE0"/>
    <w:rsid w:val="00EB2F20"/>
    <w:rsid w:val="00EB2F35"/>
    <w:rsid w:val="00EB31DB"/>
    <w:rsid w:val="00EB3422"/>
    <w:rsid w:val="00EB37B3"/>
    <w:rsid w:val="00EB3A31"/>
    <w:rsid w:val="00EB3F0C"/>
    <w:rsid w:val="00EB43B8"/>
    <w:rsid w:val="00EB4EAF"/>
    <w:rsid w:val="00EB5424"/>
    <w:rsid w:val="00EB548E"/>
    <w:rsid w:val="00EB5C41"/>
    <w:rsid w:val="00EB5F5A"/>
    <w:rsid w:val="00EB656C"/>
    <w:rsid w:val="00EB657E"/>
    <w:rsid w:val="00EB695E"/>
    <w:rsid w:val="00EB69D1"/>
    <w:rsid w:val="00EB69D4"/>
    <w:rsid w:val="00EB6FE9"/>
    <w:rsid w:val="00EB72FF"/>
    <w:rsid w:val="00EB73B2"/>
    <w:rsid w:val="00EB756F"/>
    <w:rsid w:val="00EB79C8"/>
    <w:rsid w:val="00EB7A24"/>
    <w:rsid w:val="00EB7E78"/>
    <w:rsid w:val="00EC0301"/>
    <w:rsid w:val="00EC08B5"/>
    <w:rsid w:val="00EC09C6"/>
    <w:rsid w:val="00EC0AC1"/>
    <w:rsid w:val="00EC0EA5"/>
    <w:rsid w:val="00EC1056"/>
    <w:rsid w:val="00EC1419"/>
    <w:rsid w:val="00EC1470"/>
    <w:rsid w:val="00EC1AA6"/>
    <w:rsid w:val="00EC222E"/>
    <w:rsid w:val="00EC230E"/>
    <w:rsid w:val="00EC2716"/>
    <w:rsid w:val="00EC2BDC"/>
    <w:rsid w:val="00EC2D11"/>
    <w:rsid w:val="00EC2DBB"/>
    <w:rsid w:val="00EC358E"/>
    <w:rsid w:val="00EC3FD2"/>
    <w:rsid w:val="00EC3FF3"/>
    <w:rsid w:val="00EC4095"/>
    <w:rsid w:val="00EC43B5"/>
    <w:rsid w:val="00EC4537"/>
    <w:rsid w:val="00EC459B"/>
    <w:rsid w:val="00EC4960"/>
    <w:rsid w:val="00EC4AE3"/>
    <w:rsid w:val="00EC5414"/>
    <w:rsid w:val="00EC54EE"/>
    <w:rsid w:val="00EC59B2"/>
    <w:rsid w:val="00EC5A3B"/>
    <w:rsid w:val="00EC5BC0"/>
    <w:rsid w:val="00EC6424"/>
    <w:rsid w:val="00EC6820"/>
    <w:rsid w:val="00EC786C"/>
    <w:rsid w:val="00EC7ADD"/>
    <w:rsid w:val="00EC7C26"/>
    <w:rsid w:val="00EC7F3D"/>
    <w:rsid w:val="00ED04FE"/>
    <w:rsid w:val="00ED0721"/>
    <w:rsid w:val="00ED0C1D"/>
    <w:rsid w:val="00ED0DD0"/>
    <w:rsid w:val="00ED1122"/>
    <w:rsid w:val="00ED1645"/>
    <w:rsid w:val="00ED1989"/>
    <w:rsid w:val="00ED2130"/>
    <w:rsid w:val="00ED21A9"/>
    <w:rsid w:val="00ED2232"/>
    <w:rsid w:val="00ED25DA"/>
    <w:rsid w:val="00ED28F2"/>
    <w:rsid w:val="00ED2EF1"/>
    <w:rsid w:val="00ED3119"/>
    <w:rsid w:val="00ED3145"/>
    <w:rsid w:val="00ED3309"/>
    <w:rsid w:val="00ED33DC"/>
    <w:rsid w:val="00ED356E"/>
    <w:rsid w:val="00ED3792"/>
    <w:rsid w:val="00ED3BDA"/>
    <w:rsid w:val="00ED458F"/>
    <w:rsid w:val="00ED4818"/>
    <w:rsid w:val="00ED4A94"/>
    <w:rsid w:val="00ED506C"/>
    <w:rsid w:val="00ED5A3B"/>
    <w:rsid w:val="00ED5C1F"/>
    <w:rsid w:val="00ED5C30"/>
    <w:rsid w:val="00ED5C52"/>
    <w:rsid w:val="00ED5C54"/>
    <w:rsid w:val="00ED5E02"/>
    <w:rsid w:val="00ED5EED"/>
    <w:rsid w:val="00ED6057"/>
    <w:rsid w:val="00ED6062"/>
    <w:rsid w:val="00ED612A"/>
    <w:rsid w:val="00ED6846"/>
    <w:rsid w:val="00ED68D4"/>
    <w:rsid w:val="00ED6B1C"/>
    <w:rsid w:val="00ED6CF7"/>
    <w:rsid w:val="00ED6F33"/>
    <w:rsid w:val="00ED7716"/>
    <w:rsid w:val="00ED7737"/>
    <w:rsid w:val="00ED7747"/>
    <w:rsid w:val="00ED776D"/>
    <w:rsid w:val="00ED77D8"/>
    <w:rsid w:val="00ED7ABC"/>
    <w:rsid w:val="00ED7C05"/>
    <w:rsid w:val="00ED7CF4"/>
    <w:rsid w:val="00ED7E99"/>
    <w:rsid w:val="00ED7FA2"/>
    <w:rsid w:val="00EE0786"/>
    <w:rsid w:val="00EE0A85"/>
    <w:rsid w:val="00EE18CC"/>
    <w:rsid w:val="00EE1B0E"/>
    <w:rsid w:val="00EE22FB"/>
    <w:rsid w:val="00EE23D6"/>
    <w:rsid w:val="00EE2407"/>
    <w:rsid w:val="00EE26AE"/>
    <w:rsid w:val="00EE29C8"/>
    <w:rsid w:val="00EE2A54"/>
    <w:rsid w:val="00EE2FC2"/>
    <w:rsid w:val="00EE3B6B"/>
    <w:rsid w:val="00EE3B88"/>
    <w:rsid w:val="00EE4742"/>
    <w:rsid w:val="00EE4B75"/>
    <w:rsid w:val="00EE4D34"/>
    <w:rsid w:val="00EE4DBD"/>
    <w:rsid w:val="00EE4F6F"/>
    <w:rsid w:val="00EE5670"/>
    <w:rsid w:val="00EE5E1D"/>
    <w:rsid w:val="00EE5E84"/>
    <w:rsid w:val="00EE6AC6"/>
    <w:rsid w:val="00EE6C2C"/>
    <w:rsid w:val="00EE6E26"/>
    <w:rsid w:val="00EE6EC1"/>
    <w:rsid w:val="00EE75EE"/>
    <w:rsid w:val="00EE784F"/>
    <w:rsid w:val="00EE7A1D"/>
    <w:rsid w:val="00EE7DBD"/>
    <w:rsid w:val="00EE7E4D"/>
    <w:rsid w:val="00EF0500"/>
    <w:rsid w:val="00EF0553"/>
    <w:rsid w:val="00EF0808"/>
    <w:rsid w:val="00EF1002"/>
    <w:rsid w:val="00EF143F"/>
    <w:rsid w:val="00EF1D3B"/>
    <w:rsid w:val="00EF1D95"/>
    <w:rsid w:val="00EF1FE8"/>
    <w:rsid w:val="00EF236B"/>
    <w:rsid w:val="00EF23D8"/>
    <w:rsid w:val="00EF2678"/>
    <w:rsid w:val="00EF2A5A"/>
    <w:rsid w:val="00EF2A87"/>
    <w:rsid w:val="00EF344D"/>
    <w:rsid w:val="00EF3A74"/>
    <w:rsid w:val="00EF3AE9"/>
    <w:rsid w:val="00EF3EA5"/>
    <w:rsid w:val="00EF4567"/>
    <w:rsid w:val="00EF49FB"/>
    <w:rsid w:val="00EF527A"/>
    <w:rsid w:val="00EF55D6"/>
    <w:rsid w:val="00EF644D"/>
    <w:rsid w:val="00EF686E"/>
    <w:rsid w:val="00EF6BAD"/>
    <w:rsid w:val="00EF6C05"/>
    <w:rsid w:val="00EF6D29"/>
    <w:rsid w:val="00EF7138"/>
    <w:rsid w:val="00EF7856"/>
    <w:rsid w:val="00EF7A65"/>
    <w:rsid w:val="00EF7E0B"/>
    <w:rsid w:val="00F00165"/>
    <w:rsid w:val="00F00881"/>
    <w:rsid w:val="00F00917"/>
    <w:rsid w:val="00F00B65"/>
    <w:rsid w:val="00F00B7D"/>
    <w:rsid w:val="00F00EB5"/>
    <w:rsid w:val="00F01044"/>
    <w:rsid w:val="00F010BB"/>
    <w:rsid w:val="00F01275"/>
    <w:rsid w:val="00F012C1"/>
    <w:rsid w:val="00F0175F"/>
    <w:rsid w:val="00F01A41"/>
    <w:rsid w:val="00F01B39"/>
    <w:rsid w:val="00F01B5A"/>
    <w:rsid w:val="00F0276D"/>
    <w:rsid w:val="00F0314D"/>
    <w:rsid w:val="00F03280"/>
    <w:rsid w:val="00F0362A"/>
    <w:rsid w:val="00F0385C"/>
    <w:rsid w:val="00F03894"/>
    <w:rsid w:val="00F03ABE"/>
    <w:rsid w:val="00F03B69"/>
    <w:rsid w:val="00F04345"/>
    <w:rsid w:val="00F047A4"/>
    <w:rsid w:val="00F04F52"/>
    <w:rsid w:val="00F0510F"/>
    <w:rsid w:val="00F0563F"/>
    <w:rsid w:val="00F05B61"/>
    <w:rsid w:val="00F064EF"/>
    <w:rsid w:val="00F06558"/>
    <w:rsid w:val="00F06F42"/>
    <w:rsid w:val="00F07122"/>
    <w:rsid w:val="00F074C9"/>
    <w:rsid w:val="00F07C82"/>
    <w:rsid w:val="00F07F5E"/>
    <w:rsid w:val="00F07FA6"/>
    <w:rsid w:val="00F1001E"/>
    <w:rsid w:val="00F103F7"/>
    <w:rsid w:val="00F1055F"/>
    <w:rsid w:val="00F106BB"/>
    <w:rsid w:val="00F11027"/>
    <w:rsid w:val="00F111BA"/>
    <w:rsid w:val="00F116DD"/>
    <w:rsid w:val="00F11D9F"/>
    <w:rsid w:val="00F11E31"/>
    <w:rsid w:val="00F11E80"/>
    <w:rsid w:val="00F12C53"/>
    <w:rsid w:val="00F12DED"/>
    <w:rsid w:val="00F1360C"/>
    <w:rsid w:val="00F13AA1"/>
    <w:rsid w:val="00F13AD0"/>
    <w:rsid w:val="00F13E15"/>
    <w:rsid w:val="00F13F2A"/>
    <w:rsid w:val="00F1498D"/>
    <w:rsid w:val="00F14CC6"/>
    <w:rsid w:val="00F14D42"/>
    <w:rsid w:val="00F14D9E"/>
    <w:rsid w:val="00F15097"/>
    <w:rsid w:val="00F153F8"/>
    <w:rsid w:val="00F15586"/>
    <w:rsid w:val="00F15671"/>
    <w:rsid w:val="00F1593B"/>
    <w:rsid w:val="00F1643E"/>
    <w:rsid w:val="00F16695"/>
    <w:rsid w:val="00F16811"/>
    <w:rsid w:val="00F16FB6"/>
    <w:rsid w:val="00F1733F"/>
    <w:rsid w:val="00F1745F"/>
    <w:rsid w:val="00F17519"/>
    <w:rsid w:val="00F17749"/>
    <w:rsid w:val="00F179C0"/>
    <w:rsid w:val="00F202E3"/>
    <w:rsid w:val="00F20890"/>
    <w:rsid w:val="00F20C6E"/>
    <w:rsid w:val="00F20D6C"/>
    <w:rsid w:val="00F20E2B"/>
    <w:rsid w:val="00F20F03"/>
    <w:rsid w:val="00F21789"/>
    <w:rsid w:val="00F21D7D"/>
    <w:rsid w:val="00F21F27"/>
    <w:rsid w:val="00F2255F"/>
    <w:rsid w:val="00F225CF"/>
    <w:rsid w:val="00F22882"/>
    <w:rsid w:val="00F22985"/>
    <w:rsid w:val="00F22AAA"/>
    <w:rsid w:val="00F22AEF"/>
    <w:rsid w:val="00F22C54"/>
    <w:rsid w:val="00F22F7A"/>
    <w:rsid w:val="00F2343C"/>
    <w:rsid w:val="00F23CFC"/>
    <w:rsid w:val="00F24076"/>
    <w:rsid w:val="00F240CB"/>
    <w:rsid w:val="00F2492F"/>
    <w:rsid w:val="00F24B74"/>
    <w:rsid w:val="00F24D47"/>
    <w:rsid w:val="00F2500D"/>
    <w:rsid w:val="00F253C3"/>
    <w:rsid w:val="00F256AF"/>
    <w:rsid w:val="00F2596D"/>
    <w:rsid w:val="00F25CAA"/>
    <w:rsid w:val="00F26463"/>
    <w:rsid w:val="00F26AD6"/>
    <w:rsid w:val="00F26F54"/>
    <w:rsid w:val="00F2711C"/>
    <w:rsid w:val="00F27253"/>
    <w:rsid w:val="00F277E8"/>
    <w:rsid w:val="00F27B04"/>
    <w:rsid w:val="00F27E3D"/>
    <w:rsid w:val="00F27EB2"/>
    <w:rsid w:val="00F301D0"/>
    <w:rsid w:val="00F30202"/>
    <w:rsid w:val="00F3069F"/>
    <w:rsid w:val="00F3081C"/>
    <w:rsid w:val="00F30927"/>
    <w:rsid w:val="00F30ADF"/>
    <w:rsid w:val="00F30BD0"/>
    <w:rsid w:val="00F30C3F"/>
    <w:rsid w:val="00F30C60"/>
    <w:rsid w:val="00F30F38"/>
    <w:rsid w:val="00F311D1"/>
    <w:rsid w:val="00F3158A"/>
    <w:rsid w:val="00F315CF"/>
    <w:rsid w:val="00F318DB"/>
    <w:rsid w:val="00F3199C"/>
    <w:rsid w:val="00F319C4"/>
    <w:rsid w:val="00F31F7D"/>
    <w:rsid w:val="00F31FB9"/>
    <w:rsid w:val="00F326F6"/>
    <w:rsid w:val="00F32735"/>
    <w:rsid w:val="00F32AFF"/>
    <w:rsid w:val="00F32D9A"/>
    <w:rsid w:val="00F33825"/>
    <w:rsid w:val="00F33A8B"/>
    <w:rsid w:val="00F33D3B"/>
    <w:rsid w:val="00F34A96"/>
    <w:rsid w:val="00F34EBF"/>
    <w:rsid w:val="00F34F05"/>
    <w:rsid w:val="00F356D5"/>
    <w:rsid w:val="00F359A5"/>
    <w:rsid w:val="00F361AE"/>
    <w:rsid w:val="00F36240"/>
    <w:rsid w:val="00F363EB"/>
    <w:rsid w:val="00F365BA"/>
    <w:rsid w:val="00F365DE"/>
    <w:rsid w:val="00F366DA"/>
    <w:rsid w:val="00F367CF"/>
    <w:rsid w:val="00F368A0"/>
    <w:rsid w:val="00F36D37"/>
    <w:rsid w:val="00F3719A"/>
    <w:rsid w:val="00F3735F"/>
    <w:rsid w:val="00F379BF"/>
    <w:rsid w:val="00F37EA7"/>
    <w:rsid w:val="00F40259"/>
    <w:rsid w:val="00F40505"/>
    <w:rsid w:val="00F40805"/>
    <w:rsid w:val="00F40B93"/>
    <w:rsid w:val="00F40C5E"/>
    <w:rsid w:val="00F40E3E"/>
    <w:rsid w:val="00F4163A"/>
    <w:rsid w:val="00F41873"/>
    <w:rsid w:val="00F419C3"/>
    <w:rsid w:val="00F41B12"/>
    <w:rsid w:val="00F41D91"/>
    <w:rsid w:val="00F41DAD"/>
    <w:rsid w:val="00F41E2B"/>
    <w:rsid w:val="00F423BE"/>
    <w:rsid w:val="00F424A5"/>
    <w:rsid w:val="00F425EF"/>
    <w:rsid w:val="00F428AC"/>
    <w:rsid w:val="00F42EE3"/>
    <w:rsid w:val="00F4300D"/>
    <w:rsid w:val="00F4304C"/>
    <w:rsid w:val="00F43149"/>
    <w:rsid w:val="00F43441"/>
    <w:rsid w:val="00F43660"/>
    <w:rsid w:val="00F43888"/>
    <w:rsid w:val="00F438BB"/>
    <w:rsid w:val="00F43B91"/>
    <w:rsid w:val="00F44542"/>
    <w:rsid w:val="00F4461A"/>
    <w:rsid w:val="00F448DD"/>
    <w:rsid w:val="00F44C9E"/>
    <w:rsid w:val="00F44D6A"/>
    <w:rsid w:val="00F44DB8"/>
    <w:rsid w:val="00F45760"/>
    <w:rsid w:val="00F45836"/>
    <w:rsid w:val="00F45925"/>
    <w:rsid w:val="00F461AA"/>
    <w:rsid w:val="00F46BA6"/>
    <w:rsid w:val="00F46C97"/>
    <w:rsid w:val="00F46E44"/>
    <w:rsid w:val="00F4703E"/>
    <w:rsid w:val="00F4775F"/>
    <w:rsid w:val="00F47C3D"/>
    <w:rsid w:val="00F47D25"/>
    <w:rsid w:val="00F50781"/>
    <w:rsid w:val="00F50CA3"/>
    <w:rsid w:val="00F51436"/>
    <w:rsid w:val="00F51689"/>
    <w:rsid w:val="00F517ED"/>
    <w:rsid w:val="00F5195A"/>
    <w:rsid w:val="00F51A7A"/>
    <w:rsid w:val="00F51F3F"/>
    <w:rsid w:val="00F5257A"/>
    <w:rsid w:val="00F528B5"/>
    <w:rsid w:val="00F528E7"/>
    <w:rsid w:val="00F52BD7"/>
    <w:rsid w:val="00F52C8A"/>
    <w:rsid w:val="00F53225"/>
    <w:rsid w:val="00F5352D"/>
    <w:rsid w:val="00F53615"/>
    <w:rsid w:val="00F53A91"/>
    <w:rsid w:val="00F54783"/>
    <w:rsid w:val="00F547E9"/>
    <w:rsid w:val="00F5494E"/>
    <w:rsid w:val="00F54ABD"/>
    <w:rsid w:val="00F54ABE"/>
    <w:rsid w:val="00F554F7"/>
    <w:rsid w:val="00F55804"/>
    <w:rsid w:val="00F55F1A"/>
    <w:rsid w:val="00F55F3E"/>
    <w:rsid w:val="00F56310"/>
    <w:rsid w:val="00F5684C"/>
    <w:rsid w:val="00F56914"/>
    <w:rsid w:val="00F56E83"/>
    <w:rsid w:val="00F57068"/>
    <w:rsid w:val="00F57210"/>
    <w:rsid w:val="00F573C2"/>
    <w:rsid w:val="00F577FC"/>
    <w:rsid w:val="00F57BE9"/>
    <w:rsid w:val="00F602F0"/>
    <w:rsid w:val="00F60622"/>
    <w:rsid w:val="00F60C90"/>
    <w:rsid w:val="00F614BF"/>
    <w:rsid w:val="00F619B7"/>
    <w:rsid w:val="00F619EE"/>
    <w:rsid w:val="00F61CF5"/>
    <w:rsid w:val="00F61FF9"/>
    <w:rsid w:val="00F62069"/>
    <w:rsid w:val="00F62159"/>
    <w:rsid w:val="00F62A7C"/>
    <w:rsid w:val="00F62B93"/>
    <w:rsid w:val="00F633E5"/>
    <w:rsid w:val="00F63C89"/>
    <w:rsid w:val="00F647EC"/>
    <w:rsid w:val="00F64FAB"/>
    <w:rsid w:val="00F65A26"/>
    <w:rsid w:val="00F65AC8"/>
    <w:rsid w:val="00F65CEA"/>
    <w:rsid w:val="00F65EED"/>
    <w:rsid w:val="00F65F15"/>
    <w:rsid w:val="00F66027"/>
    <w:rsid w:val="00F66443"/>
    <w:rsid w:val="00F675EA"/>
    <w:rsid w:val="00F7006B"/>
    <w:rsid w:val="00F701AC"/>
    <w:rsid w:val="00F705B5"/>
    <w:rsid w:val="00F7074A"/>
    <w:rsid w:val="00F70AD6"/>
    <w:rsid w:val="00F70D93"/>
    <w:rsid w:val="00F710A5"/>
    <w:rsid w:val="00F71687"/>
    <w:rsid w:val="00F71708"/>
    <w:rsid w:val="00F717C1"/>
    <w:rsid w:val="00F71AAE"/>
    <w:rsid w:val="00F71CDB"/>
    <w:rsid w:val="00F7238A"/>
    <w:rsid w:val="00F725D3"/>
    <w:rsid w:val="00F7281E"/>
    <w:rsid w:val="00F72C1A"/>
    <w:rsid w:val="00F72C3D"/>
    <w:rsid w:val="00F737AB"/>
    <w:rsid w:val="00F73992"/>
    <w:rsid w:val="00F73A85"/>
    <w:rsid w:val="00F74216"/>
    <w:rsid w:val="00F7480A"/>
    <w:rsid w:val="00F74D1B"/>
    <w:rsid w:val="00F74F0F"/>
    <w:rsid w:val="00F754E8"/>
    <w:rsid w:val="00F75731"/>
    <w:rsid w:val="00F75841"/>
    <w:rsid w:val="00F76333"/>
    <w:rsid w:val="00F76DC0"/>
    <w:rsid w:val="00F76FAA"/>
    <w:rsid w:val="00F7704B"/>
    <w:rsid w:val="00F77100"/>
    <w:rsid w:val="00F77423"/>
    <w:rsid w:val="00F77605"/>
    <w:rsid w:val="00F77718"/>
    <w:rsid w:val="00F77B68"/>
    <w:rsid w:val="00F8090F"/>
    <w:rsid w:val="00F809D7"/>
    <w:rsid w:val="00F80B4B"/>
    <w:rsid w:val="00F811D9"/>
    <w:rsid w:val="00F8139A"/>
    <w:rsid w:val="00F817C4"/>
    <w:rsid w:val="00F81C1E"/>
    <w:rsid w:val="00F8226D"/>
    <w:rsid w:val="00F8291E"/>
    <w:rsid w:val="00F82AAE"/>
    <w:rsid w:val="00F83112"/>
    <w:rsid w:val="00F834BE"/>
    <w:rsid w:val="00F838A9"/>
    <w:rsid w:val="00F83BAD"/>
    <w:rsid w:val="00F83CCD"/>
    <w:rsid w:val="00F849E3"/>
    <w:rsid w:val="00F84B4E"/>
    <w:rsid w:val="00F84C44"/>
    <w:rsid w:val="00F85053"/>
    <w:rsid w:val="00F851B7"/>
    <w:rsid w:val="00F8566C"/>
    <w:rsid w:val="00F85693"/>
    <w:rsid w:val="00F858C9"/>
    <w:rsid w:val="00F858D4"/>
    <w:rsid w:val="00F85C65"/>
    <w:rsid w:val="00F860EB"/>
    <w:rsid w:val="00F861BC"/>
    <w:rsid w:val="00F868B6"/>
    <w:rsid w:val="00F86968"/>
    <w:rsid w:val="00F86E42"/>
    <w:rsid w:val="00F87354"/>
    <w:rsid w:val="00F874F8"/>
    <w:rsid w:val="00F876E6"/>
    <w:rsid w:val="00F87825"/>
    <w:rsid w:val="00F87838"/>
    <w:rsid w:val="00F87988"/>
    <w:rsid w:val="00F879E8"/>
    <w:rsid w:val="00F87E60"/>
    <w:rsid w:val="00F87FCE"/>
    <w:rsid w:val="00F9008B"/>
    <w:rsid w:val="00F90320"/>
    <w:rsid w:val="00F90492"/>
    <w:rsid w:val="00F906C1"/>
    <w:rsid w:val="00F909C7"/>
    <w:rsid w:val="00F90C3B"/>
    <w:rsid w:val="00F91669"/>
    <w:rsid w:val="00F916DE"/>
    <w:rsid w:val="00F9184F"/>
    <w:rsid w:val="00F91943"/>
    <w:rsid w:val="00F91B6F"/>
    <w:rsid w:val="00F9204D"/>
    <w:rsid w:val="00F92165"/>
    <w:rsid w:val="00F9231D"/>
    <w:rsid w:val="00F926E7"/>
    <w:rsid w:val="00F92A66"/>
    <w:rsid w:val="00F931CF"/>
    <w:rsid w:val="00F936BE"/>
    <w:rsid w:val="00F9371D"/>
    <w:rsid w:val="00F93A31"/>
    <w:rsid w:val="00F93AFA"/>
    <w:rsid w:val="00F93D6E"/>
    <w:rsid w:val="00F9423D"/>
    <w:rsid w:val="00F943F5"/>
    <w:rsid w:val="00F94437"/>
    <w:rsid w:val="00F94609"/>
    <w:rsid w:val="00F94994"/>
    <w:rsid w:val="00F94E9B"/>
    <w:rsid w:val="00F95182"/>
    <w:rsid w:val="00F95625"/>
    <w:rsid w:val="00F9579D"/>
    <w:rsid w:val="00F957D2"/>
    <w:rsid w:val="00F9580E"/>
    <w:rsid w:val="00F95D94"/>
    <w:rsid w:val="00F96543"/>
    <w:rsid w:val="00F966AC"/>
    <w:rsid w:val="00F96717"/>
    <w:rsid w:val="00F96F86"/>
    <w:rsid w:val="00F977ED"/>
    <w:rsid w:val="00FA02B8"/>
    <w:rsid w:val="00FA0980"/>
    <w:rsid w:val="00FA1028"/>
    <w:rsid w:val="00FA1306"/>
    <w:rsid w:val="00FA133A"/>
    <w:rsid w:val="00FA157E"/>
    <w:rsid w:val="00FA164B"/>
    <w:rsid w:val="00FA16FA"/>
    <w:rsid w:val="00FA181F"/>
    <w:rsid w:val="00FA1C1F"/>
    <w:rsid w:val="00FA1E82"/>
    <w:rsid w:val="00FA2137"/>
    <w:rsid w:val="00FA272D"/>
    <w:rsid w:val="00FA338D"/>
    <w:rsid w:val="00FA34A2"/>
    <w:rsid w:val="00FA3742"/>
    <w:rsid w:val="00FA3837"/>
    <w:rsid w:val="00FA39FC"/>
    <w:rsid w:val="00FA4189"/>
    <w:rsid w:val="00FA44B4"/>
    <w:rsid w:val="00FA4538"/>
    <w:rsid w:val="00FA4998"/>
    <w:rsid w:val="00FA4DC2"/>
    <w:rsid w:val="00FA57D1"/>
    <w:rsid w:val="00FA5982"/>
    <w:rsid w:val="00FA5CC3"/>
    <w:rsid w:val="00FA67E3"/>
    <w:rsid w:val="00FA6AD2"/>
    <w:rsid w:val="00FA7157"/>
    <w:rsid w:val="00FA73A6"/>
    <w:rsid w:val="00FA7698"/>
    <w:rsid w:val="00FA78C2"/>
    <w:rsid w:val="00FA7A2D"/>
    <w:rsid w:val="00FA7B4F"/>
    <w:rsid w:val="00FA7DA6"/>
    <w:rsid w:val="00FB0071"/>
    <w:rsid w:val="00FB02F8"/>
    <w:rsid w:val="00FB031A"/>
    <w:rsid w:val="00FB06E7"/>
    <w:rsid w:val="00FB0822"/>
    <w:rsid w:val="00FB0C30"/>
    <w:rsid w:val="00FB0C65"/>
    <w:rsid w:val="00FB0CC3"/>
    <w:rsid w:val="00FB1093"/>
    <w:rsid w:val="00FB13A0"/>
    <w:rsid w:val="00FB143A"/>
    <w:rsid w:val="00FB1601"/>
    <w:rsid w:val="00FB1F98"/>
    <w:rsid w:val="00FB2016"/>
    <w:rsid w:val="00FB227E"/>
    <w:rsid w:val="00FB267D"/>
    <w:rsid w:val="00FB29E5"/>
    <w:rsid w:val="00FB2A18"/>
    <w:rsid w:val="00FB2B03"/>
    <w:rsid w:val="00FB2BAA"/>
    <w:rsid w:val="00FB2BF4"/>
    <w:rsid w:val="00FB2C8D"/>
    <w:rsid w:val="00FB2DC6"/>
    <w:rsid w:val="00FB31B5"/>
    <w:rsid w:val="00FB4926"/>
    <w:rsid w:val="00FB4FCB"/>
    <w:rsid w:val="00FB59D4"/>
    <w:rsid w:val="00FB5B44"/>
    <w:rsid w:val="00FB5E81"/>
    <w:rsid w:val="00FB6587"/>
    <w:rsid w:val="00FB6E6C"/>
    <w:rsid w:val="00FB71B0"/>
    <w:rsid w:val="00FB7ABA"/>
    <w:rsid w:val="00FB7C21"/>
    <w:rsid w:val="00FB7C46"/>
    <w:rsid w:val="00FC04E0"/>
    <w:rsid w:val="00FC0D98"/>
    <w:rsid w:val="00FC0E2F"/>
    <w:rsid w:val="00FC1042"/>
    <w:rsid w:val="00FC11C6"/>
    <w:rsid w:val="00FC11CD"/>
    <w:rsid w:val="00FC1323"/>
    <w:rsid w:val="00FC1370"/>
    <w:rsid w:val="00FC143C"/>
    <w:rsid w:val="00FC17D8"/>
    <w:rsid w:val="00FC1807"/>
    <w:rsid w:val="00FC279A"/>
    <w:rsid w:val="00FC31A2"/>
    <w:rsid w:val="00FC324D"/>
    <w:rsid w:val="00FC39A1"/>
    <w:rsid w:val="00FC3BC3"/>
    <w:rsid w:val="00FC3E47"/>
    <w:rsid w:val="00FC4361"/>
    <w:rsid w:val="00FC44DF"/>
    <w:rsid w:val="00FC4B53"/>
    <w:rsid w:val="00FC4BAE"/>
    <w:rsid w:val="00FC4C6D"/>
    <w:rsid w:val="00FC4F75"/>
    <w:rsid w:val="00FC5160"/>
    <w:rsid w:val="00FC5598"/>
    <w:rsid w:val="00FC58C8"/>
    <w:rsid w:val="00FC5A36"/>
    <w:rsid w:val="00FC5B51"/>
    <w:rsid w:val="00FC6353"/>
    <w:rsid w:val="00FC671C"/>
    <w:rsid w:val="00FC6918"/>
    <w:rsid w:val="00FC69CF"/>
    <w:rsid w:val="00FC6B0B"/>
    <w:rsid w:val="00FC6C22"/>
    <w:rsid w:val="00FC713B"/>
    <w:rsid w:val="00FC7862"/>
    <w:rsid w:val="00FC79D5"/>
    <w:rsid w:val="00FC7A21"/>
    <w:rsid w:val="00FC7AFB"/>
    <w:rsid w:val="00FC7B35"/>
    <w:rsid w:val="00FC7B53"/>
    <w:rsid w:val="00FC7BD8"/>
    <w:rsid w:val="00FC7D32"/>
    <w:rsid w:val="00FD0177"/>
    <w:rsid w:val="00FD0AE7"/>
    <w:rsid w:val="00FD0B44"/>
    <w:rsid w:val="00FD0F70"/>
    <w:rsid w:val="00FD1312"/>
    <w:rsid w:val="00FD1C09"/>
    <w:rsid w:val="00FD1E48"/>
    <w:rsid w:val="00FD2315"/>
    <w:rsid w:val="00FD29A7"/>
    <w:rsid w:val="00FD29D5"/>
    <w:rsid w:val="00FD2B15"/>
    <w:rsid w:val="00FD3092"/>
    <w:rsid w:val="00FD3368"/>
    <w:rsid w:val="00FD4115"/>
    <w:rsid w:val="00FD412E"/>
    <w:rsid w:val="00FD4138"/>
    <w:rsid w:val="00FD420F"/>
    <w:rsid w:val="00FD4339"/>
    <w:rsid w:val="00FD4B0C"/>
    <w:rsid w:val="00FD4F2F"/>
    <w:rsid w:val="00FD51F7"/>
    <w:rsid w:val="00FD5258"/>
    <w:rsid w:val="00FD544D"/>
    <w:rsid w:val="00FD5602"/>
    <w:rsid w:val="00FD5661"/>
    <w:rsid w:val="00FD5A2A"/>
    <w:rsid w:val="00FD5AE2"/>
    <w:rsid w:val="00FD5F4E"/>
    <w:rsid w:val="00FD62B4"/>
    <w:rsid w:val="00FD7142"/>
    <w:rsid w:val="00FD716E"/>
    <w:rsid w:val="00FD735A"/>
    <w:rsid w:val="00FD750F"/>
    <w:rsid w:val="00FD7836"/>
    <w:rsid w:val="00FE011C"/>
    <w:rsid w:val="00FE040B"/>
    <w:rsid w:val="00FE07DC"/>
    <w:rsid w:val="00FE08FB"/>
    <w:rsid w:val="00FE1116"/>
    <w:rsid w:val="00FE16A2"/>
    <w:rsid w:val="00FE16C2"/>
    <w:rsid w:val="00FE1ED5"/>
    <w:rsid w:val="00FE2075"/>
    <w:rsid w:val="00FE2080"/>
    <w:rsid w:val="00FE2310"/>
    <w:rsid w:val="00FE27A9"/>
    <w:rsid w:val="00FE27B9"/>
    <w:rsid w:val="00FE2E37"/>
    <w:rsid w:val="00FE3640"/>
    <w:rsid w:val="00FE3780"/>
    <w:rsid w:val="00FE37AA"/>
    <w:rsid w:val="00FE3954"/>
    <w:rsid w:val="00FE3CF7"/>
    <w:rsid w:val="00FE3E50"/>
    <w:rsid w:val="00FE4071"/>
    <w:rsid w:val="00FE42E3"/>
    <w:rsid w:val="00FE4784"/>
    <w:rsid w:val="00FE4ECD"/>
    <w:rsid w:val="00FE52B7"/>
    <w:rsid w:val="00FE53C5"/>
    <w:rsid w:val="00FE56A8"/>
    <w:rsid w:val="00FE5807"/>
    <w:rsid w:val="00FE5865"/>
    <w:rsid w:val="00FE5C39"/>
    <w:rsid w:val="00FE5C57"/>
    <w:rsid w:val="00FE5FC4"/>
    <w:rsid w:val="00FE624E"/>
    <w:rsid w:val="00FE6415"/>
    <w:rsid w:val="00FE6734"/>
    <w:rsid w:val="00FE69E7"/>
    <w:rsid w:val="00FE6B61"/>
    <w:rsid w:val="00FE6BB8"/>
    <w:rsid w:val="00FE6E76"/>
    <w:rsid w:val="00FE6F5A"/>
    <w:rsid w:val="00FE75A8"/>
    <w:rsid w:val="00FE7AE0"/>
    <w:rsid w:val="00FE7B4D"/>
    <w:rsid w:val="00FE7DEE"/>
    <w:rsid w:val="00FF027B"/>
    <w:rsid w:val="00FF066E"/>
    <w:rsid w:val="00FF10B4"/>
    <w:rsid w:val="00FF1174"/>
    <w:rsid w:val="00FF165A"/>
    <w:rsid w:val="00FF1B72"/>
    <w:rsid w:val="00FF1CF1"/>
    <w:rsid w:val="00FF1F4C"/>
    <w:rsid w:val="00FF222C"/>
    <w:rsid w:val="00FF228F"/>
    <w:rsid w:val="00FF2578"/>
    <w:rsid w:val="00FF324B"/>
    <w:rsid w:val="00FF35DC"/>
    <w:rsid w:val="00FF3A3D"/>
    <w:rsid w:val="00FF3A6A"/>
    <w:rsid w:val="00FF3C7A"/>
    <w:rsid w:val="00FF3E09"/>
    <w:rsid w:val="00FF3E16"/>
    <w:rsid w:val="00FF411C"/>
    <w:rsid w:val="00FF44C6"/>
    <w:rsid w:val="00FF4A20"/>
    <w:rsid w:val="00FF4B2E"/>
    <w:rsid w:val="00FF4E4B"/>
    <w:rsid w:val="00FF4E4E"/>
    <w:rsid w:val="00FF5049"/>
    <w:rsid w:val="00FF516B"/>
    <w:rsid w:val="00FF519C"/>
    <w:rsid w:val="00FF5814"/>
    <w:rsid w:val="00FF5D1F"/>
    <w:rsid w:val="00FF5F95"/>
    <w:rsid w:val="00FF6126"/>
    <w:rsid w:val="00FF61F5"/>
    <w:rsid w:val="00FF62AA"/>
    <w:rsid w:val="00FF64D7"/>
    <w:rsid w:val="00FF69A9"/>
    <w:rsid w:val="00FF6AB8"/>
    <w:rsid w:val="00FF6B3A"/>
    <w:rsid w:val="00FF6B6C"/>
    <w:rsid w:val="00FF6C5A"/>
    <w:rsid w:val="00FF6DD4"/>
    <w:rsid w:val="00FF7269"/>
    <w:rsid w:val="00FF7634"/>
    <w:rsid w:val="00FF76B7"/>
    <w:rsid w:val="01365AF8"/>
    <w:rsid w:val="013C5951"/>
    <w:rsid w:val="01471108"/>
    <w:rsid w:val="016A5908"/>
    <w:rsid w:val="017E3F71"/>
    <w:rsid w:val="0184225B"/>
    <w:rsid w:val="01AA2C10"/>
    <w:rsid w:val="01C50E1A"/>
    <w:rsid w:val="01DD3A8D"/>
    <w:rsid w:val="01E36195"/>
    <w:rsid w:val="02160F0D"/>
    <w:rsid w:val="02184CCE"/>
    <w:rsid w:val="02A86AF6"/>
    <w:rsid w:val="02C469DF"/>
    <w:rsid w:val="02D7438F"/>
    <w:rsid w:val="031A4AD7"/>
    <w:rsid w:val="035C311C"/>
    <w:rsid w:val="036822A6"/>
    <w:rsid w:val="037738D8"/>
    <w:rsid w:val="03961378"/>
    <w:rsid w:val="03A83B0E"/>
    <w:rsid w:val="03CA2A2C"/>
    <w:rsid w:val="03E51BB2"/>
    <w:rsid w:val="042C4A18"/>
    <w:rsid w:val="04403563"/>
    <w:rsid w:val="04644B57"/>
    <w:rsid w:val="046E4522"/>
    <w:rsid w:val="04721CEF"/>
    <w:rsid w:val="0499180B"/>
    <w:rsid w:val="049E7C88"/>
    <w:rsid w:val="0518195C"/>
    <w:rsid w:val="052325F0"/>
    <w:rsid w:val="052C4012"/>
    <w:rsid w:val="055A2489"/>
    <w:rsid w:val="05D01EE3"/>
    <w:rsid w:val="05DF20B2"/>
    <w:rsid w:val="05EC445F"/>
    <w:rsid w:val="068955F4"/>
    <w:rsid w:val="06DC2725"/>
    <w:rsid w:val="06DF1D3A"/>
    <w:rsid w:val="07061D34"/>
    <w:rsid w:val="075F0692"/>
    <w:rsid w:val="07616FFE"/>
    <w:rsid w:val="076C002B"/>
    <w:rsid w:val="07DB054A"/>
    <w:rsid w:val="083D2AF4"/>
    <w:rsid w:val="084F2783"/>
    <w:rsid w:val="087B120E"/>
    <w:rsid w:val="08956C95"/>
    <w:rsid w:val="08C2594B"/>
    <w:rsid w:val="08E82325"/>
    <w:rsid w:val="08F53B23"/>
    <w:rsid w:val="09113A45"/>
    <w:rsid w:val="09145BEC"/>
    <w:rsid w:val="092A6D05"/>
    <w:rsid w:val="092E6B1D"/>
    <w:rsid w:val="09353A91"/>
    <w:rsid w:val="097355A4"/>
    <w:rsid w:val="09BE592D"/>
    <w:rsid w:val="09C86C35"/>
    <w:rsid w:val="09F13B16"/>
    <w:rsid w:val="09F71EAC"/>
    <w:rsid w:val="0A053C89"/>
    <w:rsid w:val="0A070656"/>
    <w:rsid w:val="0A3F570E"/>
    <w:rsid w:val="0A6342EE"/>
    <w:rsid w:val="0A7F6A77"/>
    <w:rsid w:val="0A8578E7"/>
    <w:rsid w:val="0A913826"/>
    <w:rsid w:val="0A913ED8"/>
    <w:rsid w:val="0AC53273"/>
    <w:rsid w:val="0AD67698"/>
    <w:rsid w:val="0AF52007"/>
    <w:rsid w:val="0B24171E"/>
    <w:rsid w:val="0B380EE8"/>
    <w:rsid w:val="0B4E5BBB"/>
    <w:rsid w:val="0B5C3243"/>
    <w:rsid w:val="0B6F08AC"/>
    <w:rsid w:val="0BAD59A4"/>
    <w:rsid w:val="0BFC043E"/>
    <w:rsid w:val="0C466B45"/>
    <w:rsid w:val="0C6060F7"/>
    <w:rsid w:val="0CBD16CE"/>
    <w:rsid w:val="0CD35A1F"/>
    <w:rsid w:val="0D2220E2"/>
    <w:rsid w:val="0D584403"/>
    <w:rsid w:val="0D682F64"/>
    <w:rsid w:val="0D693057"/>
    <w:rsid w:val="0D6F6E94"/>
    <w:rsid w:val="0DB10079"/>
    <w:rsid w:val="0DEE7765"/>
    <w:rsid w:val="0E1C14B6"/>
    <w:rsid w:val="0E782D40"/>
    <w:rsid w:val="0E8F4521"/>
    <w:rsid w:val="0EA27FFE"/>
    <w:rsid w:val="0EBD5AAA"/>
    <w:rsid w:val="0F290F12"/>
    <w:rsid w:val="0F2B5D1F"/>
    <w:rsid w:val="0F2B6BB7"/>
    <w:rsid w:val="0F5F0397"/>
    <w:rsid w:val="0FBC61B2"/>
    <w:rsid w:val="101C0A97"/>
    <w:rsid w:val="101C3B92"/>
    <w:rsid w:val="10233BE8"/>
    <w:rsid w:val="10644BF3"/>
    <w:rsid w:val="106D58CE"/>
    <w:rsid w:val="108407A7"/>
    <w:rsid w:val="10AB3168"/>
    <w:rsid w:val="10B6729D"/>
    <w:rsid w:val="10F67974"/>
    <w:rsid w:val="1115654C"/>
    <w:rsid w:val="112C04FA"/>
    <w:rsid w:val="116B286D"/>
    <w:rsid w:val="11B81FE1"/>
    <w:rsid w:val="11E64AD9"/>
    <w:rsid w:val="120117D0"/>
    <w:rsid w:val="12036B16"/>
    <w:rsid w:val="12685FCD"/>
    <w:rsid w:val="1278318D"/>
    <w:rsid w:val="12CC122E"/>
    <w:rsid w:val="13117B86"/>
    <w:rsid w:val="13465FE5"/>
    <w:rsid w:val="13C82E2A"/>
    <w:rsid w:val="140263D0"/>
    <w:rsid w:val="145F7A9A"/>
    <w:rsid w:val="146F2C7A"/>
    <w:rsid w:val="148F4DD1"/>
    <w:rsid w:val="149701A8"/>
    <w:rsid w:val="149E4992"/>
    <w:rsid w:val="14C01613"/>
    <w:rsid w:val="14D73CA2"/>
    <w:rsid w:val="1509768D"/>
    <w:rsid w:val="158B374C"/>
    <w:rsid w:val="15A92E2E"/>
    <w:rsid w:val="1613649B"/>
    <w:rsid w:val="16B56AEF"/>
    <w:rsid w:val="170E5D26"/>
    <w:rsid w:val="171E28E6"/>
    <w:rsid w:val="174D0F81"/>
    <w:rsid w:val="17772EBA"/>
    <w:rsid w:val="178216C7"/>
    <w:rsid w:val="178F2FEA"/>
    <w:rsid w:val="179A0622"/>
    <w:rsid w:val="17BE59A2"/>
    <w:rsid w:val="17D74248"/>
    <w:rsid w:val="18077515"/>
    <w:rsid w:val="18185849"/>
    <w:rsid w:val="18AC4778"/>
    <w:rsid w:val="18CA5D94"/>
    <w:rsid w:val="18E11E1D"/>
    <w:rsid w:val="1919211E"/>
    <w:rsid w:val="191A7C2A"/>
    <w:rsid w:val="193727B4"/>
    <w:rsid w:val="19501B94"/>
    <w:rsid w:val="19A741FA"/>
    <w:rsid w:val="19C3538B"/>
    <w:rsid w:val="19C85446"/>
    <w:rsid w:val="19D43730"/>
    <w:rsid w:val="1A2976B5"/>
    <w:rsid w:val="1A2D4F83"/>
    <w:rsid w:val="1A442DE9"/>
    <w:rsid w:val="1A520692"/>
    <w:rsid w:val="1ACE02AC"/>
    <w:rsid w:val="1AD002D5"/>
    <w:rsid w:val="1AF00867"/>
    <w:rsid w:val="1AF92229"/>
    <w:rsid w:val="1B0559EB"/>
    <w:rsid w:val="1B377A27"/>
    <w:rsid w:val="1B9629C7"/>
    <w:rsid w:val="1BB25FC9"/>
    <w:rsid w:val="1BC305D3"/>
    <w:rsid w:val="1BDF69A1"/>
    <w:rsid w:val="1C4A3EC0"/>
    <w:rsid w:val="1CD55680"/>
    <w:rsid w:val="1CFC5477"/>
    <w:rsid w:val="1D0839B6"/>
    <w:rsid w:val="1D2A7CA5"/>
    <w:rsid w:val="1D321E13"/>
    <w:rsid w:val="1D5C1A72"/>
    <w:rsid w:val="1D601534"/>
    <w:rsid w:val="1D60769E"/>
    <w:rsid w:val="1D6D43E9"/>
    <w:rsid w:val="1D7A5B2D"/>
    <w:rsid w:val="1DBC044E"/>
    <w:rsid w:val="1DD1564A"/>
    <w:rsid w:val="1DEA6985"/>
    <w:rsid w:val="1DF8703A"/>
    <w:rsid w:val="1E676C05"/>
    <w:rsid w:val="1E7F3055"/>
    <w:rsid w:val="1EAF0D67"/>
    <w:rsid w:val="1EE00B31"/>
    <w:rsid w:val="1F2E6BA0"/>
    <w:rsid w:val="1F434BA0"/>
    <w:rsid w:val="1F4849CA"/>
    <w:rsid w:val="1F873477"/>
    <w:rsid w:val="1FA058F2"/>
    <w:rsid w:val="1FB06D58"/>
    <w:rsid w:val="1FD007A6"/>
    <w:rsid w:val="202076CF"/>
    <w:rsid w:val="204C4020"/>
    <w:rsid w:val="20742014"/>
    <w:rsid w:val="208D5193"/>
    <w:rsid w:val="20A178BC"/>
    <w:rsid w:val="20C27EB7"/>
    <w:rsid w:val="20CD24E9"/>
    <w:rsid w:val="20F903D3"/>
    <w:rsid w:val="20F91D0C"/>
    <w:rsid w:val="21455F84"/>
    <w:rsid w:val="21455FC2"/>
    <w:rsid w:val="215C3340"/>
    <w:rsid w:val="21BF6A4C"/>
    <w:rsid w:val="21CA2AB3"/>
    <w:rsid w:val="21F60778"/>
    <w:rsid w:val="21FF07BC"/>
    <w:rsid w:val="222C3A8C"/>
    <w:rsid w:val="225B2729"/>
    <w:rsid w:val="22926151"/>
    <w:rsid w:val="230325F9"/>
    <w:rsid w:val="23134D1A"/>
    <w:rsid w:val="23516B83"/>
    <w:rsid w:val="23665D07"/>
    <w:rsid w:val="237C76C6"/>
    <w:rsid w:val="237D0994"/>
    <w:rsid w:val="23B02B18"/>
    <w:rsid w:val="23CE539E"/>
    <w:rsid w:val="24224E72"/>
    <w:rsid w:val="24977600"/>
    <w:rsid w:val="24B831E2"/>
    <w:rsid w:val="24D17991"/>
    <w:rsid w:val="24F17BED"/>
    <w:rsid w:val="25057050"/>
    <w:rsid w:val="250B120F"/>
    <w:rsid w:val="250D2796"/>
    <w:rsid w:val="250F1AC0"/>
    <w:rsid w:val="251D4865"/>
    <w:rsid w:val="252C7220"/>
    <w:rsid w:val="25320915"/>
    <w:rsid w:val="25EF2A21"/>
    <w:rsid w:val="26071ED5"/>
    <w:rsid w:val="26204384"/>
    <w:rsid w:val="26226B65"/>
    <w:rsid w:val="26A50560"/>
    <w:rsid w:val="26B71FDC"/>
    <w:rsid w:val="26EE73D4"/>
    <w:rsid w:val="26F4039E"/>
    <w:rsid w:val="270F55EE"/>
    <w:rsid w:val="272F1A96"/>
    <w:rsid w:val="275D2BA4"/>
    <w:rsid w:val="276C4BF8"/>
    <w:rsid w:val="27BA18A4"/>
    <w:rsid w:val="27F52753"/>
    <w:rsid w:val="282553AD"/>
    <w:rsid w:val="2868542F"/>
    <w:rsid w:val="286D30BA"/>
    <w:rsid w:val="286E0734"/>
    <w:rsid w:val="288C0732"/>
    <w:rsid w:val="28911E61"/>
    <w:rsid w:val="28A349F9"/>
    <w:rsid w:val="28AA63AA"/>
    <w:rsid w:val="28E626BF"/>
    <w:rsid w:val="28EF5E29"/>
    <w:rsid w:val="29013DEB"/>
    <w:rsid w:val="292A2C02"/>
    <w:rsid w:val="29453D02"/>
    <w:rsid w:val="294E600B"/>
    <w:rsid w:val="29622675"/>
    <w:rsid w:val="296F45C9"/>
    <w:rsid w:val="297B0CF7"/>
    <w:rsid w:val="299C6F76"/>
    <w:rsid w:val="2A1D389A"/>
    <w:rsid w:val="2A204EA5"/>
    <w:rsid w:val="2A5C3468"/>
    <w:rsid w:val="2AF7335B"/>
    <w:rsid w:val="2B0D2427"/>
    <w:rsid w:val="2B0F6397"/>
    <w:rsid w:val="2B822DA1"/>
    <w:rsid w:val="2B907A05"/>
    <w:rsid w:val="2BC51353"/>
    <w:rsid w:val="2BDB55D3"/>
    <w:rsid w:val="2BE35CE5"/>
    <w:rsid w:val="2C2D06C7"/>
    <w:rsid w:val="2C451BEB"/>
    <w:rsid w:val="2C541884"/>
    <w:rsid w:val="2C6C05ED"/>
    <w:rsid w:val="2C90798A"/>
    <w:rsid w:val="2D821066"/>
    <w:rsid w:val="2D823E2C"/>
    <w:rsid w:val="2E346A78"/>
    <w:rsid w:val="2E4647A4"/>
    <w:rsid w:val="2E681189"/>
    <w:rsid w:val="2EA133AF"/>
    <w:rsid w:val="2EC422C0"/>
    <w:rsid w:val="2ED07124"/>
    <w:rsid w:val="2EDD2DD9"/>
    <w:rsid w:val="2EE916ED"/>
    <w:rsid w:val="2EF16493"/>
    <w:rsid w:val="2F155F25"/>
    <w:rsid w:val="2F2C3040"/>
    <w:rsid w:val="2F723467"/>
    <w:rsid w:val="2F8E6B70"/>
    <w:rsid w:val="2FDC0A66"/>
    <w:rsid w:val="302C0625"/>
    <w:rsid w:val="302F0099"/>
    <w:rsid w:val="3054751F"/>
    <w:rsid w:val="306835D0"/>
    <w:rsid w:val="306D183C"/>
    <w:rsid w:val="309F7B49"/>
    <w:rsid w:val="30B91060"/>
    <w:rsid w:val="30BD77BA"/>
    <w:rsid w:val="30DD6F16"/>
    <w:rsid w:val="310426F5"/>
    <w:rsid w:val="31125795"/>
    <w:rsid w:val="313708CB"/>
    <w:rsid w:val="31432060"/>
    <w:rsid w:val="31AC3D25"/>
    <w:rsid w:val="31B26B04"/>
    <w:rsid w:val="31E91A7B"/>
    <w:rsid w:val="324344FC"/>
    <w:rsid w:val="327F0C9D"/>
    <w:rsid w:val="328A6C2A"/>
    <w:rsid w:val="32974E9E"/>
    <w:rsid w:val="329D7588"/>
    <w:rsid w:val="32A0292F"/>
    <w:rsid w:val="32A02B99"/>
    <w:rsid w:val="32BB2F99"/>
    <w:rsid w:val="32DC56D7"/>
    <w:rsid w:val="32EF2268"/>
    <w:rsid w:val="33263AAA"/>
    <w:rsid w:val="337D5F7B"/>
    <w:rsid w:val="33BB09C4"/>
    <w:rsid w:val="33D414D0"/>
    <w:rsid w:val="341B2B8A"/>
    <w:rsid w:val="3439368F"/>
    <w:rsid w:val="34603E67"/>
    <w:rsid w:val="348A234E"/>
    <w:rsid w:val="34AA5E2E"/>
    <w:rsid w:val="34C63D63"/>
    <w:rsid w:val="34E16057"/>
    <w:rsid w:val="3502693D"/>
    <w:rsid w:val="35252BA6"/>
    <w:rsid w:val="35457AF1"/>
    <w:rsid w:val="35662F1B"/>
    <w:rsid w:val="356B4353"/>
    <w:rsid w:val="359F79FB"/>
    <w:rsid w:val="35A7668C"/>
    <w:rsid w:val="35CD358A"/>
    <w:rsid w:val="36232DB0"/>
    <w:rsid w:val="363A285A"/>
    <w:rsid w:val="36527A69"/>
    <w:rsid w:val="368D21C2"/>
    <w:rsid w:val="36E81AA7"/>
    <w:rsid w:val="371116C7"/>
    <w:rsid w:val="372B7EA9"/>
    <w:rsid w:val="385F359C"/>
    <w:rsid w:val="38745CC3"/>
    <w:rsid w:val="38F60882"/>
    <w:rsid w:val="38F7790E"/>
    <w:rsid w:val="390A63CE"/>
    <w:rsid w:val="39C0702B"/>
    <w:rsid w:val="39C6684E"/>
    <w:rsid w:val="3A514476"/>
    <w:rsid w:val="3A98378C"/>
    <w:rsid w:val="3A9875FE"/>
    <w:rsid w:val="3B4F27BE"/>
    <w:rsid w:val="3B653D90"/>
    <w:rsid w:val="3B941125"/>
    <w:rsid w:val="3BA80B19"/>
    <w:rsid w:val="3BC96822"/>
    <w:rsid w:val="3C0F768D"/>
    <w:rsid w:val="3C412F91"/>
    <w:rsid w:val="3C4240EC"/>
    <w:rsid w:val="3C683B38"/>
    <w:rsid w:val="3C6D54E8"/>
    <w:rsid w:val="3C9B0CDC"/>
    <w:rsid w:val="3CD64F45"/>
    <w:rsid w:val="3D327352"/>
    <w:rsid w:val="3D711B40"/>
    <w:rsid w:val="3D8B21D4"/>
    <w:rsid w:val="3DD96CF1"/>
    <w:rsid w:val="3DDB3E54"/>
    <w:rsid w:val="3DF900E6"/>
    <w:rsid w:val="3E0055CC"/>
    <w:rsid w:val="3E634215"/>
    <w:rsid w:val="3E6F5E9A"/>
    <w:rsid w:val="3E800AA6"/>
    <w:rsid w:val="3EA7027B"/>
    <w:rsid w:val="3ECF1AD7"/>
    <w:rsid w:val="3EDB342A"/>
    <w:rsid w:val="3EF018CA"/>
    <w:rsid w:val="3F3A1FEB"/>
    <w:rsid w:val="3F536D21"/>
    <w:rsid w:val="3F7F15CC"/>
    <w:rsid w:val="3FBE6766"/>
    <w:rsid w:val="3FD6525C"/>
    <w:rsid w:val="3FD93A56"/>
    <w:rsid w:val="402E6E09"/>
    <w:rsid w:val="406E741E"/>
    <w:rsid w:val="407251E3"/>
    <w:rsid w:val="40A67243"/>
    <w:rsid w:val="40C5625C"/>
    <w:rsid w:val="40CE0C0F"/>
    <w:rsid w:val="40D95004"/>
    <w:rsid w:val="40F97CA8"/>
    <w:rsid w:val="414C1049"/>
    <w:rsid w:val="41880131"/>
    <w:rsid w:val="42253D73"/>
    <w:rsid w:val="425A07AC"/>
    <w:rsid w:val="425C406C"/>
    <w:rsid w:val="425D5371"/>
    <w:rsid w:val="42977FCE"/>
    <w:rsid w:val="42A46591"/>
    <w:rsid w:val="42AC3EC8"/>
    <w:rsid w:val="430801C3"/>
    <w:rsid w:val="435621E3"/>
    <w:rsid w:val="43664B49"/>
    <w:rsid w:val="436D25BB"/>
    <w:rsid w:val="438C4293"/>
    <w:rsid w:val="43BE6733"/>
    <w:rsid w:val="43CC7746"/>
    <w:rsid w:val="441311FB"/>
    <w:rsid w:val="44184187"/>
    <w:rsid w:val="44592171"/>
    <w:rsid w:val="44CF42FD"/>
    <w:rsid w:val="44E362D1"/>
    <w:rsid w:val="44E4602A"/>
    <w:rsid w:val="44FF20C1"/>
    <w:rsid w:val="452652F1"/>
    <w:rsid w:val="45835C3E"/>
    <w:rsid w:val="458D387D"/>
    <w:rsid w:val="45AA4BA1"/>
    <w:rsid w:val="45B80788"/>
    <w:rsid w:val="462D4BCB"/>
    <w:rsid w:val="4663765C"/>
    <w:rsid w:val="466A7D57"/>
    <w:rsid w:val="466C6917"/>
    <w:rsid w:val="46A936CA"/>
    <w:rsid w:val="46D97464"/>
    <w:rsid w:val="46DF24CF"/>
    <w:rsid w:val="4700639A"/>
    <w:rsid w:val="470078CF"/>
    <w:rsid w:val="47080919"/>
    <w:rsid w:val="472D33C3"/>
    <w:rsid w:val="473C18E7"/>
    <w:rsid w:val="474F48B0"/>
    <w:rsid w:val="476F5963"/>
    <w:rsid w:val="47906B77"/>
    <w:rsid w:val="47E9061B"/>
    <w:rsid w:val="48285DF1"/>
    <w:rsid w:val="484245C7"/>
    <w:rsid w:val="48490FC9"/>
    <w:rsid w:val="48587156"/>
    <w:rsid w:val="488D7CFE"/>
    <w:rsid w:val="48A92682"/>
    <w:rsid w:val="48CC3E16"/>
    <w:rsid w:val="48D56F00"/>
    <w:rsid w:val="48D82045"/>
    <w:rsid w:val="48DE24DE"/>
    <w:rsid w:val="48F867EE"/>
    <w:rsid w:val="49323FD7"/>
    <w:rsid w:val="49795A37"/>
    <w:rsid w:val="49AE2723"/>
    <w:rsid w:val="49E62A49"/>
    <w:rsid w:val="49F870A2"/>
    <w:rsid w:val="4A062C17"/>
    <w:rsid w:val="4A1B1AA4"/>
    <w:rsid w:val="4A332BFD"/>
    <w:rsid w:val="4A3A4E1D"/>
    <w:rsid w:val="4A566BAB"/>
    <w:rsid w:val="4A7B15EF"/>
    <w:rsid w:val="4AAE28E2"/>
    <w:rsid w:val="4AC74B58"/>
    <w:rsid w:val="4B020A9D"/>
    <w:rsid w:val="4B242FF0"/>
    <w:rsid w:val="4B7E46BC"/>
    <w:rsid w:val="4B990A83"/>
    <w:rsid w:val="4BA7702D"/>
    <w:rsid w:val="4BCB549F"/>
    <w:rsid w:val="4BE12CCA"/>
    <w:rsid w:val="4BE95365"/>
    <w:rsid w:val="4BEB03BD"/>
    <w:rsid w:val="4C12409B"/>
    <w:rsid w:val="4C505A34"/>
    <w:rsid w:val="4C5D2E7F"/>
    <w:rsid w:val="4C742EFD"/>
    <w:rsid w:val="4C7D7030"/>
    <w:rsid w:val="4C983BAF"/>
    <w:rsid w:val="4D382687"/>
    <w:rsid w:val="4D3F2693"/>
    <w:rsid w:val="4D8C0147"/>
    <w:rsid w:val="4D910683"/>
    <w:rsid w:val="4D970CD9"/>
    <w:rsid w:val="4D9B7742"/>
    <w:rsid w:val="4E045D2B"/>
    <w:rsid w:val="4E6A1D8F"/>
    <w:rsid w:val="4E9B14FE"/>
    <w:rsid w:val="4EAC5711"/>
    <w:rsid w:val="4F0C2EA0"/>
    <w:rsid w:val="4F1961FD"/>
    <w:rsid w:val="4F2B4ED4"/>
    <w:rsid w:val="4F3431D9"/>
    <w:rsid w:val="4F653250"/>
    <w:rsid w:val="50C90F52"/>
    <w:rsid w:val="50D67CED"/>
    <w:rsid w:val="50FA43C8"/>
    <w:rsid w:val="513717D6"/>
    <w:rsid w:val="51380D10"/>
    <w:rsid w:val="516C3124"/>
    <w:rsid w:val="51B2004B"/>
    <w:rsid w:val="51F45CF6"/>
    <w:rsid w:val="52215D62"/>
    <w:rsid w:val="528F6987"/>
    <w:rsid w:val="52904232"/>
    <w:rsid w:val="52D61DC6"/>
    <w:rsid w:val="5311478A"/>
    <w:rsid w:val="5312244A"/>
    <w:rsid w:val="534B0057"/>
    <w:rsid w:val="535D1AC5"/>
    <w:rsid w:val="537B7ADB"/>
    <w:rsid w:val="5381780D"/>
    <w:rsid w:val="538D527E"/>
    <w:rsid w:val="53D60B0D"/>
    <w:rsid w:val="53D71EC0"/>
    <w:rsid w:val="54457AB8"/>
    <w:rsid w:val="54467458"/>
    <w:rsid w:val="54556AEA"/>
    <w:rsid w:val="54C73437"/>
    <w:rsid w:val="55032575"/>
    <w:rsid w:val="55131A57"/>
    <w:rsid w:val="55622629"/>
    <w:rsid w:val="55921242"/>
    <w:rsid w:val="559E2405"/>
    <w:rsid w:val="55E77D6B"/>
    <w:rsid w:val="56457E98"/>
    <w:rsid w:val="56A01B10"/>
    <w:rsid w:val="56C43C09"/>
    <w:rsid w:val="56DC1604"/>
    <w:rsid w:val="56E16569"/>
    <w:rsid w:val="56FC7846"/>
    <w:rsid w:val="57613587"/>
    <w:rsid w:val="577B43F3"/>
    <w:rsid w:val="577D71D5"/>
    <w:rsid w:val="57C4006A"/>
    <w:rsid w:val="57DD2635"/>
    <w:rsid w:val="58957303"/>
    <w:rsid w:val="589B369A"/>
    <w:rsid w:val="58F45FE0"/>
    <w:rsid w:val="591E6FE2"/>
    <w:rsid w:val="59542BD7"/>
    <w:rsid w:val="598D6817"/>
    <w:rsid w:val="59D74AF1"/>
    <w:rsid w:val="59D9433B"/>
    <w:rsid w:val="5A025174"/>
    <w:rsid w:val="5A0E034B"/>
    <w:rsid w:val="5A3A2DDD"/>
    <w:rsid w:val="5AD3658F"/>
    <w:rsid w:val="5B090D98"/>
    <w:rsid w:val="5B3C0DAD"/>
    <w:rsid w:val="5B861692"/>
    <w:rsid w:val="5BF449CD"/>
    <w:rsid w:val="5BF918A2"/>
    <w:rsid w:val="5C161E71"/>
    <w:rsid w:val="5C4B3DBD"/>
    <w:rsid w:val="5C935273"/>
    <w:rsid w:val="5C9F03A8"/>
    <w:rsid w:val="5CA6628A"/>
    <w:rsid w:val="5CBB785C"/>
    <w:rsid w:val="5CCC024F"/>
    <w:rsid w:val="5CDF2E5D"/>
    <w:rsid w:val="5D0511A4"/>
    <w:rsid w:val="5D0C00B7"/>
    <w:rsid w:val="5D245401"/>
    <w:rsid w:val="5D6F1310"/>
    <w:rsid w:val="5E9640DD"/>
    <w:rsid w:val="5E9C34B2"/>
    <w:rsid w:val="5ECD0D58"/>
    <w:rsid w:val="6005776C"/>
    <w:rsid w:val="60BC2946"/>
    <w:rsid w:val="61203FF3"/>
    <w:rsid w:val="612770EF"/>
    <w:rsid w:val="61384D4A"/>
    <w:rsid w:val="62074C63"/>
    <w:rsid w:val="62093465"/>
    <w:rsid w:val="622B607F"/>
    <w:rsid w:val="624F2F20"/>
    <w:rsid w:val="625C58B6"/>
    <w:rsid w:val="627B71A0"/>
    <w:rsid w:val="628800F3"/>
    <w:rsid w:val="628D3A49"/>
    <w:rsid w:val="62B8336A"/>
    <w:rsid w:val="62D84CC4"/>
    <w:rsid w:val="635546F4"/>
    <w:rsid w:val="635F5CFB"/>
    <w:rsid w:val="63C33BC6"/>
    <w:rsid w:val="63D538F9"/>
    <w:rsid w:val="63E340FD"/>
    <w:rsid w:val="63E37DC4"/>
    <w:rsid w:val="63F737D3"/>
    <w:rsid w:val="641E0CEC"/>
    <w:rsid w:val="64337579"/>
    <w:rsid w:val="64441196"/>
    <w:rsid w:val="648B53C8"/>
    <w:rsid w:val="64A54490"/>
    <w:rsid w:val="64F44108"/>
    <w:rsid w:val="65091B75"/>
    <w:rsid w:val="65304CA5"/>
    <w:rsid w:val="653052E4"/>
    <w:rsid w:val="653F7E4A"/>
    <w:rsid w:val="6568774A"/>
    <w:rsid w:val="6582762D"/>
    <w:rsid w:val="658B0713"/>
    <w:rsid w:val="65931126"/>
    <w:rsid w:val="65A8085C"/>
    <w:rsid w:val="65BC6440"/>
    <w:rsid w:val="65C36E7F"/>
    <w:rsid w:val="65D21A26"/>
    <w:rsid w:val="65DE78AD"/>
    <w:rsid w:val="65E44774"/>
    <w:rsid w:val="65EB50C3"/>
    <w:rsid w:val="661F4C5F"/>
    <w:rsid w:val="663B7430"/>
    <w:rsid w:val="671E1CA4"/>
    <w:rsid w:val="672A0BC3"/>
    <w:rsid w:val="67325309"/>
    <w:rsid w:val="6793681A"/>
    <w:rsid w:val="67A4719E"/>
    <w:rsid w:val="67C149AF"/>
    <w:rsid w:val="67D02B8A"/>
    <w:rsid w:val="681170EE"/>
    <w:rsid w:val="682F1646"/>
    <w:rsid w:val="687775B2"/>
    <w:rsid w:val="693A44D1"/>
    <w:rsid w:val="696D59D2"/>
    <w:rsid w:val="69933529"/>
    <w:rsid w:val="69AC6C7A"/>
    <w:rsid w:val="69ED5014"/>
    <w:rsid w:val="6A0C1B0B"/>
    <w:rsid w:val="6A125484"/>
    <w:rsid w:val="6A1B14A7"/>
    <w:rsid w:val="6A5C2468"/>
    <w:rsid w:val="6A6F2DDE"/>
    <w:rsid w:val="6AC101E8"/>
    <w:rsid w:val="6AF10A52"/>
    <w:rsid w:val="6B241A17"/>
    <w:rsid w:val="6B4E1D37"/>
    <w:rsid w:val="6B5A17AD"/>
    <w:rsid w:val="6BCC3834"/>
    <w:rsid w:val="6BDC12E2"/>
    <w:rsid w:val="6BF85F7E"/>
    <w:rsid w:val="6BFE572C"/>
    <w:rsid w:val="6C0B35D0"/>
    <w:rsid w:val="6C3B14B2"/>
    <w:rsid w:val="6C625372"/>
    <w:rsid w:val="6C670ECB"/>
    <w:rsid w:val="6CD418C8"/>
    <w:rsid w:val="6D250900"/>
    <w:rsid w:val="6D446C02"/>
    <w:rsid w:val="6D6E51EC"/>
    <w:rsid w:val="6E1148C4"/>
    <w:rsid w:val="6E11526D"/>
    <w:rsid w:val="6E914282"/>
    <w:rsid w:val="6E9C0F6F"/>
    <w:rsid w:val="6EBA1571"/>
    <w:rsid w:val="6ED912DD"/>
    <w:rsid w:val="6F0E4EC3"/>
    <w:rsid w:val="6FF74C17"/>
    <w:rsid w:val="70467BAB"/>
    <w:rsid w:val="70557737"/>
    <w:rsid w:val="706D27E8"/>
    <w:rsid w:val="709837C6"/>
    <w:rsid w:val="70B04FCA"/>
    <w:rsid w:val="70C31FB8"/>
    <w:rsid w:val="70DC3DAB"/>
    <w:rsid w:val="70E47206"/>
    <w:rsid w:val="71352A9F"/>
    <w:rsid w:val="714D191C"/>
    <w:rsid w:val="7173757D"/>
    <w:rsid w:val="717E2310"/>
    <w:rsid w:val="71AD7318"/>
    <w:rsid w:val="7219651D"/>
    <w:rsid w:val="72690B75"/>
    <w:rsid w:val="726D70E7"/>
    <w:rsid w:val="72A63D8F"/>
    <w:rsid w:val="72D455FF"/>
    <w:rsid w:val="731F4FAA"/>
    <w:rsid w:val="73B52288"/>
    <w:rsid w:val="73FC68B7"/>
    <w:rsid w:val="7400609B"/>
    <w:rsid w:val="743957DE"/>
    <w:rsid w:val="744F6DB0"/>
    <w:rsid w:val="747D4C59"/>
    <w:rsid w:val="747D74F0"/>
    <w:rsid w:val="748D409F"/>
    <w:rsid w:val="7497194B"/>
    <w:rsid w:val="74C31ECB"/>
    <w:rsid w:val="74C92B86"/>
    <w:rsid w:val="74D0561D"/>
    <w:rsid w:val="74F11099"/>
    <w:rsid w:val="75120509"/>
    <w:rsid w:val="756F5910"/>
    <w:rsid w:val="75942919"/>
    <w:rsid w:val="75A92F9A"/>
    <w:rsid w:val="75B01AD0"/>
    <w:rsid w:val="75B23472"/>
    <w:rsid w:val="761A46D3"/>
    <w:rsid w:val="768337BA"/>
    <w:rsid w:val="768A4D12"/>
    <w:rsid w:val="76D849B8"/>
    <w:rsid w:val="76DA3325"/>
    <w:rsid w:val="7739125B"/>
    <w:rsid w:val="780A0DB4"/>
    <w:rsid w:val="781C674C"/>
    <w:rsid w:val="78576736"/>
    <w:rsid w:val="78715728"/>
    <w:rsid w:val="787C21CD"/>
    <w:rsid w:val="78952508"/>
    <w:rsid w:val="78C74CF0"/>
    <w:rsid w:val="78E656E7"/>
    <w:rsid w:val="792D0C52"/>
    <w:rsid w:val="79B51D2F"/>
    <w:rsid w:val="79DB1BD2"/>
    <w:rsid w:val="7A722DC0"/>
    <w:rsid w:val="7A8F2E85"/>
    <w:rsid w:val="7A9D4EF2"/>
    <w:rsid w:val="7AAA36FF"/>
    <w:rsid w:val="7AB40202"/>
    <w:rsid w:val="7ADA52BA"/>
    <w:rsid w:val="7AE70780"/>
    <w:rsid w:val="7B083DED"/>
    <w:rsid w:val="7B1C3CF7"/>
    <w:rsid w:val="7B237486"/>
    <w:rsid w:val="7B305D72"/>
    <w:rsid w:val="7B7D1FC2"/>
    <w:rsid w:val="7B9559F0"/>
    <w:rsid w:val="7BA95547"/>
    <w:rsid w:val="7BAA0E5A"/>
    <w:rsid w:val="7BB147B2"/>
    <w:rsid w:val="7BBB4C21"/>
    <w:rsid w:val="7BC92AB2"/>
    <w:rsid w:val="7BDF6C6B"/>
    <w:rsid w:val="7BFB0092"/>
    <w:rsid w:val="7C370186"/>
    <w:rsid w:val="7C852A9C"/>
    <w:rsid w:val="7C9C4E59"/>
    <w:rsid w:val="7CAD0B17"/>
    <w:rsid w:val="7CB972E1"/>
    <w:rsid w:val="7D3066D3"/>
    <w:rsid w:val="7D9E6B5B"/>
    <w:rsid w:val="7D9F168E"/>
    <w:rsid w:val="7DA008A8"/>
    <w:rsid w:val="7DC45757"/>
    <w:rsid w:val="7E092C14"/>
    <w:rsid w:val="7E14796C"/>
    <w:rsid w:val="7E2F1D63"/>
    <w:rsid w:val="7E413C0D"/>
    <w:rsid w:val="7E5A7E53"/>
    <w:rsid w:val="7E7933A7"/>
    <w:rsid w:val="7EA426D4"/>
    <w:rsid w:val="7EC12653"/>
    <w:rsid w:val="7ED473B2"/>
    <w:rsid w:val="7F0B7D77"/>
    <w:rsid w:val="7F1C1F84"/>
    <w:rsid w:val="7F284918"/>
    <w:rsid w:val="7F482401"/>
    <w:rsid w:val="7F585020"/>
    <w:rsid w:val="7F9932DA"/>
    <w:rsid w:val="7F9B0DB6"/>
    <w:rsid w:val="7F9F7CB1"/>
    <w:rsid w:val="7FDB7423"/>
    <w:rsid w:val="7FE16713"/>
    <w:rsid w:val="B6D73F4B"/>
    <w:rsid w:val="DBFD87A5"/>
    <w:rsid w:val="EDFAFB6E"/>
    <w:rsid w:val="FDF33ACD"/>
    <w:rsid w:val="FE39C1D9"/>
    <w:rsid w:val="FFF698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2"/>
    <w:qFormat/>
    <w:uiPriority w:val="0"/>
    <w:pPr>
      <w:keepNext/>
      <w:keepLines/>
      <w:spacing w:before="240" w:after="240" w:line="480" w:lineRule="auto"/>
      <w:jc w:val="center"/>
      <w:outlineLvl w:val="0"/>
    </w:pPr>
    <w:rPr>
      <w:b/>
      <w:bCs/>
      <w:kern w:val="44"/>
      <w:sz w:val="36"/>
      <w:szCs w:val="44"/>
    </w:rPr>
  </w:style>
  <w:style w:type="paragraph" w:styleId="4">
    <w:name w:val="heading 2"/>
    <w:basedOn w:val="1"/>
    <w:next w:val="1"/>
    <w:link w:val="63"/>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64"/>
    <w:qFormat/>
    <w:uiPriority w:val="0"/>
    <w:pPr>
      <w:keepNext/>
      <w:keepLines/>
      <w:spacing w:before="260" w:after="260" w:line="416" w:lineRule="auto"/>
      <w:outlineLvl w:val="2"/>
    </w:pPr>
    <w:rPr>
      <w:b/>
      <w:bCs/>
      <w:kern w:val="0"/>
      <w:sz w:val="32"/>
      <w:szCs w:val="32"/>
    </w:rPr>
  </w:style>
  <w:style w:type="paragraph" w:styleId="6">
    <w:name w:val="heading 4"/>
    <w:basedOn w:val="1"/>
    <w:next w:val="1"/>
    <w:qFormat/>
    <w:uiPriority w:val="0"/>
    <w:pPr>
      <w:tabs>
        <w:tab w:val="left" w:pos="2155"/>
      </w:tabs>
      <w:adjustRightInd w:val="0"/>
      <w:spacing w:line="360" w:lineRule="auto"/>
      <w:ind w:left="2155" w:hanging="1078"/>
      <w:textAlignment w:val="baseline"/>
      <w:outlineLvl w:val="3"/>
    </w:pPr>
    <w:rPr>
      <w:rFonts w:ascii="Arial" w:eastAsia="黑体"/>
      <w:kern w:val="0"/>
      <w:sz w:val="28"/>
      <w:szCs w:val="20"/>
    </w:rPr>
  </w:style>
  <w:style w:type="paragraph" w:styleId="7">
    <w:name w:val="heading 5"/>
    <w:basedOn w:val="1"/>
    <w:next w:val="8"/>
    <w:link w:val="65"/>
    <w:qFormat/>
    <w:uiPriority w:val="0"/>
    <w:pPr>
      <w:keepNext/>
      <w:keepLines/>
      <w:numPr>
        <w:ilvl w:val="4"/>
        <w:numId w:val="1"/>
      </w:numPr>
      <w:spacing w:before="280" w:after="290" w:line="376" w:lineRule="auto"/>
      <w:outlineLvl w:val="4"/>
    </w:pPr>
    <w:rPr>
      <w:b/>
      <w:sz w:val="28"/>
    </w:rPr>
  </w:style>
  <w:style w:type="paragraph" w:styleId="11">
    <w:name w:val="heading 6"/>
    <w:basedOn w:val="1"/>
    <w:next w:val="8"/>
    <w:link w:val="66"/>
    <w:qFormat/>
    <w:uiPriority w:val="0"/>
    <w:pPr>
      <w:keepNext/>
      <w:keepLines/>
      <w:numPr>
        <w:ilvl w:val="5"/>
        <w:numId w:val="1"/>
      </w:numPr>
      <w:spacing w:before="240" w:after="64" w:line="320" w:lineRule="auto"/>
      <w:outlineLvl w:val="5"/>
    </w:pPr>
    <w:rPr>
      <w:rFonts w:ascii="Arial" w:hAnsi="Arial" w:eastAsia="黑体"/>
      <w:b/>
      <w:sz w:val="24"/>
    </w:rPr>
  </w:style>
  <w:style w:type="paragraph" w:styleId="12">
    <w:name w:val="heading 7"/>
    <w:basedOn w:val="1"/>
    <w:next w:val="8"/>
    <w:link w:val="67"/>
    <w:qFormat/>
    <w:uiPriority w:val="0"/>
    <w:pPr>
      <w:keepNext/>
      <w:keepLines/>
      <w:numPr>
        <w:ilvl w:val="6"/>
        <w:numId w:val="1"/>
      </w:numPr>
      <w:spacing w:before="240" w:after="64" w:line="320" w:lineRule="auto"/>
      <w:outlineLvl w:val="6"/>
    </w:pPr>
    <w:rPr>
      <w:b/>
      <w:sz w:val="24"/>
    </w:rPr>
  </w:style>
  <w:style w:type="paragraph" w:styleId="13">
    <w:name w:val="heading 8"/>
    <w:basedOn w:val="1"/>
    <w:next w:val="8"/>
    <w:link w:val="68"/>
    <w:qFormat/>
    <w:uiPriority w:val="0"/>
    <w:pPr>
      <w:keepNext/>
      <w:keepLines/>
      <w:numPr>
        <w:ilvl w:val="7"/>
        <w:numId w:val="1"/>
      </w:numPr>
      <w:spacing w:before="240" w:after="64" w:line="320" w:lineRule="auto"/>
      <w:outlineLvl w:val="7"/>
    </w:pPr>
    <w:rPr>
      <w:rFonts w:ascii="Arial" w:hAnsi="Arial" w:eastAsia="黑体"/>
      <w:sz w:val="24"/>
    </w:rPr>
  </w:style>
  <w:style w:type="paragraph" w:styleId="14">
    <w:name w:val="heading 9"/>
    <w:basedOn w:val="1"/>
    <w:next w:val="8"/>
    <w:link w:val="69"/>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9"/>
    <w:unhideWhenUsed/>
    <w:qFormat/>
    <w:uiPriority w:val="99"/>
    <w:pPr>
      <w:tabs>
        <w:tab w:val="center" w:pos="4153"/>
        <w:tab w:val="right" w:pos="8306"/>
      </w:tabs>
      <w:snapToGrid w:val="0"/>
      <w:jc w:val="left"/>
    </w:pPr>
    <w:rPr>
      <w:kern w:val="0"/>
      <w:sz w:val="18"/>
      <w:szCs w:val="18"/>
    </w:rPr>
  </w:style>
  <w:style w:type="paragraph" w:styleId="8">
    <w:name w:val="Normal Indent"/>
    <w:basedOn w:val="1"/>
    <w:next w:val="9"/>
    <w:qFormat/>
    <w:uiPriority w:val="0"/>
    <w:pPr>
      <w:ind w:firstLine="420"/>
    </w:pPr>
    <w:rPr>
      <w:szCs w:val="20"/>
    </w:rPr>
  </w:style>
  <w:style w:type="paragraph" w:customStyle="1" w:styleId="9">
    <w:name w:val="图表标题"/>
    <w:basedOn w:val="10"/>
    <w:next w:val="10"/>
    <w:qFormat/>
    <w:uiPriority w:val="0"/>
    <w:pPr>
      <w:spacing w:line="360" w:lineRule="auto"/>
      <w:jc w:val="center"/>
    </w:pPr>
    <w:rPr>
      <w:rFonts w:ascii="Times New Roman" w:hAnsi="Times New Roman" w:eastAsia="宋体" w:cs="Times New Roman"/>
      <w:sz w:val="24"/>
    </w:rPr>
  </w:style>
  <w:style w:type="paragraph" w:styleId="10">
    <w:name w:val="caption"/>
    <w:basedOn w:val="1"/>
    <w:next w:val="1"/>
    <w:qFormat/>
    <w:uiPriority w:val="0"/>
    <w:pPr>
      <w:spacing w:before="152" w:after="160"/>
    </w:pPr>
    <w:rPr>
      <w:rFonts w:ascii="Arial" w:hAnsi="Arial" w:eastAsia="黑体" w:cs="Arial"/>
      <w:sz w:val="20"/>
      <w:szCs w:val="20"/>
    </w:rPr>
  </w:style>
  <w:style w:type="paragraph" w:styleId="15">
    <w:name w:val="toc 7"/>
    <w:basedOn w:val="1"/>
    <w:next w:val="1"/>
    <w:unhideWhenUsed/>
    <w:qFormat/>
    <w:uiPriority w:val="39"/>
    <w:pPr>
      <w:ind w:left="2520" w:leftChars="1200"/>
    </w:pPr>
    <w:rPr>
      <w:rFonts w:ascii="Calibri" w:hAnsi="Calibri"/>
      <w:szCs w:val="22"/>
    </w:rPr>
  </w:style>
  <w:style w:type="paragraph" w:styleId="16">
    <w:name w:val="index 8"/>
    <w:basedOn w:val="1"/>
    <w:next w:val="1"/>
    <w:unhideWhenUsed/>
    <w:qFormat/>
    <w:uiPriority w:val="99"/>
    <w:pPr>
      <w:ind w:left="1400" w:leftChars="1400"/>
    </w:pPr>
  </w:style>
  <w:style w:type="paragraph" w:styleId="17">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8">
    <w:name w:val="Document Map"/>
    <w:basedOn w:val="1"/>
    <w:link w:val="70"/>
    <w:unhideWhenUsed/>
    <w:qFormat/>
    <w:uiPriority w:val="0"/>
    <w:pPr>
      <w:shd w:val="clear" w:color="auto" w:fill="000080"/>
    </w:pPr>
    <w:rPr>
      <w:rFonts w:hint="eastAsia" w:ascii="宋体" w:hAnsi="宋体"/>
      <w:kern w:val="0"/>
      <w:sz w:val="20"/>
      <w:szCs w:val="20"/>
    </w:rPr>
  </w:style>
  <w:style w:type="paragraph" w:styleId="19">
    <w:name w:val="annotation text"/>
    <w:basedOn w:val="1"/>
    <w:link w:val="71"/>
    <w:unhideWhenUsed/>
    <w:qFormat/>
    <w:uiPriority w:val="99"/>
    <w:pPr>
      <w:jc w:val="left"/>
    </w:pPr>
  </w:style>
  <w:style w:type="paragraph" w:styleId="20">
    <w:name w:val="Body Text 3"/>
    <w:basedOn w:val="1"/>
    <w:link w:val="72"/>
    <w:qFormat/>
    <w:uiPriority w:val="0"/>
    <w:pPr>
      <w:spacing w:line="500" w:lineRule="exact"/>
    </w:pPr>
    <w:rPr>
      <w:b/>
      <w:bCs/>
      <w:kern w:val="0"/>
      <w:sz w:val="24"/>
    </w:rPr>
  </w:style>
  <w:style w:type="paragraph" w:styleId="21">
    <w:name w:val="Body Text"/>
    <w:basedOn w:val="1"/>
    <w:next w:val="22"/>
    <w:link w:val="61"/>
    <w:qFormat/>
    <w:uiPriority w:val="0"/>
    <w:pPr>
      <w:spacing w:line="380" w:lineRule="exact"/>
    </w:pPr>
    <w:rPr>
      <w:kern w:val="0"/>
      <w:sz w:val="24"/>
    </w:rPr>
  </w:style>
  <w:style w:type="paragraph" w:styleId="22">
    <w:name w:val="Title"/>
    <w:basedOn w:val="1"/>
    <w:next w:val="1"/>
    <w:link w:val="84"/>
    <w:qFormat/>
    <w:uiPriority w:val="10"/>
    <w:pPr>
      <w:spacing w:before="240" w:after="60"/>
      <w:jc w:val="center"/>
      <w:outlineLvl w:val="0"/>
    </w:pPr>
    <w:rPr>
      <w:rFonts w:ascii="Cambria" w:hAnsi="Cambria"/>
      <w:b/>
      <w:bCs/>
      <w:sz w:val="32"/>
      <w:szCs w:val="32"/>
    </w:rPr>
  </w:style>
  <w:style w:type="paragraph" w:styleId="23">
    <w:name w:val="Body Text Indent"/>
    <w:basedOn w:val="1"/>
    <w:link w:val="73"/>
    <w:qFormat/>
    <w:uiPriority w:val="0"/>
    <w:pPr>
      <w:ind w:firstLine="830" w:firstLineChars="352"/>
    </w:pPr>
    <w:rPr>
      <w:rFonts w:ascii="仿宋_GB2312" w:eastAsia="仿宋_GB2312"/>
      <w:kern w:val="0"/>
      <w:sz w:val="32"/>
      <w:szCs w:val="20"/>
    </w:rPr>
  </w:style>
  <w:style w:type="paragraph" w:styleId="24">
    <w:name w:val="List Number 3"/>
    <w:basedOn w:val="1"/>
    <w:qFormat/>
    <w:uiPriority w:val="0"/>
    <w:pPr>
      <w:numPr>
        <w:ilvl w:val="0"/>
        <w:numId w:val="2"/>
      </w:numPr>
    </w:pPr>
  </w:style>
  <w:style w:type="paragraph" w:styleId="25">
    <w:name w:val="List 2"/>
    <w:basedOn w:val="1"/>
    <w:qFormat/>
    <w:uiPriority w:val="0"/>
    <w:pPr>
      <w:ind w:left="100" w:leftChars="200" w:hanging="200" w:hangingChars="200"/>
    </w:pPr>
    <w:rPr>
      <w:sz w:val="28"/>
    </w:rPr>
  </w:style>
  <w:style w:type="paragraph" w:styleId="26">
    <w:name w:val="toc 5"/>
    <w:basedOn w:val="1"/>
    <w:next w:val="1"/>
    <w:unhideWhenUsed/>
    <w:qFormat/>
    <w:uiPriority w:val="39"/>
    <w:pPr>
      <w:ind w:left="1680" w:leftChars="800"/>
    </w:pPr>
    <w:rPr>
      <w:rFonts w:ascii="Calibri" w:hAnsi="Calibri"/>
      <w:szCs w:val="22"/>
    </w:rPr>
  </w:style>
  <w:style w:type="paragraph" w:styleId="27">
    <w:name w:val="toc 3"/>
    <w:basedOn w:val="1"/>
    <w:next w:val="1"/>
    <w:unhideWhenUsed/>
    <w:qFormat/>
    <w:uiPriority w:val="39"/>
    <w:pPr>
      <w:ind w:left="840" w:leftChars="400"/>
    </w:pPr>
    <w:rPr>
      <w:rFonts w:ascii="Calibri" w:hAnsi="Calibri"/>
      <w:szCs w:val="22"/>
    </w:rPr>
  </w:style>
  <w:style w:type="paragraph" w:styleId="28">
    <w:name w:val="Plain Text"/>
    <w:basedOn w:val="1"/>
    <w:next w:val="16"/>
    <w:link w:val="74"/>
    <w:qFormat/>
    <w:uiPriority w:val="0"/>
    <w:rPr>
      <w:rFonts w:ascii="宋体" w:hAnsi="Courier New"/>
      <w:kern w:val="0"/>
      <w:sz w:val="20"/>
      <w:szCs w:val="21"/>
    </w:rPr>
  </w:style>
  <w:style w:type="paragraph" w:styleId="29">
    <w:name w:val="toc 8"/>
    <w:basedOn w:val="1"/>
    <w:next w:val="1"/>
    <w:unhideWhenUsed/>
    <w:qFormat/>
    <w:uiPriority w:val="39"/>
    <w:pPr>
      <w:ind w:left="2940" w:leftChars="1400"/>
    </w:pPr>
    <w:rPr>
      <w:rFonts w:ascii="Calibri" w:hAnsi="Calibri"/>
      <w:szCs w:val="22"/>
    </w:rPr>
  </w:style>
  <w:style w:type="paragraph" w:styleId="30">
    <w:name w:val="Date"/>
    <w:basedOn w:val="1"/>
    <w:next w:val="1"/>
    <w:link w:val="75"/>
    <w:qFormat/>
    <w:uiPriority w:val="0"/>
    <w:pPr>
      <w:ind w:left="100" w:leftChars="2500"/>
    </w:pPr>
    <w:rPr>
      <w:rFonts w:ascii="宋体" w:hAnsi="Courier New"/>
      <w:kern w:val="0"/>
      <w:sz w:val="20"/>
      <w:szCs w:val="21"/>
    </w:rPr>
  </w:style>
  <w:style w:type="paragraph" w:styleId="31">
    <w:name w:val="Body Text Indent 2"/>
    <w:basedOn w:val="1"/>
    <w:link w:val="76"/>
    <w:qFormat/>
    <w:uiPriority w:val="0"/>
    <w:pPr>
      <w:ind w:firstLine="630"/>
    </w:pPr>
    <w:rPr>
      <w:kern w:val="0"/>
      <w:sz w:val="32"/>
      <w:szCs w:val="20"/>
    </w:rPr>
  </w:style>
  <w:style w:type="paragraph" w:styleId="32">
    <w:name w:val="endnote text"/>
    <w:basedOn w:val="1"/>
    <w:link w:val="77"/>
    <w:unhideWhenUsed/>
    <w:qFormat/>
    <w:uiPriority w:val="99"/>
    <w:pPr>
      <w:snapToGrid w:val="0"/>
      <w:jc w:val="left"/>
    </w:pPr>
  </w:style>
  <w:style w:type="paragraph" w:styleId="33">
    <w:name w:val="Balloon Text"/>
    <w:basedOn w:val="1"/>
    <w:link w:val="78"/>
    <w:semiHidden/>
    <w:qFormat/>
    <w:uiPriority w:val="0"/>
    <w:rPr>
      <w:kern w:val="0"/>
      <w:sz w:val="18"/>
      <w:szCs w:val="18"/>
    </w:rPr>
  </w:style>
  <w:style w:type="paragraph" w:styleId="34">
    <w:name w:val="header"/>
    <w:basedOn w:val="1"/>
    <w:link w:val="80"/>
    <w:unhideWhenUsed/>
    <w:qFormat/>
    <w:uiPriority w:val="99"/>
    <w:pPr>
      <w:pBdr>
        <w:bottom w:val="single" w:color="auto" w:sz="6" w:space="1"/>
      </w:pBdr>
      <w:tabs>
        <w:tab w:val="center" w:pos="0"/>
        <w:tab w:val="left" w:pos="8306"/>
      </w:tabs>
      <w:snapToGrid w:val="0"/>
      <w:jc w:val="center"/>
    </w:pPr>
    <w:rPr>
      <w:sz w:val="18"/>
      <w:szCs w:val="18"/>
    </w:rPr>
  </w:style>
  <w:style w:type="paragraph" w:styleId="35">
    <w:name w:val="toc 1"/>
    <w:basedOn w:val="1"/>
    <w:next w:val="1"/>
    <w:qFormat/>
    <w:uiPriority w:val="39"/>
    <w:pPr>
      <w:tabs>
        <w:tab w:val="right" w:leader="dot" w:pos="8398"/>
      </w:tabs>
      <w:spacing w:before="120" w:after="120" w:line="360" w:lineRule="auto"/>
      <w:ind w:firstLine="100" w:firstLineChars="100"/>
      <w:jc w:val="left"/>
    </w:pPr>
    <w:rPr>
      <w:rFonts w:ascii="宋体" w:hAnsi="宋体"/>
      <w:b/>
      <w:bCs/>
      <w:caps/>
      <w:sz w:val="30"/>
    </w:rPr>
  </w:style>
  <w:style w:type="paragraph" w:styleId="36">
    <w:name w:val="toc 4"/>
    <w:basedOn w:val="1"/>
    <w:next w:val="1"/>
    <w:unhideWhenUsed/>
    <w:qFormat/>
    <w:uiPriority w:val="39"/>
    <w:pPr>
      <w:ind w:left="1260" w:leftChars="600"/>
    </w:pPr>
    <w:rPr>
      <w:rFonts w:ascii="Calibri" w:hAnsi="Calibri"/>
      <w:szCs w:val="22"/>
    </w:rPr>
  </w:style>
  <w:style w:type="paragraph" w:styleId="37">
    <w:name w:val="List"/>
    <w:basedOn w:val="1"/>
    <w:qFormat/>
    <w:uiPriority w:val="0"/>
    <w:pPr>
      <w:ind w:left="200" w:hanging="200" w:hangingChars="200"/>
    </w:pPr>
    <w:rPr>
      <w:sz w:val="28"/>
    </w:rPr>
  </w:style>
  <w:style w:type="paragraph" w:styleId="38">
    <w:name w:val="footnote text"/>
    <w:basedOn w:val="1"/>
    <w:link w:val="81"/>
    <w:unhideWhenUsed/>
    <w:qFormat/>
    <w:uiPriority w:val="99"/>
    <w:pPr>
      <w:snapToGrid w:val="0"/>
      <w:jc w:val="left"/>
    </w:pPr>
    <w:rPr>
      <w:sz w:val="18"/>
      <w:szCs w:val="18"/>
    </w:rPr>
  </w:style>
  <w:style w:type="paragraph" w:styleId="39">
    <w:name w:val="toc 6"/>
    <w:basedOn w:val="1"/>
    <w:next w:val="1"/>
    <w:unhideWhenUsed/>
    <w:qFormat/>
    <w:uiPriority w:val="39"/>
    <w:pPr>
      <w:ind w:left="2100" w:leftChars="1000"/>
    </w:pPr>
    <w:rPr>
      <w:rFonts w:ascii="Calibri" w:hAnsi="Calibri"/>
      <w:szCs w:val="22"/>
    </w:rPr>
  </w:style>
  <w:style w:type="paragraph" w:styleId="40">
    <w:name w:val="Body Text Indent 3"/>
    <w:basedOn w:val="1"/>
    <w:link w:val="82"/>
    <w:qFormat/>
    <w:uiPriority w:val="0"/>
    <w:pPr>
      <w:spacing w:after="120"/>
      <w:ind w:left="420" w:leftChars="200"/>
    </w:pPr>
    <w:rPr>
      <w:kern w:val="0"/>
      <w:sz w:val="16"/>
      <w:szCs w:val="16"/>
    </w:rPr>
  </w:style>
  <w:style w:type="paragraph" w:styleId="41">
    <w:name w:val="toc 2"/>
    <w:basedOn w:val="1"/>
    <w:next w:val="1"/>
    <w:unhideWhenUsed/>
    <w:qFormat/>
    <w:uiPriority w:val="39"/>
    <w:pPr>
      <w:ind w:left="420" w:leftChars="200"/>
    </w:pPr>
  </w:style>
  <w:style w:type="paragraph" w:styleId="42">
    <w:name w:val="toc 9"/>
    <w:basedOn w:val="1"/>
    <w:next w:val="1"/>
    <w:unhideWhenUsed/>
    <w:qFormat/>
    <w:uiPriority w:val="39"/>
    <w:pPr>
      <w:ind w:left="3360" w:leftChars="1600"/>
    </w:pPr>
    <w:rPr>
      <w:rFonts w:ascii="Calibri" w:hAnsi="Calibri"/>
      <w:szCs w:val="22"/>
    </w:rPr>
  </w:style>
  <w:style w:type="paragraph" w:styleId="43">
    <w:name w:val="Body Text 2"/>
    <w:basedOn w:val="1"/>
    <w:link w:val="83"/>
    <w:qFormat/>
    <w:uiPriority w:val="0"/>
    <w:pPr>
      <w:spacing w:after="120" w:line="480" w:lineRule="auto"/>
    </w:pPr>
    <w:rPr>
      <w:kern w:val="0"/>
      <w:sz w:val="20"/>
    </w:rPr>
  </w:style>
  <w:style w:type="paragraph" w:styleId="44">
    <w:name w:val="Normal (Web)"/>
    <w:basedOn w:val="1"/>
    <w:qFormat/>
    <w:uiPriority w:val="99"/>
    <w:pPr>
      <w:widowControl/>
      <w:spacing w:before="100" w:beforeAutospacing="1" w:after="100" w:afterAutospacing="1"/>
      <w:jc w:val="left"/>
    </w:pPr>
    <w:rPr>
      <w:rFonts w:ascii="宋体" w:hAnsi="宋体"/>
      <w:kern w:val="0"/>
      <w:sz w:val="24"/>
    </w:rPr>
  </w:style>
  <w:style w:type="paragraph" w:styleId="45">
    <w:name w:val="index 1"/>
    <w:basedOn w:val="1"/>
    <w:next w:val="1"/>
    <w:semiHidden/>
    <w:qFormat/>
    <w:uiPriority w:val="0"/>
    <w:pPr>
      <w:spacing w:line="400" w:lineRule="exact"/>
      <w:ind w:firstLine="420" w:firstLineChars="200"/>
    </w:pPr>
    <w:rPr>
      <w:rFonts w:ascii="宋体" w:hAnsi="Courier New"/>
      <w:b/>
      <w:szCs w:val="20"/>
    </w:rPr>
  </w:style>
  <w:style w:type="paragraph" w:styleId="46">
    <w:name w:val="annotation subject"/>
    <w:basedOn w:val="19"/>
    <w:next w:val="19"/>
    <w:link w:val="85"/>
    <w:unhideWhenUsed/>
    <w:qFormat/>
    <w:uiPriority w:val="99"/>
    <w:rPr>
      <w:b/>
      <w:bCs/>
    </w:rPr>
  </w:style>
  <w:style w:type="paragraph" w:styleId="47">
    <w:name w:val="Body Text First Indent 2"/>
    <w:basedOn w:val="1"/>
    <w:unhideWhenUsed/>
    <w:qFormat/>
    <w:uiPriority w:val="99"/>
    <w:pPr>
      <w:spacing w:after="120"/>
      <w:ind w:left="420" w:leftChars="200" w:firstLine="420" w:firstLineChars="200"/>
    </w:pPr>
    <w:rPr>
      <w:rFonts w:ascii="Times New Roman" w:eastAsia="宋体"/>
      <w:kern w:val="2"/>
      <w:sz w:val="21"/>
      <w:szCs w:val="24"/>
    </w:r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endnote reference"/>
    <w:unhideWhenUsed/>
    <w:qFormat/>
    <w:uiPriority w:val="99"/>
    <w:rPr>
      <w:vertAlign w:val="superscript"/>
    </w:rPr>
  </w:style>
  <w:style w:type="character" w:styleId="52">
    <w:name w:val="page number"/>
    <w:qFormat/>
    <w:uiPriority w:val="0"/>
  </w:style>
  <w:style w:type="character" w:styleId="53">
    <w:name w:val="FollowedHyperlink"/>
    <w:qFormat/>
    <w:uiPriority w:val="0"/>
    <w:rPr>
      <w:color w:val="800080"/>
      <w:u w:val="single"/>
    </w:rPr>
  </w:style>
  <w:style w:type="character" w:styleId="54">
    <w:name w:val="Emphasis"/>
    <w:qFormat/>
    <w:uiPriority w:val="20"/>
    <w:rPr>
      <w:i/>
    </w:rPr>
  </w:style>
  <w:style w:type="character" w:styleId="55">
    <w:name w:val="Hyperlink"/>
    <w:qFormat/>
    <w:uiPriority w:val="99"/>
    <w:rPr>
      <w:color w:val="0000FF"/>
      <w:u w:val="single"/>
    </w:rPr>
  </w:style>
  <w:style w:type="character" w:styleId="56">
    <w:name w:val="annotation reference"/>
    <w:basedOn w:val="50"/>
    <w:unhideWhenUsed/>
    <w:qFormat/>
    <w:uiPriority w:val="0"/>
    <w:rPr>
      <w:sz w:val="21"/>
      <w:szCs w:val="21"/>
    </w:rPr>
  </w:style>
  <w:style w:type="character" w:styleId="57">
    <w:name w:val="footnote reference"/>
    <w:unhideWhenUsed/>
    <w:qFormat/>
    <w:uiPriority w:val="99"/>
    <w:rPr>
      <w:vertAlign w:val="superscript"/>
    </w:rPr>
  </w:style>
  <w:style w:type="paragraph" w:customStyle="1" w:styleId="58">
    <w:name w:val="01 正文-首行缩进2字符"/>
    <w:basedOn w:val="1"/>
    <w:qFormat/>
    <w:uiPriority w:val="0"/>
    <w:pPr>
      <w:widowControl/>
      <w:spacing w:beforeLines="50" w:afterLines="50"/>
      <w:ind w:firstLine="964" w:firstLineChars="200"/>
    </w:pPr>
    <w:rPr>
      <w:rFonts w:ascii="Arial" w:hAnsi="Arial"/>
      <w:color w:val="000000"/>
      <w:sz w:val="28"/>
      <w:szCs w:val="22"/>
    </w:rPr>
  </w:style>
  <w:style w:type="paragraph" w:customStyle="1" w:styleId="59">
    <w:name w:val="表格文字"/>
    <w:basedOn w:val="23"/>
    <w:next w:val="21"/>
    <w:qFormat/>
    <w:uiPriority w:val="99"/>
    <w:pPr>
      <w:spacing w:before="25" w:after="25"/>
    </w:pPr>
    <w:rPr>
      <w:bCs/>
      <w:spacing w:val="10"/>
      <w:sz w:val="24"/>
      <w:szCs w:val="20"/>
    </w:rPr>
  </w:style>
  <w:style w:type="paragraph" w:customStyle="1" w:styleId="6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1">
    <w:name w:val="正文文本 Char"/>
    <w:link w:val="21"/>
    <w:qFormat/>
    <w:uiPriority w:val="0"/>
    <w:rPr>
      <w:rFonts w:ascii="Times New Roman" w:hAnsi="Times New Roman" w:eastAsia="宋体" w:cs="Times New Roman"/>
      <w:sz w:val="24"/>
      <w:szCs w:val="24"/>
    </w:rPr>
  </w:style>
  <w:style w:type="character" w:customStyle="1" w:styleId="62">
    <w:name w:val="标题 1 Char"/>
    <w:link w:val="3"/>
    <w:qFormat/>
    <w:uiPriority w:val="0"/>
    <w:rPr>
      <w:b/>
      <w:bCs/>
      <w:kern w:val="44"/>
      <w:sz w:val="36"/>
      <w:szCs w:val="44"/>
    </w:rPr>
  </w:style>
  <w:style w:type="character" w:customStyle="1" w:styleId="63">
    <w:name w:val="标题 2 Char"/>
    <w:link w:val="4"/>
    <w:qFormat/>
    <w:uiPriority w:val="0"/>
    <w:rPr>
      <w:rFonts w:ascii="Arial" w:hAnsi="Arial" w:eastAsia="黑体" w:cs="Times New Roman"/>
      <w:b/>
      <w:bCs/>
      <w:sz w:val="32"/>
      <w:szCs w:val="32"/>
    </w:rPr>
  </w:style>
  <w:style w:type="character" w:customStyle="1" w:styleId="64">
    <w:name w:val="标题 3 Char"/>
    <w:link w:val="5"/>
    <w:qFormat/>
    <w:uiPriority w:val="0"/>
    <w:rPr>
      <w:rFonts w:ascii="Times New Roman" w:hAnsi="Times New Roman" w:eastAsia="宋体" w:cs="Times New Roman"/>
      <w:b/>
      <w:bCs/>
      <w:sz w:val="32"/>
      <w:szCs w:val="32"/>
    </w:rPr>
  </w:style>
  <w:style w:type="character" w:customStyle="1" w:styleId="65">
    <w:name w:val="标题 5 Char1"/>
    <w:link w:val="7"/>
    <w:qFormat/>
    <w:uiPriority w:val="0"/>
    <w:rPr>
      <w:b/>
      <w:kern w:val="2"/>
      <w:sz w:val="28"/>
      <w:szCs w:val="24"/>
    </w:rPr>
  </w:style>
  <w:style w:type="character" w:customStyle="1" w:styleId="66">
    <w:name w:val="标题 6 Char"/>
    <w:link w:val="11"/>
    <w:qFormat/>
    <w:uiPriority w:val="0"/>
    <w:rPr>
      <w:rFonts w:ascii="Arial" w:hAnsi="Arial" w:eastAsia="黑体"/>
      <w:b/>
      <w:kern w:val="2"/>
      <w:sz w:val="24"/>
      <w:szCs w:val="24"/>
    </w:rPr>
  </w:style>
  <w:style w:type="character" w:customStyle="1" w:styleId="67">
    <w:name w:val="标题 7 Char"/>
    <w:link w:val="12"/>
    <w:qFormat/>
    <w:uiPriority w:val="0"/>
    <w:rPr>
      <w:rFonts w:ascii="Times New Roman" w:hAnsi="Times New Roman"/>
      <w:b/>
      <w:kern w:val="2"/>
      <w:sz w:val="24"/>
      <w:szCs w:val="24"/>
    </w:rPr>
  </w:style>
  <w:style w:type="character" w:customStyle="1" w:styleId="68">
    <w:name w:val="标题 8 Char"/>
    <w:link w:val="13"/>
    <w:qFormat/>
    <w:uiPriority w:val="9"/>
    <w:rPr>
      <w:rFonts w:ascii="Arial" w:hAnsi="Arial" w:eastAsia="黑体"/>
      <w:kern w:val="2"/>
      <w:sz w:val="24"/>
      <w:szCs w:val="24"/>
    </w:rPr>
  </w:style>
  <w:style w:type="character" w:customStyle="1" w:styleId="69">
    <w:name w:val="标题 9 Char"/>
    <w:link w:val="14"/>
    <w:qFormat/>
    <w:uiPriority w:val="0"/>
    <w:rPr>
      <w:rFonts w:ascii="Arial" w:hAnsi="Arial" w:eastAsia="黑体"/>
      <w:kern w:val="2"/>
      <w:sz w:val="21"/>
      <w:szCs w:val="24"/>
    </w:rPr>
  </w:style>
  <w:style w:type="character" w:customStyle="1" w:styleId="70">
    <w:name w:val="文档结构图 Char"/>
    <w:link w:val="18"/>
    <w:qFormat/>
    <w:uiPriority w:val="0"/>
    <w:rPr>
      <w:rFonts w:hint="eastAsia" w:ascii="宋体" w:hAnsi="宋体" w:eastAsia="宋体" w:cs="宋体"/>
    </w:rPr>
  </w:style>
  <w:style w:type="character" w:customStyle="1" w:styleId="71">
    <w:name w:val="批注文字 Char2"/>
    <w:link w:val="19"/>
    <w:qFormat/>
    <w:uiPriority w:val="0"/>
    <w:rPr>
      <w:rFonts w:ascii="Times New Roman" w:hAnsi="Times New Roman"/>
      <w:kern w:val="2"/>
      <w:sz w:val="21"/>
      <w:szCs w:val="24"/>
    </w:rPr>
  </w:style>
  <w:style w:type="character" w:customStyle="1" w:styleId="72">
    <w:name w:val="正文文本 3 Char"/>
    <w:link w:val="20"/>
    <w:qFormat/>
    <w:uiPriority w:val="0"/>
    <w:rPr>
      <w:rFonts w:ascii="Times New Roman" w:hAnsi="Times New Roman" w:eastAsia="宋体" w:cs="Times New Roman"/>
      <w:b/>
      <w:bCs/>
      <w:sz w:val="24"/>
      <w:szCs w:val="24"/>
    </w:rPr>
  </w:style>
  <w:style w:type="character" w:customStyle="1" w:styleId="73">
    <w:name w:val="正文文本缩进 Char"/>
    <w:link w:val="23"/>
    <w:qFormat/>
    <w:uiPriority w:val="0"/>
    <w:rPr>
      <w:rFonts w:ascii="仿宋_GB2312" w:hAnsi="Times New Roman" w:eastAsia="仿宋_GB2312" w:cs="Times New Roman"/>
      <w:sz w:val="32"/>
      <w:szCs w:val="20"/>
    </w:rPr>
  </w:style>
  <w:style w:type="character" w:customStyle="1" w:styleId="74">
    <w:name w:val="纯文本 Char1"/>
    <w:link w:val="28"/>
    <w:qFormat/>
    <w:uiPriority w:val="0"/>
    <w:rPr>
      <w:rFonts w:ascii="宋体" w:hAnsi="Courier New" w:eastAsia="宋体" w:cs="Courier New"/>
      <w:szCs w:val="21"/>
    </w:rPr>
  </w:style>
  <w:style w:type="character" w:customStyle="1" w:styleId="75">
    <w:name w:val="日期 Char"/>
    <w:link w:val="30"/>
    <w:qFormat/>
    <w:uiPriority w:val="0"/>
    <w:rPr>
      <w:rFonts w:ascii="宋体" w:hAnsi="Courier New" w:eastAsia="宋体" w:cs="Courier New"/>
      <w:szCs w:val="21"/>
    </w:rPr>
  </w:style>
  <w:style w:type="character" w:customStyle="1" w:styleId="76">
    <w:name w:val="正文文本缩进 2 Char"/>
    <w:link w:val="31"/>
    <w:qFormat/>
    <w:uiPriority w:val="0"/>
    <w:rPr>
      <w:rFonts w:ascii="Times New Roman" w:hAnsi="Times New Roman" w:eastAsia="宋体" w:cs="Times New Roman"/>
      <w:sz w:val="32"/>
      <w:szCs w:val="20"/>
    </w:rPr>
  </w:style>
  <w:style w:type="character" w:customStyle="1" w:styleId="77">
    <w:name w:val="尾注文本 Char"/>
    <w:link w:val="32"/>
    <w:qFormat/>
    <w:uiPriority w:val="99"/>
    <w:rPr>
      <w:rFonts w:ascii="Times New Roman" w:hAnsi="Times New Roman"/>
      <w:kern w:val="2"/>
      <w:sz w:val="21"/>
      <w:szCs w:val="24"/>
    </w:rPr>
  </w:style>
  <w:style w:type="character" w:customStyle="1" w:styleId="78">
    <w:name w:val="批注框文本 Char"/>
    <w:link w:val="33"/>
    <w:semiHidden/>
    <w:qFormat/>
    <w:uiPriority w:val="0"/>
    <w:rPr>
      <w:rFonts w:ascii="Times New Roman" w:hAnsi="Times New Roman" w:eastAsia="宋体" w:cs="Times New Roman"/>
      <w:sz w:val="18"/>
      <w:szCs w:val="18"/>
    </w:rPr>
  </w:style>
  <w:style w:type="character" w:customStyle="1" w:styleId="79">
    <w:name w:val="页脚 Char"/>
    <w:link w:val="2"/>
    <w:qFormat/>
    <w:uiPriority w:val="99"/>
    <w:rPr>
      <w:sz w:val="18"/>
      <w:szCs w:val="18"/>
    </w:rPr>
  </w:style>
  <w:style w:type="character" w:customStyle="1" w:styleId="80">
    <w:name w:val="页眉 Char"/>
    <w:link w:val="34"/>
    <w:qFormat/>
    <w:uiPriority w:val="99"/>
    <w:rPr>
      <w:rFonts w:ascii="Times New Roman" w:hAnsi="Times New Roman"/>
      <w:kern w:val="2"/>
      <w:sz w:val="18"/>
      <w:szCs w:val="18"/>
    </w:rPr>
  </w:style>
  <w:style w:type="character" w:customStyle="1" w:styleId="81">
    <w:name w:val="脚注文本 Char"/>
    <w:link w:val="38"/>
    <w:qFormat/>
    <w:uiPriority w:val="99"/>
    <w:rPr>
      <w:rFonts w:ascii="Times New Roman" w:hAnsi="Times New Roman"/>
      <w:kern w:val="2"/>
      <w:sz w:val="18"/>
      <w:szCs w:val="18"/>
    </w:rPr>
  </w:style>
  <w:style w:type="character" w:customStyle="1" w:styleId="82">
    <w:name w:val="正文文本缩进 3 Char"/>
    <w:link w:val="40"/>
    <w:qFormat/>
    <w:uiPriority w:val="0"/>
    <w:rPr>
      <w:rFonts w:ascii="Times New Roman" w:hAnsi="Times New Roman" w:eastAsia="宋体" w:cs="Times New Roman"/>
      <w:sz w:val="16"/>
      <w:szCs w:val="16"/>
    </w:rPr>
  </w:style>
  <w:style w:type="character" w:customStyle="1" w:styleId="83">
    <w:name w:val="正文文本 2 Char"/>
    <w:link w:val="43"/>
    <w:qFormat/>
    <w:uiPriority w:val="0"/>
    <w:rPr>
      <w:rFonts w:ascii="Times New Roman" w:hAnsi="Times New Roman" w:eastAsia="宋体" w:cs="Times New Roman"/>
      <w:szCs w:val="24"/>
    </w:rPr>
  </w:style>
  <w:style w:type="character" w:customStyle="1" w:styleId="84">
    <w:name w:val="标题 Char"/>
    <w:link w:val="22"/>
    <w:qFormat/>
    <w:uiPriority w:val="10"/>
    <w:rPr>
      <w:rFonts w:ascii="Cambria" w:hAnsi="Cambria" w:cs="Times New Roman"/>
      <w:b/>
      <w:bCs/>
      <w:kern w:val="2"/>
      <w:sz w:val="32"/>
      <w:szCs w:val="32"/>
    </w:rPr>
  </w:style>
  <w:style w:type="character" w:customStyle="1" w:styleId="85">
    <w:name w:val="批注主题 Char"/>
    <w:link w:val="46"/>
    <w:qFormat/>
    <w:uiPriority w:val="99"/>
    <w:rPr>
      <w:rFonts w:ascii="Times New Roman" w:hAnsi="Times New Roman"/>
      <w:b/>
      <w:bCs/>
      <w:kern w:val="2"/>
      <w:sz w:val="21"/>
      <w:szCs w:val="24"/>
    </w:rPr>
  </w:style>
  <w:style w:type="paragraph" w:customStyle="1" w:styleId="8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87">
    <w:name w:val="批注文字 Char1"/>
    <w:semiHidden/>
    <w:qFormat/>
    <w:locked/>
    <w:uiPriority w:val="0"/>
    <w:rPr>
      <w:rFonts w:ascii="Times New Roman" w:hAnsi="Times New Roman"/>
      <w:kern w:val="2"/>
      <w:sz w:val="21"/>
      <w:szCs w:val="24"/>
    </w:rPr>
  </w:style>
  <w:style w:type="character" w:customStyle="1" w:styleId="88">
    <w:name w:val="case31"/>
    <w:qFormat/>
    <w:uiPriority w:val="0"/>
    <w:rPr>
      <w:rFonts w:hint="default" w:ascii="_x000B__x000C_" w:hAnsi="_x000B__x000C_"/>
      <w:sz w:val="21"/>
      <w:szCs w:val="21"/>
    </w:rPr>
  </w:style>
  <w:style w:type="character" w:customStyle="1" w:styleId="89">
    <w:name w:val="批注文字 Char"/>
    <w:qFormat/>
    <w:uiPriority w:val="0"/>
    <w:rPr>
      <w:rFonts w:ascii="Times New Roman" w:hAnsi="Times New Roman"/>
      <w:kern w:val="2"/>
      <w:sz w:val="21"/>
      <w:szCs w:val="24"/>
    </w:rPr>
  </w:style>
  <w:style w:type="character" w:customStyle="1" w:styleId="90">
    <w:name w:val="纯文本 Char"/>
    <w:qFormat/>
    <w:uiPriority w:val="0"/>
    <w:rPr>
      <w:rFonts w:ascii="宋体" w:hAnsi="Courier New" w:eastAsia="宋体"/>
      <w:kern w:val="2"/>
      <w:sz w:val="21"/>
      <w:lang w:val="en-US" w:eastAsia="zh-CN" w:bidi="ar-SA"/>
    </w:rPr>
  </w:style>
  <w:style w:type="character" w:customStyle="1" w:styleId="91">
    <w:name w:val="纯文本 字符1"/>
    <w:qFormat/>
    <w:uiPriority w:val="0"/>
    <w:rPr>
      <w:rFonts w:ascii="宋体" w:hAnsi="Courier New"/>
    </w:rPr>
  </w:style>
  <w:style w:type="character" w:customStyle="1" w:styleId="92">
    <w:name w:val="批注文字 字符1"/>
    <w:qFormat/>
    <w:uiPriority w:val="0"/>
    <w:rPr>
      <w:rFonts w:ascii="Times New Roman" w:hAnsi="Times New Roman"/>
      <w:kern w:val="2"/>
      <w:sz w:val="21"/>
      <w:szCs w:val="24"/>
    </w:rPr>
  </w:style>
  <w:style w:type="character" w:customStyle="1" w:styleId="93">
    <w:name w:val="正文文本 Char1"/>
    <w:semiHidden/>
    <w:qFormat/>
    <w:locked/>
    <w:uiPriority w:val="99"/>
    <w:rPr>
      <w:sz w:val="24"/>
      <w:szCs w:val="24"/>
    </w:rPr>
  </w:style>
  <w:style w:type="character" w:customStyle="1" w:styleId="94">
    <w:name w:val="apple-style-span"/>
    <w:qFormat/>
    <w:uiPriority w:val="0"/>
  </w:style>
  <w:style w:type="character" w:customStyle="1" w:styleId="95">
    <w:name w:val="textcontents"/>
    <w:qFormat/>
    <w:uiPriority w:val="0"/>
  </w:style>
  <w:style w:type="character" w:customStyle="1" w:styleId="96">
    <w:name w:val="普通文字 Char Char2"/>
    <w:qFormat/>
    <w:uiPriority w:val="0"/>
    <w:rPr>
      <w:rFonts w:ascii="宋体" w:hAnsi="Courier New" w:eastAsia="宋体"/>
      <w:kern w:val="2"/>
      <w:sz w:val="21"/>
      <w:lang w:val="en-US" w:eastAsia="zh-CN" w:bidi="ar-SA"/>
    </w:rPr>
  </w:style>
  <w:style w:type="character" w:customStyle="1" w:styleId="97">
    <w:name w:val="标题 5 Char"/>
    <w:qFormat/>
    <w:uiPriority w:val="0"/>
    <w:rPr>
      <w:b/>
      <w:kern w:val="2"/>
      <w:sz w:val="28"/>
      <w:szCs w:val="24"/>
    </w:rPr>
  </w:style>
  <w:style w:type="character" w:customStyle="1" w:styleId="98">
    <w:name w:val="批注文字 字符"/>
    <w:qFormat/>
    <w:uiPriority w:val="0"/>
    <w:rPr>
      <w:rFonts w:ascii="Times New Roman" w:hAnsi="Times New Roman"/>
      <w:kern w:val="2"/>
      <w:sz w:val="21"/>
      <w:szCs w:val="24"/>
    </w:rPr>
  </w:style>
  <w:style w:type="character" w:customStyle="1" w:styleId="99">
    <w:name w:val="标题 1 字符"/>
    <w:qFormat/>
    <w:uiPriority w:val="9"/>
    <w:rPr>
      <w:rFonts w:ascii="Times New Roman" w:hAnsi="Times New Roman" w:eastAsia="宋体" w:cs="Times New Roman"/>
      <w:b/>
      <w:bCs/>
      <w:kern w:val="44"/>
      <w:sz w:val="44"/>
      <w:szCs w:val="44"/>
    </w:rPr>
  </w:style>
  <w:style w:type="character" w:customStyle="1" w:styleId="100">
    <w:name w:val="纯文本 字符"/>
    <w:qFormat/>
    <w:uiPriority w:val="0"/>
    <w:rPr>
      <w:rFonts w:ascii="宋体" w:hAnsi="Courier New" w:eastAsia="宋体" w:cs="Courier New"/>
      <w:szCs w:val="21"/>
    </w:rPr>
  </w:style>
  <w:style w:type="character" w:customStyle="1" w:styleId="101">
    <w:name w:val="headline-content4"/>
    <w:qFormat/>
    <w:uiPriority w:val="0"/>
  </w:style>
  <w:style w:type="character" w:customStyle="1" w:styleId="102">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03">
    <w:name w:val="正文文本缩进 字符"/>
    <w:qFormat/>
    <w:uiPriority w:val="0"/>
    <w:rPr>
      <w:rFonts w:ascii="仿宋_GB2312" w:hAnsi="Times New Roman" w:eastAsia="仿宋_GB2312" w:cs="Times New Roman"/>
      <w:sz w:val="32"/>
      <w:szCs w:val="20"/>
    </w:rPr>
  </w:style>
  <w:style w:type="paragraph" w:customStyle="1" w:styleId="104">
    <w:name w:val="Char1"/>
    <w:basedOn w:val="1"/>
    <w:qFormat/>
    <w:uiPriority w:val="0"/>
    <w:rPr>
      <w:szCs w:val="21"/>
    </w:rPr>
  </w:style>
  <w:style w:type="paragraph" w:customStyle="1" w:styleId="105">
    <w:name w:val="列出段落1"/>
    <w:basedOn w:val="1"/>
    <w:qFormat/>
    <w:uiPriority w:val="34"/>
    <w:pPr>
      <w:ind w:firstLine="420" w:firstLineChars="200"/>
    </w:pPr>
  </w:style>
  <w:style w:type="paragraph" w:customStyle="1" w:styleId="106">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07">
    <w:name w:val="默认段落字体 Para Char Char Char Char Char Char Char Char Char1 Char Char Char Char"/>
    <w:basedOn w:val="1"/>
    <w:qFormat/>
    <w:uiPriority w:val="0"/>
    <w:rPr>
      <w:rFonts w:ascii="Tahoma" w:hAnsi="Tahoma"/>
      <w:sz w:val="24"/>
      <w:szCs w:val="20"/>
    </w:rPr>
  </w:style>
  <w:style w:type="paragraph" w:customStyle="1" w:styleId="108">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9">
    <w:name w:val="纯文本1"/>
    <w:basedOn w:val="1"/>
    <w:qFormat/>
    <w:uiPriority w:val="0"/>
    <w:rPr>
      <w:rFonts w:ascii="宋体" w:hAnsi="Courier New" w:cs="Century"/>
      <w:szCs w:val="21"/>
    </w:rPr>
  </w:style>
  <w:style w:type="paragraph" w:customStyle="1" w:styleId="110">
    <w:name w:val="Table Paragraph"/>
    <w:basedOn w:val="1"/>
    <w:qFormat/>
    <w:uiPriority w:val="1"/>
    <w:pPr>
      <w:jc w:val="left"/>
    </w:pPr>
    <w:rPr>
      <w:rFonts w:ascii="Calibri" w:hAnsi="Calibri"/>
      <w:kern w:val="0"/>
      <w:sz w:val="22"/>
      <w:szCs w:val="22"/>
      <w:lang w:eastAsia="en-US"/>
    </w:rPr>
  </w:style>
  <w:style w:type="paragraph" w:customStyle="1" w:styleId="11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2">
    <w:name w:val="表格"/>
    <w:basedOn w:val="1"/>
    <w:qFormat/>
    <w:uiPriority w:val="0"/>
    <w:pPr>
      <w:spacing w:line="400" w:lineRule="exact"/>
    </w:pPr>
    <w:rPr>
      <w:sz w:val="24"/>
    </w:rPr>
  </w:style>
  <w:style w:type="paragraph" w:customStyle="1" w:styleId="113">
    <w:name w:val="样式 首行缩进:  2 字符"/>
    <w:basedOn w:val="1"/>
    <w:qFormat/>
    <w:uiPriority w:val="0"/>
    <w:pPr>
      <w:spacing w:line="400" w:lineRule="exact"/>
      <w:ind w:firstLine="200" w:firstLineChars="200"/>
    </w:pPr>
    <w:rPr>
      <w:rFonts w:cs="宋体"/>
      <w:sz w:val="24"/>
    </w:rPr>
  </w:style>
  <w:style w:type="paragraph" w:customStyle="1" w:styleId="114">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5">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16">
    <w:name w:val="正文首行缩进两字符"/>
    <w:basedOn w:val="1"/>
    <w:qFormat/>
    <w:uiPriority w:val="0"/>
    <w:pPr>
      <w:spacing w:line="360" w:lineRule="auto"/>
      <w:ind w:firstLine="200" w:firstLineChars="200"/>
    </w:pPr>
  </w:style>
  <w:style w:type="paragraph" w:customStyle="1" w:styleId="117">
    <w:name w:val="正文段"/>
    <w:basedOn w:val="1"/>
    <w:qFormat/>
    <w:uiPriority w:val="0"/>
    <w:pPr>
      <w:widowControl/>
      <w:snapToGrid w:val="0"/>
      <w:spacing w:afterLines="50"/>
      <w:ind w:firstLine="200" w:firstLineChars="200"/>
    </w:pPr>
    <w:rPr>
      <w:kern w:val="0"/>
      <w:sz w:val="24"/>
      <w:szCs w:val="20"/>
    </w:rPr>
  </w:style>
  <w:style w:type="table" w:customStyle="1" w:styleId="118">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19">
    <w:name w:val="页脚 字符"/>
    <w:qFormat/>
    <w:uiPriority w:val="99"/>
  </w:style>
  <w:style w:type="character" w:customStyle="1" w:styleId="120">
    <w:name w:val="正文2 Char Char"/>
    <w:link w:val="121"/>
    <w:qFormat/>
    <w:uiPriority w:val="0"/>
    <w:rPr>
      <w:kern w:val="2"/>
      <w:sz w:val="24"/>
    </w:rPr>
  </w:style>
  <w:style w:type="paragraph" w:customStyle="1" w:styleId="121">
    <w:name w:val="正文2"/>
    <w:basedOn w:val="1"/>
    <w:link w:val="120"/>
    <w:qFormat/>
    <w:uiPriority w:val="0"/>
    <w:pPr>
      <w:adjustRightInd w:val="0"/>
      <w:spacing w:before="156" w:line="360" w:lineRule="auto"/>
      <w:ind w:firstLine="510" w:firstLineChars="200"/>
    </w:pPr>
    <w:rPr>
      <w:sz w:val="24"/>
      <w:szCs w:val="20"/>
    </w:rPr>
  </w:style>
  <w:style w:type="paragraph" w:customStyle="1" w:styleId="122">
    <w:name w:val="_Style 114"/>
    <w:unhideWhenUsed/>
    <w:qFormat/>
    <w:uiPriority w:val="99"/>
    <w:rPr>
      <w:rFonts w:ascii="Times New Roman" w:hAnsi="Times New Roman" w:eastAsia="宋体" w:cs="Times New Roman"/>
      <w:kern w:val="2"/>
      <w:sz w:val="21"/>
      <w:szCs w:val="24"/>
      <w:lang w:val="en-US" w:eastAsia="zh-CN" w:bidi="ar-SA"/>
    </w:rPr>
  </w:style>
  <w:style w:type="paragraph" w:customStyle="1" w:styleId="123">
    <w:name w:val="正文 A"/>
    <w:qFormat/>
    <w:uiPriority w:val="0"/>
    <w:pPr>
      <w:framePr w:wrap="around" w:vAnchor="margin" w:hAnchor="text" w:y="1"/>
      <w:widowControl w:val="0"/>
      <w:jc w:val="both"/>
    </w:pPr>
    <w:rPr>
      <w:rFonts w:ascii="Calibri" w:hAnsi="Calibri" w:eastAsia="Arial Unicode MS" w:cs="Arial Unicode MS"/>
      <w:color w:val="000000"/>
      <w:kern w:val="2"/>
      <w:sz w:val="21"/>
      <w:szCs w:val="21"/>
      <w:u w:color="000000"/>
      <w:lang w:val="en-US" w:eastAsia="zh-CN" w:bidi="ar-SA"/>
    </w:rPr>
  </w:style>
  <w:style w:type="paragraph" w:customStyle="1" w:styleId="124">
    <w:name w:val="列表段落2"/>
    <w:qFormat/>
    <w:uiPriority w:val="34"/>
    <w:pPr>
      <w:widowControl w:val="0"/>
      <w:ind w:firstLine="420" w:firstLineChars="200"/>
      <w:jc w:val="both"/>
    </w:pPr>
    <w:rPr>
      <w:rFonts w:ascii="Times New Roman" w:hAnsi="Times New Roman" w:eastAsia="宋体" w:cs="Times New Roman"/>
      <w:kern w:val="2"/>
      <w:sz w:val="21"/>
      <w:szCs w:val="22"/>
      <w:lang w:val="en-US" w:eastAsia="zh-CN" w:bidi="ar-SA"/>
    </w:rPr>
  </w:style>
  <w:style w:type="paragraph" w:customStyle="1" w:styleId="125">
    <w:name w:val="修订1"/>
    <w:hidden/>
    <w:semiHidden/>
    <w:qFormat/>
    <w:uiPriority w:val="99"/>
    <w:rPr>
      <w:rFonts w:ascii="Times New Roman" w:hAnsi="Times New Roman" w:eastAsia="宋体" w:cs="Times New Roman"/>
      <w:kern w:val="2"/>
      <w:sz w:val="21"/>
      <w:szCs w:val="24"/>
      <w:lang w:val="en-US" w:eastAsia="zh-CN" w:bidi="ar-SA"/>
    </w:rPr>
  </w:style>
  <w:style w:type="paragraph" w:styleId="126">
    <w:name w:val="List Paragraph"/>
    <w:basedOn w:val="1"/>
    <w:link w:val="128"/>
    <w:qFormat/>
    <w:uiPriority w:val="99"/>
    <w:pPr>
      <w:spacing w:line="360" w:lineRule="auto"/>
      <w:ind w:firstLine="420" w:firstLineChars="200"/>
      <w:jc w:val="left"/>
    </w:pPr>
  </w:style>
  <w:style w:type="character" w:customStyle="1" w:styleId="127">
    <w:name w:val="批注文字 字符2"/>
    <w:qFormat/>
    <w:uiPriority w:val="0"/>
    <w:rPr>
      <w:rFonts w:ascii="Times New Roman" w:hAnsi="Times New Roman" w:eastAsia="宋体" w:cs="Times New Roman"/>
      <w:szCs w:val="24"/>
    </w:rPr>
  </w:style>
  <w:style w:type="character" w:customStyle="1" w:styleId="128">
    <w:name w:val="列出段落 Char"/>
    <w:link w:val="126"/>
    <w:qFormat/>
    <w:locked/>
    <w:uiPriority w:val="99"/>
    <w:rPr>
      <w:kern w:val="2"/>
      <w:sz w:val="21"/>
      <w:szCs w:val="24"/>
    </w:rPr>
  </w:style>
  <w:style w:type="paragraph" w:customStyle="1" w:styleId="129">
    <w:name w:val="样式1"/>
    <w:basedOn w:val="1"/>
    <w:qFormat/>
    <w:uiPriority w:val="0"/>
    <w:pPr>
      <w:spacing w:line="360" w:lineRule="auto"/>
    </w:pPr>
    <w:rPr>
      <w:rFonts w:ascii="宋体"/>
      <w:sz w:val="24"/>
    </w:rPr>
  </w:style>
  <w:style w:type="paragraph" w:styleId="130">
    <w:name w:val="No Spacing"/>
    <w:qFormat/>
    <w:uiPriority w:val="1"/>
    <w:pPr>
      <w:widowControl w:val="0"/>
      <w:jc w:val="center"/>
    </w:pPr>
    <w:rPr>
      <w:rFonts w:ascii="Times New Roman" w:hAnsi="Times New Roman" w:eastAsia="宋体" w:cs="Times New Roman"/>
      <w:kern w:val="2"/>
      <w:sz w:val="21"/>
      <w:szCs w:val="22"/>
      <w:lang w:val="en-US" w:eastAsia="zh-CN" w:bidi="ar-SA"/>
    </w:rPr>
  </w:style>
  <w:style w:type="character" w:customStyle="1" w:styleId="131">
    <w:name w:val="bookmark-item"/>
    <w:basedOn w:val="50"/>
    <w:qFormat/>
    <w:uiPriority w:val="0"/>
  </w:style>
  <w:style w:type="paragraph" w:customStyle="1" w:styleId="132">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133">
    <w:name w:val="纯文本 Char3"/>
    <w:qFormat/>
    <w:locked/>
    <w:uiPriority w:val="99"/>
    <w:rPr>
      <w:rFonts w:ascii="宋体" w:hAnsi="Courier New" w:eastAsia="宋体" w:cs="Courier New"/>
      <w:sz w:val="21"/>
      <w:szCs w:val="21"/>
    </w:rPr>
  </w:style>
  <w:style w:type="paragraph" w:customStyle="1" w:styleId="134">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135">
    <w:name w:val="正文文本 Char3"/>
    <w:semiHidden/>
    <w:qFormat/>
    <w:locked/>
    <w:uiPriority w:val="99"/>
    <w:rPr>
      <w:rFonts w:ascii="Times New Roman" w:hAnsi="Times New Roman" w:eastAsia="宋体" w:cs="Times New Roman"/>
      <w:sz w:val="24"/>
      <w:szCs w:val="24"/>
    </w:rPr>
  </w:style>
  <w:style w:type="paragraph" w:customStyle="1" w:styleId="136">
    <w:name w:val="Table Text"/>
    <w:basedOn w:val="1"/>
    <w:semiHidden/>
    <w:qFormat/>
    <w:uiPriority w:val="0"/>
    <w:rPr>
      <w:rFonts w:ascii="宋体" w:hAnsi="宋体" w:eastAsia="宋体" w:cs="宋体"/>
      <w:sz w:val="20"/>
      <w:szCs w:val="20"/>
      <w:lang w:val="en-US" w:eastAsia="en-US" w:bidi="ar-SA"/>
    </w:rPr>
  </w:style>
  <w:style w:type="paragraph" w:customStyle="1" w:styleId="137">
    <w:name w:val="标准文件_二级无标题"/>
    <w:basedOn w:val="138"/>
    <w:qFormat/>
    <w:uiPriority w:val="0"/>
    <w:pPr>
      <w:spacing w:beforeLines="0" w:afterLines="0"/>
      <w:outlineLvl w:val="9"/>
    </w:pPr>
    <w:rPr>
      <w:rFonts w:ascii="宋体" w:eastAsia="宋体"/>
    </w:rPr>
  </w:style>
  <w:style w:type="paragraph" w:customStyle="1" w:styleId="138">
    <w:name w:val="标准文件_二级条标题"/>
    <w:next w:val="139"/>
    <w:qFormat/>
    <w:uiPriority w:val="0"/>
    <w:pPr>
      <w:widowControl w:val="0"/>
      <w:numPr>
        <w:ilvl w:val="3"/>
        <w:numId w:val="3"/>
      </w:numPr>
      <w:spacing w:beforeLines="50" w:afterLines="50"/>
      <w:jc w:val="both"/>
      <w:outlineLvl w:val="2"/>
    </w:pPr>
    <w:rPr>
      <w:rFonts w:ascii="黑体" w:hAnsi="Times New Roman" w:eastAsia="黑体" w:cs="Times New Roman"/>
      <w:sz w:val="21"/>
      <w:lang w:val="en-US" w:eastAsia="zh-CN" w:bidi="ar-SA"/>
    </w:rPr>
  </w:style>
  <w:style w:type="paragraph" w:customStyle="1" w:styleId="139">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40">
    <w:name w:val="font01"/>
    <w:qFormat/>
    <w:uiPriority w:val="0"/>
    <w:rPr>
      <w:rFonts w:hint="eastAsia" w:ascii="仿宋" w:hAnsi="仿宋" w:eastAsia="仿宋"/>
      <w:b/>
      <w:bCs/>
      <w:color w:val="000000"/>
      <w:sz w:val="24"/>
      <w:szCs w:val="24"/>
      <w:u w:val="none"/>
    </w:rPr>
  </w:style>
  <w:style w:type="paragraph" w:customStyle="1" w:styleId="141">
    <w:name w:val="Legal_L2"/>
    <w:basedOn w:val="1"/>
    <w:qFormat/>
    <w:uiPriority w:val="0"/>
    <w:pPr>
      <w:widowControl/>
      <w:spacing w:after="240" w:line="259" w:lineRule="auto"/>
      <w:jc w:val="left"/>
      <w:outlineLvl w:val="1"/>
    </w:pPr>
    <w:rPr>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93</Pages>
  <Words>10313</Words>
  <Characters>12090</Characters>
  <Lines>652</Lines>
  <Paragraphs>183</Paragraphs>
  <TotalTime>30</TotalTime>
  <ScaleCrop>false</ScaleCrop>
  <LinksUpToDate>false</LinksUpToDate>
  <CharactersWithSpaces>12126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2023-09-26T09:34:00Z</dcterms:created>
  <dc:creator>Microsoft</dc:creator>
  <cp:lastModifiedBy>L</cp:lastModifiedBy>
  <cp:lastPrinted>2023-09-21T19:04:00Z</cp:lastPrinted>
  <dcterms:modified xsi:type="dcterms:W3CDTF">2026-02-13T01:22:06Z</dcterms:modified>
  <dc:title>公开招标采购文件范本</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833B67B1450949D3835CB9125E5121CF_13</vt:lpwstr>
  </property>
  <property fmtid="{D5CDD505-2E9C-101B-9397-08002B2CF9AE}" pid="4" name="KSOTemplateDocerSaveRecord">
    <vt:lpwstr>eyJoZGlkIjoiZDUzYmU5MzQwMjY5MTlhZGU4ZDQ3NmM4ZGI0OTljN2QiLCJ1c2VySWQiOiI0MDc1ODAxMDMifQ==</vt:lpwstr>
  </property>
</Properties>
</file>